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B7439A" w:rsidP="00D95E00">
      <w:pPr>
        <w:spacing w:beforeLines="50" w:before="120"/>
        <w:jc w:val="center"/>
        <w:rPr>
          <w:rFonts w:ascii="宋体" w:hAnsi="宋体" w:cs="宋体"/>
          <w:b/>
          <w:sz w:val="52"/>
          <w:szCs w:val="52"/>
        </w:rPr>
      </w:pPr>
      <w:bookmarkStart w:id="0" w:name="_Toc88969212"/>
      <w:r w:rsidRPr="00B7439A">
        <w:rPr>
          <w:rFonts w:ascii="宋体" w:hAnsi="宋体" w:cs="宋体" w:hint="eastAsia"/>
          <w:b/>
          <w:sz w:val="52"/>
          <w:szCs w:val="52"/>
        </w:rPr>
        <w:t>富荣福锦混合型证券投资基金</w:t>
      </w:r>
      <w:r w:rsidR="007026B8">
        <w:rPr>
          <w:rFonts w:ascii="宋体" w:hAnsi="宋体" w:cs="宋体" w:hint="eastAsia"/>
          <w:b/>
          <w:sz w:val="52"/>
          <w:szCs w:val="52"/>
        </w:rPr>
        <w:t>更新的招募说明书摘要</w:t>
      </w:r>
    </w:p>
    <w:p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7C0F74">
        <w:rPr>
          <w:rFonts w:ascii="宋体" w:hAnsi="宋体" w:cs="宋体" w:hint="eastAsia"/>
          <w:b/>
          <w:sz w:val="48"/>
          <w:szCs w:val="48"/>
        </w:rPr>
        <w:t>8</w:t>
      </w:r>
      <w:r>
        <w:rPr>
          <w:rFonts w:ascii="宋体" w:hAnsi="宋体" w:cs="宋体" w:hint="eastAsia"/>
          <w:b/>
          <w:sz w:val="48"/>
          <w:szCs w:val="48"/>
        </w:rPr>
        <w:t>年第</w:t>
      </w:r>
      <w:r w:rsidR="00B7439A">
        <w:rPr>
          <w:rFonts w:ascii="宋体" w:hAnsi="宋体" w:cs="宋体" w:hint="eastAsia"/>
          <w:b/>
          <w:sz w:val="48"/>
          <w:szCs w:val="48"/>
        </w:rPr>
        <w:t>1</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D95E00">
      <w:pPr>
        <w:spacing w:beforeLines="50" w:before="120"/>
        <w:jc w:val="center"/>
        <w:rPr>
          <w:b/>
          <w:sz w:val="36"/>
          <w:szCs w:val="20"/>
        </w:rPr>
      </w:pPr>
      <w:r>
        <w:rPr>
          <w:rFonts w:hint="eastAsia"/>
          <w:b/>
          <w:sz w:val="36"/>
          <w:szCs w:val="20"/>
        </w:rPr>
        <w:t>基金管理人：富荣基金管理有限公司</w:t>
      </w:r>
    </w:p>
    <w:p w:rsidR="0045798E" w:rsidRDefault="007026B8" w:rsidP="00D95E00">
      <w:pPr>
        <w:spacing w:beforeLines="50" w:before="120"/>
        <w:jc w:val="center"/>
        <w:rPr>
          <w:b/>
          <w:sz w:val="36"/>
          <w:szCs w:val="20"/>
        </w:rPr>
      </w:pPr>
      <w:r>
        <w:rPr>
          <w:rFonts w:hint="eastAsia"/>
          <w:b/>
          <w:sz w:val="36"/>
          <w:szCs w:val="20"/>
        </w:rPr>
        <w:t>基金托管人：</w:t>
      </w:r>
      <w:r w:rsidR="00B7439A">
        <w:rPr>
          <w:rFonts w:ascii="Arial" w:hAnsi="Arial" w:hint="eastAsia"/>
          <w:b/>
          <w:sz w:val="36"/>
          <w:szCs w:val="36"/>
        </w:rPr>
        <w:t>平安银行</w:t>
      </w:r>
      <w:r w:rsidR="00B7439A" w:rsidRPr="00B8145F">
        <w:rPr>
          <w:rFonts w:ascii="Arial" w:hAnsi="Arial" w:hint="eastAsia"/>
          <w:b/>
          <w:sz w:val="36"/>
          <w:szCs w:val="36"/>
        </w:rPr>
        <w:t>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B7439A" w:rsidRDefault="00B7439A">
      <w:pPr>
        <w:spacing w:line="360" w:lineRule="auto"/>
        <w:rPr>
          <w:rFonts w:ascii="宋体" w:hAnsi="宋体"/>
          <w:color w:val="000000"/>
          <w:sz w:val="24"/>
        </w:rPr>
      </w:pPr>
    </w:p>
    <w:p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kern w:val="0"/>
          <w:szCs w:val="21"/>
        </w:rPr>
        <w:t>本基金根据</w:t>
      </w:r>
      <w:r w:rsidRPr="004A755C">
        <w:rPr>
          <w:rFonts w:asciiTheme="minorEastAsia" w:hAnsiTheme="minorEastAsia" w:cs="Arial" w:hint="eastAsia"/>
          <w:bCs/>
          <w:color w:val="000000"/>
          <w:szCs w:val="21"/>
        </w:rPr>
        <w:t>2017年6月16日</w:t>
      </w:r>
      <w:r w:rsidRPr="004A755C">
        <w:rPr>
          <w:rFonts w:asciiTheme="minorEastAsia" w:hAnsiTheme="minorEastAsia" w:cs="Arial" w:hint="eastAsia"/>
          <w:kern w:val="0"/>
          <w:szCs w:val="21"/>
        </w:rPr>
        <w:t>中国证券监督管理委员会（以下简称“中国证监会”）《关于准予富荣福锦混合型证券投资基金注册的批复》（</w:t>
      </w:r>
      <w:r w:rsidRPr="004A755C">
        <w:rPr>
          <w:rFonts w:asciiTheme="minorEastAsia" w:hAnsiTheme="minorEastAsia" w:cs="Arial" w:hint="eastAsia"/>
          <w:bCs/>
          <w:color w:val="000000"/>
          <w:kern w:val="0"/>
          <w:szCs w:val="21"/>
        </w:rPr>
        <w:t>证监许可</w:t>
      </w:r>
      <w:r w:rsidRPr="004A755C">
        <w:rPr>
          <w:rFonts w:asciiTheme="minorEastAsia" w:hAnsiTheme="minorEastAsia" w:cs="Arial" w:hint="eastAsia"/>
          <w:bCs/>
          <w:color w:val="000000"/>
          <w:szCs w:val="21"/>
        </w:rPr>
        <w:t>[2017]931号</w:t>
      </w:r>
      <w:r w:rsidRPr="004A755C">
        <w:rPr>
          <w:rFonts w:asciiTheme="minorEastAsia" w:hAnsiTheme="minorEastAsia" w:cs="Arial" w:hint="eastAsia"/>
          <w:bCs/>
          <w:color w:val="000000"/>
          <w:kern w:val="0"/>
          <w:szCs w:val="21"/>
        </w:rPr>
        <w:t>）进行募集。</w:t>
      </w:r>
      <w:r w:rsidRPr="004A755C">
        <w:rPr>
          <w:rFonts w:asciiTheme="minorEastAsia" w:hAnsiTheme="minorEastAsia" w:cs="Arial" w:hint="eastAsia"/>
          <w:kern w:val="0"/>
          <w:szCs w:val="21"/>
        </w:rPr>
        <w:t>本基金于2018年3月16日正式生效。</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w:t>
      </w:r>
      <w:proofErr w:type="gramStart"/>
      <w:r w:rsidRPr="004A755C">
        <w:rPr>
          <w:rFonts w:asciiTheme="minorEastAsia" w:hAnsiTheme="minorEastAsia" w:cs="Arial" w:hint="eastAsia"/>
          <w:szCs w:val="21"/>
        </w:rPr>
        <w:t>作出</w:t>
      </w:r>
      <w:proofErr w:type="gramEnd"/>
      <w:r w:rsidRPr="004A755C">
        <w:rPr>
          <w:rFonts w:asciiTheme="minorEastAsia" w:hAnsiTheme="minorEastAsia" w:cs="Arial" w:hint="eastAsia"/>
          <w:szCs w:val="21"/>
        </w:rPr>
        <w:t>实质性判断或保证，也不表明投资于本基金没有风险。</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本基金以</w:t>
      </w:r>
      <w:r w:rsidRPr="004A755C">
        <w:rPr>
          <w:rFonts w:asciiTheme="minorEastAsia" w:hAnsiTheme="minorEastAsia" w:cs="Arial"/>
          <w:szCs w:val="21"/>
        </w:rPr>
        <w:t>1.00</w:t>
      </w:r>
      <w:r w:rsidRPr="004A755C">
        <w:rPr>
          <w:rFonts w:asciiTheme="minorEastAsia" w:hAnsiTheme="minorEastAsia" w:cs="Arial" w:hint="eastAsia"/>
          <w:szCs w:val="21"/>
        </w:rPr>
        <w:t>元发售面值募集基金份额，在市场波动等因素的影响下，基金投资有可能出现亏损或基金份额净值低于初始面值。</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4A755C">
        <w:rPr>
          <w:rFonts w:asciiTheme="minorEastAsia" w:hAnsiTheme="minorEastAsia" w:cs="Arial"/>
          <w:szCs w:val="21"/>
        </w:rPr>
        <w:t>“</w:t>
      </w:r>
      <w:r w:rsidRPr="004A755C">
        <w:rPr>
          <w:rFonts w:asciiTheme="minorEastAsia" w:hAnsiTheme="minorEastAsia" w:cs="Arial" w:hint="eastAsia"/>
          <w:szCs w:val="21"/>
        </w:rPr>
        <w:t>买者自负</w:t>
      </w:r>
      <w:r w:rsidRPr="004A755C">
        <w:rPr>
          <w:rFonts w:asciiTheme="minorEastAsia" w:hAnsiTheme="minorEastAsia" w:cs="Arial"/>
          <w:szCs w:val="21"/>
        </w:rPr>
        <w:t>”</w:t>
      </w:r>
      <w:r w:rsidRPr="004A755C">
        <w:rPr>
          <w:rFonts w:asciiTheme="minorEastAsia" w:hAnsiTheme="minorEastAsia" w:cs="Arial" w:hint="eastAsia"/>
          <w:szCs w:val="21"/>
        </w:rPr>
        <w:t>原则，在作出投资决策后，基金运营状况与基金净值变化引致的投资风险，由投资者自行承担。</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本招募说明书所载内容截止日为2018年9月16日，有关财务数据截止日为2018年6月30日，净值表现截止日为2018年6月30日，本报告中所列财务数据未经审计。</w:t>
      </w:r>
    </w:p>
    <w:p w:rsidR="00B7439A" w:rsidRPr="004A755C" w:rsidRDefault="00B7439A" w:rsidP="004A755C">
      <w:pPr>
        <w:autoSpaceDE w:val="0"/>
        <w:autoSpaceDN w:val="0"/>
        <w:adjustRightInd w:val="0"/>
        <w:snapToGrid w:val="0"/>
        <w:spacing w:line="360" w:lineRule="auto"/>
        <w:ind w:firstLineChars="200" w:firstLine="420"/>
        <w:rPr>
          <w:rFonts w:asciiTheme="minorEastAsia" w:hAnsiTheme="minorEastAsia" w:cs="Arial"/>
          <w:szCs w:val="21"/>
        </w:rPr>
      </w:pPr>
      <w:r w:rsidRPr="004A755C">
        <w:rPr>
          <w:rFonts w:asciiTheme="minorEastAsia" w:hAnsiTheme="minorEastAsia" w:cs="Arial" w:hint="eastAsia"/>
          <w:szCs w:val="21"/>
        </w:rPr>
        <w:t>本基金托管人平安银行股份有限公司已于2018年9月28日复核了本次更新的招募说明书。</w:t>
      </w:r>
    </w:p>
    <w:p w:rsidR="0045798E" w:rsidRPr="00B7439A" w:rsidRDefault="0045798E" w:rsidP="007C0F74">
      <w:pPr>
        <w:spacing w:line="360" w:lineRule="auto"/>
        <w:ind w:firstLineChars="202" w:firstLine="424"/>
        <w:rPr>
          <w:rFonts w:ascii="宋体" w:hAnsi="宋体"/>
          <w:color w:val="000000"/>
          <w:kern w:val="0"/>
          <w:szCs w:val="21"/>
        </w:rPr>
      </w:pPr>
    </w:p>
    <w:p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名称：富荣基金管理有限公司</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住所：广州市南沙区海滨路171号南沙金融大厦11楼1101之一J20室</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办公地址：深圳市福田区深南大道2012号深圳交易所大厦3501室</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法定代表人：刘志军</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成立时间：2016年1月25日</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注册资本：2亿元人民币</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存续期间：持续经营</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联系人：毛志华</w:t>
      </w:r>
    </w:p>
    <w:p w:rsidR="004A755C" w:rsidRPr="004A755C" w:rsidRDefault="004A755C" w:rsidP="004A755C">
      <w:pPr>
        <w:spacing w:line="360" w:lineRule="auto"/>
        <w:ind w:firstLineChars="200" w:firstLine="420"/>
        <w:rPr>
          <w:rFonts w:asciiTheme="minorEastAsia" w:hAnsiTheme="minorEastAsia"/>
          <w:kern w:val="0"/>
          <w:szCs w:val="21"/>
        </w:rPr>
      </w:pPr>
      <w:r w:rsidRPr="004A755C">
        <w:rPr>
          <w:rFonts w:asciiTheme="minorEastAsia" w:hAnsiTheme="minorEastAsia" w:hint="eastAsia"/>
          <w:kern w:val="0"/>
          <w:szCs w:val="21"/>
        </w:rPr>
        <w:t>联系电话：（0755）</w:t>
      </w:r>
      <w:r w:rsidRPr="004A755C">
        <w:rPr>
          <w:rFonts w:asciiTheme="minorEastAsia" w:hAnsiTheme="minorEastAsia"/>
          <w:kern w:val="0"/>
          <w:szCs w:val="21"/>
        </w:rPr>
        <w:t>8435</w:t>
      </w:r>
      <w:r w:rsidRPr="004A755C">
        <w:rPr>
          <w:rFonts w:asciiTheme="minorEastAsia" w:hAnsiTheme="minorEastAsia" w:hint="eastAsia"/>
          <w:kern w:val="0"/>
          <w:szCs w:val="21"/>
        </w:rPr>
        <w:t xml:space="preserve"> </w:t>
      </w:r>
      <w:r w:rsidRPr="004A755C">
        <w:rPr>
          <w:rFonts w:asciiTheme="minorEastAsia" w:hAnsiTheme="minorEastAsia"/>
          <w:kern w:val="0"/>
          <w:szCs w:val="21"/>
        </w:rPr>
        <w:t>663</w:t>
      </w:r>
      <w:r w:rsidRPr="004A755C">
        <w:rPr>
          <w:rFonts w:asciiTheme="minorEastAsia" w:hAnsiTheme="minorEastAsia" w:hint="eastAsia"/>
          <w:kern w:val="0"/>
          <w:szCs w:val="21"/>
        </w:rPr>
        <w:t>6</w:t>
      </w:r>
    </w:p>
    <w:p w:rsidR="004A755C" w:rsidRPr="004A755C" w:rsidRDefault="004A755C" w:rsidP="004A755C">
      <w:pPr>
        <w:spacing w:line="360" w:lineRule="auto"/>
        <w:ind w:firstLineChars="200" w:firstLine="420"/>
        <w:rPr>
          <w:rFonts w:asciiTheme="minorEastAsia" w:hAnsiTheme="minorEastAsia" w:cs="Arial"/>
          <w:kern w:val="0"/>
          <w:szCs w:val="21"/>
        </w:rPr>
      </w:pPr>
      <w:r w:rsidRPr="004A755C">
        <w:rPr>
          <w:rFonts w:asciiTheme="minorEastAsia" w:hAnsiTheme="minorEastAsia"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6" w:name="_Toc26099"/>
      <w:bookmarkStart w:id="7" w:name="_Toc482624792"/>
      <w:bookmarkEnd w:id="5"/>
      <w:r w:rsidRPr="004A755C">
        <w:rPr>
          <w:rFonts w:ascii="宋体" w:hAnsi="宋体" w:cs="Arial" w:hint="eastAsia"/>
          <w:kern w:val="0"/>
          <w:szCs w:val="21"/>
        </w:rPr>
        <w:t>1、董事会成员</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刘志军先生，董事长。中国科学院博士，现任广州产业投资基金管理有限公司副总经理、广州科技金融创新投资控股有限公司董事长、富荣基金管理有限公司董事长。</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w:t>
      </w:r>
      <w:r w:rsidRPr="004A755C">
        <w:rPr>
          <w:rFonts w:ascii="宋体" w:hAnsi="宋体" w:cs="Arial" w:hint="eastAsia"/>
          <w:kern w:val="0"/>
          <w:szCs w:val="21"/>
        </w:rPr>
        <w:lastRenderedPageBreak/>
        <w:t>司董事、富荣基金管理有限公司董事。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林斌先生，独立董事，厦门大学经济学博士。现任中山大学管理学院会计学系教授、富荣基金管理有限公司独立董事。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基金管理人不设监事会，设监事两名，其中一名为职工监事。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卢伟女士，监事，大专。在盈投控股有限公司任职，现任富荣基金管理有限公司监事。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毛志华先生，职工监事，本科。现任富荣基金管理有限公司监事。</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刘志军先生，董事长。中国科学院博士，现任广州产业投资基金管理有限公司副总经理、广州科技金融创新投资控股有限公司董事长、富荣基金管理有限公司董事长。</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胡长虹先生，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滕大江先生，督察长，中南大学工学学士，先后供职于平安证券、平安大华基金管理有限公司、前海开源基金管理有限公司监察稽核部门。现任富荣基金管理有限公司督察长。</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4、本基金基金经理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lastRenderedPageBreak/>
        <w:t>胡长虹先生，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邓宇翔先生，权益投资部兼研究部总监，中国科学技术大学理学硕士，曾任西南证券股份有限公司资深投资经理、深圳展博投资有限公司投资经理、深圳东新佳投资有限公司投资经理。现任富荣基金管理有限公司权益投资部兼研究部总监、基金经理。</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rsidR="004A755C" w:rsidRPr="004A755C" w:rsidRDefault="004A755C" w:rsidP="004A755C">
      <w:pPr>
        <w:adjustRightInd w:val="0"/>
        <w:snapToGrid w:val="0"/>
        <w:spacing w:line="360" w:lineRule="auto"/>
        <w:ind w:firstLineChars="200" w:firstLine="420"/>
        <w:rPr>
          <w:rFonts w:ascii="宋体" w:hAnsi="宋体"/>
          <w:color w:val="000000"/>
          <w:szCs w:val="21"/>
          <w:shd w:val="clear" w:color="auto" w:fill="FFFFFF"/>
        </w:rPr>
      </w:pPr>
      <w:r w:rsidRPr="004A755C">
        <w:rPr>
          <w:rFonts w:ascii="宋体" w:hAnsi="宋体" w:hint="eastAsia"/>
          <w:color w:val="000000"/>
          <w:szCs w:val="21"/>
          <w:shd w:val="clear" w:color="auto" w:fill="FFFFFF"/>
        </w:rPr>
        <w:t>苏春华，投资决策委员会主任委员、副总经理、首席投资官</w:t>
      </w:r>
      <w:r w:rsidRPr="004A755C">
        <w:rPr>
          <w:rFonts w:ascii="宋体" w:hAnsi="宋体"/>
          <w:color w:val="000000"/>
          <w:szCs w:val="21"/>
          <w:shd w:val="clear" w:color="auto" w:fill="FFFFFF"/>
        </w:rPr>
        <w:t xml:space="preserve"> </w:t>
      </w:r>
    </w:p>
    <w:p w:rsidR="004A755C" w:rsidRPr="004A755C" w:rsidRDefault="004A755C" w:rsidP="004A755C">
      <w:pPr>
        <w:adjustRightInd w:val="0"/>
        <w:snapToGrid w:val="0"/>
        <w:spacing w:line="360" w:lineRule="auto"/>
        <w:ind w:firstLineChars="200" w:firstLine="420"/>
        <w:rPr>
          <w:rFonts w:ascii="宋体" w:hAnsi="宋体"/>
          <w:color w:val="000000"/>
          <w:szCs w:val="21"/>
          <w:shd w:val="clear" w:color="auto" w:fill="FFFFFF"/>
        </w:rPr>
      </w:pPr>
      <w:r w:rsidRPr="004A755C">
        <w:rPr>
          <w:rFonts w:ascii="宋体" w:hAnsi="宋体" w:hint="eastAsia"/>
          <w:color w:val="000000"/>
          <w:szCs w:val="21"/>
          <w:shd w:val="clear" w:color="auto" w:fill="FFFFFF"/>
        </w:rPr>
        <w:t>胡长虹，投资决策委员会委员、副总经理、基金经理</w:t>
      </w:r>
    </w:p>
    <w:p w:rsidR="004A755C" w:rsidRPr="004A755C" w:rsidRDefault="004A755C" w:rsidP="004A755C">
      <w:pPr>
        <w:adjustRightInd w:val="0"/>
        <w:snapToGrid w:val="0"/>
        <w:spacing w:line="360" w:lineRule="auto"/>
        <w:ind w:firstLineChars="200" w:firstLine="420"/>
        <w:rPr>
          <w:rFonts w:ascii="宋体" w:hAnsi="宋体"/>
          <w:color w:val="000000"/>
          <w:szCs w:val="21"/>
          <w:shd w:val="clear" w:color="auto" w:fill="FFFFFF"/>
        </w:rPr>
      </w:pPr>
      <w:r w:rsidRPr="004A755C">
        <w:rPr>
          <w:rFonts w:ascii="宋体" w:hAnsi="宋体" w:hint="eastAsia"/>
          <w:color w:val="000000"/>
          <w:szCs w:val="21"/>
          <w:shd w:val="clear" w:color="auto" w:fill="FFFFFF"/>
        </w:rPr>
        <w:t>吕晓蓉，投资决策委员会委员、基金经理</w:t>
      </w:r>
    </w:p>
    <w:p w:rsidR="004A755C" w:rsidRPr="004A755C" w:rsidRDefault="004A755C" w:rsidP="004A755C">
      <w:pPr>
        <w:adjustRightInd w:val="0"/>
        <w:snapToGrid w:val="0"/>
        <w:spacing w:line="360" w:lineRule="auto"/>
        <w:ind w:firstLineChars="200" w:firstLine="420"/>
        <w:rPr>
          <w:rFonts w:ascii="宋体" w:hAnsi="宋体"/>
          <w:color w:val="000000"/>
          <w:szCs w:val="21"/>
          <w:shd w:val="clear" w:color="auto" w:fill="FFFFFF"/>
        </w:rPr>
      </w:pPr>
      <w:r w:rsidRPr="004A755C">
        <w:rPr>
          <w:rFonts w:ascii="宋体" w:hAnsi="宋体" w:hint="eastAsia"/>
          <w:color w:val="000000"/>
          <w:szCs w:val="21"/>
          <w:shd w:val="clear" w:color="auto" w:fill="FFFFFF"/>
        </w:rPr>
        <w:t>邓宇翔，投资决策委员会委员、权益投资部总监、研究部总监、基金经理</w:t>
      </w:r>
    </w:p>
    <w:p w:rsidR="004A755C" w:rsidRPr="004A755C" w:rsidRDefault="004A755C" w:rsidP="004A755C">
      <w:pPr>
        <w:adjustRightInd w:val="0"/>
        <w:snapToGrid w:val="0"/>
        <w:spacing w:line="360" w:lineRule="auto"/>
        <w:ind w:firstLineChars="200" w:firstLine="420"/>
        <w:rPr>
          <w:rFonts w:ascii="宋体" w:hAnsi="宋体"/>
          <w:color w:val="000000"/>
          <w:szCs w:val="21"/>
          <w:shd w:val="clear" w:color="auto" w:fill="FFFFFF"/>
        </w:rPr>
      </w:pPr>
      <w:r w:rsidRPr="004A755C">
        <w:rPr>
          <w:rFonts w:ascii="宋体" w:hAnsi="宋体" w:hint="eastAsia"/>
          <w:color w:val="000000"/>
          <w:szCs w:val="21"/>
          <w:shd w:val="clear" w:color="auto" w:fill="FFFFFF"/>
        </w:rPr>
        <w:t>王刚建，投资决策委员会委员、固定收益部总监</w:t>
      </w:r>
    </w:p>
    <w:p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szCs w:val="21"/>
        </w:rPr>
      </w:pPr>
    </w:p>
    <w:p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6"/>
      <w:bookmarkEnd w:id="7"/>
    </w:p>
    <w:p w:rsidR="007C0F74" w:rsidRP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8" w:name="_Toc256666786"/>
      <w:bookmarkStart w:id="9" w:name="_Toc256666914"/>
      <w:bookmarkStart w:id="10" w:name="_Toc6210"/>
      <w:bookmarkStart w:id="11" w:name="_Toc482624793"/>
      <w:r>
        <w:rPr>
          <w:rFonts w:ascii="Arial Unicode MS" w:hAnsi="Arial Unicode MS" w:cs="Arial" w:hint="eastAsia"/>
          <w:kern w:val="0"/>
          <w:szCs w:val="21"/>
        </w:rPr>
        <w:t>（</w:t>
      </w:r>
      <w:r w:rsidRPr="007C0F74">
        <w:rPr>
          <w:rFonts w:ascii="Arial Unicode MS" w:hAnsi="Arial Unicode MS" w:cs="Arial" w:hint="eastAsia"/>
          <w:kern w:val="0"/>
          <w:szCs w:val="21"/>
        </w:rPr>
        <w:t>一</w:t>
      </w:r>
      <w:r>
        <w:rPr>
          <w:rFonts w:ascii="Arial Unicode MS" w:hAnsi="Arial Unicode MS" w:cs="Arial" w:hint="eastAsia"/>
          <w:kern w:val="0"/>
          <w:szCs w:val="21"/>
        </w:rPr>
        <w:t>）</w:t>
      </w:r>
      <w:r w:rsidRPr="007C0F74">
        <w:rPr>
          <w:rFonts w:ascii="Arial Unicode MS" w:hAnsi="Arial Unicode MS" w:cs="Arial" w:hint="eastAsia"/>
          <w:kern w:val="0"/>
          <w:szCs w:val="21"/>
        </w:rPr>
        <w:t>基本情况</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名称：平安银行股份有限公司</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住所：广东省深圳市罗湖区深南东路5047号</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办公地址：广东省深圳市罗湖区深南东路5047号</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法定代表人：谢永林</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成立日期：1987年12月22日</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组织形式：股份有限公司</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注册资本：17,170,411,366元</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存续期间：持续经营</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基金托管资格批文及文号：中国证监会证监许可[2008]1037 号</w:t>
      </w:r>
    </w:p>
    <w:p w:rsidR="004A755C" w:rsidRPr="004A755C" w:rsidRDefault="004A755C" w:rsidP="004A755C">
      <w:pPr>
        <w:autoSpaceDE w:val="0"/>
        <w:autoSpaceDN w:val="0"/>
        <w:adjustRightInd w:val="0"/>
        <w:spacing w:line="384" w:lineRule="auto"/>
        <w:ind w:firstLineChars="200" w:firstLine="420"/>
        <w:rPr>
          <w:rFonts w:asciiTheme="minorEastAsia" w:hAnsiTheme="minorEastAsia"/>
          <w:szCs w:val="21"/>
        </w:rPr>
      </w:pPr>
      <w:r w:rsidRPr="004A755C">
        <w:rPr>
          <w:rFonts w:asciiTheme="minorEastAsia" w:hAnsiTheme="minorEastAsia" w:hint="eastAsia"/>
          <w:szCs w:val="21"/>
        </w:rPr>
        <w:t>联系人：高希泉</w:t>
      </w:r>
    </w:p>
    <w:p w:rsidR="004A755C" w:rsidRPr="004A755C" w:rsidRDefault="004A755C" w:rsidP="004A755C">
      <w:pPr>
        <w:autoSpaceDE w:val="0"/>
        <w:autoSpaceDN w:val="0"/>
        <w:adjustRightInd w:val="0"/>
        <w:spacing w:line="360" w:lineRule="auto"/>
        <w:ind w:firstLineChars="200" w:firstLine="420"/>
        <w:rPr>
          <w:rFonts w:asciiTheme="minorEastAsia" w:hAnsiTheme="minorEastAsia"/>
          <w:szCs w:val="21"/>
        </w:rPr>
      </w:pPr>
      <w:r w:rsidRPr="004A755C">
        <w:rPr>
          <w:rFonts w:asciiTheme="minorEastAsia" w:hAnsiTheme="minorEastAsia" w:hint="eastAsia"/>
          <w:szCs w:val="21"/>
        </w:rPr>
        <w:t>联系电话：(0755) 2219 7701</w:t>
      </w:r>
    </w:p>
    <w:p w:rsidR="004A755C" w:rsidRPr="004A755C" w:rsidRDefault="004A755C" w:rsidP="004A755C">
      <w:pPr>
        <w:spacing w:before="100" w:beforeAutospacing="1" w:line="360" w:lineRule="auto"/>
        <w:ind w:firstLine="360"/>
        <w:rPr>
          <w:rFonts w:asciiTheme="minorEastAsia" w:hAnsiTheme="minorEastAsia"/>
          <w:szCs w:val="21"/>
        </w:rPr>
      </w:pPr>
      <w:r w:rsidRPr="004A755C">
        <w:rPr>
          <w:rFonts w:asciiTheme="minorEastAsia" w:hAnsiTheme="minorEastAsia"/>
          <w:szCs w:val="21"/>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4A755C">
        <w:rPr>
          <w:rFonts w:asciiTheme="minorEastAsia" w:hAnsiTheme="minorEastAsia" w:hint="eastAsia"/>
          <w:szCs w:val="21"/>
        </w:rPr>
        <w:t>8</w:t>
      </w:r>
      <w:r w:rsidRPr="004A755C">
        <w:rPr>
          <w:rFonts w:asciiTheme="minorEastAsia" w:hAnsiTheme="minorEastAsia"/>
          <w:szCs w:val="21"/>
        </w:rPr>
        <w:t>%的股份，为平安银行的控股股东。</w:t>
      </w:r>
      <w:r w:rsidRPr="004A755C">
        <w:rPr>
          <w:rFonts w:ascii="宋体" w:hAnsi="宋体" w:hint="eastAsia"/>
          <w:szCs w:val="21"/>
        </w:rPr>
        <w:t>截至2017年末，在职员工32502人，通过全国70家分行、1079家营业机构为客户提供多种金融服务。</w:t>
      </w:r>
    </w:p>
    <w:p w:rsidR="004A755C" w:rsidRPr="004A755C" w:rsidRDefault="004A755C" w:rsidP="004A755C">
      <w:pPr>
        <w:widowControl/>
        <w:spacing w:line="360" w:lineRule="auto"/>
        <w:ind w:firstLineChars="200" w:firstLine="420"/>
        <w:jc w:val="left"/>
        <w:rPr>
          <w:rFonts w:asciiTheme="minorEastAsia" w:hAnsiTheme="minorEastAsia"/>
          <w:color w:val="000000" w:themeColor="text1"/>
          <w:szCs w:val="21"/>
        </w:rPr>
      </w:pPr>
    </w:p>
    <w:p w:rsidR="004A755C" w:rsidRPr="004A755C" w:rsidRDefault="004A755C" w:rsidP="004A755C">
      <w:pPr>
        <w:widowControl/>
        <w:spacing w:line="360" w:lineRule="auto"/>
        <w:ind w:firstLineChars="200" w:firstLine="420"/>
        <w:jc w:val="left"/>
        <w:rPr>
          <w:rFonts w:ascii="宋体" w:hAnsi="宋体"/>
          <w:color w:val="000000" w:themeColor="text1"/>
          <w:szCs w:val="21"/>
        </w:rPr>
      </w:pPr>
      <w:r w:rsidRPr="004A755C">
        <w:rPr>
          <w:rFonts w:ascii="宋体" w:hAnsi="宋体" w:hint="eastAsia"/>
          <w:color w:val="000000" w:themeColor="text1"/>
          <w:szCs w:val="21"/>
        </w:rPr>
        <w:t>2017年，平安银行收入、利润、规模保持稳健发展。实现营业收入1057.86亿元（还原营改增前的营业收入同比增幅1.67%）、净利润231.89亿元（同比增长2.61%）、资产总额32,484.74亿元（较上年末增长9.99%）、吸收存款余额20,004.20亿元（较上年末增长4.09%）、发放贷款和垫款总额（含贴现）17,042.30亿元（较上年末增幅15.48%）。</w:t>
      </w:r>
    </w:p>
    <w:p w:rsidR="004A755C" w:rsidRPr="004A755C" w:rsidRDefault="004A755C" w:rsidP="004A755C">
      <w:pPr>
        <w:widowControl/>
        <w:spacing w:line="360" w:lineRule="auto"/>
        <w:ind w:firstLineChars="200" w:firstLine="420"/>
        <w:jc w:val="left"/>
        <w:rPr>
          <w:rFonts w:asciiTheme="minorEastAsia" w:hAnsiTheme="minorEastAsia"/>
          <w:szCs w:val="21"/>
        </w:rPr>
      </w:pPr>
      <w:r w:rsidRPr="004A755C">
        <w:rPr>
          <w:rFonts w:asciiTheme="minorEastAsia" w:hAnsiTheme="minorEastAsia" w:hint="eastAsia"/>
          <w:szCs w:val="21"/>
        </w:rPr>
        <w:t>平安银行总行设资产托管事业部，下设市场拓展处、创新发展处、估值核算处、资金清算处、规划发展处、IT系统支持处、督察合规处</w:t>
      </w:r>
      <w:r w:rsidRPr="004A755C">
        <w:rPr>
          <w:rFonts w:asciiTheme="minorEastAsia" w:hAnsiTheme="minorEastAsia" w:cs="宋体-WinCharSetFFFF-H" w:hint="eastAsia"/>
          <w:kern w:val="0"/>
          <w:szCs w:val="21"/>
        </w:rPr>
        <w:t>、基金服务中心8</w:t>
      </w:r>
      <w:r w:rsidRPr="004A755C">
        <w:rPr>
          <w:rFonts w:asciiTheme="minorEastAsia" w:hAnsiTheme="minorEastAsia" w:hint="eastAsia"/>
          <w:szCs w:val="21"/>
        </w:rPr>
        <w:t xml:space="preserve"> 个处室，目前部门人员为60人。</w:t>
      </w:r>
    </w:p>
    <w:p w:rsidR="00BA1D58" w:rsidRPr="00EC0A75" w:rsidRDefault="007C0F74" w:rsidP="00BA1D58">
      <w:pPr>
        <w:adjustRightInd w:val="0"/>
        <w:snapToGrid w:val="0"/>
        <w:spacing w:line="360" w:lineRule="auto"/>
        <w:ind w:firstLineChars="200" w:firstLine="420"/>
        <w:rPr>
          <w:rFonts w:ascii="Arial Unicode MS" w:hAnsi="Arial Unicode MS"/>
          <w:b/>
          <w:bCs/>
        </w:rPr>
      </w:pPr>
      <w:r w:rsidRPr="007C0F74">
        <w:rPr>
          <w:rFonts w:ascii="Arial Unicode MS" w:hAnsi="Arial Unicode MS" w:hint="eastAsia"/>
          <w:bCs/>
        </w:rPr>
        <w:t>（二）</w:t>
      </w:r>
      <w:r w:rsidR="00BA1D58" w:rsidRPr="004A755C">
        <w:rPr>
          <w:rFonts w:ascii="Arial Unicode MS" w:hAnsi="Arial Unicode MS" w:hint="eastAsia"/>
          <w:bCs/>
        </w:rPr>
        <w:t>主要人员情况</w:t>
      </w:r>
    </w:p>
    <w:p w:rsidR="0014490B" w:rsidRPr="0014490B" w:rsidRDefault="0014490B" w:rsidP="0014490B">
      <w:pPr>
        <w:spacing w:line="360" w:lineRule="auto"/>
        <w:ind w:firstLineChars="200" w:firstLine="420"/>
        <w:rPr>
          <w:rFonts w:asciiTheme="minorEastAsia" w:hAnsiTheme="minorEastAsia"/>
          <w:szCs w:val="21"/>
        </w:rPr>
      </w:pPr>
      <w:r w:rsidRPr="0014490B">
        <w:rPr>
          <w:rFonts w:asciiTheme="minorEastAsia" w:hAnsiTheme="minorEastAsia" w:hint="eastAsia"/>
          <w:szCs w:val="21"/>
        </w:rPr>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w:t>
      </w:r>
      <w:r w:rsidRPr="0014490B">
        <w:rPr>
          <w:rFonts w:asciiTheme="minorEastAsia" w:hAnsiTheme="minorEastAsia" w:hint="eastAsia"/>
          <w:szCs w:val="21"/>
        </w:rPr>
        <w:lastRenderedPageBreak/>
        <w:t>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7C0F74" w:rsidRPr="007C0F74" w:rsidRDefault="007C0F74" w:rsidP="007C0F74">
      <w:pPr>
        <w:spacing w:line="360" w:lineRule="auto"/>
        <w:ind w:firstLineChars="200" w:firstLine="420"/>
        <w:rPr>
          <w:rFonts w:ascii="Arial Unicode MS" w:hAnsi="Arial Unicode MS"/>
          <w:bCs/>
        </w:rPr>
      </w:pPr>
      <w:r w:rsidRPr="007C0F74">
        <w:rPr>
          <w:rFonts w:ascii="Arial Unicode MS" w:hAnsi="Arial Unicode MS" w:hint="eastAsia"/>
          <w:bCs/>
        </w:rPr>
        <w:t>（三）基金托管业务经营情况</w:t>
      </w:r>
    </w:p>
    <w:p w:rsidR="0014490B" w:rsidRPr="0014490B" w:rsidRDefault="0014490B" w:rsidP="0014490B">
      <w:pPr>
        <w:widowControl/>
        <w:spacing w:line="360" w:lineRule="auto"/>
        <w:ind w:firstLineChars="200" w:firstLine="420"/>
        <w:jc w:val="left"/>
        <w:rPr>
          <w:rFonts w:ascii="宋体" w:hAnsi="宋体"/>
          <w:szCs w:val="21"/>
        </w:rPr>
      </w:pPr>
      <w:r w:rsidRPr="0014490B">
        <w:rPr>
          <w:rFonts w:ascii="宋体" w:hAnsi="宋体" w:hint="eastAsia"/>
          <w:szCs w:val="21"/>
        </w:rPr>
        <w:t>2008年8月15日获得中国证监会、银监会核准开办证券投资基金托管业务。</w:t>
      </w:r>
    </w:p>
    <w:p w:rsidR="0014490B" w:rsidRPr="0014490B" w:rsidRDefault="0014490B" w:rsidP="0014490B">
      <w:pPr>
        <w:autoSpaceDE w:val="0"/>
        <w:autoSpaceDN w:val="0"/>
        <w:adjustRightInd w:val="0"/>
        <w:spacing w:line="360" w:lineRule="auto"/>
        <w:ind w:firstLineChars="200" w:firstLine="420"/>
        <w:jc w:val="left"/>
        <w:rPr>
          <w:rFonts w:ascii="宋体" w:hAnsi="宋体"/>
          <w:color w:val="000000"/>
          <w:szCs w:val="21"/>
        </w:rPr>
      </w:pPr>
      <w:r w:rsidRPr="0014490B">
        <w:rPr>
          <w:rFonts w:ascii="宋体" w:hAnsi="宋体" w:hint="eastAsia"/>
          <w:color w:val="000000"/>
          <w:szCs w:val="21"/>
        </w:rPr>
        <w:t>截至2018年6月末，平安银行股份有限公司托管净值规模合计</w:t>
      </w:r>
      <w:r w:rsidRPr="0014490B">
        <w:rPr>
          <w:rFonts w:ascii="宋体" w:hAnsi="宋体"/>
          <w:color w:val="000000"/>
          <w:szCs w:val="21"/>
        </w:rPr>
        <w:t>6.04</w:t>
      </w:r>
      <w:r w:rsidRPr="0014490B">
        <w:rPr>
          <w:rFonts w:ascii="宋体" w:hAnsi="宋体" w:hint="eastAsia"/>
          <w:color w:val="000000"/>
          <w:szCs w:val="21"/>
        </w:rPr>
        <w:t>万亿，托管证券投资基金共</w:t>
      </w:r>
      <w:r w:rsidRPr="0014490B">
        <w:rPr>
          <w:rFonts w:ascii="宋体" w:hAnsi="宋体"/>
          <w:color w:val="000000"/>
          <w:szCs w:val="21"/>
        </w:rPr>
        <w:t>113</w:t>
      </w:r>
      <w:r w:rsidRPr="0014490B">
        <w:rPr>
          <w:rFonts w:ascii="宋体" w:hAnsi="宋体" w:hint="eastAsia"/>
          <w:color w:val="000000"/>
          <w:szCs w:val="21"/>
        </w:rPr>
        <w:t>只，具体包括华富价值增长灵活配置混合型证券投资基金、华富量子生命力股票型证券投资基金、长信可转债债券型证券投资基金、招商保证金快线货币市场基金、平安大华日增利货币市场基金、新华鑫益灵活配置混合型证券投资基金、东吴中证可转换债券指数分级证券投资基金、平安大华财富宝货币市场基金、红塔红土盛世普益灵活配置混合型发起式证券投资基金、新华活期添利货币市场证券投资基金、民生加银优选股票型证券投资基金、新华增盈回报债券型证券投资基金、鹏华安盈宝货币市场基金、平安大华新鑫先锋混合型证券投资基金、新华万银多元策略灵活配置混合型证券投资基金、中海进取收益灵活配置混合型证券投资基金、东吴移动互联灵活配置混合型证券投资基金、平安大华智慧中国灵活配置混合型证券投资基金、国金通用鑫新灵活配置混合型证券投资基金（</w:t>
      </w:r>
      <w:r w:rsidRPr="0014490B">
        <w:rPr>
          <w:rFonts w:ascii="宋体" w:hAnsi="宋体"/>
          <w:color w:val="000000"/>
          <w:szCs w:val="21"/>
        </w:rPr>
        <w:t>LOF</w:t>
      </w:r>
      <w:r w:rsidRPr="0014490B">
        <w:rPr>
          <w:rFonts w:ascii="宋体" w:hAnsi="宋体" w:hint="eastAsia"/>
          <w:color w:val="000000"/>
          <w:szCs w:val="21"/>
        </w:rPr>
        <w:t>）、嘉合磐石混合型证券投资基金、平安大华鑫享混合型证券投资基金、广发聚盛灵活配置混合型证券投资基金、鹏华弘安灵活配置混合型证券投资基金、博时裕泰纯债债券型证券投资基金、德邦增利货币市场基金、中海顺鑫保本混合型证券投资基金、民生加银新收益债券型证券投资基金、东方红睿轩沪港深灵活配置混合型证券投资基金、浙商汇金转型升级灵活配置混合型证券投资基金、</w:t>
      </w:r>
      <w:r w:rsidRPr="0014490B">
        <w:rPr>
          <w:rFonts w:ascii="宋体" w:hAnsi="宋体" w:hint="eastAsia"/>
          <w:szCs w:val="21"/>
        </w:rPr>
        <w:t>广发安泽回报纯债债券型证券投资基金</w:t>
      </w:r>
      <w:r w:rsidRPr="0014490B">
        <w:rPr>
          <w:rFonts w:ascii="宋体" w:hAnsi="宋体" w:hint="eastAsia"/>
          <w:color w:val="000000"/>
          <w:szCs w:val="21"/>
        </w:rPr>
        <w:t>、博时裕景纯债债券型证券投资基金、平安大华惠盈纯债债券型证券投资基金、长城久源保本混合型证券投资基金、平安大华安盈保本混合型证券投资基金、嘉实稳盛债券型证券投资基金、长信先锐债券型证券投资基金、华润元大现金通货币市场基金、平安大华鼎信定期开放债券型证券投资基金、平安大华鼎泰灵活配置混合型证券投资基金、</w:t>
      </w:r>
      <w:r w:rsidRPr="0014490B">
        <w:rPr>
          <w:rFonts w:ascii="宋体" w:hAnsi="宋体" w:hint="eastAsia"/>
          <w:szCs w:val="21"/>
        </w:rPr>
        <w:t>南方荣欢定期开放混合型发起式证券投资基金、长信富平纯债一年定期开放债券型证券投资基金、中海合嘉增强收益债券型证券投资基金、富兰克林国海新活力灵活配置混合型证券投资基金、南方颐元债券型</w:t>
      </w:r>
      <w:r w:rsidRPr="0014490B">
        <w:rPr>
          <w:rFonts w:ascii="宋体" w:hAnsi="宋体" w:hint="eastAsia"/>
          <w:szCs w:val="21"/>
        </w:rPr>
        <w:lastRenderedPageBreak/>
        <w:t>发起式证券投资基金、鹏华弘惠灵活配置混合型证券投资基金、鹏华兴安定期开放灵活配置混合型证券投资基金、西部利得天添利货币市场基金、鹏华弘腾灵活配置混合型证券投资基金、博时安祺一年定期开放债券型证券投资基金、安信活期宝货币市场基金、广发鑫源灵活配置混合型证券投资基金、平安大华惠享纯债债券型证券投资基金、广发安悦回报灵活配置混合型证券投资基金、平安大华惠融纯债债券型证券投资基金、广发沪港深新起点股票型证券投资基金、平安大华惠金定期开放债券型证券投资基金、平安大华量化成长多策略灵活配置混合型证券投资基金、博时丰达纯债</w:t>
      </w:r>
      <w:r w:rsidRPr="0014490B">
        <w:rPr>
          <w:rFonts w:ascii="宋体" w:hAnsi="宋体"/>
          <w:szCs w:val="21"/>
        </w:rPr>
        <w:t>6</w:t>
      </w:r>
      <w:r w:rsidRPr="0014490B">
        <w:rPr>
          <w:rFonts w:ascii="宋体" w:hAnsi="宋体" w:hint="eastAsia"/>
          <w:szCs w:val="21"/>
        </w:rPr>
        <w:t>个月定期开放债券型发起式证券投资基金、英大睿鑫灵活配置混合型证券投资基金、西部利得新动力灵活配置混合型证券投资基金、天弘安盈灵活配置混合型证券投资基金、平安大华惠利纯债债券型证券投资基金、广发鑫盛</w:t>
      </w:r>
      <w:r w:rsidRPr="0014490B">
        <w:rPr>
          <w:rFonts w:ascii="宋体" w:hAnsi="宋体"/>
          <w:szCs w:val="21"/>
        </w:rPr>
        <w:t>18</w:t>
      </w:r>
      <w:r w:rsidRPr="0014490B">
        <w:rPr>
          <w:rFonts w:ascii="宋体" w:hAnsi="宋体" w:hint="eastAsia"/>
          <w:szCs w:val="21"/>
        </w:rPr>
        <w:t>个月定期开放混合型证券投资基金、长盛盛丰灵活配置混合型证券投资基金、鹏华丰盈债券型证券投资基金、平安大华惠隆纯债债券型证券投资基金、平安大华金管家货币市场基金、平安大华鑫利定期开放灵活配置混合型证券投资基金、国联安睿智定期开放混合型证券投资基金、华泰柏瑞享利灵活配置混合型证券投资基金、广发汇平一年定期开放债券型证券投资基金、华安新安平灵活配置混合型证券投资基金、平安大华中证沪港深高股息精选指数型证券投资基金、前海开源聚财宝货币市场基金、招商稳阳定期开放灵活配置混合型证券投资基金、长盛盛瑞灵活配置混合型证券投资基金、前海开源沪港深隆鑫灵活配置混合型证券投资基金、平安大华惠益纯债债券型证券投资基金、金鹰添荣纯债债券型证券投资基金、西部利得汇享债券型证券投资基金、鹏华丰玉债券型证券投资基金、华安睿安定期开放混合型证券投资基金、西部利得久安回报灵活配置混合型证券投资基金、广发汇安</w:t>
      </w:r>
      <w:r w:rsidRPr="0014490B">
        <w:rPr>
          <w:rFonts w:ascii="宋体" w:hAnsi="宋体"/>
          <w:szCs w:val="21"/>
        </w:rPr>
        <w:t>18</w:t>
      </w:r>
      <w:r w:rsidRPr="0014490B">
        <w:rPr>
          <w:rFonts w:ascii="宋体" w:hAnsi="宋体" w:hint="eastAsia"/>
          <w:szCs w:val="21"/>
        </w:rPr>
        <w:t>个月定期开放债券型证券投资基金、上投摩根岁岁金定期开放债券型证券投资基金、平安大华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大华惠泽纯债债券型证券投资基金、南方智造未来股票型证券投资基金、万家安弘纯债一年定期开放债券型证券投资基金、平安大华量化先锋混合型发起式证券投资基金、平安大华沪深</w:t>
      </w:r>
      <w:r w:rsidRPr="0014490B">
        <w:rPr>
          <w:rFonts w:ascii="宋体" w:hAnsi="宋体"/>
          <w:szCs w:val="21"/>
        </w:rPr>
        <w:t>300</w:t>
      </w:r>
      <w:r w:rsidRPr="0014490B">
        <w:rPr>
          <w:rFonts w:ascii="宋体" w:hAnsi="宋体" w:hint="eastAsia"/>
          <w:szCs w:val="21"/>
        </w:rPr>
        <w:t>指数量化增强证券投资基金、平安大华合正定期开放纯债债券型发起式证券投资基金、嘉合磐通债券型证券投资基金、华夏鼎旺三个月定期开放债券型发起式证券投资基金、国泰安惠收益定期开放债券型证券投资基金、博时富安纯债</w:t>
      </w:r>
      <w:r w:rsidRPr="0014490B">
        <w:rPr>
          <w:rFonts w:ascii="宋体" w:hAnsi="宋体"/>
          <w:szCs w:val="21"/>
        </w:rPr>
        <w:t>3</w:t>
      </w:r>
      <w:r w:rsidRPr="0014490B">
        <w:rPr>
          <w:rFonts w:ascii="宋体" w:hAnsi="宋体" w:hint="eastAsia"/>
          <w:szCs w:val="21"/>
        </w:rPr>
        <w:t>个月定期开放债券型发起式证券投资基金、富荣福鑫灵活配置混合型证券投资基金、富荣福锦混合型证券投资基金、前海开源丰鑫灵活配置混合型证券投资基金、平安大华中证</w:t>
      </w:r>
      <w:r w:rsidRPr="0014490B">
        <w:rPr>
          <w:rFonts w:ascii="宋体" w:hAnsi="宋体"/>
          <w:szCs w:val="21"/>
        </w:rPr>
        <w:t>500</w:t>
      </w:r>
      <w:r w:rsidRPr="0014490B">
        <w:rPr>
          <w:rFonts w:ascii="宋体" w:hAnsi="宋体" w:hint="eastAsia"/>
          <w:szCs w:val="21"/>
        </w:rPr>
        <w:t>交易型开放式指数证券投资基金（</w:t>
      </w:r>
      <w:r w:rsidRPr="0014490B">
        <w:rPr>
          <w:rFonts w:ascii="宋体" w:hAnsi="宋体"/>
          <w:szCs w:val="21"/>
        </w:rPr>
        <w:t>ETF</w:t>
      </w:r>
      <w:r w:rsidRPr="0014490B">
        <w:rPr>
          <w:rFonts w:ascii="宋体" w:hAnsi="宋体" w:hint="eastAsia"/>
          <w:szCs w:val="21"/>
        </w:rPr>
        <w:t>）、汇添富鑫成定期开放债券型发起式证券投资基金、平安大华合韵定期开放纯债债券型发起式证券投资基金、易方达恒安定期开放债券型发起式证券投资基金、中银证券汇享定期开放债券型发起式证券投资基金、平安大华</w:t>
      </w:r>
      <w:r w:rsidRPr="0014490B">
        <w:rPr>
          <w:rFonts w:ascii="宋体" w:hAnsi="宋体"/>
          <w:szCs w:val="21"/>
        </w:rPr>
        <w:t>MSCI</w:t>
      </w:r>
      <w:r w:rsidRPr="0014490B">
        <w:rPr>
          <w:rFonts w:ascii="宋体" w:hAnsi="宋体" w:hint="eastAsia"/>
          <w:szCs w:val="21"/>
        </w:rPr>
        <w:t>中</w:t>
      </w:r>
      <w:r w:rsidRPr="0014490B">
        <w:rPr>
          <w:rFonts w:ascii="宋体" w:hAnsi="宋体" w:hint="eastAsia"/>
          <w:szCs w:val="21"/>
        </w:rPr>
        <w:lastRenderedPageBreak/>
        <w:t>国</w:t>
      </w:r>
      <w:r w:rsidRPr="0014490B">
        <w:rPr>
          <w:rFonts w:ascii="宋体" w:hAnsi="宋体"/>
          <w:szCs w:val="21"/>
        </w:rPr>
        <w:t>A</w:t>
      </w:r>
      <w:r w:rsidRPr="0014490B">
        <w:rPr>
          <w:rFonts w:ascii="宋体" w:hAnsi="宋体" w:hint="eastAsia"/>
          <w:szCs w:val="21"/>
        </w:rPr>
        <w:t>股低波动交易型开放式指数证券投资基金（</w:t>
      </w:r>
      <w:r w:rsidRPr="0014490B">
        <w:rPr>
          <w:rFonts w:ascii="宋体" w:hAnsi="宋体"/>
          <w:szCs w:val="21"/>
        </w:rPr>
        <w:t>ETF</w:t>
      </w:r>
      <w:r w:rsidRPr="0014490B">
        <w:rPr>
          <w:rFonts w:ascii="宋体" w:hAnsi="宋体" w:hint="eastAsia"/>
          <w:szCs w:val="21"/>
        </w:rPr>
        <w:t>）、平安大华合悦定期开放债券型发起式证券投资基金。</w:t>
      </w:r>
    </w:p>
    <w:p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Pr="00EC0A75"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rsidR="00900744" w:rsidRPr="00DE07E1"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1、直销机构：富荣基金管理有限公司直销中心</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 xml:space="preserve">注册地址：广州市南沙区海滨路171号南沙金融大厦11楼1101之一J20室 </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办公地址：深圳市福田区深南大道2012号深圳证券交易所广场3501室</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法定代表人： 刘志军</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电话：0755-84356629</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传真：0755-</w:t>
      </w:r>
      <w:r w:rsidRPr="0014490B">
        <w:rPr>
          <w:rFonts w:ascii="宋体" w:hAnsi="宋体" w:cs="Arial" w:hint="eastAsia"/>
          <w:kern w:val="0"/>
          <w:szCs w:val="21"/>
        </w:rPr>
        <w:t>83230902</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客服电话：4006855600</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网址：www.furamc.com.cn</w:t>
      </w:r>
    </w:p>
    <w:p w:rsidR="0014490B" w:rsidRP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4"/>
        <w:tblW w:w="8295" w:type="dxa"/>
        <w:tblLayout w:type="fixed"/>
        <w:tblLook w:val="04A0" w:firstRow="1" w:lastRow="0" w:firstColumn="1" w:lastColumn="0" w:noHBand="0" w:noVBand="1"/>
      </w:tblPr>
      <w:tblGrid>
        <w:gridCol w:w="675"/>
        <w:gridCol w:w="2581"/>
        <w:gridCol w:w="5039"/>
      </w:tblGrid>
      <w:tr w:rsidR="0014490B" w:rsidRPr="00FA6396" w:rsidTr="00B43CEA">
        <w:tc>
          <w:tcPr>
            <w:tcW w:w="675"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jc w:val="center"/>
              <w:rPr>
                <w:rFonts w:ascii="宋体" w:hAnsi="宋体" w:cs="Arial"/>
                <w:szCs w:val="21"/>
              </w:rPr>
            </w:pPr>
            <w:r w:rsidRPr="0014490B">
              <w:rPr>
                <w:rFonts w:ascii="宋体" w:hAnsi="宋体" w:cs="Arial" w:hint="eastAsia"/>
                <w:szCs w:val="21"/>
              </w:rPr>
              <w:t>序号</w:t>
            </w:r>
          </w:p>
        </w:tc>
        <w:tc>
          <w:tcPr>
            <w:tcW w:w="2581"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jc w:val="center"/>
              <w:rPr>
                <w:rFonts w:ascii="宋体" w:hAnsi="宋体" w:cs="Arial"/>
                <w:szCs w:val="21"/>
              </w:rPr>
            </w:pPr>
            <w:r w:rsidRPr="0014490B">
              <w:rPr>
                <w:rFonts w:ascii="宋体" w:hAnsi="宋体" w:cs="Arial" w:hint="eastAsia"/>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jc w:val="center"/>
              <w:rPr>
                <w:rFonts w:ascii="宋体" w:hAnsi="宋体" w:cs="Arial"/>
                <w:szCs w:val="21"/>
              </w:rPr>
            </w:pPr>
            <w:r w:rsidRPr="0014490B">
              <w:rPr>
                <w:rFonts w:ascii="宋体" w:hAnsi="宋体" w:cs="Arial" w:hint="eastAsia"/>
                <w:szCs w:val="21"/>
              </w:rPr>
              <w:t>代销机构信息</w:t>
            </w:r>
          </w:p>
        </w:tc>
      </w:tr>
      <w:tr w:rsidR="0014490B" w:rsidRPr="00C744F0" w:rsidTr="00B43CEA">
        <w:tc>
          <w:tcPr>
            <w:tcW w:w="675"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rPr>
                <w:rFonts w:ascii="宋体" w:hAnsi="宋体" w:cs="Arial"/>
                <w:szCs w:val="21"/>
              </w:rPr>
            </w:pPr>
            <w:r w:rsidRPr="0014490B">
              <w:rPr>
                <w:rFonts w:ascii="宋体" w:hAnsi="宋体" w:cs="Arial"/>
                <w:szCs w:val="21"/>
              </w:rPr>
              <w:t>1</w:t>
            </w:r>
          </w:p>
        </w:tc>
        <w:tc>
          <w:tcPr>
            <w:tcW w:w="2581"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rPr>
                <w:rFonts w:ascii="宋体" w:hAnsi="宋体" w:cs="Arial"/>
                <w:szCs w:val="21"/>
              </w:rPr>
            </w:pPr>
            <w:r w:rsidRPr="0014490B">
              <w:rPr>
                <w:rFonts w:ascii="宋体" w:hAnsi="宋体" w:cs="Arial" w:hint="eastAsia"/>
                <w:szCs w:val="21"/>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办公地址：内蒙古包头市钢铁大街6号</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w:t>
            </w:r>
            <w:r w:rsidRPr="0014490B">
              <w:rPr>
                <w:rFonts w:ascii="宋体" w:hAnsi="宋体" w:cs="Arial"/>
                <w:szCs w:val="21"/>
              </w:rPr>
              <w:t xml:space="preserve"> 95352</w:t>
            </w:r>
          </w:p>
          <w:p w:rsidR="0014490B" w:rsidRPr="0014490B" w:rsidRDefault="0014490B" w:rsidP="00B43CEA">
            <w:pPr>
              <w:spacing w:line="400" w:lineRule="exact"/>
              <w:jc w:val="left"/>
              <w:rPr>
                <w:rFonts w:ascii="宋体" w:hAnsi="宋体" w:cs="Arial"/>
                <w:szCs w:val="21"/>
              </w:rPr>
            </w:pPr>
            <w:r w:rsidRPr="0014490B">
              <w:rPr>
                <w:rFonts w:ascii="宋体" w:hAnsi="宋体" w:cs="Arial" w:hint="eastAsia"/>
                <w:szCs w:val="21"/>
              </w:rPr>
              <w:t>网站：</w:t>
            </w:r>
            <w:hyperlink r:id="rId10" w:history="1">
              <w:r w:rsidRPr="0014490B">
                <w:rPr>
                  <w:rFonts w:ascii="宋体" w:hAnsi="宋体" w:cs="Arial"/>
                  <w:szCs w:val="21"/>
                </w:rPr>
                <w:t>www.bsb.com.cn</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2</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平安证券股份有限公司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 xml:space="preserve">注册（办公）地址：深圳市福田中心区金田路4036号荣超大厦16-20层 </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 xml:space="preserve">95511-8 </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stock.pingan.com</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3</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世纪证券有限责任公司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注册（办公）地址：深圳市福田区深南大道招商银行大厦</w:t>
            </w:r>
            <w:r w:rsidRPr="0014490B">
              <w:rPr>
                <w:rFonts w:ascii="宋体" w:hAnsi="宋体" w:cs="Arial"/>
                <w:szCs w:val="21"/>
              </w:rPr>
              <w:t>40-42</w:t>
            </w:r>
            <w:r w:rsidRPr="0014490B">
              <w:rPr>
                <w:rFonts w:ascii="宋体" w:hAnsi="宋体" w:cs="Arial" w:hint="eastAsia"/>
                <w:szCs w:val="21"/>
              </w:rPr>
              <w:t>层</w:t>
            </w:r>
          </w:p>
          <w:p w:rsidR="0014490B" w:rsidRPr="0014490B" w:rsidRDefault="0014490B" w:rsidP="00B43CEA">
            <w:pPr>
              <w:spacing w:line="360" w:lineRule="auto"/>
              <w:rPr>
                <w:rFonts w:ascii="宋体" w:hAnsi="宋体" w:cs="Arial"/>
                <w:szCs w:val="21"/>
              </w:rPr>
            </w:pPr>
            <w:r w:rsidRPr="0014490B">
              <w:rPr>
                <w:rFonts w:ascii="宋体" w:hAnsi="宋体" w:cs="Arial" w:hint="eastAsia"/>
                <w:szCs w:val="21"/>
              </w:rPr>
              <w:t>客服电话：</w:t>
            </w:r>
            <w:r w:rsidRPr="0014490B">
              <w:rPr>
                <w:rFonts w:ascii="宋体" w:hAnsi="宋体" w:cs="Arial"/>
                <w:szCs w:val="21"/>
              </w:rPr>
              <w:t>4008323000</w:t>
            </w:r>
          </w:p>
          <w:p w:rsidR="0014490B" w:rsidRPr="0014490B" w:rsidRDefault="0014490B" w:rsidP="00B43CEA">
            <w:pPr>
              <w:spacing w:line="400" w:lineRule="exact"/>
              <w:jc w:val="left"/>
              <w:rPr>
                <w:rFonts w:ascii="宋体" w:hAnsi="宋体" w:cs="Arial"/>
                <w:szCs w:val="21"/>
              </w:rPr>
            </w:pPr>
            <w:r w:rsidRPr="0014490B">
              <w:rPr>
                <w:rFonts w:ascii="宋体" w:hAnsi="宋体" w:cs="Arial" w:hint="eastAsia"/>
                <w:szCs w:val="21"/>
              </w:rPr>
              <w:t>网站：</w:t>
            </w:r>
            <w:r w:rsidRPr="0014490B" w:rsidDel="009A50FB">
              <w:rPr>
                <w:rFonts w:ascii="宋体" w:hAnsi="宋体" w:cs="Arial"/>
                <w:szCs w:val="21"/>
              </w:rPr>
              <w:t xml:space="preserve"> </w:t>
            </w:r>
            <w:hyperlink r:id="rId11" w:history="1">
              <w:r w:rsidRPr="0014490B">
                <w:rPr>
                  <w:rFonts w:ascii="宋体" w:hAnsi="宋体" w:cs="Arial"/>
                  <w:szCs w:val="21"/>
                </w:rPr>
                <w:t>http://www.csco.com.cn</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4</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上海天天基金销售有限公司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w:t>
            </w:r>
            <w:r w:rsidRPr="0014490B">
              <w:rPr>
                <w:rFonts w:ascii="宋体" w:hAnsi="宋体" w:cs="Arial"/>
                <w:szCs w:val="21"/>
              </w:rPr>
              <w:t xml:space="preserve"> </w:t>
            </w:r>
            <w:r w:rsidRPr="0014490B">
              <w:rPr>
                <w:rFonts w:ascii="宋体" w:hAnsi="宋体" w:cs="Arial" w:hint="eastAsia"/>
                <w:szCs w:val="21"/>
              </w:rPr>
              <w:t>上海市徐汇区宛平南路</w:t>
            </w:r>
            <w:r w:rsidRPr="0014490B">
              <w:rPr>
                <w:rFonts w:ascii="宋体" w:hAnsi="宋体" w:cs="Arial"/>
                <w:szCs w:val="21"/>
              </w:rPr>
              <w:t>88</w:t>
            </w:r>
            <w:r w:rsidRPr="0014490B">
              <w:rPr>
                <w:rFonts w:ascii="宋体" w:hAnsi="宋体" w:cs="Arial" w:hint="eastAsia"/>
                <w:szCs w:val="21"/>
              </w:rPr>
              <w:t>号金座（北楼）</w:t>
            </w:r>
            <w:r w:rsidRPr="0014490B">
              <w:rPr>
                <w:rFonts w:ascii="宋体" w:hAnsi="宋体" w:cs="Arial"/>
                <w:szCs w:val="21"/>
              </w:rPr>
              <w:t>25</w:t>
            </w:r>
            <w:r w:rsidRPr="0014490B">
              <w:rPr>
                <w:rFonts w:ascii="宋体" w:hAnsi="宋体" w:cs="Arial" w:hint="eastAsia"/>
                <w:szCs w:val="21"/>
              </w:rPr>
              <w:t>层</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客服电话：400-1818-188</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网址：http://www.1234567.com.cn</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5</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珠海盈米财富管理有限公司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办公地址：广州市海珠区琶洲大道东1号保利国际广场南塔12楼B1201-1203</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客户服务电话：020-89629066</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w:t>
            </w:r>
            <w:hyperlink r:id="rId12" w:history="1">
              <w:r w:rsidRPr="0014490B">
                <w:rPr>
                  <w:rFonts w:ascii="宋体" w:hAnsi="宋体" w:cs="Arial"/>
                  <w:szCs w:val="21"/>
                </w:rPr>
                <w:t>www.yingmi.cn</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lastRenderedPageBreak/>
              <w:t>6</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上海长量基金销售投资顾问有限公司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办公地址：上海市浦东新区东方路1267号11层</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客服电话：400-820-2899</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公司网站：</w:t>
            </w:r>
            <w:r w:rsidRPr="0014490B">
              <w:rPr>
                <w:rFonts w:ascii="宋体" w:hAnsi="宋体" w:cs="Arial"/>
                <w:szCs w:val="21"/>
              </w:rPr>
              <w:t xml:space="preserve"> www.erichfund.com</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7</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深圳市新兰德证券投资咨询有限公司</w:t>
            </w:r>
          </w:p>
        </w:tc>
        <w:tc>
          <w:tcPr>
            <w:tcW w:w="5039" w:type="dxa"/>
            <w:hideMark/>
          </w:tcPr>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办公地址：北京市西城区宣武门外大街</w:t>
            </w:r>
            <w:r w:rsidRPr="0014490B">
              <w:rPr>
                <w:rFonts w:ascii="宋体" w:hAnsi="宋体" w:cs="Arial"/>
                <w:szCs w:val="21"/>
              </w:rPr>
              <w:t>10</w:t>
            </w:r>
            <w:r w:rsidRPr="0014490B">
              <w:rPr>
                <w:rFonts w:ascii="宋体" w:hAnsi="宋体" w:cs="Arial" w:hint="eastAsia"/>
                <w:szCs w:val="21"/>
              </w:rPr>
              <w:t>号庄胜广场中央办公楼东翼</w:t>
            </w:r>
            <w:r w:rsidRPr="0014490B">
              <w:rPr>
                <w:rFonts w:ascii="宋体" w:hAnsi="宋体" w:cs="Arial"/>
                <w:szCs w:val="21"/>
              </w:rPr>
              <w:t>7</w:t>
            </w:r>
            <w:r w:rsidRPr="0014490B">
              <w:rPr>
                <w:rFonts w:ascii="宋体" w:hAnsi="宋体" w:cs="Arial" w:hint="eastAsia"/>
                <w:szCs w:val="21"/>
              </w:rPr>
              <w:t>层</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400-166-1188</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http://8.jrj.com.cn/</w:t>
            </w:r>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8</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泰诚财富基金销售（大连）有限公司</w:t>
            </w:r>
          </w:p>
        </w:tc>
        <w:tc>
          <w:tcPr>
            <w:tcW w:w="5039" w:type="dxa"/>
            <w:hideMark/>
          </w:tcPr>
          <w:p w:rsidR="0014490B" w:rsidRPr="0014490B" w:rsidRDefault="0014490B" w:rsidP="00B43CEA">
            <w:pPr>
              <w:tabs>
                <w:tab w:val="num" w:pos="540"/>
              </w:tabs>
              <w:adjustRightInd w:val="0"/>
              <w:snapToGrid w:val="0"/>
              <w:spacing w:line="360" w:lineRule="auto"/>
              <w:rPr>
                <w:rFonts w:ascii="宋体" w:hAnsi="宋体" w:cs="Arial"/>
                <w:szCs w:val="21"/>
              </w:rPr>
            </w:pPr>
            <w:r w:rsidRPr="0014490B">
              <w:rPr>
                <w:rFonts w:ascii="宋体" w:hAnsi="宋体" w:cs="Arial" w:hint="eastAsia"/>
                <w:szCs w:val="21"/>
              </w:rPr>
              <w:t>注册（办公）地址：辽宁省大连市沙河口区星海中龙园3号</w:t>
            </w:r>
          </w:p>
          <w:p w:rsidR="0014490B" w:rsidRPr="0014490B" w:rsidRDefault="0014490B" w:rsidP="00B43CEA">
            <w:pPr>
              <w:spacing w:line="360" w:lineRule="auto"/>
              <w:jc w:val="left"/>
              <w:rPr>
                <w:rFonts w:ascii="宋体" w:hAnsi="宋体" w:cs="Arial"/>
                <w:szCs w:val="21"/>
              </w:rPr>
            </w:pPr>
            <w:r w:rsidRPr="0014490B">
              <w:rPr>
                <w:rFonts w:ascii="宋体" w:hAnsi="宋体" w:cs="Arial" w:hint="eastAsia"/>
                <w:szCs w:val="21"/>
              </w:rPr>
              <w:t>客户服务电话：4006411999</w:t>
            </w:r>
          </w:p>
          <w:p w:rsidR="0014490B" w:rsidRPr="0014490B" w:rsidRDefault="0014490B" w:rsidP="00B43CEA">
            <w:pPr>
              <w:spacing w:line="400" w:lineRule="exact"/>
              <w:jc w:val="left"/>
              <w:rPr>
                <w:rFonts w:ascii="宋体" w:hAnsi="宋体" w:cs="Arial"/>
                <w:szCs w:val="21"/>
              </w:rPr>
            </w:pPr>
            <w:r w:rsidRPr="0014490B">
              <w:rPr>
                <w:rFonts w:ascii="宋体" w:hAnsi="宋体" w:cs="Arial" w:hint="eastAsia"/>
                <w:szCs w:val="21"/>
              </w:rPr>
              <w:t>网址：</w:t>
            </w:r>
            <w:hyperlink r:id="rId13" w:history="1">
              <w:r w:rsidRPr="0014490B">
                <w:rPr>
                  <w:rFonts w:ascii="宋体" w:hAnsi="宋体" w:cs="Arial"/>
                  <w:szCs w:val="21"/>
                </w:rPr>
                <w:t>www.taichengcaifu.com</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9</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济安财富（北京）基金销售有限公司</w:t>
            </w:r>
          </w:p>
        </w:tc>
        <w:tc>
          <w:tcPr>
            <w:tcW w:w="5039" w:type="dxa"/>
            <w:hideMark/>
          </w:tcPr>
          <w:p w:rsidR="0014490B" w:rsidRPr="0014490B" w:rsidRDefault="0014490B" w:rsidP="00B43CEA">
            <w:pPr>
              <w:widowControl/>
              <w:spacing w:line="360" w:lineRule="auto"/>
              <w:jc w:val="left"/>
              <w:rPr>
                <w:rFonts w:ascii="宋体" w:hAnsi="宋体" w:cs="Arial"/>
                <w:szCs w:val="21"/>
              </w:rPr>
            </w:pPr>
            <w:r w:rsidRPr="0014490B">
              <w:rPr>
                <w:rFonts w:ascii="宋体" w:hAnsi="宋体" w:cs="Arial" w:hint="eastAsia"/>
                <w:szCs w:val="21"/>
              </w:rPr>
              <w:t>办公地址：北京市朝阳区东三环中路7号北京财富中心A座46层</w:t>
            </w:r>
            <w:r w:rsidRPr="0014490B" w:rsidDel="00E15C1D">
              <w:rPr>
                <w:rFonts w:ascii="宋体" w:hAnsi="宋体" w:cs="Arial"/>
                <w:szCs w:val="21"/>
              </w:rPr>
              <w:t xml:space="preserve"> </w:t>
            </w:r>
          </w:p>
          <w:p w:rsidR="0014490B" w:rsidRPr="0014490B" w:rsidRDefault="0014490B" w:rsidP="00B43CEA">
            <w:pPr>
              <w:widowControl/>
              <w:spacing w:line="360" w:lineRule="auto"/>
              <w:jc w:val="left"/>
              <w:rPr>
                <w:rFonts w:ascii="宋体" w:hAnsi="宋体" w:cs="Arial"/>
                <w:szCs w:val="21"/>
              </w:rPr>
            </w:pPr>
            <w:r w:rsidRPr="0014490B">
              <w:rPr>
                <w:rFonts w:ascii="宋体" w:hAnsi="宋体" w:cs="Arial" w:hint="eastAsia"/>
                <w:szCs w:val="21"/>
              </w:rPr>
              <w:t>客户服务电话：</w:t>
            </w:r>
            <w:r w:rsidRPr="0014490B">
              <w:rPr>
                <w:rFonts w:ascii="宋体" w:hAnsi="宋体" w:cs="Arial"/>
                <w:szCs w:val="21"/>
              </w:rPr>
              <w:t>400-673-7010</w:t>
            </w:r>
          </w:p>
          <w:p w:rsidR="0014490B" w:rsidRPr="0014490B" w:rsidRDefault="0014490B" w:rsidP="00B43CEA">
            <w:pPr>
              <w:spacing w:line="400" w:lineRule="exact"/>
              <w:jc w:val="left"/>
              <w:rPr>
                <w:rFonts w:ascii="宋体" w:hAnsi="宋体" w:cs="Arial"/>
                <w:szCs w:val="21"/>
              </w:rPr>
            </w:pPr>
            <w:r w:rsidRPr="0014490B">
              <w:rPr>
                <w:rFonts w:ascii="宋体" w:hAnsi="宋体" w:cs="Arial" w:hint="eastAsia"/>
                <w:szCs w:val="21"/>
              </w:rPr>
              <w:t>网址：</w:t>
            </w:r>
            <w:hyperlink r:id="rId14" w:history="1">
              <w:r w:rsidRPr="0014490B">
                <w:rPr>
                  <w:rFonts w:ascii="宋体" w:hAnsi="宋体" w:cstheme="minorBidi"/>
                  <w:szCs w:val="21"/>
                </w:rPr>
                <w:t>www.jianfortune.com</w:t>
              </w:r>
            </w:hyperlink>
          </w:p>
        </w:tc>
      </w:tr>
      <w:tr w:rsidR="0014490B" w:rsidRPr="00C744F0" w:rsidTr="00B43CEA">
        <w:tc>
          <w:tcPr>
            <w:tcW w:w="675" w:type="dxa"/>
            <w:hideMark/>
          </w:tcPr>
          <w:p w:rsidR="0014490B" w:rsidRPr="0014490B" w:rsidRDefault="0014490B" w:rsidP="00B43CEA">
            <w:pPr>
              <w:rPr>
                <w:rFonts w:ascii="宋体" w:hAnsi="宋体" w:cs="Arial"/>
                <w:szCs w:val="21"/>
              </w:rPr>
            </w:pPr>
            <w:r w:rsidRPr="0014490B">
              <w:rPr>
                <w:rFonts w:ascii="宋体" w:hAnsi="宋体" w:cs="Arial"/>
                <w:szCs w:val="21"/>
              </w:rPr>
              <w:t>10</w:t>
            </w:r>
          </w:p>
        </w:tc>
        <w:tc>
          <w:tcPr>
            <w:tcW w:w="2581" w:type="dxa"/>
            <w:hideMark/>
          </w:tcPr>
          <w:p w:rsidR="0014490B" w:rsidRPr="0014490B" w:rsidRDefault="0014490B" w:rsidP="00B43CEA">
            <w:pPr>
              <w:rPr>
                <w:rFonts w:ascii="宋体" w:hAnsi="宋体" w:cs="Arial"/>
                <w:szCs w:val="21"/>
              </w:rPr>
            </w:pPr>
            <w:r w:rsidRPr="0014490B">
              <w:rPr>
                <w:rFonts w:ascii="宋体" w:hAnsi="宋体" w:cs="Arial" w:hint="eastAsia"/>
                <w:szCs w:val="21"/>
              </w:rPr>
              <w:t>金惠家保险代理有限公司</w:t>
            </w:r>
          </w:p>
        </w:tc>
        <w:tc>
          <w:tcPr>
            <w:tcW w:w="5039" w:type="dxa"/>
            <w:hideMark/>
          </w:tcPr>
          <w:p w:rsidR="0014490B" w:rsidRPr="0014490B" w:rsidRDefault="0014490B" w:rsidP="00B43CEA">
            <w:pPr>
              <w:widowControl/>
              <w:spacing w:line="360" w:lineRule="auto"/>
              <w:jc w:val="left"/>
              <w:rPr>
                <w:rFonts w:ascii="宋体" w:hAnsi="宋体" w:cs="Arial"/>
                <w:szCs w:val="21"/>
              </w:rPr>
            </w:pPr>
            <w:r w:rsidRPr="0014490B">
              <w:rPr>
                <w:rFonts w:ascii="宋体" w:hAnsi="宋体" w:cs="Arial" w:hint="eastAsia"/>
                <w:szCs w:val="21"/>
              </w:rPr>
              <w:t>注册(办公)地址：</w:t>
            </w:r>
            <w:r w:rsidRPr="0014490B">
              <w:rPr>
                <w:rFonts w:ascii="宋体" w:hAnsi="宋体" w:cs="Arial"/>
                <w:szCs w:val="21"/>
              </w:rPr>
              <w:t xml:space="preserve"> </w:t>
            </w:r>
            <w:r w:rsidRPr="0014490B">
              <w:rPr>
                <w:rFonts w:ascii="宋体" w:hAnsi="宋体" w:cs="Arial" w:hint="eastAsia"/>
                <w:szCs w:val="21"/>
              </w:rPr>
              <w:t>北京市西城区阜成门外大街2号19层A2017</w:t>
            </w:r>
          </w:p>
          <w:p w:rsidR="0014490B" w:rsidRPr="0014490B" w:rsidRDefault="0014490B" w:rsidP="00B43CEA">
            <w:pPr>
              <w:widowControl/>
              <w:spacing w:line="360" w:lineRule="auto"/>
              <w:jc w:val="left"/>
              <w:rPr>
                <w:rFonts w:ascii="宋体" w:hAnsi="宋体" w:cs="Arial"/>
                <w:szCs w:val="21"/>
              </w:rPr>
            </w:pPr>
            <w:r w:rsidRPr="0014490B">
              <w:rPr>
                <w:rFonts w:ascii="宋体" w:hAnsi="宋体" w:cs="Arial" w:hint="eastAsia"/>
                <w:szCs w:val="21"/>
              </w:rPr>
              <w:t>客户服务电话：400-1060101</w:t>
            </w:r>
          </w:p>
          <w:p w:rsidR="0014490B" w:rsidRPr="0014490B" w:rsidRDefault="0014490B" w:rsidP="00B43CEA">
            <w:pPr>
              <w:widowControl/>
              <w:spacing w:line="360" w:lineRule="auto"/>
              <w:jc w:val="left"/>
              <w:rPr>
                <w:rFonts w:ascii="宋体" w:hAnsi="宋体" w:cs="Arial"/>
                <w:szCs w:val="21"/>
              </w:rPr>
            </w:pPr>
            <w:r w:rsidRPr="0014490B">
              <w:rPr>
                <w:rFonts w:ascii="宋体" w:hAnsi="宋体" w:cs="Arial" w:hint="eastAsia"/>
                <w:szCs w:val="21"/>
              </w:rPr>
              <w:t>网址：</w:t>
            </w:r>
            <w:r w:rsidRPr="0014490B">
              <w:rPr>
                <w:rFonts w:ascii="宋体" w:hAnsi="宋体" w:cs="Arial"/>
                <w:szCs w:val="21"/>
              </w:rPr>
              <w:t xml:space="preserve"> www.jhjfund.com</w:t>
            </w:r>
          </w:p>
        </w:tc>
      </w:tr>
      <w:tr w:rsidR="00E97F15" w:rsidRPr="00C744F0" w:rsidTr="00B43CEA">
        <w:tc>
          <w:tcPr>
            <w:tcW w:w="675" w:type="dxa"/>
          </w:tcPr>
          <w:p w:rsidR="00E97F15" w:rsidRPr="0014490B" w:rsidRDefault="00E97F15" w:rsidP="00B43CEA">
            <w:pPr>
              <w:rPr>
                <w:rFonts w:ascii="宋体" w:hAnsi="宋体" w:cs="Arial"/>
                <w:szCs w:val="21"/>
              </w:rPr>
            </w:pPr>
            <w:r>
              <w:rPr>
                <w:rFonts w:ascii="宋体" w:hAnsi="宋体" w:cs="Arial" w:hint="eastAsia"/>
                <w:szCs w:val="21"/>
              </w:rPr>
              <w:t>11</w:t>
            </w:r>
          </w:p>
        </w:tc>
        <w:tc>
          <w:tcPr>
            <w:tcW w:w="2581" w:type="dxa"/>
          </w:tcPr>
          <w:p w:rsidR="00E97F15" w:rsidRPr="0014490B" w:rsidRDefault="00E97F15" w:rsidP="00B43CEA">
            <w:pPr>
              <w:rPr>
                <w:rFonts w:ascii="宋体" w:hAnsi="宋体" w:cs="Arial"/>
                <w:szCs w:val="21"/>
              </w:rPr>
            </w:pPr>
            <w:r w:rsidRPr="00E97F15">
              <w:rPr>
                <w:rFonts w:ascii="宋体" w:hAnsi="宋体" w:cs="Arial" w:hint="eastAsia"/>
                <w:szCs w:val="21"/>
              </w:rPr>
              <w:t>民</w:t>
            </w:r>
            <w:proofErr w:type="gramStart"/>
            <w:r w:rsidRPr="00E97F15">
              <w:rPr>
                <w:rFonts w:ascii="宋体" w:hAnsi="宋体" w:cs="Arial" w:hint="eastAsia"/>
                <w:szCs w:val="21"/>
              </w:rPr>
              <w:t>商基金</w:t>
            </w:r>
            <w:proofErr w:type="gramEnd"/>
            <w:r w:rsidRPr="00E97F15">
              <w:rPr>
                <w:rFonts w:ascii="宋体" w:hAnsi="宋体" w:cs="Arial" w:hint="eastAsia"/>
                <w:szCs w:val="21"/>
              </w:rPr>
              <w:t>销售(上海)有限公司</w:t>
            </w:r>
          </w:p>
        </w:tc>
        <w:tc>
          <w:tcPr>
            <w:tcW w:w="5039" w:type="dxa"/>
          </w:tcPr>
          <w:p w:rsidR="00E97F15" w:rsidRPr="00E97F15" w:rsidRDefault="00E97F15" w:rsidP="00E97F15">
            <w:pPr>
              <w:widowControl/>
              <w:spacing w:line="360" w:lineRule="auto"/>
              <w:jc w:val="left"/>
              <w:rPr>
                <w:rFonts w:ascii="宋体" w:hAnsi="宋体" w:cs="Arial"/>
                <w:szCs w:val="21"/>
              </w:rPr>
            </w:pPr>
            <w:r w:rsidRPr="00E97F15">
              <w:rPr>
                <w:rFonts w:ascii="宋体" w:hAnsi="宋体" w:cs="Arial" w:hint="eastAsia"/>
                <w:szCs w:val="21"/>
              </w:rPr>
              <w:t>注册(办公)地址：上海黄浦区北京东路666号H区（东座）6楼A31室</w:t>
            </w:r>
          </w:p>
          <w:p w:rsidR="00E97F15" w:rsidRPr="00E97F15" w:rsidRDefault="00E97F15" w:rsidP="00E97F15">
            <w:pPr>
              <w:widowControl/>
              <w:spacing w:line="360" w:lineRule="auto"/>
              <w:jc w:val="left"/>
              <w:rPr>
                <w:rFonts w:ascii="宋体" w:hAnsi="宋体" w:cs="Arial"/>
                <w:szCs w:val="21"/>
              </w:rPr>
            </w:pPr>
            <w:r w:rsidRPr="00E97F15">
              <w:rPr>
                <w:rFonts w:ascii="宋体" w:hAnsi="宋体" w:cs="Arial" w:hint="eastAsia"/>
                <w:szCs w:val="21"/>
              </w:rPr>
              <w:t>客户服务电话：021-50206003</w:t>
            </w:r>
          </w:p>
          <w:p w:rsidR="00E97F15" w:rsidRPr="0014490B" w:rsidRDefault="00E97F15" w:rsidP="00E97F15">
            <w:pPr>
              <w:widowControl/>
              <w:spacing w:line="360" w:lineRule="auto"/>
              <w:jc w:val="left"/>
              <w:rPr>
                <w:rFonts w:ascii="宋体" w:hAnsi="宋体" w:cs="Arial"/>
                <w:szCs w:val="21"/>
              </w:rPr>
            </w:pPr>
            <w:r w:rsidRPr="00E97F15">
              <w:rPr>
                <w:rFonts w:ascii="宋体" w:hAnsi="宋体" w:cs="Arial" w:hint="eastAsia"/>
                <w:szCs w:val="21"/>
              </w:rPr>
              <w:t>网址：http://www.msftec.com</w:t>
            </w:r>
          </w:p>
        </w:tc>
      </w:tr>
    </w:tbl>
    <w:p w:rsidR="00BA1D58" w:rsidRPr="0014490B" w:rsidRDefault="00BA1D58" w:rsidP="00DE07E1">
      <w:pPr>
        <w:spacing w:line="360" w:lineRule="auto"/>
        <w:ind w:firstLineChars="200" w:firstLine="420"/>
        <w:rPr>
          <w:rFonts w:ascii="宋体" w:hAnsi="宋体"/>
          <w:color w:val="000000"/>
          <w:kern w:val="0"/>
          <w:szCs w:val="21"/>
        </w:rPr>
      </w:pP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名称：富荣基金管理有限公司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住所：广东省广州市南沙区海滨路171号南沙金融大厦11楼1101之一J20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办公地址：深圳市福田区深南大道2012号深圳证券交易所广场3501室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 xml:space="preserve">法定代表人：刘志军 </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联系人：黄文飞</w:t>
      </w:r>
    </w:p>
    <w:p w:rsidR="0014490B" w:rsidRPr="0014490B" w:rsidRDefault="0014490B" w:rsidP="0014490B">
      <w:pPr>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t>电话： 0755-84356604</w:t>
      </w:r>
    </w:p>
    <w:p w:rsidR="0014490B" w:rsidRPr="0014490B" w:rsidRDefault="0014490B" w:rsidP="0014490B">
      <w:pPr>
        <w:adjustRightInd w:val="0"/>
        <w:snapToGrid w:val="0"/>
        <w:spacing w:line="360" w:lineRule="auto"/>
        <w:ind w:firstLineChars="200" w:firstLine="420"/>
        <w:rPr>
          <w:rFonts w:asciiTheme="minorEastAsia" w:hAnsiTheme="minorEastAsia" w:cs="Arial"/>
          <w:color w:val="000000"/>
          <w:kern w:val="0"/>
          <w:szCs w:val="21"/>
        </w:rPr>
      </w:pPr>
      <w:r w:rsidRPr="0014490B">
        <w:rPr>
          <w:rFonts w:asciiTheme="minorEastAsia" w:hAnsiTheme="minorEastAsia" w:cs="Arial" w:hint="eastAsia"/>
          <w:color w:val="000000"/>
          <w:kern w:val="0"/>
          <w:szCs w:val="21"/>
        </w:rPr>
        <w:lastRenderedPageBreak/>
        <w:t>传真： 0755-83230787</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（三）出具法律意见书的律师事务所</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名称：上海市通力律师事务所</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住所：上海市银城中路68号时代金融中心19楼</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办公地址：上海市银城中路68号时代金融中心19楼</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负责人：俞卫锋</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电话：021-31358666</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传真：021-31358600</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经办律师：陆奇、安冬</w:t>
      </w:r>
    </w:p>
    <w:p w:rsidR="0014490B" w:rsidRPr="0014490B" w:rsidRDefault="0014490B" w:rsidP="0014490B">
      <w:pPr>
        <w:adjustRightInd w:val="0"/>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联系人： 陆奇</w:t>
      </w:r>
    </w:p>
    <w:p w:rsidR="00900744" w:rsidRPr="0014490B" w:rsidRDefault="00900744" w:rsidP="00DE07E1">
      <w:pPr>
        <w:spacing w:line="360" w:lineRule="auto"/>
        <w:ind w:firstLineChars="200" w:firstLine="420"/>
        <w:rPr>
          <w:rFonts w:ascii="宋体" w:hAnsi="宋体"/>
          <w:color w:val="000000"/>
          <w:kern w:val="0"/>
          <w:szCs w:val="21"/>
        </w:rPr>
      </w:pPr>
      <w:r w:rsidRPr="0014490B">
        <w:rPr>
          <w:rFonts w:ascii="宋体" w:hAnsi="宋体" w:hint="eastAsia"/>
          <w:color w:val="000000"/>
          <w:kern w:val="0"/>
          <w:szCs w:val="21"/>
        </w:rPr>
        <w:t>（四）审计基金财产的会计师事务所</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名称：普华永道中天会计师事务所（特殊普通合伙）</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住所：上海市浦东新区陆家嘴环路1318号星展银行大厦6楼</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办公地址：上海市黄浦区湖滨路202号普华永道中心11楼</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法定代表人：李丹</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电话：（021）2323 8888</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传真：（021）2323 8800</w:t>
      </w:r>
    </w:p>
    <w:p w:rsidR="0014490B" w:rsidRPr="0014490B" w:rsidRDefault="0014490B" w:rsidP="0014490B">
      <w:pPr>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签字注册会计师：曹翠丽、边晓红</w:t>
      </w:r>
    </w:p>
    <w:p w:rsidR="0014490B" w:rsidRPr="0014490B" w:rsidRDefault="0014490B" w:rsidP="0014490B">
      <w:pPr>
        <w:adjustRightInd w:val="0"/>
        <w:snapToGrid w:val="0"/>
        <w:spacing w:line="360" w:lineRule="auto"/>
        <w:ind w:firstLineChars="200" w:firstLine="420"/>
        <w:rPr>
          <w:rFonts w:asciiTheme="minorEastAsia" w:hAnsiTheme="minorEastAsia" w:cs="Arial"/>
          <w:kern w:val="0"/>
          <w:szCs w:val="21"/>
        </w:rPr>
      </w:pPr>
      <w:r w:rsidRPr="0014490B">
        <w:rPr>
          <w:rFonts w:asciiTheme="minorEastAsia" w:hAnsiTheme="minorEastAsia" w:cs="Arial" w:hint="eastAsia"/>
          <w:kern w:val="0"/>
          <w:szCs w:val="21"/>
        </w:rPr>
        <w:t>联系人：边晓红</w:t>
      </w: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14490B" w:rsidRDefault="0014490B" w:rsidP="00DE07E1">
      <w:pPr>
        <w:spacing w:line="360" w:lineRule="auto"/>
        <w:ind w:firstLineChars="200" w:firstLine="420"/>
        <w:rPr>
          <w:rFonts w:ascii="宋体" w:hAnsi="宋体"/>
          <w:color w:val="000000"/>
          <w:kern w:val="0"/>
          <w:szCs w:val="21"/>
        </w:rPr>
      </w:pPr>
    </w:p>
    <w:p w:rsidR="0014490B" w:rsidRDefault="0014490B" w:rsidP="00DE07E1">
      <w:pPr>
        <w:spacing w:line="360" w:lineRule="auto"/>
        <w:ind w:firstLineChars="200" w:firstLine="420"/>
        <w:rPr>
          <w:rFonts w:ascii="宋体" w:hAnsi="宋体"/>
          <w:color w:val="000000"/>
          <w:kern w:val="0"/>
          <w:szCs w:val="21"/>
        </w:rPr>
      </w:pPr>
    </w:p>
    <w:p w:rsidR="0014490B" w:rsidRDefault="0014490B" w:rsidP="00DE07E1">
      <w:pPr>
        <w:spacing w:line="360" w:lineRule="auto"/>
        <w:ind w:firstLineChars="200" w:firstLine="420"/>
        <w:rPr>
          <w:rFonts w:ascii="宋体" w:hAnsi="宋体"/>
          <w:color w:val="000000"/>
          <w:kern w:val="0"/>
          <w:szCs w:val="21"/>
        </w:rPr>
      </w:pPr>
    </w:p>
    <w:p w:rsidR="0014490B" w:rsidRPr="00DE07E1" w:rsidRDefault="0014490B" w:rsidP="00E97F15">
      <w:pPr>
        <w:spacing w:line="360" w:lineRule="auto"/>
        <w:rPr>
          <w:rFonts w:ascii="宋体" w:hAnsi="宋体"/>
          <w:color w:val="000000"/>
          <w:kern w:val="0"/>
          <w:szCs w:val="21"/>
        </w:rPr>
      </w:pPr>
    </w:p>
    <w:p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3126C7" w:rsidRPr="003126C7">
        <w:rPr>
          <w:rFonts w:ascii="宋体" w:hAnsi="宋体" w:hint="eastAsia"/>
          <w:color w:val="000000"/>
          <w:kern w:val="0"/>
          <w:szCs w:val="21"/>
        </w:rPr>
        <w:t>富荣福锦混合型证券投资基金</w:t>
      </w:r>
      <w:r w:rsidR="003126C7">
        <w:rPr>
          <w:rFonts w:ascii="宋体" w:hAnsi="宋体" w:hint="eastAsia"/>
          <w:color w:val="000000"/>
          <w:kern w:val="0"/>
          <w:szCs w:val="21"/>
        </w:rPr>
        <w:t>。</w:t>
      </w:r>
    </w:p>
    <w:p w:rsidR="0045798E" w:rsidRPr="00DE07E1" w:rsidRDefault="0045798E" w:rsidP="00DE07E1">
      <w:pPr>
        <w:ind w:firstLineChars="200" w:firstLine="420"/>
        <w:rPr>
          <w:rFonts w:ascii="宋体" w:hAnsi="宋体"/>
          <w:color w:val="000000"/>
          <w:kern w:val="0"/>
          <w:szCs w:val="21"/>
        </w:rPr>
      </w:pPr>
    </w:p>
    <w:p w:rsidR="0045798E" w:rsidRPr="003126C7" w:rsidRDefault="0045798E">
      <w:pPr>
        <w:ind w:firstLineChars="200" w:firstLine="480"/>
        <w:rPr>
          <w:rFonts w:ascii="宋体" w:hAnsi="宋体"/>
          <w:color w:val="000000"/>
          <w:kern w:val="0"/>
          <w:sz w:val="24"/>
        </w:rPr>
      </w:pPr>
    </w:p>
    <w:p w:rsidR="0045798E" w:rsidRDefault="0045798E"/>
    <w:p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3126C7" w:rsidRPr="003126C7">
        <w:rPr>
          <w:rFonts w:ascii="宋体" w:hAnsi="宋体" w:hint="eastAsia"/>
          <w:color w:val="000000"/>
          <w:kern w:val="0"/>
          <w:szCs w:val="21"/>
        </w:rPr>
        <w:t>混合型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1050ED" w:rsidRPr="00B43CEA" w:rsidRDefault="001050ED" w:rsidP="00DE07E1">
      <w:pPr>
        <w:adjustRightInd w:val="0"/>
        <w:snapToGrid w:val="0"/>
        <w:spacing w:line="360" w:lineRule="auto"/>
        <w:ind w:firstLineChars="200" w:firstLine="420"/>
        <w:rPr>
          <w:rFonts w:ascii="宋体" w:hAnsi="宋体" w:cs="Arial"/>
          <w:bCs/>
          <w:szCs w:val="21"/>
        </w:rPr>
      </w:pPr>
      <w:bookmarkStart w:id="23" w:name="_Toc88969271"/>
      <w:bookmarkEnd w:id="17"/>
      <w:bookmarkEnd w:id="18"/>
      <w:bookmarkEnd w:id="19"/>
      <w:bookmarkEnd w:id="20"/>
      <w:r w:rsidRPr="00B43CEA">
        <w:rPr>
          <w:rFonts w:ascii="宋体" w:hAnsi="宋体" w:cs="Arial" w:hint="eastAsia"/>
          <w:bCs/>
          <w:szCs w:val="21"/>
        </w:rPr>
        <w:t>（一）</w:t>
      </w:r>
      <w:r w:rsidRPr="00B43CEA">
        <w:rPr>
          <w:rFonts w:ascii="宋体" w:hAnsi="宋体" w:cs="Arial"/>
          <w:bCs/>
          <w:szCs w:val="21"/>
        </w:rPr>
        <w:t>投资目标</w:t>
      </w:r>
    </w:p>
    <w:p w:rsidR="003126C7" w:rsidRPr="00B43CEA" w:rsidRDefault="003126C7" w:rsidP="00B43CEA">
      <w:pPr>
        <w:adjustRightInd w:val="0"/>
        <w:snapToGrid w:val="0"/>
        <w:spacing w:line="360" w:lineRule="auto"/>
        <w:ind w:firstLineChars="200" w:firstLine="420"/>
        <w:rPr>
          <w:rFonts w:ascii="宋体" w:hAnsi="宋体"/>
          <w:bCs/>
          <w:szCs w:val="21"/>
        </w:rPr>
      </w:pPr>
      <w:r w:rsidRPr="00B43CEA">
        <w:rPr>
          <w:rFonts w:ascii="宋体" w:hAnsi="宋体" w:hint="eastAsia"/>
          <w:bCs/>
          <w:szCs w:val="21"/>
        </w:rPr>
        <w:t>本基金通过对多种投资策略的有机结合，在严格控制风险的基础上，力求取得超越基金业绩比较基准的收益。</w:t>
      </w:r>
    </w:p>
    <w:p w:rsidR="001050ED" w:rsidRPr="00B43CEA"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3126C7" w:rsidRPr="00B43CEA" w:rsidRDefault="003126C7" w:rsidP="00B43CEA">
      <w:pPr>
        <w:spacing w:line="360" w:lineRule="auto"/>
        <w:ind w:firstLineChars="200" w:firstLine="420"/>
        <w:rPr>
          <w:rFonts w:ascii="宋体" w:hAnsi="宋体"/>
          <w:bCs/>
          <w:szCs w:val="21"/>
        </w:rPr>
      </w:pPr>
      <w:r w:rsidRPr="00B43CEA">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3126C7" w:rsidRPr="00B43CEA" w:rsidRDefault="003126C7" w:rsidP="00B43CEA">
      <w:pPr>
        <w:spacing w:line="360" w:lineRule="auto"/>
        <w:ind w:firstLineChars="200" w:firstLine="420"/>
        <w:rPr>
          <w:rFonts w:ascii="宋体" w:hAnsi="宋体"/>
          <w:bCs/>
          <w:szCs w:val="21"/>
        </w:rPr>
      </w:pPr>
      <w:r w:rsidRPr="00B43CEA">
        <w:rPr>
          <w:rFonts w:ascii="宋体" w:hAnsi="宋体" w:hint="eastAsia"/>
          <w:bCs/>
          <w:szCs w:val="21"/>
        </w:rPr>
        <w:t>如果法律法规或中国证监会变更投资品种的投资比例限制，基金管理人在履行适当程序后，可以调整上述投资品种的投资比例。</w:t>
      </w:r>
    </w:p>
    <w:p w:rsidR="001050ED" w:rsidRPr="00B43CEA"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24" w:name="_Toc148867251"/>
      <w:bookmarkStart w:id="25" w:name="_Toc149105517"/>
      <w:bookmarkStart w:id="26" w:name="_Toc212891567"/>
    </w:p>
    <w:p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003126C7" w:rsidRPr="00B43CEA">
        <w:rPr>
          <w:rFonts w:ascii="宋体" w:hAnsi="宋体" w:hint="eastAsia"/>
          <w:bCs/>
          <w:szCs w:val="21"/>
        </w:rPr>
        <w:t>资产配置策略</w:t>
      </w:r>
      <w:r w:rsidRPr="00B43CEA">
        <w:rPr>
          <w:rFonts w:ascii="宋体" w:hAnsi="宋体" w:cs="Arial" w:hint="eastAsia"/>
          <w:bCs/>
          <w:szCs w:val="21"/>
        </w:rPr>
        <w:t>。</w:t>
      </w:r>
      <w:r w:rsidR="003126C7" w:rsidRPr="00B43CEA">
        <w:rPr>
          <w:rFonts w:ascii="宋体" w:hAnsi="宋体" w:hint="eastAsia"/>
          <w:bCs/>
          <w:szCs w:val="21"/>
        </w:rPr>
        <w:t>本基金将通过跟踪考量通常的宏观经济变量（包括GDP增长率、CPI走势、</w:t>
      </w:r>
      <w:r w:rsidR="003126C7" w:rsidRPr="00B43CEA">
        <w:rPr>
          <w:rFonts w:ascii="宋体" w:hAnsi="宋体" w:hint="eastAsia"/>
          <w:bCs/>
          <w:szCs w:val="21"/>
        </w:rPr>
        <w:lastRenderedPageBreak/>
        <w:t>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003126C7" w:rsidRPr="00B43CEA">
        <w:rPr>
          <w:rFonts w:ascii="宋体" w:hAnsi="宋体" w:hint="eastAsia"/>
          <w:bCs/>
          <w:szCs w:val="21"/>
        </w:rPr>
        <w:t>债券投资策略</w:t>
      </w:r>
      <w:r w:rsidRPr="00B43CEA">
        <w:rPr>
          <w:rFonts w:ascii="宋体" w:hAnsi="宋体" w:cs="Arial" w:hint="eastAsia"/>
          <w:bCs/>
          <w:szCs w:val="21"/>
        </w:rPr>
        <w:t>。</w:t>
      </w:r>
      <w:r w:rsidR="003126C7" w:rsidRPr="00B43CEA">
        <w:rPr>
          <w:rFonts w:ascii="宋体" w:hAnsi="宋体" w:hint="eastAsia"/>
          <w:bCs/>
          <w:szCs w:val="21"/>
        </w:rPr>
        <w:t>本基金债券投资将采取久期策略、收益率曲线策略、骑乘策略、息差策略、个券选择策略、信用策略、中小企业私募债投资策略、可转债投资策略等积极投资策略，灵活地调整组合的券种搭配，精选个券，力争实现投资组合的保值增值。</w:t>
      </w:r>
    </w:p>
    <w:p w:rsidR="003126C7"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003126C7" w:rsidRPr="00B43CEA">
        <w:rPr>
          <w:rFonts w:ascii="宋体" w:hAnsi="宋体" w:hint="eastAsia"/>
          <w:bCs/>
          <w:szCs w:val="21"/>
        </w:rPr>
        <w:t>久期策略：久期管理是债券投资的重要考量因素，本基金将采用以“目标久期”为中心、 自上而下的组合久期管理策略。</w:t>
      </w:r>
    </w:p>
    <w:p w:rsidR="003126C7" w:rsidRPr="00B43CEA" w:rsidRDefault="001050ED" w:rsidP="003126C7">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003126C7" w:rsidRPr="00B43CEA">
        <w:rPr>
          <w:rFonts w:ascii="宋体" w:hAnsi="宋体" w:hint="eastAsia"/>
          <w:bCs/>
          <w:szCs w:val="21"/>
        </w:rPr>
        <w:t>收益率曲线策略：收益率曲线的形状变化是判断市场整体走向的一个重要依据，本基金将据此调整组合长、中、短期债券的搭配，并进行动态调整。</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（3）骑乘策略：本基金将采用基于收益率曲线分析对债券组合进行适时调整的骑乘策略， 以达到增强组合的持有期收益的目的。</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（4）息差策略：本基金将采用息差策略，以达到更好地利用杠杆放大债券投资的收益的目的。</w:t>
      </w:r>
    </w:p>
    <w:p w:rsidR="003126C7"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个券选择策略：本基金将根据单个债券到期收益率相对于市场收益率曲线的偏离程度，结合信用等级、流动性、选择权条款、税赋特点等因素，确定其投资价值，选择定价合理或价值被低估的债券进行投资。</w:t>
      </w:r>
    </w:p>
    <w:p w:rsidR="000571C4" w:rsidRPr="00B43CEA" w:rsidRDefault="003126C7"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（6）</w:t>
      </w:r>
      <w:r w:rsidR="000571C4" w:rsidRPr="00B43CEA">
        <w:rPr>
          <w:rFonts w:ascii="宋体" w:hAnsi="宋体" w:hint="eastAsia"/>
          <w:bCs/>
          <w:szCs w:val="21"/>
        </w:rPr>
        <w:t>信用策略：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（7）中小企业私募债券策略：中小企业私募债券是在中国境内以非公开方式发行和转让，约定在一定期限还本付息的公司债券。由于其非公开性及条款可协商性，普遍具有较高收益。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rsidR="003126C7"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8）可转债投资策略：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rsidR="000571C4"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3、</w:t>
      </w:r>
      <w:r w:rsidR="000571C4" w:rsidRPr="00B43CEA">
        <w:rPr>
          <w:rFonts w:ascii="宋体" w:hAnsi="宋体" w:hint="eastAsia"/>
          <w:bCs/>
          <w:szCs w:val="21"/>
        </w:rPr>
        <w:t>股票投资策略。本基金通过自上而下及自下而上相结合的方法挖掘优质的上市公司构建投资组合：自上而下地分析行业的增长前景、行业结构、商业模式、竞争要素等分析把握其投</w:t>
      </w:r>
      <w:r w:rsidR="000571C4" w:rsidRPr="00B43CEA">
        <w:rPr>
          <w:rFonts w:ascii="宋体" w:hAnsi="宋体" w:hint="eastAsia"/>
          <w:bCs/>
          <w:szCs w:val="21"/>
        </w:rPr>
        <w:lastRenderedPageBreak/>
        <w:t>资机会；自下而上地评判企业的产品、核心竞争力、管理层、治理结构等；并结合企业基本面和估值水平进行综合的研判，力争实现组合的保值增值。</w:t>
      </w:r>
    </w:p>
    <w:p w:rsidR="000571C4" w:rsidRPr="00B43CEA" w:rsidRDefault="000571C4"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（1）</w:t>
      </w:r>
      <w:r w:rsidRPr="00B43CEA">
        <w:rPr>
          <w:rFonts w:ascii="宋体" w:hAnsi="宋体" w:hint="eastAsia"/>
          <w:bCs/>
          <w:szCs w:val="21"/>
        </w:rPr>
        <w:t>自上而下的行业遴选：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0571C4" w:rsidRPr="00B43CEA" w:rsidRDefault="000571C4"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（2）</w:t>
      </w:r>
      <w:r w:rsidRPr="00B43CEA">
        <w:rPr>
          <w:rFonts w:ascii="宋体" w:hAnsi="宋体" w:hint="eastAsia"/>
          <w:bCs/>
          <w:szCs w:val="21"/>
        </w:rPr>
        <w:t>自下而上的个股选择：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rsidR="001050ED"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综合研判：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rsidR="000571C4" w:rsidRPr="00B43CEA" w:rsidRDefault="001050ED" w:rsidP="000571C4">
      <w:pPr>
        <w:autoSpaceDE w:val="0"/>
        <w:autoSpaceDN w:val="0"/>
        <w:spacing w:line="360" w:lineRule="auto"/>
        <w:ind w:firstLineChars="200" w:firstLine="420"/>
        <w:textAlignment w:val="bottom"/>
        <w:rPr>
          <w:rFonts w:ascii="宋体" w:hAnsi="宋体"/>
          <w:bCs/>
          <w:szCs w:val="21"/>
        </w:rPr>
      </w:pPr>
      <w:r w:rsidRPr="00B43CEA">
        <w:rPr>
          <w:rFonts w:ascii="宋体" w:hAnsi="宋体" w:cs="Arial" w:hint="eastAsia"/>
          <w:bCs/>
          <w:szCs w:val="21"/>
        </w:rPr>
        <w:t>4、</w:t>
      </w:r>
      <w:r w:rsidR="000571C4" w:rsidRPr="00B43CEA">
        <w:rPr>
          <w:rFonts w:ascii="宋体" w:hAnsi="宋体" w:hint="eastAsia"/>
          <w:bCs/>
          <w:szCs w:val="21"/>
        </w:rPr>
        <w:t>金融衍生品投资策略。</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（1）权证投资策略：</w:t>
      </w:r>
      <w:r w:rsidRPr="00B43CEA">
        <w:rPr>
          <w:rFonts w:ascii="宋体" w:hAnsi="宋体"/>
          <w:bCs/>
          <w:szCs w:val="21"/>
        </w:rPr>
        <w:t>权证为本基金辅助性投资工具，投资原则为有利于基金资产增值、控制下跌风险。</w:t>
      </w:r>
      <w:r w:rsidRPr="00B43CEA">
        <w:rPr>
          <w:rFonts w:ascii="宋体" w:hAnsi="宋体" w:hint="eastAsia"/>
          <w:bCs/>
          <w:szCs w:val="21"/>
        </w:rPr>
        <w:t>本基金在权证投资方面将以价值分析为基础，在采用数量化模型分析其合理定价的基础上，立足于无风险套利，力求稳健的投资收益。</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（2）股指期货投资策略：</w:t>
      </w:r>
      <w:r w:rsidRPr="00B43CEA">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（3）股票期权投资策略:本基金按照风险管理的原则，在严格控制风险的前提下，</w:t>
      </w:r>
      <w:r w:rsidRPr="00B43CEA">
        <w:rPr>
          <w:rFonts w:ascii="宋体" w:hAnsi="宋体"/>
          <w:bCs/>
          <w:szCs w:val="21"/>
        </w:rPr>
        <w:t>以套期保值为目的，</w:t>
      </w:r>
      <w:r w:rsidRPr="00B43CEA">
        <w:rPr>
          <w:rFonts w:ascii="宋体" w:hAnsi="宋体" w:hint="eastAsia"/>
          <w:bCs/>
          <w:szCs w:val="21"/>
        </w:rPr>
        <w:t>选择流动性好、交易活跃的股票期权合约进行投资。本基金基于证券市场的判断，结合期权定价模型，选择估值合理的股票期权合约。</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 国债期货投资策略: 本基金投资国债期货，将根据风险管理的原则，</w:t>
      </w:r>
      <w:r w:rsidRPr="00B43CEA">
        <w:rPr>
          <w:rFonts w:ascii="宋体" w:hAnsi="宋体"/>
          <w:bCs/>
          <w:szCs w:val="21"/>
        </w:rPr>
        <w:t>以套期保值为目</w:t>
      </w:r>
      <w:r w:rsidRPr="00B43CEA">
        <w:rPr>
          <w:rFonts w:ascii="宋体" w:hAnsi="宋体"/>
          <w:bCs/>
          <w:szCs w:val="21"/>
        </w:rPr>
        <w:lastRenderedPageBreak/>
        <w:t>的，</w:t>
      </w:r>
      <w:r w:rsidRPr="00B43CEA">
        <w:rPr>
          <w:rFonts w:ascii="宋体" w:hAnsi="宋体" w:hint="eastAsia"/>
          <w:bCs/>
          <w:szCs w:val="21"/>
        </w:rPr>
        <w:t>充分考虑国债期货的流动性和风险收益特征，在风险可控的前提下，适度参与国债期货投资。</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未来，根据市场情况，基金可相应调整和更新相关投资策略，并在招募说明书更新中公告。</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5、资产支持证券投资策略</w:t>
      </w:r>
    </w:p>
    <w:p w:rsidR="000571C4"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1050ED" w:rsidRPr="00B43CEA" w:rsidRDefault="000571C4"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bCs/>
          <w:szCs w:val="21"/>
        </w:rPr>
        <w:t>未来随着证券市场投资工具的发展和丰富，在符合有关法律法规规定的前提下，</w:t>
      </w:r>
      <w:r w:rsidRPr="00B43CEA">
        <w:rPr>
          <w:rFonts w:ascii="宋体" w:hAnsi="宋体" w:hint="eastAsia"/>
          <w:bCs/>
          <w:szCs w:val="21"/>
        </w:rPr>
        <w:t>本</w:t>
      </w:r>
      <w:r w:rsidRPr="00B43CEA">
        <w:rPr>
          <w:rFonts w:ascii="宋体" w:hAnsi="宋体"/>
          <w:bCs/>
          <w:szCs w:val="21"/>
        </w:rPr>
        <w:t>基金可相应调整和更新相关投资策略。</w:t>
      </w:r>
    </w:p>
    <w:p w:rsidR="001050ED" w:rsidRPr="00B43CEA" w:rsidRDefault="001050ED" w:rsidP="00DE07E1">
      <w:pPr>
        <w:autoSpaceDE w:val="0"/>
        <w:autoSpaceDN w:val="0"/>
        <w:adjustRightInd w:val="0"/>
        <w:snapToGrid w:val="0"/>
        <w:spacing w:line="360" w:lineRule="auto"/>
        <w:ind w:firstLineChars="200" w:firstLine="420"/>
        <w:rPr>
          <w:rFonts w:ascii="宋体" w:hAnsi="宋体" w:cs="Arial"/>
          <w:bCs/>
          <w:szCs w:val="21"/>
        </w:rPr>
      </w:pPr>
      <w:r w:rsidRPr="00B43CEA">
        <w:rPr>
          <w:rFonts w:ascii="宋体" w:hAnsi="宋体" w:cs="Arial" w:hint="eastAsia"/>
          <w:szCs w:val="21"/>
        </w:rPr>
        <w:t>（四）</w:t>
      </w:r>
      <w:bookmarkEnd w:id="24"/>
      <w:bookmarkEnd w:id="25"/>
      <w:bookmarkEnd w:id="26"/>
      <w:r w:rsidRPr="00B43CEA">
        <w:rPr>
          <w:rFonts w:ascii="宋体" w:hAnsi="宋体" w:cs="Arial"/>
          <w:bCs/>
          <w:szCs w:val="21"/>
        </w:rPr>
        <w:t>投资限制</w:t>
      </w:r>
    </w:p>
    <w:p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1、组合限制</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基金的投资组合应遵循以下限制：</w:t>
      </w:r>
    </w:p>
    <w:p w:rsidR="00207CBA" w:rsidRPr="00B43CEA" w:rsidRDefault="00207CBA" w:rsidP="00B43CEA">
      <w:pPr>
        <w:spacing w:line="360" w:lineRule="auto"/>
        <w:ind w:firstLineChars="200" w:firstLine="420"/>
        <w:rPr>
          <w:rFonts w:ascii="宋体" w:hAnsi="宋体"/>
          <w:bCs/>
          <w:szCs w:val="21"/>
          <w:highlight w:val="yellow"/>
        </w:rPr>
      </w:pPr>
      <w:r w:rsidRPr="00B43CEA">
        <w:rPr>
          <w:rFonts w:ascii="宋体" w:hAnsi="宋体"/>
          <w:bCs/>
          <w:szCs w:val="21"/>
        </w:rPr>
        <w:t>（1）</w:t>
      </w:r>
      <w:r w:rsidRPr="00B43CEA">
        <w:rPr>
          <w:rFonts w:ascii="宋体" w:hAnsi="宋体" w:hint="eastAsia"/>
          <w:bCs/>
          <w:szCs w:val="21"/>
        </w:rPr>
        <w:t>股票投资占基金资产的比例为50%–95%；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2</w:t>
      </w:r>
      <w:r w:rsidRPr="00B43CEA">
        <w:rPr>
          <w:rFonts w:ascii="宋体" w:hAnsi="宋体"/>
          <w:bCs/>
          <w:szCs w:val="21"/>
        </w:rPr>
        <w:t>）</w:t>
      </w:r>
      <w:r w:rsidRPr="00B43CEA">
        <w:rPr>
          <w:rFonts w:ascii="宋体" w:hAnsi="宋体" w:hint="eastAsia"/>
          <w:bCs/>
          <w:szCs w:val="21"/>
        </w:rPr>
        <w:t>每个交易日日终在扣除股指期货、国债期货合约需缴纳的交易保证金后，</w:t>
      </w:r>
      <w:r w:rsidRPr="00B43CEA">
        <w:rPr>
          <w:rFonts w:ascii="宋体" w:hAnsi="宋体"/>
          <w:bCs/>
          <w:szCs w:val="21"/>
        </w:rPr>
        <w:t>保持不低于基金资产净值5％的现金或者到期日在一年以内的政府债券</w:t>
      </w:r>
      <w:r w:rsidRPr="00B43CEA">
        <w:rPr>
          <w:rFonts w:ascii="宋体" w:hAnsi="宋体" w:hint="eastAsia"/>
          <w:bCs/>
          <w:szCs w:val="21"/>
        </w:rPr>
        <w:t>，其中现金不包括结算备付金、存出保证金、应收申购款等</w:t>
      </w:r>
      <w:r w:rsidRPr="00B43CEA">
        <w:rPr>
          <w:rFonts w:ascii="宋体" w:hAnsi="宋体"/>
          <w:bCs/>
          <w:szCs w:val="21"/>
        </w:rPr>
        <w:t>；</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3</w:t>
      </w:r>
      <w:r w:rsidRPr="00B43CEA">
        <w:rPr>
          <w:rFonts w:ascii="宋体" w:hAnsi="宋体"/>
          <w:bCs/>
          <w:szCs w:val="21"/>
        </w:rPr>
        <w:t>）</w:t>
      </w:r>
      <w:r w:rsidRPr="00B43CEA">
        <w:rPr>
          <w:rStyle w:val="fontstyle01"/>
          <w:rFonts w:hint="default"/>
          <w:sz w:val="21"/>
          <w:szCs w:val="21"/>
        </w:rPr>
        <w:t>本基金持有一家公司发行的证券</w:t>
      </w:r>
      <w:r w:rsidRPr="00B43CEA">
        <w:rPr>
          <w:rFonts w:ascii="宋体" w:hAnsi="宋体"/>
          <w:bCs/>
          <w:szCs w:val="21"/>
        </w:rPr>
        <w:t>，其市值不超过基金资产净值的10％；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4</w:t>
      </w:r>
      <w:r w:rsidRPr="00B43CEA">
        <w:rPr>
          <w:rFonts w:ascii="宋体" w:hAnsi="宋体"/>
          <w:bCs/>
          <w:szCs w:val="21"/>
        </w:rPr>
        <w:t>）本基金管理人管理的全部基金持有一家公司发行的证券，不超过该证券的10％；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5</w:t>
      </w:r>
      <w:r w:rsidRPr="00B43CEA">
        <w:rPr>
          <w:rFonts w:ascii="宋体" w:hAnsi="宋体"/>
          <w:bCs/>
          <w:szCs w:val="21"/>
        </w:rPr>
        <w:t>）本基金持有的全部权证，其市值不得超过基金资产净值的3％；</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6</w:t>
      </w:r>
      <w:r w:rsidRPr="00B43CEA">
        <w:rPr>
          <w:rFonts w:ascii="宋体" w:hAnsi="宋体"/>
          <w:bCs/>
          <w:szCs w:val="21"/>
        </w:rPr>
        <w:t>）本基金管理人管理的全部基金持有的同一权证，不得超过该权证的</w:t>
      </w:r>
      <w:r w:rsidRPr="00B43CEA">
        <w:rPr>
          <w:rFonts w:ascii="宋体" w:hAnsi="宋体" w:hint="eastAsia"/>
          <w:bCs/>
          <w:szCs w:val="21"/>
        </w:rPr>
        <w:t xml:space="preserve">   </w:t>
      </w:r>
      <w:r w:rsidRPr="00B43CEA">
        <w:rPr>
          <w:rFonts w:ascii="宋体" w:hAnsi="宋体"/>
          <w:bCs/>
          <w:szCs w:val="21"/>
        </w:rPr>
        <w:t>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7</w:t>
      </w:r>
      <w:r w:rsidRPr="00B43CEA">
        <w:rPr>
          <w:rFonts w:ascii="宋体" w:hAnsi="宋体"/>
          <w:bCs/>
          <w:szCs w:val="21"/>
        </w:rPr>
        <w:t>）本基金在任何交易日买入权证的总金额，不得超过上一交易日基金资产净值的0.5％；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8</w:t>
      </w:r>
      <w:r w:rsidRPr="00B43CEA">
        <w:rPr>
          <w:rFonts w:ascii="宋体" w:hAnsi="宋体"/>
          <w:bCs/>
          <w:szCs w:val="21"/>
        </w:rPr>
        <w:t>）本基金投资于同一原始权益人的各类资产支持证券的比例，不得超过基金资产净值的10％；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9</w:t>
      </w:r>
      <w:r w:rsidRPr="00B43CEA">
        <w:rPr>
          <w:rFonts w:ascii="宋体" w:hAnsi="宋体"/>
          <w:bCs/>
          <w:szCs w:val="21"/>
        </w:rPr>
        <w:t>）本基金持有的全部资产支持证券，其市值不得超过基金资产净值的20％</w:t>
      </w:r>
      <w:r w:rsidRPr="00B43CEA">
        <w:rPr>
          <w:rFonts w:ascii="宋体" w:hAnsi="宋体" w:hint="eastAsia"/>
          <w:bCs/>
          <w:szCs w:val="21"/>
        </w:rPr>
        <w:t>，中国证监会规定的特殊品种除外</w:t>
      </w:r>
      <w:r w:rsidRPr="00B43CEA">
        <w:rPr>
          <w:rFonts w:ascii="宋体" w:hAnsi="宋体"/>
          <w:bCs/>
          <w:szCs w:val="21"/>
        </w:rPr>
        <w:t>；</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w:t>
      </w:r>
      <w:r w:rsidRPr="00B43CEA">
        <w:rPr>
          <w:rFonts w:ascii="宋体" w:hAnsi="宋体" w:hint="eastAsia"/>
          <w:bCs/>
          <w:szCs w:val="21"/>
        </w:rPr>
        <w:t>10</w:t>
      </w:r>
      <w:r w:rsidRPr="00B43CEA">
        <w:rPr>
          <w:rFonts w:ascii="宋体" w:hAnsi="宋体"/>
          <w:bCs/>
          <w:szCs w:val="21"/>
        </w:rPr>
        <w:t>）本基金持有的同一(指同一信用级别)资产支持证券的比例，不得超过该资产支持证券规模的10％；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1</w:t>
      </w:r>
      <w:r w:rsidRPr="00B43CEA">
        <w:rPr>
          <w:rFonts w:ascii="宋体" w:hAnsi="宋体"/>
          <w:bCs/>
          <w:szCs w:val="21"/>
        </w:rPr>
        <w:t>）本基金管理人管理的全部基金投资于同一原始权益人的各类资产支持证券，不得超过其各类资产支持证券合计规模的10％；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2</w:t>
      </w:r>
      <w:r w:rsidRPr="00B43CEA">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lastRenderedPageBreak/>
        <w:t>（1</w:t>
      </w:r>
      <w:r w:rsidRPr="00B43CEA">
        <w:rPr>
          <w:rFonts w:ascii="宋体" w:hAnsi="宋体" w:hint="eastAsia"/>
          <w:bCs/>
          <w:szCs w:val="21"/>
        </w:rPr>
        <w:t>3</w:t>
      </w:r>
      <w:r w:rsidRPr="00B43CEA">
        <w:rPr>
          <w:rFonts w:ascii="宋体" w:hAnsi="宋体"/>
          <w:bCs/>
          <w:szCs w:val="21"/>
        </w:rPr>
        <w:t>）基金财产参与股票发行申购，本基金所申报的金额不超过本基金的总资产，本基金所申报的股票数量不超过拟发行股票公司本次发行股票的总量；</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bCs/>
          <w:szCs w:val="21"/>
        </w:rPr>
        <w:t>（1</w:t>
      </w:r>
      <w:r w:rsidRPr="00B43CEA">
        <w:rPr>
          <w:rFonts w:ascii="宋体" w:hAnsi="宋体" w:hint="eastAsia"/>
          <w:bCs/>
          <w:szCs w:val="21"/>
        </w:rPr>
        <w:t>4</w:t>
      </w:r>
      <w:r w:rsidRPr="00B43CEA">
        <w:rPr>
          <w:rFonts w:ascii="宋体" w:hAnsi="宋体"/>
          <w:bCs/>
          <w:szCs w:val="21"/>
        </w:rPr>
        <w:t>）本基金进入全国银行间同业市场进行债券回购的资金余额不得超过基金资产净值的40%</w:t>
      </w:r>
      <w:r w:rsidRPr="00B43CEA">
        <w:rPr>
          <w:rFonts w:ascii="宋体" w:hAnsi="宋体" w:hint="eastAsia"/>
          <w:bCs/>
          <w:szCs w:val="21"/>
        </w:rPr>
        <w:t>，在全国银行间同业市场的债券回购最长期限为1年，债券回购到期后不得展期</w:t>
      </w:r>
      <w:r w:rsidRPr="00B43CEA">
        <w:rPr>
          <w:rFonts w:ascii="宋体" w:hAnsi="宋体"/>
          <w:bCs/>
          <w:szCs w:val="21"/>
        </w:rPr>
        <w:t>；</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（15）本基金总资产不得超过基金净资产的 140%；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（16）本基金持有单只中小企业私募债券，其市值不得超过本基金资产净值的10%；基金投资于中小企业私募债的比例不超过基金资产净值的</w:t>
      </w:r>
      <w:r w:rsidRPr="00B43CEA">
        <w:rPr>
          <w:rFonts w:ascii="宋体" w:hAnsi="宋体"/>
          <w:bCs/>
          <w:szCs w:val="21"/>
        </w:rPr>
        <w:t>20%</w:t>
      </w:r>
      <w:r w:rsidRPr="00B43CEA">
        <w:rPr>
          <w:rFonts w:ascii="宋体" w:hAnsi="宋体" w:hint="eastAsia"/>
          <w:bCs/>
          <w:szCs w:val="21"/>
        </w:rPr>
        <w:t>；</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（17）本基金参与股指期货、国债期货交易，需遵守下列规定：</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1）本基金在任何交易日日终，持有的买入股指期货合约价值，不得超过基金资产净值的10%；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3）本基金在任何交易日日终，持有的卖出股指期货合约价值不得超过基金持有的股票总市值的20%；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4）本基金在任何交易日内交易（不包括平仓）的股指期货合约的成交金额不得超过上一交易日基金资产净值的20%；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5）本基金所持有的股票市值和买入、卖出股指期货合约价值，合计（轧差计算）应当符合基金合同关于股票投资比例的有关规定；</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6）本基金在任何交易日日终，持有的买入国债期货合约价值，不得超过基金资产净值的15%；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7）本基金在任何交易日日终，持有的卖出国债期货合约价值不得超过基金持有的债券总市值的30%；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8）本基金在任何交易日内交易（不包括平仓）的国债期货合约的成交金额不得超过上一交易日基金资产净值的30%；</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（18）本基金参与股票期权交易，需遵守下列投资比例限制：</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1）本基金因未平仓的期权合约支付和收取的权利金总额不得超过基金资产净值的10%；</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rsidR="00207CBA" w:rsidRPr="00B43CEA" w:rsidRDefault="00207CBA" w:rsidP="00B43CEA">
      <w:pPr>
        <w:spacing w:line="360" w:lineRule="auto"/>
        <w:ind w:firstLineChars="200" w:firstLine="420"/>
        <w:rPr>
          <w:rFonts w:ascii="宋体" w:hAnsi="宋体"/>
          <w:szCs w:val="21"/>
        </w:rPr>
      </w:pPr>
      <w:r w:rsidRPr="00B43CEA">
        <w:rPr>
          <w:rFonts w:ascii="宋体" w:hAnsi="宋体" w:hint="eastAsia"/>
          <w:szCs w:val="21"/>
        </w:rPr>
        <w:t>3）本基金未平仓的期权合约面值不得超过基金资产净值的20%。其中，合约面值按照行权价乘以合约乘数计算；</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（19）本基金管理人管理的全部开放式基金（包括开放式基金以及处于开放期的定期开放</w:t>
      </w:r>
      <w:r w:rsidRPr="00B43CEA">
        <w:rPr>
          <w:rFonts w:ascii="宋体" w:hAnsi="宋体" w:hint="eastAsia"/>
          <w:bCs/>
          <w:szCs w:val="21"/>
        </w:rPr>
        <w:lastRenderedPageBreak/>
        <w:t>基金）持有一家上市公司发行的可流通股票，不得超过该上市公司可流通股票的15%；本基金管理人管理的全部投资组合持有一家上市公司发行的可流通股票，不得超过该上市公司可流通股票的30%；</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（20）本基金主动投资于流动性受限资产的市值合计不得超过基金资产净值的15%；</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rsidR="00207CBA" w:rsidRPr="00B43CEA" w:rsidRDefault="00207CBA" w:rsidP="00B43CEA">
      <w:pPr>
        <w:spacing w:line="360" w:lineRule="auto"/>
        <w:ind w:firstLineChars="200" w:firstLine="420"/>
        <w:rPr>
          <w:rFonts w:ascii="宋体" w:hAnsi="宋体"/>
          <w:bCs/>
          <w:szCs w:val="21"/>
        </w:rPr>
      </w:pPr>
      <w:r w:rsidRPr="00B43CEA">
        <w:rPr>
          <w:rFonts w:ascii="宋体" w:hAnsi="宋体" w:hint="eastAsia"/>
          <w:bCs/>
          <w:szCs w:val="21"/>
        </w:rPr>
        <w:t>（21）本基金与私募类证券资管产品及中国证监会认定的其他主体为交易对手开展逆回购交易的，可接受质押品的资质要求应当与基金合同约定的投资范围保持一致；</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（22）法律法规及中国证监会规定的和《基金合同》约定的其他投资限制。</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除上述第（2）、（1</w:t>
      </w:r>
      <w:r w:rsidRPr="00B43CEA">
        <w:rPr>
          <w:rFonts w:ascii="宋体" w:hAnsi="宋体"/>
          <w:bCs/>
          <w:szCs w:val="21"/>
        </w:rPr>
        <w:t>2</w:t>
      </w:r>
      <w:r w:rsidRPr="00B43CEA">
        <w:rPr>
          <w:rFonts w:ascii="宋体" w:hAnsi="宋体" w:hint="eastAsia"/>
          <w:bCs/>
          <w:szCs w:val="21"/>
        </w:rPr>
        <w:t>）、（</w:t>
      </w:r>
      <w:r w:rsidRPr="00B43CEA">
        <w:rPr>
          <w:rFonts w:ascii="宋体" w:hAnsi="宋体"/>
          <w:bCs/>
          <w:szCs w:val="21"/>
        </w:rPr>
        <w:t>20</w:t>
      </w:r>
      <w:r w:rsidRPr="00B43CEA">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法律法规或监管部门取消或调整上述限制，如适用于本基金，基金管理人在履行适当程序后，则本基金投资不再受相关限制或按调整后的规定执行。</w:t>
      </w:r>
    </w:p>
    <w:p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2、禁止行为</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为维护基金份额持有人的合法权益，基金财产不得用于下列投资或者活动：</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（1）承销证券；</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（2）违反规定向他人贷款或者提供担保；</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（3）从事承担无限责任的投资；</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（4）买卖其他基金份额，但是中国证监会另有规定的除外；</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（5）向其基金管理人、基金托管人出资；</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（6）从事内幕交易、操纵证券交易价格及其他不正当的证券交易活动；</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（7）法律、行政法规和中国证监会规定禁止的其他活动。</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w:t>
      </w:r>
      <w:r w:rsidRPr="00B43CEA">
        <w:rPr>
          <w:rFonts w:ascii="宋体" w:hAnsi="宋体" w:hint="eastAsia"/>
          <w:bCs/>
          <w:szCs w:val="21"/>
        </w:rPr>
        <w:lastRenderedPageBreak/>
        <w:t>分之二以上的独立董事通过。基金管理人董事会应至少每半年对关联交易事项进行审查。</w:t>
      </w:r>
    </w:p>
    <w:p w:rsidR="00207CBA" w:rsidRPr="00B43CEA" w:rsidRDefault="00207CB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法律、行政法规或监管部门取消上述禁止性规定，如适用于本基金，则本基金投资不再受相关限制。</w:t>
      </w:r>
    </w:p>
    <w:p w:rsidR="001050ED" w:rsidRPr="00B43CEA" w:rsidRDefault="001050ED" w:rsidP="00DE07E1">
      <w:pPr>
        <w:spacing w:line="360" w:lineRule="auto"/>
        <w:ind w:firstLineChars="200" w:firstLine="420"/>
        <w:rPr>
          <w:rFonts w:ascii="宋体" w:hAnsi="宋体" w:cs="Arial"/>
          <w:szCs w:val="21"/>
        </w:rPr>
      </w:pPr>
      <w:r w:rsidRPr="00B43CEA">
        <w:rPr>
          <w:rFonts w:ascii="宋体" w:hAnsi="宋体" w:cs="Arial" w:hint="eastAsia"/>
          <w:szCs w:val="21"/>
        </w:rPr>
        <w:t>（</w:t>
      </w:r>
      <w:r w:rsidR="00B43CEA" w:rsidRPr="00B43CEA">
        <w:rPr>
          <w:rFonts w:ascii="宋体" w:hAnsi="宋体" w:cs="Arial" w:hint="eastAsia"/>
          <w:szCs w:val="21"/>
        </w:rPr>
        <w:t>五</w:t>
      </w:r>
      <w:r w:rsidRPr="00B43CEA">
        <w:rPr>
          <w:rFonts w:ascii="宋体" w:hAnsi="宋体" w:cs="Arial" w:hint="eastAsia"/>
          <w:szCs w:val="21"/>
        </w:rPr>
        <w:t>）</w:t>
      </w:r>
      <w:r w:rsidRPr="00B43CEA">
        <w:rPr>
          <w:rFonts w:ascii="宋体" w:hAnsi="宋体" w:cs="Arial"/>
          <w:szCs w:val="21"/>
        </w:rPr>
        <w:t>业绩比较基准</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本基金的业绩比较基准为：中证全债指数收益率×30%+沪深300指数收益率×70%</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1050ED" w:rsidRPr="00B43CEA" w:rsidRDefault="001050ED" w:rsidP="00DE07E1">
      <w:pPr>
        <w:widowControl/>
        <w:adjustRightInd w:val="0"/>
        <w:snapToGrid w:val="0"/>
        <w:spacing w:line="360" w:lineRule="auto"/>
        <w:ind w:firstLineChars="200" w:firstLine="420"/>
        <w:rPr>
          <w:rFonts w:ascii="宋体" w:hAnsi="宋体" w:cs="Arial"/>
          <w:szCs w:val="21"/>
        </w:rPr>
      </w:pPr>
      <w:r w:rsidRPr="00B43CEA">
        <w:rPr>
          <w:rFonts w:ascii="宋体" w:hAnsi="宋体" w:cs="Arial" w:hint="eastAsia"/>
          <w:szCs w:val="21"/>
        </w:rPr>
        <w:t>（</w:t>
      </w:r>
      <w:r w:rsidR="00B43CEA" w:rsidRPr="00B43CEA">
        <w:rPr>
          <w:rFonts w:ascii="宋体" w:hAnsi="宋体" w:cs="Arial" w:hint="eastAsia"/>
          <w:szCs w:val="21"/>
        </w:rPr>
        <w:t>六</w:t>
      </w:r>
      <w:r w:rsidRPr="00B43CEA">
        <w:rPr>
          <w:rFonts w:ascii="宋体" w:hAnsi="宋体" w:cs="Arial" w:hint="eastAsia"/>
          <w:szCs w:val="21"/>
        </w:rPr>
        <w:t>）</w:t>
      </w:r>
      <w:r w:rsidRPr="00B43CEA">
        <w:rPr>
          <w:rFonts w:ascii="宋体" w:hAnsi="宋体" w:cs="Arial"/>
          <w:szCs w:val="21"/>
        </w:rPr>
        <w:t>风险收益特征</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本基金属于混合型基金，其预期风险和预期收益高于货币市场基金、债券基金，低于股票型基金，属于证券投资基金中中高风险、中高预期收益的品种。</w:t>
      </w:r>
    </w:p>
    <w:p w:rsidR="00B43CEA" w:rsidRPr="00B43CEA" w:rsidRDefault="001050ED" w:rsidP="00B43CEA">
      <w:pPr>
        <w:autoSpaceDE w:val="0"/>
        <w:autoSpaceDN w:val="0"/>
        <w:spacing w:line="360" w:lineRule="auto"/>
        <w:ind w:firstLineChars="200" w:firstLine="420"/>
        <w:textAlignment w:val="bottom"/>
        <w:rPr>
          <w:rFonts w:ascii="宋体" w:hAnsi="宋体"/>
          <w:bCs/>
          <w:szCs w:val="21"/>
        </w:rPr>
      </w:pPr>
      <w:bookmarkStart w:id="27" w:name="_Toc79392634"/>
      <w:r w:rsidRPr="00B43CEA">
        <w:rPr>
          <w:rFonts w:ascii="宋体" w:hAnsi="宋体" w:cs="Arial" w:hint="eastAsia"/>
          <w:bCs/>
          <w:szCs w:val="21"/>
        </w:rPr>
        <w:t>（</w:t>
      </w:r>
      <w:r w:rsidR="00B43CEA" w:rsidRPr="00B43CEA">
        <w:rPr>
          <w:rFonts w:ascii="宋体" w:hAnsi="宋体" w:cs="Arial" w:hint="eastAsia"/>
          <w:bCs/>
          <w:szCs w:val="21"/>
        </w:rPr>
        <w:t>七</w:t>
      </w:r>
      <w:r w:rsidRPr="00B43CEA">
        <w:rPr>
          <w:rFonts w:ascii="宋体" w:hAnsi="宋体" w:cs="Arial" w:hint="eastAsia"/>
          <w:bCs/>
          <w:szCs w:val="21"/>
        </w:rPr>
        <w:t>）</w:t>
      </w:r>
      <w:r w:rsidR="00B43CEA" w:rsidRPr="00B43CEA">
        <w:rPr>
          <w:rFonts w:ascii="宋体" w:hAnsi="宋体" w:hint="eastAsia"/>
          <w:bCs/>
          <w:szCs w:val="21"/>
        </w:rPr>
        <w:t>基金管理人代表基金行使股东和债权人权利的处理原则及方法</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1、基金管理人按照国家有关规定代表基金独立行使股东和债权人权利，保护基金份额持有人的利益；</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2、不谋求对上市公司的控股，不参与所投资上市公司的经营管理；</w:t>
      </w:r>
    </w:p>
    <w:p w:rsidR="00B43CEA" w:rsidRPr="00B43CEA" w:rsidRDefault="00B43CEA" w:rsidP="00B43CEA">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3、有利于基金财产的安全与增值；</w:t>
      </w:r>
    </w:p>
    <w:p w:rsidR="00B43CEA" w:rsidRPr="00B43CEA" w:rsidRDefault="00B43CEA" w:rsidP="00B43CEA">
      <w:pPr>
        <w:autoSpaceDE w:val="0"/>
        <w:autoSpaceDN w:val="0"/>
        <w:spacing w:line="360" w:lineRule="auto"/>
        <w:ind w:firstLineChars="200" w:firstLine="420"/>
        <w:textAlignment w:val="bottom"/>
        <w:rPr>
          <w:rFonts w:ascii="宋体" w:hAnsi="宋体"/>
          <w:b/>
          <w:kern w:val="0"/>
          <w:szCs w:val="21"/>
          <w:lang w:val="x-none"/>
        </w:rPr>
      </w:pPr>
      <w:r w:rsidRPr="00B43CEA">
        <w:rPr>
          <w:rFonts w:ascii="宋体" w:hAnsi="宋体" w:hint="eastAsia"/>
          <w:bCs/>
          <w:szCs w:val="21"/>
        </w:rPr>
        <w:t>4、不通过关联交易为自身、雇员、授权代理人或任何存在利害关系的第三人牟取任何不当利益。</w:t>
      </w:r>
    </w:p>
    <w:p w:rsidR="00BA1D58" w:rsidRPr="00B43CEA" w:rsidRDefault="00B43CEA" w:rsidP="00B43CEA">
      <w:pPr>
        <w:spacing w:line="360" w:lineRule="auto"/>
        <w:ind w:firstLineChars="200" w:firstLine="420"/>
        <w:rPr>
          <w:rFonts w:ascii="宋体" w:hAnsi="宋体" w:cs="Arial"/>
          <w:bCs/>
          <w:szCs w:val="21"/>
        </w:rPr>
      </w:pPr>
      <w:r w:rsidRPr="00B43CEA">
        <w:rPr>
          <w:rFonts w:ascii="宋体" w:hAnsi="宋体" w:cs="Arial" w:hint="eastAsia"/>
          <w:bCs/>
          <w:szCs w:val="21"/>
        </w:rPr>
        <w:t>（八）</w:t>
      </w:r>
      <w:r w:rsidR="00BA1D58" w:rsidRPr="00B43CEA">
        <w:rPr>
          <w:rFonts w:ascii="宋体" w:hAnsi="宋体" w:cs="Arial" w:hint="eastAsia"/>
          <w:bCs/>
          <w:szCs w:val="21"/>
        </w:rPr>
        <w:t>基金投资组合报告</w:t>
      </w:r>
    </w:p>
    <w:p w:rsidR="00B43CEA" w:rsidRPr="00B43CEA" w:rsidRDefault="00B43CEA" w:rsidP="008E32FC">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基金管理人的董事会、董事保证本报告所载资料不存在虚假记载、误导性陈述或重大遗漏，并对其内容的真实性、准确性和完整性承担个别及连带的法律责任。</w:t>
      </w:r>
    </w:p>
    <w:p w:rsidR="00B43CEA" w:rsidRPr="00B43CEA" w:rsidRDefault="00B43CEA" w:rsidP="008E32FC">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基金托管人平安银行股份有限公司根据本基金合同规定，于2018年8月27日复核了本报告中的财务指标、净值表现、利润分配情况、财务会计报告、投资组合报告等内容，保证复核内容不存在虚假记载、误导性陈述或者重大遗漏。</w:t>
      </w:r>
    </w:p>
    <w:p w:rsidR="00B43CEA" w:rsidRPr="00B43CEA" w:rsidRDefault="00B43CEA" w:rsidP="008E32FC">
      <w:pPr>
        <w:autoSpaceDE w:val="0"/>
        <w:autoSpaceDN w:val="0"/>
        <w:spacing w:line="360" w:lineRule="auto"/>
        <w:ind w:firstLineChars="200" w:firstLine="420"/>
        <w:textAlignment w:val="bottom"/>
        <w:rPr>
          <w:rFonts w:ascii="宋体" w:hAnsi="宋体"/>
          <w:bCs/>
          <w:szCs w:val="21"/>
        </w:rPr>
      </w:pPr>
      <w:r w:rsidRPr="00B43CEA">
        <w:rPr>
          <w:rFonts w:ascii="宋体" w:hAnsi="宋体" w:hint="eastAsia"/>
          <w:bCs/>
          <w:szCs w:val="21"/>
        </w:rPr>
        <w:t>本投资组合报告所载数据截至2018年6月30日，本报告中所列财务数据未经审计。</w:t>
      </w:r>
    </w:p>
    <w:p w:rsidR="00B43CEA" w:rsidRPr="008E32FC" w:rsidRDefault="00B43CEA" w:rsidP="008E32FC">
      <w:pPr>
        <w:autoSpaceDE w:val="0"/>
        <w:autoSpaceDN w:val="0"/>
        <w:spacing w:line="360" w:lineRule="auto"/>
        <w:ind w:firstLineChars="200" w:firstLine="420"/>
        <w:textAlignment w:val="bottom"/>
        <w:rPr>
          <w:rFonts w:ascii="宋体" w:hAnsi="宋体"/>
          <w:bCs/>
          <w:szCs w:val="21"/>
        </w:rPr>
      </w:pPr>
      <w:bookmarkStart w:id="28" w:name="_Toc522885449"/>
      <w:r w:rsidRPr="008E32FC">
        <w:rPr>
          <w:rFonts w:ascii="宋体" w:hAnsi="宋体" w:hint="eastAsia"/>
          <w:bCs/>
          <w:szCs w:val="21"/>
        </w:rPr>
        <w:t>1、 期末基金资产组合情况</w:t>
      </w:r>
      <w:bookmarkEnd w:id="28"/>
    </w:p>
    <w:p w:rsidR="00B43CEA" w:rsidRPr="00B43CEA" w:rsidRDefault="00B43CEA" w:rsidP="00B43CEA">
      <w:pPr>
        <w:pStyle w:val="biaogeright"/>
        <w:rPr>
          <w:rFonts w:cstheme="minorBidi"/>
          <w:bCs/>
          <w:kern w:val="2"/>
          <w:sz w:val="21"/>
          <w:szCs w:val="21"/>
        </w:rPr>
      </w:pPr>
      <w:r w:rsidRPr="00B43CEA">
        <w:rPr>
          <w:rFonts w:cstheme="minorBidi" w:hint="eastAsia"/>
          <w:bCs/>
          <w:kern w:val="2"/>
          <w:sz w:val="21"/>
          <w:szCs w:val="21"/>
        </w:rPr>
        <w:t>金额单位：人民币元</w:t>
      </w:r>
    </w:p>
    <w:tbl>
      <w:tblPr>
        <w:tblW w:w="0" w:type="auto"/>
        <w:tblInd w:w="108" w:type="dxa"/>
        <w:tblLook w:val="04A0" w:firstRow="1" w:lastRow="0" w:firstColumn="1" w:lastColumn="0" w:noHBand="0" w:noVBand="1"/>
      </w:tblPr>
      <w:tblGrid>
        <w:gridCol w:w="680"/>
        <w:gridCol w:w="3274"/>
        <w:gridCol w:w="2283"/>
        <w:gridCol w:w="1973"/>
      </w:tblGrid>
      <w:tr w:rsidR="00B43CEA" w:rsidRPr="00B43CEA" w:rsidTr="00B43CEA">
        <w:trPr>
          <w:trHeight w:val="785"/>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lastRenderedPageBreak/>
              <w:t>序号</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项目</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金额</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占基金总资产的比例</w:t>
            </w:r>
            <w:r w:rsidRPr="00B43CEA">
              <w:rPr>
                <w:color w:val="000000"/>
                <w:sz w:val="21"/>
                <w:szCs w:val="21"/>
              </w:rPr>
              <w:t>(%)</w:t>
            </w:r>
          </w:p>
        </w:tc>
      </w:tr>
      <w:tr w:rsidR="00B43CEA" w:rsidRPr="00B43CEA" w:rsidTr="00B43CEA">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权益投资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28,758,122.60</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25.72</w:t>
            </w:r>
          </w:p>
        </w:tc>
      </w:tr>
      <w:tr w:rsidR="00B43CEA" w:rsidRPr="00B43CEA" w:rsidTr="00B43CEA">
        <w:trPr>
          <w:trHeight w:val="408"/>
        </w:trPr>
        <w:tc>
          <w:tcPr>
            <w:tcW w:w="680" w:type="dxa"/>
            <w:tcBorders>
              <w:top w:val="single" w:sz="8" w:space="0" w:color="000000"/>
              <w:left w:val="single" w:sz="8" w:space="0" w:color="000000"/>
              <w:bottom w:val="single" w:sz="8" w:space="0" w:color="000000"/>
              <w:right w:val="single" w:sz="8" w:space="0" w:color="000000"/>
            </w:tcBorders>
            <w:vAlign w:val="center"/>
          </w:tcPr>
          <w:p w:rsidR="00B43CEA" w:rsidRPr="00B43CEA" w:rsidRDefault="00B43CEA" w:rsidP="00B43CEA">
            <w:pPr>
              <w:pStyle w:val="biaogecenter"/>
              <w:wordWrap w:val="0"/>
              <w:rPr>
                <w:color w:val="000000"/>
                <w:sz w:val="21"/>
                <w:szCs w:val="21"/>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其中：股票</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28,758,122.60</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25.72</w:t>
            </w:r>
          </w:p>
        </w:tc>
      </w:tr>
      <w:tr w:rsidR="00B43CEA" w:rsidRPr="00B43CEA" w:rsidTr="00B43CEA">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2</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基金投资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3</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固定收益投资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r>
      <w:tr w:rsidR="00B43CEA" w:rsidRPr="00B43CEA" w:rsidTr="00B43CEA">
        <w:trPr>
          <w:trHeight w:val="408"/>
        </w:trPr>
        <w:tc>
          <w:tcPr>
            <w:tcW w:w="680" w:type="dxa"/>
            <w:tcBorders>
              <w:top w:val="single" w:sz="8" w:space="0" w:color="000000"/>
              <w:left w:val="single" w:sz="8" w:space="0" w:color="000000"/>
              <w:bottom w:val="single" w:sz="8" w:space="0" w:color="000000"/>
              <w:right w:val="single" w:sz="8" w:space="0" w:color="000000"/>
            </w:tcBorders>
            <w:vAlign w:val="center"/>
          </w:tcPr>
          <w:p w:rsidR="00B43CEA" w:rsidRPr="00B43CEA" w:rsidRDefault="00B43CEA" w:rsidP="00B43CEA">
            <w:pPr>
              <w:pStyle w:val="biaogecenter"/>
              <w:wordWrap w:val="0"/>
              <w:rPr>
                <w:color w:val="000000"/>
                <w:sz w:val="21"/>
                <w:szCs w:val="21"/>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其中：债券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r>
      <w:tr w:rsidR="00B43CEA" w:rsidRPr="00B43CEA" w:rsidTr="00B43CEA">
        <w:trPr>
          <w:trHeight w:val="398"/>
        </w:trPr>
        <w:tc>
          <w:tcPr>
            <w:tcW w:w="680" w:type="dxa"/>
            <w:tcBorders>
              <w:top w:val="single" w:sz="8" w:space="0" w:color="000000"/>
              <w:left w:val="single" w:sz="8" w:space="0" w:color="000000"/>
              <w:bottom w:val="single" w:sz="8" w:space="0" w:color="000000"/>
              <w:right w:val="single" w:sz="8" w:space="0" w:color="000000"/>
            </w:tcBorders>
            <w:vAlign w:val="center"/>
          </w:tcPr>
          <w:p w:rsidR="00B43CEA" w:rsidRPr="00B43CEA" w:rsidRDefault="00B43CEA" w:rsidP="00B43CEA">
            <w:pPr>
              <w:pStyle w:val="biaogecenter"/>
              <w:wordWrap w:val="0"/>
              <w:rPr>
                <w:color w:val="000000"/>
                <w:sz w:val="21"/>
                <w:szCs w:val="21"/>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ind w:left="356"/>
              <w:rPr>
                <w:sz w:val="21"/>
                <w:szCs w:val="21"/>
              </w:rPr>
            </w:pPr>
            <w:r w:rsidRPr="00B43CEA">
              <w:rPr>
                <w:rFonts w:hint="eastAsia"/>
                <w:color w:val="000000"/>
                <w:sz w:val="21"/>
                <w:szCs w:val="21"/>
              </w:rPr>
              <w:t>资产支持证券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r>
      <w:tr w:rsidR="00B43CEA" w:rsidRPr="00B43CEA" w:rsidTr="00B43CEA">
        <w:trPr>
          <w:trHeight w:val="40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4</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贵金属投资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r>
      <w:tr w:rsidR="00B43CEA" w:rsidRPr="00B43CEA" w:rsidTr="00B43CEA">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5</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金融衍生品投资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r>
      <w:tr w:rsidR="00B43CEA" w:rsidRPr="00B43CEA" w:rsidTr="00B43CEA">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6</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买入返售金融资产</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41,000,000.00</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36.67</w:t>
            </w:r>
          </w:p>
        </w:tc>
      </w:tr>
      <w:tr w:rsidR="00B43CEA" w:rsidRPr="00B43CEA" w:rsidTr="00B43CEA">
        <w:trPr>
          <w:trHeight w:val="785"/>
        </w:trPr>
        <w:tc>
          <w:tcPr>
            <w:tcW w:w="680" w:type="dxa"/>
            <w:tcBorders>
              <w:top w:val="single" w:sz="8" w:space="0" w:color="000000"/>
              <w:left w:val="single" w:sz="8" w:space="0" w:color="000000"/>
              <w:bottom w:val="single" w:sz="8" w:space="0" w:color="000000"/>
              <w:right w:val="single" w:sz="8" w:space="0" w:color="000000"/>
            </w:tcBorders>
            <w:vAlign w:val="center"/>
          </w:tcPr>
          <w:p w:rsidR="00B43CEA" w:rsidRPr="00B43CEA" w:rsidRDefault="00B43CEA" w:rsidP="00B43CEA">
            <w:pPr>
              <w:pStyle w:val="biaogecenter"/>
              <w:wordWrap w:val="0"/>
              <w:rPr>
                <w:color w:val="000000"/>
                <w:sz w:val="21"/>
                <w:szCs w:val="21"/>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其中：买断式回购的买入返售金融资产</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w:t>
            </w:r>
          </w:p>
        </w:tc>
      </w:tr>
      <w:tr w:rsidR="00B43CEA" w:rsidRPr="00B43CEA" w:rsidTr="00B43CEA">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7</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银行存款和结算备付金合计</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41,849,390.94</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37.43</w:t>
            </w:r>
          </w:p>
        </w:tc>
      </w:tr>
      <w:tr w:rsidR="00B43CEA" w:rsidRPr="00B43CEA" w:rsidTr="00B43CEA">
        <w:trPr>
          <w:trHeight w:val="40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8</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其他各项资产</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205,448.41</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0.18</w:t>
            </w:r>
          </w:p>
        </w:tc>
      </w:tr>
      <w:tr w:rsidR="00B43CEA" w:rsidRPr="00B43CEA" w:rsidTr="00B43CEA">
        <w:trPr>
          <w:trHeight w:val="40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9</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合计</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111,812,961.95</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100.00</w:t>
            </w:r>
          </w:p>
        </w:tc>
      </w:tr>
    </w:tbl>
    <w:p w:rsidR="00B43CEA" w:rsidRPr="00B43CEA" w:rsidRDefault="00B43CEA" w:rsidP="00B43CEA">
      <w:pPr>
        <w:pStyle w:val="zhangjiep"/>
        <w:ind w:left="0"/>
        <w:rPr>
          <w:sz w:val="21"/>
          <w:szCs w:val="21"/>
        </w:rPr>
      </w:pPr>
      <w:bookmarkStart w:id="29" w:name="_Toc522885450"/>
      <w:r w:rsidRPr="00B43CEA">
        <w:rPr>
          <w:bCs/>
          <w:sz w:val="21"/>
          <w:szCs w:val="21"/>
        </w:rPr>
        <w:t xml:space="preserve">2 </w:t>
      </w:r>
      <w:r w:rsidRPr="00B43CEA">
        <w:rPr>
          <w:rFonts w:hint="eastAsia"/>
          <w:bCs/>
          <w:sz w:val="21"/>
          <w:szCs w:val="21"/>
        </w:rPr>
        <w:t>、报告期末按行业分类的股票投资组合</w:t>
      </w:r>
      <w:bookmarkEnd w:id="29"/>
    </w:p>
    <w:p w:rsidR="00B43CEA" w:rsidRPr="00B43CEA" w:rsidRDefault="00B43CEA" w:rsidP="00B43CEA">
      <w:pPr>
        <w:pStyle w:val="zhangjiep2"/>
        <w:ind w:left="0"/>
        <w:rPr>
          <w:sz w:val="21"/>
          <w:szCs w:val="21"/>
        </w:rPr>
      </w:pPr>
      <w:r w:rsidRPr="00B43CEA">
        <w:rPr>
          <w:rFonts w:hint="eastAsia"/>
          <w:bCs/>
          <w:sz w:val="21"/>
          <w:szCs w:val="21"/>
        </w:rPr>
        <w:t>（</w:t>
      </w:r>
      <w:r w:rsidRPr="00B43CEA">
        <w:rPr>
          <w:bCs/>
          <w:sz w:val="21"/>
          <w:szCs w:val="21"/>
        </w:rPr>
        <w:t>1）报告期末按行业分类的境内股票投资组合</w:t>
      </w:r>
    </w:p>
    <w:tbl>
      <w:tblPr>
        <w:tblW w:w="0" w:type="auto"/>
        <w:tblInd w:w="108" w:type="dxa"/>
        <w:tblLook w:val="04A0" w:firstRow="1" w:lastRow="0" w:firstColumn="1" w:lastColumn="0" w:noHBand="0" w:noVBand="1"/>
      </w:tblPr>
      <w:tblGrid>
        <w:gridCol w:w="690"/>
        <w:gridCol w:w="3623"/>
        <w:gridCol w:w="2031"/>
        <w:gridCol w:w="1995"/>
      </w:tblGrid>
      <w:tr w:rsidR="00B43CEA" w:rsidRPr="00B43CEA" w:rsidTr="00B43CEA">
        <w:trPr>
          <w:trHeight w:val="774"/>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代码</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行业类别</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公允价值（元）</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占基金资产净值比例</w:t>
            </w:r>
            <w:r w:rsidRPr="00B43CEA">
              <w:rPr>
                <w:sz w:val="21"/>
                <w:szCs w:val="21"/>
              </w:rPr>
              <w:t>(%)</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A</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农、林、牧、渔业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B</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采矿业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2,002,000.00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1.83</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C</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制造业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22,925,322.60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20.99</w:t>
            </w:r>
          </w:p>
        </w:tc>
      </w:tr>
      <w:tr w:rsidR="00B43CEA" w:rsidRPr="00B43CEA" w:rsidTr="00B43CEA">
        <w:trPr>
          <w:trHeight w:val="774"/>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D</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电力、热力、燃气及水生产和供应业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E</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建筑业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F</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批发和零售业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G</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交通运输、仓储和邮政业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H</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住宿和餐饮业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784"/>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I</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信息传输、软件和信息技术服务业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1,160,000.00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1.06</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lastRenderedPageBreak/>
              <w:t>J</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金融业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K</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房地产业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1,586,000.00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1.45</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L</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租赁和商务服务业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M</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科学研究和技术服务业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N</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水利、环境和公共设施管理业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O</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居民服务、修理和其他服务业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P</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教育</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Q</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卫生和社会工作</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1,084,800.00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0.99</w:t>
            </w:r>
          </w:p>
        </w:tc>
      </w:tr>
      <w:tr w:rsidR="00B43CEA" w:rsidRPr="00B43CEA" w:rsidTr="00B43CEA">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R</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文化、体育和娱乐业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S</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综合</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408"/>
        </w:trPr>
        <w:tc>
          <w:tcPr>
            <w:tcW w:w="690" w:type="dxa"/>
            <w:tcBorders>
              <w:top w:val="single" w:sz="8" w:space="0" w:color="000000"/>
              <w:left w:val="single" w:sz="8" w:space="0" w:color="000000"/>
              <w:bottom w:val="single" w:sz="8" w:space="0" w:color="000000"/>
              <w:right w:val="single" w:sz="8" w:space="0" w:color="000000"/>
            </w:tcBorders>
            <w:vAlign w:val="center"/>
          </w:tcPr>
          <w:p w:rsidR="00B43CEA" w:rsidRPr="00B43CEA" w:rsidRDefault="00B43CEA" w:rsidP="00B43CEA">
            <w:pPr>
              <w:pStyle w:val="biaogecenter"/>
              <w:wordWrap w:val="0"/>
              <w:rPr>
                <w:sz w:val="21"/>
                <w:szCs w:val="21"/>
              </w:rPr>
            </w:pP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合计</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28,758,122.60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26.32</w:t>
            </w:r>
          </w:p>
        </w:tc>
      </w:tr>
    </w:tbl>
    <w:p w:rsidR="00B43CEA" w:rsidRPr="00B43CEA" w:rsidRDefault="00B43CEA" w:rsidP="001106E1">
      <w:pPr>
        <w:pStyle w:val="zhangjiep2"/>
        <w:ind w:left="0"/>
        <w:rPr>
          <w:bCs/>
          <w:sz w:val="21"/>
          <w:szCs w:val="21"/>
        </w:rPr>
      </w:pPr>
      <w:r w:rsidRPr="00B43CEA">
        <w:rPr>
          <w:rFonts w:hint="eastAsia"/>
          <w:bCs/>
          <w:sz w:val="21"/>
          <w:szCs w:val="21"/>
        </w:rPr>
        <w:t>（</w:t>
      </w:r>
      <w:r w:rsidRPr="00B43CEA">
        <w:rPr>
          <w:bCs/>
          <w:sz w:val="21"/>
          <w:szCs w:val="21"/>
        </w:rPr>
        <w:t xml:space="preserve">2） </w:t>
      </w:r>
      <w:r w:rsidRPr="00B43CEA">
        <w:rPr>
          <w:rFonts w:hint="eastAsia"/>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本基金本报告期末未持有港股通投资股票。</w:t>
      </w:r>
    </w:p>
    <w:p w:rsidR="00B43CEA" w:rsidRPr="00B43CEA" w:rsidRDefault="00B43CEA" w:rsidP="00B43CEA">
      <w:pPr>
        <w:pStyle w:val="zhangjiep"/>
        <w:ind w:left="0"/>
        <w:rPr>
          <w:sz w:val="21"/>
          <w:szCs w:val="21"/>
        </w:rPr>
      </w:pPr>
      <w:bookmarkStart w:id="30" w:name="_Toc522885451"/>
      <w:r w:rsidRPr="00B43CEA">
        <w:rPr>
          <w:bCs/>
          <w:sz w:val="21"/>
          <w:szCs w:val="21"/>
        </w:rPr>
        <w:t xml:space="preserve">3、 </w:t>
      </w:r>
      <w:r w:rsidRPr="00B43CEA">
        <w:rPr>
          <w:rFonts w:hint="eastAsia"/>
          <w:bCs/>
          <w:sz w:val="21"/>
          <w:szCs w:val="21"/>
        </w:rPr>
        <w:t>期末按公允价值占基金资产净值比例大小排序的所有股票投资明细</w:t>
      </w:r>
      <w:bookmarkEnd w:id="30"/>
    </w:p>
    <w:p w:rsidR="00B43CEA" w:rsidRPr="00B43CEA" w:rsidRDefault="00B43CEA" w:rsidP="00B43CEA">
      <w:pPr>
        <w:pStyle w:val="biaogeright"/>
        <w:rPr>
          <w:sz w:val="21"/>
          <w:szCs w:val="21"/>
        </w:rPr>
      </w:pPr>
      <w:r w:rsidRPr="00B43CEA">
        <w:rPr>
          <w:rFonts w:hint="eastAsia"/>
          <w:color w:val="000000"/>
          <w:sz w:val="21"/>
          <w:szCs w:val="21"/>
        </w:rPr>
        <w:t>金额单位：人民币元</w:t>
      </w:r>
    </w:p>
    <w:tbl>
      <w:tblPr>
        <w:tblW w:w="8285" w:type="dxa"/>
        <w:tblInd w:w="108" w:type="dxa"/>
        <w:tblLook w:val="04A0" w:firstRow="1" w:lastRow="0" w:firstColumn="1" w:lastColumn="0" w:noHBand="0" w:noVBand="1"/>
      </w:tblPr>
      <w:tblGrid>
        <w:gridCol w:w="762"/>
        <w:gridCol w:w="1453"/>
        <w:gridCol w:w="1453"/>
        <w:gridCol w:w="1356"/>
        <w:gridCol w:w="1756"/>
        <w:gridCol w:w="1505"/>
      </w:tblGrid>
      <w:tr w:rsidR="00B43CEA" w:rsidRPr="00B43CEA" w:rsidTr="00B43CEA">
        <w:trPr>
          <w:trHeight w:val="1150"/>
        </w:trPr>
        <w:tc>
          <w:tcPr>
            <w:tcW w:w="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序号</w:t>
            </w:r>
          </w:p>
        </w:tc>
        <w:tc>
          <w:tcPr>
            <w:tcW w:w="145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股票代码</w:t>
            </w:r>
          </w:p>
        </w:tc>
        <w:tc>
          <w:tcPr>
            <w:tcW w:w="145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股票名称</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数量</w:t>
            </w:r>
            <w:r w:rsidRPr="00B43CEA">
              <w:rPr>
                <w:color w:val="000000"/>
                <w:sz w:val="21"/>
                <w:szCs w:val="21"/>
              </w:rPr>
              <w:t>(股)</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公允价值</w:t>
            </w:r>
            <w:r w:rsidRPr="00B43CEA">
              <w:rPr>
                <w:color w:val="000000"/>
                <w:sz w:val="21"/>
                <w:szCs w:val="21"/>
              </w:rPr>
              <w:t>(元)</w:t>
            </w:r>
          </w:p>
        </w:tc>
        <w:tc>
          <w:tcPr>
            <w:tcW w:w="150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占基金资产净值比例</w:t>
            </w:r>
            <w:r w:rsidRPr="00B43CEA">
              <w:rPr>
                <w:color w:val="000000"/>
                <w:sz w:val="21"/>
                <w:szCs w:val="21"/>
              </w:rPr>
              <w:t>(%)</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000830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鲁西化工</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190,000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3,245,200.00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2.97</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600887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伊利股份</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90,000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2,511,000.00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2.30</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300357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我武生物</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60,980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2,431,272.60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2.23</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002384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东山精密</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88,800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2,131,200.00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1.95</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600196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复星医药</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50,000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2,069,500.00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1.89</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601233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proofErr w:type="gramStart"/>
            <w:r w:rsidRPr="00B43CEA">
              <w:rPr>
                <w:rFonts w:hint="eastAsia"/>
                <w:color w:val="000000"/>
                <w:sz w:val="21"/>
                <w:szCs w:val="21"/>
              </w:rPr>
              <w:t>桐昆股份</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120,000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2,066,400.00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1.89</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600348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阳泉煤业</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280,000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2,002,000.00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1.83</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保利地产</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1,586,000.00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1.45</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000703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proofErr w:type="gramStart"/>
            <w:r w:rsidRPr="00B43CEA">
              <w:rPr>
                <w:rFonts w:hint="eastAsia"/>
                <w:color w:val="000000"/>
                <w:sz w:val="21"/>
                <w:szCs w:val="21"/>
              </w:rPr>
              <w:t>恒逸石化</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100,000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1,488,000.00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1.36</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000651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格力电器</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1,414,500.00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1.29</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002217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合力泰</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155,000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1,278,750.00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1.17</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石基信息</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40,000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1,160,000.00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1.06</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002044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美</w:t>
            </w:r>
            <w:proofErr w:type="gramStart"/>
            <w:r w:rsidRPr="00B43CEA">
              <w:rPr>
                <w:rFonts w:hint="eastAsia"/>
                <w:color w:val="000000"/>
                <w:sz w:val="21"/>
                <w:szCs w:val="21"/>
              </w:rPr>
              <w:t>年健康</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48,000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1,084,800.00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0.99</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lastRenderedPageBreak/>
              <w:t>14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600584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长电科技</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45,000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762,300.00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0.70</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300097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proofErr w:type="gramStart"/>
            <w:r w:rsidRPr="00B43CEA">
              <w:rPr>
                <w:rFonts w:hint="eastAsia"/>
                <w:color w:val="000000"/>
                <w:sz w:val="21"/>
                <w:szCs w:val="21"/>
              </w:rPr>
              <w:t>智云股份</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40,000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708,800.00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0.65</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300072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三聚环保</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698,400.00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0.64</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002737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葵花药业</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648,900.00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0.59</w:t>
            </w:r>
          </w:p>
        </w:tc>
      </w:tr>
      <w:tr w:rsidR="00B43CEA" w:rsidRPr="00B43CEA" w:rsidTr="00B43CEA">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300373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扬杰科技</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572,000.00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0.52</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600702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舍得酒业</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541,350.00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0.50</w:t>
            </w:r>
          </w:p>
        </w:tc>
      </w:tr>
      <w:tr w:rsidR="00B43CEA" w:rsidRPr="00B43CEA" w:rsidTr="00B43CEA">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20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000977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浪潮信息</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357,750.00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0.33</w:t>
            </w:r>
          </w:p>
        </w:tc>
      </w:tr>
    </w:tbl>
    <w:p w:rsidR="00B43CEA" w:rsidRPr="00B43CEA" w:rsidRDefault="00B43CEA" w:rsidP="00B43CEA">
      <w:pPr>
        <w:pStyle w:val="zhangjiep"/>
        <w:ind w:left="0"/>
        <w:rPr>
          <w:sz w:val="21"/>
          <w:szCs w:val="21"/>
        </w:rPr>
      </w:pPr>
      <w:bookmarkStart w:id="31" w:name="_Toc522885452"/>
      <w:r w:rsidRPr="00B43CEA">
        <w:rPr>
          <w:bCs/>
          <w:sz w:val="21"/>
          <w:szCs w:val="21"/>
        </w:rPr>
        <w:t>4、报告期内股票投资组合的重大变动</w:t>
      </w:r>
      <w:bookmarkEnd w:id="31"/>
    </w:p>
    <w:p w:rsidR="00B43CEA" w:rsidRPr="00B43CEA" w:rsidRDefault="00B43CEA" w:rsidP="00B43CEA">
      <w:pPr>
        <w:pStyle w:val="zhangjiep2"/>
        <w:ind w:left="0"/>
        <w:rPr>
          <w:sz w:val="21"/>
          <w:szCs w:val="21"/>
        </w:rPr>
      </w:pPr>
      <w:r w:rsidRPr="00B43CEA">
        <w:rPr>
          <w:rFonts w:hint="eastAsia"/>
          <w:bCs/>
          <w:sz w:val="21"/>
          <w:szCs w:val="21"/>
        </w:rPr>
        <w:t>（</w:t>
      </w:r>
      <w:r w:rsidRPr="00B43CEA">
        <w:rPr>
          <w:bCs/>
          <w:sz w:val="21"/>
          <w:szCs w:val="21"/>
        </w:rPr>
        <w:t>1）累计买入金额超出期末基金资产净值2%或前20名的股票明细</w:t>
      </w:r>
    </w:p>
    <w:p w:rsidR="00B43CEA" w:rsidRPr="00B43CEA" w:rsidRDefault="00B43CEA" w:rsidP="00B43CEA">
      <w:pPr>
        <w:pStyle w:val="biaogeright"/>
        <w:rPr>
          <w:sz w:val="21"/>
          <w:szCs w:val="21"/>
        </w:rPr>
      </w:pPr>
      <w:r w:rsidRPr="00B43CEA">
        <w:rPr>
          <w:rFonts w:hint="eastAsia"/>
          <w:color w:val="000000"/>
          <w:sz w:val="21"/>
          <w:szCs w:val="21"/>
        </w:rPr>
        <w:t>金额单位：人民币元</w:t>
      </w:r>
    </w:p>
    <w:tbl>
      <w:tblPr>
        <w:tblW w:w="8222" w:type="dxa"/>
        <w:tblInd w:w="108" w:type="dxa"/>
        <w:tblLook w:val="04A0" w:firstRow="1" w:lastRow="0" w:firstColumn="1" w:lastColumn="0" w:noHBand="0" w:noVBand="1"/>
      </w:tblPr>
      <w:tblGrid>
        <w:gridCol w:w="851"/>
        <w:gridCol w:w="1762"/>
        <w:gridCol w:w="1762"/>
        <w:gridCol w:w="2056"/>
        <w:gridCol w:w="1791"/>
      </w:tblGrid>
      <w:tr w:rsidR="00B43CEA" w:rsidRPr="00B43CEA" w:rsidTr="00B43CEA">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序号</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股票代码</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股票名称</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本期累计买入金额</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占期末基金资产净值比例</w:t>
            </w:r>
            <w:r w:rsidRPr="00B43CEA">
              <w:rPr>
                <w:color w:val="000000"/>
                <w:sz w:val="21"/>
                <w:szCs w:val="21"/>
              </w:rPr>
              <w:t>(%)</w:t>
            </w:r>
          </w:p>
        </w:tc>
      </w:tr>
      <w:tr w:rsidR="00B43CEA" w:rsidRPr="00B43CEA" w:rsidTr="00B43CEA">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600048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保利地产</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7,528,800.00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6.89</w:t>
            </w:r>
          </w:p>
        </w:tc>
      </w:tr>
      <w:tr w:rsidR="00B43CEA" w:rsidRPr="00B43CEA" w:rsidTr="00B43CEA">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2</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000830</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鲁西化工</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6,442,357.00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5.90</w:t>
            </w:r>
          </w:p>
        </w:tc>
      </w:tr>
      <w:tr w:rsidR="00B43CEA" w:rsidRPr="00B43CEA" w:rsidTr="00B43CEA">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601088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中国神华</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4,074,653.00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3.73</w:t>
            </w:r>
          </w:p>
        </w:tc>
      </w:tr>
      <w:tr w:rsidR="00B43CEA" w:rsidRPr="00B43CEA" w:rsidTr="00B43CEA">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4</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600887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伊利股份</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3,679,800.00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3.37</w:t>
            </w:r>
          </w:p>
        </w:tc>
      </w:tr>
      <w:tr w:rsidR="00B43CEA" w:rsidRPr="00B43CEA" w:rsidTr="00B43CEA">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600348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阳泉煤业</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3,187,133.00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2.92</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600585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海螺水泥</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2,773,258.00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2.54</w:t>
            </w:r>
          </w:p>
        </w:tc>
      </w:tr>
      <w:tr w:rsidR="00B43CEA" w:rsidRPr="00B43CEA" w:rsidTr="00B43CEA">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002195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二三四五</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2,699,286.00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2.47</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600019</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宝钢股份</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2,646,092.76</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2.42</w:t>
            </w:r>
          </w:p>
        </w:tc>
      </w:tr>
      <w:tr w:rsidR="00B43CEA" w:rsidRPr="00B43CEA" w:rsidTr="00B43CEA">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9</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300357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我武生物</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2,502,970.00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2.29</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10</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600196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复星医药</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2,246,400.00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2.06</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11</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601225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陕西煤业</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2,104,500.00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1.93</w:t>
            </w:r>
          </w:p>
        </w:tc>
      </w:tr>
      <w:tr w:rsidR="00B43CEA" w:rsidRPr="00B43CEA" w:rsidTr="00B43CEA">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12</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002384</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东山精密</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2,070,175.00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1.90</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601233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proofErr w:type="gramStart"/>
            <w:r w:rsidRPr="00B43CEA">
              <w:rPr>
                <w:rFonts w:hint="eastAsia"/>
                <w:color w:val="000000"/>
                <w:sz w:val="21"/>
                <w:szCs w:val="21"/>
              </w:rPr>
              <w:t>桐昆股份</w:t>
            </w:r>
            <w:proofErr w:type="gramEnd"/>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2,040,257.00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1.87</w:t>
            </w:r>
          </w:p>
        </w:tc>
      </w:tr>
      <w:tr w:rsidR="00B43CEA" w:rsidRPr="00B43CEA" w:rsidTr="00B43CEA">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14</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300097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proofErr w:type="gramStart"/>
            <w:r w:rsidRPr="00B43CEA">
              <w:rPr>
                <w:rFonts w:hint="eastAsia"/>
                <w:color w:val="000000"/>
                <w:sz w:val="21"/>
                <w:szCs w:val="21"/>
              </w:rPr>
              <w:t>智云股份</w:t>
            </w:r>
            <w:proofErr w:type="gramEnd"/>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1,986,049.40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1.82</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002153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石基信息</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1,893,050.00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1.73</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000651</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格力电器</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1,817,500.00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1.66</w:t>
            </w:r>
          </w:p>
        </w:tc>
      </w:tr>
      <w:tr w:rsidR="00B43CEA" w:rsidRPr="00B43CEA" w:rsidTr="00B43CEA">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601006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大秦铁路</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1,760,000.00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1.61</w:t>
            </w:r>
          </w:p>
        </w:tc>
      </w:tr>
      <w:tr w:rsidR="00B43CEA" w:rsidRPr="00B43CEA" w:rsidTr="00B43CEA">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000002</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万</w:t>
            </w:r>
            <w:r w:rsidRPr="00B43CEA">
              <w:rPr>
                <w:color w:val="000000"/>
                <w:sz w:val="21"/>
                <w:szCs w:val="21"/>
              </w:rPr>
              <w:t xml:space="preserve"> </w:t>
            </w:r>
            <w:r w:rsidRPr="00B43CEA">
              <w:rPr>
                <w:rFonts w:hint="eastAsia"/>
                <w:color w:val="000000"/>
                <w:sz w:val="21"/>
                <w:szCs w:val="21"/>
              </w:rPr>
              <w:t>科Ａ</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1,693,800.00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1.55</w:t>
            </w:r>
          </w:p>
        </w:tc>
      </w:tr>
      <w:tr w:rsidR="00B43CEA" w:rsidRPr="00B43CEA" w:rsidTr="00B43CEA">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19</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000703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proofErr w:type="gramStart"/>
            <w:r w:rsidRPr="00B43CEA">
              <w:rPr>
                <w:rFonts w:hint="eastAsia"/>
                <w:color w:val="000000"/>
                <w:sz w:val="21"/>
                <w:szCs w:val="21"/>
              </w:rPr>
              <w:t>恒逸石化</w:t>
            </w:r>
            <w:proofErr w:type="gramEnd"/>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1,473,364.00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1.35</w:t>
            </w:r>
          </w:p>
        </w:tc>
      </w:tr>
      <w:tr w:rsidR="00B43CEA" w:rsidRPr="00B43CEA" w:rsidTr="00B43CEA">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lastRenderedPageBreak/>
              <w:t>20</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002217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合力泰</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1,316,950.00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1.21</w:t>
            </w:r>
          </w:p>
        </w:tc>
      </w:tr>
    </w:tbl>
    <w:p w:rsidR="00B43CEA" w:rsidRPr="00B43CEA" w:rsidRDefault="00B43CEA" w:rsidP="00B43CEA">
      <w:pPr>
        <w:pStyle w:val="neirong"/>
        <w:rPr>
          <w:sz w:val="21"/>
          <w:szCs w:val="21"/>
        </w:rPr>
      </w:pPr>
      <w:r w:rsidRPr="00B43CEA">
        <w:rPr>
          <w:rFonts w:hint="eastAsia"/>
          <w:sz w:val="21"/>
          <w:szCs w:val="21"/>
        </w:rPr>
        <w:t>注：买入金额按买卖成交金额（成交单价乘以成交数量）填列，不考虑相关交易费用。</w:t>
      </w:r>
    </w:p>
    <w:p w:rsidR="00B43CEA" w:rsidRPr="00B43CEA" w:rsidRDefault="00B43CEA" w:rsidP="00B43CEA">
      <w:pPr>
        <w:pStyle w:val="zhangjiep2"/>
        <w:ind w:left="0"/>
        <w:rPr>
          <w:sz w:val="21"/>
          <w:szCs w:val="21"/>
        </w:rPr>
      </w:pPr>
      <w:r w:rsidRPr="00B43CEA">
        <w:rPr>
          <w:rFonts w:hint="eastAsia"/>
          <w:bCs/>
          <w:sz w:val="21"/>
          <w:szCs w:val="21"/>
        </w:rPr>
        <w:t>（</w:t>
      </w:r>
      <w:r w:rsidRPr="00B43CEA">
        <w:rPr>
          <w:bCs/>
          <w:sz w:val="21"/>
          <w:szCs w:val="21"/>
        </w:rPr>
        <w:t>2）累计卖出金额超出期末基金资产净值2%或前20名的股票明细</w:t>
      </w:r>
    </w:p>
    <w:p w:rsidR="00B43CEA" w:rsidRPr="00B43CEA" w:rsidRDefault="00B43CEA" w:rsidP="00B43CEA">
      <w:pPr>
        <w:pStyle w:val="biaogeright"/>
        <w:rPr>
          <w:sz w:val="21"/>
          <w:szCs w:val="21"/>
        </w:rPr>
      </w:pPr>
      <w:r w:rsidRPr="00B43CEA">
        <w:rPr>
          <w:rFonts w:hint="eastAsia"/>
          <w:color w:val="000000"/>
          <w:sz w:val="21"/>
          <w:szCs w:val="21"/>
        </w:rPr>
        <w:t>金额单位：人民币元</w:t>
      </w:r>
    </w:p>
    <w:tbl>
      <w:tblPr>
        <w:tblW w:w="8252" w:type="dxa"/>
        <w:tblInd w:w="108" w:type="dxa"/>
        <w:tblLook w:val="04A0" w:firstRow="1" w:lastRow="0" w:firstColumn="1" w:lastColumn="0" w:noHBand="0" w:noVBand="1"/>
      </w:tblPr>
      <w:tblGrid>
        <w:gridCol w:w="854"/>
        <w:gridCol w:w="1768"/>
        <w:gridCol w:w="1768"/>
        <w:gridCol w:w="2064"/>
        <w:gridCol w:w="1798"/>
      </w:tblGrid>
      <w:tr w:rsidR="00B43CEA" w:rsidRPr="00B43CEA" w:rsidTr="00B43CEA">
        <w:trPr>
          <w:trHeight w:val="54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序号</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股票代码</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股票名称</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本期累计卖出金额</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占期末基金资产净值比例</w:t>
            </w:r>
            <w:r w:rsidRPr="00B43CEA">
              <w:rPr>
                <w:color w:val="000000"/>
                <w:sz w:val="21"/>
                <w:szCs w:val="21"/>
              </w:rPr>
              <w:t>(%)</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600048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保利地产</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5,678,736.00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5.20</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601088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中国神华</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3,908,563.76</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3.58</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600585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海螺水泥</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2,487,000.00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2.28</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600019</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宝钢股份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2,455,700.00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2.25</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000830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鲁西化工</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2,342,400.00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2.14</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6</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002195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二三四五</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2,188,000.00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2.00</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601225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陕西煤业</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2,140,000.00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1.96</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601006</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大秦铁路</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1,778,000.00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1.63</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9</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000002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万</w:t>
            </w:r>
            <w:r w:rsidRPr="00B43CEA">
              <w:rPr>
                <w:color w:val="000000"/>
                <w:sz w:val="21"/>
                <w:szCs w:val="21"/>
              </w:rPr>
              <w:t xml:space="preserve"> </w:t>
            </w:r>
            <w:r w:rsidRPr="00B43CEA">
              <w:rPr>
                <w:rFonts w:hint="eastAsia"/>
                <w:color w:val="000000"/>
                <w:sz w:val="21"/>
                <w:szCs w:val="21"/>
              </w:rPr>
              <w:t>科Ａ</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1,524,000.00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1.40</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600348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阳泉煤业</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1,239,900.00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1.13</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11</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600887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伊利股份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944,015.00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0.86</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300470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日机密封</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932,380.00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0.85</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300097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proofErr w:type="gramStart"/>
            <w:r w:rsidRPr="00B43CEA">
              <w:rPr>
                <w:rFonts w:hint="eastAsia"/>
                <w:color w:val="000000"/>
                <w:sz w:val="21"/>
                <w:szCs w:val="21"/>
              </w:rPr>
              <w:t>智云股份</w:t>
            </w:r>
            <w:proofErr w:type="gramEnd"/>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913,200.00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0.84</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000977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浪潮信息</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836,150.00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0.77</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601857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中国石油</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798,000.00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0.73</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16</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002153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石基信息</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751,100.00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0.69</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002234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民和股份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750,736.00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0.69</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300373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扬杰科技</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679,726.00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0.62</w:t>
            </w:r>
          </w:p>
        </w:tc>
      </w:tr>
      <w:tr w:rsidR="00B43CEA" w:rsidRPr="00B43CEA" w:rsidTr="00B43CEA">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19</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002422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科伦药业</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671,150.00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0.61</w:t>
            </w:r>
          </w:p>
        </w:tc>
      </w:tr>
      <w:tr w:rsidR="00B43CEA" w:rsidRPr="00B43CEA" w:rsidTr="00B43CEA">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color w:val="000000"/>
                <w:sz w:val="21"/>
                <w:szCs w:val="21"/>
              </w:rPr>
              <w:t>20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color w:val="000000"/>
                <w:sz w:val="21"/>
                <w:szCs w:val="21"/>
              </w:rPr>
              <w:t>600884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color w:val="000000"/>
                <w:sz w:val="21"/>
                <w:szCs w:val="21"/>
              </w:rPr>
              <w:t>杉</w:t>
            </w:r>
            <w:proofErr w:type="gramStart"/>
            <w:r w:rsidRPr="00B43CEA">
              <w:rPr>
                <w:rFonts w:hint="eastAsia"/>
                <w:color w:val="000000"/>
                <w:sz w:val="21"/>
                <w:szCs w:val="21"/>
              </w:rPr>
              <w:t>杉</w:t>
            </w:r>
            <w:proofErr w:type="gramEnd"/>
            <w:r w:rsidRPr="00B43CEA">
              <w:rPr>
                <w:rFonts w:hint="eastAsia"/>
                <w:color w:val="000000"/>
                <w:sz w:val="21"/>
                <w:szCs w:val="21"/>
              </w:rPr>
              <w:t>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555,118.00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color w:val="000000"/>
                <w:sz w:val="21"/>
                <w:szCs w:val="21"/>
              </w:rPr>
              <w:t>0.51</w:t>
            </w:r>
          </w:p>
        </w:tc>
      </w:tr>
    </w:tbl>
    <w:p w:rsidR="00B43CEA" w:rsidRPr="00B43CEA" w:rsidRDefault="00B43CEA" w:rsidP="00B43CEA">
      <w:pPr>
        <w:pStyle w:val="neirong"/>
        <w:rPr>
          <w:sz w:val="21"/>
          <w:szCs w:val="21"/>
        </w:rPr>
      </w:pPr>
      <w:r w:rsidRPr="00B43CEA">
        <w:rPr>
          <w:rFonts w:hint="eastAsia"/>
          <w:sz w:val="21"/>
          <w:szCs w:val="21"/>
        </w:rPr>
        <w:t>注：卖出金额按买卖成交金额（成交单价乘以成交数量）填列，不考虑相关交易费用。</w:t>
      </w:r>
    </w:p>
    <w:p w:rsidR="00B43CEA" w:rsidRPr="00B43CEA" w:rsidRDefault="00B43CEA" w:rsidP="00B43CEA">
      <w:pPr>
        <w:pStyle w:val="zhangjiep2"/>
        <w:ind w:left="0"/>
        <w:rPr>
          <w:sz w:val="21"/>
          <w:szCs w:val="21"/>
        </w:rPr>
      </w:pPr>
      <w:r w:rsidRPr="00B43CEA">
        <w:rPr>
          <w:rFonts w:hint="eastAsia"/>
          <w:bCs/>
          <w:sz w:val="21"/>
          <w:szCs w:val="21"/>
        </w:rPr>
        <w:t>（</w:t>
      </w:r>
      <w:r w:rsidRPr="00B43CEA">
        <w:rPr>
          <w:bCs/>
          <w:sz w:val="21"/>
          <w:szCs w:val="21"/>
        </w:rPr>
        <w:t>3）买入股票的成本总额及卖出股票的收入总额</w:t>
      </w:r>
    </w:p>
    <w:p w:rsidR="00B43CEA" w:rsidRPr="00B43CEA" w:rsidRDefault="00B43CEA" w:rsidP="00B43CEA">
      <w:pPr>
        <w:pStyle w:val="biaogeright"/>
        <w:rPr>
          <w:sz w:val="21"/>
          <w:szCs w:val="21"/>
        </w:rPr>
      </w:pPr>
      <w:r w:rsidRPr="00B43CEA">
        <w:rPr>
          <w:rFonts w:hint="eastAsia"/>
          <w:color w:val="000000"/>
          <w:sz w:val="21"/>
          <w:szCs w:val="21"/>
        </w:rPr>
        <w:t>单位：人民币元</w:t>
      </w:r>
    </w:p>
    <w:tbl>
      <w:tblPr>
        <w:tblW w:w="0" w:type="auto"/>
        <w:tblInd w:w="108" w:type="dxa"/>
        <w:tblLook w:val="04A0" w:firstRow="1" w:lastRow="0" w:firstColumn="1" w:lastColumn="0" w:noHBand="0" w:noVBand="1"/>
      </w:tblPr>
      <w:tblGrid>
        <w:gridCol w:w="3668"/>
        <w:gridCol w:w="4638"/>
      </w:tblGrid>
      <w:tr w:rsidR="00B43CEA" w:rsidRPr="00B43CEA" w:rsidTr="00B43CEA">
        <w:trPr>
          <w:trHeight w:val="403"/>
        </w:trPr>
        <w:tc>
          <w:tcPr>
            <w:tcW w:w="36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买入股票成本（成交）总额</w:t>
            </w:r>
          </w:p>
        </w:tc>
        <w:tc>
          <w:tcPr>
            <w:tcW w:w="463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68,257,787.55</w:t>
            </w:r>
          </w:p>
        </w:tc>
      </w:tr>
      <w:tr w:rsidR="00B43CEA" w:rsidRPr="00B43CEA" w:rsidTr="00B43CEA">
        <w:trPr>
          <w:trHeight w:val="424"/>
        </w:trPr>
        <w:tc>
          <w:tcPr>
            <w:tcW w:w="366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卖出股票收入（成交）总额</w:t>
            </w:r>
          </w:p>
        </w:tc>
        <w:tc>
          <w:tcPr>
            <w:tcW w:w="4638"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36,390,056.76</w:t>
            </w:r>
          </w:p>
        </w:tc>
      </w:tr>
    </w:tbl>
    <w:p w:rsidR="00B43CEA" w:rsidRPr="00B43CEA" w:rsidRDefault="00B43CEA" w:rsidP="00B43CEA">
      <w:pPr>
        <w:pStyle w:val="neirong"/>
        <w:rPr>
          <w:sz w:val="21"/>
          <w:szCs w:val="21"/>
        </w:rPr>
      </w:pPr>
      <w:r w:rsidRPr="00B43CEA">
        <w:rPr>
          <w:rFonts w:hint="eastAsia"/>
          <w:sz w:val="21"/>
          <w:szCs w:val="21"/>
        </w:rPr>
        <w:t>注：</w:t>
      </w:r>
      <w:r w:rsidRPr="00B43CEA">
        <w:rPr>
          <w:sz w:val="21"/>
          <w:szCs w:val="21"/>
        </w:rPr>
        <w:t>"买入股票成本""卖出股票收入"均按买卖成交金额（成交单价乘以成交数量）填列，不考虑相关交易费用。</w:t>
      </w:r>
    </w:p>
    <w:p w:rsidR="00B43CEA" w:rsidRPr="00B43CEA" w:rsidRDefault="00B43CEA" w:rsidP="00B43CEA">
      <w:pPr>
        <w:pStyle w:val="zhangjiep"/>
        <w:ind w:left="0"/>
        <w:rPr>
          <w:sz w:val="21"/>
          <w:szCs w:val="21"/>
        </w:rPr>
      </w:pPr>
      <w:bookmarkStart w:id="32" w:name="_Toc522885453"/>
      <w:r w:rsidRPr="00B43CEA">
        <w:rPr>
          <w:bCs/>
          <w:sz w:val="21"/>
          <w:szCs w:val="21"/>
        </w:rPr>
        <w:t xml:space="preserve">5、 </w:t>
      </w:r>
      <w:r w:rsidRPr="00B43CEA">
        <w:rPr>
          <w:rFonts w:hint="eastAsia"/>
          <w:bCs/>
          <w:sz w:val="21"/>
          <w:szCs w:val="21"/>
        </w:rPr>
        <w:t>期末按债券品种分类的债券投资组合</w:t>
      </w:r>
      <w:bookmarkEnd w:id="32"/>
    </w:p>
    <w:p w:rsidR="00B43CEA" w:rsidRPr="00B43CEA" w:rsidRDefault="00B43CEA" w:rsidP="00B43CEA">
      <w:pPr>
        <w:pStyle w:val="neirong"/>
        <w:ind w:leftChars="7" w:firstLineChars="200" w:firstLine="420"/>
        <w:rPr>
          <w:sz w:val="21"/>
          <w:szCs w:val="21"/>
        </w:rPr>
      </w:pPr>
      <w:r w:rsidRPr="00B43CEA">
        <w:rPr>
          <w:rFonts w:hint="eastAsia"/>
          <w:sz w:val="21"/>
          <w:szCs w:val="21"/>
        </w:rPr>
        <w:lastRenderedPageBreak/>
        <w:t>本基金本报告期末未持有债券。</w:t>
      </w:r>
    </w:p>
    <w:p w:rsidR="00B43CEA" w:rsidRPr="00B43CEA" w:rsidRDefault="00B43CEA" w:rsidP="00B43CEA">
      <w:pPr>
        <w:pStyle w:val="zhangjiep"/>
        <w:ind w:left="0"/>
        <w:rPr>
          <w:sz w:val="21"/>
          <w:szCs w:val="21"/>
        </w:rPr>
      </w:pPr>
      <w:bookmarkStart w:id="33" w:name="_Toc522885454"/>
      <w:r w:rsidRPr="00B43CEA">
        <w:rPr>
          <w:bCs/>
          <w:sz w:val="21"/>
          <w:szCs w:val="21"/>
        </w:rPr>
        <w:t>6、期末按公允价值占基金资产净值比例大小排序的前五名债券投资明细</w:t>
      </w:r>
      <w:bookmarkEnd w:id="33"/>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本基金本报告期末未持有债券。</w:t>
      </w:r>
    </w:p>
    <w:p w:rsidR="00B43CEA" w:rsidRPr="00B43CEA" w:rsidRDefault="00B43CEA" w:rsidP="00B43CEA">
      <w:pPr>
        <w:pStyle w:val="zhangjiep"/>
        <w:ind w:left="0"/>
        <w:rPr>
          <w:sz w:val="21"/>
          <w:szCs w:val="21"/>
        </w:rPr>
      </w:pPr>
      <w:bookmarkStart w:id="34" w:name="_Toc522885455"/>
      <w:r w:rsidRPr="00B43CEA">
        <w:rPr>
          <w:bCs/>
          <w:sz w:val="21"/>
          <w:szCs w:val="21"/>
        </w:rPr>
        <w:t>7、期末按公允价值占基金资产净值比例大小排序的所有资产支持证券投资明细</w:t>
      </w:r>
      <w:bookmarkEnd w:id="34"/>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本基金本报告期末未持有资产支持证券。</w:t>
      </w:r>
    </w:p>
    <w:p w:rsidR="00B43CEA" w:rsidRPr="00B43CEA" w:rsidRDefault="00B43CEA" w:rsidP="00B43CEA">
      <w:pPr>
        <w:pStyle w:val="zhangjiep"/>
        <w:ind w:left="0"/>
        <w:rPr>
          <w:sz w:val="21"/>
          <w:szCs w:val="21"/>
        </w:rPr>
      </w:pPr>
      <w:bookmarkStart w:id="35" w:name="_Toc522885456"/>
      <w:r w:rsidRPr="00B43CEA">
        <w:rPr>
          <w:bCs/>
          <w:sz w:val="21"/>
          <w:szCs w:val="21"/>
        </w:rPr>
        <w:t>8、报告期末按公允价值占基金资产净值比例大小排序的前五名贵金属投资明细</w:t>
      </w:r>
      <w:bookmarkEnd w:id="35"/>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本基金本报告期末未持有贵金属。</w:t>
      </w:r>
    </w:p>
    <w:p w:rsidR="00B43CEA" w:rsidRPr="00B43CEA" w:rsidRDefault="00B43CEA" w:rsidP="00B43CEA">
      <w:pPr>
        <w:pStyle w:val="zhangjiep"/>
        <w:ind w:left="0"/>
        <w:rPr>
          <w:sz w:val="21"/>
          <w:szCs w:val="21"/>
        </w:rPr>
      </w:pPr>
      <w:bookmarkStart w:id="36" w:name="_Toc522885457"/>
      <w:r w:rsidRPr="00B43CEA">
        <w:rPr>
          <w:bCs/>
          <w:sz w:val="21"/>
          <w:szCs w:val="21"/>
        </w:rPr>
        <w:t xml:space="preserve">9、 </w:t>
      </w:r>
      <w:r w:rsidRPr="00B43CEA">
        <w:rPr>
          <w:rFonts w:hint="eastAsia"/>
          <w:bCs/>
          <w:sz w:val="21"/>
          <w:szCs w:val="21"/>
        </w:rPr>
        <w:t>期末按公允价值占基金资产净值比例大小排序的前五名权证投资明细</w:t>
      </w:r>
      <w:bookmarkEnd w:id="36"/>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本基金本报告期末未持有权证。</w:t>
      </w:r>
    </w:p>
    <w:p w:rsidR="00B43CEA" w:rsidRPr="00B43CEA" w:rsidRDefault="00B43CEA" w:rsidP="00B43CEA">
      <w:pPr>
        <w:pStyle w:val="zhangjiep"/>
        <w:ind w:left="0"/>
        <w:rPr>
          <w:sz w:val="21"/>
          <w:szCs w:val="21"/>
        </w:rPr>
      </w:pPr>
      <w:bookmarkStart w:id="37" w:name="_Toc522885458"/>
      <w:r w:rsidRPr="00B43CEA">
        <w:rPr>
          <w:bCs/>
          <w:sz w:val="21"/>
          <w:szCs w:val="21"/>
        </w:rPr>
        <w:t>10、报告期末本基金投资的股指期货交易情况说明</w:t>
      </w:r>
      <w:bookmarkEnd w:id="37"/>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本基金本报告期末无股指期货投资。</w:t>
      </w:r>
    </w:p>
    <w:p w:rsidR="00B43CEA" w:rsidRPr="00B43CEA" w:rsidRDefault="00B43CEA" w:rsidP="00B43CEA">
      <w:pPr>
        <w:pStyle w:val="zhangjiep"/>
        <w:ind w:left="0"/>
        <w:rPr>
          <w:sz w:val="21"/>
          <w:szCs w:val="21"/>
        </w:rPr>
      </w:pPr>
      <w:bookmarkStart w:id="38" w:name="_Toc522885459"/>
      <w:r w:rsidRPr="00B43CEA">
        <w:rPr>
          <w:bCs/>
          <w:sz w:val="21"/>
          <w:szCs w:val="21"/>
        </w:rPr>
        <w:t xml:space="preserve">11、 </w:t>
      </w:r>
      <w:r w:rsidRPr="00B43CEA">
        <w:rPr>
          <w:rFonts w:hint="eastAsia"/>
          <w:bCs/>
          <w:sz w:val="21"/>
          <w:szCs w:val="21"/>
        </w:rPr>
        <w:t>报告期末本基金投资的国债期货交易情况说明</w:t>
      </w:r>
      <w:bookmarkEnd w:id="38"/>
    </w:p>
    <w:p w:rsidR="00B43CEA" w:rsidRPr="00B43CEA" w:rsidRDefault="00B43CEA" w:rsidP="00B43CEA">
      <w:pPr>
        <w:pStyle w:val="neirong"/>
        <w:spacing w:before="0"/>
        <w:ind w:left="0" w:firstLine="480"/>
        <w:rPr>
          <w:sz w:val="21"/>
          <w:szCs w:val="21"/>
        </w:rPr>
      </w:pPr>
      <w:r w:rsidRPr="00B43CEA">
        <w:rPr>
          <w:rFonts w:hint="eastAsia"/>
          <w:sz w:val="21"/>
          <w:szCs w:val="21"/>
        </w:rPr>
        <w:t>本基金本报告期末无国债期货投资。</w:t>
      </w:r>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zhangjiep"/>
        <w:ind w:left="0"/>
        <w:rPr>
          <w:sz w:val="21"/>
          <w:szCs w:val="21"/>
        </w:rPr>
      </w:pPr>
      <w:bookmarkStart w:id="39" w:name="_Toc522885460"/>
      <w:r w:rsidRPr="00B43CEA">
        <w:rPr>
          <w:bCs/>
          <w:sz w:val="21"/>
          <w:szCs w:val="21"/>
        </w:rPr>
        <w:t>12、投资组合报告附注</w:t>
      </w:r>
      <w:bookmarkEnd w:id="39"/>
    </w:p>
    <w:p w:rsidR="00B43CEA" w:rsidRPr="00B43CEA" w:rsidRDefault="00B43CEA" w:rsidP="00B43CEA">
      <w:pPr>
        <w:pStyle w:val="zhangjiep2"/>
        <w:rPr>
          <w:sz w:val="21"/>
          <w:szCs w:val="21"/>
        </w:rPr>
      </w:pPr>
      <w:r w:rsidRPr="00B43CEA">
        <w:rPr>
          <w:rFonts w:hint="eastAsia"/>
          <w:bCs/>
          <w:sz w:val="21"/>
          <w:szCs w:val="21"/>
        </w:rPr>
        <w:t>（</w:t>
      </w:r>
      <w:r w:rsidRPr="00B43CEA">
        <w:rPr>
          <w:bCs/>
          <w:sz w:val="21"/>
          <w:szCs w:val="21"/>
        </w:rPr>
        <w:t>1）基金本报告期投资的前十名证券的发行主体,本报告期没有出现被监管部门立案调查的情形,也没有出现在报告编制日前一年内受到公开谴责、处罚的情形。</w:t>
      </w:r>
    </w:p>
    <w:p w:rsidR="00B43CEA" w:rsidRPr="00B43CEA" w:rsidRDefault="00B43CEA" w:rsidP="00B43CEA">
      <w:pPr>
        <w:pStyle w:val="zhangjiep2"/>
        <w:rPr>
          <w:sz w:val="21"/>
          <w:szCs w:val="21"/>
        </w:rPr>
      </w:pPr>
      <w:r w:rsidRPr="00B43CEA">
        <w:rPr>
          <w:rFonts w:hint="eastAsia"/>
          <w:bCs/>
          <w:sz w:val="21"/>
          <w:szCs w:val="21"/>
        </w:rPr>
        <w:t>（</w:t>
      </w:r>
      <w:r w:rsidRPr="00B43CEA">
        <w:rPr>
          <w:bCs/>
          <w:sz w:val="21"/>
          <w:szCs w:val="21"/>
        </w:rPr>
        <w:t xml:space="preserve">2） </w:t>
      </w:r>
      <w:r w:rsidRPr="00B43CEA">
        <w:rPr>
          <w:rFonts w:hint="eastAsia"/>
          <w:bCs/>
          <w:sz w:val="21"/>
          <w:szCs w:val="21"/>
        </w:rPr>
        <w:t>基金投资前十名股票未超出基金合同规定的备选股票库。</w:t>
      </w:r>
    </w:p>
    <w:p w:rsidR="00B43CEA" w:rsidRPr="00B43CEA" w:rsidRDefault="00B43CEA" w:rsidP="00B43CEA">
      <w:pPr>
        <w:pStyle w:val="zhangjiep2"/>
        <w:rPr>
          <w:sz w:val="21"/>
          <w:szCs w:val="21"/>
        </w:rPr>
      </w:pPr>
      <w:r w:rsidRPr="00B43CEA">
        <w:rPr>
          <w:rFonts w:hint="eastAsia"/>
          <w:bCs/>
          <w:sz w:val="21"/>
          <w:szCs w:val="21"/>
        </w:rPr>
        <w:t>（</w:t>
      </w:r>
      <w:r w:rsidRPr="00B43CEA">
        <w:rPr>
          <w:bCs/>
          <w:sz w:val="21"/>
          <w:szCs w:val="21"/>
        </w:rPr>
        <w:t xml:space="preserve">3） </w:t>
      </w:r>
      <w:r w:rsidRPr="00B43CEA">
        <w:rPr>
          <w:rFonts w:hint="eastAsia"/>
          <w:bCs/>
          <w:sz w:val="21"/>
          <w:szCs w:val="21"/>
        </w:rPr>
        <w:t>期末其他各项资产构成</w:t>
      </w:r>
    </w:p>
    <w:p w:rsidR="00B43CEA" w:rsidRPr="00B43CEA" w:rsidRDefault="00B43CEA" w:rsidP="00B43CEA">
      <w:pPr>
        <w:pStyle w:val="biaogeright"/>
        <w:rPr>
          <w:sz w:val="21"/>
          <w:szCs w:val="21"/>
        </w:rPr>
      </w:pPr>
      <w:r w:rsidRPr="00B43CEA">
        <w:rPr>
          <w:rFonts w:hint="eastAsia"/>
          <w:color w:val="000000"/>
          <w:sz w:val="21"/>
          <w:szCs w:val="21"/>
        </w:rPr>
        <w:t>单位：人民币元</w:t>
      </w:r>
    </w:p>
    <w:tbl>
      <w:tblPr>
        <w:tblW w:w="0" w:type="auto"/>
        <w:tblInd w:w="108" w:type="dxa"/>
        <w:tblLook w:val="04A0" w:firstRow="1" w:lastRow="0" w:firstColumn="1" w:lastColumn="0" w:noHBand="0" w:noVBand="1"/>
      </w:tblPr>
      <w:tblGrid>
        <w:gridCol w:w="693"/>
        <w:gridCol w:w="3325"/>
        <w:gridCol w:w="4310"/>
      </w:tblGrid>
      <w:tr w:rsidR="00B43CEA" w:rsidRPr="00B43CEA" w:rsidTr="00B43CEA">
        <w:trPr>
          <w:trHeight w:val="776"/>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序号</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名称</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sz w:val="21"/>
                <w:szCs w:val="21"/>
              </w:rPr>
              <w:t>金额</w:t>
            </w:r>
          </w:p>
        </w:tc>
      </w:tr>
      <w:tr w:rsidR="00B43CEA" w:rsidRPr="00B43CEA" w:rsidTr="00B43CEA">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1</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存出保证金</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14,613.86</w:t>
            </w:r>
          </w:p>
        </w:tc>
      </w:tr>
      <w:tr w:rsidR="00B43CEA" w:rsidRPr="00B43CEA" w:rsidTr="00B43CEA">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2</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应收证券清算款</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193,677.88</w:t>
            </w:r>
          </w:p>
        </w:tc>
      </w:tr>
      <w:tr w:rsidR="00B43CEA" w:rsidRPr="00B43CEA" w:rsidTr="00B43CEA">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3</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应收股利</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4</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应收利息</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-2,843.33</w:t>
            </w:r>
          </w:p>
        </w:tc>
      </w:tr>
      <w:tr w:rsidR="00B43CEA" w:rsidRPr="00B43CEA" w:rsidTr="00B43CEA">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5</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应收申购款</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6</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其他应收款</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7</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待摊费用</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8</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其他</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w:t>
            </w:r>
          </w:p>
        </w:tc>
      </w:tr>
      <w:tr w:rsidR="00B43CEA" w:rsidRPr="00B43CEA" w:rsidTr="00B43CEA">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9</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rPr>
                <w:sz w:val="21"/>
                <w:szCs w:val="21"/>
              </w:rPr>
            </w:pPr>
            <w:r w:rsidRPr="00B43CEA">
              <w:rPr>
                <w:rFonts w:hint="eastAsia"/>
                <w:sz w:val="21"/>
                <w:szCs w:val="21"/>
              </w:rPr>
              <w:t>合计</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right"/>
              <w:wordWrap w:val="0"/>
              <w:rPr>
                <w:sz w:val="21"/>
                <w:szCs w:val="21"/>
              </w:rPr>
            </w:pPr>
            <w:r w:rsidRPr="00B43CEA">
              <w:rPr>
                <w:sz w:val="21"/>
                <w:szCs w:val="21"/>
              </w:rPr>
              <w:t>205,448.41</w:t>
            </w:r>
          </w:p>
        </w:tc>
      </w:tr>
    </w:tbl>
    <w:p w:rsidR="00B43CEA" w:rsidRPr="00B43CEA" w:rsidRDefault="00B43CEA" w:rsidP="00B43CEA">
      <w:pPr>
        <w:widowControl/>
        <w:jc w:val="left"/>
        <w:rPr>
          <w:rFonts w:ascii="宋体" w:hAnsi="宋体" w:cs="宋体"/>
          <w:kern w:val="0"/>
          <w:szCs w:val="21"/>
        </w:rPr>
      </w:pPr>
    </w:p>
    <w:p w:rsidR="00B43CEA" w:rsidRPr="00B43CEA" w:rsidRDefault="00B43CEA" w:rsidP="00B43CEA">
      <w:pPr>
        <w:pStyle w:val="zhangjiep2"/>
        <w:rPr>
          <w:sz w:val="21"/>
          <w:szCs w:val="21"/>
        </w:rPr>
      </w:pPr>
      <w:r w:rsidRPr="00B43CEA">
        <w:rPr>
          <w:rFonts w:hint="eastAsia"/>
          <w:bCs/>
          <w:sz w:val="21"/>
          <w:szCs w:val="21"/>
        </w:rPr>
        <w:t>（</w:t>
      </w:r>
      <w:r w:rsidRPr="00B43CEA">
        <w:rPr>
          <w:bCs/>
          <w:sz w:val="21"/>
          <w:szCs w:val="21"/>
        </w:rPr>
        <w:t>4）期末持有的处于转股期的可转换债券明细</w:t>
      </w:r>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本基金本报告期末无可转换债券投资。</w:t>
      </w:r>
    </w:p>
    <w:p w:rsidR="00B43CEA" w:rsidRPr="00B43CEA" w:rsidRDefault="00B43CEA" w:rsidP="00B43CEA">
      <w:pPr>
        <w:pStyle w:val="zhangjiep2"/>
        <w:rPr>
          <w:sz w:val="21"/>
          <w:szCs w:val="21"/>
        </w:rPr>
      </w:pPr>
      <w:r w:rsidRPr="00B43CEA">
        <w:rPr>
          <w:rFonts w:hint="eastAsia"/>
          <w:bCs/>
          <w:sz w:val="21"/>
          <w:szCs w:val="21"/>
        </w:rPr>
        <w:t>（</w:t>
      </w:r>
      <w:r w:rsidRPr="00B43CEA">
        <w:rPr>
          <w:bCs/>
          <w:sz w:val="21"/>
          <w:szCs w:val="21"/>
        </w:rPr>
        <w:t xml:space="preserve">5） </w:t>
      </w:r>
      <w:proofErr w:type="gramStart"/>
      <w:r w:rsidRPr="00B43CEA">
        <w:rPr>
          <w:rFonts w:hint="eastAsia"/>
          <w:bCs/>
          <w:sz w:val="21"/>
          <w:szCs w:val="21"/>
        </w:rPr>
        <w:t>期末前</w:t>
      </w:r>
      <w:proofErr w:type="gramEnd"/>
      <w:r w:rsidRPr="00B43CEA">
        <w:rPr>
          <w:rFonts w:hint="eastAsia"/>
          <w:bCs/>
          <w:sz w:val="21"/>
          <w:szCs w:val="21"/>
        </w:rPr>
        <w:t>十名股票中存在流通受限情况的说明</w:t>
      </w:r>
    </w:p>
    <w:tbl>
      <w:tblPr>
        <w:tblW w:w="0" w:type="auto"/>
        <w:tblInd w:w="108" w:type="dxa"/>
        <w:tblLook w:val="04A0" w:firstRow="1" w:lastRow="0" w:firstColumn="1" w:lastColumn="0" w:noHBand="0" w:noVBand="1"/>
      </w:tblPr>
      <w:tblGrid>
        <w:gridCol w:w="222"/>
      </w:tblGrid>
      <w:tr w:rsidR="00B43CEA" w:rsidRPr="00B43CEA" w:rsidTr="00B43CEA">
        <w:tc>
          <w:tcPr>
            <w:tcW w:w="0" w:type="auto"/>
            <w:vAlign w:val="center"/>
            <w:hideMark/>
          </w:tcPr>
          <w:p w:rsidR="00B43CEA" w:rsidRPr="00B43CEA" w:rsidRDefault="00B43CEA" w:rsidP="00B43CEA">
            <w:pPr>
              <w:widowControl/>
              <w:jc w:val="left"/>
              <w:rPr>
                <w:rFonts w:ascii="宋体" w:hAnsi="宋体" w:cs="宋体"/>
                <w:kern w:val="0"/>
                <w:szCs w:val="21"/>
              </w:rPr>
            </w:pPr>
          </w:p>
        </w:tc>
      </w:tr>
    </w:tbl>
    <w:p w:rsidR="00B43CEA" w:rsidRPr="00B43CEA" w:rsidRDefault="00B43CEA" w:rsidP="00B43CEA">
      <w:pPr>
        <w:pStyle w:val="neirong"/>
        <w:ind w:leftChars="7" w:firstLineChars="200" w:firstLine="420"/>
        <w:rPr>
          <w:sz w:val="21"/>
          <w:szCs w:val="21"/>
        </w:rPr>
      </w:pPr>
      <w:r w:rsidRPr="00B43CEA">
        <w:rPr>
          <w:rFonts w:hint="eastAsia"/>
          <w:sz w:val="21"/>
          <w:szCs w:val="21"/>
        </w:rPr>
        <w:t>本基金本报告</w:t>
      </w:r>
      <w:proofErr w:type="gramStart"/>
      <w:r w:rsidRPr="00B43CEA">
        <w:rPr>
          <w:rFonts w:hint="eastAsia"/>
          <w:sz w:val="21"/>
          <w:szCs w:val="21"/>
        </w:rPr>
        <w:t>期末前</w:t>
      </w:r>
      <w:proofErr w:type="gramEnd"/>
      <w:r w:rsidRPr="00B43CEA">
        <w:rPr>
          <w:rFonts w:hint="eastAsia"/>
          <w:sz w:val="21"/>
          <w:szCs w:val="21"/>
        </w:rPr>
        <w:t>十名股票中不存在流通受限情况。</w:t>
      </w:r>
    </w:p>
    <w:p w:rsidR="00B43CEA" w:rsidRPr="00B43CEA" w:rsidRDefault="00B43CEA" w:rsidP="00B43CEA">
      <w:pPr>
        <w:pStyle w:val="zhangjiep2"/>
        <w:rPr>
          <w:sz w:val="21"/>
          <w:szCs w:val="21"/>
        </w:rPr>
      </w:pPr>
      <w:r w:rsidRPr="00B43CEA">
        <w:rPr>
          <w:rFonts w:hint="eastAsia"/>
          <w:bCs/>
          <w:sz w:val="21"/>
          <w:szCs w:val="21"/>
        </w:rPr>
        <w:lastRenderedPageBreak/>
        <w:t>（</w:t>
      </w:r>
      <w:r w:rsidRPr="00B43CEA">
        <w:rPr>
          <w:bCs/>
          <w:sz w:val="21"/>
          <w:szCs w:val="21"/>
        </w:rPr>
        <w:t xml:space="preserve">6） </w:t>
      </w:r>
      <w:r w:rsidRPr="00B43CEA">
        <w:rPr>
          <w:rFonts w:hint="eastAsia"/>
          <w:bCs/>
          <w:sz w:val="21"/>
          <w:szCs w:val="21"/>
        </w:rPr>
        <w:t>投资组合报告附注的其他文字描述部分</w:t>
      </w:r>
    </w:p>
    <w:p w:rsidR="00B43CEA" w:rsidRPr="00B43CEA" w:rsidRDefault="00B43CEA" w:rsidP="00B43CEA">
      <w:pPr>
        <w:pStyle w:val="neirong"/>
        <w:spacing w:before="0"/>
        <w:ind w:left="0" w:firstLine="480"/>
        <w:rPr>
          <w:sz w:val="21"/>
          <w:szCs w:val="21"/>
        </w:rPr>
      </w:pPr>
      <w:r w:rsidRPr="00B43CEA">
        <w:rPr>
          <w:rFonts w:hint="eastAsia"/>
          <w:sz w:val="21"/>
          <w:szCs w:val="21"/>
        </w:rPr>
        <w:t>由于四舍五入的原因，分项之和与合计项之间可能存在尾差。</w:t>
      </w:r>
    </w:p>
    <w:p w:rsidR="00B43CEA" w:rsidRPr="00B43CEA" w:rsidRDefault="00D95E00" w:rsidP="00B43CEA">
      <w:pPr>
        <w:pStyle w:val="biaogeleft"/>
        <w:spacing w:before="0"/>
        <w:rPr>
          <w:rFonts w:cs="Arial"/>
          <w:bCs/>
          <w:sz w:val="21"/>
          <w:szCs w:val="21"/>
        </w:rPr>
      </w:pPr>
      <w:r>
        <w:rPr>
          <w:rFonts w:cs="Arial" w:hint="eastAsia"/>
          <w:bCs/>
          <w:sz w:val="21"/>
          <w:szCs w:val="21"/>
        </w:rPr>
        <w:t>（</w:t>
      </w:r>
      <w:r w:rsidR="00B43CEA" w:rsidRPr="00B43CEA">
        <w:rPr>
          <w:rFonts w:cs="Arial" w:hint="eastAsia"/>
          <w:bCs/>
          <w:sz w:val="21"/>
          <w:szCs w:val="21"/>
        </w:rPr>
        <w:t>九</w:t>
      </w:r>
      <w:r>
        <w:rPr>
          <w:rFonts w:cs="Arial" w:hint="eastAsia"/>
          <w:bCs/>
          <w:sz w:val="21"/>
          <w:szCs w:val="21"/>
        </w:rPr>
        <w:t>）</w:t>
      </w:r>
      <w:r w:rsidR="00B43CEA" w:rsidRPr="00B43CEA">
        <w:rPr>
          <w:rFonts w:cs="Arial" w:hint="eastAsia"/>
          <w:bCs/>
          <w:sz w:val="21"/>
          <w:szCs w:val="21"/>
        </w:rPr>
        <w:t>基金净值表现</w:t>
      </w:r>
    </w:p>
    <w:p w:rsidR="00B43CEA" w:rsidRPr="00B43CEA" w:rsidRDefault="00B43CEA" w:rsidP="00B43CEA">
      <w:pPr>
        <w:pStyle w:val="zhangjiep2"/>
        <w:spacing w:line="360" w:lineRule="auto"/>
        <w:ind w:firstLine="420"/>
        <w:rPr>
          <w:bCs/>
          <w:sz w:val="21"/>
          <w:szCs w:val="21"/>
        </w:rPr>
      </w:pPr>
      <w:r w:rsidRPr="00B43CEA">
        <w:rPr>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B43CEA" w:rsidRPr="00B43CEA" w:rsidRDefault="00B43CEA" w:rsidP="00B43CEA">
      <w:pPr>
        <w:pStyle w:val="biaogeleft"/>
        <w:rPr>
          <w:sz w:val="21"/>
          <w:szCs w:val="21"/>
        </w:rPr>
      </w:pPr>
      <w:r w:rsidRPr="00B43CEA">
        <w:rPr>
          <w:rFonts w:hint="eastAsia"/>
          <w:color w:val="000000"/>
          <w:sz w:val="21"/>
          <w:szCs w:val="21"/>
        </w:rPr>
        <w:t>富荣福锦混合</w:t>
      </w:r>
      <w:r w:rsidRPr="00B43CEA">
        <w:rPr>
          <w:color w:val="000000"/>
          <w:sz w:val="21"/>
          <w:szCs w:val="21"/>
        </w:rPr>
        <w:t>A</w:t>
      </w:r>
    </w:p>
    <w:tbl>
      <w:tblPr>
        <w:tblW w:w="8307" w:type="dxa"/>
        <w:jc w:val="center"/>
        <w:tblLook w:val="04A0" w:firstRow="1" w:lastRow="0" w:firstColumn="1" w:lastColumn="0" w:noHBand="0" w:noVBand="1"/>
      </w:tblPr>
      <w:tblGrid>
        <w:gridCol w:w="1201"/>
        <w:gridCol w:w="1074"/>
        <w:gridCol w:w="1548"/>
        <w:gridCol w:w="1191"/>
        <w:gridCol w:w="1547"/>
        <w:gridCol w:w="794"/>
        <w:gridCol w:w="952"/>
      </w:tblGrid>
      <w:tr w:rsidR="00B43CEA" w:rsidRPr="00B43CEA" w:rsidTr="00B43CEA">
        <w:trPr>
          <w:trHeight w:val="1113"/>
          <w:jc w:val="center"/>
        </w:trPr>
        <w:tc>
          <w:tcPr>
            <w:tcW w:w="722"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jc w:val="left"/>
              <w:rPr>
                <w:sz w:val="21"/>
                <w:szCs w:val="21"/>
              </w:rPr>
            </w:pPr>
            <w:r w:rsidRPr="00B43CEA">
              <w:rPr>
                <w:rFonts w:hint="eastAsia"/>
                <w:color w:val="000000"/>
                <w:sz w:val="21"/>
                <w:szCs w:val="21"/>
              </w:rPr>
              <w:t>阶段</w:t>
            </w:r>
          </w:p>
        </w:tc>
        <w:tc>
          <w:tcPr>
            <w:tcW w:w="646"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份额净值增长率①</w:t>
            </w:r>
          </w:p>
        </w:tc>
        <w:tc>
          <w:tcPr>
            <w:tcW w:w="932"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份额净值增长率标准差②</w:t>
            </w:r>
          </w:p>
        </w:tc>
        <w:tc>
          <w:tcPr>
            <w:tcW w:w="717"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业绩比较基准收益率③</w:t>
            </w:r>
          </w:p>
        </w:tc>
        <w:tc>
          <w:tcPr>
            <w:tcW w:w="931"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业绩比较基准收益率标准差④</w:t>
            </w:r>
          </w:p>
        </w:tc>
        <w:tc>
          <w:tcPr>
            <w:tcW w:w="478"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①</w:t>
            </w:r>
            <w:r w:rsidRPr="00B43CEA">
              <w:rPr>
                <w:color w:val="000000"/>
                <w:sz w:val="21"/>
                <w:szCs w:val="21"/>
              </w:rPr>
              <w:t>-③</w:t>
            </w:r>
          </w:p>
        </w:tc>
        <w:tc>
          <w:tcPr>
            <w:tcW w:w="573"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②</w:t>
            </w:r>
            <w:r w:rsidRPr="00B43CEA">
              <w:rPr>
                <w:color w:val="000000"/>
                <w:sz w:val="21"/>
                <w:szCs w:val="21"/>
              </w:rPr>
              <w:t>-④</w:t>
            </w:r>
          </w:p>
        </w:tc>
      </w:tr>
      <w:tr w:rsidR="00B43CEA" w:rsidRPr="00B43CEA" w:rsidTr="00B43CEA">
        <w:trPr>
          <w:trHeight w:val="937"/>
          <w:jc w:val="center"/>
        </w:trPr>
        <w:tc>
          <w:tcPr>
            <w:tcW w:w="722"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spacing w:line="360" w:lineRule="auto"/>
              <w:rPr>
                <w:sz w:val="21"/>
                <w:szCs w:val="21"/>
              </w:rPr>
            </w:pPr>
            <w:r w:rsidRPr="00B43CEA">
              <w:rPr>
                <w:color w:val="000000"/>
                <w:sz w:val="21"/>
                <w:szCs w:val="21"/>
              </w:rPr>
              <w:t>2018.4.1~2018.06.30</w:t>
            </w:r>
          </w:p>
        </w:tc>
        <w:tc>
          <w:tcPr>
            <w:tcW w:w="646"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-2.21%</w:t>
            </w:r>
          </w:p>
        </w:tc>
        <w:tc>
          <w:tcPr>
            <w:tcW w:w="932"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0.35%</w:t>
            </w:r>
          </w:p>
        </w:tc>
        <w:tc>
          <w:tcPr>
            <w:tcW w:w="717"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-6.39%</w:t>
            </w:r>
          </w:p>
        </w:tc>
        <w:tc>
          <w:tcPr>
            <w:tcW w:w="931"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0.79%</w:t>
            </w:r>
          </w:p>
        </w:tc>
        <w:tc>
          <w:tcPr>
            <w:tcW w:w="478"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4.18%</w:t>
            </w:r>
          </w:p>
        </w:tc>
        <w:tc>
          <w:tcPr>
            <w:tcW w:w="573"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-0.44%</w:t>
            </w:r>
          </w:p>
        </w:tc>
      </w:tr>
      <w:tr w:rsidR="00B43CEA" w:rsidRPr="00B43CEA" w:rsidTr="00B43CEA">
        <w:trPr>
          <w:trHeight w:val="490"/>
          <w:jc w:val="center"/>
        </w:trPr>
        <w:tc>
          <w:tcPr>
            <w:tcW w:w="722"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spacing w:line="360" w:lineRule="auto"/>
              <w:rPr>
                <w:sz w:val="21"/>
                <w:szCs w:val="21"/>
              </w:rPr>
            </w:pPr>
            <w:r w:rsidRPr="00B43CEA">
              <w:rPr>
                <w:color w:val="000000"/>
                <w:sz w:val="21"/>
                <w:szCs w:val="21"/>
              </w:rPr>
              <w:t>2018.3.16~2018.06.30</w:t>
            </w:r>
          </w:p>
        </w:tc>
        <w:tc>
          <w:tcPr>
            <w:tcW w:w="646"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-2.11%</w:t>
            </w:r>
          </w:p>
        </w:tc>
        <w:tc>
          <w:tcPr>
            <w:tcW w:w="932"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0.32%</w:t>
            </w:r>
          </w:p>
        </w:tc>
        <w:tc>
          <w:tcPr>
            <w:tcW w:w="717"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-9.36%</w:t>
            </w:r>
          </w:p>
        </w:tc>
        <w:tc>
          <w:tcPr>
            <w:tcW w:w="931"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0.79%</w:t>
            </w:r>
          </w:p>
        </w:tc>
        <w:tc>
          <w:tcPr>
            <w:tcW w:w="478"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7.25%</w:t>
            </w:r>
          </w:p>
        </w:tc>
        <w:tc>
          <w:tcPr>
            <w:tcW w:w="573"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-0.47%</w:t>
            </w:r>
          </w:p>
        </w:tc>
      </w:tr>
    </w:tbl>
    <w:p w:rsidR="00B43CEA" w:rsidRPr="00B43CEA" w:rsidRDefault="00B43CEA" w:rsidP="00B43CEA">
      <w:pPr>
        <w:widowControl/>
        <w:jc w:val="left"/>
        <w:rPr>
          <w:rFonts w:ascii="宋体" w:hAnsi="宋体" w:cs="宋体"/>
          <w:kern w:val="0"/>
          <w:szCs w:val="21"/>
        </w:rPr>
      </w:pPr>
      <w:r w:rsidRPr="00B43CEA">
        <w:rPr>
          <w:rFonts w:ascii="宋体" w:hAnsi="宋体" w:cs="宋体" w:hint="eastAsia"/>
          <w:kern w:val="0"/>
          <w:szCs w:val="21"/>
        </w:rPr>
        <w:t>注：本基金的业绩比较基准为：中</w:t>
      </w:r>
      <w:proofErr w:type="gramStart"/>
      <w:r w:rsidRPr="00B43CEA">
        <w:rPr>
          <w:rFonts w:ascii="宋体" w:hAnsi="宋体" w:cs="宋体" w:hint="eastAsia"/>
          <w:kern w:val="0"/>
          <w:szCs w:val="21"/>
        </w:rPr>
        <w:t>证全债指数</w:t>
      </w:r>
      <w:proofErr w:type="gramEnd"/>
      <w:r w:rsidRPr="00B43CEA">
        <w:rPr>
          <w:rFonts w:ascii="宋体" w:hAnsi="宋体" w:cs="宋体" w:hint="eastAsia"/>
          <w:kern w:val="0"/>
          <w:szCs w:val="21"/>
        </w:rPr>
        <w:t>收益率×</w:t>
      </w:r>
      <w:r w:rsidRPr="00B43CEA">
        <w:rPr>
          <w:rFonts w:ascii="宋体" w:hAnsi="宋体" w:cs="宋体"/>
          <w:kern w:val="0"/>
          <w:szCs w:val="21"/>
        </w:rPr>
        <w:t>30%+沪深300指数收益率×70%。</w:t>
      </w:r>
    </w:p>
    <w:p w:rsidR="00B43CEA" w:rsidRPr="00B43CEA" w:rsidRDefault="00B43CEA" w:rsidP="00B43CEA">
      <w:pPr>
        <w:pStyle w:val="biaogeleft"/>
        <w:rPr>
          <w:sz w:val="21"/>
          <w:szCs w:val="21"/>
        </w:rPr>
      </w:pPr>
      <w:r w:rsidRPr="00B43CEA">
        <w:rPr>
          <w:rFonts w:hint="eastAsia"/>
          <w:color w:val="000000"/>
          <w:sz w:val="21"/>
          <w:szCs w:val="21"/>
        </w:rPr>
        <w:t>富荣福锦混合</w:t>
      </w:r>
      <w:r w:rsidRPr="00B43CEA">
        <w:rPr>
          <w:color w:val="000000"/>
          <w:sz w:val="21"/>
          <w:szCs w:val="21"/>
        </w:rPr>
        <w:t>C</w:t>
      </w:r>
    </w:p>
    <w:tbl>
      <w:tblPr>
        <w:tblW w:w="8243" w:type="dxa"/>
        <w:jc w:val="center"/>
        <w:tblLook w:val="04A0" w:firstRow="1" w:lastRow="0" w:firstColumn="1" w:lastColumn="0" w:noHBand="0" w:noVBand="1"/>
      </w:tblPr>
      <w:tblGrid>
        <w:gridCol w:w="1175"/>
        <w:gridCol w:w="1062"/>
        <w:gridCol w:w="1532"/>
        <w:gridCol w:w="1294"/>
        <w:gridCol w:w="1449"/>
        <w:gridCol w:w="790"/>
        <w:gridCol w:w="941"/>
      </w:tblGrid>
      <w:tr w:rsidR="00B43CEA" w:rsidRPr="00B43CEA" w:rsidTr="00B43CEA">
        <w:trPr>
          <w:trHeight w:val="1014"/>
          <w:jc w:val="center"/>
        </w:trPr>
        <w:tc>
          <w:tcPr>
            <w:tcW w:w="713"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rPr>
                <w:sz w:val="21"/>
                <w:szCs w:val="21"/>
              </w:rPr>
            </w:pPr>
            <w:r w:rsidRPr="00B43CEA">
              <w:rPr>
                <w:rFonts w:hint="eastAsia"/>
                <w:color w:val="000000"/>
                <w:sz w:val="21"/>
                <w:szCs w:val="21"/>
              </w:rPr>
              <w:t>阶段</w:t>
            </w:r>
          </w:p>
        </w:tc>
        <w:tc>
          <w:tcPr>
            <w:tcW w:w="644"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份额净值增长率①</w:t>
            </w:r>
          </w:p>
        </w:tc>
        <w:tc>
          <w:tcPr>
            <w:tcW w:w="92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份额净值增长率标准差②</w:t>
            </w:r>
          </w:p>
        </w:tc>
        <w:tc>
          <w:tcPr>
            <w:tcW w:w="785"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业绩比较基准收益率③</w:t>
            </w:r>
          </w:p>
        </w:tc>
        <w:tc>
          <w:tcPr>
            <w:tcW w:w="87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业绩比较基准收益率标准差④</w:t>
            </w:r>
          </w:p>
        </w:tc>
        <w:tc>
          <w:tcPr>
            <w:tcW w:w="47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①</w:t>
            </w:r>
            <w:r w:rsidRPr="00B43CEA">
              <w:rPr>
                <w:color w:val="000000"/>
                <w:sz w:val="21"/>
                <w:szCs w:val="21"/>
              </w:rPr>
              <w:t>-③</w:t>
            </w:r>
          </w:p>
        </w:tc>
        <w:tc>
          <w:tcPr>
            <w:tcW w:w="571"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rFonts w:hint="eastAsia"/>
                <w:color w:val="000000"/>
                <w:sz w:val="21"/>
                <w:szCs w:val="21"/>
              </w:rPr>
              <w:t>②</w:t>
            </w:r>
            <w:r w:rsidRPr="00B43CEA">
              <w:rPr>
                <w:color w:val="000000"/>
                <w:sz w:val="21"/>
                <w:szCs w:val="21"/>
              </w:rPr>
              <w:t>-④</w:t>
            </w:r>
          </w:p>
        </w:tc>
      </w:tr>
      <w:tr w:rsidR="00B43CEA" w:rsidRPr="00B43CEA" w:rsidTr="00B43CEA">
        <w:trPr>
          <w:trHeight w:val="1259"/>
          <w:jc w:val="center"/>
        </w:trPr>
        <w:tc>
          <w:tcPr>
            <w:tcW w:w="713"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spacing w:line="360" w:lineRule="auto"/>
              <w:rPr>
                <w:sz w:val="21"/>
                <w:szCs w:val="21"/>
              </w:rPr>
            </w:pPr>
            <w:r w:rsidRPr="00B43CEA">
              <w:rPr>
                <w:color w:val="000000"/>
                <w:sz w:val="21"/>
                <w:szCs w:val="21"/>
              </w:rPr>
              <w:t>2018.4.1~2018.06.30</w:t>
            </w:r>
          </w:p>
        </w:tc>
        <w:tc>
          <w:tcPr>
            <w:tcW w:w="644"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-2.71%</w:t>
            </w:r>
          </w:p>
        </w:tc>
        <w:tc>
          <w:tcPr>
            <w:tcW w:w="92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0.35%</w:t>
            </w:r>
          </w:p>
        </w:tc>
        <w:tc>
          <w:tcPr>
            <w:tcW w:w="785"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-6.39%</w:t>
            </w:r>
          </w:p>
        </w:tc>
        <w:tc>
          <w:tcPr>
            <w:tcW w:w="87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0.79%</w:t>
            </w:r>
          </w:p>
        </w:tc>
        <w:tc>
          <w:tcPr>
            <w:tcW w:w="47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3.68%</w:t>
            </w:r>
          </w:p>
        </w:tc>
        <w:tc>
          <w:tcPr>
            <w:tcW w:w="571"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-0.44%</w:t>
            </w:r>
          </w:p>
        </w:tc>
      </w:tr>
      <w:tr w:rsidR="00B43CEA" w:rsidRPr="00B43CEA" w:rsidTr="00B43CEA">
        <w:trPr>
          <w:trHeight w:val="1270"/>
          <w:jc w:val="center"/>
        </w:trPr>
        <w:tc>
          <w:tcPr>
            <w:tcW w:w="713"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left"/>
              <w:wordWrap w:val="0"/>
              <w:spacing w:line="360" w:lineRule="auto"/>
              <w:rPr>
                <w:sz w:val="21"/>
                <w:szCs w:val="21"/>
              </w:rPr>
            </w:pPr>
            <w:r w:rsidRPr="00B43CEA">
              <w:rPr>
                <w:color w:val="000000"/>
                <w:sz w:val="21"/>
                <w:szCs w:val="21"/>
              </w:rPr>
              <w:t>2018.3.16~2018.06.30</w:t>
            </w:r>
          </w:p>
        </w:tc>
        <w:tc>
          <w:tcPr>
            <w:tcW w:w="644"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-2.63%</w:t>
            </w:r>
          </w:p>
        </w:tc>
        <w:tc>
          <w:tcPr>
            <w:tcW w:w="92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0.32%</w:t>
            </w:r>
          </w:p>
        </w:tc>
        <w:tc>
          <w:tcPr>
            <w:tcW w:w="785"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-9.36%</w:t>
            </w:r>
          </w:p>
        </w:tc>
        <w:tc>
          <w:tcPr>
            <w:tcW w:w="87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0.79%</w:t>
            </w:r>
          </w:p>
        </w:tc>
        <w:tc>
          <w:tcPr>
            <w:tcW w:w="479"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6.73%</w:t>
            </w:r>
          </w:p>
        </w:tc>
        <w:tc>
          <w:tcPr>
            <w:tcW w:w="571" w:type="pct"/>
            <w:tcBorders>
              <w:top w:val="single" w:sz="8" w:space="0" w:color="000000"/>
              <w:left w:val="single" w:sz="8" w:space="0" w:color="000000"/>
              <w:bottom w:val="single" w:sz="8" w:space="0" w:color="000000"/>
              <w:right w:val="single" w:sz="8" w:space="0" w:color="000000"/>
            </w:tcBorders>
            <w:vAlign w:val="center"/>
            <w:hideMark/>
          </w:tcPr>
          <w:p w:rsidR="00B43CEA" w:rsidRPr="00B43CEA" w:rsidRDefault="00B43CEA" w:rsidP="00B43CEA">
            <w:pPr>
              <w:pStyle w:val="biaogecenter"/>
              <w:wordWrap w:val="0"/>
              <w:rPr>
                <w:sz w:val="21"/>
                <w:szCs w:val="21"/>
              </w:rPr>
            </w:pPr>
            <w:r w:rsidRPr="00B43CEA">
              <w:rPr>
                <w:sz w:val="21"/>
                <w:szCs w:val="21"/>
              </w:rPr>
              <w:t>-0.47%</w:t>
            </w:r>
          </w:p>
        </w:tc>
      </w:tr>
    </w:tbl>
    <w:p w:rsidR="00B43CEA" w:rsidRPr="008E32FC" w:rsidRDefault="00B43CEA" w:rsidP="00B43CEA">
      <w:pPr>
        <w:widowControl/>
        <w:jc w:val="left"/>
        <w:rPr>
          <w:rFonts w:ascii="宋体" w:hAnsi="宋体" w:cs="宋体"/>
          <w:bCs/>
          <w:kern w:val="0"/>
          <w:szCs w:val="21"/>
        </w:rPr>
      </w:pPr>
      <w:r w:rsidRPr="008E32FC">
        <w:rPr>
          <w:rFonts w:ascii="宋体" w:hAnsi="宋体" w:cs="宋体" w:hint="eastAsia"/>
          <w:bCs/>
          <w:kern w:val="0"/>
          <w:szCs w:val="21"/>
        </w:rPr>
        <w:t>注：本基金的业绩比较基准为：中</w:t>
      </w:r>
      <w:proofErr w:type="gramStart"/>
      <w:r w:rsidRPr="008E32FC">
        <w:rPr>
          <w:rFonts w:ascii="宋体" w:hAnsi="宋体" w:cs="宋体" w:hint="eastAsia"/>
          <w:bCs/>
          <w:kern w:val="0"/>
          <w:szCs w:val="21"/>
        </w:rPr>
        <w:t>证全债指数</w:t>
      </w:r>
      <w:proofErr w:type="gramEnd"/>
      <w:r w:rsidRPr="008E32FC">
        <w:rPr>
          <w:rFonts w:ascii="宋体" w:hAnsi="宋体" w:cs="宋体" w:hint="eastAsia"/>
          <w:bCs/>
          <w:kern w:val="0"/>
          <w:szCs w:val="21"/>
        </w:rPr>
        <w:t>收益率×</w:t>
      </w:r>
      <w:r w:rsidRPr="008E32FC">
        <w:rPr>
          <w:rFonts w:ascii="宋体" w:hAnsi="宋体" w:cs="宋体"/>
          <w:bCs/>
          <w:kern w:val="0"/>
          <w:szCs w:val="21"/>
        </w:rPr>
        <w:t xml:space="preserve">30%+沪深300指数收益率×70%。 </w:t>
      </w:r>
    </w:p>
    <w:p w:rsidR="00B43CEA" w:rsidRPr="008E32FC" w:rsidRDefault="00B43CEA" w:rsidP="00B43CEA">
      <w:pPr>
        <w:pStyle w:val="zhangjiep2"/>
        <w:ind w:left="0"/>
        <w:rPr>
          <w:bCs/>
          <w:sz w:val="21"/>
          <w:szCs w:val="21"/>
        </w:rPr>
      </w:pPr>
      <w:r w:rsidRPr="00B43CEA">
        <w:rPr>
          <w:bCs/>
          <w:sz w:val="21"/>
          <w:szCs w:val="21"/>
        </w:rPr>
        <w:t xml:space="preserve">2、 </w:t>
      </w:r>
      <w:r w:rsidRPr="00B43CEA">
        <w:rPr>
          <w:rFonts w:hint="eastAsia"/>
          <w:bCs/>
          <w:sz w:val="21"/>
          <w:szCs w:val="21"/>
        </w:rPr>
        <w:t>自基金合同生效以来基金份额累计净值增长率变动及其与同期业绩比较基准收益率变动的比较</w:t>
      </w:r>
    </w:p>
    <w:p w:rsidR="00B43CEA" w:rsidRPr="00B43CEA" w:rsidRDefault="00B43CEA" w:rsidP="00B43CEA">
      <w:pPr>
        <w:pStyle w:val="biaogeleft"/>
        <w:rPr>
          <w:sz w:val="21"/>
          <w:szCs w:val="21"/>
        </w:rPr>
      </w:pPr>
      <w:r w:rsidRPr="00B43CEA">
        <w:rPr>
          <w:noProof/>
          <w:color w:val="000000"/>
          <w:sz w:val="21"/>
          <w:szCs w:val="21"/>
        </w:rPr>
        <w:lastRenderedPageBreak/>
        <w:drawing>
          <wp:inline distT="0" distB="0" distL="0" distR="0" wp14:anchorId="43E256B3" wp14:editId="5D24F667">
            <wp:extent cx="5206621" cy="3639658"/>
            <wp:effectExtent l="0" t="0" r="0" b="0"/>
            <wp:docPr id="2" name="图片 2" descr="D:\FA_Client\Bin\MOD\TMP\CN_51130000_005164_FB020010_2018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5164_FB020010_20180002_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05036" cy="3638550"/>
                    </a:xfrm>
                    <a:prstGeom prst="rect">
                      <a:avLst/>
                    </a:prstGeom>
                    <a:noFill/>
                    <a:ln>
                      <a:noFill/>
                    </a:ln>
                  </pic:spPr>
                </pic:pic>
              </a:graphicData>
            </a:graphic>
          </wp:inline>
        </w:drawing>
      </w:r>
    </w:p>
    <w:p w:rsidR="00B43CEA" w:rsidRPr="00B43CEA" w:rsidRDefault="00B43CEA" w:rsidP="00B43CEA">
      <w:pPr>
        <w:widowControl/>
        <w:jc w:val="left"/>
        <w:rPr>
          <w:rFonts w:ascii="宋体" w:hAnsi="宋体" w:cs="宋体"/>
          <w:kern w:val="0"/>
          <w:szCs w:val="21"/>
        </w:rPr>
      </w:pPr>
      <w:r w:rsidRPr="00B43CEA">
        <w:rPr>
          <w:rFonts w:ascii="宋体" w:hAnsi="宋体" w:cs="宋体" w:hint="eastAsia"/>
          <w:kern w:val="0"/>
          <w:szCs w:val="21"/>
        </w:rPr>
        <w:t>注：①本</w:t>
      </w:r>
      <w:proofErr w:type="gramStart"/>
      <w:r w:rsidRPr="00B43CEA">
        <w:rPr>
          <w:rFonts w:ascii="宋体" w:hAnsi="宋体" w:cs="宋体" w:hint="eastAsia"/>
          <w:kern w:val="0"/>
          <w:szCs w:val="21"/>
        </w:rPr>
        <w:t>基金基金</w:t>
      </w:r>
      <w:proofErr w:type="gramEnd"/>
      <w:r w:rsidRPr="00B43CEA">
        <w:rPr>
          <w:rFonts w:ascii="宋体" w:hAnsi="宋体" w:cs="宋体" w:hint="eastAsia"/>
          <w:kern w:val="0"/>
          <w:szCs w:val="21"/>
        </w:rPr>
        <w:t>合同于</w:t>
      </w:r>
      <w:r w:rsidRPr="00B43CEA">
        <w:rPr>
          <w:rFonts w:ascii="宋体" w:hAnsi="宋体" w:cs="宋体"/>
          <w:kern w:val="0"/>
          <w:szCs w:val="21"/>
        </w:rPr>
        <w:t>2018年3月16日生效，截止2018年6月30日止，本基金成立未满一年；</w:t>
      </w:r>
      <w:r w:rsidRPr="00B43CEA">
        <w:rPr>
          <w:rFonts w:ascii="宋体" w:hAnsi="宋体" w:cs="宋体"/>
          <w:kern w:val="0"/>
          <w:szCs w:val="21"/>
        </w:rPr>
        <w:br/>
      </w:r>
      <w:r w:rsidRPr="00B43CEA">
        <w:rPr>
          <w:rFonts w:ascii="宋体" w:hAnsi="宋体" w:cs="宋体" w:hint="eastAsia"/>
          <w:kern w:val="0"/>
          <w:szCs w:val="21"/>
        </w:rPr>
        <w:t>  ②本基金建仓期为</w:t>
      </w:r>
      <w:r w:rsidRPr="00B43CEA">
        <w:rPr>
          <w:rFonts w:ascii="宋体" w:hAnsi="宋体" w:cs="宋体"/>
          <w:kern w:val="0"/>
          <w:szCs w:val="21"/>
        </w:rPr>
        <w:t>6个月，截止2018年6月30日止，本基金建仓期未满6个月。</w:t>
      </w:r>
    </w:p>
    <w:p w:rsidR="00B43CEA" w:rsidRPr="00B43CEA" w:rsidRDefault="00B43CEA" w:rsidP="00B43CEA">
      <w:pPr>
        <w:pStyle w:val="biaogeleft"/>
        <w:rPr>
          <w:sz w:val="21"/>
          <w:szCs w:val="21"/>
        </w:rPr>
      </w:pPr>
      <w:r w:rsidRPr="00B43CEA">
        <w:rPr>
          <w:noProof/>
          <w:color w:val="000000"/>
          <w:sz w:val="21"/>
          <w:szCs w:val="21"/>
        </w:rPr>
        <w:drawing>
          <wp:inline distT="0" distB="0" distL="0" distR="0" wp14:anchorId="6E0DC467" wp14:editId="21348E58">
            <wp:extent cx="5247564" cy="3639658"/>
            <wp:effectExtent l="0" t="0" r="0" b="0"/>
            <wp:docPr id="3" name="图片 3" descr="D:\FA_Client\Bin\MOD\TMP\CN_51130000_005164_FB020010_2018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5164_FB020010_20180002_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45966" cy="3638550"/>
                    </a:xfrm>
                    <a:prstGeom prst="rect">
                      <a:avLst/>
                    </a:prstGeom>
                    <a:noFill/>
                    <a:ln>
                      <a:noFill/>
                    </a:ln>
                  </pic:spPr>
                </pic:pic>
              </a:graphicData>
            </a:graphic>
          </wp:inline>
        </w:drawing>
      </w:r>
    </w:p>
    <w:p w:rsidR="00B43CEA" w:rsidRPr="001106E1" w:rsidRDefault="00B43CEA" w:rsidP="001106E1">
      <w:pPr>
        <w:widowControl/>
        <w:jc w:val="left"/>
        <w:rPr>
          <w:rFonts w:ascii="宋体" w:hAnsi="宋体" w:cs="宋体"/>
          <w:kern w:val="0"/>
          <w:szCs w:val="21"/>
        </w:rPr>
      </w:pPr>
      <w:r w:rsidRPr="001106E1">
        <w:rPr>
          <w:rFonts w:ascii="宋体" w:hAnsi="宋体" w:cs="宋体" w:hint="eastAsia"/>
          <w:kern w:val="0"/>
          <w:szCs w:val="21"/>
        </w:rPr>
        <w:lastRenderedPageBreak/>
        <w:t>注：①本</w:t>
      </w:r>
      <w:proofErr w:type="gramStart"/>
      <w:r w:rsidRPr="001106E1">
        <w:rPr>
          <w:rFonts w:ascii="宋体" w:hAnsi="宋体" w:cs="宋体" w:hint="eastAsia"/>
          <w:kern w:val="0"/>
          <w:szCs w:val="21"/>
        </w:rPr>
        <w:t>基金基金</w:t>
      </w:r>
      <w:proofErr w:type="gramEnd"/>
      <w:r w:rsidRPr="001106E1">
        <w:rPr>
          <w:rFonts w:ascii="宋体" w:hAnsi="宋体" w:cs="宋体" w:hint="eastAsia"/>
          <w:kern w:val="0"/>
          <w:szCs w:val="21"/>
        </w:rPr>
        <w:t>合同于2018年3月16日生效，截止2018年6月30日止，本基金成立未满一年；</w:t>
      </w:r>
      <w:r w:rsidRPr="001106E1">
        <w:rPr>
          <w:rFonts w:ascii="宋体" w:hAnsi="宋体" w:cs="宋体"/>
          <w:kern w:val="0"/>
          <w:szCs w:val="21"/>
        </w:rPr>
        <w:br/>
      </w:r>
      <w:r w:rsidRPr="001106E1">
        <w:rPr>
          <w:rFonts w:ascii="宋体" w:hAnsi="宋体" w:cs="宋体" w:hint="eastAsia"/>
          <w:kern w:val="0"/>
          <w:szCs w:val="21"/>
        </w:rPr>
        <w:t>  ②本基金建仓期为6个月，截止2018年6月30日止，本基金建仓期未满6个月。</w:t>
      </w:r>
      <w:bookmarkStart w:id="40" w:name="_Hlt81032199"/>
      <w:bookmarkStart w:id="41" w:name="_Hlt88821694"/>
      <w:bookmarkStart w:id="42" w:name="_Toc256666802"/>
      <w:bookmarkStart w:id="43" w:name="_Toc895"/>
      <w:bookmarkStart w:id="44" w:name="_Toc194043650"/>
      <w:bookmarkStart w:id="45" w:name="_Toc225576446"/>
      <w:bookmarkStart w:id="46" w:name="_Toc256666922"/>
      <w:bookmarkStart w:id="47" w:name="_Toc482624802"/>
      <w:bookmarkStart w:id="48" w:name="_Toc194043155"/>
      <w:bookmarkStart w:id="49" w:name="_Toc230166639"/>
      <w:bookmarkStart w:id="50" w:name="_Toc225445656"/>
      <w:bookmarkEnd w:id="23"/>
      <w:bookmarkEnd w:id="27"/>
      <w:bookmarkEnd w:id="40"/>
      <w:bookmarkEnd w:id="41"/>
    </w:p>
    <w:p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r w:rsidRPr="00615BDB">
        <w:rPr>
          <w:rFonts w:ascii="宋体" w:hAnsi="宋体" w:hint="eastAsia"/>
          <w:b/>
          <w:szCs w:val="21"/>
        </w:rPr>
        <w:lastRenderedPageBreak/>
        <w:t>七、基金的</w:t>
      </w:r>
      <w:bookmarkStart w:id="51" w:name="_GoBack"/>
      <w:bookmarkEnd w:id="51"/>
      <w:r w:rsidRPr="00615BDB">
        <w:rPr>
          <w:rFonts w:ascii="宋体" w:hAnsi="宋体" w:hint="eastAsia"/>
          <w:b/>
          <w:szCs w:val="21"/>
        </w:rPr>
        <w:t>费用与税收</w:t>
      </w:r>
      <w:bookmarkEnd w:id="42"/>
      <w:bookmarkEnd w:id="43"/>
      <w:bookmarkEnd w:id="44"/>
      <w:bookmarkEnd w:id="45"/>
      <w:bookmarkEnd w:id="46"/>
      <w:bookmarkEnd w:id="47"/>
      <w:bookmarkEnd w:id="48"/>
      <w:bookmarkEnd w:id="49"/>
      <w:bookmarkEnd w:id="50"/>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1、基金管理人的管理费；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2、基金托管人的托管费；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3、C类基金份额</w:t>
      </w:r>
      <w:r w:rsidRPr="00615BDB">
        <w:rPr>
          <w:rFonts w:ascii="宋体" w:hAnsi="宋体"/>
          <w:bCs/>
          <w:szCs w:val="21"/>
        </w:rPr>
        <w:t>的</w:t>
      </w:r>
      <w:r w:rsidRPr="00615BDB">
        <w:rPr>
          <w:rFonts w:ascii="宋体" w:hAnsi="宋体" w:hint="eastAsia"/>
          <w:bCs/>
          <w:szCs w:val="21"/>
        </w:rPr>
        <w:t>销售服务费；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4</w:t>
      </w:r>
      <w:r w:rsidRPr="00615BDB">
        <w:rPr>
          <w:rFonts w:ascii="宋体" w:hAnsi="宋体"/>
          <w:bCs/>
          <w:szCs w:val="21"/>
        </w:rPr>
        <w:t>、《基金合同》生效后与基金相关的信息披露费用；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5</w:t>
      </w:r>
      <w:r w:rsidRPr="00615BDB">
        <w:rPr>
          <w:rFonts w:ascii="宋体" w:hAnsi="宋体"/>
          <w:bCs/>
          <w:szCs w:val="21"/>
        </w:rPr>
        <w:t>、《基金合同》生效后与基金相关的会计师费、律师费</w:t>
      </w:r>
      <w:r w:rsidRPr="00615BDB">
        <w:rPr>
          <w:rFonts w:ascii="宋体" w:hAnsi="宋体" w:hint="eastAsia"/>
          <w:bCs/>
          <w:szCs w:val="21"/>
        </w:rPr>
        <w:t>、</w:t>
      </w:r>
      <w:r w:rsidRPr="00615BDB">
        <w:rPr>
          <w:rFonts w:ascii="宋体" w:hAnsi="宋体"/>
          <w:bCs/>
          <w:szCs w:val="21"/>
        </w:rPr>
        <w:t>诉讼费</w:t>
      </w:r>
      <w:r w:rsidRPr="00615BDB">
        <w:rPr>
          <w:rFonts w:ascii="宋体" w:hAnsi="宋体" w:hint="eastAsia"/>
          <w:bCs/>
          <w:szCs w:val="21"/>
        </w:rPr>
        <w:t>和仲裁费</w:t>
      </w:r>
      <w:r w:rsidRPr="00615BDB">
        <w:rPr>
          <w:rFonts w:ascii="宋体" w:hAnsi="宋体"/>
          <w:bCs/>
          <w:szCs w:val="21"/>
        </w:rPr>
        <w:t>；</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6</w:t>
      </w:r>
      <w:r w:rsidRPr="00615BDB">
        <w:rPr>
          <w:rFonts w:ascii="宋体" w:hAnsi="宋体"/>
          <w:bCs/>
          <w:szCs w:val="21"/>
        </w:rPr>
        <w:t>、基金份额持有人大会费用；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7</w:t>
      </w:r>
      <w:r w:rsidRPr="00615BDB">
        <w:rPr>
          <w:rFonts w:ascii="宋体" w:hAnsi="宋体"/>
          <w:bCs/>
          <w:szCs w:val="21"/>
        </w:rPr>
        <w:t>、基金的证券</w:t>
      </w:r>
      <w:r w:rsidRPr="00615BDB">
        <w:rPr>
          <w:rFonts w:ascii="宋体" w:hAnsi="宋体" w:hint="eastAsia"/>
          <w:bCs/>
          <w:szCs w:val="21"/>
        </w:rPr>
        <w:t>、期货</w:t>
      </w:r>
      <w:r w:rsidRPr="00615BDB">
        <w:rPr>
          <w:rFonts w:ascii="宋体" w:hAnsi="宋体"/>
          <w:bCs/>
          <w:szCs w:val="21"/>
        </w:rPr>
        <w:t>交易费用；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8</w:t>
      </w:r>
      <w:r w:rsidRPr="00615BDB">
        <w:rPr>
          <w:rFonts w:ascii="宋体" w:hAnsi="宋体"/>
          <w:bCs/>
          <w:szCs w:val="21"/>
        </w:rPr>
        <w:t>、基金的银行汇划费用；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9</w:t>
      </w:r>
      <w:r w:rsidRPr="00615BDB">
        <w:rPr>
          <w:rFonts w:ascii="宋体" w:hAnsi="宋体"/>
          <w:bCs/>
          <w:szCs w:val="21"/>
        </w:rPr>
        <w:t>、</w:t>
      </w:r>
      <w:r w:rsidRPr="00615BDB">
        <w:rPr>
          <w:rFonts w:ascii="宋体" w:hAnsi="宋体" w:hint="eastAsia"/>
          <w:bCs/>
          <w:szCs w:val="21"/>
        </w:rPr>
        <w:t>基金的账户开户费用、账户维护费用；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10、</w:t>
      </w:r>
      <w:r w:rsidRPr="00615BDB">
        <w:rPr>
          <w:rFonts w:ascii="宋体" w:hAnsi="宋体"/>
          <w:bCs/>
          <w:szCs w:val="21"/>
        </w:rPr>
        <w:t>按照国家有关规定和《基金合同》约定，可以在基金财产中列支的其他费用。</w:t>
      </w:r>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 xml:space="preserve">1、基金管理人的管理费 </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本基金的管理费按前一日基金资产净值的</w:t>
      </w:r>
      <w:r w:rsidRPr="00615BDB">
        <w:rPr>
          <w:rFonts w:ascii="宋体" w:hAnsi="宋体" w:hint="eastAsia"/>
          <w:bCs/>
          <w:szCs w:val="21"/>
        </w:rPr>
        <w:t>1.5</w:t>
      </w:r>
      <w:r w:rsidRPr="00615BDB">
        <w:rPr>
          <w:rFonts w:ascii="宋体" w:hAnsi="宋体"/>
          <w:bCs/>
          <w:szCs w:val="21"/>
        </w:rPr>
        <w:t>%年费率计提。管理费的计算方法如下：</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1.5</w:t>
      </w:r>
      <w:r w:rsidRPr="00615BDB">
        <w:rPr>
          <w:rFonts w:ascii="宋体" w:hAnsi="宋体"/>
          <w:bCs/>
          <w:szCs w:val="21"/>
        </w:rPr>
        <w:t>%÷当年天数</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H为每日应计提的基金管理费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E为前一日的基金资产净值</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基金管理费每日计算，逐日累计至每月月末，按月支付</w:t>
      </w:r>
      <w:r w:rsidRPr="00615BDB">
        <w:rPr>
          <w:rFonts w:ascii="宋体" w:hAnsi="宋体" w:hint="eastAsia"/>
          <w:bCs/>
          <w:szCs w:val="21"/>
        </w:rPr>
        <w:t>，经基金管理人与基金托管人双方核对无误后，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于次月前5个工作日内从基金财产中一次性支付给基金管理人。若遇法定节假日、公休假等，支付日期顺延。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2、基金托管人的托管费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本基金的托管费按前一日基金资产净值的</w:t>
      </w:r>
      <w:r w:rsidRPr="00615BDB">
        <w:rPr>
          <w:rFonts w:ascii="宋体" w:hAnsi="宋体" w:hint="eastAsia"/>
          <w:bCs/>
          <w:szCs w:val="21"/>
        </w:rPr>
        <w:t>0.15</w:t>
      </w:r>
      <w:r w:rsidRPr="00615BDB">
        <w:rPr>
          <w:rFonts w:ascii="宋体" w:hAnsi="宋体"/>
          <w:bCs/>
          <w:szCs w:val="21"/>
        </w:rPr>
        <w:t>%的年费率计提。托管费的计算方法如下：</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0.15%</w:t>
      </w:r>
      <w:r w:rsidRPr="00615BDB">
        <w:rPr>
          <w:rFonts w:ascii="宋体" w:hAnsi="宋体"/>
          <w:bCs/>
          <w:szCs w:val="21"/>
        </w:rPr>
        <w:t>÷当年天数</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H为每日应计提的基金托管费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E为前一日的基金资产净值</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基金托管费每日计算，逐日累计至每月月末，按月支付，经基金管理人与基金托管人双方核对无误后，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于次月前5个工作日内从基金财产中一次性支取。若遇法定节假日、公休日等，支付日期顺延。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3</w:t>
      </w:r>
      <w:r w:rsidRPr="00615BDB">
        <w:rPr>
          <w:rFonts w:ascii="宋体" w:hAnsi="宋体" w:hint="eastAsia"/>
          <w:bCs/>
          <w:szCs w:val="21"/>
        </w:rPr>
        <w:t>、C类基金份额</w:t>
      </w:r>
      <w:r w:rsidRPr="00615BDB">
        <w:rPr>
          <w:rFonts w:ascii="宋体" w:hAnsi="宋体"/>
          <w:bCs/>
          <w:szCs w:val="21"/>
        </w:rPr>
        <w:t>的</w:t>
      </w:r>
      <w:r w:rsidRPr="00615BDB">
        <w:rPr>
          <w:rFonts w:ascii="宋体" w:hAnsi="宋体" w:hint="eastAsia"/>
          <w:bCs/>
          <w:szCs w:val="21"/>
        </w:rPr>
        <w:t>销售服务费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本基金A类基金份额不收取销售服务费，</w:t>
      </w:r>
      <w:r w:rsidRPr="00615BDB">
        <w:rPr>
          <w:rFonts w:ascii="宋体" w:hAnsi="宋体"/>
          <w:bCs/>
          <w:szCs w:val="21"/>
        </w:rPr>
        <w:t>C</w:t>
      </w:r>
      <w:r w:rsidRPr="00615BDB">
        <w:rPr>
          <w:rFonts w:ascii="宋体" w:hAnsi="宋体" w:hint="eastAsia"/>
          <w:bCs/>
          <w:szCs w:val="21"/>
        </w:rPr>
        <w:t>类基金份额的销售服务费年费率为</w:t>
      </w:r>
      <w:r w:rsidRPr="00615BDB">
        <w:rPr>
          <w:rFonts w:ascii="宋体" w:hAnsi="宋体"/>
          <w:bCs/>
          <w:szCs w:val="21"/>
        </w:rPr>
        <w:t>0.</w:t>
      </w:r>
      <w:r w:rsidRPr="00615BDB">
        <w:rPr>
          <w:rFonts w:ascii="宋体" w:hAnsi="宋体" w:hint="eastAsia"/>
          <w:bCs/>
          <w:szCs w:val="21"/>
        </w:rPr>
        <w:t>5</w:t>
      </w:r>
      <w:r w:rsidRPr="00615BDB">
        <w:rPr>
          <w:rFonts w:ascii="宋体" w:hAnsi="宋体"/>
          <w:bCs/>
          <w:szCs w:val="21"/>
        </w:rPr>
        <w:t>%</w:t>
      </w:r>
      <w:r w:rsidRPr="00615BDB">
        <w:rPr>
          <w:rFonts w:ascii="宋体" w:hAnsi="宋体" w:hint="eastAsia"/>
          <w:bCs/>
          <w:szCs w:val="21"/>
        </w:rPr>
        <w:t>。</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lastRenderedPageBreak/>
        <w:t>本基金销售服务费将专门用于本基金的销售与基金份额持有人服务，销售服务费计提的计算公式如下：</w:t>
      </w:r>
      <w:r w:rsidRPr="00615BDB">
        <w:rPr>
          <w:rFonts w:ascii="宋体" w:hAnsi="宋体"/>
          <w:bCs/>
          <w:szCs w:val="21"/>
        </w:rPr>
        <w:t xml:space="preserve"> </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H=E</w:t>
      </w:r>
      <w:r w:rsidRPr="00615BDB">
        <w:rPr>
          <w:rFonts w:ascii="宋体" w:hAnsi="宋体" w:hint="eastAsia"/>
          <w:bCs/>
          <w:szCs w:val="21"/>
        </w:rPr>
        <w:t>×</w:t>
      </w:r>
      <w:r w:rsidRPr="00615BDB">
        <w:rPr>
          <w:rFonts w:ascii="宋体" w:hAnsi="宋体"/>
          <w:bCs/>
          <w:szCs w:val="21"/>
        </w:rPr>
        <w:t>0.</w:t>
      </w:r>
      <w:r w:rsidRPr="00615BDB">
        <w:rPr>
          <w:rFonts w:ascii="宋体" w:hAnsi="宋体" w:hint="eastAsia"/>
          <w:bCs/>
          <w:szCs w:val="21"/>
        </w:rPr>
        <w:t>5</w:t>
      </w:r>
      <w:r w:rsidRPr="00615BDB">
        <w:rPr>
          <w:rFonts w:ascii="宋体" w:hAnsi="宋体"/>
          <w:bCs/>
          <w:szCs w:val="21"/>
        </w:rPr>
        <w:t>%</w:t>
      </w:r>
      <w:r w:rsidRPr="00615BDB">
        <w:rPr>
          <w:rFonts w:ascii="宋体" w:hAnsi="宋体" w:hint="eastAsia"/>
          <w:bCs/>
          <w:szCs w:val="21"/>
        </w:rPr>
        <w:t>÷当年天数</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H</w:t>
      </w:r>
      <w:r w:rsidRPr="00615BDB">
        <w:rPr>
          <w:rFonts w:ascii="宋体" w:hAnsi="宋体" w:hint="eastAsia"/>
          <w:bCs/>
          <w:szCs w:val="21"/>
        </w:rPr>
        <w:t>为</w:t>
      </w:r>
      <w:r w:rsidRPr="00615BDB">
        <w:rPr>
          <w:rFonts w:ascii="宋体" w:hAnsi="宋体"/>
          <w:bCs/>
          <w:szCs w:val="21"/>
        </w:rPr>
        <w:t>C</w:t>
      </w:r>
      <w:r w:rsidRPr="00615BDB">
        <w:rPr>
          <w:rFonts w:ascii="宋体" w:hAnsi="宋体" w:hint="eastAsia"/>
          <w:bCs/>
          <w:szCs w:val="21"/>
        </w:rPr>
        <w:t>类基金份额每日应计提的销售服务费</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E</w:t>
      </w:r>
      <w:r w:rsidRPr="00615BDB">
        <w:rPr>
          <w:rFonts w:ascii="宋体" w:hAnsi="宋体" w:hint="eastAsia"/>
          <w:bCs/>
          <w:szCs w:val="21"/>
        </w:rPr>
        <w:t>为</w:t>
      </w:r>
      <w:r w:rsidRPr="00615BDB">
        <w:rPr>
          <w:rFonts w:ascii="宋体" w:hAnsi="宋体"/>
          <w:bCs/>
          <w:szCs w:val="21"/>
        </w:rPr>
        <w:t>C</w:t>
      </w:r>
      <w:r w:rsidRPr="00615BDB">
        <w:rPr>
          <w:rFonts w:ascii="宋体" w:hAnsi="宋体" w:hint="eastAsia"/>
          <w:bCs/>
          <w:szCs w:val="21"/>
        </w:rPr>
        <w:t>类基金份额前一日基金资产净值</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基金销售服务费每日计算，逐日累计至每月月末，按月支付。经基金管理人与基金托管人双方核对无误后，</w:t>
      </w:r>
      <w:r w:rsidRPr="00615BDB">
        <w:rPr>
          <w:rFonts w:ascii="宋体" w:hAnsi="宋体"/>
          <w:bCs/>
          <w:szCs w:val="21"/>
        </w:rPr>
        <w:t>基金托管人</w:t>
      </w:r>
      <w:r w:rsidRPr="00615BDB">
        <w:rPr>
          <w:rFonts w:ascii="宋体" w:hAnsi="宋体" w:hint="eastAsia"/>
          <w:bCs/>
          <w:szCs w:val="21"/>
        </w:rPr>
        <w:t>按照</w:t>
      </w:r>
      <w:r w:rsidRPr="00615BDB">
        <w:rPr>
          <w:rFonts w:ascii="宋体" w:hAnsi="宋体" w:hint="eastAsia"/>
          <w:szCs w:val="21"/>
        </w:rPr>
        <w:t>与基金管理人协商一致的方式</w:t>
      </w:r>
      <w:r w:rsidRPr="00615BDB">
        <w:rPr>
          <w:rFonts w:ascii="宋体" w:hAnsi="宋体" w:hint="eastAsia"/>
          <w:bCs/>
          <w:szCs w:val="21"/>
        </w:rPr>
        <w:t>于次月前5个工作日内从基金财产中一次性支付给基金管理人。若遇法定节假日、公休假等，支付日期顺延。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上述</w:t>
      </w:r>
      <w:r w:rsidRPr="00615BDB">
        <w:rPr>
          <w:rFonts w:ascii="宋体" w:hAnsi="宋体" w:hint="eastAsia"/>
          <w:bCs/>
          <w:szCs w:val="21"/>
        </w:rPr>
        <w:t>“</w:t>
      </w:r>
      <w:r w:rsidRPr="00615BDB">
        <w:rPr>
          <w:rFonts w:ascii="宋体" w:hAnsi="宋体"/>
          <w:bCs/>
          <w:szCs w:val="21"/>
        </w:rPr>
        <w:t>一、基金费用的种类</w:t>
      </w:r>
      <w:r w:rsidRPr="00615BDB">
        <w:rPr>
          <w:rFonts w:ascii="宋体" w:hAnsi="宋体" w:hint="eastAsia"/>
          <w:bCs/>
          <w:szCs w:val="21"/>
        </w:rPr>
        <w:t>”</w:t>
      </w:r>
      <w:r w:rsidRPr="00615BDB">
        <w:rPr>
          <w:rFonts w:ascii="宋体" w:hAnsi="宋体"/>
          <w:bCs/>
          <w:szCs w:val="21"/>
        </w:rPr>
        <w:t>中第</w:t>
      </w:r>
      <w:r w:rsidRPr="00615BDB">
        <w:rPr>
          <w:rFonts w:ascii="宋体" w:hAnsi="宋体" w:hint="eastAsia"/>
          <w:bCs/>
          <w:szCs w:val="21"/>
        </w:rPr>
        <w:t>4</w:t>
      </w:r>
      <w:r w:rsidRPr="00615BDB">
        <w:rPr>
          <w:rFonts w:ascii="宋体" w:hAnsi="宋体"/>
          <w:bCs/>
          <w:szCs w:val="21"/>
        </w:rPr>
        <w:t>－</w:t>
      </w:r>
      <w:r w:rsidRPr="00615BDB">
        <w:rPr>
          <w:rFonts w:ascii="宋体" w:hAnsi="宋体" w:hint="eastAsia"/>
          <w:bCs/>
          <w:szCs w:val="21"/>
        </w:rPr>
        <w:t>10</w:t>
      </w:r>
      <w:r w:rsidRPr="00615BDB">
        <w:rPr>
          <w:rFonts w:ascii="宋体" w:hAnsi="宋体"/>
          <w:bCs/>
          <w:szCs w:val="21"/>
        </w:rPr>
        <w:t>项费用，根据有关法规及相应协议规定，按费用实际支出金额列入当期费用，由基金托管人从基金财产中支付。</w:t>
      </w:r>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下列费用不列入基金费用：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1、基金管理人和基金托管人因未履行或未完全履行义务导致的费用支出或基金财产的损失；</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2、基金管理人和基金托管人处理与基金运作无关的事项发生的费用；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3、《基金合同》生效前的相关费用；</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4、其他根据相关法律法规及中国证监会的有关规定不得列入基金费用的项目。</w:t>
      </w:r>
      <w:bookmarkStart w:id="52" w:name="_Hlt88827255"/>
      <w:bookmarkEnd w:id="52"/>
    </w:p>
    <w:p w:rsidR="00B43CEA"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rsidR="00B43CEA" w:rsidRPr="00615BDB" w:rsidRDefault="00B43CEA"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bCs/>
          <w:szCs w:val="21"/>
        </w:rPr>
        <w:t>本基金运作过程中涉及的各纳税主体，其纳税义务按国家税收法律、法规执行。</w:t>
      </w:r>
    </w:p>
    <w:p w:rsidR="00D95E00" w:rsidRPr="00615BDB"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基金财产投资的相关税收，由基金份额持有人承担，基金管理人或者其他扣缴义务人按照国家有关税收征收的规定代扣代缴。</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A00FC7">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Pr>
          <w:rFonts w:ascii="宋体" w:hAnsi="宋体" w:hint="eastAsia"/>
          <w:color w:val="000000"/>
          <w:szCs w:val="21"/>
        </w:rPr>
        <w:t>五</w:t>
      </w:r>
      <w:r w:rsidR="00941CF2">
        <w:rPr>
          <w:rFonts w:ascii="宋体" w:hAnsi="宋体" w:hint="eastAsia"/>
          <w:color w:val="000000"/>
          <w:szCs w:val="21"/>
        </w:rPr>
        <w:t>、</w:t>
      </w:r>
      <w:r>
        <w:rPr>
          <w:rFonts w:ascii="宋体" w:hAnsi="宋体" w:hint="eastAsia"/>
          <w:szCs w:val="21"/>
        </w:rPr>
        <w:t>相关服务机构</w:t>
      </w:r>
      <w:r w:rsidR="00941CF2">
        <w:rPr>
          <w:rFonts w:ascii="宋体" w:hAnsi="宋体" w:hint="eastAsia"/>
          <w:color w:val="000000"/>
          <w:szCs w:val="21"/>
        </w:rPr>
        <w:t>”部分内容进行了更新；</w:t>
      </w:r>
    </w:p>
    <w:p w:rsidR="00615BDB" w:rsidRDefault="00615BDB" w:rsidP="00941CF2">
      <w:pPr>
        <w:spacing w:line="360" w:lineRule="auto"/>
        <w:ind w:firstLineChars="200" w:firstLine="420"/>
        <w:rPr>
          <w:rFonts w:ascii="宋体" w:hAnsi="宋体"/>
          <w:szCs w:val="21"/>
        </w:rPr>
      </w:pPr>
      <w:r>
        <w:rPr>
          <w:rFonts w:ascii="宋体" w:hAnsi="宋体" w:hint="eastAsia"/>
          <w:color w:val="000000"/>
          <w:szCs w:val="21"/>
        </w:rPr>
        <w:t>5、对“六、</w:t>
      </w:r>
      <w:r w:rsidRPr="00042882">
        <w:rPr>
          <w:rFonts w:ascii="宋体" w:hAnsi="宋体" w:hint="eastAsia"/>
          <w:szCs w:val="21"/>
        </w:rPr>
        <w:t>基金的募集</w:t>
      </w:r>
      <w:r>
        <w:rPr>
          <w:rFonts w:ascii="宋体" w:hAnsi="宋体" w:hint="eastAsia"/>
          <w:szCs w:val="21"/>
        </w:rPr>
        <w:t>”部分内容进行了更新；</w:t>
      </w:r>
    </w:p>
    <w:p w:rsidR="00615BDB" w:rsidRDefault="00615BDB" w:rsidP="00941CF2">
      <w:pPr>
        <w:spacing w:line="360" w:lineRule="auto"/>
        <w:ind w:firstLineChars="200" w:firstLine="420"/>
        <w:rPr>
          <w:rFonts w:ascii="宋体" w:hAnsi="宋体"/>
          <w:szCs w:val="21"/>
        </w:rPr>
      </w:pPr>
      <w:r>
        <w:rPr>
          <w:rFonts w:ascii="宋体" w:hAnsi="宋体" w:hint="eastAsia"/>
          <w:szCs w:val="21"/>
        </w:rPr>
        <w:t>6、对“七、基金合同的生效”部分内容进行了更新；</w:t>
      </w:r>
    </w:p>
    <w:p w:rsidR="00615BDB" w:rsidRDefault="00615BDB" w:rsidP="00941CF2">
      <w:pPr>
        <w:spacing w:line="360" w:lineRule="auto"/>
        <w:ind w:firstLineChars="200" w:firstLine="420"/>
        <w:rPr>
          <w:rFonts w:ascii="宋体" w:hAnsi="宋体"/>
          <w:color w:val="000000"/>
          <w:szCs w:val="21"/>
        </w:rPr>
      </w:pPr>
      <w:r>
        <w:rPr>
          <w:rFonts w:ascii="宋体" w:hAnsi="宋体" w:hint="eastAsia"/>
          <w:szCs w:val="21"/>
        </w:rPr>
        <w:t>7、对“八、基金份额的申购与赎回”部分内容进行了更新；</w:t>
      </w:r>
    </w:p>
    <w:p w:rsidR="00941CF2" w:rsidRDefault="002A6D3E" w:rsidP="00941CF2">
      <w:pPr>
        <w:spacing w:line="360" w:lineRule="auto"/>
        <w:ind w:firstLineChars="200" w:firstLine="420"/>
        <w:rPr>
          <w:rFonts w:ascii="宋体" w:hAnsi="宋体"/>
          <w:color w:val="000000"/>
          <w:szCs w:val="21"/>
        </w:rPr>
      </w:pPr>
      <w:r>
        <w:rPr>
          <w:rFonts w:ascii="宋体" w:hAnsi="宋体" w:hint="eastAsia"/>
          <w:color w:val="000000"/>
          <w:szCs w:val="21"/>
        </w:rPr>
        <w:t>8</w:t>
      </w:r>
      <w:r w:rsidR="00941CF2">
        <w:rPr>
          <w:rFonts w:ascii="宋体" w:hAnsi="宋体" w:hint="eastAsia"/>
          <w:color w:val="000000"/>
          <w:szCs w:val="21"/>
        </w:rPr>
        <w:t>、对“九、基金的投资”部分内容进行了更新；</w:t>
      </w:r>
    </w:p>
    <w:p w:rsidR="00941CF2" w:rsidRDefault="002A6D3E" w:rsidP="00941CF2">
      <w:pPr>
        <w:spacing w:line="360" w:lineRule="auto"/>
        <w:ind w:firstLineChars="200" w:firstLine="420"/>
        <w:rPr>
          <w:rFonts w:ascii="宋体" w:hAnsi="宋体"/>
          <w:color w:val="000000"/>
          <w:szCs w:val="21"/>
        </w:rPr>
      </w:pPr>
      <w:r>
        <w:rPr>
          <w:rFonts w:ascii="宋体" w:hAnsi="宋体" w:hint="eastAsia"/>
          <w:color w:val="000000"/>
          <w:szCs w:val="21"/>
        </w:rPr>
        <w:t>9</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BA1D58">
      <w:pPr>
        <w:wordWrap w:val="0"/>
        <w:spacing w:line="360" w:lineRule="auto"/>
        <w:jc w:val="right"/>
        <w:rPr>
          <w:rFonts w:ascii="宋体" w:hAnsi="宋体"/>
          <w:color w:val="000000"/>
          <w:sz w:val="24"/>
        </w:rPr>
      </w:pPr>
      <w:r w:rsidRPr="00DE07E1">
        <w:rPr>
          <w:rFonts w:ascii="宋体" w:hAnsi="宋体" w:hint="eastAsia"/>
          <w:color w:val="000000"/>
          <w:kern w:val="0"/>
          <w:szCs w:val="21"/>
        </w:rPr>
        <w:t>二〇一八年</w:t>
      </w:r>
      <w:r>
        <w:rPr>
          <w:rFonts w:ascii="宋体" w:hAnsi="宋体" w:hint="eastAsia"/>
          <w:color w:val="000000"/>
          <w:kern w:val="0"/>
          <w:szCs w:val="21"/>
        </w:rPr>
        <w:t>十</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7"/>
      <w:footerReference w:type="default" r:id="rId18"/>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1231" w:rsidRDefault="00081231">
      <w:r>
        <w:separator/>
      </w:r>
    </w:p>
  </w:endnote>
  <w:endnote w:type="continuationSeparator" w:id="0">
    <w:p w:rsidR="00081231" w:rsidRDefault="00081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宋体-WinCharSetFFFF-H">
    <w:altName w:val="宋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CEA" w:rsidRDefault="00B43CEA">
    <w:pPr>
      <w:pStyle w:val="ab"/>
      <w:jc w:val="center"/>
    </w:pPr>
    <w:r>
      <w:fldChar w:fldCharType="begin"/>
    </w:r>
    <w:r>
      <w:instrText>PAGE   \* MERGEFORMAT</w:instrText>
    </w:r>
    <w:r>
      <w:fldChar w:fldCharType="separate"/>
    </w:r>
    <w:r w:rsidR="00F65632" w:rsidRPr="00F65632">
      <w:rPr>
        <w:noProof/>
        <w:lang w:val="zh-CN"/>
      </w:rPr>
      <w:t>30</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1231" w:rsidRDefault="00081231">
      <w:r>
        <w:separator/>
      </w:r>
    </w:p>
  </w:footnote>
  <w:footnote w:type="continuationSeparator" w:id="0">
    <w:p w:rsidR="00081231" w:rsidRDefault="000812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CEA" w:rsidRDefault="00B43CEA" w:rsidP="00B7439A">
    <w:pPr>
      <w:pStyle w:val="ac"/>
      <w:jc w:val="both"/>
    </w:pPr>
    <w:proofErr w:type="gramStart"/>
    <w:r>
      <w:rPr>
        <w:rFonts w:ascii="Arial" w:hAnsi="Arial" w:cs="Arial" w:hint="eastAsia"/>
        <w:szCs w:val="21"/>
      </w:rPr>
      <w:t>富荣福锦</w:t>
    </w:r>
    <w:proofErr w:type="gramEnd"/>
    <w:r>
      <w:rPr>
        <w:rFonts w:ascii="Arial" w:hAnsi="Arial" w:cs="Arial" w:hint="eastAsia"/>
        <w:szCs w:val="21"/>
      </w:rPr>
      <w:t>混合型</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sidR="007122BB">
      <w:rPr>
        <w:rFonts w:hint="eastAsia"/>
      </w:rPr>
      <w:t>摘要</w:t>
    </w:r>
    <w:r>
      <w:rPr>
        <w:rFonts w:hint="eastAsia"/>
      </w:rPr>
      <w:t>（</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B"/>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279"/>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32FC"/>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3E5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97F15"/>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17B"/>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938"/>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632"/>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aichengcaifu.com"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yingmi.cn"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sco.com.cn" TargetMode="External"/><Relationship Id="rId5" Type="http://schemas.microsoft.com/office/2007/relationships/stylesWithEffects" Target="stylesWithEffects.xml"/><Relationship Id="rId15" Type="http://schemas.openxmlformats.org/officeDocument/2006/relationships/image" Target="media/image1.jpeg"/><Relationship Id="rId10" Type="http://schemas.openxmlformats.org/officeDocument/2006/relationships/hyperlink" Target="http://www.bsb.com.cn"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ianfortune.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255E73-EB9B-456C-9B30-C396A9859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30</Pages>
  <Words>17937</Words>
  <Characters>4099</Characters>
  <Application>Microsoft Office Word</Application>
  <DocSecurity>0</DocSecurity>
  <Lines>34</Lines>
  <Paragraphs>43</Paragraphs>
  <ScaleCrop>false</ScaleCrop>
  <Company>Microsoft</Company>
  <LinksUpToDate>false</LinksUpToDate>
  <CharactersWithSpaces>21993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余卿嵘</cp:lastModifiedBy>
  <cp:revision>28</cp:revision>
  <cp:lastPrinted>2016-08-24T01:43:00Z</cp:lastPrinted>
  <dcterms:created xsi:type="dcterms:W3CDTF">2017-06-12T09:34:00Z</dcterms:created>
  <dcterms:modified xsi:type="dcterms:W3CDTF">2018-10-29T02:09:00Z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