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4D36" w:rsidRDefault="003E4D36">
      <w:pPr>
        <w:tabs>
          <w:tab w:val="left" w:pos="6660"/>
        </w:tabs>
        <w:spacing w:line="360" w:lineRule="auto"/>
        <w:jc w:val="center"/>
        <w:rPr>
          <w:rFonts w:asciiTheme="minorEastAsia" w:hAnsiTheme="minorEastAsia" w:cs="Times New Roman"/>
          <w:bCs/>
          <w:sz w:val="48"/>
          <w:szCs w:val="48"/>
        </w:rPr>
      </w:pPr>
    </w:p>
    <w:p w:rsidR="003E4D36" w:rsidRDefault="003E4D36">
      <w:pPr>
        <w:spacing w:line="360" w:lineRule="auto"/>
        <w:jc w:val="center"/>
        <w:rPr>
          <w:rFonts w:asciiTheme="minorEastAsia" w:hAnsiTheme="minorEastAsia" w:cs="Times New Roman"/>
          <w:b/>
          <w:sz w:val="48"/>
          <w:szCs w:val="48"/>
        </w:rPr>
      </w:pPr>
    </w:p>
    <w:p w:rsidR="003E4D36" w:rsidRDefault="003E4D36">
      <w:pPr>
        <w:adjustRightInd w:val="0"/>
        <w:snapToGrid w:val="0"/>
        <w:spacing w:line="360" w:lineRule="auto"/>
        <w:jc w:val="center"/>
        <w:rPr>
          <w:rFonts w:asciiTheme="minorEastAsia" w:hAnsiTheme="minorEastAsia" w:cs="Arial"/>
          <w:sz w:val="48"/>
          <w:szCs w:val="48"/>
        </w:rPr>
      </w:pPr>
      <w:bookmarkStart w:id="0" w:name="_Toc123112227"/>
      <w:bookmarkStart w:id="1" w:name="_Toc123112266"/>
      <w:bookmarkStart w:id="2" w:name="_Toc123701386"/>
      <w:bookmarkStart w:id="3" w:name="_Toc139991729"/>
    </w:p>
    <w:p w:rsidR="003E4D36" w:rsidRDefault="00E729B5">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富荣福鑫灵活配置混合型证券投资基金</w:t>
      </w:r>
    </w:p>
    <w:p w:rsidR="003E4D36" w:rsidRDefault="00E729B5">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w:t>
      </w:r>
      <w:r>
        <w:rPr>
          <w:rFonts w:ascii="Arial" w:eastAsia="宋体" w:hAnsi="宋体" w:cs="Arial"/>
          <w:b/>
          <w:sz w:val="48"/>
          <w:szCs w:val="48"/>
        </w:rPr>
        <w:t>的</w:t>
      </w:r>
      <w:r>
        <w:rPr>
          <w:rFonts w:ascii="Arial" w:eastAsia="宋体" w:hAnsi="宋体" w:cs="Arial" w:hint="eastAsia"/>
          <w:b/>
          <w:sz w:val="48"/>
          <w:szCs w:val="48"/>
        </w:rPr>
        <w:t>招募说明书</w:t>
      </w:r>
    </w:p>
    <w:p w:rsidR="003E4D36" w:rsidRDefault="00E729B5">
      <w:pPr>
        <w:adjustRightInd w:val="0"/>
        <w:snapToGrid w:val="0"/>
        <w:spacing w:line="360" w:lineRule="auto"/>
        <w:jc w:val="center"/>
        <w:rPr>
          <w:rFonts w:asciiTheme="minorEastAsia" w:hAnsiTheme="minorEastAsia" w:cs="Times New Roman"/>
          <w:b/>
          <w:sz w:val="36"/>
          <w:szCs w:val="36"/>
        </w:rPr>
      </w:pPr>
      <w:r>
        <w:rPr>
          <w:rFonts w:asciiTheme="minorEastAsia" w:hAnsiTheme="minorEastAsia" w:cs="Times New Roman" w:hint="eastAsia"/>
          <w:b/>
          <w:sz w:val="36"/>
          <w:szCs w:val="36"/>
        </w:rPr>
        <w:t>（</w:t>
      </w:r>
      <w:r w:rsidR="007F62EE">
        <w:rPr>
          <w:rFonts w:asciiTheme="minorEastAsia" w:hAnsiTheme="minorEastAsia" w:cs="Times New Roman" w:hint="eastAsia"/>
          <w:b/>
          <w:sz w:val="36"/>
          <w:szCs w:val="36"/>
        </w:rPr>
        <w:t>2019</w:t>
      </w:r>
      <w:r>
        <w:rPr>
          <w:rFonts w:asciiTheme="minorEastAsia" w:hAnsiTheme="minorEastAsia" w:cs="Times New Roman" w:hint="eastAsia"/>
          <w:b/>
          <w:sz w:val="36"/>
          <w:szCs w:val="36"/>
        </w:rPr>
        <w:t>年第1号）</w:t>
      </w:r>
    </w:p>
    <w:p w:rsidR="003E4D36" w:rsidRPr="007F62EE" w:rsidRDefault="003E4D36">
      <w:pPr>
        <w:adjustRightInd w:val="0"/>
        <w:snapToGrid w:val="0"/>
        <w:spacing w:line="360" w:lineRule="auto"/>
        <w:jc w:val="center"/>
        <w:rPr>
          <w:rFonts w:asciiTheme="minorEastAsia" w:hAnsiTheme="minorEastAsia" w:cs="Arial"/>
          <w:sz w:val="36"/>
          <w:szCs w:val="36"/>
        </w:rPr>
      </w:pPr>
    </w:p>
    <w:p w:rsidR="003E4D36" w:rsidRDefault="003E4D36">
      <w:pPr>
        <w:adjustRightInd w:val="0"/>
        <w:snapToGrid w:val="0"/>
        <w:spacing w:line="360" w:lineRule="auto"/>
        <w:jc w:val="center"/>
        <w:rPr>
          <w:rFonts w:asciiTheme="minorEastAsia" w:hAnsiTheme="minorEastAsia" w:cs="Arial"/>
          <w:sz w:val="36"/>
          <w:szCs w:val="36"/>
        </w:rPr>
      </w:pPr>
    </w:p>
    <w:p w:rsidR="003E4D36" w:rsidRDefault="003E4D36">
      <w:pPr>
        <w:adjustRightInd w:val="0"/>
        <w:snapToGrid w:val="0"/>
        <w:spacing w:line="360" w:lineRule="auto"/>
        <w:jc w:val="center"/>
        <w:rPr>
          <w:rFonts w:asciiTheme="minorEastAsia" w:hAnsiTheme="minorEastAsia" w:cs="Arial"/>
          <w:sz w:val="36"/>
          <w:szCs w:val="36"/>
        </w:rPr>
      </w:pPr>
    </w:p>
    <w:p w:rsidR="003E4D36" w:rsidRDefault="003E4D36">
      <w:pPr>
        <w:adjustRightInd w:val="0"/>
        <w:snapToGrid w:val="0"/>
        <w:spacing w:line="360" w:lineRule="auto"/>
        <w:jc w:val="center"/>
        <w:rPr>
          <w:rFonts w:asciiTheme="minorEastAsia" w:hAnsiTheme="minorEastAsia" w:cs="Arial"/>
          <w:sz w:val="36"/>
          <w:szCs w:val="36"/>
        </w:rPr>
      </w:pPr>
    </w:p>
    <w:p w:rsidR="003E4D36" w:rsidRDefault="003E4D36">
      <w:pPr>
        <w:adjustRightInd w:val="0"/>
        <w:snapToGrid w:val="0"/>
        <w:spacing w:line="360" w:lineRule="auto"/>
        <w:jc w:val="center"/>
        <w:rPr>
          <w:rFonts w:asciiTheme="minorEastAsia" w:hAnsiTheme="minorEastAsia" w:cs="Arial"/>
          <w:sz w:val="36"/>
          <w:szCs w:val="36"/>
        </w:rPr>
      </w:pPr>
    </w:p>
    <w:p w:rsidR="003E4D36" w:rsidRDefault="003E4D36">
      <w:pPr>
        <w:adjustRightInd w:val="0"/>
        <w:snapToGrid w:val="0"/>
        <w:spacing w:line="360" w:lineRule="auto"/>
        <w:jc w:val="center"/>
        <w:rPr>
          <w:rFonts w:asciiTheme="minorEastAsia" w:hAnsiTheme="minorEastAsia" w:cs="Arial"/>
          <w:sz w:val="36"/>
          <w:szCs w:val="36"/>
        </w:rPr>
      </w:pPr>
    </w:p>
    <w:p w:rsidR="003E4D36" w:rsidRDefault="00E729B5">
      <w:pPr>
        <w:snapToGrid w:val="0"/>
        <w:spacing w:line="360" w:lineRule="auto"/>
        <w:jc w:val="center"/>
        <w:rPr>
          <w:rFonts w:ascii="Arial" w:eastAsia="宋体" w:hAnsi="Arial" w:cs="Times New Roman"/>
          <w:b/>
          <w:sz w:val="36"/>
          <w:szCs w:val="36"/>
        </w:rPr>
      </w:pPr>
      <w:bookmarkStart w:id="4" w:name="_Toc139991726"/>
      <w:bookmarkStart w:id="5" w:name="_Toc139992301"/>
      <w:bookmarkStart w:id="6" w:name="_Toc123701383"/>
      <w:bookmarkStart w:id="7" w:name="_Toc123112224"/>
      <w:bookmarkStart w:id="8" w:name="_Toc12311226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w:t>
      </w:r>
      <w:proofErr w:type="gramStart"/>
      <w:r>
        <w:rPr>
          <w:rFonts w:ascii="Arial" w:eastAsia="宋体" w:hAnsi="Arial" w:cs="Times New Roman" w:hint="eastAsia"/>
          <w:b/>
          <w:sz w:val="36"/>
          <w:szCs w:val="36"/>
        </w:rPr>
        <w:t>荣基金</w:t>
      </w:r>
      <w:proofErr w:type="gramEnd"/>
      <w:r>
        <w:rPr>
          <w:rFonts w:ascii="Arial" w:eastAsia="宋体" w:hAnsi="Arial" w:cs="Times New Roman" w:hint="eastAsia"/>
          <w:b/>
          <w:sz w:val="36"/>
          <w:szCs w:val="36"/>
        </w:rPr>
        <w:t>管理有限公司</w:t>
      </w:r>
    </w:p>
    <w:p w:rsidR="003E4D36" w:rsidRDefault="00E729B5">
      <w:pPr>
        <w:autoSpaceDE w:val="0"/>
        <w:autoSpaceDN w:val="0"/>
        <w:adjustRightInd w:val="0"/>
        <w:snapToGrid w:val="0"/>
        <w:spacing w:line="360" w:lineRule="auto"/>
        <w:jc w:val="center"/>
        <w:rPr>
          <w:rFonts w:ascii="Arial" w:eastAsia="宋体" w:hAnsi="Arial" w:cs="Arial"/>
          <w:b/>
          <w:bCs/>
          <w:sz w:val="36"/>
          <w:szCs w:val="36"/>
        </w:rPr>
      </w:pPr>
      <w:bookmarkStart w:id="9" w:name="_Toc123701384"/>
      <w:bookmarkStart w:id="10" w:name="_Toc123112225"/>
      <w:bookmarkStart w:id="11" w:name="_Toc123112264"/>
      <w:bookmarkStart w:id="12" w:name="_Toc139992302"/>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rsidR="003E4D36" w:rsidRDefault="003E4D36">
      <w:pPr>
        <w:autoSpaceDE w:val="0"/>
        <w:autoSpaceDN w:val="0"/>
        <w:adjustRightInd w:val="0"/>
        <w:snapToGrid w:val="0"/>
        <w:spacing w:line="360" w:lineRule="auto"/>
        <w:jc w:val="center"/>
        <w:rPr>
          <w:rFonts w:asciiTheme="minorEastAsia" w:hAnsiTheme="minorEastAsia" w:cs="Arial"/>
          <w:b/>
          <w:bCs/>
          <w:sz w:val="28"/>
          <w:szCs w:val="28"/>
        </w:rPr>
      </w:pPr>
    </w:p>
    <w:p w:rsidR="003E4D36" w:rsidRDefault="003E4D36">
      <w:pPr>
        <w:autoSpaceDE w:val="0"/>
        <w:autoSpaceDN w:val="0"/>
        <w:adjustRightInd w:val="0"/>
        <w:snapToGrid w:val="0"/>
        <w:spacing w:line="360" w:lineRule="auto"/>
        <w:jc w:val="center"/>
        <w:rPr>
          <w:rFonts w:asciiTheme="minorEastAsia" w:hAnsiTheme="minorEastAsia" w:cs="Arial"/>
          <w:b/>
          <w:bCs/>
          <w:sz w:val="28"/>
          <w:szCs w:val="28"/>
        </w:rPr>
      </w:pPr>
    </w:p>
    <w:p w:rsidR="003E4D36" w:rsidRDefault="003E4D36">
      <w:pPr>
        <w:autoSpaceDE w:val="0"/>
        <w:autoSpaceDN w:val="0"/>
        <w:adjustRightInd w:val="0"/>
        <w:snapToGrid w:val="0"/>
        <w:spacing w:line="360" w:lineRule="auto"/>
        <w:jc w:val="center"/>
        <w:rPr>
          <w:rFonts w:asciiTheme="minorEastAsia" w:hAnsiTheme="minorEastAsia" w:cs="Arial"/>
          <w:b/>
          <w:bCs/>
          <w:sz w:val="28"/>
          <w:szCs w:val="28"/>
        </w:rPr>
      </w:pPr>
    </w:p>
    <w:p w:rsidR="003E4D36" w:rsidRDefault="003E4D36">
      <w:pPr>
        <w:widowControl/>
        <w:spacing w:line="360" w:lineRule="auto"/>
        <w:rPr>
          <w:rFonts w:ascii="Arial" w:eastAsia="宋体" w:hAnsi="Arial" w:cs="Arial"/>
          <w:b/>
          <w:bCs/>
          <w:kern w:val="0"/>
          <w:sz w:val="28"/>
          <w:szCs w:val="28"/>
        </w:rPr>
        <w:sectPr w:rsidR="003E4D36">
          <w:headerReference w:type="default" r:id="rId10"/>
          <w:footerReference w:type="default" r:id="rId11"/>
          <w:pgSz w:w="11906" w:h="16838"/>
          <w:pgMar w:top="1440" w:right="1800" w:bottom="1440" w:left="1800" w:header="851" w:footer="992" w:gutter="0"/>
          <w:pgNumType w:start="1"/>
          <w:cols w:space="720"/>
          <w:titlePg/>
          <w:docGrid w:type="lines" w:linePitch="312"/>
        </w:sectPr>
      </w:pPr>
    </w:p>
    <w:p w:rsidR="003E4D36" w:rsidRDefault="00E729B5">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rsidR="003E4D36" w:rsidRDefault="003E4D36">
      <w:pPr>
        <w:autoSpaceDE w:val="0"/>
        <w:autoSpaceDN w:val="0"/>
        <w:adjustRightInd w:val="0"/>
        <w:snapToGrid w:val="0"/>
        <w:spacing w:line="360" w:lineRule="auto"/>
        <w:jc w:val="center"/>
        <w:rPr>
          <w:rFonts w:ascii="Arial" w:eastAsia="宋体" w:hAnsi="Arial" w:cs="Arial"/>
          <w:b/>
          <w:bCs/>
          <w:szCs w:val="21"/>
        </w:rPr>
      </w:pPr>
    </w:p>
    <w:p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bCs/>
          <w:color w:val="000000"/>
          <w:sz w:val="24"/>
          <w:szCs w:val="24"/>
        </w:rPr>
        <w:t>本基金经中国证监会2017年5月12日证监许可[2017]700号文准予注册。本基金于2018年2月13日正式生效。</w:t>
      </w:r>
    </w:p>
    <w:p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性风险、本基金特定投资策略带来的风险及其他风险等。本基金属于混合型基金，其预期的风险和收益高于货币市场基金、债券基金，低于股票型基金，属于证券投资基金中中高风险、中高预期收益的品种。</w:t>
      </w:r>
    </w:p>
    <w:p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元初始面值募集基金份额，在市场波动等因素的影响下，基金投资有可能出现亏损或基金份额净值低于初始面值。</w:t>
      </w:r>
    </w:p>
    <w:p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p>
    <w:p w:rsidR="003E4D36" w:rsidRDefault="00E729B5">
      <w:pPr>
        <w:autoSpaceDE w:val="0"/>
        <w:autoSpaceDN w:val="0"/>
        <w:adjustRightInd w:val="0"/>
        <w:snapToGrid w:val="0"/>
        <w:spacing w:line="360" w:lineRule="auto"/>
        <w:ind w:leftChars="150" w:left="315" w:firstLineChars="50" w:firstLine="120"/>
        <w:rPr>
          <w:rFonts w:asciiTheme="minorEastAsia" w:hAnsiTheme="minorEastAsia" w:cs="Arial"/>
          <w:sz w:val="24"/>
          <w:szCs w:val="24"/>
        </w:rPr>
      </w:pPr>
      <w:r>
        <w:rPr>
          <w:rFonts w:asciiTheme="minorEastAsia" w:hAnsiTheme="minorEastAsia" w:cs="Arial" w:hint="eastAsia"/>
          <w:sz w:val="24"/>
          <w:szCs w:val="24"/>
        </w:rPr>
        <w:t>本招募说明书所载内容截止日为</w:t>
      </w:r>
      <w:r w:rsidR="007F62EE">
        <w:rPr>
          <w:rFonts w:asciiTheme="minorEastAsia" w:hAnsiTheme="minorEastAsia" w:cs="Arial" w:hint="eastAsia"/>
          <w:sz w:val="24"/>
          <w:szCs w:val="24"/>
        </w:rPr>
        <w:t>2019</w:t>
      </w:r>
      <w:r>
        <w:rPr>
          <w:rFonts w:asciiTheme="minorEastAsia" w:hAnsiTheme="minorEastAsia" w:cs="Arial" w:hint="eastAsia"/>
          <w:sz w:val="24"/>
          <w:szCs w:val="24"/>
        </w:rPr>
        <w:t>年</w:t>
      </w:r>
      <w:r w:rsidR="007F62EE">
        <w:rPr>
          <w:rFonts w:asciiTheme="minorEastAsia" w:hAnsiTheme="minorEastAsia" w:cs="Arial" w:hint="eastAsia"/>
          <w:sz w:val="24"/>
          <w:szCs w:val="24"/>
        </w:rPr>
        <w:t>2</w:t>
      </w:r>
      <w:r>
        <w:rPr>
          <w:rFonts w:asciiTheme="minorEastAsia" w:hAnsiTheme="minorEastAsia" w:cs="Arial" w:hint="eastAsia"/>
          <w:sz w:val="24"/>
          <w:szCs w:val="24"/>
        </w:rPr>
        <w:t>月13日，有关财务数据截止日为</w:t>
      </w:r>
      <w:r>
        <w:rPr>
          <w:rFonts w:asciiTheme="minorEastAsia" w:hAnsiTheme="minorEastAsia" w:cs="Arial"/>
          <w:sz w:val="24"/>
          <w:szCs w:val="24"/>
        </w:rPr>
        <w:t>2018</w:t>
      </w:r>
      <w:r>
        <w:rPr>
          <w:rFonts w:asciiTheme="minorEastAsia" w:hAnsiTheme="minorEastAsia" w:cs="Arial" w:hint="eastAsia"/>
          <w:sz w:val="24"/>
          <w:szCs w:val="24"/>
        </w:rPr>
        <w:t>年</w:t>
      </w:r>
      <w:r w:rsidR="007F62EE">
        <w:rPr>
          <w:rFonts w:asciiTheme="minorEastAsia" w:hAnsiTheme="minorEastAsia" w:cs="Arial" w:hint="eastAsia"/>
          <w:sz w:val="24"/>
          <w:szCs w:val="24"/>
        </w:rPr>
        <w:t>12</w:t>
      </w:r>
      <w:r>
        <w:rPr>
          <w:rFonts w:asciiTheme="minorEastAsia" w:hAnsiTheme="minorEastAsia" w:cs="Arial" w:hint="eastAsia"/>
          <w:sz w:val="24"/>
          <w:szCs w:val="24"/>
        </w:rPr>
        <w:t>月</w:t>
      </w:r>
      <w:r>
        <w:rPr>
          <w:rFonts w:asciiTheme="minorEastAsia" w:hAnsiTheme="minorEastAsia" w:cs="Arial"/>
          <w:sz w:val="24"/>
          <w:szCs w:val="24"/>
        </w:rPr>
        <w:t>3</w:t>
      </w:r>
      <w:r w:rsidR="007F62EE">
        <w:rPr>
          <w:rFonts w:asciiTheme="minorEastAsia" w:hAnsiTheme="minorEastAsia" w:cs="Arial" w:hint="eastAsia"/>
          <w:sz w:val="24"/>
          <w:szCs w:val="24"/>
        </w:rPr>
        <w:t>1</w:t>
      </w:r>
      <w:r>
        <w:rPr>
          <w:rFonts w:asciiTheme="minorEastAsia" w:hAnsiTheme="minorEastAsia" w:cs="Arial" w:hint="eastAsia"/>
          <w:sz w:val="24"/>
          <w:szCs w:val="24"/>
        </w:rPr>
        <w:t>日，净值表现截止日为2018年</w:t>
      </w:r>
      <w:r w:rsidR="007F62EE">
        <w:rPr>
          <w:rFonts w:asciiTheme="minorEastAsia" w:hAnsiTheme="minorEastAsia" w:cs="Arial" w:hint="eastAsia"/>
          <w:sz w:val="24"/>
          <w:szCs w:val="24"/>
        </w:rPr>
        <w:t>12</w:t>
      </w:r>
      <w:r>
        <w:rPr>
          <w:rFonts w:asciiTheme="minorEastAsia" w:hAnsiTheme="minorEastAsia" w:cs="Arial" w:hint="eastAsia"/>
          <w:sz w:val="24"/>
          <w:szCs w:val="24"/>
        </w:rPr>
        <w:t>月</w:t>
      </w:r>
      <w:r w:rsidR="007F62EE">
        <w:rPr>
          <w:rFonts w:asciiTheme="minorEastAsia" w:hAnsiTheme="minorEastAsia" w:cs="Arial" w:hint="eastAsia"/>
          <w:sz w:val="24"/>
          <w:szCs w:val="24"/>
        </w:rPr>
        <w:t>31</w:t>
      </w:r>
      <w:r>
        <w:rPr>
          <w:rFonts w:asciiTheme="minorEastAsia" w:hAnsiTheme="minorEastAsia" w:cs="Arial" w:hint="eastAsia"/>
          <w:sz w:val="24"/>
          <w:szCs w:val="24"/>
        </w:rPr>
        <w:t>日，本报告中所列财务数</w:t>
      </w:r>
      <w:r>
        <w:rPr>
          <w:rFonts w:asciiTheme="minorEastAsia" w:hAnsiTheme="minorEastAsia" w:cs="Arial" w:hint="eastAsia"/>
          <w:sz w:val="24"/>
          <w:szCs w:val="24"/>
        </w:rPr>
        <w:lastRenderedPageBreak/>
        <w:t>据未经审计。</w:t>
      </w:r>
    </w:p>
    <w:p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本基金托管人平安银行股份有限公司已于201</w:t>
      </w:r>
      <w:r w:rsidR="007F62EE">
        <w:rPr>
          <w:rFonts w:asciiTheme="minorEastAsia" w:hAnsiTheme="minorEastAsia" w:cs="Arial" w:hint="eastAsia"/>
          <w:sz w:val="24"/>
          <w:szCs w:val="24"/>
        </w:rPr>
        <w:t>9</w:t>
      </w:r>
      <w:r>
        <w:rPr>
          <w:rFonts w:asciiTheme="minorEastAsia" w:hAnsiTheme="minorEastAsia" w:cs="Arial" w:hint="eastAsia"/>
          <w:sz w:val="24"/>
          <w:szCs w:val="24"/>
        </w:rPr>
        <w:t>年</w:t>
      </w:r>
      <w:r w:rsidR="00FF6AC1">
        <w:rPr>
          <w:rFonts w:asciiTheme="minorEastAsia" w:hAnsiTheme="minorEastAsia" w:cs="Arial" w:hint="eastAsia"/>
          <w:sz w:val="24"/>
          <w:szCs w:val="24"/>
        </w:rPr>
        <w:t>2</w:t>
      </w:r>
      <w:r>
        <w:rPr>
          <w:rFonts w:asciiTheme="minorEastAsia" w:hAnsiTheme="minorEastAsia" w:cs="Arial" w:hint="eastAsia"/>
          <w:sz w:val="24"/>
          <w:szCs w:val="24"/>
        </w:rPr>
        <w:t>月</w:t>
      </w:r>
      <w:r w:rsidR="00FF6AC1">
        <w:rPr>
          <w:rFonts w:asciiTheme="minorEastAsia" w:hAnsiTheme="minorEastAsia" w:cs="Arial" w:hint="eastAsia"/>
          <w:sz w:val="24"/>
          <w:szCs w:val="24"/>
        </w:rPr>
        <w:t>22</w:t>
      </w:r>
      <w:r>
        <w:rPr>
          <w:rFonts w:asciiTheme="minorEastAsia" w:hAnsiTheme="minorEastAsia" w:cs="Arial" w:hint="eastAsia"/>
          <w:sz w:val="24"/>
          <w:szCs w:val="24"/>
        </w:rPr>
        <w:t>日复核了本次更新的招募说明书。</w:t>
      </w:r>
    </w:p>
    <w:p w:rsidR="003E4D36" w:rsidRDefault="003E4D36">
      <w:pPr>
        <w:autoSpaceDE w:val="0"/>
        <w:autoSpaceDN w:val="0"/>
        <w:adjustRightInd w:val="0"/>
        <w:snapToGrid w:val="0"/>
        <w:spacing w:line="360" w:lineRule="auto"/>
        <w:jc w:val="center"/>
        <w:rPr>
          <w:rFonts w:ascii="Arial" w:eastAsia="宋体" w:hAnsi="Arial" w:cs="Arial"/>
          <w:b/>
          <w:bCs/>
          <w:sz w:val="28"/>
          <w:szCs w:val="28"/>
        </w:rPr>
      </w:pPr>
    </w:p>
    <w:p w:rsidR="003E4D36" w:rsidRDefault="003E4D36">
      <w:pPr>
        <w:widowControl/>
        <w:spacing w:line="360" w:lineRule="auto"/>
        <w:jc w:val="left"/>
        <w:rPr>
          <w:rFonts w:ascii="Times New Roman" w:eastAsia="宋体" w:hAnsi="Times New Roman" w:cs="Times New Roman"/>
          <w:b/>
          <w:kern w:val="0"/>
          <w:sz w:val="30"/>
          <w:szCs w:val="30"/>
        </w:rPr>
        <w:sectPr w:rsidR="003E4D36">
          <w:pgSz w:w="11906" w:h="16838"/>
          <w:pgMar w:top="1440" w:right="1800" w:bottom="1440" w:left="1800" w:header="851" w:footer="992" w:gutter="0"/>
          <w:pgNumType w:start="1"/>
          <w:cols w:space="720"/>
          <w:docGrid w:type="lines" w:linePitch="312"/>
        </w:sectPr>
      </w:pPr>
      <w:bookmarkStart w:id="14" w:name="_Toc4867"/>
      <w:bookmarkStart w:id="15" w:name="_Toc139991730"/>
      <w:bookmarkStart w:id="16" w:name="_Toc11660"/>
      <w:bookmarkStart w:id="17" w:name="_Toc23386"/>
      <w:bookmarkStart w:id="18" w:name="_Toc8727"/>
      <w:bookmarkStart w:id="19" w:name="_Toc15517"/>
      <w:bookmarkStart w:id="20" w:name="_Toc6306"/>
      <w:bookmarkStart w:id="21" w:name="_Toc123701389"/>
      <w:bookmarkStart w:id="22" w:name="_Toc352229746"/>
      <w:bookmarkStart w:id="23" w:name="_Toc4966"/>
      <w:bookmarkStart w:id="24" w:name="_Toc141703880"/>
      <w:bookmarkStart w:id="25" w:name="_Toc123112229"/>
      <w:bookmarkStart w:id="26" w:name="_Toc29629"/>
      <w:bookmarkStart w:id="27" w:name="_Toc123112268"/>
      <w:bookmarkStart w:id="28" w:name="_Toc32639"/>
      <w:bookmarkStart w:id="29" w:name="_Toc30935"/>
      <w:bookmarkStart w:id="30" w:name="_Toc26897"/>
      <w:bookmarkStart w:id="31" w:name="_Toc233456271"/>
      <w:bookmarkEnd w:id="0"/>
      <w:bookmarkEnd w:id="1"/>
      <w:bookmarkEnd w:id="2"/>
      <w:bookmarkEnd w:id="3"/>
    </w:p>
    <w:p w:rsidR="003E4D36" w:rsidRDefault="00E729B5">
      <w:pPr>
        <w:jc w:val="center"/>
        <w:rPr>
          <w:b/>
          <w:bCs/>
          <w:sz w:val="24"/>
        </w:rPr>
      </w:pPr>
      <w:r>
        <w:rPr>
          <w:b/>
          <w:bCs/>
          <w:sz w:val="24"/>
        </w:rPr>
        <w:lastRenderedPageBreak/>
        <w:t>目</w:t>
      </w:r>
      <w:r>
        <w:rPr>
          <w:b/>
          <w:bCs/>
          <w:sz w:val="24"/>
        </w:rPr>
        <w:t xml:space="preserve">    </w:t>
      </w:r>
      <w:r>
        <w:rPr>
          <w:b/>
          <w:bCs/>
          <w:sz w:val="24"/>
        </w:rPr>
        <w:t>录</w:t>
      </w:r>
    </w:p>
    <w:p w:rsidR="003E4D36" w:rsidRDefault="00E729B5">
      <w:pPr>
        <w:pStyle w:val="10"/>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523243816" w:history="1">
        <w:r>
          <w:rPr>
            <w:rStyle w:val="af"/>
            <w:noProof/>
          </w:rPr>
          <w:t>第一部分</w:t>
        </w:r>
        <w:r>
          <w:rPr>
            <w:rStyle w:val="af"/>
            <w:noProof/>
          </w:rPr>
          <w:t xml:space="preserve">  </w:t>
        </w:r>
        <w:r>
          <w:rPr>
            <w:rStyle w:val="af"/>
            <w:noProof/>
          </w:rPr>
          <w:t>绪言</w:t>
        </w:r>
        <w:r>
          <w:rPr>
            <w:noProof/>
          </w:rPr>
          <w:tab/>
        </w:r>
        <w:r>
          <w:rPr>
            <w:noProof/>
          </w:rPr>
          <w:fldChar w:fldCharType="begin"/>
        </w:r>
        <w:r>
          <w:rPr>
            <w:noProof/>
          </w:rPr>
          <w:instrText xml:space="preserve"> PAGEREF _Toc523243816 \h </w:instrText>
        </w:r>
        <w:r>
          <w:rPr>
            <w:noProof/>
          </w:rPr>
        </w:r>
        <w:r>
          <w:rPr>
            <w:noProof/>
          </w:rPr>
          <w:fldChar w:fldCharType="separate"/>
        </w:r>
        <w:r w:rsidR="00E2242D">
          <w:rPr>
            <w:noProof/>
          </w:rPr>
          <w:t>1</w:t>
        </w:r>
        <w:r>
          <w:rPr>
            <w:noProof/>
          </w:rPr>
          <w:fldChar w:fldCharType="end"/>
        </w:r>
      </w:hyperlink>
    </w:p>
    <w:p w:rsidR="003E4D36" w:rsidRDefault="00084EBD">
      <w:pPr>
        <w:pStyle w:val="10"/>
        <w:rPr>
          <w:rFonts w:asciiTheme="minorHAnsi" w:eastAsiaTheme="minorEastAsia" w:hAnsiTheme="minorHAnsi" w:cstheme="minorBidi"/>
          <w:noProof/>
          <w:szCs w:val="22"/>
        </w:rPr>
      </w:pPr>
      <w:hyperlink w:anchor="_Toc523243817" w:history="1">
        <w:r w:rsidR="00E729B5">
          <w:rPr>
            <w:rStyle w:val="af"/>
            <w:noProof/>
          </w:rPr>
          <w:t>第二部分</w:t>
        </w:r>
        <w:r w:rsidR="00E729B5">
          <w:rPr>
            <w:rStyle w:val="af"/>
            <w:noProof/>
          </w:rPr>
          <w:t xml:space="preserve">  </w:t>
        </w:r>
        <w:r w:rsidR="00E729B5">
          <w:rPr>
            <w:rStyle w:val="af"/>
            <w:noProof/>
          </w:rPr>
          <w:t>释义</w:t>
        </w:r>
        <w:r w:rsidR="00E729B5">
          <w:rPr>
            <w:noProof/>
          </w:rPr>
          <w:tab/>
        </w:r>
        <w:r w:rsidR="00E729B5">
          <w:rPr>
            <w:noProof/>
          </w:rPr>
          <w:fldChar w:fldCharType="begin"/>
        </w:r>
        <w:r w:rsidR="00E729B5">
          <w:rPr>
            <w:noProof/>
          </w:rPr>
          <w:instrText xml:space="preserve"> PAGEREF _Toc523243817 \h </w:instrText>
        </w:r>
        <w:r w:rsidR="00E729B5">
          <w:rPr>
            <w:noProof/>
          </w:rPr>
        </w:r>
        <w:r w:rsidR="00E729B5">
          <w:rPr>
            <w:noProof/>
          </w:rPr>
          <w:fldChar w:fldCharType="separate"/>
        </w:r>
        <w:r w:rsidR="00E2242D">
          <w:rPr>
            <w:noProof/>
          </w:rPr>
          <w:t>2</w:t>
        </w:r>
        <w:r w:rsidR="00E729B5">
          <w:rPr>
            <w:noProof/>
          </w:rPr>
          <w:fldChar w:fldCharType="end"/>
        </w:r>
      </w:hyperlink>
    </w:p>
    <w:p w:rsidR="003E4D36" w:rsidRDefault="00084EBD">
      <w:pPr>
        <w:pStyle w:val="10"/>
        <w:rPr>
          <w:rFonts w:asciiTheme="minorHAnsi" w:eastAsiaTheme="minorEastAsia" w:hAnsiTheme="minorHAnsi" w:cstheme="minorBidi"/>
          <w:noProof/>
          <w:szCs w:val="22"/>
        </w:rPr>
      </w:pPr>
      <w:hyperlink w:anchor="_Toc523243818" w:history="1">
        <w:r w:rsidR="00E729B5">
          <w:rPr>
            <w:rStyle w:val="af"/>
            <w:noProof/>
          </w:rPr>
          <w:t>第三部分</w:t>
        </w:r>
        <w:r w:rsidR="00E729B5">
          <w:rPr>
            <w:rStyle w:val="af"/>
            <w:noProof/>
          </w:rPr>
          <w:t xml:space="preserve">  </w:t>
        </w:r>
        <w:r w:rsidR="00E729B5">
          <w:rPr>
            <w:rStyle w:val="af"/>
            <w:noProof/>
          </w:rPr>
          <w:t>基金管理人</w:t>
        </w:r>
        <w:r w:rsidR="00E729B5">
          <w:rPr>
            <w:noProof/>
          </w:rPr>
          <w:tab/>
        </w:r>
        <w:r w:rsidR="00E729B5">
          <w:rPr>
            <w:noProof/>
          </w:rPr>
          <w:fldChar w:fldCharType="begin"/>
        </w:r>
        <w:r w:rsidR="00E729B5">
          <w:rPr>
            <w:noProof/>
          </w:rPr>
          <w:instrText xml:space="preserve"> PAGEREF _Toc523243818 \h </w:instrText>
        </w:r>
        <w:r w:rsidR="00E729B5">
          <w:rPr>
            <w:noProof/>
          </w:rPr>
        </w:r>
        <w:r w:rsidR="00E729B5">
          <w:rPr>
            <w:noProof/>
          </w:rPr>
          <w:fldChar w:fldCharType="separate"/>
        </w:r>
        <w:r w:rsidR="00E2242D">
          <w:rPr>
            <w:noProof/>
          </w:rPr>
          <w:t>7</w:t>
        </w:r>
        <w:r w:rsidR="00E729B5">
          <w:rPr>
            <w:noProof/>
          </w:rPr>
          <w:fldChar w:fldCharType="end"/>
        </w:r>
      </w:hyperlink>
    </w:p>
    <w:p w:rsidR="003E4D36" w:rsidRDefault="00084EBD">
      <w:pPr>
        <w:pStyle w:val="10"/>
        <w:rPr>
          <w:rFonts w:asciiTheme="minorHAnsi" w:eastAsiaTheme="minorEastAsia" w:hAnsiTheme="minorHAnsi" w:cstheme="minorBidi"/>
          <w:noProof/>
          <w:szCs w:val="22"/>
        </w:rPr>
      </w:pPr>
      <w:hyperlink w:anchor="_Toc523243819" w:history="1">
        <w:r w:rsidR="00E729B5">
          <w:rPr>
            <w:rStyle w:val="af"/>
            <w:noProof/>
          </w:rPr>
          <w:t>第四部分</w:t>
        </w:r>
        <w:r w:rsidR="00E729B5">
          <w:rPr>
            <w:rStyle w:val="af"/>
            <w:noProof/>
          </w:rPr>
          <w:t xml:space="preserve">  </w:t>
        </w:r>
        <w:r w:rsidR="00E729B5">
          <w:rPr>
            <w:rStyle w:val="af"/>
            <w:noProof/>
          </w:rPr>
          <w:t>基金托管人</w:t>
        </w:r>
        <w:r w:rsidR="00E729B5">
          <w:rPr>
            <w:noProof/>
          </w:rPr>
          <w:tab/>
        </w:r>
        <w:r w:rsidR="00E729B5">
          <w:rPr>
            <w:noProof/>
          </w:rPr>
          <w:fldChar w:fldCharType="begin"/>
        </w:r>
        <w:r w:rsidR="00E729B5">
          <w:rPr>
            <w:noProof/>
          </w:rPr>
          <w:instrText xml:space="preserve"> PAGEREF _Toc523243819 \h </w:instrText>
        </w:r>
        <w:r w:rsidR="00E729B5">
          <w:rPr>
            <w:noProof/>
          </w:rPr>
        </w:r>
        <w:r w:rsidR="00E729B5">
          <w:rPr>
            <w:noProof/>
          </w:rPr>
          <w:fldChar w:fldCharType="separate"/>
        </w:r>
        <w:r w:rsidR="00E2242D">
          <w:rPr>
            <w:noProof/>
          </w:rPr>
          <w:t>17</w:t>
        </w:r>
        <w:r w:rsidR="00E729B5">
          <w:rPr>
            <w:noProof/>
          </w:rPr>
          <w:fldChar w:fldCharType="end"/>
        </w:r>
      </w:hyperlink>
    </w:p>
    <w:p w:rsidR="003E4D36" w:rsidRDefault="00084EBD">
      <w:pPr>
        <w:pStyle w:val="10"/>
        <w:rPr>
          <w:rFonts w:asciiTheme="minorHAnsi" w:eastAsiaTheme="minorEastAsia" w:hAnsiTheme="minorHAnsi" w:cstheme="minorBidi"/>
          <w:noProof/>
          <w:szCs w:val="22"/>
        </w:rPr>
      </w:pPr>
      <w:hyperlink w:anchor="_Toc523243820" w:history="1">
        <w:r w:rsidR="00E729B5">
          <w:rPr>
            <w:rStyle w:val="af"/>
            <w:noProof/>
          </w:rPr>
          <w:t>第五部分</w:t>
        </w:r>
        <w:r w:rsidR="00E729B5">
          <w:rPr>
            <w:rStyle w:val="af"/>
            <w:noProof/>
          </w:rPr>
          <w:t xml:space="preserve">  </w:t>
        </w:r>
        <w:r w:rsidR="00E729B5">
          <w:rPr>
            <w:rStyle w:val="af"/>
            <w:noProof/>
          </w:rPr>
          <w:t>相关服务机构</w:t>
        </w:r>
        <w:r w:rsidR="00E729B5">
          <w:rPr>
            <w:noProof/>
          </w:rPr>
          <w:tab/>
        </w:r>
        <w:r w:rsidR="00E729B5">
          <w:rPr>
            <w:noProof/>
          </w:rPr>
          <w:fldChar w:fldCharType="begin"/>
        </w:r>
        <w:r w:rsidR="00E729B5">
          <w:rPr>
            <w:noProof/>
          </w:rPr>
          <w:instrText xml:space="preserve"> PAGEREF _Toc523243820 \h </w:instrText>
        </w:r>
        <w:r w:rsidR="00E729B5">
          <w:rPr>
            <w:noProof/>
          </w:rPr>
        </w:r>
        <w:r w:rsidR="00E729B5">
          <w:rPr>
            <w:noProof/>
          </w:rPr>
          <w:fldChar w:fldCharType="separate"/>
        </w:r>
        <w:r w:rsidR="00E2242D">
          <w:rPr>
            <w:noProof/>
          </w:rPr>
          <w:t>22</w:t>
        </w:r>
        <w:r w:rsidR="00E729B5">
          <w:rPr>
            <w:noProof/>
          </w:rPr>
          <w:fldChar w:fldCharType="end"/>
        </w:r>
      </w:hyperlink>
    </w:p>
    <w:p w:rsidR="003E4D36" w:rsidRDefault="00084EBD">
      <w:pPr>
        <w:pStyle w:val="10"/>
        <w:rPr>
          <w:rFonts w:asciiTheme="minorHAnsi" w:eastAsiaTheme="minorEastAsia" w:hAnsiTheme="minorHAnsi" w:cstheme="minorBidi"/>
          <w:noProof/>
          <w:szCs w:val="22"/>
        </w:rPr>
      </w:pPr>
      <w:hyperlink w:anchor="_Toc523243821" w:history="1">
        <w:r w:rsidR="00E729B5">
          <w:rPr>
            <w:rStyle w:val="af"/>
            <w:noProof/>
          </w:rPr>
          <w:t>第六部分</w:t>
        </w:r>
        <w:r w:rsidR="00E729B5">
          <w:rPr>
            <w:rStyle w:val="af"/>
            <w:noProof/>
          </w:rPr>
          <w:t xml:space="preserve">  </w:t>
        </w:r>
        <w:r w:rsidR="00E729B5">
          <w:rPr>
            <w:rStyle w:val="af"/>
            <w:noProof/>
          </w:rPr>
          <w:t>基金的募集</w:t>
        </w:r>
        <w:r w:rsidR="00E729B5">
          <w:rPr>
            <w:noProof/>
          </w:rPr>
          <w:tab/>
        </w:r>
        <w:r w:rsidR="00E729B5">
          <w:rPr>
            <w:noProof/>
          </w:rPr>
          <w:fldChar w:fldCharType="begin"/>
        </w:r>
        <w:r w:rsidR="00E729B5">
          <w:rPr>
            <w:noProof/>
          </w:rPr>
          <w:instrText xml:space="preserve"> PAGEREF _Toc523243821 \h </w:instrText>
        </w:r>
        <w:r w:rsidR="00E729B5">
          <w:rPr>
            <w:noProof/>
          </w:rPr>
        </w:r>
        <w:r w:rsidR="00E729B5">
          <w:rPr>
            <w:noProof/>
          </w:rPr>
          <w:fldChar w:fldCharType="separate"/>
        </w:r>
        <w:r w:rsidR="00E2242D">
          <w:rPr>
            <w:noProof/>
          </w:rPr>
          <w:t>27</w:t>
        </w:r>
        <w:r w:rsidR="00E729B5">
          <w:rPr>
            <w:noProof/>
          </w:rPr>
          <w:fldChar w:fldCharType="end"/>
        </w:r>
      </w:hyperlink>
    </w:p>
    <w:p w:rsidR="003E4D36" w:rsidRDefault="00084EBD">
      <w:pPr>
        <w:pStyle w:val="10"/>
        <w:rPr>
          <w:rFonts w:asciiTheme="minorHAnsi" w:eastAsiaTheme="minorEastAsia" w:hAnsiTheme="minorHAnsi" w:cstheme="minorBidi"/>
          <w:noProof/>
          <w:szCs w:val="22"/>
        </w:rPr>
      </w:pPr>
      <w:hyperlink w:anchor="_Toc523243822" w:history="1">
        <w:r w:rsidR="00E729B5">
          <w:rPr>
            <w:rStyle w:val="af"/>
            <w:noProof/>
          </w:rPr>
          <w:t>第七部分</w:t>
        </w:r>
        <w:r w:rsidR="00E729B5">
          <w:rPr>
            <w:rStyle w:val="af"/>
            <w:noProof/>
          </w:rPr>
          <w:t xml:space="preserve">  </w:t>
        </w:r>
        <w:r w:rsidR="00E729B5">
          <w:rPr>
            <w:rStyle w:val="af"/>
            <w:noProof/>
          </w:rPr>
          <w:t>基金合同的生效</w:t>
        </w:r>
        <w:r w:rsidR="00E729B5">
          <w:rPr>
            <w:noProof/>
          </w:rPr>
          <w:tab/>
        </w:r>
        <w:r w:rsidR="00E729B5">
          <w:rPr>
            <w:noProof/>
          </w:rPr>
          <w:fldChar w:fldCharType="begin"/>
        </w:r>
        <w:r w:rsidR="00E729B5">
          <w:rPr>
            <w:noProof/>
          </w:rPr>
          <w:instrText xml:space="preserve"> PAGEREF _Toc523243822 \h </w:instrText>
        </w:r>
        <w:r w:rsidR="00E729B5">
          <w:rPr>
            <w:noProof/>
          </w:rPr>
        </w:r>
        <w:r w:rsidR="00E729B5">
          <w:rPr>
            <w:noProof/>
          </w:rPr>
          <w:fldChar w:fldCharType="separate"/>
        </w:r>
        <w:r w:rsidR="00E2242D">
          <w:rPr>
            <w:noProof/>
          </w:rPr>
          <w:t>28</w:t>
        </w:r>
        <w:r w:rsidR="00E729B5">
          <w:rPr>
            <w:noProof/>
          </w:rPr>
          <w:fldChar w:fldCharType="end"/>
        </w:r>
      </w:hyperlink>
    </w:p>
    <w:p w:rsidR="003E4D36" w:rsidRDefault="00084EBD">
      <w:pPr>
        <w:pStyle w:val="10"/>
        <w:rPr>
          <w:rFonts w:asciiTheme="minorHAnsi" w:eastAsiaTheme="minorEastAsia" w:hAnsiTheme="minorHAnsi" w:cstheme="minorBidi"/>
          <w:noProof/>
          <w:szCs w:val="22"/>
        </w:rPr>
      </w:pPr>
      <w:hyperlink w:anchor="_Toc523243823" w:history="1">
        <w:r w:rsidR="00E729B5">
          <w:rPr>
            <w:rStyle w:val="af"/>
            <w:noProof/>
          </w:rPr>
          <w:t>第八部分</w:t>
        </w:r>
        <w:r w:rsidR="00E729B5">
          <w:rPr>
            <w:rStyle w:val="af"/>
            <w:noProof/>
          </w:rPr>
          <w:t xml:space="preserve">  </w:t>
        </w:r>
        <w:r w:rsidR="00E729B5">
          <w:rPr>
            <w:rStyle w:val="af"/>
            <w:noProof/>
          </w:rPr>
          <w:t>基金份额的申购与赎回</w:t>
        </w:r>
        <w:r w:rsidR="00E729B5">
          <w:rPr>
            <w:noProof/>
          </w:rPr>
          <w:tab/>
        </w:r>
        <w:r w:rsidR="00E729B5">
          <w:rPr>
            <w:noProof/>
          </w:rPr>
          <w:fldChar w:fldCharType="begin"/>
        </w:r>
        <w:r w:rsidR="00E729B5">
          <w:rPr>
            <w:noProof/>
          </w:rPr>
          <w:instrText xml:space="preserve"> PAGEREF _Toc523243823 \h </w:instrText>
        </w:r>
        <w:r w:rsidR="00E729B5">
          <w:rPr>
            <w:noProof/>
          </w:rPr>
        </w:r>
        <w:r w:rsidR="00E729B5">
          <w:rPr>
            <w:noProof/>
          </w:rPr>
          <w:fldChar w:fldCharType="separate"/>
        </w:r>
        <w:r w:rsidR="00E2242D">
          <w:rPr>
            <w:noProof/>
          </w:rPr>
          <w:t>29</w:t>
        </w:r>
        <w:r w:rsidR="00E729B5">
          <w:rPr>
            <w:noProof/>
          </w:rPr>
          <w:fldChar w:fldCharType="end"/>
        </w:r>
      </w:hyperlink>
    </w:p>
    <w:p w:rsidR="003E4D36" w:rsidRDefault="00084EBD">
      <w:pPr>
        <w:pStyle w:val="10"/>
        <w:rPr>
          <w:rFonts w:asciiTheme="minorHAnsi" w:eastAsiaTheme="minorEastAsia" w:hAnsiTheme="minorHAnsi" w:cstheme="minorBidi"/>
          <w:noProof/>
          <w:szCs w:val="22"/>
        </w:rPr>
      </w:pPr>
      <w:hyperlink w:anchor="_Toc523243824" w:history="1">
        <w:r w:rsidR="00E729B5">
          <w:rPr>
            <w:rStyle w:val="af"/>
            <w:noProof/>
          </w:rPr>
          <w:t>第九部分</w:t>
        </w:r>
        <w:r w:rsidR="00E729B5">
          <w:rPr>
            <w:rStyle w:val="af"/>
            <w:noProof/>
          </w:rPr>
          <w:t xml:space="preserve">  </w:t>
        </w:r>
        <w:r w:rsidR="00E729B5">
          <w:rPr>
            <w:rStyle w:val="af"/>
            <w:noProof/>
          </w:rPr>
          <w:t>基金的投资</w:t>
        </w:r>
        <w:r w:rsidR="00E729B5">
          <w:rPr>
            <w:noProof/>
          </w:rPr>
          <w:tab/>
        </w:r>
        <w:r w:rsidR="00E729B5">
          <w:rPr>
            <w:noProof/>
          </w:rPr>
          <w:fldChar w:fldCharType="begin"/>
        </w:r>
        <w:r w:rsidR="00E729B5">
          <w:rPr>
            <w:noProof/>
          </w:rPr>
          <w:instrText xml:space="preserve"> PAGEREF _Toc523243824 \h </w:instrText>
        </w:r>
        <w:r w:rsidR="00E729B5">
          <w:rPr>
            <w:noProof/>
          </w:rPr>
        </w:r>
        <w:r w:rsidR="00E729B5">
          <w:rPr>
            <w:noProof/>
          </w:rPr>
          <w:fldChar w:fldCharType="separate"/>
        </w:r>
        <w:r w:rsidR="00E2242D">
          <w:rPr>
            <w:noProof/>
          </w:rPr>
          <w:t>40</w:t>
        </w:r>
        <w:r w:rsidR="00E729B5">
          <w:rPr>
            <w:noProof/>
          </w:rPr>
          <w:fldChar w:fldCharType="end"/>
        </w:r>
      </w:hyperlink>
    </w:p>
    <w:p w:rsidR="003E4D36" w:rsidRDefault="00084EBD">
      <w:pPr>
        <w:pStyle w:val="10"/>
        <w:rPr>
          <w:rFonts w:asciiTheme="minorHAnsi" w:eastAsiaTheme="minorEastAsia" w:hAnsiTheme="minorHAnsi" w:cstheme="minorBidi"/>
          <w:noProof/>
          <w:szCs w:val="22"/>
        </w:rPr>
      </w:pPr>
      <w:hyperlink w:anchor="_Toc523243825" w:history="1">
        <w:r w:rsidR="00E729B5">
          <w:rPr>
            <w:rStyle w:val="af"/>
            <w:noProof/>
          </w:rPr>
          <w:t>第十部分</w:t>
        </w:r>
        <w:r w:rsidR="00E729B5">
          <w:rPr>
            <w:rStyle w:val="af"/>
            <w:noProof/>
          </w:rPr>
          <w:t xml:space="preserve">  </w:t>
        </w:r>
        <w:r w:rsidR="00E729B5">
          <w:rPr>
            <w:rStyle w:val="af"/>
            <w:noProof/>
          </w:rPr>
          <w:t>基金的财产</w:t>
        </w:r>
        <w:r w:rsidR="00E729B5">
          <w:rPr>
            <w:noProof/>
          </w:rPr>
          <w:tab/>
        </w:r>
        <w:r w:rsidR="00E729B5">
          <w:rPr>
            <w:noProof/>
          </w:rPr>
          <w:fldChar w:fldCharType="begin"/>
        </w:r>
        <w:r w:rsidR="00E729B5">
          <w:rPr>
            <w:noProof/>
          </w:rPr>
          <w:instrText xml:space="preserve"> PAGEREF _Toc523243825 \h </w:instrText>
        </w:r>
        <w:r w:rsidR="00E729B5">
          <w:rPr>
            <w:noProof/>
          </w:rPr>
        </w:r>
        <w:r w:rsidR="00E729B5">
          <w:rPr>
            <w:noProof/>
          </w:rPr>
          <w:fldChar w:fldCharType="separate"/>
        </w:r>
        <w:r w:rsidR="00E2242D">
          <w:rPr>
            <w:noProof/>
          </w:rPr>
          <w:t>53</w:t>
        </w:r>
        <w:r w:rsidR="00E729B5">
          <w:rPr>
            <w:noProof/>
          </w:rPr>
          <w:fldChar w:fldCharType="end"/>
        </w:r>
      </w:hyperlink>
    </w:p>
    <w:p w:rsidR="003E4D36" w:rsidRDefault="00084EBD">
      <w:pPr>
        <w:pStyle w:val="10"/>
        <w:rPr>
          <w:rFonts w:asciiTheme="minorHAnsi" w:eastAsiaTheme="minorEastAsia" w:hAnsiTheme="minorHAnsi" w:cstheme="minorBidi"/>
          <w:noProof/>
          <w:szCs w:val="22"/>
        </w:rPr>
      </w:pPr>
      <w:hyperlink w:anchor="_Toc523243826" w:history="1">
        <w:r w:rsidR="00E729B5">
          <w:rPr>
            <w:rStyle w:val="af"/>
            <w:noProof/>
          </w:rPr>
          <w:t>第十一部分</w:t>
        </w:r>
        <w:r w:rsidR="00E729B5">
          <w:rPr>
            <w:rStyle w:val="af"/>
            <w:noProof/>
          </w:rPr>
          <w:t xml:space="preserve">  </w:t>
        </w:r>
        <w:r w:rsidR="00E729B5">
          <w:rPr>
            <w:rStyle w:val="af"/>
            <w:noProof/>
          </w:rPr>
          <w:t>基金资产的估值</w:t>
        </w:r>
        <w:r w:rsidR="00E729B5">
          <w:rPr>
            <w:noProof/>
          </w:rPr>
          <w:tab/>
        </w:r>
        <w:r w:rsidR="00E729B5">
          <w:rPr>
            <w:noProof/>
          </w:rPr>
          <w:fldChar w:fldCharType="begin"/>
        </w:r>
        <w:r w:rsidR="00E729B5">
          <w:rPr>
            <w:noProof/>
          </w:rPr>
          <w:instrText xml:space="preserve"> PAGEREF _Toc523243826 \h </w:instrText>
        </w:r>
        <w:r w:rsidR="00E729B5">
          <w:rPr>
            <w:noProof/>
          </w:rPr>
        </w:r>
        <w:r w:rsidR="00E729B5">
          <w:rPr>
            <w:noProof/>
          </w:rPr>
          <w:fldChar w:fldCharType="separate"/>
        </w:r>
        <w:r w:rsidR="00E2242D">
          <w:rPr>
            <w:noProof/>
          </w:rPr>
          <w:t>54</w:t>
        </w:r>
        <w:r w:rsidR="00E729B5">
          <w:rPr>
            <w:noProof/>
          </w:rPr>
          <w:fldChar w:fldCharType="end"/>
        </w:r>
      </w:hyperlink>
    </w:p>
    <w:p w:rsidR="003E4D36" w:rsidRDefault="00084EBD">
      <w:pPr>
        <w:pStyle w:val="10"/>
        <w:rPr>
          <w:rFonts w:asciiTheme="minorHAnsi" w:eastAsiaTheme="minorEastAsia" w:hAnsiTheme="minorHAnsi" w:cstheme="minorBidi"/>
          <w:noProof/>
          <w:szCs w:val="22"/>
        </w:rPr>
      </w:pPr>
      <w:hyperlink w:anchor="_Toc523243827" w:history="1">
        <w:r w:rsidR="00E729B5">
          <w:rPr>
            <w:rStyle w:val="af"/>
            <w:noProof/>
          </w:rPr>
          <w:t>第十二部分</w:t>
        </w:r>
        <w:r w:rsidR="00E729B5">
          <w:rPr>
            <w:rStyle w:val="af"/>
            <w:noProof/>
          </w:rPr>
          <w:t xml:space="preserve">  </w:t>
        </w:r>
        <w:r w:rsidR="00E729B5">
          <w:rPr>
            <w:rStyle w:val="af"/>
            <w:noProof/>
          </w:rPr>
          <w:t>基金的收益分配</w:t>
        </w:r>
        <w:r w:rsidR="00E729B5">
          <w:rPr>
            <w:noProof/>
          </w:rPr>
          <w:tab/>
        </w:r>
        <w:r w:rsidR="00E729B5">
          <w:rPr>
            <w:noProof/>
          </w:rPr>
          <w:fldChar w:fldCharType="begin"/>
        </w:r>
        <w:r w:rsidR="00E729B5">
          <w:rPr>
            <w:noProof/>
          </w:rPr>
          <w:instrText xml:space="preserve"> PAGEREF _Toc523243827 \h </w:instrText>
        </w:r>
        <w:r w:rsidR="00E729B5">
          <w:rPr>
            <w:noProof/>
          </w:rPr>
        </w:r>
        <w:r w:rsidR="00E729B5">
          <w:rPr>
            <w:noProof/>
          </w:rPr>
          <w:fldChar w:fldCharType="separate"/>
        </w:r>
        <w:r w:rsidR="00E2242D">
          <w:rPr>
            <w:noProof/>
          </w:rPr>
          <w:t>60</w:t>
        </w:r>
        <w:r w:rsidR="00E729B5">
          <w:rPr>
            <w:noProof/>
          </w:rPr>
          <w:fldChar w:fldCharType="end"/>
        </w:r>
      </w:hyperlink>
    </w:p>
    <w:p w:rsidR="003E4D36" w:rsidRDefault="00084EBD">
      <w:pPr>
        <w:pStyle w:val="10"/>
        <w:rPr>
          <w:rFonts w:asciiTheme="minorHAnsi" w:eastAsiaTheme="minorEastAsia" w:hAnsiTheme="minorHAnsi" w:cstheme="minorBidi"/>
          <w:noProof/>
          <w:szCs w:val="22"/>
        </w:rPr>
      </w:pPr>
      <w:hyperlink w:anchor="_Toc523243828" w:history="1">
        <w:r w:rsidR="00E729B5">
          <w:rPr>
            <w:rStyle w:val="af"/>
            <w:noProof/>
          </w:rPr>
          <w:t>第十三部分</w:t>
        </w:r>
        <w:r w:rsidR="00E729B5">
          <w:rPr>
            <w:rStyle w:val="af"/>
            <w:noProof/>
          </w:rPr>
          <w:t xml:space="preserve">  </w:t>
        </w:r>
        <w:r w:rsidR="00E729B5">
          <w:rPr>
            <w:rStyle w:val="af"/>
            <w:noProof/>
          </w:rPr>
          <w:t>基金费用与税收</w:t>
        </w:r>
        <w:r w:rsidR="00E729B5">
          <w:rPr>
            <w:noProof/>
          </w:rPr>
          <w:tab/>
        </w:r>
        <w:r w:rsidR="00E729B5">
          <w:rPr>
            <w:noProof/>
          </w:rPr>
          <w:fldChar w:fldCharType="begin"/>
        </w:r>
        <w:r w:rsidR="00E729B5">
          <w:rPr>
            <w:noProof/>
          </w:rPr>
          <w:instrText xml:space="preserve"> PAGEREF _Toc523243828 \h </w:instrText>
        </w:r>
        <w:r w:rsidR="00E729B5">
          <w:rPr>
            <w:noProof/>
          </w:rPr>
        </w:r>
        <w:r w:rsidR="00E729B5">
          <w:rPr>
            <w:noProof/>
          </w:rPr>
          <w:fldChar w:fldCharType="separate"/>
        </w:r>
        <w:r w:rsidR="00E2242D">
          <w:rPr>
            <w:noProof/>
          </w:rPr>
          <w:t>62</w:t>
        </w:r>
        <w:r w:rsidR="00E729B5">
          <w:rPr>
            <w:noProof/>
          </w:rPr>
          <w:fldChar w:fldCharType="end"/>
        </w:r>
      </w:hyperlink>
    </w:p>
    <w:p w:rsidR="003E4D36" w:rsidRDefault="00084EBD">
      <w:pPr>
        <w:pStyle w:val="10"/>
        <w:rPr>
          <w:rFonts w:asciiTheme="minorHAnsi" w:eastAsiaTheme="minorEastAsia" w:hAnsiTheme="minorHAnsi" w:cstheme="minorBidi"/>
          <w:noProof/>
          <w:szCs w:val="22"/>
        </w:rPr>
      </w:pPr>
      <w:hyperlink w:anchor="_Toc523243829" w:history="1">
        <w:r w:rsidR="00E729B5">
          <w:rPr>
            <w:rStyle w:val="af"/>
            <w:noProof/>
          </w:rPr>
          <w:t>第十四部分</w:t>
        </w:r>
        <w:r w:rsidR="00E729B5">
          <w:rPr>
            <w:rStyle w:val="af"/>
            <w:noProof/>
          </w:rPr>
          <w:t xml:space="preserve">  </w:t>
        </w:r>
        <w:r w:rsidR="00E729B5">
          <w:rPr>
            <w:rStyle w:val="af"/>
            <w:noProof/>
          </w:rPr>
          <w:t>基金的会计与审计</w:t>
        </w:r>
        <w:r w:rsidR="00E729B5">
          <w:rPr>
            <w:noProof/>
          </w:rPr>
          <w:tab/>
        </w:r>
        <w:r w:rsidR="00E729B5">
          <w:rPr>
            <w:noProof/>
          </w:rPr>
          <w:fldChar w:fldCharType="begin"/>
        </w:r>
        <w:r w:rsidR="00E729B5">
          <w:rPr>
            <w:noProof/>
          </w:rPr>
          <w:instrText xml:space="preserve"> PAGEREF _Toc523243829 \h </w:instrText>
        </w:r>
        <w:r w:rsidR="00E729B5">
          <w:rPr>
            <w:noProof/>
          </w:rPr>
        </w:r>
        <w:r w:rsidR="00E729B5">
          <w:rPr>
            <w:noProof/>
          </w:rPr>
          <w:fldChar w:fldCharType="separate"/>
        </w:r>
        <w:r w:rsidR="00E2242D">
          <w:rPr>
            <w:noProof/>
          </w:rPr>
          <w:t>65</w:t>
        </w:r>
        <w:r w:rsidR="00E729B5">
          <w:rPr>
            <w:noProof/>
          </w:rPr>
          <w:fldChar w:fldCharType="end"/>
        </w:r>
      </w:hyperlink>
    </w:p>
    <w:p w:rsidR="003E4D36" w:rsidRDefault="00084EBD">
      <w:pPr>
        <w:pStyle w:val="10"/>
        <w:rPr>
          <w:rFonts w:asciiTheme="minorHAnsi" w:eastAsiaTheme="minorEastAsia" w:hAnsiTheme="minorHAnsi" w:cstheme="minorBidi"/>
          <w:noProof/>
          <w:szCs w:val="22"/>
        </w:rPr>
      </w:pPr>
      <w:hyperlink w:anchor="_Toc523243830" w:history="1">
        <w:r w:rsidR="00E729B5">
          <w:rPr>
            <w:rStyle w:val="af"/>
            <w:noProof/>
          </w:rPr>
          <w:t>第十五部分</w:t>
        </w:r>
        <w:r w:rsidR="00E729B5">
          <w:rPr>
            <w:rStyle w:val="af"/>
            <w:noProof/>
          </w:rPr>
          <w:t xml:space="preserve">  </w:t>
        </w:r>
        <w:r w:rsidR="00E729B5">
          <w:rPr>
            <w:rStyle w:val="af"/>
            <w:noProof/>
          </w:rPr>
          <w:t>基金的信息披露</w:t>
        </w:r>
        <w:r w:rsidR="00E729B5">
          <w:rPr>
            <w:noProof/>
          </w:rPr>
          <w:tab/>
        </w:r>
        <w:r w:rsidR="00E729B5">
          <w:rPr>
            <w:noProof/>
          </w:rPr>
          <w:fldChar w:fldCharType="begin"/>
        </w:r>
        <w:r w:rsidR="00E729B5">
          <w:rPr>
            <w:noProof/>
          </w:rPr>
          <w:instrText xml:space="preserve"> PAGEREF _Toc523243830 \h </w:instrText>
        </w:r>
        <w:r w:rsidR="00E729B5">
          <w:rPr>
            <w:noProof/>
          </w:rPr>
        </w:r>
        <w:r w:rsidR="00E729B5">
          <w:rPr>
            <w:noProof/>
          </w:rPr>
          <w:fldChar w:fldCharType="separate"/>
        </w:r>
        <w:r w:rsidR="00E2242D">
          <w:rPr>
            <w:noProof/>
          </w:rPr>
          <w:t>66</w:t>
        </w:r>
        <w:r w:rsidR="00E729B5">
          <w:rPr>
            <w:noProof/>
          </w:rPr>
          <w:fldChar w:fldCharType="end"/>
        </w:r>
      </w:hyperlink>
    </w:p>
    <w:p w:rsidR="003E4D36" w:rsidRDefault="00084EBD">
      <w:pPr>
        <w:pStyle w:val="10"/>
        <w:rPr>
          <w:rFonts w:asciiTheme="minorHAnsi" w:eastAsiaTheme="minorEastAsia" w:hAnsiTheme="minorHAnsi" w:cstheme="minorBidi"/>
          <w:noProof/>
          <w:szCs w:val="22"/>
        </w:rPr>
      </w:pPr>
      <w:hyperlink w:anchor="_Toc523243831" w:history="1">
        <w:r w:rsidR="00E729B5">
          <w:rPr>
            <w:rStyle w:val="af"/>
            <w:noProof/>
          </w:rPr>
          <w:t>第十六部分</w:t>
        </w:r>
        <w:r w:rsidR="00E729B5">
          <w:rPr>
            <w:rStyle w:val="af"/>
            <w:noProof/>
          </w:rPr>
          <w:t xml:space="preserve">  </w:t>
        </w:r>
        <w:r w:rsidR="00E729B5">
          <w:rPr>
            <w:rStyle w:val="af"/>
            <w:noProof/>
          </w:rPr>
          <w:t>风险揭示</w:t>
        </w:r>
        <w:r w:rsidR="00E729B5">
          <w:rPr>
            <w:noProof/>
          </w:rPr>
          <w:tab/>
        </w:r>
        <w:r w:rsidR="00E729B5">
          <w:rPr>
            <w:noProof/>
          </w:rPr>
          <w:fldChar w:fldCharType="begin"/>
        </w:r>
        <w:r w:rsidR="00E729B5">
          <w:rPr>
            <w:noProof/>
          </w:rPr>
          <w:instrText xml:space="preserve"> PAGEREF _Toc523243831 \h </w:instrText>
        </w:r>
        <w:r w:rsidR="00E729B5">
          <w:rPr>
            <w:noProof/>
          </w:rPr>
        </w:r>
        <w:r w:rsidR="00E729B5">
          <w:rPr>
            <w:noProof/>
          </w:rPr>
          <w:fldChar w:fldCharType="separate"/>
        </w:r>
        <w:r w:rsidR="00E2242D">
          <w:rPr>
            <w:noProof/>
          </w:rPr>
          <w:t>72</w:t>
        </w:r>
        <w:r w:rsidR="00E729B5">
          <w:rPr>
            <w:noProof/>
          </w:rPr>
          <w:fldChar w:fldCharType="end"/>
        </w:r>
      </w:hyperlink>
    </w:p>
    <w:p w:rsidR="003E4D36" w:rsidRDefault="00084EBD">
      <w:pPr>
        <w:pStyle w:val="10"/>
        <w:rPr>
          <w:rFonts w:asciiTheme="minorHAnsi" w:eastAsiaTheme="minorEastAsia" w:hAnsiTheme="minorHAnsi" w:cstheme="minorBidi"/>
          <w:noProof/>
          <w:szCs w:val="22"/>
        </w:rPr>
      </w:pPr>
      <w:hyperlink w:anchor="_Toc523243832" w:history="1">
        <w:r w:rsidR="00E729B5">
          <w:rPr>
            <w:rStyle w:val="af"/>
            <w:noProof/>
          </w:rPr>
          <w:t>第十七部分</w:t>
        </w:r>
        <w:r w:rsidR="00E729B5">
          <w:rPr>
            <w:rStyle w:val="af"/>
            <w:noProof/>
          </w:rPr>
          <w:t xml:space="preserve">  </w:t>
        </w:r>
        <w:r w:rsidR="00E729B5">
          <w:rPr>
            <w:rStyle w:val="af"/>
            <w:noProof/>
          </w:rPr>
          <w:t>基金合同的变更、终止与基金财产的清算</w:t>
        </w:r>
        <w:r w:rsidR="00E729B5">
          <w:rPr>
            <w:noProof/>
          </w:rPr>
          <w:tab/>
        </w:r>
        <w:r w:rsidR="00E729B5">
          <w:rPr>
            <w:noProof/>
          </w:rPr>
          <w:fldChar w:fldCharType="begin"/>
        </w:r>
        <w:r w:rsidR="00E729B5">
          <w:rPr>
            <w:noProof/>
          </w:rPr>
          <w:instrText xml:space="preserve"> PAGEREF _Toc523243832 \h </w:instrText>
        </w:r>
        <w:r w:rsidR="00E729B5">
          <w:rPr>
            <w:noProof/>
          </w:rPr>
        </w:r>
        <w:r w:rsidR="00E729B5">
          <w:rPr>
            <w:noProof/>
          </w:rPr>
          <w:fldChar w:fldCharType="separate"/>
        </w:r>
        <w:r w:rsidR="00E2242D">
          <w:rPr>
            <w:noProof/>
          </w:rPr>
          <w:t>76</w:t>
        </w:r>
        <w:r w:rsidR="00E729B5">
          <w:rPr>
            <w:noProof/>
          </w:rPr>
          <w:fldChar w:fldCharType="end"/>
        </w:r>
      </w:hyperlink>
    </w:p>
    <w:p w:rsidR="003E4D36" w:rsidRDefault="00084EBD">
      <w:pPr>
        <w:pStyle w:val="10"/>
        <w:rPr>
          <w:rFonts w:asciiTheme="minorHAnsi" w:eastAsiaTheme="minorEastAsia" w:hAnsiTheme="minorHAnsi" w:cstheme="minorBidi"/>
          <w:noProof/>
          <w:szCs w:val="22"/>
        </w:rPr>
      </w:pPr>
      <w:hyperlink w:anchor="_Toc523243833" w:history="1">
        <w:r w:rsidR="00E729B5">
          <w:rPr>
            <w:rStyle w:val="af"/>
            <w:noProof/>
          </w:rPr>
          <w:t>第十八部分</w:t>
        </w:r>
        <w:r w:rsidR="00E729B5">
          <w:rPr>
            <w:rStyle w:val="af"/>
            <w:noProof/>
          </w:rPr>
          <w:t xml:space="preserve">  </w:t>
        </w:r>
        <w:r w:rsidR="00E729B5">
          <w:rPr>
            <w:rStyle w:val="af"/>
            <w:noProof/>
          </w:rPr>
          <w:t>基金合同的内容摘要</w:t>
        </w:r>
        <w:r w:rsidR="00E729B5">
          <w:rPr>
            <w:noProof/>
          </w:rPr>
          <w:tab/>
        </w:r>
        <w:r w:rsidR="00E729B5">
          <w:rPr>
            <w:noProof/>
          </w:rPr>
          <w:fldChar w:fldCharType="begin"/>
        </w:r>
        <w:r w:rsidR="00E729B5">
          <w:rPr>
            <w:noProof/>
          </w:rPr>
          <w:instrText xml:space="preserve"> PAGEREF _Toc523243833 \h </w:instrText>
        </w:r>
        <w:r w:rsidR="00E729B5">
          <w:rPr>
            <w:noProof/>
          </w:rPr>
        </w:r>
        <w:r w:rsidR="00E729B5">
          <w:rPr>
            <w:noProof/>
          </w:rPr>
          <w:fldChar w:fldCharType="separate"/>
        </w:r>
        <w:r w:rsidR="00E2242D">
          <w:rPr>
            <w:noProof/>
          </w:rPr>
          <w:t>78</w:t>
        </w:r>
        <w:r w:rsidR="00E729B5">
          <w:rPr>
            <w:noProof/>
          </w:rPr>
          <w:fldChar w:fldCharType="end"/>
        </w:r>
      </w:hyperlink>
    </w:p>
    <w:p w:rsidR="003E4D36" w:rsidRDefault="00084EBD">
      <w:pPr>
        <w:pStyle w:val="10"/>
        <w:rPr>
          <w:rFonts w:asciiTheme="minorHAnsi" w:eastAsiaTheme="minorEastAsia" w:hAnsiTheme="minorHAnsi" w:cstheme="minorBidi"/>
          <w:noProof/>
          <w:szCs w:val="22"/>
        </w:rPr>
      </w:pPr>
      <w:hyperlink w:anchor="_Toc523243834" w:history="1">
        <w:r w:rsidR="00E729B5">
          <w:rPr>
            <w:rStyle w:val="af"/>
            <w:noProof/>
          </w:rPr>
          <w:t>第十九部分</w:t>
        </w:r>
        <w:r w:rsidR="00E729B5">
          <w:rPr>
            <w:rStyle w:val="af"/>
            <w:noProof/>
          </w:rPr>
          <w:t xml:space="preserve">  </w:t>
        </w:r>
        <w:r w:rsidR="00E729B5">
          <w:rPr>
            <w:rStyle w:val="af"/>
            <w:noProof/>
          </w:rPr>
          <w:t>基金托管协议的内容摘要</w:t>
        </w:r>
        <w:r w:rsidR="00E729B5">
          <w:rPr>
            <w:noProof/>
          </w:rPr>
          <w:tab/>
        </w:r>
        <w:r w:rsidR="00E729B5">
          <w:rPr>
            <w:noProof/>
          </w:rPr>
          <w:fldChar w:fldCharType="begin"/>
        </w:r>
        <w:r w:rsidR="00E729B5">
          <w:rPr>
            <w:noProof/>
          </w:rPr>
          <w:instrText xml:space="preserve"> PAGEREF _Toc523243834 \h </w:instrText>
        </w:r>
        <w:r w:rsidR="00E729B5">
          <w:rPr>
            <w:noProof/>
          </w:rPr>
        </w:r>
        <w:r w:rsidR="00E729B5">
          <w:rPr>
            <w:noProof/>
          </w:rPr>
          <w:fldChar w:fldCharType="separate"/>
        </w:r>
        <w:r w:rsidR="00E2242D">
          <w:rPr>
            <w:noProof/>
          </w:rPr>
          <w:t>94</w:t>
        </w:r>
        <w:r w:rsidR="00E729B5">
          <w:rPr>
            <w:noProof/>
          </w:rPr>
          <w:fldChar w:fldCharType="end"/>
        </w:r>
      </w:hyperlink>
    </w:p>
    <w:p w:rsidR="003E4D36" w:rsidRDefault="00084EBD">
      <w:pPr>
        <w:pStyle w:val="10"/>
        <w:rPr>
          <w:rFonts w:asciiTheme="minorHAnsi" w:eastAsiaTheme="minorEastAsia" w:hAnsiTheme="minorHAnsi" w:cstheme="minorBidi"/>
          <w:noProof/>
          <w:szCs w:val="22"/>
        </w:rPr>
      </w:pPr>
      <w:hyperlink w:anchor="_Toc523243835" w:history="1">
        <w:r w:rsidR="00E729B5">
          <w:rPr>
            <w:rStyle w:val="af"/>
            <w:noProof/>
          </w:rPr>
          <w:t>第二十部分</w:t>
        </w:r>
        <w:r w:rsidR="00E729B5">
          <w:rPr>
            <w:rStyle w:val="af"/>
            <w:noProof/>
          </w:rPr>
          <w:t xml:space="preserve">  </w:t>
        </w:r>
        <w:r w:rsidR="00E729B5">
          <w:rPr>
            <w:rStyle w:val="af"/>
            <w:noProof/>
          </w:rPr>
          <w:t>对基金份额持有人的服务</w:t>
        </w:r>
        <w:r w:rsidR="00E729B5">
          <w:rPr>
            <w:noProof/>
          </w:rPr>
          <w:tab/>
        </w:r>
        <w:r w:rsidR="00E729B5">
          <w:rPr>
            <w:noProof/>
          </w:rPr>
          <w:fldChar w:fldCharType="begin"/>
        </w:r>
        <w:r w:rsidR="00E729B5">
          <w:rPr>
            <w:noProof/>
          </w:rPr>
          <w:instrText xml:space="preserve"> PAGEREF _Toc523243835 \h </w:instrText>
        </w:r>
        <w:r w:rsidR="00E729B5">
          <w:rPr>
            <w:noProof/>
          </w:rPr>
        </w:r>
        <w:r w:rsidR="00E729B5">
          <w:rPr>
            <w:noProof/>
          </w:rPr>
          <w:fldChar w:fldCharType="separate"/>
        </w:r>
        <w:r w:rsidR="00E2242D">
          <w:rPr>
            <w:noProof/>
          </w:rPr>
          <w:t>108</w:t>
        </w:r>
        <w:r w:rsidR="00E729B5">
          <w:rPr>
            <w:noProof/>
          </w:rPr>
          <w:fldChar w:fldCharType="end"/>
        </w:r>
      </w:hyperlink>
    </w:p>
    <w:p w:rsidR="003E4D36" w:rsidRDefault="00084EBD">
      <w:pPr>
        <w:pStyle w:val="10"/>
        <w:rPr>
          <w:rFonts w:asciiTheme="minorHAnsi" w:eastAsiaTheme="minorEastAsia" w:hAnsiTheme="minorHAnsi" w:cstheme="minorBidi"/>
          <w:noProof/>
          <w:szCs w:val="22"/>
        </w:rPr>
      </w:pPr>
      <w:hyperlink w:anchor="_Toc523243836" w:history="1">
        <w:r w:rsidR="00E729B5">
          <w:rPr>
            <w:rStyle w:val="af"/>
            <w:noProof/>
          </w:rPr>
          <w:t>第二十一部分</w:t>
        </w:r>
        <w:r w:rsidR="00E729B5">
          <w:rPr>
            <w:rStyle w:val="af"/>
            <w:noProof/>
          </w:rPr>
          <w:t xml:space="preserve">  </w:t>
        </w:r>
        <w:r w:rsidR="00E729B5">
          <w:rPr>
            <w:rStyle w:val="af"/>
            <w:noProof/>
          </w:rPr>
          <w:t>其他应披露事项</w:t>
        </w:r>
        <w:r w:rsidR="00E729B5">
          <w:rPr>
            <w:noProof/>
          </w:rPr>
          <w:tab/>
        </w:r>
        <w:r w:rsidR="00E729B5">
          <w:rPr>
            <w:noProof/>
          </w:rPr>
          <w:fldChar w:fldCharType="begin"/>
        </w:r>
        <w:r w:rsidR="00E729B5">
          <w:rPr>
            <w:noProof/>
          </w:rPr>
          <w:instrText xml:space="preserve"> PAGEREF _Toc523243836 \h </w:instrText>
        </w:r>
        <w:r w:rsidR="00E729B5">
          <w:rPr>
            <w:noProof/>
          </w:rPr>
        </w:r>
        <w:r w:rsidR="00E729B5">
          <w:rPr>
            <w:noProof/>
          </w:rPr>
          <w:fldChar w:fldCharType="separate"/>
        </w:r>
        <w:r w:rsidR="00E2242D">
          <w:rPr>
            <w:noProof/>
          </w:rPr>
          <w:t>110</w:t>
        </w:r>
        <w:r w:rsidR="00E729B5">
          <w:rPr>
            <w:noProof/>
          </w:rPr>
          <w:fldChar w:fldCharType="end"/>
        </w:r>
      </w:hyperlink>
    </w:p>
    <w:p w:rsidR="003E4D36" w:rsidRDefault="00084EBD">
      <w:pPr>
        <w:pStyle w:val="10"/>
        <w:rPr>
          <w:rFonts w:asciiTheme="minorHAnsi" w:eastAsiaTheme="minorEastAsia" w:hAnsiTheme="minorHAnsi" w:cstheme="minorBidi"/>
          <w:noProof/>
          <w:szCs w:val="22"/>
        </w:rPr>
      </w:pPr>
      <w:hyperlink w:anchor="_Toc523243837" w:history="1">
        <w:r w:rsidR="00E729B5">
          <w:rPr>
            <w:rStyle w:val="af"/>
            <w:noProof/>
          </w:rPr>
          <w:t>第二十二部分</w:t>
        </w:r>
        <w:r w:rsidR="00E729B5">
          <w:rPr>
            <w:rStyle w:val="af"/>
            <w:noProof/>
          </w:rPr>
          <w:t xml:space="preserve">  </w:t>
        </w:r>
        <w:r w:rsidR="00E729B5">
          <w:rPr>
            <w:rStyle w:val="af"/>
            <w:noProof/>
          </w:rPr>
          <w:t>招募说明书存放及查阅方式</w:t>
        </w:r>
        <w:r w:rsidR="00E729B5">
          <w:rPr>
            <w:noProof/>
          </w:rPr>
          <w:tab/>
        </w:r>
        <w:r w:rsidR="00E729B5">
          <w:rPr>
            <w:noProof/>
          </w:rPr>
          <w:fldChar w:fldCharType="begin"/>
        </w:r>
        <w:r w:rsidR="00E729B5">
          <w:rPr>
            <w:noProof/>
          </w:rPr>
          <w:instrText xml:space="preserve"> PAGEREF _Toc523243837 \h </w:instrText>
        </w:r>
        <w:r w:rsidR="00E729B5">
          <w:rPr>
            <w:noProof/>
          </w:rPr>
        </w:r>
        <w:r w:rsidR="00E729B5">
          <w:rPr>
            <w:noProof/>
          </w:rPr>
          <w:fldChar w:fldCharType="separate"/>
        </w:r>
        <w:r w:rsidR="00E2242D">
          <w:rPr>
            <w:noProof/>
          </w:rPr>
          <w:t>112</w:t>
        </w:r>
        <w:r w:rsidR="00E729B5">
          <w:rPr>
            <w:noProof/>
          </w:rPr>
          <w:fldChar w:fldCharType="end"/>
        </w:r>
      </w:hyperlink>
    </w:p>
    <w:p w:rsidR="003E4D36" w:rsidRDefault="00084EBD">
      <w:pPr>
        <w:pStyle w:val="10"/>
        <w:rPr>
          <w:rFonts w:asciiTheme="minorHAnsi" w:eastAsiaTheme="minorEastAsia" w:hAnsiTheme="minorHAnsi" w:cstheme="minorBidi"/>
          <w:noProof/>
          <w:szCs w:val="22"/>
        </w:rPr>
      </w:pPr>
      <w:hyperlink w:anchor="_Toc523243838" w:history="1">
        <w:r w:rsidR="00E729B5">
          <w:rPr>
            <w:rStyle w:val="af"/>
            <w:noProof/>
          </w:rPr>
          <w:t>第二十三部分</w:t>
        </w:r>
        <w:r w:rsidR="00E729B5">
          <w:rPr>
            <w:rStyle w:val="af"/>
            <w:noProof/>
          </w:rPr>
          <w:t xml:space="preserve">  </w:t>
        </w:r>
        <w:r w:rsidR="00E729B5">
          <w:rPr>
            <w:rStyle w:val="af"/>
            <w:noProof/>
          </w:rPr>
          <w:t>备查文件</w:t>
        </w:r>
        <w:r w:rsidR="00E729B5">
          <w:rPr>
            <w:noProof/>
          </w:rPr>
          <w:tab/>
        </w:r>
        <w:r w:rsidR="00E729B5">
          <w:rPr>
            <w:noProof/>
          </w:rPr>
          <w:fldChar w:fldCharType="begin"/>
        </w:r>
        <w:r w:rsidR="00E729B5">
          <w:rPr>
            <w:noProof/>
          </w:rPr>
          <w:instrText xml:space="preserve"> PAGEREF _Toc523243838 \h </w:instrText>
        </w:r>
        <w:r w:rsidR="00E729B5">
          <w:rPr>
            <w:noProof/>
          </w:rPr>
        </w:r>
        <w:r w:rsidR="00E729B5">
          <w:rPr>
            <w:noProof/>
          </w:rPr>
          <w:fldChar w:fldCharType="separate"/>
        </w:r>
        <w:r w:rsidR="00E2242D">
          <w:rPr>
            <w:noProof/>
          </w:rPr>
          <w:t>113</w:t>
        </w:r>
        <w:r w:rsidR="00E729B5">
          <w:rPr>
            <w:noProof/>
          </w:rPr>
          <w:fldChar w:fldCharType="end"/>
        </w:r>
      </w:hyperlink>
    </w:p>
    <w:p w:rsidR="003E4D36" w:rsidRDefault="00E729B5">
      <w:r>
        <w:fldChar w:fldCharType="end"/>
      </w:r>
      <w:bookmarkStart w:id="32" w:name="_Toc416264537"/>
      <w:bookmarkStart w:id="33" w:name="_Toc263092309"/>
      <w:bookmarkStart w:id="34" w:name="_Toc819"/>
      <w:bookmarkStart w:id="35" w:name="_Toc15067"/>
      <w:bookmarkStart w:id="36" w:name="_Toc24860"/>
      <w:bookmarkStart w:id="37" w:name="_Toc258829399"/>
      <w:bookmarkStart w:id="38" w:name="_Toc19592"/>
      <w:bookmarkStart w:id="39" w:name="_Toc3224"/>
      <w:bookmarkStart w:id="40" w:name="_Toc352229747"/>
      <w:bookmarkStart w:id="41" w:name="_Toc2465"/>
      <w:bookmarkStart w:id="42" w:name="_Toc13020"/>
      <w:bookmarkStart w:id="43" w:name="_Toc21301"/>
      <w:bookmarkStart w:id="44" w:name="_Toc6617"/>
      <w:bookmarkStart w:id="45" w:name="_Toc31551"/>
      <w:bookmarkStart w:id="46" w:name="_Toc2286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rsidR="003E4D36" w:rsidRDefault="00E729B5">
      <w:pPr>
        <w:tabs>
          <w:tab w:val="left" w:pos="900"/>
        </w:tabs>
      </w:pPr>
      <w:r>
        <w:tab/>
      </w:r>
    </w:p>
    <w:p w:rsidR="003E4D36" w:rsidRDefault="00E729B5">
      <w:pPr>
        <w:tabs>
          <w:tab w:val="left" w:pos="900"/>
        </w:tabs>
        <w:sectPr w:rsidR="003E4D36">
          <w:pgSz w:w="11906" w:h="16838"/>
          <w:pgMar w:top="1440" w:right="1800" w:bottom="1440" w:left="1800" w:header="851" w:footer="992" w:gutter="0"/>
          <w:pgNumType w:start="1" w:chapStyle="1"/>
          <w:cols w:space="720"/>
          <w:docGrid w:type="lines" w:linePitch="312"/>
        </w:sectPr>
      </w:pPr>
      <w:r>
        <w:tab/>
      </w:r>
    </w:p>
    <w:p w:rsidR="003E4D36" w:rsidRDefault="00E729B5">
      <w:pPr>
        <w:pStyle w:val="1"/>
        <w:jc w:val="center"/>
        <w:rPr>
          <w:sz w:val="30"/>
          <w:szCs w:val="30"/>
        </w:rPr>
      </w:pPr>
      <w:bookmarkStart w:id="47" w:name="_Toc523243816"/>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鑫灵活配置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证券投资基金信息披露管理办法》（以下简称“《信息披露办法》”）、《公开募集开放式证券投资基金流动性风险管理规定》（以下简称“《管理规定》”）以及《富荣福鑫灵活配置混合型证券投资基金基金合同》（以下简称“基金合同”）编写。</w:t>
      </w:r>
    </w:p>
    <w:p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鑫灵活配置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rsidR="003E4D36" w:rsidRDefault="00E729B5">
      <w:pPr>
        <w:widowControl/>
        <w:jc w:val="left"/>
        <w:rPr>
          <w:rFonts w:asciiTheme="minorEastAsia" w:hAnsiTheme="minorEastAsia" w:cs="Arial"/>
          <w:sz w:val="24"/>
          <w:szCs w:val="24"/>
        </w:rPr>
      </w:pPr>
      <w:r>
        <w:rPr>
          <w:rFonts w:asciiTheme="minorEastAsia" w:hAnsiTheme="minorEastAsia" w:cs="Arial"/>
          <w:sz w:val="24"/>
          <w:szCs w:val="24"/>
        </w:rPr>
        <w:br w:type="page"/>
      </w:r>
    </w:p>
    <w:p w:rsidR="003E4D36" w:rsidRDefault="00E729B5">
      <w:pPr>
        <w:pStyle w:val="1"/>
        <w:jc w:val="center"/>
        <w:rPr>
          <w:sz w:val="30"/>
          <w:szCs w:val="30"/>
        </w:rPr>
      </w:pPr>
      <w:bookmarkStart w:id="48" w:name="_Toc523243817"/>
      <w:bookmarkStart w:id="49" w:name="_Toc18631"/>
      <w:bookmarkStart w:id="50" w:name="_Toc5246"/>
      <w:bookmarkStart w:id="51" w:name="_Toc733"/>
      <w:bookmarkStart w:id="52" w:name="_Toc20318"/>
      <w:bookmarkStart w:id="53" w:name="_Toc6683"/>
      <w:bookmarkStart w:id="54" w:name="_Toc352229748"/>
      <w:bookmarkStart w:id="55" w:name="_Toc24571"/>
      <w:bookmarkStart w:id="56" w:name="_Toc13288"/>
      <w:bookmarkStart w:id="57" w:name="_Toc22708"/>
      <w:bookmarkStart w:id="58" w:name="_Toc6149"/>
      <w:bookmarkStart w:id="59" w:name="_Toc20627"/>
      <w:bookmarkStart w:id="60" w:name="_Toc545"/>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r>
        <w:rPr>
          <w:rFonts w:hint="eastAsia"/>
          <w:sz w:val="30"/>
          <w:szCs w:val="30"/>
        </w:rPr>
        <w:lastRenderedPageBreak/>
        <w:t>第二部分</w:t>
      </w:r>
      <w:r>
        <w:rPr>
          <w:sz w:val="30"/>
          <w:szCs w:val="30"/>
        </w:rPr>
        <w:t xml:space="preserve">  </w:t>
      </w:r>
      <w:r>
        <w:rPr>
          <w:rFonts w:hint="eastAsia"/>
          <w:sz w:val="30"/>
          <w:szCs w:val="30"/>
        </w:rPr>
        <w:t>释义</w:t>
      </w:r>
      <w:bookmarkEnd w:id="48"/>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、基金或本基金：指富荣福鑫灵活配置混合型证券投资基金</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、基金合同：指《富荣福鑫灵活配置混合型证券投资基金基金合同》及对基金合同的任何有效修订和补充</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、托管协议：指基金管理人与基金托管人就本基金签订之《富荣福鑫灵活配置混合型证券投资基金托管协议》及对该托管协议的任何有效修订和补充</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、招募说明书或本招募说明书：指《富荣福鑫灵活配置混合型证券投资基金招募说明书》及其定期的更新</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w:t>
      </w:r>
      <w:r>
        <w:rPr>
          <w:rFonts w:asciiTheme="minorEastAsia" w:hAnsiTheme="minorEastAsia" w:cs="Times New Roman" w:hint="eastAsia"/>
          <w:sz w:val="24"/>
          <w:szCs w:val="24"/>
        </w:rPr>
        <w:t>、基金份额发售公告：指《富荣福鑫灵活配置混合型证券投资基金基金份额发售公告》</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、《信息披露办法》：指中国证监会</w:t>
      </w:r>
      <w:r>
        <w:rPr>
          <w:rFonts w:asciiTheme="minorEastAsia" w:hAnsiTheme="minorEastAsia" w:cs="Times New Roman"/>
          <w:sz w:val="24"/>
          <w:szCs w:val="24"/>
        </w:rPr>
        <w:t>2004</w:t>
      </w:r>
      <w:r>
        <w:rPr>
          <w:rFonts w:asciiTheme="minorEastAsia" w:hAnsiTheme="minorEastAsia" w:cs="Times New Roman" w:hint="eastAsia"/>
          <w:sz w:val="24"/>
          <w:szCs w:val="24"/>
        </w:rPr>
        <w:t>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日颁布、同年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日实施的《证券投资基金信息披露管理办法》及颁布机关对其不时做出的修订</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13、《管理规定》：指中国证监会2017年8月31日颁布、同年10月1日实施的《公开募集开放式证券投资基金流动性风险管理规定》及颁布机关对其不时做出的修订</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4、中国证监会：指中国证券监督管理委员会</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1</w:t>
      </w:r>
      <w:r>
        <w:rPr>
          <w:rFonts w:asciiTheme="minorEastAsia" w:hAnsiTheme="minorEastAsia" w:cs="Times New Roman" w:hint="eastAsia"/>
          <w:sz w:val="24"/>
          <w:szCs w:val="24"/>
        </w:rPr>
        <w:t>5、银行业监督管理机构：指中国人民银行和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或中国银行业监督管理委员会</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6、基金合同当事人：指受基金合同约束，根据基金合同享有权利并承担义务的法律主体，包括基金管理人、基金托管人和基金份额持有人</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7、个人投资者：指依据有关法律法规规定可投资于证券投资基金的自然人</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8、机构投资者：指依法可以投资证券投资基金的、在中华人民共和国境内合法登记并存续或经有关政府部门批准设立并存续的企业法人、事业法人、社会团体或其他组织</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9、合格境外机构投资者：指符合《合格境外机构投资者境内证券投资管理办法》及相关法律法规规定可以投资于在中国境内依法募集的证券投资基金的中国境外的机构投资者</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20、投资人：指个人投资者、机构投资者和合格境外机构投资者以及法律法规或中国证监会允许购买证券投资基金的其他投资人的合称</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1、基金份额持有人：指依基金合同和招募说明书合法取得基金份额的投资人</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2、基金销售业务：指基金管理人或销售机构宣传推介基金，发售基金份额，办理基金份额的申购、赎回、转换、转托管及定期定额投资等业务</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3、销售机构：指富荣基金管理有限公司以及符合《销售办法》和中国证监会规定的其他条件，取得基金销售业务资格并与基金管理人签订了基金销售服务协议，办理基金销售业务的机构</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4、登记业务：指基金登记、存管、过户、清算和结算业务，具体内容包括投资人基金账户的建立和管理、基金份额登记、基金销售业务的确认、清算和结算、代理发放红利、建立并保管基金份额持有人名册和办理非交易过户等</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5、登记机构：指办理登记业务的机构。本基金的登记机构为富荣基金管理有限公司或接受富荣基金管理有限公司委托代为办理登记业务的机构</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6、基金账户：指登记机构为投资人开立的、记录其持有的、基金管理人所管理的基金份额余额及其变动情况的账户</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7、基金交易账户：指销售机构为投资人开立的、记录投资人通过该销售机构办理认购、申购、赎回、转换、转托管及定期定额投资等业务而引起的基金份额变动及结余情况的账户</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w:t>
      </w:r>
      <w:r>
        <w:rPr>
          <w:rFonts w:asciiTheme="minorEastAsia" w:hAnsiTheme="minorEastAsia" w:cs="Times New Roman" w:hint="eastAsia"/>
          <w:sz w:val="24"/>
          <w:szCs w:val="24"/>
        </w:rPr>
        <w:t>8、基金合同生效日：指基金募集达到法律法规规定及基金合同规定的条件，基金管理人向中国证监会办理基金备案手续完毕，并获得中国证监会书面确认的日期</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9、基金合同终止日：指基金合同规定的基金合同终止事由出现后，基金财产清算完毕，清算结果报中国证监会备案并予以公告的日期</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30、基金募集期：指自基金份额发售之日起至发售结束之日止的期间，最长不得超过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1、存续期：指基金合同生效至终止之间的不定期期限</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2、工作日：指上海证券交易所、深圳证券交易所的正常交易日</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3、</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4、</w:t>
      </w:r>
      <w:r>
        <w:rPr>
          <w:rFonts w:asciiTheme="minorEastAsia" w:hAnsiTheme="minorEastAsia" w:cs="Times New Roman"/>
          <w:sz w:val="24"/>
          <w:szCs w:val="24"/>
        </w:rPr>
        <w:t>T+n</w:t>
      </w:r>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5、开放日：指为投资人办理基金份额申购、赎回或其他业务的工作日</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6、开放时间：指开放日基金接受申购、赎回或其他交易的时间段</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7、《业务规则》：指《富荣基金管理有限公司开放式基金业务规则》，是规范基金管理人所管理的开放式证券投资基金登记方面的业务规则，由基金管理人和投资人共同遵守</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8、认购：指在基金募集期内，投资人根据基金合同和招募说明书的规定申请购买基金份额的行为</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9、申购：指基金合同生效后，投资人根据基金合同和招募说明书的规定申请购买基金份额的行为</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40、赎回：指基金合同生效后，基金份额持有人按基金合同和招募说明书规定的条件要求将基金份额兑换为现金的行为</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1、基金转换：指基金份额持有人按照基金合同和基金管理人届时有效公告规定的条件，申请将其持有基金管理人管理的、某一基金的基金份额转换为基金管理人管理的其他基金基金份额的行为</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2、转托管：指基金份额持有人在本基金的不同销售机构之间实施的变更所持基金份额销售机构的操作</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3、定期定额投资计划：指投资人通过有关销售机构提出申请，约定每期申购日、扣款金额及扣款方式，由销售机构于每期约定扣款日在投资人指定银行账</w:t>
      </w:r>
      <w:r>
        <w:rPr>
          <w:rFonts w:asciiTheme="minorEastAsia" w:hAnsiTheme="minorEastAsia" w:cs="Times New Roman" w:hint="eastAsia"/>
          <w:sz w:val="24"/>
          <w:szCs w:val="24"/>
        </w:rPr>
        <w:lastRenderedPageBreak/>
        <w:t>户内自动完成扣款及受理基金申购申请的一种投资方式</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4、巨额赎回：指本基金单个开放日，基金净赎回申请（赎回申请份额总数加上基金转换中转出申请份额总数后扣除申购申请份额总数及基金转换中转入申请份额总数后的余额）超过上一开放日基金总份额的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rsidR="003E4D36" w:rsidRDefault="00E729B5">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5、元：指人民币元</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6、基金收益：指基金投资所得红利、股息、债券利息、买卖证券价差、银行存款利息、已实现的其他合法收入及因运用基金财产带来的成本和费用的节约</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47、销售服务费：指本基金用于持续销售和服务基金份额持有人的费用，该笔费用从C类份额的基金财产中计提，属于基金的营运费用</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8、基金资产总值：指基金拥有的各类有价证券、银行存款本息、基金应收申购款及其他资产的价值总和</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9、基金资产净值：指基金资产总值减去基金负债后的价值</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50、基金份额净值：指计算日基金资产净值除以计算日基金份额总数</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51、基金资产估值：指计算评估基金资产和负债的价值，以确定基金资产净值和基金份额净值的过程</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52、基金份额的类别：指本基金根据销售服务费收取方式的不同，将基金份额分为不同的类别</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3、</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类基金份额：指在投资者认购、申购时收取前端认购、申购费用而不从本类别基金资产中计提销售服务费的，称为A类基金份额</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4、</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类基金份额：指在投资者认购、申购时不收取前后端认购、申购费用，而从本类别基金资产中计提销售服务费的，称为C类基金份额</w:t>
      </w:r>
    </w:p>
    <w:p w:rsidR="003E4D36" w:rsidRDefault="00E729B5">
      <w:pPr>
        <w:spacing w:line="360" w:lineRule="auto"/>
        <w:ind w:firstLineChars="200" w:firstLine="480"/>
        <w:rPr>
          <w:bCs/>
          <w:sz w:val="24"/>
          <w:szCs w:val="24"/>
        </w:rPr>
      </w:pPr>
      <w:r>
        <w:rPr>
          <w:rFonts w:hint="eastAsia"/>
          <w:bCs/>
          <w:sz w:val="24"/>
          <w:szCs w:val="24"/>
        </w:rPr>
        <w:t>55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rsidR="003E4D36" w:rsidRDefault="00E729B5">
      <w:pPr>
        <w:spacing w:line="360" w:lineRule="auto"/>
        <w:ind w:firstLineChars="200" w:firstLine="480"/>
        <w:rPr>
          <w:bCs/>
          <w:sz w:val="24"/>
          <w:szCs w:val="24"/>
        </w:rPr>
      </w:pPr>
      <w:r>
        <w:rPr>
          <w:rFonts w:hint="eastAsia"/>
          <w:bCs/>
          <w:sz w:val="24"/>
          <w:szCs w:val="24"/>
        </w:rPr>
        <w:t>56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3E4D36" w:rsidRDefault="00E729B5">
      <w:pPr>
        <w:spacing w:line="360" w:lineRule="auto"/>
        <w:ind w:firstLineChars="200" w:firstLine="460"/>
        <w:rPr>
          <w:bCs/>
          <w:sz w:val="24"/>
          <w:szCs w:val="24"/>
        </w:rPr>
      </w:pPr>
      <w:r>
        <w:rPr>
          <w:kern w:val="0"/>
          <w:sz w:val="23"/>
          <w:szCs w:val="23"/>
        </w:rPr>
        <w:lastRenderedPageBreak/>
        <w:t>57</w:t>
      </w:r>
      <w:r>
        <w:rPr>
          <w:rFonts w:hint="eastAsia"/>
          <w:bCs/>
          <w:sz w:val="24"/>
          <w:szCs w:val="24"/>
        </w:rPr>
        <w:t>、</w:t>
      </w:r>
      <w:r>
        <w:rPr>
          <w:bCs/>
          <w:sz w:val="24"/>
          <w:szCs w:val="24"/>
        </w:rPr>
        <w:t>指定媒</w:t>
      </w:r>
      <w:r>
        <w:rPr>
          <w:rFonts w:hint="eastAsia"/>
          <w:bCs/>
          <w:sz w:val="24"/>
          <w:szCs w:val="24"/>
        </w:rPr>
        <w:t>介</w:t>
      </w:r>
      <w:r>
        <w:rPr>
          <w:bCs/>
          <w:sz w:val="24"/>
          <w:szCs w:val="24"/>
        </w:rPr>
        <w:t>：指中国证监会指定的用以进行信息披露的报刊、互联网网站及其他媒</w:t>
      </w:r>
      <w:r>
        <w:rPr>
          <w:rFonts w:hint="eastAsia"/>
          <w:bCs/>
          <w:sz w:val="24"/>
          <w:szCs w:val="24"/>
        </w:rPr>
        <w:t>介</w:t>
      </w:r>
    </w:p>
    <w:p w:rsidR="003E4D36" w:rsidRDefault="00E729B5">
      <w:pPr>
        <w:spacing w:line="360" w:lineRule="auto"/>
        <w:ind w:firstLineChars="200" w:firstLine="480"/>
        <w:rPr>
          <w:bCs/>
          <w:sz w:val="24"/>
          <w:szCs w:val="24"/>
        </w:rPr>
      </w:pPr>
      <w:r>
        <w:rPr>
          <w:bCs/>
          <w:sz w:val="24"/>
          <w:szCs w:val="24"/>
        </w:rPr>
        <w:t>58</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rsidR="003E4D36" w:rsidRDefault="00E729B5">
      <w:pPr>
        <w:widowControl/>
        <w:jc w:val="left"/>
        <w:rPr>
          <w:bCs/>
          <w:sz w:val="24"/>
          <w:szCs w:val="24"/>
        </w:rPr>
      </w:pPr>
      <w:r>
        <w:rPr>
          <w:bCs/>
          <w:sz w:val="24"/>
          <w:szCs w:val="24"/>
        </w:rPr>
        <w:br w:type="page"/>
      </w:r>
    </w:p>
    <w:p w:rsidR="003E4D36" w:rsidRDefault="00E729B5">
      <w:pPr>
        <w:pStyle w:val="1"/>
        <w:jc w:val="center"/>
        <w:rPr>
          <w:sz w:val="30"/>
          <w:szCs w:val="30"/>
        </w:rPr>
      </w:pPr>
      <w:bookmarkStart w:id="63" w:name="_Toc416264539"/>
      <w:bookmarkStart w:id="64" w:name="_Toc523243818"/>
      <w:bookmarkStart w:id="65" w:name="_Toc263092311"/>
      <w:bookmarkStart w:id="66" w:name="_Toc410197817"/>
      <w:bookmarkStart w:id="67" w:name="_Toc24682"/>
      <w:bookmarkStart w:id="68" w:name="_Toc352229749"/>
      <w:bookmarkStart w:id="69" w:name="_Toc29784"/>
      <w:bookmarkStart w:id="70" w:name="_Toc22074"/>
      <w:bookmarkStart w:id="71" w:name="_Toc27189"/>
      <w:bookmarkStart w:id="72" w:name="_Toc16265"/>
      <w:bookmarkStart w:id="73" w:name="_Toc15203"/>
      <w:bookmarkStart w:id="74" w:name="_Toc90742390"/>
      <w:bookmarkStart w:id="75" w:name="_Toc29948"/>
      <w:bookmarkStart w:id="76" w:name="_Toc3266"/>
      <w:bookmarkStart w:id="77" w:name="_Toc27226"/>
      <w:bookmarkStart w:id="78" w:name="_Toc6714"/>
      <w:bookmarkStart w:id="79" w:name="_Toc90742321"/>
      <w:bookmarkStart w:id="80" w:name="_Toc7151"/>
      <w:bookmarkStart w:id="81" w:name="_Toc90742688"/>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rsidR="003E4D36" w:rsidRDefault="00E729B5">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办公地址：深圳市福田区深南大道2012号深圳交易所大厦3501室</w:t>
      </w:r>
    </w:p>
    <w:p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sidR="00980F20">
        <w:rPr>
          <w:rFonts w:asciiTheme="minorEastAsia" w:hAnsiTheme="minorEastAsia" w:cs="Times New Roman" w:hint="eastAsia"/>
          <w:kern w:val="0"/>
          <w:sz w:val="24"/>
          <w:szCs w:val="24"/>
        </w:rPr>
        <w:t>杨小舟</w:t>
      </w:r>
    </w:p>
    <w:p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联系人：毛志华</w:t>
      </w:r>
    </w:p>
    <w:p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8435 6636</w:t>
      </w:r>
    </w:p>
    <w:p w:rsidR="003E4D36" w:rsidRDefault="00E729B5">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3E4D36">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3E4D36">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3E4D36">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3E4D36">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rsidR="003E4D36" w:rsidRDefault="003E4D36">
      <w:pPr>
        <w:adjustRightInd w:val="0"/>
        <w:snapToGrid w:val="0"/>
        <w:spacing w:line="360" w:lineRule="auto"/>
        <w:ind w:firstLineChars="200" w:firstLine="480"/>
        <w:rPr>
          <w:rFonts w:asciiTheme="minorEastAsia" w:hAnsiTheme="minorEastAsia" w:cs="Arial"/>
          <w:kern w:val="0"/>
          <w:sz w:val="24"/>
          <w:szCs w:val="24"/>
        </w:rPr>
      </w:pPr>
    </w:p>
    <w:p w:rsidR="003E4D36" w:rsidRDefault="00E729B5">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rsidR="002453CC" w:rsidRDefault="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罗劲先生，董事，湖南大学工商管理硕士。曾任广州农村商业银行股份有限公司华夏支行集团客户事业部副总经理。现任广州汇垠澳丰股权投资基金管理有</w:t>
      </w:r>
      <w:r>
        <w:rPr>
          <w:rFonts w:asciiTheme="minorEastAsia" w:hAnsiTheme="minorEastAsia" w:cs="Arial" w:hint="eastAsia"/>
          <w:kern w:val="0"/>
          <w:sz w:val="24"/>
          <w:szCs w:val="24"/>
        </w:rPr>
        <w:lastRenderedPageBreak/>
        <w:t>限公司常务副总经理、四川汇源光通信股份有限公司董事长、富荣基金管理有限公司董事。</w:t>
      </w:r>
    </w:p>
    <w:p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林斌先生，独立董事，厦门大学经济学博士。现任中山大学管理学院会计学系教授、富荣基金管理有限公司独立董事。</w:t>
      </w:r>
    </w:p>
    <w:p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卢伟女士，监事，大专。在盈投控股有限公司任职，现任富荣基金管理有限公司监事。</w:t>
      </w:r>
    </w:p>
    <w:p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毛志华先生，职工监事，本科。现任富荣基金管理有限公司监事。</w:t>
      </w:r>
    </w:p>
    <w:p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rsidR="002453CC" w:rsidRP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2453CC" w:rsidRP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2453CC" w:rsidRP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lastRenderedPageBreak/>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rsidR="002453CC" w:rsidRP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rsid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滕大江先生，督察长，中南大学工学学士，先后供职于平安证券、平安大华基金管理有限公司、前海开源基金管理有限公司监察稽核部门。现任富荣基金管理有限公司督察长。</w:t>
      </w:r>
    </w:p>
    <w:p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4、本基金基金经理</w:t>
      </w:r>
    </w:p>
    <w:p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邓宇翔先生，权益投资部兼研究部总监</w:t>
      </w:r>
      <w:r>
        <w:rPr>
          <w:rFonts w:asciiTheme="minorEastAsia" w:hAnsiTheme="minorEastAsia" w:cs="Arial"/>
          <w:kern w:val="0"/>
          <w:sz w:val="24"/>
          <w:szCs w:val="24"/>
        </w:rPr>
        <w:t>，</w:t>
      </w:r>
      <w:r>
        <w:rPr>
          <w:rFonts w:asciiTheme="minorEastAsia" w:hAnsiTheme="minorEastAsia" w:cs="Arial" w:hint="eastAsia"/>
          <w:kern w:val="0"/>
          <w:sz w:val="24"/>
          <w:szCs w:val="24"/>
        </w:rPr>
        <w:t>中国科学技术大学理学硕士，曾任西南证券股份有限公司资深投资经理、深圳展博投资有限公司投资经理、深圳东新佳投资有限公司投资经理。现任富荣基金管理有限公司权益投资部兼研究部总监、基金经理。</w:t>
      </w:r>
    </w:p>
    <w:p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5、投资决策委员会成员的姓名、职务</w:t>
      </w:r>
    </w:p>
    <w:p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郭容辰女士，投资决策委员会主任委员、总经理。</w:t>
      </w:r>
    </w:p>
    <w:p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苏春华先生，投资决策委员会副主任委员、副总经理、首席投资官。</w:t>
      </w:r>
    </w:p>
    <w:p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林峰先生，投资决策委员会委员、副总经理。</w:t>
      </w:r>
    </w:p>
    <w:p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吕晓蓉女士，投资决策委员会委员、基金经理。</w:t>
      </w:r>
    </w:p>
    <w:p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邓宇翔先生，投资决策委员会委员、权益投资部总监、研究部总监、基金经理。</w:t>
      </w:r>
    </w:p>
    <w:p w:rsid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万方毅女士，投资决策委员会委员、固定收益部总监。</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6、上述人员之间不存在近亲属关系。</w:t>
      </w:r>
    </w:p>
    <w:p w:rsidR="003E4D36" w:rsidRDefault="00E729B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rsidR="003E4D36" w:rsidRDefault="00E729B5">
      <w:pPr>
        <w:autoSpaceDE w:val="0"/>
        <w:autoSpaceDN w:val="0"/>
        <w:adjustRightInd w:val="0"/>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3、自《基金合同》生效之日起，以诚实信用、谨慎勤勉的原则管理和运用基金财产；</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8、采取适当合理的措施使计算基金份额认购、申购、赎回和注销价格的方法符合《基金合同》等法律文件的规定，按有关规定计算并公告基金资产净值，确定基金份额申购、赎回的价格；</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10、编制季度、半年度和年度基金报告；</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18、组织并参加基金财产清算小组，参与基金财产的保管、清理、估价、变现和分配；</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24、基金管理人在募集期间未能达到基金的备案条件，《基金合同》不能生效，基金管理人承担全部募集费用，将已募集资金加计银行同期存款利息在基金募集期结束后30日内退还基金认购人；</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rsidR="003E4D36" w:rsidRDefault="00E729B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（5）侵占、挪用基金财产；</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rsidR="003E4D36" w:rsidRDefault="00E729B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rsidR="003E4D36" w:rsidRDefault="00E729B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416264540"/>
      <w:bookmarkStart w:id="84" w:name="_Toc352229750"/>
      <w:bookmarkStart w:id="85" w:name="_Toc410197818"/>
      <w:bookmarkEnd w:id="66"/>
      <w:bookmarkEnd w:id="67"/>
      <w:bookmarkEnd w:id="68"/>
      <w:r>
        <w:rPr>
          <w:rFonts w:asciiTheme="minorEastAsia" w:hAnsiTheme="minorEastAsia" w:cs="Arial" w:hint="eastAsia"/>
          <w:sz w:val="24"/>
          <w:szCs w:val="24"/>
        </w:rPr>
        <w:t>1、风险控制目标</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w:t>
      </w:r>
      <w:r>
        <w:rPr>
          <w:rFonts w:asciiTheme="minorEastAsia" w:hAnsiTheme="minorEastAsia" w:cs="Arial" w:hint="eastAsia"/>
          <w:sz w:val="24"/>
          <w:szCs w:val="24"/>
        </w:rPr>
        <w:lastRenderedPageBreak/>
        <w:t>人员，并渗透到决策、执行、监督、反馈等各个经营环节；</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w:t>
      </w:r>
      <w:r>
        <w:rPr>
          <w:rFonts w:asciiTheme="minorEastAsia" w:hAnsiTheme="minorEastAsia" w:cs="Arial" w:hint="eastAsia"/>
          <w:sz w:val="24"/>
          <w:szCs w:val="24"/>
        </w:rPr>
        <w:lastRenderedPageBreak/>
        <w:t>对经营风险的预防和控制。</w:t>
      </w:r>
    </w:p>
    <w:p w:rsidR="003E4D36" w:rsidRDefault="00E729B5">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w:t>
      </w:r>
      <w:r>
        <w:rPr>
          <w:rFonts w:asciiTheme="minorEastAsia" w:hAnsiTheme="minorEastAsia" w:cs="Arial" w:hint="eastAsia"/>
          <w:sz w:val="24"/>
          <w:szCs w:val="24"/>
        </w:rPr>
        <w:lastRenderedPageBreak/>
        <w:t>不断提高研究水平。</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w:t>
      </w:r>
      <w:r>
        <w:rPr>
          <w:rFonts w:asciiTheme="minorEastAsia" w:hAnsiTheme="minorEastAsia" w:cs="Arial" w:hint="eastAsia"/>
          <w:sz w:val="24"/>
          <w:szCs w:val="24"/>
        </w:rPr>
        <w:lastRenderedPageBreak/>
        <w:t>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rsidR="003E4D36" w:rsidRDefault="00E729B5">
      <w:pPr>
        <w:widowControl/>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6" w:name="_Toc238013745"/>
      <w:bookmarkStart w:id="87" w:name="_Toc238027832"/>
      <w:bookmarkEnd w:id="86"/>
      <w:bookmarkEnd w:id="87"/>
    </w:p>
    <w:p w:rsidR="003E4D36" w:rsidRDefault="00E729B5">
      <w:pPr>
        <w:widowControl/>
        <w:jc w:val="left"/>
        <w:rPr>
          <w:rFonts w:asciiTheme="minorEastAsia" w:hAnsiTheme="minorEastAsia" w:cs="Arial"/>
          <w:sz w:val="24"/>
          <w:szCs w:val="24"/>
        </w:rPr>
      </w:pPr>
      <w:r>
        <w:rPr>
          <w:rFonts w:asciiTheme="minorEastAsia" w:hAnsiTheme="minorEastAsia" w:cs="Arial"/>
          <w:sz w:val="24"/>
          <w:szCs w:val="24"/>
        </w:rPr>
        <w:br w:type="page"/>
      </w:r>
    </w:p>
    <w:p w:rsidR="003E4D36" w:rsidRDefault="00E729B5">
      <w:pPr>
        <w:pStyle w:val="1"/>
        <w:jc w:val="center"/>
        <w:rPr>
          <w:sz w:val="30"/>
          <w:szCs w:val="30"/>
        </w:rPr>
      </w:pPr>
      <w:bookmarkStart w:id="88" w:name="_Toc523243819"/>
      <w:r>
        <w:rPr>
          <w:rFonts w:hint="eastAsia"/>
          <w:sz w:val="30"/>
          <w:szCs w:val="30"/>
        </w:rPr>
        <w:lastRenderedPageBreak/>
        <w:t>第四部分</w:t>
      </w:r>
      <w:r>
        <w:rPr>
          <w:sz w:val="30"/>
          <w:szCs w:val="30"/>
        </w:rPr>
        <w:t xml:space="preserve">  </w:t>
      </w:r>
      <w:r>
        <w:rPr>
          <w:rFonts w:hint="eastAsia"/>
          <w:sz w:val="30"/>
          <w:szCs w:val="30"/>
        </w:rPr>
        <w:t>基金托管人</w:t>
      </w:r>
      <w:bookmarkEnd w:id="88"/>
    </w:p>
    <w:p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1、基本情况</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名称：平安银行股份有限公司</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住所：广东省深圳市罗湖区深南东路5047号</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办公地址：广东省深圳市罗湖区深南东路5047号</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法定代表人：谢永林</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成立日期：1987年12月22日</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组织形式：股份有限公司</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注册资本：17,170,411,366元</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存续期间：持续经营</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基金托管资格批文及文号：中国证监会证监许可[2008]1037 号</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联系人：高希泉</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联系电话：(0755) 2219 7701</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1、平安银行基本情况</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2018年9月末，平安银行有 77 家分行,共1,056家营业机构。</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2018年1-9月，平安银行实现营业收入866.64亿元（同比增长8.6%）、净利润204.56亿元（同比增长6.8%）、资产总额33,520.56亿元（较上年末增长3.2%）、吸收存款余额21,346.41亿元（较上年末增长6.7%）、发放贷款和垫款总额（含贴现）19,220.47亿元（较上年末增幅12.8%）。</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平安银行总行设资产托管事业部，下设市场拓展处、创新发展处、估值核算处、资金清算处、规划发展处、IT系统支持处、督察合规处、基金服务中心8 个处室，目前部门人员为60人。</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2、主要人员情况</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lastRenderedPageBreak/>
        <w:t>陈正涛,男,中共党员，经济学硕士、高级经济师、高级理财规划师、国际注册私人银行家，具备《中国证券业执业证书》。长期从事商业银行工作，具有本外币资金清算，银行经营管理及基金托管业务的经营管理经验。1985年7月至1993年2月在武汉金融高等专科学校任教；1993年3月至1993年7月在招商银行武汉分行任客户经理；1993年8月至1999年2月在招行武汉分行武昌支行任计划信贷部经理、行长助理；1999年3月－2000年1月在招行武汉分行青山支行任行长助理；2000年2月至2001年7月在招行武汉分行公司银行部任副总经理；2001年8月至2003年2月在招行武汉分行解放公园支行任行长；2003年3月至2005年4月在招行武汉分行机构业务部任总经理；2005年5月至2007年6月在招行武汉分行硚口支行任行长；2007年7月至2008年1月在招行武汉分行同业银行部任总经理；自2008年2月加盟平安银行先后任公司业务部总经理助理、产品及交易银行部副总经理，一直负责公司银行产品开发与管理，全面掌握银行产品包括托管业务产品的运作、营销和管理，尤其是对商业银行有关的各项监管政策比较熟悉。2011年12月任平安银行资产托管部副总经理；2013年5月起任平安银行资产托管事业部副总裁（主持工作）；2015年3月5日起任平安银行资产托管事业部总裁。</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3、基金托管业务经营情况</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2008年8月15日获得中国证监会、银监会核准开办证券投资基金托管业务。</w:t>
      </w:r>
    </w:p>
    <w:p w:rsid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截至2018年11月末，平安银行股份有限公司托管净值规模合计5.76万亿，托管证券投资基金共113只，具体包括华富价值增长灵活配置混合型证券投资基金、华富量子生命力股票型证券投资基金、长信可转债债券型证券投资基金、招商保证金快线货币市场基金、平安日增利货币市场基金、新华鑫益灵活配置混合型证券投资基金、东吴中证可转换债券指数分级证券投资基金、平安财富宝货币市场基金、红塔红土盛世普益灵活配置混合型发起式证券投资基金、新华活期添利货币市场证券投资基金、民生加银优选股票型证券投资基金、新华增盈回报债券型证券投资基金、鹏华安盈宝货币市场基金、平安新鑫先锋混合型证券投资基金、新华万银多元策略灵活配置混合型证券投资基金、中海进取收益灵活配置混合型证券投资基金、东吴移动互联灵活配置混合型证券投资基金、平安智慧中国灵活配置混合型证券投资基金、国金通用鑫新灵活配置混合型证券投资基金（LOF）、嘉合磐石混合型证券投资基金、平安鑫享混合型证券投资基金、广发</w:t>
      </w:r>
      <w:r w:rsidRPr="00E30437">
        <w:rPr>
          <w:rFonts w:asciiTheme="minorEastAsia" w:hAnsiTheme="minorEastAsia" w:cs="Times New Roman" w:hint="eastAsia"/>
          <w:sz w:val="24"/>
          <w:szCs w:val="24"/>
        </w:rPr>
        <w:lastRenderedPageBreak/>
        <w:t>聚盛灵活配置混合型证券投资基金、鹏华弘安灵活配置混合型证券投资基金、博时裕泰纯债债券型证券投资基金、德邦增利货币市场基金、中海顺鑫保本混合型证券投资基金、民生加银新收益债券型证券投资基金、东方红睿轩沪港深灵活配置混合型证券投资基金、浙商汇金转型升级灵活配置混合型证券投资基金、广发安泽回报纯债债券型证券投资基金、博时裕景纯债债券型证券投资基金、平安惠盈纯债债券型证券投资基金、长城久源保本混合型证券投资基金、平安安盈保本混合型证券投资基金、嘉实稳盛债券型证券投资基金、长信先锐债券型证券投资基金、华润元大现金通货币市场基金、平安鼎信定期开放债券型证券投资基金、平安鼎泰灵活配置混合型证券投资基金、南方荣欢定期开放混合型发起式证券投资基金、长信富平纯债一年定期开放债券型证券投资基金、中海合嘉增强收益债券型证券投资基金、富兰克林国海新活力灵活配置混合型证券投资基金、南方颐元债券型发起式证券投资基金、鹏华弘惠灵活配置混合型证券投资基金、鹏华兴安定期开放灵活配置混合型证券投资基金、西部利得天添利货币市场基金、鹏华弘腾灵活配置混合型证券投资基金、博时安祺一年定期开放债券型证券投资基金、安信活期宝货币市场基金、广发鑫源灵活配置混合型证券投资基金、平安惠享纯债债券型证券投资基金、广发安悦回报灵活配置混合型证券投资基金、平安惠融纯债债券型证券投资基金、广发沪港深新起点股票型证券投资基金、平安惠金定期开放债券型证券投资基金、鹏华弘腾成长多策略灵活配置混合型证券投资基金、博时丰达纯债6个月定期开放债券型发起式证券投资基金、英大睿鑫灵活配置混合型证券投资基金、西部利得新动力灵活配置混合型证券投资基金、平安惠利纯债债券型证券投资基金、广发鑫盛18个月定期开放混合型证券投资基金、长盛盛丰灵活配置混合型证券投资基金、鹏华丰盈债券型证券投资基金、平安惠隆纯债债券型证券投资基金、平安金管家货币市场基金、平安鑫利定期开放灵活配置混合型证券投资基金、国联安睿智定期开放混合型证券投资基金、华泰柏瑞享利灵活配置混合型证券投资基金、广发汇平一年定期开放债券型证券投资基金、平安中证沪港深高股息精选指数型证券投资基金、前海开源聚财宝货币市场基金、招商稳阳定期开放灵活配置混合型证券投资基金、长盛盛瑞灵活配置混合型证券投资基金、前海开源沪港深隆鑫灵活配置混合型证券投资基金、金鹰添荣纯债债券型证券投资基金、西部利得汇享债券型证券投资基金、鹏华丰玉债券型证券投资基金、华安睿安定期开放混合型证券投资基金、西部利得久安回报灵活</w:t>
      </w:r>
      <w:r w:rsidRPr="00E30437">
        <w:rPr>
          <w:rFonts w:asciiTheme="minorEastAsia" w:hAnsiTheme="minorEastAsia" w:cs="Times New Roman" w:hint="eastAsia"/>
          <w:sz w:val="24"/>
          <w:szCs w:val="24"/>
        </w:rPr>
        <w:lastRenderedPageBreak/>
        <w:t>配置混合型证券投资基金、广发汇安18个月定期开放债券型证券投资基金、上投摩根岁岁金定期开放债券型证券投资基金、平安转型创新灵活配置混合型证券投资基金、南方和元债券型证券投资基金、中金丰沃灵活配置混合型证券投资基金、兴银消费新趋势灵活配置混合型证券投资基金、南方高元债券型发起式证券投资基金、易方达瑞智灵活配置混合型证券投资基金、中金丰颐灵活配置混合型证券投资基金、中金丰鸿灵活配置混合型证券投资基金、平安惠泽纯债债券型证券投资基金、南方智造未来股票型证券投资基金、万家安弘纯债一年定期开放债券型证券投资基金、平安量化先锋混合型发起式证券投资基金、平安沪深300指数量化增强证券投资基金、平安合正定期开放纯债债券型发起式证券投资基金、嘉合磐通债券型证券投资基金、华夏鼎旺三个月定期开放债券型发起式证券投资基金、国泰安惠收益定期开放债券型证券投资基金、博时富安纯债3个月定期开放债券型发起式证券投资基金、富荣福鑫灵活配置混合型证券投资基金、富荣福锦混合型证券投资基金、前海开源丰鑫灵活配置混合型证券投资基金、平安中证500交易型开放式指数证券投资基金（ETF）、汇添富鑫成定期开放债券型发起式证券投资基金、平安合韵定期开放纯债债券型发起式证券投资基金、易方达恒安定期开放债券型发起式证券投资基金、中银证券汇享定期开放债券型发起式证券投资基金、平安MSCI中国A股低波动交易型开放式指数证券投资基金（ETF）、平安合悦定期开放债券型发起式证券投资基金、平安中证500交易型开放式指数证券投资基金联接基金、中金瑞祥灵活配置混合型证券投资基金、招商添荣3个月定期开放债券型发起式证券投资基金。</w:t>
      </w:r>
    </w:p>
    <w:p w:rsid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p>
    <w:p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二、基金托管人的内部风险控制制度说明</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1、内部控制目标</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2、内部控制组织结构</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平安银行股份有限公司设有总行独立一级部门资产托管事业部，是全行资产</w:t>
      </w:r>
      <w:r w:rsidRPr="00E30437">
        <w:rPr>
          <w:rFonts w:asciiTheme="minorEastAsia" w:hAnsiTheme="minorEastAsia" w:cs="Times New Roman" w:hint="eastAsia"/>
          <w:color w:val="000000"/>
          <w:sz w:val="24"/>
          <w:szCs w:val="24"/>
        </w:rPr>
        <w:lastRenderedPageBreak/>
        <w:t>托管业务的管理和运营部门，专门配备了专职内部监察稽核人员负责托管业务的内部控制和风险管理工作，具有独立行使监督稽核工作的职权和能力。</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3、内部控制制度及措施</w:t>
      </w:r>
    </w:p>
    <w:p w:rsid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资产托管事业部具备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操作区专门设置，封闭管理，实施音像监控；业务信息由专职信息披露人负责，防止泄密；业务实现自动化操作，防止人为事故的发生，技术系统完整、独立。</w:t>
      </w:r>
    </w:p>
    <w:p w:rsidR="00E30437" w:rsidRDefault="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p>
    <w:p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三、基金托管人对基金管理人运作基金进行监督的方法和程序</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1、监督方法</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依照《基金法》及其配套法规和基金合同的约定，监督所托管基金的投资运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2、监督流程</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（2）收到基金管理人的投资指令后，对涉及各基金的投资范围、投资对象及交易对手等内容进行合法合规性监督。</w:t>
      </w:r>
    </w:p>
    <w:p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（3）根据基金投资运作监督情况，定期编写基金投资运作监督报告，对各基金投资运作的合法合规性、投资独立性和风格显著性等方面进行评价，报送中国证监会。</w:t>
      </w:r>
    </w:p>
    <w:p w:rsidR="003E4D36" w:rsidRDefault="00E30437">
      <w:pPr>
        <w:spacing w:line="360" w:lineRule="auto"/>
        <w:ind w:firstLineChars="200" w:firstLine="480"/>
        <w:rPr>
          <w:rFonts w:asciiTheme="minorEastAsia" w:hAnsiTheme="minorEastAsia" w:cs="Times New Roman"/>
          <w:color w:val="000000"/>
          <w:sz w:val="24"/>
          <w:szCs w:val="24"/>
        </w:rPr>
      </w:pPr>
      <w:r w:rsidRPr="00E30437">
        <w:rPr>
          <w:rFonts w:asciiTheme="minorEastAsia" w:hAnsiTheme="minorEastAsia" w:cs="Times New Roman" w:hint="eastAsia"/>
          <w:color w:val="000000"/>
          <w:sz w:val="24"/>
          <w:szCs w:val="24"/>
        </w:rPr>
        <w:t>（4）通过技术或非技术手段发现基金涉嫌违规交易，电话或书面要求管理人进行解释或举证，并及时报告中国证监会。</w:t>
      </w:r>
      <w:r w:rsidR="00E729B5">
        <w:rPr>
          <w:rFonts w:asciiTheme="minorEastAsia" w:hAnsiTheme="minorEastAsia" w:cs="Times New Roman"/>
          <w:color w:val="000000"/>
          <w:sz w:val="24"/>
          <w:szCs w:val="24"/>
        </w:rPr>
        <w:br w:type="page"/>
      </w:r>
    </w:p>
    <w:p w:rsidR="003E4D36" w:rsidRDefault="00E729B5">
      <w:pPr>
        <w:pStyle w:val="1"/>
        <w:jc w:val="center"/>
        <w:rPr>
          <w:sz w:val="30"/>
          <w:szCs w:val="30"/>
        </w:rPr>
      </w:pPr>
      <w:bookmarkStart w:id="89" w:name="_Toc523243820"/>
      <w:bookmarkStart w:id="90" w:name="_Toc214873594"/>
      <w:bookmarkStart w:id="91" w:name="_Toc263092313"/>
      <w:bookmarkStart w:id="92" w:name="_Toc416264541"/>
      <w:bookmarkStart w:id="93" w:name="_Toc610"/>
      <w:bookmarkStart w:id="94" w:name="_Toc98560352"/>
      <w:bookmarkStart w:id="95" w:name="_Toc17244"/>
      <w:bookmarkStart w:id="96" w:name="_Toc139991736"/>
      <w:bookmarkStart w:id="97" w:name="_Toc123051452"/>
      <w:bookmarkStart w:id="98" w:name="_Toc141703886"/>
      <w:bookmarkStart w:id="99" w:name="_Toc352229751"/>
      <w:bookmarkStart w:id="100" w:name="_Toc123102453"/>
      <w:bookmarkStart w:id="101" w:name="_Toc123112234"/>
      <w:bookmarkStart w:id="102" w:name="_Toc79392606"/>
      <w:bookmarkStart w:id="103" w:name="_Toc20733"/>
      <w:bookmarkStart w:id="104" w:name="_Toc4003"/>
      <w:bookmarkStart w:id="105" w:name="_Toc23822"/>
      <w:bookmarkStart w:id="106" w:name="_Toc11081"/>
      <w:bookmarkStart w:id="107" w:name="_Toc1427"/>
      <w:bookmarkStart w:id="108" w:name="_Toc7920"/>
      <w:bookmarkStart w:id="109" w:name="_Toc10463"/>
      <w:bookmarkStart w:id="110" w:name="_Toc1270"/>
      <w:bookmarkStart w:id="111" w:name="_Toc48649707"/>
      <w:bookmarkStart w:id="112" w:name="_Toc352229752"/>
      <w:bookmarkStart w:id="113" w:name="_Toc23261"/>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92"/>
    </w:p>
    <w:p w:rsidR="003E4D36" w:rsidRDefault="00E729B5">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办公地址：深圳市福田区深南大道2012号深圳证券交易所广场3501室</w:t>
      </w:r>
    </w:p>
    <w:p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法定代表人： </w:t>
      </w:r>
      <w:r w:rsidR="00980F20">
        <w:rPr>
          <w:rFonts w:asciiTheme="minorEastAsia" w:hAnsiTheme="minorEastAsia" w:cs="Arial" w:hint="eastAsia"/>
          <w:sz w:val="24"/>
          <w:szCs w:val="24"/>
        </w:rPr>
        <w:t>杨小舟</w:t>
      </w:r>
    </w:p>
    <w:p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传真：0755-83230902</w:t>
      </w:r>
    </w:p>
    <w:p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rsidR="003E4D36" w:rsidRDefault="00E729B5">
      <w:pPr>
        <w:numPr>
          <w:ilvl w:val="0"/>
          <w:numId w:val="3"/>
        </w:num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其他销售机构： </w:t>
      </w:r>
    </w:p>
    <w:tbl>
      <w:tblPr>
        <w:tblStyle w:val="af2"/>
        <w:tblW w:w="8613" w:type="dxa"/>
        <w:tblLayout w:type="fixed"/>
        <w:tblLook w:val="04A0" w:firstRow="1" w:lastRow="0" w:firstColumn="1" w:lastColumn="0" w:noHBand="0" w:noVBand="1"/>
      </w:tblPr>
      <w:tblGrid>
        <w:gridCol w:w="901"/>
        <w:gridCol w:w="3152"/>
        <w:gridCol w:w="4560"/>
      </w:tblGrid>
      <w:tr w:rsidR="003E4D36">
        <w:trPr>
          <w:trHeight w:val="510"/>
        </w:trPr>
        <w:tc>
          <w:tcPr>
            <w:tcW w:w="901" w:type="dxa"/>
            <w:vAlign w:val="center"/>
          </w:tcPr>
          <w:p w:rsidR="003E4D36" w:rsidRDefault="00E729B5">
            <w:pPr>
              <w:spacing w:line="360" w:lineRule="auto"/>
              <w:jc w:val="center"/>
              <w:rPr>
                <w:rFonts w:ascii="宋体" w:hAnsi="宋体"/>
                <w:color w:val="000000"/>
                <w:kern w:val="0"/>
                <w:sz w:val="24"/>
              </w:rPr>
            </w:pPr>
            <w:r>
              <w:rPr>
                <w:rFonts w:ascii="宋体" w:hAnsi="宋体" w:hint="eastAsia"/>
                <w:b/>
                <w:color w:val="000000"/>
                <w:kern w:val="0"/>
                <w:sz w:val="24"/>
              </w:rPr>
              <w:t>序号</w:t>
            </w:r>
          </w:p>
        </w:tc>
        <w:tc>
          <w:tcPr>
            <w:tcW w:w="3152" w:type="dxa"/>
            <w:vAlign w:val="center"/>
          </w:tcPr>
          <w:p w:rsidR="003E4D36" w:rsidRDefault="00E729B5">
            <w:pPr>
              <w:spacing w:line="360" w:lineRule="auto"/>
              <w:jc w:val="center"/>
              <w:rPr>
                <w:rFonts w:ascii="宋体" w:hAnsi="宋体"/>
                <w:color w:val="000000"/>
                <w:kern w:val="0"/>
                <w:sz w:val="24"/>
              </w:rPr>
            </w:pPr>
            <w:r>
              <w:rPr>
                <w:rFonts w:ascii="宋体" w:hAnsi="宋体" w:hint="eastAsia"/>
                <w:b/>
                <w:color w:val="000000"/>
                <w:kern w:val="0"/>
                <w:sz w:val="24"/>
              </w:rPr>
              <w:t>代销机构名称</w:t>
            </w:r>
          </w:p>
        </w:tc>
        <w:tc>
          <w:tcPr>
            <w:tcW w:w="4560" w:type="dxa"/>
          </w:tcPr>
          <w:p w:rsidR="003E4D36" w:rsidRDefault="00E729B5">
            <w:pPr>
              <w:spacing w:line="360" w:lineRule="auto"/>
              <w:jc w:val="center"/>
              <w:rPr>
                <w:rFonts w:ascii="宋体" w:hAnsi="宋体"/>
                <w:color w:val="000000"/>
                <w:kern w:val="0"/>
                <w:sz w:val="24"/>
              </w:rPr>
            </w:pPr>
            <w:r>
              <w:rPr>
                <w:rFonts w:ascii="宋体" w:hAnsi="宋体" w:hint="eastAsia"/>
                <w:b/>
                <w:color w:val="000000"/>
                <w:kern w:val="0"/>
                <w:sz w:val="24"/>
              </w:rPr>
              <w:t>代销机构信息</w:t>
            </w:r>
          </w:p>
        </w:tc>
      </w:tr>
      <w:tr w:rsidR="007D3786" w:rsidTr="007D3786">
        <w:trPr>
          <w:trHeight w:val="1333"/>
        </w:trPr>
        <w:tc>
          <w:tcPr>
            <w:tcW w:w="901" w:type="dxa"/>
          </w:tcPr>
          <w:p w:rsidR="007D3786" w:rsidRDefault="007D3786" w:rsidP="0000032A">
            <w:pPr>
              <w:spacing w:line="360" w:lineRule="auto"/>
              <w:jc w:val="center"/>
              <w:rPr>
                <w:rFonts w:ascii="宋体" w:hAnsi="宋体"/>
                <w:color w:val="000000"/>
                <w:kern w:val="0"/>
                <w:sz w:val="24"/>
              </w:rPr>
            </w:pPr>
            <w:r>
              <w:rPr>
                <w:rFonts w:ascii="宋体" w:hAnsi="宋体" w:hint="eastAsia"/>
                <w:color w:val="000000"/>
                <w:kern w:val="0"/>
                <w:sz w:val="24"/>
              </w:rPr>
              <w:t>1</w:t>
            </w:r>
          </w:p>
        </w:tc>
        <w:tc>
          <w:tcPr>
            <w:tcW w:w="3152" w:type="dxa"/>
          </w:tcPr>
          <w:p w:rsidR="007D3786" w:rsidRDefault="007D3786" w:rsidP="0000032A">
            <w:pPr>
              <w:spacing w:line="360" w:lineRule="auto"/>
              <w:jc w:val="center"/>
              <w:rPr>
                <w:rFonts w:ascii="宋体" w:hAnsi="宋体"/>
                <w:color w:val="000000"/>
                <w:kern w:val="0"/>
                <w:sz w:val="24"/>
              </w:rPr>
            </w:pPr>
            <w:r>
              <w:rPr>
                <w:rFonts w:asciiTheme="minorEastAsia" w:hAnsiTheme="minorEastAsia" w:cs="Arial" w:hint="eastAsia"/>
                <w:sz w:val="24"/>
                <w:szCs w:val="24"/>
              </w:rPr>
              <w:t>包商银行股份有限公司</w:t>
            </w:r>
          </w:p>
        </w:tc>
        <w:tc>
          <w:tcPr>
            <w:tcW w:w="4560" w:type="dxa"/>
          </w:tcPr>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办公地址：内蒙古包头市钢铁大街6号</w:t>
            </w:r>
          </w:p>
          <w:p w:rsidR="007D3786" w:rsidRDefault="007D3786" w:rsidP="0000032A">
            <w:pPr>
              <w:tabs>
                <w:tab w:val="left" w:pos="540"/>
              </w:tabs>
              <w:adjustRightInd w:val="0"/>
              <w:snapToGrid w:val="0"/>
              <w:spacing w:line="360" w:lineRule="auto"/>
              <w:jc w:val="left"/>
              <w:rPr>
                <w:rFonts w:asciiTheme="minorEastAsia" w:hAnsiTheme="minorEastAsia" w:cs="Arial"/>
                <w:sz w:val="24"/>
                <w:szCs w:val="24"/>
              </w:rPr>
            </w:pPr>
            <w:r>
              <w:rPr>
                <w:rFonts w:asciiTheme="minorEastAsia" w:hAnsiTheme="minorEastAsia" w:cs="Arial" w:hint="eastAsia"/>
                <w:sz w:val="24"/>
                <w:szCs w:val="24"/>
              </w:rPr>
              <w:t>客服电话：95352</w:t>
            </w:r>
          </w:p>
          <w:p w:rsidR="007D3786" w:rsidRDefault="007D3786" w:rsidP="0000032A">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网站：www.bsb.com.cn</w:t>
            </w:r>
          </w:p>
        </w:tc>
      </w:tr>
      <w:tr w:rsidR="007D3786" w:rsidTr="007D3786">
        <w:trPr>
          <w:trHeight w:val="510"/>
        </w:trPr>
        <w:tc>
          <w:tcPr>
            <w:tcW w:w="901" w:type="dxa"/>
          </w:tcPr>
          <w:p w:rsidR="007D3786" w:rsidRDefault="007D3786" w:rsidP="0000032A">
            <w:pPr>
              <w:spacing w:line="360" w:lineRule="auto"/>
              <w:jc w:val="center"/>
              <w:rPr>
                <w:rFonts w:ascii="宋体" w:hAnsi="宋体"/>
                <w:color w:val="000000"/>
                <w:kern w:val="0"/>
                <w:sz w:val="24"/>
              </w:rPr>
            </w:pPr>
            <w:r>
              <w:rPr>
                <w:rFonts w:ascii="宋体" w:hAnsi="宋体" w:hint="eastAsia"/>
                <w:color w:val="000000"/>
                <w:kern w:val="0"/>
                <w:sz w:val="24"/>
              </w:rPr>
              <w:t>2</w:t>
            </w:r>
          </w:p>
        </w:tc>
        <w:tc>
          <w:tcPr>
            <w:tcW w:w="3152" w:type="dxa"/>
          </w:tcPr>
          <w:p w:rsidR="007D3786" w:rsidRDefault="007D3786" w:rsidP="0000032A">
            <w:pPr>
              <w:spacing w:line="360" w:lineRule="auto"/>
              <w:jc w:val="center"/>
              <w:rPr>
                <w:rFonts w:ascii="宋体" w:hAnsi="宋体"/>
                <w:color w:val="000000"/>
                <w:kern w:val="0"/>
                <w:sz w:val="24"/>
              </w:rPr>
            </w:pPr>
            <w:r>
              <w:rPr>
                <w:rFonts w:asciiTheme="minorEastAsia" w:hAnsiTheme="minorEastAsia" w:cs="Arial" w:hint="eastAsia"/>
                <w:sz w:val="24"/>
                <w:szCs w:val="24"/>
              </w:rPr>
              <w:t>平安银行股份有限公司</w:t>
            </w:r>
          </w:p>
        </w:tc>
        <w:tc>
          <w:tcPr>
            <w:tcW w:w="4560" w:type="dxa"/>
          </w:tcPr>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注册（办公）地址：深圳市深南东路5047号深圳发展银行大厦</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客户服务电话：95511－3</w:t>
            </w:r>
          </w:p>
          <w:p w:rsidR="007D3786" w:rsidRDefault="007D3786" w:rsidP="0000032A">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网址：www.bank.pingan.com</w:t>
            </w:r>
          </w:p>
        </w:tc>
      </w:tr>
      <w:tr w:rsidR="007D3786" w:rsidTr="007D3786">
        <w:trPr>
          <w:trHeight w:val="510"/>
        </w:trPr>
        <w:tc>
          <w:tcPr>
            <w:tcW w:w="901" w:type="dxa"/>
          </w:tcPr>
          <w:p w:rsidR="007D3786" w:rsidRDefault="007D3786" w:rsidP="0000032A">
            <w:pPr>
              <w:spacing w:line="360" w:lineRule="auto"/>
              <w:jc w:val="center"/>
              <w:rPr>
                <w:rFonts w:ascii="宋体" w:hAnsi="宋体"/>
                <w:color w:val="000000"/>
                <w:kern w:val="0"/>
                <w:sz w:val="24"/>
              </w:rPr>
            </w:pPr>
            <w:r>
              <w:rPr>
                <w:rFonts w:ascii="宋体" w:hAnsi="宋体" w:hint="eastAsia"/>
                <w:color w:val="000000"/>
                <w:kern w:val="0"/>
                <w:sz w:val="24"/>
              </w:rPr>
              <w:t>3</w:t>
            </w:r>
          </w:p>
        </w:tc>
        <w:tc>
          <w:tcPr>
            <w:tcW w:w="3152" w:type="dxa"/>
          </w:tcPr>
          <w:p w:rsidR="007D3786" w:rsidRDefault="007D3786" w:rsidP="0000032A">
            <w:pPr>
              <w:spacing w:line="360" w:lineRule="auto"/>
              <w:jc w:val="center"/>
              <w:rPr>
                <w:rFonts w:ascii="宋体" w:hAnsi="宋体"/>
                <w:color w:val="000000"/>
                <w:kern w:val="0"/>
                <w:sz w:val="24"/>
              </w:rPr>
            </w:pPr>
            <w:r>
              <w:rPr>
                <w:rFonts w:asciiTheme="minorEastAsia" w:hAnsiTheme="minorEastAsia" w:cs="Arial" w:hint="eastAsia"/>
                <w:sz w:val="24"/>
                <w:szCs w:val="24"/>
              </w:rPr>
              <w:t>平安证券股份有限公司</w:t>
            </w:r>
          </w:p>
        </w:tc>
        <w:tc>
          <w:tcPr>
            <w:tcW w:w="4560" w:type="dxa"/>
          </w:tcPr>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 xml:space="preserve">注册（办公）地址：深圳市福田中心区金田路4036号荣超大厦16-20层 </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 xml:space="preserve">客户服务电话：95511-8 </w:t>
            </w:r>
          </w:p>
          <w:p w:rsidR="007D3786" w:rsidRDefault="007D3786" w:rsidP="0000032A">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网址：stock.pingan.com</w:t>
            </w:r>
          </w:p>
        </w:tc>
      </w:tr>
      <w:tr w:rsidR="007D3786" w:rsidTr="007D3786">
        <w:tc>
          <w:tcPr>
            <w:tcW w:w="901" w:type="dxa"/>
          </w:tcPr>
          <w:p w:rsidR="007D3786" w:rsidRDefault="007D3786" w:rsidP="0000032A">
            <w:pPr>
              <w:spacing w:line="360" w:lineRule="auto"/>
              <w:jc w:val="center"/>
              <w:rPr>
                <w:rFonts w:ascii="宋体" w:hAnsi="宋体"/>
                <w:color w:val="000000"/>
                <w:kern w:val="0"/>
                <w:sz w:val="24"/>
              </w:rPr>
            </w:pPr>
            <w:r>
              <w:rPr>
                <w:rFonts w:ascii="宋体" w:hAnsi="宋体" w:hint="eastAsia"/>
                <w:color w:val="000000"/>
                <w:kern w:val="0"/>
                <w:sz w:val="24"/>
              </w:rPr>
              <w:t>4</w:t>
            </w:r>
          </w:p>
        </w:tc>
        <w:tc>
          <w:tcPr>
            <w:tcW w:w="3152" w:type="dxa"/>
          </w:tcPr>
          <w:p w:rsidR="007D3786" w:rsidRDefault="007D3786" w:rsidP="0000032A">
            <w:pPr>
              <w:spacing w:line="360" w:lineRule="auto"/>
              <w:jc w:val="center"/>
              <w:rPr>
                <w:rFonts w:ascii="宋体" w:hAnsi="宋体"/>
                <w:color w:val="000000"/>
                <w:kern w:val="0"/>
                <w:sz w:val="24"/>
              </w:rPr>
            </w:pPr>
            <w:r>
              <w:rPr>
                <w:rFonts w:asciiTheme="minorEastAsia" w:hAnsiTheme="minorEastAsia" w:cs="Arial" w:hint="eastAsia"/>
                <w:sz w:val="24"/>
                <w:szCs w:val="24"/>
              </w:rPr>
              <w:t>中信建投证券股份有限公司</w:t>
            </w:r>
          </w:p>
        </w:tc>
        <w:tc>
          <w:tcPr>
            <w:tcW w:w="4560" w:type="dxa"/>
          </w:tcPr>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注册（办公）地址：北京市朝阳区安立路66号4号楼</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 4008888108/95587</w:t>
            </w:r>
          </w:p>
          <w:p w:rsidR="007D3786" w:rsidRDefault="007D3786" w:rsidP="0000032A">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网址：www.csc108.com</w:t>
            </w:r>
          </w:p>
        </w:tc>
      </w:tr>
      <w:tr w:rsidR="007D3786" w:rsidTr="007D3786">
        <w:tc>
          <w:tcPr>
            <w:tcW w:w="901" w:type="dxa"/>
          </w:tcPr>
          <w:p w:rsidR="007D3786" w:rsidRDefault="007D3786" w:rsidP="0000032A">
            <w:pPr>
              <w:spacing w:line="360" w:lineRule="auto"/>
              <w:jc w:val="center"/>
              <w:rPr>
                <w:rFonts w:ascii="宋体" w:hAnsi="宋体"/>
                <w:color w:val="000000"/>
                <w:kern w:val="0"/>
                <w:sz w:val="24"/>
              </w:rPr>
            </w:pPr>
            <w:r>
              <w:rPr>
                <w:rFonts w:ascii="宋体" w:hAnsi="宋体" w:hint="eastAsia"/>
                <w:color w:val="000000"/>
                <w:kern w:val="0"/>
                <w:sz w:val="24"/>
              </w:rPr>
              <w:t>5</w:t>
            </w:r>
          </w:p>
        </w:tc>
        <w:tc>
          <w:tcPr>
            <w:tcW w:w="3152" w:type="dxa"/>
          </w:tcPr>
          <w:p w:rsidR="007D3786" w:rsidRDefault="007D3786" w:rsidP="0000032A">
            <w:pPr>
              <w:spacing w:line="360" w:lineRule="auto"/>
              <w:jc w:val="center"/>
              <w:rPr>
                <w:rFonts w:asciiTheme="minorEastAsia" w:hAnsiTheme="minorEastAsia" w:cs="Arial"/>
                <w:sz w:val="24"/>
                <w:szCs w:val="24"/>
              </w:rPr>
            </w:pPr>
            <w:r>
              <w:rPr>
                <w:rFonts w:asciiTheme="minorEastAsia" w:hAnsiTheme="minorEastAsia" w:cs="Arial" w:hint="eastAsia"/>
                <w:sz w:val="24"/>
                <w:szCs w:val="24"/>
              </w:rPr>
              <w:t>联讯证券股份有限公司</w:t>
            </w:r>
          </w:p>
        </w:tc>
        <w:tc>
          <w:tcPr>
            <w:tcW w:w="4560" w:type="dxa"/>
          </w:tcPr>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办公地址：广东惠州市惠城区江北东江三</w:t>
            </w:r>
            <w:r>
              <w:rPr>
                <w:rFonts w:asciiTheme="minorEastAsia" w:hAnsiTheme="minorEastAsia" w:cs="Arial" w:hint="eastAsia"/>
                <w:sz w:val="24"/>
                <w:szCs w:val="24"/>
              </w:rPr>
              <w:lastRenderedPageBreak/>
              <w:t>路55号广播电视新闻中心西面一层大堂和三、四层</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客户服务电话：95564</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网址：www.lxsec.com</w:t>
            </w:r>
          </w:p>
        </w:tc>
      </w:tr>
      <w:tr w:rsidR="007D3786" w:rsidTr="007D3786">
        <w:tc>
          <w:tcPr>
            <w:tcW w:w="901" w:type="dxa"/>
          </w:tcPr>
          <w:p w:rsidR="007D3786" w:rsidRDefault="007D3786" w:rsidP="0000032A">
            <w:pPr>
              <w:spacing w:line="360" w:lineRule="auto"/>
              <w:jc w:val="center"/>
              <w:rPr>
                <w:rFonts w:ascii="宋体" w:hAnsi="宋体"/>
                <w:color w:val="000000"/>
                <w:kern w:val="0"/>
                <w:sz w:val="24"/>
              </w:rPr>
            </w:pPr>
            <w:r>
              <w:rPr>
                <w:rFonts w:ascii="宋体" w:hAnsi="宋体" w:hint="eastAsia"/>
                <w:color w:val="000000"/>
                <w:kern w:val="0"/>
                <w:sz w:val="24"/>
              </w:rPr>
              <w:lastRenderedPageBreak/>
              <w:t>6</w:t>
            </w:r>
          </w:p>
        </w:tc>
        <w:tc>
          <w:tcPr>
            <w:tcW w:w="3152" w:type="dxa"/>
          </w:tcPr>
          <w:p w:rsidR="007D3786" w:rsidRDefault="007D3786" w:rsidP="0000032A">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世纪证券有限责任公司</w:t>
            </w:r>
          </w:p>
        </w:tc>
        <w:tc>
          <w:tcPr>
            <w:tcW w:w="4560" w:type="dxa"/>
          </w:tcPr>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注册（办公）地址：深圳市福田区深南大道招商银行大厦40-42层</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客服电话：4008323000</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网站： http://www.csco.com.cn</w:t>
            </w:r>
          </w:p>
        </w:tc>
      </w:tr>
      <w:tr w:rsidR="007D3786" w:rsidTr="007D3786">
        <w:tc>
          <w:tcPr>
            <w:tcW w:w="901" w:type="dxa"/>
          </w:tcPr>
          <w:p w:rsidR="007D3786" w:rsidRDefault="007D3786" w:rsidP="0000032A">
            <w:pPr>
              <w:spacing w:line="360" w:lineRule="auto"/>
              <w:jc w:val="center"/>
              <w:rPr>
                <w:rFonts w:ascii="宋体" w:hAnsi="宋体"/>
                <w:color w:val="000000"/>
                <w:kern w:val="0"/>
                <w:sz w:val="24"/>
              </w:rPr>
            </w:pPr>
            <w:r>
              <w:rPr>
                <w:rFonts w:ascii="宋体" w:hAnsi="宋体" w:hint="eastAsia"/>
                <w:color w:val="000000"/>
                <w:kern w:val="0"/>
                <w:sz w:val="24"/>
              </w:rPr>
              <w:t>7</w:t>
            </w:r>
          </w:p>
        </w:tc>
        <w:tc>
          <w:tcPr>
            <w:tcW w:w="3152" w:type="dxa"/>
          </w:tcPr>
          <w:p w:rsidR="007D3786" w:rsidRDefault="007D3786" w:rsidP="0000032A">
            <w:pPr>
              <w:spacing w:line="360" w:lineRule="auto"/>
              <w:jc w:val="center"/>
              <w:rPr>
                <w:rFonts w:asciiTheme="minorEastAsia" w:hAnsiTheme="minorEastAsia" w:cs="Arial"/>
                <w:sz w:val="24"/>
                <w:szCs w:val="24"/>
              </w:rPr>
            </w:pPr>
            <w:r>
              <w:rPr>
                <w:rFonts w:asciiTheme="minorEastAsia" w:hAnsiTheme="minorEastAsia" w:cs="Arial" w:hint="eastAsia"/>
                <w:sz w:val="24"/>
                <w:szCs w:val="24"/>
              </w:rPr>
              <w:t>大泰金石基金销售有限公司</w:t>
            </w:r>
          </w:p>
        </w:tc>
        <w:tc>
          <w:tcPr>
            <w:tcW w:w="4560" w:type="dxa"/>
          </w:tcPr>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办公地址：上海市长宁区虹桥路1386号文广大厦15楼</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400-928-2266/021-22267995</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网址：www.dtfunds.com</w:t>
            </w:r>
          </w:p>
        </w:tc>
      </w:tr>
      <w:tr w:rsidR="007D3786" w:rsidTr="007D3786">
        <w:tc>
          <w:tcPr>
            <w:tcW w:w="901" w:type="dxa"/>
          </w:tcPr>
          <w:p w:rsidR="007D3786" w:rsidRDefault="007D3786" w:rsidP="0000032A">
            <w:pPr>
              <w:spacing w:line="360" w:lineRule="auto"/>
              <w:jc w:val="center"/>
              <w:rPr>
                <w:rFonts w:ascii="宋体" w:hAnsi="宋体"/>
                <w:color w:val="000000"/>
                <w:kern w:val="0"/>
                <w:sz w:val="24"/>
              </w:rPr>
            </w:pPr>
            <w:r>
              <w:rPr>
                <w:rFonts w:ascii="宋体" w:hAnsi="宋体" w:hint="eastAsia"/>
                <w:color w:val="000000"/>
                <w:kern w:val="0"/>
                <w:sz w:val="24"/>
              </w:rPr>
              <w:t>8</w:t>
            </w:r>
          </w:p>
        </w:tc>
        <w:tc>
          <w:tcPr>
            <w:tcW w:w="3152" w:type="dxa"/>
          </w:tcPr>
          <w:p w:rsidR="007D3786" w:rsidRDefault="007D3786" w:rsidP="0000032A">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上海基煜基金销售有限公司</w:t>
            </w:r>
          </w:p>
        </w:tc>
        <w:tc>
          <w:tcPr>
            <w:tcW w:w="4560" w:type="dxa"/>
          </w:tcPr>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办公地址：上海市杨浦区昆明路518号A1002室</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客户服务电话：4008205369</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网址：www.jiyufund.com.cn</w:t>
            </w:r>
          </w:p>
        </w:tc>
      </w:tr>
      <w:tr w:rsidR="007D3786" w:rsidTr="007D3786">
        <w:tc>
          <w:tcPr>
            <w:tcW w:w="901" w:type="dxa"/>
          </w:tcPr>
          <w:p w:rsidR="007D3786" w:rsidRDefault="007D3786" w:rsidP="0000032A">
            <w:pPr>
              <w:spacing w:line="360" w:lineRule="auto"/>
              <w:jc w:val="center"/>
              <w:rPr>
                <w:rFonts w:ascii="宋体" w:hAnsi="宋体"/>
                <w:color w:val="000000"/>
                <w:kern w:val="0"/>
                <w:sz w:val="24"/>
              </w:rPr>
            </w:pPr>
            <w:r>
              <w:rPr>
                <w:rFonts w:ascii="宋体" w:hAnsi="宋体" w:hint="eastAsia"/>
                <w:color w:val="000000"/>
                <w:kern w:val="0"/>
                <w:sz w:val="24"/>
              </w:rPr>
              <w:t>9</w:t>
            </w:r>
          </w:p>
        </w:tc>
        <w:tc>
          <w:tcPr>
            <w:tcW w:w="3152" w:type="dxa"/>
          </w:tcPr>
          <w:p w:rsidR="007D3786" w:rsidRDefault="007D3786" w:rsidP="0000032A">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上海好买基金销售有限公司</w:t>
            </w:r>
          </w:p>
        </w:tc>
        <w:tc>
          <w:tcPr>
            <w:tcW w:w="4560" w:type="dxa"/>
          </w:tcPr>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办公地址：上海市浦东南路1118号鄂尔多斯国际大厦9楼</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 xml:space="preserve">客户服务电话：4007009665 </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网址：www.ehowbuy.com</w:t>
            </w:r>
          </w:p>
        </w:tc>
      </w:tr>
      <w:tr w:rsidR="007D3786" w:rsidTr="007D3786">
        <w:tc>
          <w:tcPr>
            <w:tcW w:w="901" w:type="dxa"/>
          </w:tcPr>
          <w:p w:rsidR="007D3786" w:rsidRDefault="007D3786" w:rsidP="0000032A">
            <w:pPr>
              <w:spacing w:line="360" w:lineRule="auto"/>
              <w:jc w:val="center"/>
              <w:rPr>
                <w:rFonts w:ascii="宋体" w:hAnsi="宋体"/>
                <w:color w:val="000000"/>
                <w:kern w:val="0"/>
                <w:sz w:val="24"/>
              </w:rPr>
            </w:pPr>
            <w:r>
              <w:rPr>
                <w:rFonts w:ascii="宋体" w:hAnsi="宋体" w:hint="eastAsia"/>
                <w:color w:val="000000"/>
                <w:kern w:val="0"/>
                <w:sz w:val="24"/>
              </w:rPr>
              <w:t>10</w:t>
            </w:r>
          </w:p>
        </w:tc>
        <w:tc>
          <w:tcPr>
            <w:tcW w:w="3152" w:type="dxa"/>
          </w:tcPr>
          <w:p w:rsidR="007D3786" w:rsidRDefault="007D3786" w:rsidP="0000032A">
            <w:pPr>
              <w:spacing w:line="360" w:lineRule="auto"/>
              <w:jc w:val="center"/>
              <w:rPr>
                <w:rFonts w:asciiTheme="minorEastAsia" w:hAnsiTheme="minorEastAsia" w:cs="Arial"/>
                <w:sz w:val="24"/>
                <w:szCs w:val="24"/>
              </w:rPr>
            </w:pPr>
            <w:r>
              <w:rPr>
                <w:rFonts w:asciiTheme="minorEastAsia" w:hAnsiTheme="minorEastAsia" w:cs="Arial" w:hint="eastAsia"/>
                <w:sz w:val="24"/>
                <w:szCs w:val="24"/>
              </w:rPr>
              <w:t>北京肯特瑞财富投资管理有限公司</w:t>
            </w:r>
          </w:p>
        </w:tc>
        <w:tc>
          <w:tcPr>
            <w:tcW w:w="4560" w:type="dxa"/>
          </w:tcPr>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 北京市亦庄经济开发区科创十一街18号院A座17层</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客户服务电话：95118</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网址：www.fund.jd.com</w:t>
            </w:r>
          </w:p>
        </w:tc>
      </w:tr>
      <w:tr w:rsidR="007D3786" w:rsidTr="007D3786">
        <w:tc>
          <w:tcPr>
            <w:tcW w:w="901" w:type="dxa"/>
          </w:tcPr>
          <w:p w:rsidR="007D3786" w:rsidRDefault="007D3786" w:rsidP="0000032A">
            <w:pPr>
              <w:spacing w:line="360" w:lineRule="auto"/>
              <w:jc w:val="center"/>
              <w:rPr>
                <w:rFonts w:ascii="宋体" w:hAnsi="宋体"/>
                <w:color w:val="000000"/>
                <w:kern w:val="0"/>
                <w:sz w:val="24"/>
              </w:rPr>
            </w:pPr>
            <w:r>
              <w:rPr>
                <w:rFonts w:ascii="宋体" w:hAnsi="宋体" w:hint="eastAsia"/>
                <w:color w:val="000000"/>
                <w:kern w:val="0"/>
                <w:sz w:val="24"/>
              </w:rPr>
              <w:t>11</w:t>
            </w:r>
          </w:p>
        </w:tc>
        <w:tc>
          <w:tcPr>
            <w:tcW w:w="3152" w:type="dxa"/>
          </w:tcPr>
          <w:p w:rsidR="007D3786" w:rsidRDefault="007D3786" w:rsidP="0000032A">
            <w:pPr>
              <w:spacing w:line="360" w:lineRule="auto"/>
              <w:jc w:val="center"/>
              <w:rPr>
                <w:rFonts w:asciiTheme="minorEastAsia" w:hAnsiTheme="minorEastAsia" w:cs="Arial"/>
                <w:sz w:val="24"/>
                <w:szCs w:val="24"/>
              </w:rPr>
            </w:pPr>
            <w:r>
              <w:rPr>
                <w:rFonts w:asciiTheme="minorEastAsia" w:hAnsiTheme="minorEastAsia" w:cs="Arial" w:hint="eastAsia"/>
                <w:sz w:val="24"/>
                <w:szCs w:val="24"/>
              </w:rPr>
              <w:t>蚂蚁（杭州）基金销售有限公司</w:t>
            </w:r>
          </w:p>
        </w:tc>
        <w:tc>
          <w:tcPr>
            <w:tcW w:w="4560" w:type="dxa"/>
          </w:tcPr>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 xml:space="preserve">办公地址：浙江省杭州市西湖区万塘路18号黄龙时代广场B座6F </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客户服务电话：4000-766-123</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网址：www.fund123.cn</w:t>
            </w:r>
          </w:p>
        </w:tc>
      </w:tr>
      <w:tr w:rsidR="007D3786" w:rsidTr="007D3786">
        <w:tc>
          <w:tcPr>
            <w:tcW w:w="901" w:type="dxa"/>
          </w:tcPr>
          <w:p w:rsidR="007D3786" w:rsidRDefault="007D3786" w:rsidP="0000032A">
            <w:pPr>
              <w:spacing w:line="360" w:lineRule="auto"/>
              <w:jc w:val="center"/>
              <w:rPr>
                <w:rFonts w:ascii="宋体" w:hAnsi="宋体"/>
                <w:color w:val="000000"/>
                <w:kern w:val="0"/>
                <w:sz w:val="24"/>
              </w:rPr>
            </w:pPr>
            <w:r>
              <w:rPr>
                <w:rFonts w:ascii="宋体" w:hAnsi="宋体" w:hint="eastAsia"/>
                <w:color w:val="000000"/>
                <w:kern w:val="0"/>
                <w:sz w:val="24"/>
              </w:rPr>
              <w:lastRenderedPageBreak/>
              <w:t>12</w:t>
            </w:r>
          </w:p>
        </w:tc>
        <w:tc>
          <w:tcPr>
            <w:tcW w:w="3152" w:type="dxa"/>
          </w:tcPr>
          <w:p w:rsidR="007D3786" w:rsidRDefault="007D3786" w:rsidP="0000032A">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浙江同花顺基金销售有限公司</w:t>
            </w:r>
          </w:p>
        </w:tc>
        <w:tc>
          <w:tcPr>
            <w:tcW w:w="4560" w:type="dxa"/>
          </w:tcPr>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办公地址：浙江省杭州市翠柏路7号杭州电子商务产业园2楼</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客服电话：4008-773-772 /0571-88920897</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网址：www.5ifund.com</w:t>
            </w:r>
          </w:p>
        </w:tc>
      </w:tr>
      <w:tr w:rsidR="007D3786" w:rsidTr="007D3786">
        <w:tc>
          <w:tcPr>
            <w:tcW w:w="901" w:type="dxa"/>
          </w:tcPr>
          <w:p w:rsidR="007D3786" w:rsidRDefault="007D3786" w:rsidP="0000032A">
            <w:pPr>
              <w:spacing w:line="360" w:lineRule="auto"/>
              <w:jc w:val="center"/>
              <w:rPr>
                <w:rFonts w:ascii="宋体" w:hAnsi="宋体"/>
                <w:color w:val="000000"/>
                <w:kern w:val="0"/>
                <w:sz w:val="24"/>
              </w:rPr>
            </w:pPr>
            <w:r>
              <w:rPr>
                <w:rFonts w:ascii="宋体" w:hAnsi="宋体" w:hint="eastAsia"/>
                <w:color w:val="000000"/>
                <w:kern w:val="0"/>
                <w:sz w:val="24"/>
              </w:rPr>
              <w:t>13</w:t>
            </w:r>
          </w:p>
        </w:tc>
        <w:tc>
          <w:tcPr>
            <w:tcW w:w="3152" w:type="dxa"/>
          </w:tcPr>
          <w:p w:rsidR="007D3786" w:rsidRDefault="007D3786" w:rsidP="0000032A">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上海陆金所资产管理有限公司</w:t>
            </w:r>
          </w:p>
        </w:tc>
        <w:tc>
          <w:tcPr>
            <w:tcW w:w="4560" w:type="dxa"/>
          </w:tcPr>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办公地址：上海市浦东新区陆家嘴环路1333号14楼</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客户服务电话：4008219031</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网址：www.lufunds.com</w:t>
            </w:r>
          </w:p>
        </w:tc>
      </w:tr>
      <w:tr w:rsidR="007D3786" w:rsidTr="007D3786">
        <w:tc>
          <w:tcPr>
            <w:tcW w:w="901" w:type="dxa"/>
          </w:tcPr>
          <w:p w:rsidR="007D3786" w:rsidRDefault="007D3786" w:rsidP="0000032A">
            <w:pPr>
              <w:spacing w:line="360" w:lineRule="auto"/>
              <w:jc w:val="center"/>
              <w:rPr>
                <w:rFonts w:ascii="宋体" w:hAnsi="宋体"/>
                <w:color w:val="000000"/>
                <w:kern w:val="0"/>
                <w:sz w:val="24"/>
              </w:rPr>
            </w:pPr>
            <w:r>
              <w:rPr>
                <w:rFonts w:ascii="宋体" w:hAnsi="宋体" w:hint="eastAsia"/>
                <w:color w:val="000000"/>
                <w:kern w:val="0"/>
                <w:sz w:val="24"/>
              </w:rPr>
              <w:t>14</w:t>
            </w:r>
          </w:p>
        </w:tc>
        <w:tc>
          <w:tcPr>
            <w:tcW w:w="3152" w:type="dxa"/>
          </w:tcPr>
          <w:p w:rsidR="007D3786" w:rsidRDefault="007D3786" w:rsidP="0000032A">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上海联泰资产管理有限公司</w:t>
            </w:r>
          </w:p>
        </w:tc>
        <w:tc>
          <w:tcPr>
            <w:tcW w:w="4560" w:type="dxa"/>
          </w:tcPr>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办公地址：上海市长宁区金钟路658号2号楼B座6楼</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客户服务电话：400-046-6788</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网址：www.66zichan.com</w:t>
            </w:r>
          </w:p>
        </w:tc>
      </w:tr>
      <w:tr w:rsidR="007D3786" w:rsidTr="007D3786">
        <w:tc>
          <w:tcPr>
            <w:tcW w:w="901" w:type="dxa"/>
          </w:tcPr>
          <w:p w:rsidR="007D3786" w:rsidRDefault="007D3786" w:rsidP="0000032A">
            <w:pPr>
              <w:spacing w:line="360" w:lineRule="auto"/>
              <w:jc w:val="center"/>
              <w:rPr>
                <w:rFonts w:ascii="宋体" w:hAnsi="宋体"/>
                <w:color w:val="000000"/>
                <w:kern w:val="0"/>
                <w:sz w:val="24"/>
              </w:rPr>
            </w:pPr>
            <w:r>
              <w:rPr>
                <w:rFonts w:ascii="宋体" w:hAnsi="宋体" w:hint="eastAsia"/>
                <w:color w:val="000000"/>
                <w:kern w:val="0"/>
                <w:sz w:val="24"/>
              </w:rPr>
              <w:t>15</w:t>
            </w:r>
          </w:p>
        </w:tc>
        <w:tc>
          <w:tcPr>
            <w:tcW w:w="3152" w:type="dxa"/>
          </w:tcPr>
          <w:p w:rsidR="007D3786" w:rsidRDefault="007D3786" w:rsidP="0000032A">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上海天天基金销售有限公司</w:t>
            </w:r>
          </w:p>
        </w:tc>
        <w:tc>
          <w:tcPr>
            <w:tcW w:w="4560" w:type="dxa"/>
          </w:tcPr>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办公地址：上海市徐汇区宛平南路88号金座（北楼）25层</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客服电话：400-1818-188</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网址：http://www.1234567.com.cn</w:t>
            </w:r>
          </w:p>
        </w:tc>
      </w:tr>
      <w:tr w:rsidR="007D3786" w:rsidTr="007D3786">
        <w:tc>
          <w:tcPr>
            <w:tcW w:w="901" w:type="dxa"/>
          </w:tcPr>
          <w:p w:rsidR="007D3786" w:rsidRDefault="007D3786" w:rsidP="0000032A">
            <w:pPr>
              <w:spacing w:line="360" w:lineRule="auto"/>
              <w:jc w:val="center"/>
              <w:rPr>
                <w:rFonts w:ascii="宋体" w:hAnsi="宋体"/>
                <w:color w:val="000000"/>
                <w:kern w:val="0"/>
                <w:sz w:val="24"/>
              </w:rPr>
            </w:pPr>
            <w:r>
              <w:rPr>
                <w:rFonts w:ascii="宋体" w:hAnsi="宋体" w:hint="eastAsia"/>
                <w:color w:val="000000"/>
                <w:kern w:val="0"/>
                <w:sz w:val="24"/>
              </w:rPr>
              <w:t>16</w:t>
            </w:r>
          </w:p>
        </w:tc>
        <w:tc>
          <w:tcPr>
            <w:tcW w:w="3152" w:type="dxa"/>
          </w:tcPr>
          <w:p w:rsidR="007D3786" w:rsidRDefault="007D3786" w:rsidP="0000032A">
            <w:pPr>
              <w:spacing w:line="360" w:lineRule="auto"/>
              <w:jc w:val="center"/>
              <w:rPr>
                <w:rFonts w:asciiTheme="minorEastAsia" w:hAnsiTheme="minorEastAsia" w:cs="Arial"/>
                <w:sz w:val="24"/>
                <w:szCs w:val="24"/>
              </w:rPr>
            </w:pPr>
            <w:r>
              <w:rPr>
                <w:rFonts w:asciiTheme="minorEastAsia" w:hAnsiTheme="minorEastAsia" w:cs="Arial" w:hint="eastAsia"/>
                <w:sz w:val="24"/>
                <w:szCs w:val="24"/>
              </w:rPr>
              <w:t>珠海盈米财富管理有限公司</w:t>
            </w:r>
          </w:p>
        </w:tc>
        <w:tc>
          <w:tcPr>
            <w:tcW w:w="4560" w:type="dxa"/>
          </w:tcPr>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办公地址：广州市海珠区琶洲大道东1号保利国际广场南塔12楼B1201-1203</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客户服务电话：020-89629066</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网址：www.yingmi.cn</w:t>
            </w:r>
          </w:p>
        </w:tc>
      </w:tr>
      <w:tr w:rsidR="007D3786" w:rsidTr="007D3786">
        <w:tc>
          <w:tcPr>
            <w:tcW w:w="901" w:type="dxa"/>
          </w:tcPr>
          <w:p w:rsidR="007D3786" w:rsidRDefault="007D3786" w:rsidP="0000032A">
            <w:pPr>
              <w:spacing w:line="360" w:lineRule="auto"/>
              <w:jc w:val="center"/>
              <w:rPr>
                <w:rFonts w:ascii="宋体" w:hAnsi="宋体"/>
                <w:color w:val="000000"/>
                <w:kern w:val="0"/>
                <w:sz w:val="24"/>
              </w:rPr>
            </w:pPr>
            <w:r>
              <w:rPr>
                <w:rFonts w:ascii="宋体" w:hAnsi="宋体" w:hint="eastAsia"/>
                <w:color w:val="000000"/>
                <w:kern w:val="0"/>
                <w:sz w:val="24"/>
              </w:rPr>
              <w:t>17</w:t>
            </w:r>
          </w:p>
        </w:tc>
        <w:tc>
          <w:tcPr>
            <w:tcW w:w="3152" w:type="dxa"/>
          </w:tcPr>
          <w:p w:rsidR="007D3786" w:rsidRDefault="007D3786" w:rsidP="0000032A">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上海长量基金销售投资顾问有限公司</w:t>
            </w:r>
          </w:p>
          <w:p w:rsidR="007D3786" w:rsidRDefault="007D3786" w:rsidP="0000032A">
            <w:pPr>
              <w:spacing w:line="360" w:lineRule="auto"/>
              <w:jc w:val="center"/>
              <w:rPr>
                <w:rFonts w:asciiTheme="minorEastAsia" w:hAnsiTheme="minorEastAsia" w:cs="Arial"/>
                <w:sz w:val="24"/>
                <w:szCs w:val="24"/>
              </w:rPr>
            </w:pPr>
          </w:p>
        </w:tc>
        <w:tc>
          <w:tcPr>
            <w:tcW w:w="4560" w:type="dxa"/>
          </w:tcPr>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办公地址：上海市浦东新区东方路1267号11层</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客服电话：400-820-2899</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网址：www.erichfund.com</w:t>
            </w:r>
          </w:p>
        </w:tc>
      </w:tr>
      <w:tr w:rsidR="007D3786" w:rsidTr="007D3786">
        <w:tc>
          <w:tcPr>
            <w:tcW w:w="901" w:type="dxa"/>
          </w:tcPr>
          <w:p w:rsidR="007D3786" w:rsidRDefault="007D3786" w:rsidP="0000032A">
            <w:pPr>
              <w:spacing w:line="360" w:lineRule="auto"/>
              <w:jc w:val="center"/>
              <w:rPr>
                <w:rFonts w:ascii="宋体" w:hAnsi="宋体"/>
                <w:color w:val="000000"/>
                <w:kern w:val="0"/>
                <w:sz w:val="24"/>
              </w:rPr>
            </w:pPr>
            <w:r>
              <w:rPr>
                <w:rFonts w:ascii="宋体" w:hAnsi="宋体" w:hint="eastAsia"/>
                <w:color w:val="000000"/>
                <w:kern w:val="0"/>
                <w:sz w:val="24"/>
              </w:rPr>
              <w:t>18</w:t>
            </w:r>
          </w:p>
        </w:tc>
        <w:tc>
          <w:tcPr>
            <w:tcW w:w="3152" w:type="dxa"/>
          </w:tcPr>
          <w:p w:rsidR="007D3786" w:rsidRDefault="007D3786" w:rsidP="0000032A">
            <w:pPr>
              <w:spacing w:line="360" w:lineRule="auto"/>
              <w:jc w:val="center"/>
              <w:rPr>
                <w:rFonts w:asciiTheme="minorEastAsia" w:hAnsiTheme="minorEastAsia" w:cs="Arial"/>
                <w:sz w:val="24"/>
                <w:szCs w:val="24"/>
              </w:rPr>
            </w:pPr>
            <w:r>
              <w:rPr>
                <w:rFonts w:asciiTheme="minorEastAsia" w:hAnsiTheme="minorEastAsia" w:cs="Arial" w:hint="eastAsia"/>
                <w:sz w:val="24"/>
                <w:szCs w:val="24"/>
              </w:rPr>
              <w:t>北京汇成基金销售有限公司</w:t>
            </w:r>
          </w:p>
        </w:tc>
        <w:tc>
          <w:tcPr>
            <w:tcW w:w="4560" w:type="dxa"/>
          </w:tcPr>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注册地址：北京市海淀区中关村大街11号11层1108</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客户服务电话：4006199059</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网址：www.hcjijin.com</w:t>
            </w:r>
          </w:p>
        </w:tc>
      </w:tr>
      <w:tr w:rsidR="007D3786" w:rsidTr="007D3786">
        <w:tc>
          <w:tcPr>
            <w:tcW w:w="901" w:type="dxa"/>
          </w:tcPr>
          <w:p w:rsidR="007D3786" w:rsidRDefault="007D3786" w:rsidP="0000032A">
            <w:pPr>
              <w:spacing w:line="360" w:lineRule="auto"/>
              <w:jc w:val="center"/>
              <w:rPr>
                <w:rFonts w:ascii="宋体" w:hAnsi="宋体"/>
                <w:color w:val="000000"/>
                <w:kern w:val="0"/>
                <w:sz w:val="24"/>
              </w:rPr>
            </w:pPr>
            <w:r>
              <w:rPr>
                <w:rFonts w:ascii="宋体" w:hAnsi="宋体" w:hint="eastAsia"/>
                <w:color w:val="000000"/>
                <w:kern w:val="0"/>
                <w:sz w:val="24"/>
              </w:rPr>
              <w:t>19</w:t>
            </w:r>
          </w:p>
        </w:tc>
        <w:tc>
          <w:tcPr>
            <w:tcW w:w="3152" w:type="dxa"/>
          </w:tcPr>
          <w:p w:rsidR="007D3786" w:rsidRDefault="007D3786" w:rsidP="0000032A">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深圳市新兰德证券投资咨询</w:t>
            </w:r>
            <w:r>
              <w:rPr>
                <w:rFonts w:asciiTheme="minorEastAsia" w:hAnsiTheme="minorEastAsia" w:cs="Arial" w:hint="eastAsia"/>
                <w:sz w:val="24"/>
                <w:szCs w:val="24"/>
              </w:rPr>
              <w:lastRenderedPageBreak/>
              <w:t>有限公司</w:t>
            </w:r>
          </w:p>
        </w:tc>
        <w:tc>
          <w:tcPr>
            <w:tcW w:w="4560" w:type="dxa"/>
          </w:tcPr>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lastRenderedPageBreak/>
              <w:t>办公地址：北京市西城区宣武门外大街10</w:t>
            </w:r>
            <w:r>
              <w:rPr>
                <w:rFonts w:asciiTheme="minorEastAsia" w:hAnsiTheme="minorEastAsia" w:cs="Arial" w:hint="eastAsia"/>
                <w:sz w:val="24"/>
                <w:szCs w:val="24"/>
              </w:rPr>
              <w:lastRenderedPageBreak/>
              <w:t>号庄胜广场中央办公楼东翼7层</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客户服务电话：400-166-1188</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t>
            </w:r>
            <w:r w:rsidRPr="007D3786">
              <w:rPr>
                <w:rFonts w:asciiTheme="minorEastAsia" w:hAnsiTheme="minorEastAsia" w:cs="Arial"/>
                <w:sz w:val="24"/>
                <w:szCs w:val="24"/>
              </w:rPr>
              <w:t>http://www.new-rand.cn/</w:t>
            </w:r>
          </w:p>
        </w:tc>
      </w:tr>
      <w:tr w:rsidR="007D3786" w:rsidTr="007D3786">
        <w:tc>
          <w:tcPr>
            <w:tcW w:w="901" w:type="dxa"/>
          </w:tcPr>
          <w:p w:rsidR="007D3786" w:rsidRDefault="007D3786" w:rsidP="0000032A">
            <w:pPr>
              <w:spacing w:line="360" w:lineRule="auto"/>
              <w:jc w:val="center"/>
              <w:rPr>
                <w:rFonts w:ascii="宋体" w:hAnsi="宋体"/>
                <w:color w:val="000000"/>
                <w:kern w:val="0"/>
                <w:sz w:val="24"/>
              </w:rPr>
            </w:pPr>
            <w:r>
              <w:rPr>
                <w:rFonts w:ascii="宋体" w:hAnsi="宋体" w:hint="eastAsia"/>
                <w:color w:val="000000"/>
                <w:kern w:val="0"/>
                <w:sz w:val="24"/>
              </w:rPr>
              <w:lastRenderedPageBreak/>
              <w:t>20</w:t>
            </w:r>
          </w:p>
        </w:tc>
        <w:tc>
          <w:tcPr>
            <w:tcW w:w="3152" w:type="dxa"/>
          </w:tcPr>
          <w:p w:rsidR="007D3786" w:rsidRDefault="007D3786" w:rsidP="0000032A">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泰诚财富基金销售（大连）有限公司</w:t>
            </w:r>
          </w:p>
        </w:tc>
        <w:tc>
          <w:tcPr>
            <w:tcW w:w="4560" w:type="dxa"/>
          </w:tcPr>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注册（办公）地址：辽宁省大连市沙河口区星海中龙园3号</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客户服务电话：4006411999</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网址：www.taichengcaifu.com</w:t>
            </w:r>
          </w:p>
        </w:tc>
      </w:tr>
      <w:tr w:rsidR="007D3786" w:rsidTr="007D3786">
        <w:tc>
          <w:tcPr>
            <w:tcW w:w="901" w:type="dxa"/>
          </w:tcPr>
          <w:p w:rsidR="007D3786" w:rsidRDefault="007D3786" w:rsidP="0000032A">
            <w:pPr>
              <w:spacing w:line="360" w:lineRule="auto"/>
              <w:jc w:val="center"/>
              <w:rPr>
                <w:rFonts w:ascii="宋体" w:hAnsi="宋体"/>
                <w:color w:val="000000"/>
                <w:kern w:val="0"/>
                <w:sz w:val="24"/>
              </w:rPr>
            </w:pPr>
            <w:r>
              <w:rPr>
                <w:rFonts w:ascii="宋体" w:hAnsi="宋体" w:hint="eastAsia"/>
                <w:color w:val="000000"/>
                <w:kern w:val="0"/>
                <w:sz w:val="24"/>
              </w:rPr>
              <w:t>21</w:t>
            </w:r>
          </w:p>
        </w:tc>
        <w:tc>
          <w:tcPr>
            <w:tcW w:w="3152" w:type="dxa"/>
          </w:tcPr>
          <w:p w:rsidR="007D3786" w:rsidRDefault="007D3786" w:rsidP="0000032A">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济安财富（北京）基金销售有限公司</w:t>
            </w:r>
          </w:p>
        </w:tc>
        <w:tc>
          <w:tcPr>
            <w:tcW w:w="4560" w:type="dxa"/>
          </w:tcPr>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w:t>
            </w:r>
            <w:r>
              <w:rPr>
                <w:rFonts w:asciiTheme="minorEastAsia" w:hAnsiTheme="minorEastAsia" w:cs="Arial" w:hint="eastAsia"/>
                <w:sz w:val="24"/>
                <w:szCs w:val="24"/>
              </w:rPr>
              <w:t>办公</w:t>
            </w:r>
            <w:r>
              <w:rPr>
                <w:rFonts w:asciiTheme="minorEastAsia" w:hAnsiTheme="minorEastAsia" w:cs="Arial"/>
                <w:sz w:val="24"/>
                <w:szCs w:val="24"/>
              </w:rPr>
              <w:t>)</w:t>
            </w:r>
            <w:r>
              <w:rPr>
                <w:rFonts w:asciiTheme="minorEastAsia" w:hAnsiTheme="minorEastAsia" w:cs="Arial" w:hint="eastAsia"/>
                <w:sz w:val="24"/>
                <w:szCs w:val="24"/>
              </w:rPr>
              <w:t>地址：北京市朝阳区太阳宫中路</w:t>
            </w:r>
            <w:r>
              <w:rPr>
                <w:rFonts w:asciiTheme="minorEastAsia" w:hAnsiTheme="minorEastAsia" w:cs="Arial"/>
                <w:sz w:val="24"/>
                <w:szCs w:val="24"/>
              </w:rPr>
              <w:t>16</w:t>
            </w:r>
            <w:r>
              <w:rPr>
                <w:rFonts w:asciiTheme="minorEastAsia" w:hAnsiTheme="minorEastAsia" w:cs="Arial" w:hint="eastAsia"/>
                <w:sz w:val="24"/>
                <w:szCs w:val="24"/>
              </w:rPr>
              <w:t>号院</w:t>
            </w:r>
            <w:r>
              <w:rPr>
                <w:rFonts w:asciiTheme="minorEastAsia" w:hAnsiTheme="minorEastAsia" w:cs="Arial"/>
                <w:sz w:val="24"/>
                <w:szCs w:val="24"/>
              </w:rPr>
              <w:t>1</w:t>
            </w:r>
            <w:r>
              <w:rPr>
                <w:rFonts w:asciiTheme="minorEastAsia" w:hAnsiTheme="minorEastAsia" w:cs="Arial" w:hint="eastAsia"/>
                <w:sz w:val="24"/>
                <w:szCs w:val="24"/>
              </w:rPr>
              <w:t>号楼</w:t>
            </w:r>
            <w:r>
              <w:rPr>
                <w:rFonts w:asciiTheme="minorEastAsia" w:hAnsiTheme="minorEastAsia" w:cs="Arial"/>
                <w:sz w:val="24"/>
                <w:szCs w:val="24"/>
              </w:rPr>
              <w:t>3</w:t>
            </w:r>
            <w:r>
              <w:rPr>
                <w:rFonts w:asciiTheme="minorEastAsia" w:hAnsiTheme="minorEastAsia" w:cs="Arial" w:hint="eastAsia"/>
                <w:sz w:val="24"/>
                <w:szCs w:val="24"/>
              </w:rPr>
              <w:t>层</w:t>
            </w:r>
            <w:r>
              <w:rPr>
                <w:rFonts w:asciiTheme="minorEastAsia" w:hAnsiTheme="minorEastAsia" w:cs="Arial"/>
                <w:sz w:val="24"/>
                <w:szCs w:val="24"/>
              </w:rPr>
              <w:t>307</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400-673-7010</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t>
            </w:r>
            <w:hyperlink r:id="rId12" w:history="1">
              <w:r>
                <w:rPr>
                  <w:rFonts w:asciiTheme="minorEastAsia" w:hAnsiTheme="minorEastAsia"/>
                  <w:sz w:val="24"/>
                  <w:szCs w:val="24"/>
                </w:rPr>
                <w:t>www.jianfortune.com</w:t>
              </w:r>
            </w:hyperlink>
          </w:p>
        </w:tc>
      </w:tr>
      <w:tr w:rsidR="007D3786" w:rsidTr="007D3786">
        <w:tc>
          <w:tcPr>
            <w:tcW w:w="901" w:type="dxa"/>
          </w:tcPr>
          <w:p w:rsidR="007D3786" w:rsidRDefault="007D3786" w:rsidP="0000032A">
            <w:pPr>
              <w:spacing w:line="360" w:lineRule="auto"/>
              <w:jc w:val="center"/>
              <w:rPr>
                <w:rFonts w:ascii="宋体" w:hAnsi="宋体"/>
                <w:color w:val="000000"/>
                <w:kern w:val="0"/>
                <w:sz w:val="24"/>
              </w:rPr>
            </w:pPr>
            <w:r>
              <w:rPr>
                <w:rFonts w:ascii="宋体" w:hAnsi="宋体" w:hint="eastAsia"/>
                <w:color w:val="000000"/>
                <w:kern w:val="0"/>
                <w:sz w:val="24"/>
              </w:rPr>
              <w:t>22</w:t>
            </w:r>
          </w:p>
        </w:tc>
        <w:tc>
          <w:tcPr>
            <w:tcW w:w="3152" w:type="dxa"/>
          </w:tcPr>
          <w:p w:rsidR="007D3786" w:rsidRDefault="007D3786" w:rsidP="0000032A">
            <w:pPr>
              <w:spacing w:line="360" w:lineRule="auto"/>
              <w:jc w:val="center"/>
              <w:rPr>
                <w:rFonts w:asciiTheme="minorEastAsia" w:hAnsiTheme="minorEastAsia" w:cs="Arial"/>
                <w:sz w:val="24"/>
                <w:szCs w:val="24"/>
              </w:rPr>
            </w:pPr>
            <w:r w:rsidRPr="00DF2DA9">
              <w:rPr>
                <w:rFonts w:asciiTheme="minorEastAsia" w:hAnsiTheme="minorEastAsia" w:cs="Arial" w:hint="eastAsia"/>
                <w:sz w:val="24"/>
                <w:szCs w:val="24"/>
              </w:rPr>
              <w:t>金惠家保险代理有限公司</w:t>
            </w:r>
          </w:p>
        </w:tc>
        <w:tc>
          <w:tcPr>
            <w:tcW w:w="4560" w:type="dxa"/>
          </w:tcPr>
          <w:p w:rsidR="007D3786" w:rsidRPr="00DF2DA9" w:rsidRDefault="007D3786" w:rsidP="0000032A">
            <w:pPr>
              <w:tabs>
                <w:tab w:val="left" w:pos="540"/>
              </w:tabs>
              <w:adjustRightInd w:val="0"/>
              <w:snapToGrid w:val="0"/>
              <w:spacing w:line="360" w:lineRule="auto"/>
              <w:rPr>
                <w:rFonts w:asciiTheme="minorEastAsia" w:hAnsiTheme="minorEastAsia" w:cs="Arial"/>
                <w:sz w:val="24"/>
                <w:szCs w:val="24"/>
              </w:rPr>
            </w:pPr>
            <w:r w:rsidRPr="00DF2DA9">
              <w:rPr>
                <w:rFonts w:asciiTheme="minorEastAsia" w:hAnsiTheme="minorEastAsia" w:cs="Arial" w:hint="eastAsia"/>
                <w:sz w:val="24"/>
                <w:szCs w:val="24"/>
              </w:rPr>
              <w:t>注册(办公)地址：北京市西城区阜成门外大街2号19层A2017</w:t>
            </w:r>
          </w:p>
          <w:p w:rsidR="007D3786" w:rsidRPr="00DF2DA9" w:rsidRDefault="007D3786" w:rsidP="0000032A">
            <w:pPr>
              <w:tabs>
                <w:tab w:val="left" w:pos="540"/>
              </w:tabs>
              <w:adjustRightInd w:val="0"/>
              <w:snapToGrid w:val="0"/>
              <w:spacing w:line="360" w:lineRule="auto"/>
              <w:rPr>
                <w:rFonts w:asciiTheme="minorEastAsia" w:hAnsiTheme="minorEastAsia" w:cs="Arial"/>
                <w:sz w:val="24"/>
                <w:szCs w:val="24"/>
              </w:rPr>
            </w:pPr>
            <w:r w:rsidRPr="00DF2DA9">
              <w:rPr>
                <w:rFonts w:asciiTheme="minorEastAsia" w:hAnsiTheme="minorEastAsia" w:cs="Arial" w:hint="eastAsia"/>
                <w:sz w:val="24"/>
                <w:szCs w:val="24"/>
              </w:rPr>
              <w:t>客户服务电话：400-1060101</w:t>
            </w:r>
          </w:p>
          <w:p w:rsidR="007D3786" w:rsidRDefault="007D3786" w:rsidP="0000032A">
            <w:pPr>
              <w:tabs>
                <w:tab w:val="left" w:pos="540"/>
              </w:tabs>
              <w:adjustRightInd w:val="0"/>
              <w:snapToGrid w:val="0"/>
              <w:spacing w:line="360" w:lineRule="auto"/>
              <w:rPr>
                <w:rFonts w:asciiTheme="minorEastAsia" w:hAnsiTheme="minorEastAsia" w:cs="Arial"/>
                <w:sz w:val="24"/>
                <w:szCs w:val="24"/>
              </w:rPr>
            </w:pPr>
            <w:r w:rsidRPr="00DF2DA9">
              <w:rPr>
                <w:rFonts w:asciiTheme="minorEastAsia" w:hAnsiTheme="minorEastAsia" w:cs="Arial" w:hint="eastAsia"/>
                <w:sz w:val="24"/>
                <w:szCs w:val="24"/>
              </w:rPr>
              <w:t>网址：</w:t>
            </w:r>
            <w:r w:rsidRPr="00DF2DA9">
              <w:rPr>
                <w:rFonts w:asciiTheme="minorEastAsia" w:hAnsiTheme="minorEastAsia" w:cs="Arial"/>
                <w:sz w:val="24"/>
                <w:szCs w:val="24"/>
              </w:rPr>
              <w:t xml:space="preserve"> </w:t>
            </w:r>
            <w:r w:rsidRPr="00DF2DA9">
              <w:rPr>
                <w:rFonts w:asciiTheme="minorEastAsia" w:hAnsiTheme="minorEastAsia" w:cs="Arial" w:hint="eastAsia"/>
                <w:sz w:val="24"/>
                <w:szCs w:val="24"/>
              </w:rPr>
              <w:t>www.jhjfund.com</w:t>
            </w:r>
          </w:p>
        </w:tc>
      </w:tr>
      <w:tr w:rsidR="007D3786" w:rsidTr="007D3786">
        <w:tc>
          <w:tcPr>
            <w:tcW w:w="901" w:type="dxa"/>
          </w:tcPr>
          <w:p w:rsidR="007D3786" w:rsidRDefault="007D3786" w:rsidP="0000032A">
            <w:pPr>
              <w:spacing w:line="360" w:lineRule="auto"/>
              <w:jc w:val="center"/>
              <w:rPr>
                <w:rFonts w:ascii="宋体" w:hAnsi="宋体"/>
                <w:color w:val="000000"/>
                <w:kern w:val="0"/>
                <w:sz w:val="24"/>
              </w:rPr>
            </w:pPr>
            <w:r>
              <w:rPr>
                <w:rFonts w:ascii="宋体" w:hAnsi="宋体" w:hint="eastAsia"/>
                <w:color w:val="000000"/>
                <w:kern w:val="0"/>
                <w:sz w:val="24"/>
              </w:rPr>
              <w:t>23</w:t>
            </w:r>
          </w:p>
        </w:tc>
        <w:tc>
          <w:tcPr>
            <w:tcW w:w="3152" w:type="dxa"/>
          </w:tcPr>
          <w:p w:rsidR="007D3786" w:rsidRPr="00DF2DA9" w:rsidRDefault="007D3786" w:rsidP="0000032A">
            <w:pPr>
              <w:spacing w:line="360" w:lineRule="auto"/>
              <w:jc w:val="center"/>
              <w:rPr>
                <w:rFonts w:asciiTheme="minorEastAsia" w:hAnsiTheme="minorEastAsia" w:cs="Arial"/>
                <w:sz w:val="24"/>
                <w:szCs w:val="24"/>
              </w:rPr>
            </w:pPr>
            <w:r>
              <w:rPr>
                <w:rFonts w:ascii="宋体" w:hAnsi="宋体" w:hint="eastAsia"/>
                <w:color w:val="000000" w:themeColor="text1"/>
                <w:szCs w:val="21"/>
              </w:rPr>
              <w:t>民商基金销售（上海）有限公司</w:t>
            </w:r>
          </w:p>
        </w:tc>
        <w:tc>
          <w:tcPr>
            <w:tcW w:w="4560" w:type="dxa"/>
          </w:tcPr>
          <w:p w:rsidR="007D3786" w:rsidRDefault="007D3786" w:rsidP="0000032A">
            <w:pPr>
              <w:widowControl/>
              <w:spacing w:line="360" w:lineRule="auto"/>
              <w:jc w:val="center"/>
              <w:rPr>
                <w:rFonts w:ascii="Arial" w:hAnsi="Arial" w:cs="Arial"/>
                <w:color w:val="000000"/>
                <w:szCs w:val="21"/>
              </w:rPr>
            </w:pPr>
            <w:r>
              <w:rPr>
                <w:rFonts w:ascii="Arial" w:hAnsi="Arial" w:cs="Arial" w:hint="eastAsia"/>
                <w:color w:val="000000"/>
                <w:szCs w:val="21"/>
              </w:rPr>
              <w:t>注册</w:t>
            </w:r>
            <w:r>
              <w:rPr>
                <w:rFonts w:ascii="Arial" w:hAnsi="Arial" w:cs="Arial"/>
                <w:color w:val="000000"/>
                <w:szCs w:val="21"/>
              </w:rPr>
              <w:t>(</w:t>
            </w:r>
            <w:r>
              <w:rPr>
                <w:rFonts w:ascii="Arial" w:hAnsi="Arial" w:cs="Arial" w:hint="eastAsia"/>
                <w:color w:val="000000"/>
                <w:szCs w:val="21"/>
              </w:rPr>
              <w:t>办公</w:t>
            </w:r>
            <w:r>
              <w:rPr>
                <w:rFonts w:ascii="Arial" w:hAnsi="Arial" w:cs="Arial"/>
                <w:color w:val="000000"/>
                <w:szCs w:val="21"/>
              </w:rPr>
              <w:t>)</w:t>
            </w:r>
            <w:r>
              <w:rPr>
                <w:rFonts w:ascii="Arial" w:hAnsi="Arial" w:cs="Arial" w:hint="eastAsia"/>
                <w:color w:val="000000"/>
                <w:szCs w:val="21"/>
              </w:rPr>
              <w:t>地址：上海黄浦区北京东路</w:t>
            </w:r>
            <w:r>
              <w:rPr>
                <w:rFonts w:ascii="Arial" w:hAnsi="Arial" w:cs="Arial"/>
                <w:color w:val="000000"/>
                <w:szCs w:val="21"/>
              </w:rPr>
              <w:t>666</w:t>
            </w:r>
            <w:r>
              <w:rPr>
                <w:rFonts w:ascii="Arial" w:hAnsi="Arial" w:cs="Arial" w:hint="eastAsia"/>
                <w:color w:val="000000"/>
                <w:szCs w:val="21"/>
              </w:rPr>
              <w:t>号</w:t>
            </w:r>
            <w:r>
              <w:rPr>
                <w:rFonts w:ascii="Arial" w:hAnsi="Arial" w:cs="Arial"/>
                <w:color w:val="000000"/>
                <w:szCs w:val="21"/>
              </w:rPr>
              <w:t>H</w:t>
            </w:r>
            <w:r>
              <w:rPr>
                <w:rFonts w:ascii="Arial" w:hAnsi="Arial" w:cs="Arial" w:hint="eastAsia"/>
                <w:color w:val="000000"/>
                <w:szCs w:val="21"/>
              </w:rPr>
              <w:t>区（东座）</w:t>
            </w:r>
            <w:r>
              <w:rPr>
                <w:rFonts w:ascii="Arial" w:hAnsi="Arial" w:cs="Arial"/>
                <w:color w:val="000000"/>
                <w:szCs w:val="21"/>
              </w:rPr>
              <w:t>6</w:t>
            </w:r>
            <w:r>
              <w:rPr>
                <w:rFonts w:ascii="Arial" w:hAnsi="Arial" w:cs="Arial" w:hint="eastAsia"/>
                <w:color w:val="000000"/>
                <w:szCs w:val="21"/>
              </w:rPr>
              <w:t>楼</w:t>
            </w:r>
            <w:r>
              <w:rPr>
                <w:rFonts w:ascii="Arial" w:hAnsi="Arial" w:cs="Arial"/>
                <w:color w:val="000000"/>
                <w:szCs w:val="21"/>
              </w:rPr>
              <w:t>A31</w:t>
            </w:r>
            <w:r>
              <w:rPr>
                <w:rFonts w:ascii="Arial" w:hAnsi="Arial" w:cs="Arial" w:hint="eastAsia"/>
                <w:color w:val="000000"/>
                <w:szCs w:val="21"/>
              </w:rPr>
              <w:t>室</w:t>
            </w:r>
          </w:p>
          <w:p w:rsidR="007D3786" w:rsidRDefault="007D3786" w:rsidP="0000032A">
            <w:pPr>
              <w:widowControl/>
              <w:spacing w:line="360" w:lineRule="auto"/>
              <w:jc w:val="center"/>
              <w:rPr>
                <w:rFonts w:ascii="Arial" w:hAnsi="Arial" w:cs="Arial"/>
                <w:color w:val="000000"/>
                <w:szCs w:val="21"/>
              </w:rPr>
            </w:pPr>
            <w:r>
              <w:rPr>
                <w:rFonts w:ascii="Arial" w:hAnsi="Arial" w:cs="Arial" w:hint="eastAsia"/>
                <w:color w:val="000000"/>
                <w:szCs w:val="21"/>
              </w:rPr>
              <w:t>客户服务电话：</w:t>
            </w:r>
            <w:r>
              <w:rPr>
                <w:rFonts w:ascii="Arial" w:hAnsi="Arial" w:cs="Arial"/>
                <w:color w:val="000000"/>
                <w:szCs w:val="21"/>
              </w:rPr>
              <w:t>021-50206003</w:t>
            </w:r>
          </w:p>
          <w:p w:rsidR="007D3786" w:rsidRPr="00DF2DA9" w:rsidRDefault="007D3786" w:rsidP="0000032A">
            <w:pPr>
              <w:tabs>
                <w:tab w:val="left" w:pos="540"/>
              </w:tabs>
              <w:adjustRightInd w:val="0"/>
              <w:snapToGrid w:val="0"/>
              <w:spacing w:line="360" w:lineRule="auto"/>
              <w:jc w:val="center"/>
              <w:rPr>
                <w:rFonts w:asciiTheme="minorEastAsia" w:hAnsiTheme="minorEastAsia" w:cs="Arial"/>
                <w:sz w:val="24"/>
                <w:szCs w:val="24"/>
              </w:rPr>
            </w:pPr>
            <w:r>
              <w:rPr>
                <w:rFonts w:ascii="Arial" w:hAnsi="Arial" w:cs="Arial" w:hint="eastAsia"/>
                <w:color w:val="000000"/>
                <w:szCs w:val="21"/>
              </w:rPr>
              <w:t>网址：</w:t>
            </w:r>
            <w:r>
              <w:rPr>
                <w:rFonts w:ascii="Arial" w:hAnsi="Arial" w:cs="Arial"/>
                <w:color w:val="000000"/>
                <w:szCs w:val="21"/>
              </w:rPr>
              <w:t>http://www.msftec.com</w:t>
            </w:r>
          </w:p>
        </w:tc>
      </w:tr>
      <w:tr w:rsidR="007D3786" w:rsidTr="007D3786">
        <w:tc>
          <w:tcPr>
            <w:tcW w:w="901" w:type="dxa"/>
          </w:tcPr>
          <w:p w:rsidR="007D3786" w:rsidRPr="005F469D" w:rsidRDefault="007D3786" w:rsidP="0000032A">
            <w:pPr>
              <w:spacing w:line="360" w:lineRule="auto"/>
              <w:jc w:val="center"/>
              <w:rPr>
                <w:rFonts w:ascii="宋体" w:hAnsi="宋体"/>
                <w:color w:val="000000"/>
                <w:kern w:val="0"/>
                <w:sz w:val="24"/>
              </w:rPr>
            </w:pPr>
            <w:r>
              <w:rPr>
                <w:rFonts w:ascii="宋体" w:hAnsi="宋体" w:hint="eastAsia"/>
                <w:color w:val="000000"/>
                <w:sz w:val="24"/>
              </w:rPr>
              <w:t>24</w:t>
            </w:r>
          </w:p>
        </w:tc>
        <w:tc>
          <w:tcPr>
            <w:tcW w:w="3152" w:type="dxa"/>
          </w:tcPr>
          <w:p w:rsidR="007D3786" w:rsidRPr="00DF2DA9" w:rsidRDefault="007D3786" w:rsidP="0000032A">
            <w:pPr>
              <w:spacing w:line="360" w:lineRule="auto"/>
              <w:jc w:val="center"/>
              <w:rPr>
                <w:rFonts w:asciiTheme="minorEastAsia" w:hAnsiTheme="minorEastAsia" w:cs="Arial"/>
                <w:sz w:val="24"/>
                <w:szCs w:val="24"/>
              </w:rPr>
            </w:pPr>
            <w:r>
              <w:rPr>
                <w:rFonts w:ascii="宋体" w:hAnsi="宋体" w:hint="eastAsia"/>
                <w:color w:val="000000" w:themeColor="text1"/>
                <w:szCs w:val="21"/>
              </w:rPr>
              <w:t>大连网金基金销售有限公司</w:t>
            </w:r>
          </w:p>
        </w:tc>
        <w:tc>
          <w:tcPr>
            <w:tcW w:w="4560" w:type="dxa"/>
          </w:tcPr>
          <w:p w:rsidR="007D3786" w:rsidRDefault="007D3786" w:rsidP="0000032A">
            <w:pPr>
              <w:widowControl/>
              <w:spacing w:line="360" w:lineRule="auto"/>
              <w:jc w:val="center"/>
              <w:rPr>
                <w:rFonts w:ascii="Arial" w:hAnsi="Arial" w:cs="Arial"/>
                <w:color w:val="000000"/>
                <w:szCs w:val="21"/>
              </w:rPr>
            </w:pPr>
            <w:r>
              <w:rPr>
                <w:rFonts w:ascii="Arial" w:hAnsi="Arial" w:cs="Arial" w:hint="eastAsia"/>
                <w:color w:val="000000"/>
                <w:szCs w:val="21"/>
              </w:rPr>
              <w:t>注册</w:t>
            </w:r>
            <w:r>
              <w:rPr>
                <w:rFonts w:ascii="Arial" w:hAnsi="Arial" w:cs="Arial"/>
                <w:color w:val="000000"/>
                <w:szCs w:val="21"/>
              </w:rPr>
              <w:t>(</w:t>
            </w:r>
            <w:r>
              <w:rPr>
                <w:rFonts w:ascii="Arial" w:hAnsi="Arial" w:cs="Arial" w:hint="eastAsia"/>
                <w:color w:val="000000"/>
                <w:szCs w:val="21"/>
              </w:rPr>
              <w:t>办公</w:t>
            </w:r>
            <w:r>
              <w:rPr>
                <w:rFonts w:ascii="Arial" w:hAnsi="Arial" w:cs="Arial"/>
                <w:color w:val="000000"/>
                <w:szCs w:val="21"/>
              </w:rPr>
              <w:t>)</w:t>
            </w:r>
            <w:r>
              <w:rPr>
                <w:rFonts w:ascii="Arial" w:hAnsi="Arial" w:cs="Arial" w:hint="eastAsia"/>
                <w:color w:val="000000"/>
                <w:szCs w:val="21"/>
              </w:rPr>
              <w:t>地址：大连市沙河口区体坛路</w:t>
            </w:r>
            <w:r>
              <w:rPr>
                <w:rFonts w:ascii="Arial" w:hAnsi="Arial" w:cs="Arial"/>
                <w:color w:val="000000"/>
                <w:szCs w:val="21"/>
              </w:rPr>
              <w:t>22</w:t>
            </w:r>
            <w:r>
              <w:rPr>
                <w:rFonts w:ascii="Arial" w:hAnsi="Arial" w:cs="Arial" w:hint="eastAsia"/>
                <w:color w:val="000000"/>
                <w:szCs w:val="21"/>
              </w:rPr>
              <w:t>号诺德大厦</w:t>
            </w:r>
            <w:r>
              <w:rPr>
                <w:rFonts w:ascii="Arial" w:hAnsi="Arial" w:cs="Arial"/>
                <w:color w:val="000000"/>
                <w:szCs w:val="21"/>
              </w:rPr>
              <w:t>2</w:t>
            </w:r>
            <w:r>
              <w:rPr>
                <w:rFonts w:ascii="Arial" w:hAnsi="Arial" w:cs="Arial" w:hint="eastAsia"/>
                <w:color w:val="000000"/>
                <w:szCs w:val="21"/>
              </w:rPr>
              <w:t>层</w:t>
            </w:r>
          </w:p>
          <w:p w:rsidR="007D3786" w:rsidRDefault="007D3786" w:rsidP="0000032A">
            <w:pPr>
              <w:widowControl/>
              <w:spacing w:line="360" w:lineRule="auto"/>
              <w:jc w:val="center"/>
              <w:rPr>
                <w:rFonts w:ascii="Arial" w:hAnsi="Arial" w:cs="Arial"/>
                <w:color w:val="000000"/>
                <w:szCs w:val="21"/>
              </w:rPr>
            </w:pPr>
            <w:r>
              <w:rPr>
                <w:rFonts w:ascii="Arial" w:hAnsi="Arial" w:cs="Arial" w:hint="eastAsia"/>
                <w:color w:val="000000"/>
                <w:szCs w:val="21"/>
              </w:rPr>
              <w:t>客户服务电话：</w:t>
            </w:r>
            <w:r>
              <w:rPr>
                <w:rFonts w:ascii="Arial" w:hAnsi="Arial" w:cs="Arial"/>
                <w:color w:val="000000"/>
                <w:szCs w:val="21"/>
              </w:rPr>
              <w:t>4000-899-100</w:t>
            </w:r>
          </w:p>
          <w:p w:rsidR="007D3786" w:rsidRPr="00DF2DA9" w:rsidRDefault="007D3786" w:rsidP="0000032A">
            <w:pPr>
              <w:tabs>
                <w:tab w:val="left" w:pos="540"/>
              </w:tabs>
              <w:adjustRightInd w:val="0"/>
              <w:snapToGrid w:val="0"/>
              <w:spacing w:line="360" w:lineRule="auto"/>
              <w:jc w:val="center"/>
              <w:rPr>
                <w:rFonts w:asciiTheme="minorEastAsia" w:hAnsiTheme="minorEastAsia" w:cs="Arial"/>
                <w:sz w:val="24"/>
                <w:szCs w:val="24"/>
              </w:rPr>
            </w:pPr>
            <w:r>
              <w:rPr>
                <w:rFonts w:ascii="Arial" w:hAnsi="Arial" w:cs="Arial" w:hint="eastAsia"/>
                <w:color w:val="000000"/>
                <w:szCs w:val="21"/>
              </w:rPr>
              <w:t>网址：</w:t>
            </w:r>
            <w:r>
              <w:rPr>
                <w:rFonts w:ascii="Arial" w:hAnsi="Arial" w:cs="Arial"/>
                <w:color w:val="000000"/>
                <w:szCs w:val="21"/>
              </w:rPr>
              <w:t xml:space="preserve"> http://www.yibaijin.com/</w:t>
            </w:r>
          </w:p>
        </w:tc>
      </w:tr>
      <w:tr w:rsidR="007D3786" w:rsidTr="007D3786">
        <w:tc>
          <w:tcPr>
            <w:tcW w:w="901" w:type="dxa"/>
          </w:tcPr>
          <w:p w:rsidR="007D3786" w:rsidRPr="005F469D" w:rsidRDefault="007D3786" w:rsidP="0000032A">
            <w:pPr>
              <w:spacing w:line="360" w:lineRule="auto"/>
              <w:jc w:val="center"/>
              <w:rPr>
                <w:rFonts w:ascii="宋体" w:hAnsi="宋体"/>
                <w:color w:val="000000"/>
                <w:kern w:val="0"/>
                <w:sz w:val="24"/>
              </w:rPr>
            </w:pPr>
            <w:r>
              <w:rPr>
                <w:rFonts w:ascii="宋体" w:hAnsi="宋体" w:hint="eastAsia"/>
                <w:color w:val="000000"/>
                <w:sz w:val="24"/>
              </w:rPr>
              <w:t>25</w:t>
            </w:r>
          </w:p>
        </w:tc>
        <w:tc>
          <w:tcPr>
            <w:tcW w:w="3152" w:type="dxa"/>
          </w:tcPr>
          <w:p w:rsidR="007D3786" w:rsidRPr="00DF2DA9" w:rsidRDefault="007D3786" w:rsidP="0000032A">
            <w:pPr>
              <w:spacing w:line="360" w:lineRule="auto"/>
              <w:jc w:val="center"/>
              <w:rPr>
                <w:rFonts w:asciiTheme="minorEastAsia" w:hAnsiTheme="minorEastAsia" w:cs="Arial"/>
                <w:sz w:val="24"/>
                <w:szCs w:val="24"/>
              </w:rPr>
            </w:pPr>
            <w:r>
              <w:rPr>
                <w:rFonts w:ascii="宋体" w:hAnsi="宋体" w:hint="eastAsia"/>
                <w:color w:val="000000" w:themeColor="text1"/>
                <w:szCs w:val="21"/>
              </w:rPr>
              <w:t>扬州国信嘉利基金销售有限公司</w:t>
            </w:r>
          </w:p>
        </w:tc>
        <w:tc>
          <w:tcPr>
            <w:tcW w:w="4560" w:type="dxa"/>
          </w:tcPr>
          <w:p w:rsidR="007D3786" w:rsidRDefault="007D3786" w:rsidP="0000032A">
            <w:pPr>
              <w:widowControl/>
              <w:spacing w:line="360" w:lineRule="auto"/>
              <w:jc w:val="center"/>
              <w:rPr>
                <w:rFonts w:ascii="Arial" w:hAnsi="Arial" w:cs="Arial"/>
                <w:color w:val="000000"/>
                <w:szCs w:val="21"/>
              </w:rPr>
            </w:pPr>
            <w:r>
              <w:rPr>
                <w:rFonts w:ascii="Arial" w:hAnsi="Arial" w:cs="Arial" w:hint="eastAsia"/>
                <w:color w:val="000000"/>
                <w:szCs w:val="21"/>
              </w:rPr>
              <w:t>注册</w:t>
            </w:r>
            <w:r>
              <w:rPr>
                <w:rFonts w:ascii="Arial" w:hAnsi="Arial" w:cs="Arial"/>
                <w:color w:val="000000"/>
                <w:szCs w:val="21"/>
              </w:rPr>
              <w:t>(</w:t>
            </w:r>
            <w:r>
              <w:rPr>
                <w:rFonts w:ascii="Arial" w:hAnsi="Arial" w:cs="Arial" w:hint="eastAsia"/>
                <w:color w:val="000000"/>
                <w:szCs w:val="21"/>
              </w:rPr>
              <w:t>办公</w:t>
            </w:r>
            <w:r>
              <w:rPr>
                <w:rFonts w:ascii="Arial" w:hAnsi="Arial" w:cs="Arial"/>
                <w:color w:val="000000"/>
                <w:szCs w:val="21"/>
              </w:rPr>
              <w:t>)</w:t>
            </w:r>
            <w:r>
              <w:rPr>
                <w:rFonts w:ascii="Arial" w:hAnsi="Arial" w:cs="Arial" w:hint="eastAsia"/>
                <w:color w:val="000000"/>
                <w:szCs w:val="21"/>
              </w:rPr>
              <w:t>地址：扬州市广陵新城信息产业基地</w:t>
            </w:r>
            <w:r>
              <w:rPr>
                <w:rFonts w:ascii="Arial" w:hAnsi="Arial" w:cs="Arial"/>
                <w:color w:val="000000"/>
                <w:szCs w:val="21"/>
              </w:rPr>
              <w:t>3</w:t>
            </w:r>
            <w:r>
              <w:rPr>
                <w:rFonts w:ascii="Arial" w:hAnsi="Arial" w:cs="Arial" w:hint="eastAsia"/>
                <w:color w:val="000000"/>
                <w:szCs w:val="21"/>
              </w:rPr>
              <w:t>期</w:t>
            </w:r>
            <w:r>
              <w:rPr>
                <w:rFonts w:ascii="Arial" w:hAnsi="Arial" w:cs="Arial"/>
                <w:color w:val="000000"/>
                <w:szCs w:val="21"/>
              </w:rPr>
              <w:t>20B</w:t>
            </w:r>
            <w:r>
              <w:rPr>
                <w:rFonts w:ascii="Arial" w:hAnsi="Arial" w:cs="Arial" w:hint="eastAsia"/>
                <w:color w:val="000000"/>
                <w:szCs w:val="21"/>
              </w:rPr>
              <w:t>栋</w:t>
            </w:r>
          </w:p>
          <w:p w:rsidR="007D3786" w:rsidRDefault="007D3786" w:rsidP="0000032A">
            <w:pPr>
              <w:widowControl/>
              <w:spacing w:line="360" w:lineRule="auto"/>
              <w:jc w:val="center"/>
              <w:rPr>
                <w:rFonts w:ascii="Arial" w:hAnsi="Arial" w:cs="Arial"/>
                <w:color w:val="000000"/>
                <w:szCs w:val="21"/>
              </w:rPr>
            </w:pPr>
            <w:r>
              <w:rPr>
                <w:rFonts w:ascii="Arial" w:hAnsi="Arial" w:cs="Arial" w:hint="eastAsia"/>
                <w:color w:val="000000"/>
                <w:szCs w:val="21"/>
              </w:rPr>
              <w:t>客户服务电话：</w:t>
            </w:r>
            <w:r>
              <w:rPr>
                <w:rFonts w:ascii="Arial" w:hAnsi="Arial" w:cs="Arial"/>
                <w:color w:val="000000"/>
                <w:szCs w:val="21"/>
              </w:rPr>
              <w:t>400 021 6088</w:t>
            </w:r>
          </w:p>
          <w:p w:rsidR="007D3786" w:rsidRPr="00DF2DA9" w:rsidRDefault="007D3786" w:rsidP="0000032A">
            <w:pPr>
              <w:tabs>
                <w:tab w:val="left" w:pos="540"/>
              </w:tabs>
              <w:adjustRightInd w:val="0"/>
              <w:snapToGrid w:val="0"/>
              <w:spacing w:line="360" w:lineRule="auto"/>
              <w:jc w:val="center"/>
              <w:rPr>
                <w:rFonts w:asciiTheme="minorEastAsia" w:hAnsiTheme="minorEastAsia" w:cs="Arial"/>
                <w:sz w:val="24"/>
                <w:szCs w:val="24"/>
              </w:rPr>
            </w:pPr>
            <w:r>
              <w:rPr>
                <w:rFonts w:ascii="Arial" w:hAnsi="Arial" w:cs="Arial" w:hint="eastAsia"/>
                <w:color w:val="000000"/>
                <w:szCs w:val="21"/>
              </w:rPr>
              <w:t>网址：</w:t>
            </w:r>
            <w:r>
              <w:rPr>
                <w:rFonts w:ascii="Arial" w:hAnsi="Arial" w:cs="Arial"/>
                <w:color w:val="000000"/>
                <w:szCs w:val="21"/>
              </w:rPr>
              <w:t>www.gxjlcn.com</w:t>
            </w:r>
          </w:p>
        </w:tc>
      </w:tr>
      <w:tr w:rsidR="007D3786" w:rsidTr="007D3786">
        <w:tc>
          <w:tcPr>
            <w:tcW w:w="901" w:type="dxa"/>
          </w:tcPr>
          <w:p w:rsidR="007D3786" w:rsidRPr="005F469D" w:rsidRDefault="007D3786" w:rsidP="0000032A">
            <w:pPr>
              <w:spacing w:line="360" w:lineRule="auto"/>
              <w:jc w:val="center"/>
              <w:rPr>
                <w:rFonts w:ascii="宋体" w:hAnsi="宋体"/>
                <w:color w:val="000000"/>
                <w:kern w:val="0"/>
                <w:sz w:val="24"/>
              </w:rPr>
            </w:pPr>
            <w:r>
              <w:rPr>
                <w:rFonts w:ascii="宋体" w:hAnsi="宋体" w:hint="eastAsia"/>
                <w:color w:val="000000"/>
                <w:sz w:val="24"/>
              </w:rPr>
              <w:t>26</w:t>
            </w:r>
          </w:p>
        </w:tc>
        <w:tc>
          <w:tcPr>
            <w:tcW w:w="3152" w:type="dxa"/>
          </w:tcPr>
          <w:p w:rsidR="007D3786" w:rsidRPr="00DF2DA9" w:rsidRDefault="007D3786" w:rsidP="0000032A">
            <w:pPr>
              <w:spacing w:line="360" w:lineRule="auto"/>
              <w:jc w:val="center"/>
              <w:rPr>
                <w:rFonts w:asciiTheme="minorEastAsia" w:hAnsiTheme="minorEastAsia" w:cs="Arial"/>
                <w:sz w:val="24"/>
                <w:szCs w:val="24"/>
              </w:rPr>
            </w:pPr>
            <w:r w:rsidRPr="00814881">
              <w:rPr>
                <w:rFonts w:ascii="宋体" w:hAnsi="宋体" w:hint="eastAsia"/>
                <w:color w:val="000000" w:themeColor="text1"/>
                <w:szCs w:val="21"/>
              </w:rPr>
              <w:t>深圳众禄基金销售股份有限公司</w:t>
            </w:r>
          </w:p>
        </w:tc>
        <w:tc>
          <w:tcPr>
            <w:tcW w:w="4560" w:type="dxa"/>
          </w:tcPr>
          <w:p w:rsidR="007D3786" w:rsidRDefault="007D3786" w:rsidP="0000032A">
            <w:pPr>
              <w:spacing w:line="400" w:lineRule="exact"/>
              <w:jc w:val="center"/>
              <w:rPr>
                <w:rFonts w:ascii="Arial" w:hAnsi="Arial" w:cs="Arial"/>
              </w:rPr>
            </w:pPr>
            <w:r>
              <w:rPr>
                <w:rFonts w:ascii="宋体" w:hAnsi="宋体" w:hint="eastAsia"/>
              </w:rPr>
              <w:t>注册（办公）地址：深圳市罗湖区梨园路物资控股置地大厦8楼</w:t>
            </w:r>
          </w:p>
          <w:p w:rsidR="007D3786" w:rsidRDefault="007D3786" w:rsidP="0000032A">
            <w:pPr>
              <w:spacing w:line="400" w:lineRule="exact"/>
              <w:jc w:val="center"/>
              <w:rPr>
                <w:rFonts w:ascii="Arial" w:hAnsi="Arial" w:cs="Arial"/>
              </w:rPr>
            </w:pPr>
            <w:r>
              <w:rPr>
                <w:rFonts w:ascii="宋体" w:hAnsi="宋体" w:hint="eastAsia"/>
              </w:rPr>
              <w:t>客户服务电话：</w:t>
            </w:r>
            <w:r>
              <w:rPr>
                <w:rFonts w:ascii="Arial" w:hAnsi="Arial" w:cs="Arial"/>
              </w:rPr>
              <w:t>4006-788-887</w:t>
            </w:r>
          </w:p>
          <w:p w:rsidR="007D3786" w:rsidRDefault="007D3786" w:rsidP="0000032A">
            <w:pPr>
              <w:spacing w:line="400" w:lineRule="exact"/>
              <w:jc w:val="center"/>
              <w:rPr>
                <w:rFonts w:ascii="Arial" w:hAnsi="Arial" w:cs="Arial"/>
              </w:rPr>
            </w:pPr>
            <w:r>
              <w:rPr>
                <w:rFonts w:ascii="宋体" w:hAnsi="宋体" w:hint="eastAsia"/>
              </w:rPr>
              <w:lastRenderedPageBreak/>
              <w:t>网址：众禄基金网</w:t>
            </w:r>
            <w:r>
              <w:rPr>
                <w:rFonts w:ascii="Arial" w:hAnsi="Arial" w:cs="Arial"/>
              </w:rPr>
              <w:t xml:space="preserve"> </w:t>
            </w:r>
            <w:hyperlink r:id="rId13" w:history="1">
              <w:r w:rsidRPr="0047542B">
                <w:rPr>
                  <w:rFonts w:ascii="Arial" w:hAnsi="Arial" w:cs="Arial"/>
                  <w:szCs w:val="21"/>
                </w:rPr>
                <w:t>www.zlfund.cn</w:t>
              </w:r>
            </w:hyperlink>
          </w:p>
          <w:p w:rsidR="007D3786" w:rsidRPr="00DF2DA9" w:rsidRDefault="007D3786" w:rsidP="0000032A">
            <w:pPr>
              <w:tabs>
                <w:tab w:val="left" w:pos="540"/>
              </w:tabs>
              <w:adjustRightInd w:val="0"/>
              <w:snapToGrid w:val="0"/>
              <w:spacing w:line="360" w:lineRule="auto"/>
              <w:jc w:val="center"/>
              <w:rPr>
                <w:rFonts w:asciiTheme="minorEastAsia" w:hAnsiTheme="minorEastAsia" w:cs="Arial"/>
                <w:sz w:val="24"/>
                <w:szCs w:val="24"/>
              </w:rPr>
            </w:pPr>
            <w:r>
              <w:rPr>
                <w:rFonts w:ascii="宋体" w:hAnsi="宋体" w:hint="eastAsia"/>
              </w:rPr>
              <w:t>基金买卖网</w:t>
            </w:r>
            <w:r w:rsidRPr="0047542B">
              <w:rPr>
                <w:rFonts w:ascii="Arial" w:hAnsi="Arial" w:cs="Arial"/>
                <w:szCs w:val="21"/>
              </w:rPr>
              <w:t xml:space="preserve"> </w:t>
            </w:r>
            <w:hyperlink r:id="rId14" w:history="1">
              <w:r w:rsidRPr="0047542B">
                <w:rPr>
                  <w:rFonts w:ascii="Arial" w:hAnsi="Arial" w:cs="Arial"/>
                  <w:szCs w:val="21"/>
                </w:rPr>
                <w:t>www.jjmmw.com</w:t>
              </w:r>
            </w:hyperlink>
          </w:p>
        </w:tc>
      </w:tr>
    </w:tbl>
    <w:p w:rsidR="003E4D36" w:rsidRDefault="003E4D36">
      <w:pPr>
        <w:tabs>
          <w:tab w:val="left" w:pos="540"/>
        </w:tabs>
        <w:adjustRightInd w:val="0"/>
        <w:snapToGrid w:val="0"/>
        <w:spacing w:line="360" w:lineRule="auto"/>
        <w:ind w:firstLineChars="200" w:firstLine="480"/>
        <w:rPr>
          <w:rFonts w:asciiTheme="minorEastAsia" w:hAnsiTheme="minorEastAsia" w:cs="Arial"/>
          <w:sz w:val="24"/>
          <w:szCs w:val="24"/>
        </w:rPr>
      </w:pPr>
    </w:p>
    <w:p w:rsidR="003E4D36" w:rsidRDefault="00E729B5">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办公地址：深圳市福田区深南大道2012号深圳证券交易所广场3501室 </w:t>
      </w:r>
    </w:p>
    <w:p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w:t>
      </w:r>
      <w:r w:rsidR="00980F20">
        <w:rPr>
          <w:rFonts w:asciiTheme="minorEastAsia" w:hAnsiTheme="minorEastAsia" w:cs="Arial" w:hint="eastAsia"/>
          <w:color w:val="000000"/>
          <w:kern w:val="0"/>
          <w:sz w:val="24"/>
          <w:szCs w:val="24"/>
        </w:rPr>
        <w:t>杨小舟</w:t>
      </w:r>
      <w:r>
        <w:rPr>
          <w:rFonts w:asciiTheme="minorEastAsia" w:hAnsiTheme="minorEastAsia" w:cs="Arial" w:hint="eastAsia"/>
          <w:color w:val="000000"/>
          <w:kern w:val="0"/>
          <w:sz w:val="24"/>
          <w:szCs w:val="24"/>
        </w:rPr>
        <w:t xml:space="preserve"> </w:t>
      </w:r>
    </w:p>
    <w:p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rsidR="003E4D36" w:rsidRDefault="00E729B5">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rsidR="003E4D36" w:rsidRDefault="00E729B5">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rsidR="003E4D36" w:rsidRDefault="00E729B5">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名称：安永华明会计师事务所（特殊普通合伙）</w:t>
      </w:r>
    </w:p>
    <w:p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住所：中国北京市东城区东长安街1号东方广场安永大楼16层</w:t>
      </w:r>
    </w:p>
    <w:p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办公地址：中国北京市东城区东长安街1号东方广场安永大楼16层</w:t>
      </w:r>
    </w:p>
    <w:p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法定代表人：毛鞍宁</w:t>
      </w:r>
    </w:p>
    <w:p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电话： +86 10 58153000</w:t>
      </w:r>
    </w:p>
    <w:p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传真： +86 10 85188298</w:t>
      </w:r>
    </w:p>
    <w:p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签字注册会计师：吴翠蓉  高鹤</w:t>
      </w:r>
    </w:p>
    <w:p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联系人: 吴翠蓉</w:t>
      </w:r>
    </w:p>
    <w:p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br w:type="page"/>
      </w:r>
    </w:p>
    <w:p w:rsidR="003E4D36" w:rsidRDefault="00E729B5">
      <w:pPr>
        <w:pStyle w:val="1"/>
        <w:jc w:val="center"/>
        <w:rPr>
          <w:sz w:val="30"/>
          <w:szCs w:val="30"/>
        </w:rPr>
      </w:pPr>
      <w:bookmarkStart w:id="114" w:name="_Toc263092314"/>
      <w:bookmarkStart w:id="115" w:name="_Toc416264542"/>
      <w:bookmarkStart w:id="116" w:name="_Toc523243821"/>
      <w:bookmarkStart w:id="117" w:name="_Toc29251"/>
      <w:bookmarkStart w:id="118" w:name="_Toc31235"/>
      <w:bookmarkStart w:id="119" w:name="_Toc141703887"/>
      <w:bookmarkStart w:id="120" w:name="_Toc139991737"/>
      <w:bookmarkStart w:id="121" w:name="_Toc15143"/>
      <w:bookmarkStart w:id="122" w:name="_Toc14835"/>
      <w:bookmarkStart w:id="123" w:name="_Toc16859"/>
      <w:bookmarkStart w:id="124" w:name="_Toc98560353"/>
      <w:bookmarkStart w:id="125" w:name="_Toc123102454"/>
      <w:bookmarkStart w:id="126" w:name="_Toc352229753"/>
      <w:bookmarkStart w:id="127" w:name="_Toc6405"/>
      <w:bookmarkStart w:id="128" w:name="_Toc31653"/>
      <w:bookmarkStart w:id="129" w:name="_Toc26207"/>
      <w:bookmarkStart w:id="130" w:name="_Toc123051453"/>
      <w:bookmarkStart w:id="131" w:name="_Toc12245"/>
      <w:bookmarkStart w:id="132" w:name="_Toc31644"/>
      <w:bookmarkStart w:id="133" w:name="_Toc123112235"/>
      <w:bookmarkStart w:id="134" w:name="_Toc3601"/>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Pr>
          <w:rFonts w:hint="eastAsia"/>
          <w:sz w:val="30"/>
          <w:szCs w:val="30"/>
        </w:rPr>
        <w:lastRenderedPageBreak/>
        <w:t>第六部分</w:t>
      </w:r>
      <w:r>
        <w:rPr>
          <w:sz w:val="30"/>
          <w:szCs w:val="30"/>
        </w:rPr>
        <w:t xml:space="preserve">  </w:t>
      </w:r>
      <w:r>
        <w:rPr>
          <w:rFonts w:hint="eastAsia"/>
          <w:sz w:val="30"/>
          <w:szCs w:val="30"/>
        </w:rPr>
        <w:t>基金的募集</w:t>
      </w:r>
      <w:bookmarkEnd w:id="114"/>
      <w:bookmarkEnd w:id="115"/>
      <w:bookmarkEnd w:id="116"/>
    </w:p>
    <w:p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基金管理人按照《基金法》、《运作办法》、《销售办法》、基金合同及其他有关规定募集本基金，并于2017年【5】月【12】日经中国证监会证监许可[2017]700号文准予注册募集。本基金于2017年</w:t>
      </w:r>
      <w:r>
        <w:rPr>
          <w:rFonts w:asciiTheme="minorEastAsia" w:hAnsiTheme="minorEastAsia" w:cs="Arial"/>
          <w:sz w:val="24"/>
          <w:szCs w:val="24"/>
        </w:rPr>
        <w:t>11</w:t>
      </w:r>
      <w:r>
        <w:rPr>
          <w:rFonts w:asciiTheme="minorEastAsia" w:hAnsiTheme="minorEastAsia" w:cs="Arial" w:hint="eastAsia"/>
          <w:sz w:val="24"/>
          <w:szCs w:val="24"/>
        </w:rPr>
        <w:t>月</w:t>
      </w:r>
      <w:r>
        <w:rPr>
          <w:rFonts w:asciiTheme="minorEastAsia" w:hAnsiTheme="minorEastAsia" w:cs="Arial"/>
          <w:sz w:val="24"/>
          <w:szCs w:val="24"/>
        </w:rPr>
        <w:t>10</w:t>
      </w:r>
      <w:r>
        <w:rPr>
          <w:rFonts w:asciiTheme="minorEastAsia" w:hAnsiTheme="minorEastAsia" w:cs="Arial" w:hint="eastAsia"/>
          <w:sz w:val="24"/>
          <w:szCs w:val="24"/>
        </w:rPr>
        <w:t>日起通过各销售机构向社会公开募集，截至2018年</w:t>
      </w:r>
      <w:r>
        <w:rPr>
          <w:rFonts w:asciiTheme="minorEastAsia" w:hAnsiTheme="minorEastAsia" w:cs="Arial"/>
          <w:sz w:val="24"/>
          <w:szCs w:val="24"/>
        </w:rPr>
        <w:t>2</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日，基金募集工作已顺利结束。</w:t>
      </w:r>
    </w:p>
    <w:p w:rsidR="003E4D36" w:rsidRDefault="00E729B5">
      <w:pPr>
        <w:widowControl/>
        <w:jc w:val="left"/>
        <w:rPr>
          <w:rFonts w:asciiTheme="minorEastAsia" w:hAnsiTheme="minorEastAsia" w:cs="Arial"/>
          <w:sz w:val="24"/>
          <w:szCs w:val="24"/>
        </w:rPr>
      </w:pPr>
      <w:r>
        <w:rPr>
          <w:rFonts w:asciiTheme="minorEastAsia" w:hAnsiTheme="minorEastAsia" w:cs="Arial"/>
          <w:sz w:val="24"/>
          <w:szCs w:val="24"/>
        </w:rPr>
        <w:br w:type="page"/>
      </w:r>
    </w:p>
    <w:p w:rsidR="003E4D36" w:rsidRDefault="00E729B5">
      <w:pPr>
        <w:pStyle w:val="1"/>
        <w:jc w:val="center"/>
        <w:rPr>
          <w:sz w:val="30"/>
          <w:szCs w:val="30"/>
          <w:lang w:val="en-US"/>
        </w:rPr>
      </w:pPr>
      <w:bookmarkStart w:id="135" w:name="_Toc214873596"/>
      <w:bookmarkStart w:id="136" w:name="_Toc263092315"/>
      <w:bookmarkStart w:id="137" w:name="_Toc416264543"/>
      <w:bookmarkStart w:id="138" w:name="_Toc523243822"/>
      <w:bookmarkStart w:id="139" w:name="_Toc123112236"/>
      <w:bookmarkStart w:id="140" w:name="_Toc98560354"/>
      <w:bookmarkStart w:id="141" w:name="_Toc123051454"/>
      <w:bookmarkStart w:id="142" w:name="_Toc123102455"/>
      <w:bookmarkStart w:id="143" w:name="_Toc9706"/>
      <w:bookmarkStart w:id="144" w:name="_Toc141703888"/>
      <w:bookmarkStart w:id="145" w:name="_Toc352229754"/>
      <w:bookmarkStart w:id="146" w:name="_Toc11030"/>
      <w:bookmarkStart w:id="147" w:name="_Toc4559"/>
      <w:bookmarkStart w:id="148" w:name="_Toc79392583"/>
      <w:bookmarkStart w:id="149" w:name="_Toc139991738"/>
      <w:bookmarkStart w:id="150" w:name="_Toc20768"/>
      <w:bookmarkStart w:id="151" w:name="_Toc6447"/>
      <w:bookmarkStart w:id="152" w:name="_Toc7058"/>
      <w:bookmarkStart w:id="153" w:name="_Toc10650"/>
      <w:bookmarkStart w:id="154" w:name="_Toc18567"/>
      <w:bookmarkStart w:id="155" w:name="_Toc3771"/>
      <w:bookmarkStart w:id="156" w:name="_Toc25783"/>
      <w:bookmarkStart w:id="157" w:name="_Toc3321"/>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Pr>
          <w:rFonts w:hint="eastAsia"/>
          <w:sz w:val="30"/>
          <w:szCs w:val="30"/>
        </w:rPr>
        <w:lastRenderedPageBreak/>
        <w:t>第七部分</w:t>
      </w:r>
      <w:r>
        <w:rPr>
          <w:sz w:val="30"/>
          <w:szCs w:val="30"/>
          <w:lang w:val="en-US"/>
        </w:rPr>
        <w:t xml:space="preserve">  </w:t>
      </w:r>
      <w:r>
        <w:rPr>
          <w:rFonts w:hint="eastAsia"/>
          <w:sz w:val="30"/>
          <w:szCs w:val="30"/>
        </w:rPr>
        <w:t>基金</w:t>
      </w:r>
      <w:bookmarkEnd w:id="135"/>
      <w:bookmarkEnd w:id="136"/>
      <w:r>
        <w:rPr>
          <w:rFonts w:hint="eastAsia"/>
          <w:sz w:val="30"/>
          <w:szCs w:val="30"/>
        </w:rPr>
        <w:t>合同的生效</w:t>
      </w:r>
      <w:bookmarkEnd w:id="137"/>
      <w:bookmarkEnd w:id="138"/>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2月13日向中国证监会办理完毕基金备案手续并已获书面确认，基金合同自该日期正式生效。自基金合同生效之日起，本基金管理人正式开始管理本基金。</w:t>
      </w:r>
    </w:p>
    <w:p w:rsidR="003E4D36" w:rsidRDefault="00E729B5">
      <w:pPr>
        <w:adjustRightInd w:val="0"/>
        <w:snapToGrid w:val="0"/>
        <w:spacing w:line="360" w:lineRule="auto"/>
        <w:ind w:firstLineChars="200" w:firstLine="480"/>
        <w:jc w:val="left"/>
        <w:rPr>
          <w:rFonts w:asciiTheme="minorEastAsia" w:hAnsiTheme="minorEastAsia" w:cs="Times New Roman"/>
          <w:sz w:val="24"/>
          <w:szCs w:val="24"/>
        </w:rPr>
      </w:pPr>
      <w:bookmarkStart w:id="158" w:name="_Toc263092316"/>
      <w:bookmarkStart w:id="159" w:name="_Toc12357171"/>
      <w:bookmarkStart w:id="160" w:name="_Toc21073391"/>
      <w:bookmarkStart w:id="161" w:name="_Toc416264544"/>
      <w:bookmarkStart w:id="162" w:name="_Toc147463118"/>
      <w:bookmarkStart w:id="163" w:name="_Toc214873597"/>
      <w:bookmarkStart w:id="164" w:name="_Toc98560355"/>
      <w:bookmarkStart w:id="165" w:name="_Toc141703889"/>
      <w:bookmarkStart w:id="166" w:name="_Toc31821"/>
      <w:bookmarkStart w:id="167" w:name="_Toc352229755"/>
      <w:bookmarkStart w:id="168" w:name="_Toc139991739"/>
      <w:bookmarkStart w:id="169" w:name="_Toc123112237"/>
      <w:bookmarkStart w:id="170" w:name="_Toc725"/>
      <w:bookmarkStart w:id="171" w:name="_Toc3963"/>
      <w:bookmarkStart w:id="172" w:name="_Toc123051455"/>
      <w:bookmarkStart w:id="173" w:name="_Toc1745"/>
      <w:bookmarkStart w:id="174" w:name="_Toc10398"/>
      <w:bookmarkStart w:id="175" w:name="_Toc123102456"/>
      <w:bookmarkStart w:id="176" w:name="_Toc18206"/>
      <w:bookmarkStart w:id="177" w:name="_Toc16164"/>
      <w:bookmarkStart w:id="178" w:name="_Toc18769"/>
      <w:bookmarkStart w:id="179" w:name="_Toc21735"/>
      <w:bookmarkStart w:id="180" w:name="_Toc3080"/>
      <w:bookmarkStart w:id="181" w:name="_Toc3572"/>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r>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本基金将根据《基金合同》约定进入清算程序并终止，无需召开基金份额持有人大会进行表决。</w:t>
      </w:r>
    </w:p>
    <w:p w:rsidR="003E4D36" w:rsidRDefault="00E729B5">
      <w:pPr>
        <w:widowControl/>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法律法规另有规定时，从其规定。</w:t>
      </w:r>
      <w:r>
        <w:rPr>
          <w:rFonts w:asciiTheme="minorEastAsia" w:hAnsiTheme="minorEastAsia" w:cs="Times New Roman"/>
          <w:sz w:val="24"/>
          <w:szCs w:val="24"/>
        </w:rPr>
        <w:br w:type="page"/>
      </w:r>
    </w:p>
    <w:p w:rsidR="003E4D36" w:rsidRDefault="00E729B5">
      <w:pPr>
        <w:pStyle w:val="1"/>
        <w:jc w:val="center"/>
        <w:rPr>
          <w:rFonts w:ascii="Arial" w:hAnsi="Arial" w:cs="Arial"/>
          <w:bCs/>
          <w:sz w:val="30"/>
          <w:szCs w:val="30"/>
        </w:rPr>
      </w:pPr>
      <w:bookmarkStart w:id="182" w:name="_Toc523243823"/>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rsidR="003E4D36" w:rsidRDefault="00E729B5">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予以公告。基金投资者应当在销售机构办理基金销售业务的营业场所或按销售机构提供的其他方式办理基金份额的申购与赎回。</w:t>
      </w:r>
    </w:p>
    <w:p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hint="eastAsia"/>
          <w:sz w:val="24"/>
          <w:szCs w:val="24"/>
        </w:rPr>
        <w:t>1、开放日及开放时间</w:t>
      </w:r>
    </w:p>
    <w:p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本基金已于2018年2月26日开始办理申购、赎回业务。</w:t>
      </w:r>
    </w:p>
    <w:p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3"/>
    <w:p w:rsidR="003E4D36" w:rsidRDefault="00E729B5">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rsidR="003E4D36" w:rsidRDefault="00E729B5">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类基金份额，首次单笔最低申购金额为人民币1.00元，追加申购单笔最低金额为人民币1.00元。投资人申购 C 类基金份额，首次单笔</w:t>
      </w:r>
      <w:r>
        <w:rPr>
          <w:rFonts w:asciiTheme="minorEastAsia" w:hAnsiTheme="minorEastAsia" w:cs="Arial" w:hint="eastAsia"/>
          <w:sz w:val="24"/>
          <w:szCs w:val="24"/>
        </w:rPr>
        <w:lastRenderedPageBreak/>
        <w:t xml:space="preserve">最低申购金额为人民币 </w:t>
      </w:r>
      <w:r>
        <w:rPr>
          <w:rFonts w:asciiTheme="minorEastAsia" w:hAnsiTheme="minorEastAsia" w:cs="Arial" w:hint="eastAsia"/>
          <w:kern w:val="0"/>
          <w:sz w:val="24"/>
          <w:szCs w:val="24"/>
        </w:rPr>
        <w:t>5,000,000</w:t>
      </w:r>
      <w:r>
        <w:rPr>
          <w:rFonts w:asciiTheme="minorEastAsia" w:hAnsiTheme="minorEastAsia" w:cs="Arial" w:hint="eastAsia"/>
          <w:sz w:val="24"/>
          <w:szCs w:val="24"/>
        </w:rPr>
        <w:t>.00元，追加申购单笔最低金额为人民币 1.00 元。各销售机构在不低于上述规定的前提下， 可根据自己的情况调整首次最低申购金额和追加最低申购金额和追加最低申购金额限制，具体以销售机构公布的为准。</w:t>
      </w:r>
    </w:p>
    <w:p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1.00 份，若某笔赎回导致单个交易账户的某一类别基金份额余额少于 1.00 份时，该类份额余额部分基金份额必须一同赎回。</w:t>
      </w:r>
    </w:p>
    <w:p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rsidR="003E4D36" w:rsidRDefault="00E729B5">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3E4D36" w:rsidRDefault="00E729B5">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rsidR="003E4D36" w:rsidRDefault="00E729B5">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84"/>
        <w:gridCol w:w="4312"/>
      </w:tblGrid>
      <w:tr w:rsidR="003E4D36">
        <w:trPr>
          <w:trHeight w:val="190"/>
          <w:jc w:val="center"/>
        </w:trPr>
        <w:tc>
          <w:tcPr>
            <w:tcW w:w="8296" w:type="dxa"/>
            <w:gridSpan w:val="2"/>
            <w:tcBorders>
              <w:top w:val="single" w:sz="4" w:space="0" w:color="auto"/>
              <w:left w:val="single" w:sz="4" w:space="0" w:color="auto"/>
              <w:bottom w:val="single" w:sz="4" w:space="0" w:color="auto"/>
              <w:right w:val="single" w:sz="4" w:space="0" w:color="auto"/>
            </w:tcBorders>
          </w:tcPr>
          <w:p w:rsidR="003E4D36" w:rsidRDefault="00E729B5">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3E4D36">
        <w:trPr>
          <w:trHeight w:val="190"/>
          <w:jc w:val="center"/>
        </w:trPr>
        <w:tc>
          <w:tcPr>
            <w:tcW w:w="3984" w:type="dxa"/>
            <w:tcBorders>
              <w:top w:val="single" w:sz="4" w:space="0" w:color="auto"/>
              <w:left w:val="single" w:sz="4" w:space="0" w:color="auto"/>
              <w:bottom w:val="single" w:sz="4" w:space="0" w:color="auto"/>
              <w:right w:val="single" w:sz="4" w:space="0" w:color="auto"/>
            </w:tcBorders>
          </w:tcPr>
          <w:p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312" w:type="dxa"/>
            <w:tcBorders>
              <w:top w:val="single" w:sz="4" w:space="0" w:color="auto"/>
              <w:left w:val="single" w:sz="4" w:space="0" w:color="auto"/>
              <w:bottom w:val="single" w:sz="4" w:space="0" w:color="auto"/>
              <w:right w:val="single" w:sz="4" w:space="0" w:color="auto"/>
            </w:tcBorders>
          </w:tcPr>
          <w:p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3E4D36">
        <w:trPr>
          <w:trHeight w:val="190"/>
          <w:jc w:val="center"/>
        </w:trPr>
        <w:tc>
          <w:tcPr>
            <w:tcW w:w="3984" w:type="dxa"/>
            <w:tcBorders>
              <w:top w:val="single" w:sz="4" w:space="0" w:color="auto"/>
              <w:left w:val="single" w:sz="4" w:space="0" w:color="auto"/>
              <w:bottom w:val="single" w:sz="4" w:space="0" w:color="auto"/>
              <w:right w:val="single" w:sz="4" w:space="0" w:color="auto"/>
            </w:tcBorders>
          </w:tcPr>
          <w:p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4312" w:type="dxa"/>
            <w:tcBorders>
              <w:top w:val="single" w:sz="4" w:space="0" w:color="auto"/>
              <w:left w:val="single" w:sz="4" w:space="0" w:color="auto"/>
              <w:bottom w:val="single" w:sz="4" w:space="0" w:color="auto"/>
              <w:right w:val="single" w:sz="4" w:space="0" w:color="auto"/>
            </w:tcBorders>
          </w:tcPr>
          <w:p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3E4D36">
        <w:trPr>
          <w:trHeight w:val="190"/>
          <w:jc w:val="center"/>
        </w:trPr>
        <w:tc>
          <w:tcPr>
            <w:tcW w:w="3984" w:type="dxa"/>
            <w:tcBorders>
              <w:top w:val="single" w:sz="4" w:space="0" w:color="auto"/>
              <w:left w:val="single" w:sz="4" w:space="0" w:color="auto"/>
              <w:bottom w:val="single" w:sz="4" w:space="0" w:color="auto"/>
              <w:right w:val="single" w:sz="4" w:space="0" w:color="auto"/>
            </w:tcBorders>
          </w:tcPr>
          <w:p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4312" w:type="dxa"/>
            <w:tcBorders>
              <w:top w:val="single" w:sz="4" w:space="0" w:color="auto"/>
              <w:left w:val="single" w:sz="4" w:space="0" w:color="auto"/>
              <w:bottom w:val="single" w:sz="4" w:space="0" w:color="auto"/>
              <w:right w:val="single" w:sz="4" w:space="0" w:color="auto"/>
            </w:tcBorders>
          </w:tcPr>
          <w:p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3E4D36">
        <w:trPr>
          <w:trHeight w:val="190"/>
          <w:jc w:val="center"/>
        </w:trPr>
        <w:tc>
          <w:tcPr>
            <w:tcW w:w="3984" w:type="dxa"/>
            <w:tcBorders>
              <w:top w:val="single" w:sz="4" w:space="0" w:color="auto"/>
              <w:left w:val="single" w:sz="4" w:space="0" w:color="auto"/>
              <w:bottom w:val="single" w:sz="4" w:space="0" w:color="auto"/>
              <w:right w:val="single" w:sz="4" w:space="0" w:color="auto"/>
            </w:tcBorders>
          </w:tcPr>
          <w:p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4312" w:type="dxa"/>
            <w:tcBorders>
              <w:top w:val="single" w:sz="4" w:space="0" w:color="auto"/>
              <w:left w:val="single" w:sz="4" w:space="0" w:color="auto"/>
              <w:bottom w:val="single" w:sz="4" w:space="0" w:color="auto"/>
              <w:right w:val="single" w:sz="4" w:space="0" w:color="auto"/>
            </w:tcBorders>
          </w:tcPr>
          <w:p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3E4D36">
        <w:trPr>
          <w:trHeight w:val="190"/>
          <w:jc w:val="center"/>
        </w:trPr>
        <w:tc>
          <w:tcPr>
            <w:tcW w:w="3984" w:type="dxa"/>
            <w:tcBorders>
              <w:top w:val="single" w:sz="4" w:space="0" w:color="auto"/>
              <w:left w:val="single" w:sz="4" w:space="0" w:color="auto"/>
              <w:bottom w:val="single" w:sz="4" w:space="0" w:color="auto"/>
              <w:right w:val="single" w:sz="4" w:space="0" w:color="auto"/>
            </w:tcBorders>
          </w:tcPr>
          <w:p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4312" w:type="dxa"/>
            <w:tcBorders>
              <w:top w:val="single" w:sz="4" w:space="0" w:color="auto"/>
              <w:left w:val="single" w:sz="4" w:space="0" w:color="auto"/>
              <w:bottom w:val="single" w:sz="4" w:space="0" w:color="auto"/>
              <w:right w:val="single" w:sz="4" w:space="0" w:color="auto"/>
            </w:tcBorders>
          </w:tcPr>
          <w:p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3E4D36">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rsidR="003E4D36" w:rsidRDefault="00E729B5">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3E4D36">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rsidR="003E4D36" w:rsidRDefault="00E729B5">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rsidR="003E4D36" w:rsidRDefault="003E4D36">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rsidR="003E4D36" w:rsidRDefault="00E729B5">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3E4D36">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3E4D36" w:rsidRDefault="00E729B5">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rsidR="003E4D36" w:rsidRDefault="00E729B5">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rsidR="003E4D36" w:rsidRDefault="00E729B5">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3E4D36">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rsidR="003E4D36" w:rsidRDefault="00E729B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3E4D36">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rsidR="003E4D36" w:rsidRDefault="00E729B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3E4D36">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rsidR="003E4D36" w:rsidRDefault="00E729B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3E4D36">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rsidR="003E4D36" w:rsidRDefault="00E729B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rsidR="003E4D36" w:rsidRDefault="00E729B5">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rsidR="003E4D36" w:rsidRDefault="00E729B5">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（2）当申购费用为固定金额时，申购份额的计算方法如下：</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rsidR="003E4D36" w:rsidRDefault="00E729B5">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w:t>
      </w:r>
      <w:r>
        <w:rPr>
          <w:rFonts w:asciiTheme="minorEastAsia" w:hAnsiTheme="minorEastAsia" w:cs="Times New Roman" w:hint="eastAsia"/>
          <w:sz w:val="24"/>
          <w:szCs w:val="24"/>
        </w:rPr>
        <w:lastRenderedPageBreak/>
        <w:t>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rsidR="003E4D36" w:rsidRDefault="00E729B5">
      <w:pPr>
        <w:spacing w:line="360" w:lineRule="auto"/>
        <w:ind w:firstLineChars="200" w:firstLine="480"/>
        <w:rPr>
          <w:bCs/>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w:t>
      </w:r>
    </w:p>
    <w:p w:rsidR="003E4D36" w:rsidRDefault="00E729B5">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rsidR="003E4D36" w:rsidRDefault="00E729B5">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rsidR="003E4D36" w:rsidRDefault="00E729B5">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rsidR="003E4D36" w:rsidRDefault="00E729B5">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rsidR="003E4D36" w:rsidRDefault="00E729B5">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w:t>
      </w:r>
      <w:r>
        <w:rPr>
          <w:rFonts w:asciiTheme="minorEastAsia" w:hAnsiTheme="minorEastAsia" w:cs="Arial" w:hint="eastAsia"/>
          <w:sz w:val="24"/>
          <w:szCs w:val="24"/>
        </w:rPr>
        <w:lastRenderedPageBreak/>
        <w:t>投资人的赎回申请或延缓支付赎回款项。</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17920"/>
      <w:bookmarkStart w:id="186" w:name="_Toc32584"/>
      <w:bookmarkStart w:id="187" w:name="_Toc739"/>
      <w:bookmarkStart w:id="188" w:name="_Toc352229756"/>
      <w:bookmarkStart w:id="189" w:name="_Toc20976"/>
      <w:bookmarkStart w:id="190" w:name="_Toc123051456"/>
      <w:bookmarkStart w:id="191" w:name="_Toc48649708"/>
      <w:bookmarkStart w:id="192" w:name="_Toc29408"/>
      <w:bookmarkStart w:id="193" w:name="_Toc139991740"/>
      <w:bookmarkStart w:id="194" w:name="_Toc123112238"/>
      <w:bookmarkStart w:id="195" w:name="_Toc5170"/>
      <w:bookmarkStart w:id="196" w:name="_Toc32092"/>
      <w:bookmarkStart w:id="197" w:name="_Toc3329"/>
      <w:bookmarkStart w:id="198" w:name="_Toc79392622"/>
      <w:bookmarkStart w:id="199" w:name="_Toc141703890"/>
      <w:bookmarkStart w:id="200" w:name="_Toc123102457"/>
      <w:bookmarkStart w:id="201" w:name="_Toc17198"/>
      <w:bookmarkStart w:id="202" w:name="_Toc8791"/>
      <w:bookmarkStart w:id="203" w:name="_Toc21237"/>
      <w:bookmarkStart w:id="204" w:name="_Toc98560356"/>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rsidR="003E4D36" w:rsidRDefault="00E729B5">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lastRenderedPageBreak/>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p>
    <w:p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当发生上述巨额赎回并延期办理时，基金管理人应当通过邮寄、传真或者招募说明书规定的其他方式在3个交易日内通知基金份额持有人，说明有关处理方法，同时在指定媒介上刊登公告。</w:t>
      </w:r>
    </w:p>
    <w:p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1、发生上述暂停申购或赎回情况的，基金管理人当日应立即向中国证监会备案，并在规定期限内在指定媒介上刊登暂停公告。</w:t>
      </w:r>
    </w:p>
    <w:p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w:t>
      </w:r>
      <w:r>
        <w:rPr>
          <w:rFonts w:asciiTheme="minorEastAsia" w:hAnsiTheme="minorEastAsia" w:cs="Arial" w:hint="eastAsia"/>
          <w:sz w:val="24"/>
          <w:szCs w:val="24"/>
        </w:rPr>
        <w:lastRenderedPageBreak/>
        <w:t>相关规则由基金管理人届时根据相关法律法规及基金合同的规定制定并公告，并提前告知基金托管人与相关机构。</w:t>
      </w:r>
    </w:p>
    <w:p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如相关法律法规允许基金管理人办理基金份额的质押业务或其他基金业务，基金管理人将制定和实施相应的业务规则。</w:t>
      </w:r>
    </w:p>
    <w:p w:rsidR="003E4D36" w:rsidRDefault="00E729B5">
      <w:pPr>
        <w:widowControl/>
        <w:jc w:val="left"/>
        <w:rPr>
          <w:rFonts w:asciiTheme="minorEastAsia" w:hAnsiTheme="minorEastAsia" w:cs="Arial"/>
          <w:sz w:val="24"/>
          <w:szCs w:val="24"/>
        </w:rPr>
      </w:pPr>
      <w:r>
        <w:rPr>
          <w:rFonts w:asciiTheme="minorEastAsia" w:hAnsiTheme="minorEastAsia" w:cs="Arial"/>
          <w:sz w:val="24"/>
          <w:szCs w:val="24"/>
        </w:rPr>
        <w:br w:type="page"/>
      </w:r>
    </w:p>
    <w:p w:rsidR="003E4D36" w:rsidRDefault="00E729B5">
      <w:pPr>
        <w:pStyle w:val="1"/>
        <w:jc w:val="center"/>
        <w:rPr>
          <w:sz w:val="30"/>
          <w:szCs w:val="30"/>
        </w:rPr>
      </w:pPr>
      <w:bookmarkStart w:id="205" w:name="_Toc523243824"/>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rsidR="003E4D36" w:rsidRDefault="00E729B5">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一、投资目标</w:t>
      </w:r>
    </w:p>
    <w:p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rsidR="003E4D36" w:rsidRDefault="00E729B5">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二、投资范围</w:t>
      </w:r>
    </w:p>
    <w:p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范围主要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三、投资策略</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（一）资产配置策略</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通过跟踪考量通常的宏观经济变量（包括GDP增长率、CPI走势、M2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（二）债券投资策略</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本基金债券投资将采取久期策略、收益率曲线策略、骑乘策略、息差策略、</w:t>
      </w:r>
      <w:r>
        <w:rPr>
          <w:rFonts w:asciiTheme="minorEastAsia" w:hAnsiTheme="minorEastAsia" w:cs="Times New Roman" w:hint="eastAsia"/>
          <w:bCs/>
          <w:sz w:val="24"/>
          <w:szCs w:val="24"/>
        </w:rPr>
        <w:lastRenderedPageBreak/>
        <w:t>个券选择策略、信用策略、中小企业私募债投资策略等积极投资策略，灵活地调整组合的券种搭配，精选个券，力争实现投资组合的保值增值。</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1、久期策略</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久期管理是债券投资的重要考量因素，本基金将采用以“目标久期”为中心、 自上而下的组合久期管理策略。</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2、收益率曲线策略</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收益率曲线的形状变化是判断市场整体走向的一个重要依据，本基金将据此调整组合长、中、短期债券的搭配，并进行动态调整。</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3、骑乘策略</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本基金将采用基于收益率曲线分析对债券组合进行适时调整的骑乘策略， 以达到增强组合的持有期收益的目的。</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4、息差策略</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本基金将采用息差策略，以达到更好地利用杠杆放大债券投资的收益的目的。</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5、个券选择策略</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本基金将根据单个债券到期收益率相对于市场收益率曲线的偏离程度，结合信用等级、流动性、选择权条款、税赋特点等因素，确定其投资价值，选择定价合理或价值被低估的债券进行投资。</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6、信用策略</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7、中小企业私募债券策略</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本基金将深入研究发行人资信及公司运营情况，合理合规合格地进行中小企业私募债券投资。本基金在投资过程中密切监控债券信用等级或发行人信用等级变化情况，尽力规避风险，并获取超额收益。</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（三）股票投资策略</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1、自上而下的行业遴选</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2、自下而上的个股选择</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另一方面是管理层分析，在国内监管体系落后、公司治理结构不完善的基础上，上市公司的命运对管理团队的依赖度大大增加。本基金将着重考察公司的管理层以及管理制度。</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3、综合研判</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和增长性分析，确定具有上升基础的股价水平。</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（四）金融衍生品投资策略</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1、权证投资策略</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权证为本基金辅助性投资工具，投资原则为有利于基金资产增值、控制下跌</w:t>
      </w:r>
      <w:r>
        <w:rPr>
          <w:rFonts w:asciiTheme="minorEastAsia" w:hAnsiTheme="minorEastAsia" w:cs="Times New Roman" w:hint="eastAsia"/>
          <w:bCs/>
          <w:sz w:val="24"/>
          <w:szCs w:val="24"/>
        </w:rPr>
        <w:lastRenderedPageBreak/>
        <w:t>风险。本基金在权证投资方面将以价值分析为基础，在采用数量化模型分析其合理定价的基础上，立足于无风险套利，力求稳健的投资收益。</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2、股指期货投资策略</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本基金将根据风险管理的原则，以套期保值为目的，在风险可控的前提下，本着谨慎原则，参与股指期货的投资，以管理投资组合的系统性风险，改善组合的风险收益特性。</w:t>
      </w:r>
    </w:p>
    <w:p w:rsidR="003E4D36" w:rsidRDefault="00E729B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rsidR="003E4D36" w:rsidRDefault="00E729B5">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rsidR="003E4D36" w:rsidRDefault="00E729B5">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rsidR="003E4D36" w:rsidRDefault="00E729B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rsidR="003E4D36" w:rsidRDefault="00E729B5">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未来，根据市场情况，基金可相应调整和更新相关投资策略，并在招募说明书更新中公告。</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（五）资产支持证券投资策略</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rsidR="003E4D36" w:rsidRDefault="00E729B5">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四、投资限制</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1、组合限制</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基金的投资组合应遵循以下限制：</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（1）股票投资占基金资产的比例为0%–95%；</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（2）每个交易日日终在扣除股指期货、国债期货合约需缴纳的交易保证金后，保持不低于基金资产净值5％的现金或者到期日在一年以内的政府债券，其中现金不包括结算备付金、存出保证金、应收申购款等；</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（3）本基金持有一家公司发行的证券，其市值不超过基金资产净值的10％；</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（5）本基金持有的全部权证，其市值不得超过基金资产净值的3％；</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（6）本基金管理人管理的全部基金持有的同一权证，不得超过该权证的   10％；</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（7）本基金在任何交易日买入权证的总金额，不得超过上一交易日基金资产净值的0.5％；</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（8）本基金投资于同一原始权益人的各类资产支持证券的比例，不得超过基金资产净值的10％；</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（9）本基金持有的全部资产支持证券，其市值不得超过基金资产净值的20％，中国证监会规定的特殊品种除外；</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（10）本基金持有的同一(指同一信用级别)资产支持证券的比例，不得超过该资产支持证券规模的10％；</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（11）本基金管理人管理的全部基金投资于同一原始权益人的各类资产支持证券，不得超过其各类资产支持证券合计规模的10％；</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（12）本基金应投资于信用级别评级为BBB以上(含BBB)的资产支持证券。基金持有资产支持证券期间，如果其信用等级下降、不再符合投资标准，应在评级报告发布之日起3个月内予以全部卖出；</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（13）基金财产参与股票发行申购，本基金所申报的金额不超过本基金的总资产，本基金所申报的股票数量不超过拟发行股票公司本次发行股票的总量；</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（14）本基金进入全国银行间同业市场进行债券回购的资金余额不得超过基金资产净值的40%，在全国银行间同业市场的债券回购最长期限为1年，债券回购到期后不得展期；</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（15）本基金总资产不得超过基金净资产的 140%；</w:t>
      </w:r>
    </w:p>
    <w:p w:rsidR="003E4D36" w:rsidRDefault="00E729B5">
      <w:pPr>
        <w:autoSpaceDE w:val="0"/>
        <w:autoSpaceDN w:val="0"/>
        <w:spacing w:line="276"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Times New Roman" w:hint="eastAsia"/>
          <w:bCs/>
          <w:sz w:val="24"/>
          <w:szCs w:val="24"/>
        </w:rPr>
        <w:t>基金投资于中小企业私募债的比例不超过基金资产净值的20%；</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（17）本基金参与股指期货、国债期货交易，需遵守下列规定：</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1）本基金在任何交易日日终，持有的买入股指期货合约价值，不得超过基金资产净值的10%；</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3）本基金在任何交易日日终，持有的卖出股指期货合约价值不得超过基金持有的股票总市值的20%；</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4）本基金在任何交易日内交易（不包括平仓）的股指期货合约的成交金额不得超过上一交易日基金资产净值的20%；</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5）本基金所持有的股票市值和买入、卖出股指期货合约价值，合计（轧差计算）应当符合基金合同关于股票投资比例的有关规定；</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6）本基金在任何交易日日终，持有的买入国债期货合约价值，不得超过基金资产净值的15%；</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7）本基金在任何交易日日终，持有的卖出国债期货合约价值不得超过基金持有的债券总市值的30%；</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8）本基金在任何交易日内交易（不包括平仓）的国债期货合约的成交金额不得超过上一交易日基金资产净值的30%；</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（18）本基金参与股票期权交易，需遵守下列投资比例限制：</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3）本基金未平仓的期权合约面值不得超过基金资产净值的20%。其中，合约面值按照行权价乘以合约乘数计算；</w:t>
      </w:r>
    </w:p>
    <w:p w:rsidR="003E4D36" w:rsidRDefault="00E729B5">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w:t>
      </w:r>
      <w:r>
        <w:rPr>
          <w:rFonts w:hint="eastAsia"/>
          <w:bCs/>
          <w:sz w:val="24"/>
        </w:rPr>
        <w:lastRenderedPageBreak/>
        <w:t>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rsidR="003E4D36" w:rsidRDefault="00E729B5">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rsidR="003E4D36" w:rsidRDefault="00E729B5">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3E4D36" w:rsidRDefault="00E729B5">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）本基金与私募类证券资管产品及中国证监会认定的其他主体为交易对手开展逆回购交易的，可接受质押品的资质要求应当与基金合同约定的投资范围保持一致；</w:t>
      </w:r>
    </w:p>
    <w:p w:rsidR="003E4D36" w:rsidRDefault="00E729B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3E4D36" w:rsidRDefault="00E729B5">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法律法规或监管部门取消或调整上述限制，如适用于本基金，基金管理人在履行适当程序后，则本基金投资不再受相关限制或按调整后的规定执行。</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2、禁止行为</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（1）承销证券；</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（2）违反规定向他人贷款或者提供担保；</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（3）从事承担无限责任的投资；</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（4）买卖其他基金份额，但是中国证监会另有规定的除外；</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（5）向其基金管理人、基金托管人出资；</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（6）从事内幕交易、操纵证券交易价格及其他不正当的证券交易活动；</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（7）法律、行政法规和中国证监会规定禁止的其他活动。</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法律、行政法规或监管部门取消上述禁止性规定，如适用于本基金，则本基金投资不再受相关限制。</w:t>
      </w:r>
    </w:p>
    <w:p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五、业绩比较基准</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本基金的业绩比较基准为：中证全债指数收益率×70%+沪深300指数收益率×30%</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中证全债指数的选样债券的信用类别覆盖全面，期限构成宽泛，适于做基金债券资产的业绩比较基准。沪深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六、风险收益特征</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本基金属于混合型基金，其预期风险和预期收益高于货币市场基金、债券基金，低于股票型基金，属于证券投资基金中中高风险、中高预期收益的品种。</w:t>
      </w:r>
    </w:p>
    <w:p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七、基金管理人代表基金行使股东和债权人权利的处理原则及方法</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1、基金管理人按照国家有关规定代表基金独立行使股东和债权人权利，保护基金份额持有人的利益；</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2、不谋求对上市公司的控股，不参与所投资上市公司的经营管理；</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3、有利于基金财产的安全与增值；</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rsidR="003E4D36" w:rsidRDefault="00E729B5">
      <w:pPr>
        <w:spacing w:line="360" w:lineRule="auto"/>
        <w:ind w:firstLineChars="200" w:firstLine="482"/>
        <w:jc w:val="left"/>
        <w:rPr>
          <w:rFonts w:ascii="宋体" w:hAnsi="宋体" w:cs="Arial"/>
          <w:b/>
          <w:bCs/>
          <w:sz w:val="24"/>
        </w:rPr>
      </w:pPr>
      <w:r>
        <w:rPr>
          <w:rFonts w:ascii="宋体" w:hAnsi="宋体" w:cs="Arial" w:hint="eastAsia"/>
          <w:b/>
          <w:bCs/>
          <w:sz w:val="24"/>
        </w:rPr>
        <w:t>八、基金投资组合报告</w:t>
      </w:r>
    </w:p>
    <w:p w:rsidR="003E4D36" w:rsidRDefault="00E729B5">
      <w:pPr>
        <w:spacing w:line="360" w:lineRule="auto"/>
        <w:ind w:firstLineChars="200" w:firstLine="480"/>
        <w:rPr>
          <w:rFonts w:ascii="宋体" w:hAnsi="宋体" w:cs="Arial"/>
          <w:bCs/>
          <w:sz w:val="24"/>
        </w:rPr>
      </w:pPr>
      <w:r>
        <w:rPr>
          <w:rFonts w:ascii="宋体" w:hAnsi="宋体" w:cs="Arial" w:hint="eastAsia"/>
          <w:bCs/>
          <w:sz w:val="24"/>
        </w:rPr>
        <w:t>基金管理人的董事会及董事保证本报告所载资料不存在虚假记载、误导性陈述或重大遗漏，并对其内容的真实性、准确性和完整性承担个别及连带责任。</w:t>
      </w:r>
    </w:p>
    <w:p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基金托管人平安银行股份有限公司根据本基金合同规定，于2019年</w:t>
      </w:r>
      <w:r w:rsidR="00B06A50">
        <w:rPr>
          <w:rFonts w:ascii="宋体" w:hAnsi="宋体" w:cs="Arial" w:hint="eastAsia"/>
          <w:bCs/>
          <w:sz w:val="24"/>
        </w:rPr>
        <w:t>02</w:t>
      </w:r>
      <w:r>
        <w:rPr>
          <w:rFonts w:ascii="宋体" w:hAnsi="宋体" w:cs="Arial" w:hint="eastAsia"/>
          <w:bCs/>
          <w:sz w:val="24"/>
        </w:rPr>
        <w:t>月</w:t>
      </w:r>
      <w:r w:rsidR="00B06A50">
        <w:rPr>
          <w:rFonts w:ascii="宋体" w:hAnsi="宋体" w:cs="Arial" w:hint="eastAsia"/>
          <w:bCs/>
          <w:sz w:val="24"/>
        </w:rPr>
        <w:t>22</w:t>
      </w:r>
      <w:r>
        <w:rPr>
          <w:rFonts w:ascii="宋体" w:hAnsi="宋体" w:cs="Arial" w:hint="eastAsia"/>
          <w:bCs/>
          <w:sz w:val="24"/>
        </w:rPr>
        <w:t>日复核了本报告中的财务指标、净值表现和投资组合报告等内容，保证复核内容不存在虚假记载、误导性陈述或者重大遗漏。</w:t>
      </w:r>
    </w:p>
    <w:p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本投资组合报告所载数据截至2018年12月31日，本报告中所列财务数据未经审计。</w:t>
      </w:r>
    </w:p>
    <w:p w:rsidR="00220CDC" w:rsidRDefault="00220CDC" w:rsidP="00220CDC">
      <w:pPr>
        <w:autoSpaceDE w:val="0"/>
        <w:autoSpaceDN w:val="0"/>
        <w:spacing w:line="360" w:lineRule="auto"/>
        <w:ind w:firstLineChars="50" w:firstLine="120"/>
        <w:textAlignment w:val="bottom"/>
        <w:rPr>
          <w:rFonts w:cs="Arial"/>
          <w:bCs/>
          <w:sz w:val="24"/>
          <w:szCs w:val="24"/>
        </w:rPr>
      </w:pPr>
      <w:r>
        <w:rPr>
          <w:rFonts w:cs="Arial"/>
          <w:bCs/>
          <w:sz w:val="24"/>
          <w:szCs w:val="24"/>
        </w:rPr>
        <w:t>1</w:t>
      </w:r>
      <w:r>
        <w:rPr>
          <w:rFonts w:cs="Arial" w:hint="eastAsia"/>
          <w:bCs/>
          <w:sz w:val="24"/>
          <w:szCs w:val="24"/>
        </w:rPr>
        <w:t>、报告期末基金资产组合情况</w:t>
      </w:r>
    </w:p>
    <w:tbl>
      <w:tblPr>
        <w:tblW w:w="8175" w:type="dxa"/>
        <w:tblInd w:w="108" w:type="dxa"/>
        <w:tblLayout w:type="fixed"/>
        <w:tblLook w:val="04A0" w:firstRow="1" w:lastRow="0" w:firstColumn="1" w:lastColumn="0" w:noHBand="0" w:noVBand="1"/>
      </w:tblPr>
      <w:tblGrid>
        <w:gridCol w:w="754"/>
        <w:gridCol w:w="2810"/>
        <w:gridCol w:w="2167"/>
        <w:gridCol w:w="2444"/>
      </w:tblGrid>
      <w:tr w:rsidR="00220CDC" w:rsidTr="00220CDC">
        <w:tc>
          <w:tcPr>
            <w:tcW w:w="754"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rPr>
                <w:rFonts w:ascii="宋体" w:hAnsi="宋体" w:cs="宋体"/>
                <w:color w:val="000000"/>
                <w:kern w:val="0"/>
                <w:sz w:val="24"/>
              </w:rPr>
            </w:pPr>
            <w:r>
              <w:rPr>
                <w:rFonts w:ascii="宋体" w:hAnsi="宋体" w:cs="宋体" w:hint="eastAsia"/>
                <w:color w:val="000000"/>
                <w:kern w:val="0"/>
                <w:sz w:val="24"/>
              </w:rPr>
              <w:t>序号</w:t>
            </w: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rPr>
                <w:rFonts w:ascii="宋体" w:hAnsi="宋体" w:cs="宋体"/>
                <w:color w:val="000000"/>
                <w:kern w:val="0"/>
                <w:sz w:val="24"/>
              </w:rPr>
            </w:pPr>
            <w:r>
              <w:rPr>
                <w:rFonts w:ascii="宋体" w:hAnsi="宋体" w:cs="宋体" w:hint="eastAsia"/>
                <w:color w:val="000000"/>
                <w:kern w:val="0"/>
                <w:sz w:val="24"/>
              </w:rPr>
              <w:t>项目</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rPr>
                <w:rFonts w:ascii="宋体" w:hAnsi="宋体" w:cs="宋体"/>
                <w:color w:val="000000"/>
                <w:kern w:val="0"/>
                <w:sz w:val="24"/>
              </w:rPr>
            </w:pPr>
            <w:r>
              <w:rPr>
                <w:rFonts w:ascii="宋体" w:hAnsi="宋体" w:cs="宋体" w:hint="eastAsia"/>
                <w:color w:val="000000"/>
                <w:kern w:val="0"/>
                <w:sz w:val="24"/>
              </w:rPr>
              <w:t>金额(元)</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rPr>
                <w:rFonts w:ascii="宋体" w:hAnsi="宋体" w:cs="宋体"/>
                <w:color w:val="000000"/>
                <w:kern w:val="0"/>
                <w:sz w:val="24"/>
              </w:rPr>
            </w:pPr>
            <w:r>
              <w:rPr>
                <w:rFonts w:ascii="宋体" w:hAnsi="宋体" w:cs="宋体" w:hint="eastAsia"/>
                <w:color w:val="000000"/>
                <w:kern w:val="0"/>
                <w:sz w:val="24"/>
              </w:rPr>
              <w:t>占基金总资产的比例（%）</w:t>
            </w:r>
          </w:p>
        </w:tc>
      </w:tr>
      <w:tr w:rsidR="00220CDC" w:rsidTr="00220CDC">
        <w:tc>
          <w:tcPr>
            <w:tcW w:w="754"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rPr>
                <w:rFonts w:ascii="宋体" w:hAnsi="宋体" w:cs="宋体"/>
                <w:color w:val="000000"/>
                <w:kern w:val="0"/>
                <w:sz w:val="24"/>
              </w:rPr>
            </w:pPr>
            <w:r>
              <w:rPr>
                <w:rFonts w:ascii="宋体" w:hAnsi="宋体" w:cs="宋体" w:hint="eastAsia"/>
                <w:color w:val="000000"/>
                <w:kern w:val="0"/>
                <w:sz w:val="24"/>
              </w:rPr>
              <w:t>1</w:t>
            </w: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权益投资</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w:t>
            </w:r>
          </w:p>
        </w:tc>
      </w:tr>
      <w:tr w:rsidR="00220CDC" w:rsidTr="00220CDC">
        <w:tc>
          <w:tcPr>
            <w:tcW w:w="754" w:type="dxa"/>
            <w:tcBorders>
              <w:top w:val="single" w:sz="8" w:space="0" w:color="000000"/>
              <w:left w:val="single" w:sz="8" w:space="0" w:color="000000"/>
              <w:bottom w:val="single" w:sz="4" w:space="0" w:color="000000"/>
              <w:right w:val="single" w:sz="8" w:space="0" w:color="000000"/>
            </w:tcBorders>
            <w:vAlign w:val="center"/>
          </w:tcPr>
          <w:p w:rsidR="00220CDC" w:rsidRDefault="00220CDC">
            <w:pPr>
              <w:widowControl/>
              <w:wordWrap w:val="0"/>
              <w:autoSpaceDE w:val="0"/>
              <w:autoSpaceDN w:val="0"/>
              <w:adjustRightInd w:val="0"/>
              <w:spacing w:before="29" w:line="288" w:lineRule="auto"/>
              <w:ind w:left="15"/>
              <w:jc w:val="center"/>
              <w:rPr>
                <w:rFonts w:ascii="宋体" w:hAnsi="宋体" w:cs="宋体"/>
                <w:color w:val="000000"/>
                <w:kern w:val="0"/>
                <w:sz w:val="24"/>
              </w:rPr>
            </w:pP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其中：股票</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w:t>
            </w:r>
          </w:p>
        </w:tc>
      </w:tr>
      <w:tr w:rsidR="00220CDC" w:rsidTr="00220CDC">
        <w:tc>
          <w:tcPr>
            <w:tcW w:w="754"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rPr>
                <w:rFonts w:ascii="宋体" w:hAnsi="宋体" w:cs="宋体"/>
                <w:color w:val="000000"/>
                <w:kern w:val="0"/>
                <w:sz w:val="24"/>
              </w:rPr>
            </w:pPr>
            <w:r>
              <w:rPr>
                <w:rFonts w:ascii="宋体" w:hAnsi="宋体" w:cs="宋体" w:hint="eastAsia"/>
                <w:color w:val="000000"/>
                <w:kern w:val="0"/>
                <w:sz w:val="24"/>
              </w:rPr>
              <w:t>2</w:t>
            </w: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基金投资</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w:t>
            </w:r>
          </w:p>
        </w:tc>
      </w:tr>
      <w:tr w:rsidR="00220CDC" w:rsidTr="00220CDC">
        <w:tc>
          <w:tcPr>
            <w:tcW w:w="754"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rPr>
                <w:rFonts w:ascii="宋体" w:hAnsi="宋体" w:cs="宋体"/>
                <w:color w:val="000000"/>
                <w:kern w:val="0"/>
                <w:sz w:val="24"/>
              </w:rPr>
            </w:pPr>
            <w:r>
              <w:rPr>
                <w:rFonts w:ascii="宋体" w:hAnsi="宋体" w:cs="宋体" w:hint="eastAsia"/>
                <w:color w:val="000000"/>
                <w:kern w:val="0"/>
                <w:sz w:val="24"/>
              </w:rPr>
              <w:t>3</w:t>
            </w: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固定收益投资</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w:t>
            </w:r>
          </w:p>
        </w:tc>
      </w:tr>
      <w:tr w:rsidR="00220CDC" w:rsidTr="00220CDC">
        <w:tc>
          <w:tcPr>
            <w:tcW w:w="754" w:type="dxa"/>
            <w:tcBorders>
              <w:top w:val="single" w:sz="8" w:space="0" w:color="000000"/>
              <w:left w:val="single" w:sz="8" w:space="0" w:color="000000"/>
              <w:bottom w:val="single" w:sz="4" w:space="0" w:color="000000"/>
              <w:right w:val="single" w:sz="8" w:space="0" w:color="000000"/>
            </w:tcBorders>
            <w:vAlign w:val="center"/>
          </w:tcPr>
          <w:p w:rsidR="00220CDC" w:rsidRDefault="00220CDC">
            <w:pPr>
              <w:widowControl/>
              <w:wordWrap w:val="0"/>
              <w:autoSpaceDE w:val="0"/>
              <w:autoSpaceDN w:val="0"/>
              <w:adjustRightInd w:val="0"/>
              <w:spacing w:before="29" w:line="288" w:lineRule="auto"/>
              <w:ind w:left="15"/>
              <w:jc w:val="center"/>
              <w:rPr>
                <w:rFonts w:ascii="宋体" w:hAnsi="宋体" w:cs="宋体"/>
                <w:color w:val="000000"/>
                <w:kern w:val="0"/>
                <w:sz w:val="24"/>
              </w:rPr>
            </w:pP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其中：债券</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w:t>
            </w:r>
          </w:p>
        </w:tc>
      </w:tr>
      <w:tr w:rsidR="00220CDC" w:rsidTr="00220CDC">
        <w:tc>
          <w:tcPr>
            <w:tcW w:w="754" w:type="dxa"/>
            <w:tcBorders>
              <w:top w:val="single" w:sz="8" w:space="0" w:color="000000"/>
              <w:left w:val="single" w:sz="8" w:space="0" w:color="000000"/>
              <w:bottom w:val="single" w:sz="4" w:space="0" w:color="000000"/>
              <w:right w:val="single" w:sz="8" w:space="0" w:color="000000"/>
            </w:tcBorders>
            <w:vAlign w:val="center"/>
          </w:tcPr>
          <w:p w:rsidR="00220CDC" w:rsidRDefault="00220CDC">
            <w:pPr>
              <w:widowControl/>
              <w:wordWrap w:val="0"/>
              <w:autoSpaceDE w:val="0"/>
              <w:autoSpaceDN w:val="0"/>
              <w:adjustRightInd w:val="0"/>
              <w:spacing w:before="29" w:line="288" w:lineRule="auto"/>
              <w:ind w:left="15"/>
              <w:jc w:val="center"/>
              <w:rPr>
                <w:rFonts w:ascii="宋体" w:hAnsi="宋体" w:cs="宋体"/>
                <w:color w:val="000000"/>
                <w:kern w:val="0"/>
                <w:sz w:val="24"/>
              </w:rPr>
            </w:pP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ind w:left="15"/>
              <w:jc w:val="center"/>
              <w:rPr>
                <w:rFonts w:ascii="宋体" w:hAnsi="宋体" w:cs="宋体"/>
                <w:color w:val="000000"/>
                <w:kern w:val="0"/>
                <w:sz w:val="24"/>
              </w:rPr>
            </w:pPr>
            <w:r>
              <w:rPr>
                <w:rFonts w:ascii="宋体" w:hAnsi="宋体" w:cs="宋体" w:hint="eastAsia"/>
                <w:color w:val="000000"/>
                <w:kern w:val="0"/>
                <w:sz w:val="24"/>
              </w:rPr>
              <w:t>资产支持证券</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w:t>
            </w:r>
          </w:p>
        </w:tc>
      </w:tr>
      <w:tr w:rsidR="00220CDC" w:rsidTr="00220CDC">
        <w:tc>
          <w:tcPr>
            <w:tcW w:w="754"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rPr>
                <w:rFonts w:ascii="宋体" w:hAnsi="宋体" w:cs="宋体"/>
                <w:color w:val="000000"/>
                <w:kern w:val="0"/>
                <w:sz w:val="24"/>
              </w:rPr>
            </w:pPr>
            <w:r>
              <w:rPr>
                <w:rFonts w:ascii="宋体" w:hAnsi="宋体" w:cs="宋体" w:hint="eastAsia"/>
                <w:color w:val="000000"/>
                <w:kern w:val="0"/>
                <w:sz w:val="24"/>
              </w:rPr>
              <w:t>4</w:t>
            </w: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贵金属投资</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w:t>
            </w:r>
          </w:p>
        </w:tc>
      </w:tr>
      <w:tr w:rsidR="00220CDC" w:rsidTr="00220CDC">
        <w:tc>
          <w:tcPr>
            <w:tcW w:w="754"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rPr>
                <w:rFonts w:ascii="宋体" w:hAnsi="宋体" w:cs="宋体"/>
                <w:color w:val="000000"/>
                <w:kern w:val="0"/>
                <w:sz w:val="24"/>
              </w:rPr>
            </w:pPr>
            <w:r>
              <w:rPr>
                <w:rFonts w:ascii="宋体" w:hAnsi="宋体" w:cs="宋体" w:hint="eastAsia"/>
                <w:color w:val="000000"/>
                <w:kern w:val="0"/>
                <w:sz w:val="24"/>
              </w:rPr>
              <w:t>5</w:t>
            </w: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金融衍生品投资</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w:t>
            </w:r>
          </w:p>
        </w:tc>
      </w:tr>
      <w:tr w:rsidR="00220CDC" w:rsidTr="00220CDC">
        <w:tc>
          <w:tcPr>
            <w:tcW w:w="754"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rPr>
                <w:rFonts w:ascii="宋体" w:hAnsi="宋体" w:cs="宋体"/>
                <w:color w:val="000000"/>
                <w:kern w:val="0"/>
                <w:sz w:val="24"/>
              </w:rPr>
            </w:pPr>
            <w:r>
              <w:rPr>
                <w:rFonts w:ascii="宋体" w:hAnsi="宋体" w:cs="宋体" w:hint="eastAsia"/>
                <w:color w:val="000000"/>
                <w:kern w:val="0"/>
                <w:sz w:val="24"/>
              </w:rPr>
              <w:t>6</w:t>
            </w: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买入返售金融资产</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21,000,000.00</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39.87</w:t>
            </w:r>
          </w:p>
        </w:tc>
      </w:tr>
      <w:tr w:rsidR="00220CDC" w:rsidTr="00220CDC">
        <w:tc>
          <w:tcPr>
            <w:tcW w:w="754" w:type="dxa"/>
            <w:tcBorders>
              <w:top w:val="single" w:sz="8" w:space="0" w:color="000000"/>
              <w:left w:val="single" w:sz="8" w:space="0" w:color="000000"/>
              <w:bottom w:val="single" w:sz="4" w:space="0" w:color="000000"/>
              <w:right w:val="single" w:sz="8" w:space="0" w:color="000000"/>
            </w:tcBorders>
            <w:vAlign w:val="center"/>
          </w:tcPr>
          <w:p w:rsidR="00220CDC" w:rsidRDefault="00220CDC">
            <w:pPr>
              <w:widowControl/>
              <w:wordWrap w:val="0"/>
              <w:autoSpaceDE w:val="0"/>
              <w:autoSpaceDN w:val="0"/>
              <w:adjustRightInd w:val="0"/>
              <w:spacing w:before="29" w:line="288" w:lineRule="auto"/>
              <w:ind w:left="15"/>
              <w:jc w:val="center"/>
              <w:rPr>
                <w:rFonts w:ascii="宋体" w:hAnsi="宋体" w:cs="宋体"/>
                <w:color w:val="000000"/>
                <w:kern w:val="0"/>
                <w:sz w:val="24"/>
              </w:rPr>
            </w:pP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其中：买断式回购的买入返售金融资产</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w:t>
            </w:r>
          </w:p>
        </w:tc>
      </w:tr>
      <w:tr w:rsidR="00220CDC" w:rsidTr="00220CDC">
        <w:tc>
          <w:tcPr>
            <w:tcW w:w="754"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rPr>
                <w:rFonts w:ascii="宋体" w:hAnsi="宋体" w:cs="宋体"/>
                <w:color w:val="000000"/>
                <w:kern w:val="0"/>
                <w:sz w:val="24"/>
              </w:rPr>
            </w:pPr>
            <w:r>
              <w:rPr>
                <w:rFonts w:ascii="宋体" w:hAnsi="宋体" w:cs="宋体" w:hint="eastAsia"/>
                <w:color w:val="000000"/>
                <w:kern w:val="0"/>
                <w:sz w:val="24"/>
              </w:rPr>
              <w:t>7</w:t>
            </w: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银行存款和结算备付金合计</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31,599,748.37</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59.99</w:t>
            </w:r>
          </w:p>
        </w:tc>
      </w:tr>
      <w:tr w:rsidR="00220CDC" w:rsidTr="00220CDC">
        <w:tc>
          <w:tcPr>
            <w:tcW w:w="754"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rPr>
                <w:rFonts w:ascii="宋体" w:hAnsi="宋体" w:cs="宋体"/>
                <w:color w:val="000000"/>
                <w:kern w:val="0"/>
                <w:sz w:val="24"/>
              </w:rPr>
            </w:pPr>
            <w:r>
              <w:rPr>
                <w:rFonts w:ascii="宋体" w:hAnsi="宋体" w:cs="宋体" w:hint="eastAsia"/>
                <w:color w:val="000000"/>
                <w:kern w:val="0"/>
                <w:sz w:val="24"/>
              </w:rPr>
              <w:t>8</w:t>
            </w: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其他资产</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71,357.98</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0.14</w:t>
            </w:r>
          </w:p>
        </w:tc>
      </w:tr>
      <w:tr w:rsidR="00220CDC" w:rsidTr="00220CDC">
        <w:tc>
          <w:tcPr>
            <w:tcW w:w="754"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rPr>
                <w:rFonts w:ascii="宋体" w:hAnsi="宋体" w:cs="宋体"/>
                <w:color w:val="000000"/>
                <w:kern w:val="0"/>
                <w:sz w:val="24"/>
              </w:rPr>
            </w:pPr>
            <w:r>
              <w:rPr>
                <w:rFonts w:ascii="宋体" w:hAnsi="宋体" w:cs="宋体" w:hint="eastAsia"/>
                <w:color w:val="000000"/>
                <w:kern w:val="0"/>
                <w:sz w:val="24"/>
              </w:rPr>
              <w:t>9</w:t>
            </w: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合计</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52,671,106.35</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jc w:val="center"/>
              <w:rPr>
                <w:rFonts w:ascii="宋体" w:hAnsi="宋体" w:cs="宋体"/>
                <w:color w:val="000000"/>
                <w:kern w:val="0"/>
                <w:sz w:val="24"/>
              </w:rPr>
            </w:pPr>
            <w:r>
              <w:rPr>
                <w:rFonts w:ascii="宋体" w:hAnsi="宋体" w:cs="宋体" w:hint="eastAsia"/>
                <w:color w:val="000000"/>
                <w:kern w:val="0"/>
                <w:sz w:val="24"/>
              </w:rPr>
              <w:t>100.00</w:t>
            </w:r>
          </w:p>
        </w:tc>
      </w:tr>
    </w:tbl>
    <w:p w:rsidR="00220CDC" w:rsidRDefault="00220CDC" w:rsidP="00220CDC">
      <w:pPr>
        <w:spacing w:line="360" w:lineRule="auto"/>
        <w:rPr>
          <w:rFonts w:ascii="宋体" w:hAnsi="宋体" w:cs="Arial"/>
          <w:bCs/>
          <w:sz w:val="24"/>
        </w:rPr>
      </w:pPr>
      <w:r>
        <w:rPr>
          <w:rFonts w:ascii="宋体" w:hAnsi="宋体" w:cs="Arial" w:hint="eastAsia"/>
          <w:bCs/>
          <w:sz w:val="24"/>
        </w:rPr>
        <w:t>2、报告期末按行业分类的股票投资组合</w:t>
      </w:r>
    </w:p>
    <w:p w:rsidR="00220CDC" w:rsidRDefault="00220CDC" w:rsidP="00220CDC">
      <w:pPr>
        <w:spacing w:line="360" w:lineRule="auto"/>
        <w:rPr>
          <w:rFonts w:ascii="宋体" w:hAnsi="宋体" w:cs="Arial"/>
          <w:bCs/>
          <w:sz w:val="24"/>
        </w:rPr>
      </w:pPr>
      <w:r>
        <w:rPr>
          <w:rFonts w:ascii="宋体" w:hAnsi="宋体" w:cs="Arial" w:hint="eastAsia"/>
          <w:bCs/>
          <w:sz w:val="24"/>
        </w:rPr>
        <w:t>（1）报告期末按行业分类的境内股票投资组合</w:t>
      </w:r>
    </w:p>
    <w:p w:rsidR="00220CDC" w:rsidRDefault="00220CDC" w:rsidP="00220CDC">
      <w:pPr>
        <w:pStyle w:val="neirong"/>
        <w:ind w:firstLineChars="200" w:firstLine="480"/>
      </w:pPr>
      <w:r>
        <w:rPr>
          <w:rFonts w:hint="eastAsia"/>
        </w:rPr>
        <w:t>本基金本报告期末未持有股票。</w:t>
      </w:r>
    </w:p>
    <w:p w:rsidR="00220CDC" w:rsidRDefault="00220CDC" w:rsidP="00220CDC">
      <w:pPr>
        <w:spacing w:line="360" w:lineRule="auto"/>
      </w:pPr>
    </w:p>
    <w:p w:rsidR="00220CDC" w:rsidRDefault="00220CDC" w:rsidP="00220CDC">
      <w:pPr>
        <w:spacing w:line="360" w:lineRule="auto"/>
        <w:rPr>
          <w:rFonts w:ascii="宋体" w:hAnsi="宋体" w:cs="Arial"/>
          <w:bCs/>
          <w:sz w:val="24"/>
        </w:rPr>
      </w:pPr>
      <w:r>
        <w:rPr>
          <w:rFonts w:ascii="宋体" w:hAnsi="宋体" w:cs="Arial" w:hint="eastAsia"/>
          <w:bCs/>
          <w:sz w:val="24"/>
        </w:rPr>
        <w:t>（2）报告期末按行业分类的港股通投资股票投资组合</w:t>
      </w:r>
    </w:p>
    <w:p w:rsidR="00220CDC" w:rsidRDefault="00220CDC" w:rsidP="00220CDC">
      <w:pPr>
        <w:spacing w:line="360" w:lineRule="auto"/>
        <w:ind w:firstLineChars="300" w:firstLine="720"/>
        <w:rPr>
          <w:rFonts w:ascii="宋体" w:hAnsi="宋体" w:cs="Arial"/>
          <w:bCs/>
          <w:sz w:val="24"/>
        </w:rPr>
      </w:pPr>
      <w:r>
        <w:rPr>
          <w:rFonts w:ascii="宋体" w:hAnsi="宋体" w:cs="Arial" w:hint="eastAsia"/>
          <w:bCs/>
          <w:sz w:val="24"/>
        </w:rPr>
        <w:lastRenderedPageBreak/>
        <w:t>本基金本报告期末未持有港股通股票。</w:t>
      </w:r>
    </w:p>
    <w:p w:rsidR="00220CDC" w:rsidRDefault="00220CDC" w:rsidP="00220CDC">
      <w:pPr>
        <w:pStyle w:val="neirong"/>
        <w:ind w:firstLineChars="200" w:firstLine="480"/>
        <w:rPr>
          <w:rFonts w:cs="Arial"/>
          <w:bCs/>
        </w:rPr>
      </w:pPr>
      <w:r>
        <w:rPr>
          <w:rFonts w:cs="Arial" w:hint="eastAsia"/>
          <w:bCs/>
        </w:rPr>
        <w:t>3、报告期末按公允价值占基金资产净值比例大小排序的前十名股票投资明细</w:t>
      </w:r>
    </w:p>
    <w:p w:rsidR="00220CDC" w:rsidRDefault="00220CDC" w:rsidP="00220CDC">
      <w:pPr>
        <w:pStyle w:val="neirong"/>
        <w:ind w:firstLineChars="200" w:firstLine="480"/>
      </w:pPr>
      <w:r>
        <w:rPr>
          <w:rFonts w:hint="eastAsia"/>
        </w:rPr>
        <w:t>本基金本报告期末未持有股票。</w:t>
      </w:r>
    </w:p>
    <w:p w:rsidR="00220CDC" w:rsidRDefault="00220CDC" w:rsidP="00220CDC">
      <w:pPr>
        <w:spacing w:line="360" w:lineRule="auto"/>
        <w:rPr>
          <w:rFonts w:ascii="宋体" w:hAnsi="宋体" w:cs="Arial"/>
          <w:bCs/>
          <w:sz w:val="24"/>
        </w:rPr>
      </w:pPr>
    </w:p>
    <w:p w:rsidR="00220CDC" w:rsidRDefault="00220CDC" w:rsidP="00220CDC">
      <w:pPr>
        <w:spacing w:line="360" w:lineRule="auto"/>
        <w:rPr>
          <w:rFonts w:ascii="宋体" w:hAnsi="宋体" w:cs="Arial"/>
          <w:bCs/>
          <w:sz w:val="24"/>
        </w:rPr>
      </w:pPr>
      <w:r>
        <w:rPr>
          <w:rFonts w:ascii="宋体" w:hAnsi="宋体" w:cs="Arial" w:hint="eastAsia"/>
          <w:bCs/>
          <w:sz w:val="24"/>
        </w:rPr>
        <w:t>4、报告期末按债券品种分类的债券投资组合</w:t>
      </w:r>
    </w:p>
    <w:p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本基金本报告期末未持有债券。</w:t>
      </w:r>
    </w:p>
    <w:p w:rsidR="00220CDC" w:rsidRDefault="00220CDC" w:rsidP="00220CDC">
      <w:pPr>
        <w:spacing w:line="360" w:lineRule="auto"/>
        <w:rPr>
          <w:rFonts w:ascii="宋体" w:hAnsi="宋体" w:cs="Arial"/>
          <w:bCs/>
          <w:sz w:val="24"/>
        </w:rPr>
      </w:pPr>
      <w:r>
        <w:rPr>
          <w:rFonts w:ascii="宋体" w:hAnsi="宋体" w:cs="Arial" w:hint="eastAsia"/>
          <w:bCs/>
          <w:sz w:val="24"/>
        </w:rPr>
        <w:t>5、报告期末按公允价值占基金资产净值比例大小排序的前五名债券投资明细</w:t>
      </w:r>
    </w:p>
    <w:p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本基金本报告期末未持有债券。</w:t>
      </w:r>
    </w:p>
    <w:p w:rsidR="00220CDC" w:rsidRDefault="00220CDC" w:rsidP="00220CDC">
      <w:pPr>
        <w:spacing w:line="360" w:lineRule="auto"/>
        <w:rPr>
          <w:rFonts w:ascii="宋体" w:hAnsi="宋体" w:cs="Arial"/>
          <w:bCs/>
          <w:sz w:val="24"/>
        </w:rPr>
      </w:pPr>
      <w:r>
        <w:rPr>
          <w:rFonts w:ascii="宋体" w:hAnsi="宋体" w:cs="Arial" w:hint="eastAsia"/>
          <w:bCs/>
          <w:sz w:val="24"/>
        </w:rPr>
        <w:t>6、报告期末按公允价值占基金资产净值比例大小排序的前十名资产支持证券投资明细</w:t>
      </w:r>
    </w:p>
    <w:p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本基金本报告期末未持有资产支持证券。</w:t>
      </w:r>
    </w:p>
    <w:p w:rsidR="00220CDC" w:rsidRDefault="00220CDC" w:rsidP="00220CDC">
      <w:pPr>
        <w:spacing w:line="360" w:lineRule="auto"/>
        <w:rPr>
          <w:rFonts w:ascii="宋体" w:hAnsi="宋体" w:cs="Arial"/>
          <w:bCs/>
          <w:sz w:val="24"/>
        </w:rPr>
      </w:pPr>
      <w:r>
        <w:rPr>
          <w:rFonts w:ascii="宋体" w:hAnsi="宋体" w:cs="Arial" w:hint="eastAsia"/>
          <w:bCs/>
          <w:sz w:val="24"/>
        </w:rPr>
        <w:t>7、 报告期末按公允价值占基金资产净值比例大小排序的前五名贵金属投资明细</w:t>
      </w:r>
    </w:p>
    <w:p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本基金本报告期末未持有贵金属。</w:t>
      </w:r>
    </w:p>
    <w:p w:rsidR="00220CDC" w:rsidRDefault="00220CDC" w:rsidP="00220CDC">
      <w:pPr>
        <w:spacing w:line="360" w:lineRule="auto"/>
        <w:rPr>
          <w:rFonts w:ascii="宋体" w:hAnsi="宋体" w:cs="Arial"/>
          <w:bCs/>
          <w:sz w:val="24"/>
        </w:rPr>
      </w:pPr>
      <w:r>
        <w:rPr>
          <w:rFonts w:ascii="宋体" w:hAnsi="宋体" w:cs="Arial" w:hint="eastAsia"/>
          <w:bCs/>
          <w:sz w:val="24"/>
        </w:rPr>
        <w:t>8、报告期末按公允价值占基金资产净值比例大小排序的前五名权证投资明细</w:t>
      </w:r>
    </w:p>
    <w:p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本基金本报告期末未持有权证。</w:t>
      </w:r>
    </w:p>
    <w:p w:rsidR="00220CDC" w:rsidRDefault="00220CDC" w:rsidP="00220CDC">
      <w:pPr>
        <w:spacing w:line="360" w:lineRule="auto"/>
        <w:rPr>
          <w:rFonts w:ascii="宋体" w:hAnsi="宋体" w:cs="Arial"/>
          <w:bCs/>
          <w:sz w:val="24"/>
        </w:rPr>
      </w:pPr>
      <w:r>
        <w:rPr>
          <w:rFonts w:ascii="宋体" w:hAnsi="宋体" w:cs="Arial" w:hint="eastAsia"/>
          <w:bCs/>
          <w:sz w:val="24"/>
        </w:rPr>
        <w:t>9、报告期末本基金投资的股指期货交易情况说明</w:t>
      </w:r>
    </w:p>
    <w:p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本基金本报告期末未投资股指期货。</w:t>
      </w:r>
    </w:p>
    <w:p w:rsidR="00220CDC" w:rsidRDefault="00220CDC" w:rsidP="00220CDC">
      <w:pPr>
        <w:spacing w:line="360" w:lineRule="auto"/>
        <w:rPr>
          <w:rFonts w:ascii="宋体" w:hAnsi="宋体" w:cs="Arial"/>
          <w:bCs/>
          <w:sz w:val="24"/>
        </w:rPr>
      </w:pPr>
      <w:r>
        <w:rPr>
          <w:rFonts w:ascii="宋体" w:hAnsi="宋体" w:cs="Arial" w:hint="eastAsia"/>
          <w:bCs/>
          <w:sz w:val="24"/>
        </w:rPr>
        <w:t>10、报告期末本基金投资的国债期货交易情况说明</w:t>
      </w:r>
    </w:p>
    <w:p w:rsidR="00220CDC" w:rsidRDefault="00220CDC" w:rsidP="00220CDC">
      <w:pPr>
        <w:spacing w:line="360" w:lineRule="auto"/>
        <w:ind w:firstLineChars="300" w:firstLine="720"/>
        <w:rPr>
          <w:rFonts w:ascii="宋体" w:hAnsi="宋体" w:cs="Arial"/>
          <w:bCs/>
          <w:sz w:val="24"/>
        </w:rPr>
      </w:pPr>
      <w:r>
        <w:rPr>
          <w:rFonts w:ascii="宋体" w:hAnsi="宋体" w:cs="Arial" w:hint="eastAsia"/>
          <w:bCs/>
          <w:sz w:val="24"/>
        </w:rPr>
        <w:t>本基金本报告期末未投资国债期货。</w:t>
      </w:r>
    </w:p>
    <w:p w:rsidR="00220CDC" w:rsidRDefault="00220CDC" w:rsidP="00220CDC">
      <w:pPr>
        <w:spacing w:line="360" w:lineRule="auto"/>
        <w:rPr>
          <w:rFonts w:ascii="宋体" w:hAnsi="宋体" w:cs="Arial"/>
          <w:bCs/>
          <w:sz w:val="24"/>
        </w:rPr>
      </w:pPr>
      <w:r>
        <w:rPr>
          <w:rFonts w:ascii="宋体" w:hAnsi="宋体" w:cs="Arial" w:hint="eastAsia"/>
          <w:bCs/>
          <w:sz w:val="24"/>
        </w:rPr>
        <w:t xml:space="preserve">11、投资组合报告附注 </w:t>
      </w:r>
    </w:p>
    <w:p w:rsidR="00220CDC" w:rsidRDefault="00220CDC" w:rsidP="00220CDC">
      <w:pPr>
        <w:spacing w:line="360" w:lineRule="auto"/>
        <w:rPr>
          <w:rFonts w:ascii="宋体" w:hAnsi="宋体" w:cs="Arial"/>
          <w:bCs/>
          <w:sz w:val="24"/>
        </w:rPr>
      </w:pPr>
      <w:r>
        <w:rPr>
          <w:rFonts w:ascii="宋体" w:hAnsi="宋体" w:cs="Arial" w:hint="eastAsia"/>
          <w:bCs/>
          <w:sz w:val="24"/>
        </w:rPr>
        <w:t>（1）本基金本报告期投资的前十名证券的发行主体，本报告期没有出现被监管部门立案调查的情形，也没有出现在报告编制日前一年内受到公开谴责、处罚的情形。</w:t>
      </w:r>
    </w:p>
    <w:p w:rsidR="00220CDC" w:rsidRDefault="00220CDC" w:rsidP="00220CDC">
      <w:pPr>
        <w:spacing w:line="360" w:lineRule="auto"/>
        <w:rPr>
          <w:rFonts w:ascii="宋体" w:hAnsi="宋体" w:cs="Arial"/>
          <w:bCs/>
          <w:sz w:val="24"/>
        </w:rPr>
      </w:pPr>
      <w:r>
        <w:rPr>
          <w:rFonts w:ascii="宋体" w:hAnsi="宋体" w:cs="Arial" w:hint="eastAsia"/>
          <w:bCs/>
          <w:sz w:val="24"/>
        </w:rPr>
        <w:t>（2）本基金投资的前十名股票没有超出基金合同规定的备选股票库。</w:t>
      </w:r>
    </w:p>
    <w:p w:rsidR="00220CDC" w:rsidRDefault="00220CDC" w:rsidP="00220CDC">
      <w:pPr>
        <w:spacing w:line="360" w:lineRule="auto"/>
        <w:rPr>
          <w:rFonts w:ascii="宋体" w:hAnsi="宋体" w:cs="Arial"/>
          <w:bCs/>
          <w:sz w:val="24"/>
        </w:rPr>
      </w:pPr>
      <w:r>
        <w:rPr>
          <w:rFonts w:ascii="宋体" w:hAnsi="宋体" w:cs="Arial" w:hint="eastAsia"/>
          <w:bCs/>
          <w:sz w:val="24"/>
        </w:rPr>
        <w:t>（3）其他资产构成</w:t>
      </w:r>
    </w:p>
    <w:tbl>
      <w:tblPr>
        <w:tblW w:w="8175" w:type="dxa"/>
        <w:tblInd w:w="108" w:type="dxa"/>
        <w:tblLayout w:type="fixed"/>
        <w:tblLook w:val="04A0" w:firstRow="1" w:lastRow="0" w:firstColumn="1" w:lastColumn="0" w:noHBand="0" w:noVBand="1"/>
      </w:tblPr>
      <w:tblGrid>
        <w:gridCol w:w="1181"/>
        <w:gridCol w:w="3328"/>
        <w:gridCol w:w="3666"/>
      </w:tblGrid>
      <w:tr w:rsidR="00220CDC" w:rsidTr="00220CDC">
        <w:tc>
          <w:tcPr>
            <w:tcW w:w="1182"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rPr>
                <w:color w:val="000000"/>
              </w:rPr>
            </w:pPr>
            <w:r>
              <w:rPr>
                <w:rFonts w:hint="eastAsia"/>
                <w:color w:val="000000"/>
              </w:rPr>
              <w:t>序号</w:t>
            </w:r>
          </w:p>
        </w:tc>
        <w:tc>
          <w:tcPr>
            <w:tcW w:w="3329"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pPr>
            <w:r>
              <w:rPr>
                <w:rFonts w:hint="eastAsia"/>
              </w:rPr>
              <w:t>名称</w:t>
            </w:r>
          </w:p>
        </w:tc>
        <w:tc>
          <w:tcPr>
            <w:tcW w:w="3667"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pPr>
            <w:r>
              <w:rPr>
                <w:rFonts w:hint="eastAsia"/>
              </w:rPr>
              <w:t>金额(元)</w:t>
            </w:r>
          </w:p>
        </w:tc>
      </w:tr>
      <w:tr w:rsidR="00220CDC" w:rsidTr="00220CDC">
        <w:tc>
          <w:tcPr>
            <w:tcW w:w="1182"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rPr>
                <w:color w:val="000000"/>
              </w:rPr>
            </w:pPr>
            <w:r>
              <w:rPr>
                <w:rFonts w:hint="eastAsia"/>
                <w:color w:val="000000"/>
              </w:rPr>
              <w:t>1</w:t>
            </w:r>
          </w:p>
        </w:tc>
        <w:tc>
          <w:tcPr>
            <w:tcW w:w="3329"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pPr>
            <w:r>
              <w:rPr>
                <w:rFonts w:hint="eastAsia"/>
              </w:rPr>
              <w:t>存出保证金</w:t>
            </w:r>
          </w:p>
        </w:tc>
        <w:tc>
          <w:tcPr>
            <w:tcW w:w="3667"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pPr>
            <w:r>
              <w:rPr>
                <w:rFonts w:hint="eastAsia"/>
              </w:rPr>
              <w:t>42,325.17</w:t>
            </w:r>
          </w:p>
        </w:tc>
      </w:tr>
      <w:tr w:rsidR="00220CDC" w:rsidTr="00220CDC">
        <w:tc>
          <w:tcPr>
            <w:tcW w:w="1182"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rPr>
                <w:color w:val="000000"/>
              </w:rPr>
            </w:pPr>
            <w:r>
              <w:rPr>
                <w:rFonts w:hint="eastAsia"/>
                <w:color w:val="000000"/>
              </w:rPr>
              <w:t>2</w:t>
            </w:r>
          </w:p>
        </w:tc>
        <w:tc>
          <w:tcPr>
            <w:tcW w:w="3329"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pPr>
            <w:r>
              <w:rPr>
                <w:rFonts w:hint="eastAsia"/>
              </w:rPr>
              <w:t>应收证券清算款</w:t>
            </w:r>
          </w:p>
        </w:tc>
        <w:tc>
          <w:tcPr>
            <w:tcW w:w="3667"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pPr>
            <w:r>
              <w:rPr>
                <w:rFonts w:hint="eastAsia"/>
              </w:rPr>
              <w:t>-</w:t>
            </w:r>
          </w:p>
        </w:tc>
      </w:tr>
      <w:tr w:rsidR="00220CDC" w:rsidTr="00220CDC">
        <w:tc>
          <w:tcPr>
            <w:tcW w:w="1182"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rPr>
                <w:color w:val="000000"/>
              </w:rPr>
            </w:pPr>
            <w:r>
              <w:rPr>
                <w:rFonts w:hint="eastAsia"/>
                <w:color w:val="000000"/>
              </w:rPr>
              <w:t>3</w:t>
            </w:r>
          </w:p>
        </w:tc>
        <w:tc>
          <w:tcPr>
            <w:tcW w:w="3329"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pPr>
            <w:r>
              <w:rPr>
                <w:rFonts w:hint="eastAsia"/>
              </w:rPr>
              <w:t>应收股利</w:t>
            </w:r>
          </w:p>
        </w:tc>
        <w:tc>
          <w:tcPr>
            <w:tcW w:w="3667"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pPr>
            <w:r>
              <w:rPr>
                <w:rFonts w:hint="eastAsia"/>
              </w:rPr>
              <w:t>-</w:t>
            </w:r>
          </w:p>
        </w:tc>
      </w:tr>
      <w:tr w:rsidR="00220CDC" w:rsidTr="00220CDC">
        <w:tc>
          <w:tcPr>
            <w:tcW w:w="1182"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rPr>
                <w:color w:val="000000"/>
              </w:rPr>
            </w:pPr>
            <w:r>
              <w:rPr>
                <w:rFonts w:hint="eastAsia"/>
                <w:color w:val="000000"/>
              </w:rPr>
              <w:lastRenderedPageBreak/>
              <w:t>4</w:t>
            </w:r>
          </w:p>
        </w:tc>
        <w:tc>
          <w:tcPr>
            <w:tcW w:w="3329"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pPr>
            <w:r>
              <w:rPr>
                <w:rFonts w:hint="eastAsia"/>
              </w:rPr>
              <w:t>应收利息</w:t>
            </w:r>
          </w:p>
        </w:tc>
        <w:tc>
          <w:tcPr>
            <w:tcW w:w="3667"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pPr>
            <w:r>
              <w:rPr>
                <w:rFonts w:hint="eastAsia"/>
              </w:rPr>
              <w:t>29,032.81</w:t>
            </w:r>
          </w:p>
        </w:tc>
      </w:tr>
      <w:tr w:rsidR="00220CDC" w:rsidTr="00220CDC">
        <w:tc>
          <w:tcPr>
            <w:tcW w:w="1182"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rPr>
                <w:color w:val="000000"/>
              </w:rPr>
            </w:pPr>
            <w:r>
              <w:rPr>
                <w:rFonts w:hint="eastAsia"/>
                <w:color w:val="000000"/>
              </w:rPr>
              <w:t>5</w:t>
            </w:r>
          </w:p>
        </w:tc>
        <w:tc>
          <w:tcPr>
            <w:tcW w:w="3329"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pPr>
            <w:r>
              <w:rPr>
                <w:rFonts w:hint="eastAsia"/>
              </w:rPr>
              <w:t>应收申购款</w:t>
            </w:r>
          </w:p>
        </w:tc>
        <w:tc>
          <w:tcPr>
            <w:tcW w:w="3667"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pPr>
            <w:r>
              <w:rPr>
                <w:rFonts w:hint="eastAsia"/>
              </w:rPr>
              <w:t>-</w:t>
            </w:r>
          </w:p>
        </w:tc>
      </w:tr>
      <w:tr w:rsidR="00220CDC" w:rsidTr="00220CDC">
        <w:tc>
          <w:tcPr>
            <w:tcW w:w="1182"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rPr>
                <w:color w:val="000000"/>
              </w:rPr>
            </w:pPr>
            <w:r>
              <w:rPr>
                <w:rFonts w:hint="eastAsia"/>
                <w:color w:val="000000"/>
              </w:rPr>
              <w:t>6</w:t>
            </w:r>
          </w:p>
        </w:tc>
        <w:tc>
          <w:tcPr>
            <w:tcW w:w="3329"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pPr>
            <w:r>
              <w:rPr>
                <w:rFonts w:hint="eastAsia"/>
              </w:rPr>
              <w:t>其他应收款</w:t>
            </w:r>
          </w:p>
        </w:tc>
        <w:tc>
          <w:tcPr>
            <w:tcW w:w="3667"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pPr>
            <w:r>
              <w:rPr>
                <w:rFonts w:hint="eastAsia"/>
              </w:rPr>
              <w:t>-</w:t>
            </w:r>
          </w:p>
        </w:tc>
      </w:tr>
      <w:tr w:rsidR="00220CDC" w:rsidTr="00220CDC">
        <w:tc>
          <w:tcPr>
            <w:tcW w:w="1182"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rPr>
                <w:color w:val="000000"/>
              </w:rPr>
            </w:pPr>
            <w:r>
              <w:rPr>
                <w:rFonts w:hint="eastAsia"/>
                <w:color w:val="000000"/>
              </w:rPr>
              <w:t>7</w:t>
            </w:r>
          </w:p>
        </w:tc>
        <w:tc>
          <w:tcPr>
            <w:tcW w:w="3329"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pPr>
            <w:r>
              <w:rPr>
                <w:rFonts w:hint="eastAsia"/>
              </w:rPr>
              <w:t>其他</w:t>
            </w:r>
          </w:p>
        </w:tc>
        <w:tc>
          <w:tcPr>
            <w:tcW w:w="3667"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pPr>
            <w:r>
              <w:rPr>
                <w:rFonts w:hint="eastAsia"/>
              </w:rPr>
              <w:t>-</w:t>
            </w:r>
          </w:p>
        </w:tc>
      </w:tr>
      <w:tr w:rsidR="00220CDC" w:rsidTr="00220CDC">
        <w:tc>
          <w:tcPr>
            <w:tcW w:w="1182"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rPr>
                <w:color w:val="000000"/>
              </w:rPr>
            </w:pPr>
            <w:r>
              <w:rPr>
                <w:rFonts w:hint="eastAsia"/>
                <w:color w:val="000000"/>
              </w:rPr>
              <w:t>8</w:t>
            </w:r>
          </w:p>
        </w:tc>
        <w:tc>
          <w:tcPr>
            <w:tcW w:w="3329"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pPr>
            <w:r>
              <w:rPr>
                <w:rFonts w:hint="eastAsia"/>
              </w:rPr>
              <w:t>合计</w:t>
            </w:r>
          </w:p>
        </w:tc>
        <w:tc>
          <w:tcPr>
            <w:tcW w:w="3667"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pPr>
            <w:r>
              <w:rPr>
                <w:rFonts w:hint="eastAsia"/>
              </w:rPr>
              <w:t>71,357.98</w:t>
            </w:r>
          </w:p>
        </w:tc>
      </w:tr>
    </w:tbl>
    <w:p w:rsidR="00220CDC" w:rsidRDefault="00220CDC" w:rsidP="00220CDC">
      <w:pPr>
        <w:spacing w:line="360" w:lineRule="auto"/>
        <w:rPr>
          <w:rFonts w:ascii="宋体" w:hAnsi="宋体" w:cs="Arial"/>
          <w:bCs/>
          <w:sz w:val="24"/>
        </w:rPr>
      </w:pPr>
      <w:r>
        <w:rPr>
          <w:rFonts w:ascii="宋体" w:hAnsi="宋体" w:cs="Arial" w:hint="eastAsia"/>
          <w:bCs/>
          <w:sz w:val="24"/>
        </w:rPr>
        <w:t>（4）报告期末持有的处于转股期的可转换债券明细</w:t>
      </w:r>
    </w:p>
    <w:p w:rsidR="00220CDC" w:rsidRDefault="00220CDC" w:rsidP="00220CDC">
      <w:pPr>
        <w:spacing w:line="360" w:lineRule="auto"/>
        <w:ind w:firstLineChars="300" w:firstLine="720"/>
        <w:rPr>
          <w:rFonts w:ascii="宋体" w:hAnsi="宋体" w:cs="Arial"/>
          <w:bCs/>
          <w:sz w:val="24"/>
        </w:rPr>
      </w:pPr>
      <w:r>
        <w:rPr>
          <w:rFonts w:ascii="宋体" w:hAnsi="宋体" w:cs="Arial" w:hint="eastAsia"/>
          <w:bCs/>
          <w:sz w:val="24"/>
        </w:rPr>
        <w:t>本基金本报告期末未持有处于转股的可转换债券。</w:t>
      </w:r>
    </w:p>
    <w:p w:rsidR="00220CDC" w:rsidRDefault="00220CDC" w:rsidP="00220CDC">
      <w:pPr>
        <w:pStyle w:val="neirong"/>
        <w:rPr>
          <w:rFonts w:cs="Arial"/>
          <w:bCs/>
        </w:rPr>
      </w:pPr>
      <w:r>
        <w:rPr>
          <w:rFonts w:cs="Arial" w:hint="eastAsia"/>
          <w:bCs/>
        </w:rPr>
        <w:t>（5）报告期末前十名股票中存在流通受限情况的说明</w:t>
      </w:r>
    </w:p>
    <w:p w:rsidR="00220CDC" w:rsidRDefault="00220CDC" w:rsidP="00220CDC">
      <w:pPr>
        <w:pStyle w:val="neirong"/>
      </w:pPr>
      <w:r>
        <w:rPr>
          <w:rFonts w:hint="eastAsia"/>
        </w:rPr>
        <w:t>本基金本报告期末前十名股票中不存在流通受限股票。</w:t>
      </w:r>
    </w:p>
    <w:p w:rsidR="00220CDC" w:rsidRDefault="00220CDC" w:rsidP="00220CDC">
      <w:pPr>
        <w:spacing w:line="360" w:lineRule="auto"/>
        <w:rPr>
          <w:rFonts w:ascii="宋体" w:hAnsi="宋体" w:cs="Arial"/>
          <w:bCs/>
          <w:sz w:val="24"/>
        </w:rPr>
      </w:pPr>
    </w:p>
    <w:p w:rsidR="00220CDC" w:rsidRDefault="00220CDC" w:rsidP="00220CDC">
      <w:pPr>
        <w:spacing w:line="360" w:lineRule="auto"/>
        <w:rPr>
          <w:rFonts w:ascii="宋体" w:hAnsi="宋体" w:cs="Arial"/>
          <w:bCs/>
          <w:sz w:val="24"/>
        </w:rPr>
      </w:pPr>
      <w:r>
        <w:rPr>
          <w:rFonts w:ascii="宋体" w:hAnsi="宋体" w:cs="Arial" w:hint="eastAsia"/>
          <w:bCs/>
          <w:sz w:val="24"/>
        </w:rPr>
        <w:t>（6）投资组合报告附注的其他文字描述部分</w:t>
      </w:r>
    </w:p>
    <w:p w:rsidR="00220CDC" w:rsidRDefault="00220CDC" w:rsidP="00220CDC">
      <w:pPr>
        <w:spacing w:line="360" w:lineRule="auto"/>
        <w:ind w:firstLineChars="300" w:firstLine="720"/>
        <w:rPr>
          <w:rFonts w:ascii="宋体" w:hAnsi="宋体" w:cs="Arial"/>
          <w:bCs/>
          <w:sz w:val="24"/>
        </w:rPr>
      </w:pPr>
      <w:r>
        <w:rPr>
          <w:rFonts w:ascii="宋体" w:hAnsi="宋体" w:cs="Arial" w:hint="eastAsia"/>
          <w:bCs/>
          <w:sz w:val="24"/>
        </w:rPr>
        <w:t>由于四舍五入原因，分项之和与合计可能有尾差。</w:t>
      </w:r>
    </w:p>
    <w:p w:rsidR="00220CDC" w:rsidRDefault="00220CDC" w:rsidP="00220CDC">
      <w:pPr>
        <w:spacing w:line="360" w:lineRule="auto"/>
        <w:rPr>
          <w:rFonts w:ascii="宋体" w:hAnsi="宋体" w:cs="Arial"/>
          <w:b/>
          <w:sz w:val="24"/>
        </w:rPr>
      </w:pPr>
      <w:r>
        <w:rPr>
          <w:rFonts w:ascii="宋体" w:hAnsi="宋体" w:cs="Arial" w:hint="eastAsia"/>
          <w:b/>
          <w:sz w:val="24"/>
        </w:rPr>
        <w:t>九、基金净值表现</w:t>
      </w:r>
    </w:p>
    <w:p w:rsidR="00220CDC" w:rsidRDefault="00220CDC" w:rsidP="00220CDC">
      <w:pPr>
        <w:pStyle w:val="zhangjiep2"/>
        <w:spacing w:line="360" w:lineRule="auto"/>
      </w:pPr>
      <w:r>
        <w:rPr>
          <w:rFonts w:hint="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220CDC" w:rsidRDefault="00220CDC" w:rsidP="00220CDC">
      <w:pPr>
        <w:pStyle w:val="biaogeleft"/>
      </w:pPr>
      <w:r>
        <w:rPr>
          <w:rFonts w:hint="eastAsia"/>
          <w:bCs/>
        </w:rPr>
        <w:t>（1）富荣福鑫混合A（基金代码：004794）</w:t>
      </w:r>
    </w:p>
    <w:tbl>
      <w:tblPr>
        <w:tblW w:w="8295" w:type="dxa"/>
        <w:jc w:val="center"/>
        <w:tblLayout w:type="fixed"/>
        <w:tblLook w:val="04A0" w:firstRow="1" w:lastRow="0" w:firstColumn="1" w:lastColumn="0" w:noHBand="0" w:noVBand="1"/>
      </w:tblPr>
      <w:tblGrid>
        <w:gridCol w:w="1252"/>
        <w:gridCol w:w="1046"/>
        <w:gridCol w:w="1094"/>
        <w:gridCol w:w="1285"/>
        <w:gridCol w:w="1284"/>
        <w:gridCol w:w="1050"/>
        <w:gridCol w:w="1284"/>
      </w:tblGrid>
      <w:tr w:rsidR="00220CDC" w:rsidTr="00220CDC">
        <w:trPr>
          <w:jc w:val="center"/>
        </w:trPr>
        <w:tc>
          <w:tcPr>
            <w:tcW w:w="1253"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left"/>
              <w:wordWrap w:val="0"/>
            </w:pPr>
            <w:r>
              <w:rPr>
                <w:rFonts w:hint="eastAsia"/>
              </w:rPr>
              <w:t>阶段</w:t>
            </w:r>
          </w:p>
        </w:tc>
        <w:tc>
          <w:tcPr>
            <w:tcW w:w="1047"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pPr>
            <w:r>
              <w:rPr>
                <w:rFonts w:hint="eastAsia"/>
              </w:rPr>
              <w:t>净值增长率①</w:t>
            </w:r>
          </w:p>
        </w:tc>
        <w:tc>
          <w:tcPr>
            <w:tcW w:w="1095"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pPr>
            <w:r>
              <w:rPr>
                <w:rFonts w:hint="eastAsia"/>
              </w:rPr>
              <w:t>净值增长率标准差②</w:t>
            </w:r>
          </w:p>
        </w:tc>
        <w:tc>
          <w:tcPr>
            <w:tcW w:w="1286"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pPr>
            <w:r>
              <w:rPr>
                <w:rFonts w:hint="eastAsia"/>
              </w:rPr>
              <w:t>业绩比较基准收益率③</w:t>
            </w:r>
          </w:p>
        </w:tc>
        <w:tc>
          <w:tcPr>
            <w:tcW w:w="1285"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pPr>
            <w:r>
              <w:rPr>
                <w:rFonts w:hint="eastAsia"/>
              </w:rPr>
              <w:t>业绩比较基准收益率标准差④</w:t>
            </w:r>
          </w:p>
        </w:tc>
        <w:tc>
          <w:tcPr>
            <w:tcW w:w="1051"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pPr>
            <w:r>
              <w:rPr>
                <w:rFonts w:hint="eastAsia"/>
              </w:rPr>
              <w:t>①-③</w:t>
            </w:r>
          </w:p>
        </w:tc>
        <w:tc>
          <w:tcPr>
            <w:tcW w:w="1285"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pPr>
            <w:r>
              <w:rPr>
                <w:rFonts w:hint="eastAsia"/>
              </w:rPr>
              <w:t>②-④</w:t>
            </w:r>
          </w:p>
        </w:tc>
      </w:tr>
      <w:tr w:rsidR="00220CDC" w:rsidTr="00220CDC">
        <w:trPr>
          <w:trHeight w:val="4"/>
          <w:jc w:val="center"/>
        </w:trPr>
        <w:tc>
          <w:tcPr>
            <w:tcW w:w="1253" w:type="dxa"/>
            <w:tcBorders>
              <w:top w:val="single" w:sz="8" w:space="0" w:color="000000"/>
              <w:left w:val="single" w:sz="8" w:space="0" w:color="000000"/>
              <w:bottom w:val="single" w:sz="8" w:space="0" w:color="000000"/>
              <w:right w:val="single" w:sz="8" w:space="0" w:color="000000"/>
            </w:tcBorders>
            <w:vAlign w:val="center"/>
            <w:hideMark/>
          </w:tcPr>
          <w:p w:rsidR="00220CDC" w:rsidRDefault="00220CDC">
            <w:pPr>
              <w:pStyle w:val="biaogeleft"/>
              <w:wordWrap w:val="0"/>
            </w:pPr>
            <w:r>
              <w:rPr>
                <w:rFonts w:hint="eastAsia"/>
                <w:color w:val="000000"/>
              </w:rPr>
              <w:t>2018.10.1~2018.12.31</w:t>
            </w:r>
          </w:p>
        </w:tc>
        <w:tc>
          <w:tcPr>
            <w:tcW w:w="1047" w:type="dxa"/>
            <w:tcBorders>
              <w:top w:val="single" w:sz="8" w:space="0" w:color="000000"/>
              <w:left w:val="single" w:sz="8" w:space="0" w:color="000000"/>
              <w:bottom w:val="single" w:sz="8" w:space="0" w:color="000000"/>
              <w:right w:val="single" w:sz="8" w:space="0" w:color="000000"/>
            </w:tcBorders>
            <w:hideMark/>
          </w:tcPr>
          <w:p w:rsidR="00220CDC" w:rsidRDefault="00220CDC">
            <w:pPr>
              <w:pStyle w:val="biaogecenter"/>
              <w:wordWrap w:val="0"/>
            </w:pPr>
            <w:r>
              <w:rPr>
                <w:rFonts w:hint="eastAsia"/>
              </w:rPr>
              <w:t>-1.55%</w:t>
            </w:r>
          </w:p>
        </w:tc>
        <w:tc>
          <w:tcPr>
            <w:tcW w:w="1095" w:type="dxa"/>
            <w:tcBorders>
              <w:top w:val="single" w:sz="8" w:space="0" w:color="000000"/>
              <w:left w:val="single" w:sz="8" w:space="0" w:color="000000"/>
              <w:bottom w:val="single" w:sz="8" w:space="0" w:color="000000"/>
              <w:right w:val="single" w:sz="8" w:space="0" w:color="000000"/>
            </w:tcBorders>
            <w:hideMark/>
          </w:tcPr>
          <w:p w:rsidR="00220CDC" w:rsidRDefault="00220CDC">
            <w:pPr>
              <w:pStyle w:val="biaogecenter"/>
              <w:wordWrap w:val="0"/>
            </w:pPr>
            <w:r>
              <w:rPr>
                <w:rFonts w:hint="eastAsia"/>
              </w:rPr>
              <w:t>0.19%</w:t>
            </w:r>
          </w:p>
        </w:tc>
        <w:tc>
          <w:tcPr>
            <w:tcW w:w="1286" w:type="dxa"/>
            <w:tcBorders>
              <w:top w:val="single" w:sz="8" w:space="0" w:color="000000"/>
              <w:left w:val="single" w:sz="8" w:space="0" w:color="000000"/>
              <w:bottom w:val="single" w:sz="8" w:space="0" w:color="000000"/>
              <w:right w:val="single" w:sz="8" w:space="0" w:color="000000"/>
            </w:tcBorders>
            <w:hideMark/>
          </w:tcPr>
          <w:p w:rsidR="00220CDC" w:rsidRDefault="00220CDC">
            <w:pPr>
              <w:pStyle w:val="biaogecenter"/>
              <w:wordWrap w:val="0"/>
            </w:pPr>
            <w:r>
              <w:rPr>
                <w:rFonts w:hint="eastAsia"/>
              </w:rPr>
              <w:t>-1.79%</w:t>
            </w:r>
          </w:p>
        </w:tc>
        <w:tc>
          <w:tcPr>
            <w:tcW w:w="1285" w:type="dxa"/>
            <w:tcBorders>
              <w:top w:val="single" w:sz="8" w:space="0" w:color="000000"/>
              <w:left w:val="single" w:sz="8" w:space="0" w:color="000000"/>
              <w:bottom w:val="single" w:sz="8" w:space="0" w:color="000000"/>
              <w:right w:val="single" w:sz="8" w:space="0" w:color="000000"/>
            </w:tcBorders>
            <w:hideMark/>
          </w:tcPr>
          <w:p w:rsidR="00220CDC" w:rsidRDefault="00220CDC">
            <w:pPr>
              <w:pStyle w:val="biaogecenter"/>
              <w:wordWrap w:val="0"/>
            </w:pPr>
            <w:r>
              <w:rPr>
                <w:rFonts w:hint="eastAsia"/>
              </w:rPr>
              <w:t>0.49%</w:t>
            </w:r>
          </w:p>
        </w:tc>
        <w:tc>
          <w:tcPr>
            <w:tcW w:w="1051" w:type="dxa"/>
            <w:tcBorders>
              <w:top w:val="single" w:sz="8" w:space="0" w:color="000000"/>
              <w:left w:val="single" w:sz="8" w:space="0" w:color="000000"/>
              <w:bottom w:val="single" w:sz="8" w:space="0" w:color="000000"/>
              <w:right w:val="single" w:sz="8" w:space="0" w:color="000000"/>
            </w:tcBorders>
            <w:hideMark/>
          </w:tcPr>
          <w:p w:rsidR="00220CDC" w:rsidRDefault="00220CDC">
            <w:pPr>
              <w:pStyle w:val="biaogecenter"/>
              <w:wordWrap w:val="0"/>
            </w:pPr>
            <w:r>
              <w:rPr>
                <w:rFonts w:hint="eastAsia"/>
              </w:rPr>
              <w:t>0.24%</w:t>
            </w:r>
          </w:p>
        </w:tc>
        <w:tc>
          <w:tcPr>
            <w:tcW w:w="1285" w:type="dxa"/>
            <w:tcBorders>
              <w:top w:val="single" w:sz="8" w:space="0" w:color="000000"/>
              <w:left w:val="single" w:sz="8" w:space="0" w:color="000000"/>
              <w:bottom w:val="single" w:sz="8" w:space="0" w:color="000000"/>
              <w:right w:val="single" w:sz="8" w:space="0" w:color="000000"/>
            </w:tcBorders>
            <w:hideMark/>
          </w:tcPr>
          <w:p w:rsidR="00220CDC" w:rsidRDefault="00220CDC">
            <w:pPr>
              <w:pStyle w:val="biaogecenter"/>
              <w:wordWrap w:val="0"/>
            </w:pPr>
            <w:r>
              <w:rPr>
                <w:rFonts w:hint="eastAsia"/>
              </w:rPr>
              <w:t>-0.30%</w:t>
            </w:r>
          </w:p>
        </w:tc>
      </w:tr>
      <w:tr w:rsidR="00220CDC" w:rsidTr="00220CDC">
        <w:trPr>
          <w:trHeight w:val="4"/>
          <w:jc w:val="center"/>
        </w:trPr>
        <w:tc>
          <w:tcPr>
            <w:tcW w:w="1253"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left"/>
              <w:wordWrap w:val="0"/>
              <w:rPr>
                <w:color w:val="000000"/>
              </w:rPr>
            </w:pPr>
            <w:r>
              <w:rPr>
                <w:rFonts w:hint="eastAsia"/>
                <w:color w:val="000000"/>
              </w:rPr>
              <w:t>2018.2.13~2018.12.31</w:t>
            </w:r>
          </w:p>
        </w:tc>
        <w:tc>
          <w:tcPr>
            <w:tcW w:w="1047"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pPr>
            <w:r>
              <w:rPr>
                <w:rFonts w:hint="eastAsia"/>
              </w:rPr>
              <w:t>-0.83%</w:t>
            </w:r>
          </w:p>
        </w:tc>
        <w:tc>
          <w:tcPr>
            <w:tcW w:w="1095"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pPr>
            <w:r>
              <w:rPr>
                <w:rFonts w:hint="eastAsia"/>
              </w:rPr>
              <w:t>0.26%</w:t>
            </w:r>
          </w:p>
        </w:tc>
        <w:tc>
          <w:tcPr>
            <w:tcW w:w="1286"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rsidP="00220CDC">
            <w:pPr>
              <w:pStyle w:val="biaogecenter"/>
              <w:wordWrap w:val="0"/>
              <w:ind w:leftChars="7" w:firstLineChars="50" w:firstLine="120"/>
            </w:pPr>
            <w:r>
              <w:rPr>
                <w:rFonts w:hint="eastAsia"/>
              </w:rPr>
              <w:t>-1.77%</w:t>
            </w:r>
          </w:p>
        </w:tc>
        <w:tc>
          <w:tcPr>
            <w:tcW w:w="1285"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rsidP="00220CDC">
            <w:pPr>
              <w:pStyle w:val="biaogecenter"/>
              <w:wordWrap w:val="0"/>
              <w:ind w:leftChars="7" w:firstLineChars="100" w:firstLine="240"/>
            </w:pPr>
            <w:r>
              <w:rPr>
                <w:rFonts w:hint="eastAsia"/>
              </w:rPr>
              <w:t>0.40%</w:t>
            </w:r>
          </w:p>
        </w:tc>
        <w:tc>
          <w:tcPr>
            <w:tcW w:w="1051"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rsidP="00220CDC">
            <w:pPr>
              <w:pStyle w:val="biaogecenter"/>
              <w:wordWrap w:val="0"/>
              <w:ind w:leftChars="7" w:firstLineChars="50" w:firstLine="120"/>
            </w:pPr>
            <w:r>
              <w:rPr>
                <w:rFonts w:hint="eastAsia"/>
              </w:rPr>
              <w:t>0.94%</w:t>
            </w:r>
          </w:p>
        </w:tc>
        <w:tc>
          <w:tcPr>
            <w:tcW w:w="1285"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rsidP="00220CDC">
            <w:pPr>
              <w:pStyle w:val="biaogecenter"/>
              <w:wordWrap w:val="0"/>
              <w:ind w:leftChars="7" w:firstLineChars="50" w:firstLine="120"/>
            </w:pPr>
            <w:r>
              <w:rPr>
                <w:rFonts w:hint="eastAsia"/>
              </w:rPr>
              <w:t>-0.14%</w:t>
            </w:r>
          </w:p>
        </w:tc>
      </w:tr>
    </w:tbl>
    <w:p w:rsidR="00220CDC" w:rsidRDefault="00220CDC" w:rsidP="00220CDC">
      <w:pPr>
        <w:spacing w:line="360" w:lineRule="auto"/>
        <w:rPr>
          <w:rFonts w:ascii="宋体" w:eastAsia="宋体" w:hAnsi="宋体" w:cs="宋体"/>
          <w:bCs/>
          <w:sz w:val="24"/>
        </w:rPr>
      </w:pPr>
      <w:r>
        <w:rPr>
          <w:rFonts w:ascii="宋体" w:eastAsia="宋体" w:hAnsi="宋体" w:cs="宋体" w:hint="eastAsia"/>
          <w:bCs/>
          <w:sz w:val="24"/>
        </w:rPr>
        <w:t xml:space="preserve">注：本基金的业绩比较基准为：中证全债指数收益率×70%+沪深300指数收益率×30%。 </w:t>
      </w:r>
    </w:p>
    <w:p w:rsidR="00220CDC" w:rsidRDefault="00220CDC" w:rsidP="00220CDC">
      <w:pPr>
        <w:pStyle w:val="biaogeleft"/>
      </w:pPr>
      <w:r>
        <w:rPr>
          <w:rFonts w:hint="eastAsia"/>
          <w:bCs/>
        </w:rPr>
        <w:t>（2）富荣福鑫混合C（基金代码：004795）</w:t>
      </w:r>
    </w:p>
    <w:tbl>
      <w:tblPr>
        <w:tblW w:w="8760" w:type="dxa"/>
        <w:jc w:val="center"/>
        <w:tblLayout w:type="fixed"/>
        <w:tblLook w:val="04A0" w:firstRow="1" w:lastRow="0" w:firstColumn="1" w:lastColumn="0" w:noHBand="0" w:noVBand="1"/>
      </w:tblPr>
      <w:tblGrid>
        <w:gridCol w:w="1305"/>
        <w:gridCol w:w="1179"/>
        <w:gridCol w:w="1183"/>
        <w:gridCol w:w="1275"/>
        <w:gridCol w:w="1327"/>
        <w:gridCol w:w="1065"/>
        <w:gridCol w:w="1426"/>
      </w:tblGrid>
      <w:tr w:rsidR="00220CDC" w:rsidTr="00220CDC">
        <w:trPr>
          <w:trHeight w:val="1112"/>
          <w:jc w:val="center"/>
        </w:trPr>
        <w:tc>
          <w:tcPr>
            <w:tcW w:w="1305"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left"/>
              <w:wordWrap w:val="0"/>
            </w:pPr>
            <w:r>
              <w:rPr>
                <w:rFonts w:hint="eastAsia"/>
              </w:rPr>
              <w:t>阶段</w:t>
            </w:r>
          </w:p>
        </w:tc>
        <w:tc>
          <w:tcPr>
            <w:tcW w:w="1180"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pPr>
            <w:r>
              <w:rPr>
                <w:rFonts w:hint="eastAsia"/>
              </w:rPr>
              <w:t>净值增长率①</w:t>
            </w:r>
          </w:p>
        </w:tc>
        <w:tc>
          <w:tcPr>
            <w:tcW w:w="1184"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pPr>
            <w:r>
              <w:rPr>
                <w:rFonts w:hint="eastAsia"/>
              </w:rPr>
              <w:t>净值增长率标</w:t>
            </w:r>
            <w:r>
              <w:rPr>
                <w:rFonts w:hint="eastAsia"/>
              </w:rPr>
              <w:lastRenderedPageBreak/>
              <w:t>准差②</w:t>
            </w:r>
          </w:p>
        </w:tc>
        <w:tc>
          <w:tcPr>
            <w:tcW w:w="1276"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pPr>
            <w:r>
              <w:rPr>
                <w:rFonts w:hint="eastAsia"/>
              </w:rPr>
              <w:lastRenderedPageBreak/>
              <w:t>业绩比较基准收益</w:t>
            </w:r>
            <w:r>
              <w:rPr>
                <w:rFonts w:hint="eastAsia"/>
              </w:rPr>
              <w:lastRenderedPageBreak/>
              <w:t>率③</w:t>
            </w:r>
          </w:p>
        </w:tc>
        <w:tc>
          <w:tcPr>
            <w:tcW w:w="1328"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pPr>
            <w:r>
              <w:rPr>
                <w:rFonts w:hint="eastAsia"/>
              </w:rPr>
              <w:lastRenderedPageBreak/>
              <w:t>业绩比较基准收益</w:t>
            </w:r>
            <w:r>
              <w:rPr>
                <w:rFonts w:hint="eastAsia"/>
              </w:rPr>
              <w:lastRenderedPageBreak/>
              <w:t>率标准差④</w:t>
            </w:r>
          </w:p>
        </w:tc>
        <w:tc>
          <w:tcPr>
            <w:tcW w:w="1066"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pPr>
            <w:r>
              <w:rPr>
                <w:rFonts w:hint="eastAsia"/>
              </w:rPr>
              <w:lastRenderedPageBreak/>
              <w:t>①-③</w:t>
            </w:r>
          </w:p>
        </w:tc>
        <w:tc>
          <w:tcPr>
            <w:tcW w:w="1427"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pPr>
            <w:r>
              <w:rPr>
                <w:rFonts w:hint="eastAsia"/>
              </w:rPr>
              <w:t>②-④</w:t>
            </w:r>
          </w:p>
        </w:tc>
      </w:tr>
      <w:tr w:rsidR="00220CDC" w:rsidTr="00220CDC">
        <w:trPr>
          <w:trHeight w:val="751"/>
          <w:jc w:val="center"/>
        </w:trPr>
        <w:tc>
          <w:tcPr>
            <w:tcW w:w="1305" w:type="dxa"/>
            <w:tcBorders>
              <w:top w:val="single" w:sz="8" w:space="0" w:color="000000"/>
              <w:left w:val="single" w:sz="8" w:space="0" w:color="000000"/>
              <w:bottom w:val="single" w:sz="8" w:space="0" w:color="000000"/>
              <w:right w:val="single" w:sz="8" w:space="0" w:color="000000"/>
            </w:tcBorders>
            <w:vAlign w:val="center"/>
            <w:hideMark/>
          </w:tcPr>
          <w:p w:rsidR="00220CDC" w:rsidRDefault="00220CDC">
            <w:pPr>
              <w:pStyle w:val="biaogeleft"/>
              <w:wordWrap w:val="0"/>
            </w:pPr>
            <w:r>
              <w:rPr>
                <w:rFonts w:hint="eastAsia"/>
                <w:color w:val="000000"/>
              </w:rPr>
              <w:lastRenderedPageBreak/>
              <w:t>2018.10.1~2018.12.31</w:t>
            </w:r>
          </w:p>
        </w:tc>
        <w:tc>
          <w:tcPr>
            <w:tcW w:w="1180" w:type="dxa"/>
            <w:tcBorders>
              <w:top w:val="single" w:sz="8" w:space="0" w:color="000000"/>
              <w:left w:val="single" w:sz="8" w:space="0" w:color="000000"/>
              <w:bottom w:val="single" w:sz="8" w:space="0" w:color="000000"/>
              <w:right w:val="single" w:sz="8" w:space="0" w:color="000000"/>
            </w:tcBorders>
            <w:vAlign w:val="center"/>
            <w:hideMark/>
          </w:tcPr>
          <w:p w:rsidR="00220CDC" w:rsidRDefault="00220CDC">
            <w:pPr>
              <w:pStyle w:val="biaogecenter"/>
              <w:wordWrap w:val="0"/>
            </w:pPr>
            <w:r>
              <w:rPr>
                <w:rFonts w:hint="eastAsia"/>
              </w:rPr>
              <w:t>-1.58%</w:t>
            </w:r>
          </w:p>
        </w:tc>
        <w:tc>
          <w:tcPr>
            <w:tcW w:w="1184" w:type="dxa"/>
            <w:tcBorders>
              <w:top w:val="single" w:sz="8" w:space="0" w:color="000000"/>
              <w:left w:val="single" w:sz="8" w:space="0" w:color="000000"/>
              <w:bottom w:val="single" w:sz="8" w:space="0" w:color="000000"/>
              <w:right w:val="single" w:sz="8" w:space="0" w:color="000000"/>
            </w:tcBorders>
            <w:vAlign w:val="center"/>
            <w:hideMark/>
          </w:tcPr>
          <w:p w:rsidR="00220CDC" w:rsidRDefault="00220CDC">
            <w:pPr>
              <w:pStyle w:val="biaogecenter"/>
              <w:wordWrap w:val="0"/>
            </w:pPr>
            <w:r>
              <w:rPr>
                <w:rFonts w:hint="eastAsia"/>
              </w:rPr>
              <w:t>0.19%</w:t>
            </w:r>
          </w:p>
        </w:tc>
        <w:tc>
          <w:tcPr>
            <w:tcW w:w="1276" w:type="dxa"/>
            <w:tcBorders>
              <w:top w:val="single" w:sz="8" w:space="0" w:color="000000"/>
              <w:left w:val="single" w:sz="8" w:space="0" w:color="000000"/>
              <w:bottom w:val="single" w:sz="8" w:space="0" w:color="000000"/>
              <w:right w:val="single" w:sz="8" w:space="0" w:color="000000"/>
            </w:tcBorders>
            <w:vAlign w:val="center"/>
            <w:hideMark/>
          </w:tcPr>
          <w:p w:rsidR="00220CDC" w:rsidRDefault="00220CDC">
            <w:pPr>
              <w:pStyle w:val="biaogecenter"/>
              <w:wordWrap w:val="0"/>
            </w:pPr>
            <w:r>
              <w:rPr>
                <w:rFonts w:hint="eastAsia"/>
              </w:rPr>
              <w:t>-1.79%</w:t>
            </w:r>
          </w:p>
        </w:tc>
        <w:tc>
          <w:tcPr>
            <w:tcW w:w="1328" w:type="dxa"/>
            <w:tcBorders>
              <w:top w:val="single" w:sz="8" w:space="0" w:color="000000"/>
              <w:left w:val="single" w:sz="8" w:space="0" w:color="000000"/>
              <w:bottom w:val="single" w:sz="8" w:space="0" w:color="000000"/>
              <w:right w:val="single" w:sz="8" w:space="0" w:color="000000"/>
            </w:tcBorders>
            <w:vAlign w:val="center"/>
            <w:hideMark/>
          </w:tcPr>
          <w:p w:rsidR="00220CDC" w:rsidRDefault="00220CDC">
            <w:pPr>
              <w:pStyle w:val="biaogecenter"/>
              <w:wordWrap w:val="0"/>
            </w:pPr>
            <w:r>
              <w:rPr>
                <w:rFonts w:hint="eastAsia"/>
              </w:rPr>
              <w:t>0.49%</w:t>
            </w:r>
          </w:p>
        </w:tc>
        <w:tc>
          <w:tcPr>
            <w:tcW w:w="1066" w:type="dxa"/>
            <w:tcBorders>
              <w:top w:val="single" w:sz="8" w:space="0" w:color="000000"/>
              <w:left w:val="single" w:sz="8" w:space="0" w:color="000000"/>
              <w:bottom w:val="single" w:sz="8" w:space="0" w:color="000000"/>
              <w:right w:val="single" w:sz="8" w:space="0" w:color="000000"/>
            </w:tcBorders>
            <w:vAlign w:val="center"/>
            <w:hideMark/>
          </w:tcPr>
          <w:p w:rsidR="00220CDC" w:rsidRDefault="00220CDC">
            <w:pPr>
              <w:pStyle w:val="biaogecenter"/>
              <w:wordWrap w:val="0"/>
            </w:pPr>
            <w:r>
              <w:rPr>
                <w:rFonts w:hint="eastAsia"/>
              </w:rPr>
              <w:t>0.21%</w:t>
            </w:r>
          </w:p>
        </w:tc>
        <w:tc>
          <w:tcPr>
            <w:tcW w:w="1427" w:type="dxa"/>
            <w:tcBorders>
              <w:top w:val="single" w:sz="8" w:space="0" w:color="000000"/>
              <w:left w:val="single" w:sz="8" w:space="0" w:color="000000"/>
              <w:bottom w:val="single" w:sz="8" w:space="0" w:color="000000"/>
              <w:right w:val="single" w:sz="8" w:space="0" w:color="000000"/>
            </w:tcBorders>
            <w:vAlign w:val="center"/>
            <w:hideMark/>
          </w:tcPr>
          <w:p w:rsidR="00220CDC" w:rsidRDefault="00220CDC">
            <w:pPr>
              <w:pStyle w:val="biaogecenter"/>
              <w:wordWrap w:val="0"/>
            </w:pPr>
            <w:r>
              <w:rPr>
                <w:rFonts w:hint="eastAsia"/>
              </w:rPr>
              <w:t>-0.30%</w:t>
            </w:r>
          </w:p>
        </w:tc>
      </w:tr>
      <w:tr w:rsidR="00220CDC" w:rsidTr="00220CDC">
        <w:trPr>
          <w:trHeight w:val="765"/>
          <w:jc w:val="center"/>
        </w:trPr>
        <w:tc>
          <w:tcPr>
            <w:tcW w:w="1305"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left"/>
              <w:wordWrap w:val="0"/>
              <w:rPr>
                <w:color w:val="000000"/>
              </w:rPr>
            </w:pPr>
            <w:r>
              <w:rPr>
                <w:rFonts w:hint="eastAsia"/>
                <w:color w:val="000000"/>
              </w:rPr>
              <w:t>2018.2.13~2018.12.31</w:t>
            </w:r>
          </w:p>
        </w:tc>
        <w:tc>
          <w:tcPr>
            <w:tcW w:w="1180"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pPr>
            <w:r>
              <w:rPr>
                <w:rFonts w:hint="eastAsia"/>
              </w:rPr>
              <w:t>-1.04%</w:t>
            </w:r>
          </w:p>
        </w:tc>
        <w:tc>
          <w:tcPr>
            <w:tcW w:w="1184"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rsidP="00220CDC">
            <w:pPr>
              <w:pStyle w:val="biaogecenter"/>
              <w:wordWrap w:val="0"/>
              <w:ind w:leftChars="7" w:firstLineChars="50" w:firstLine="120"/>
            </w:pPr>
            <w:r>
              <w:rPr>
                <w:rFonts w:hint="eastAsia"/>
              </w:rPr>
              <w:t>0.26%</w:t>
            </w:r>
          </w:p>
        </w:tc>
        <w:tc>
          <w:tcPr>
            <w:tcW w:w="1276"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rsidP="00220CDC">
            <w:pPr>
              <w:pStyle w:val="biaogecenter"/>
              <w:wordWrap w:val="0"/>
              <w:ind w:leftChars="7" w:firstLineChars="50" w:firstLine="120"/>
            </w:pPr>
            <w:r>
              <w:rPr>
                <w:rFonts w:hint="eastAsia"/>
              </w:rPr>
              <w:t>-1.77%</w:t>
            </w:r>
          </w:p>
        </w:tc>
        <w:tc>
          <w:tcPr>
            <w:tcW w:w="1328"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rsidP="00220CDC">
            <w:pPr>
              <w:pStyle w:val="biaogecenter"/>
              <w:wordWrap w:val="0"/>
              <w:ind w:leftChars="7" w:firstLineChars="100" w:firstLine="240"/>
            </w:pPr>
            <w:r>
              <w:rPr>
                <w:rFonts w:hint="eastAsia"/>
              </w:rPr>
              <w:t>0.40%</w:t>
            </w:r>
          </w:p>
        </w:tc>
        <w:tc>
          <w:tcPr>
            <w:tcW w:w="1066"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pPr>
            <w:r>
              <w:rPr>
                <w:rFonts w:hint="eastAsia"/>
              </w:rPr>
              <w:t>0.73%</w:t>
            </w:r>
          </w:p>
        </w:tc>
        <w:tc>
          <w:tcPr>
            <w:tcW w:w="1427" w:type="dxa"/>
            <w:tcBorders>
              <w:top w:val="single" w:sz="8" w:space="0" w:color="000000"/>
              <w:left w:val="single" w:sz="8" w:space="0" w:color="000000"/>
              <w:bottom w:val="single" w:sz="4" w:space="0" w:color="000000"/>
              <w:right w:val="single" w:sz="8" w:space="0" w:color="000000"/>
            </w:tcBorders>
            <w:vAlign w:val="center"/>
            <w:hideMark/>
          </w:tcPr>
          <w:p w:rsidR="00220CDC" w:rsidRDefault="00220CDC">
            <w:pPr>
              <w:pStyle w:val="biaogecenter"/>
              <w:wordWrap w:val="0"/>
            </w:pPr>
            <w:r>
              <w:rPr>
                <w:rFonts w:hint="eastAsia"/>
              </w:rPr>
              <w:t>-0.14%</w:t>
            </w:r>
          </w:p>
        </w:tc>
      </w:tr>
    </w:tbl>
    <w:p w:rsidR="00220CDC" w:rsidRDefault="00220CDC" w:rsidP="00220CDC">
      <w:pPr>
        <w:spacing w:line="360" w:lineRule="auto"/>
        <w:rPr>
          <w:rFonts w:ascii="宋体" w:eastAsia="宋体" w:hAnsi="宋体" w:cs="宋体"/>
          <w:bCs/>
          <w:sz w:val="24"/>
        </w:rPr>
      </w:pPr>
      <w:r>
        <w:rPr>
          <w:rFonts w:ascii="宋体" w:eastAsia="宋体" w:hAnsi="宋体" w:cs="宋体" w:hint="eastAsia"/>
          <w:bCs/>
          <w:sz w:val="24"/>
        </w:rPr>
        <w:t xml:space="preserve">注：本基金的业绩比较基准为：中证全债指数收益率×70%+沪深300指数收益率×30%。 </w:t>
      </w:r>
    </w:p>
    <w:p w:rsidR="00220CDC" w:rsidRDefault="00220CDC" w:rsidP="00220CDC">
      <w:pPr>
        <w:spacing w:line="360" w:lineRule="auto"/>
        <w:rPr>
          <w:rFonts w:ascii="宋体" w:eastAsia="宋体" w:hAnsi="宋体" w:cs="宋体"/>
          <w:bCs/>
          <w:sz w:val="24"/>
        </w:rPr>
      </w:pPr>
      <w:r>
        <w:rPr>
          <w:rFonts w:ascii="宋体" w:eastAsia="宋体" w:hAnsi="宋体" w:cs="宋体" w:hint="eastAsia"/>
          <w:bCs/>
          <w:sz w:val="24"/>
        </w:rPr>
        <w:t>（3）自基金合同生效以来基金累计净值增长率变动及其与同期业绩比较基准收益率变动的比较</w:t>
      </w:r>
    </w:p>
    <w:p w:rsidR="00220CDC" w:rsidRDefault="00220CDC" w:rsidP="00220CDC">
      <w:pPr>
        <w:spacing w:line="360" w:lineRule="auto"/>
        <w:rPr>
          <w:rFonts w:ascii="宋体" w:eastAsia="宋体" w:hAnsi="宋体" w:cs="宋体"/>
          <w:bCs/>
          <w:sz w:val="24"/>
        </w:rPr>
      </w:pPr>
      <w:r w:rsidRPr="00F7651F">
        <w:rPr>
          <w:noProof/>
          <w:color w:val="000000"/>
        </w:rPr>
        <w:drawing>
          <wp:inline distT="0" distB="0" distL="0" distR="0" wp14:anchorId="18F84F57" wp14:editId="09087DF2">
            <wp:extent cx="5276850" cy="3429000"/>
            <wp:effectExtent l="0" t="0" r="0" b="0"/>
            <wp:docPr id="3" name="图片 3" descr="说明: CN_51130000_004794_FB030040_20190001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说明: CN_51130000_004794_FB030040_20190001_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6850" cy="3429000"/>
                    </a:xfrm>
                    <a:prstGeom prst="rect">
                      <a:avLst/>
                    </a:prstGeom>
                    <a:noFill/>
                    <a:ln>
                      <a:noFill/>
                    </a:ln>
                  </pic:spPr>
                </pic:pic>
              </a:graphicData>
            </a:graphic>
          </wp:inline>
        </w:drawing>
      </w:r>
    </w:p>
    <w:p w:rsidR="00220CDC" w:rsidRDefault="00220CDC" w:rsidP="00220CDC">
      <w:pPr>
        <w:pStyle w:val="biaogeleft"/>
      </w:pPr>
    </w:p>
    <w:p w:rsidR="00220CDC" w:rsidRDefault="00220CDC" w:rsidP="00220CDC">
      <w:pPr>
        <w:widowControl/>
        <w:jc w:val="left"/>
        <w:rPr>
          <w:rFonts w:ascii="宋体" w:hAnsi="宋体" w:cs="宋体"/>
          <w:kern w:val="0"/>
          <w:sz w:val="24"/>
          <w:szCs w:val="24"/>
        </w:rPr>
      </w:pPr>
      <w:r>
        <w:rPr>
          <w:rFonts w:ascii="宋体" w:hAnsi="宋体" w:cs="宋体" w:hint="eastAsia"/>
          <w:kern w:val="0"/>
          <w:sz w:val="24"/>
          <w:szCs w:val="24"/>
        </w:rPr>
        <w:t>注：①本基金基金合同于2018年2月13日生效，截止2018年12月31日止，本基金成立未满一年；</w:t>
      </w:r>
      <w:r>
        <w:rPr>
          <w:rFonts w:ascii="宋体" w:hAnsi="宋体" w:cs="宋体" w:hint="eastAsia"/>
          <w:kern w:val="0"/>
          <w:sz w:val="24"/>
          <w:szCs w:val="24"/>
        </w:rPr>
        <w:br/>
        <w:t>  ②本基金建仓期为6个月，建仓期结束时各资产配置比例符合合同约定。</w:t>
      </w:r>
    </w:p>
    <w:p w:rsidR="00220CDC" w:rsidRDefault="00220CDC" w:rsidP="00220CDC">
      <w:pPr>
        <w:spacing w:line="360" w:lineRule="auto"/>
        <w:ind w:leftChars="228" w:left="479"/>
        <w:rPr>
          <w:rFonts w:ascii="宋体" w:eastAsia="宋体" w:hAnsi="宋体" w:cs="宋体"/>
          <w:bCs/>
          <w:sz w:val="24"/>
        </w:rPr>
      </w:pPr>
    </w:p>
    <w:p w:rsidR="00220CDC" w:rsidRDefault="00220CDC" w:rsidP="00220CDC">
      <w:pPr>
        <w:pStyle w:val="biaogeleft"/>
        <w:rPr>
          <w:noProof/>
          <w:color w:val="000000"/>
        </w:rPr>
      </w:pPr>
    </w:p>
    <w:p w:rsidR="00220CDC" w:rsidRDefault="00220CDC" w:rsidP="00220CDC">
      <w:pPr>
        <w:pStyle w:val="biaogeleft"/>
      </w:pPr>
      <w:r w:rsidRPr="00F7651F">
        <w:rPr>
          <w:noProof/>
          <w:color w:val="000000"/>
        </w:rPr>
        <w:lastRenderedPageBreak/>
        <w:drawing>
          <wp:inline distT="0" distB="0" distL="0" distR="0" wp14:anchorId="25D46F61" wp14:editId="61C19422">
            <wp:extent cx="5276850" cy="3429000"/>
            <wp:effectExtent l="0" t="0" r="0" b="0"/>
            <wp:docPr id="2" name="图片 2" descr="说明: CN_51130000_004794_FB030040_20190001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说明: CN_51130000_004794_FB030040_20190001_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6850" cy="3429000"/>
                    </a:xfrm>
                    <a:prstGeom prst="rect">
                      <a:avLst/>
                    </a:prstGeom>
                    <a:noFill/>
                    <a:ln>
                      <a:noFill/>
                    </a:ln>
                  </pic:spPr>
                </pic:pic>
              </a:graphicData>
            </a:graphic>
          </wp:inline>
        </w:drawing>
      </w:r>
    </w:p>
    <w:p w:rsidR="00220CDC" w:rsidRDefault="00220CDC" w:rsidP="00220CDC">
      <w:pPr>
        <w:spacing w:line="360" w:lineRule="auto"/>
        <w:ind w:leftChars="228" w:left="479"/>
        <w:rPr>
          <w:rFonts w:ascii="宋体" w:eastAsia="宋体" w:hAnsi="宋体" w:cs="宋体"/>
          <w:bCs/>
          <w:sz w:val="24"/>
        </w:rPr>
      </w:pPr>
      <w:r>
        <w:rPr>
          <w:rFonts w:ascii="宋体" w:eastAsia="宋体" w:hAnsi="宋体" w:cs="宋体" w:hint="eastAsia"/>
          <w:bCs/>
          <w:sz w:val="24"/>
        </w:rPr>
        <w:t>注：①本基金基金合同于2018年2月13日生效，截止2018年12月31日止，本基金成立未满一年；</w:t>
      </w:r>
    </w:p>
    <w:p w:rsidR="00220CDC" w:rsidRDefault="00220CDC" w:rsidP="00220CDC">
      <w:pPr>
        <w:widowControl/>
        <w:jc w:val="left"/>
      </w:pPr>
      <w:r>
        <w:rPr>
          <w:rFonts w:ascii="宋体" w:eastAsia="宋体" w:hAnsi="宋体" w:cs="宋体" w:hint="eastAsia"/>
          <w:bCs/>
          <w:sz w:val="24"/>
        </w:rPr>
        <w:t xml:space="preserve">  ②本基金建仓期为6个月，建仓期结束时各资产配置比例符合合同约定。</w:t>
      </w:r>
      <w:r>
        <w:br w:type="page"/>
      </w:r>
    </w:p>
    <w:p w:rsidR="003E4D36" w:rsidRDefault="00E729B5">
      <w:pPr>
        <w:pStyle w:val="1"/>
        <w:jc w:val="center"/>
        <w:rPr>
          <w:sz w:val="30"/>
          <w:szCs w:val="30"/>
        </w:rPr>
      </w:pPr>
      <w:bookmarkStart w:id="206" w:name="_Toc523243825"/>
      <w:bookmarkStart w:id="207" w:name="_Toc416264546"/>
      <w:bookmarkStart w:id="208" w:name="_Toc123112239"/>
      <w:bookmarkStart w:id="209" w:name="_Toc3244"/>
      <w:bookmarkStart w:id="210" w:name="_Toc31469"/>
      <w:bookmarkStart w:id="211" w:name="_Toc21886"/>
      <w:bookmarkStart w:id="212" w:name="_Toc2255"/>
      <w:bookmarkStart w:id="213" w:name="_Toc14725"/>
      <w:bookmarkStart w:id="214" w:name="_Toc79392624"/>
      <w:bookmarkStart w:id="215" w:name="_Toc26152"/>
      <w:bookmarkStart w:id="216" w:name="_Toc141703891"/>
      <w:bookmarkStart w:id="217" w:name="_Toc26383"/>
      <w:bookmarkStart w:id="218" w:name="_Toc16789"/>
      <w:bookmarkStart w:id="219" w:name="_Toc22674"/>
      <w:bookmarkStart w:id="220" w:name="_Toc26084"/>
      <w:bookmarkStart w:id="221" w:name="_Toc139991741"/>
      <w:bookmarkStart w:id="222" w:name="_Toc48649710"/>
      <w:bookmarkStart w:id="223" w:name="_Toc98560357"/>
      <w:bookmarkStart w:id="224" w:name="_Toc19520"/>
      <w:bookmarkStart w:id="225" w:name="_Toc123102458"/>
      <w:bookmarkStart w:id="226" w:name="_Toc352229757"/>
      <w:bookmarkStart w:id="227" w:name="_Toc123051457"/>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06"/>
      <w:bookmarkEnd w:id="207"/>
    </w:p>
    <w:p w:rsidR="003E4D36" w:rsidRDefault="00E729B5">
      <w:pPr>
        <w:adjustRightInd w:val="0"/>
        <w:snapToGrid w:val="0"/>
        <w:spacing w:line="360" w:lineRule="auto"/>
        <w:ind w:firstLineChars="200" w:firstLine="482"/>
        <w:rPr>
          <w:rFonts w:ascii="宋体" w:eastAsia="宋体" w:hAnsi="宋体" w:cs="Arial"/>
          <w:b/>
          <w:sz w:val="24"/>
          <w:szCs w:val="24"/>
        </w:rPr>
      </w:pPr>
      <w:bookmarkStart w:id="228" w:name="_Toc416264547"/>
      <w:bookmarkStart w:id="229" w:name="_Toc214873600"/>
      <w:bookmarkStart w:id="230" w:name="_Toc263092319"/>
      <w:bookmarkStart w:id="231" w:name="_Toc352229758"/>
      <w:bookmarkStart w:id="232" w:name="_Toc16437"/>
      <w:bookmarkStart w:id="233" w:name="_Toc21917"/>
      <w:bookmarkStart w:id="234" w:name="_Toc13343"/>
      <w:bookmarkStart w:id="235" w:name="_Toc801"/>
      <w:bookmarkStart w:id="236" w:name="_Toc5477"/>
      <w:bookmarkStart w:id="237" w:name="_Toc11351"/>
      <w:bookmarkStart w:id="238" w:name="_Toc578"/>
      <w:bookmarkStart w:id="239" w:name="_Toc3872"/>
      <w:bookmarkStart w:id="240" w:name="_Toc2981"/>
      <w:bookmarkStart w:id="241" w:name="_Toc11395"/>
      <w:bookmarkStart w:id="242" w:name="_Toc22538"/>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r>
        <w:rPr>
          <w:rFonts w:ascii="宋体" w:eastAsia="宋体" w:hAnsi="宋体" w:cs="Arial" w:hint="eastAsia"/>
          <w:b/>
          <w:sz w:val="24"/>
          <w:szCs w:val="24"/>
        </w:rPr>
        <w:t>一、基金资产总值</w:t>
      </w:r>
    </w:p>
    <w:p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基金资产总值是指购买的各类证券及票据价值、银行存款本息和基金应收的申购基金款以及其他投资所形成的价值总和。</w:t>
      </w:r>
    </w:p>
    <w:p w:rsidR="003E4D36" w:rsidRDefault="00E729B5">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二、基金资产净值</w:t>
      </w:r>
    </w:p>
    <w:p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基金资产净值是指基金资产总值减去基金负债后的价值。</w:t>
      </w:r>
    </w:p>
    <w:p w:rsidR="003E4D36" w:rsidRDefault="00E729B5">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三、基金财产的账户</w:t>
      </w:r>
    </w:p>
    <w:p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rsidR="003E4D36" w:rsidRDefault="00E729B5">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四、基金财产的保管和处分</w:t>
      </w:r>
    </w:p>
    <w:p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rsidR="003E4D36" w:rsidRDefault="00E729B5">
      <w:pPr>
        <w:widowControl/>
        <w:jc w:val="left"/>
        <w:rPr>
          <w:rFonts w:ascii="宋体" w:eastAsia="宋体" w:hAnsi="宋体" w:cs="Arial"/>
          <w:sz w:val="24"/>
          <w:szCs w:val="24"/>
        </w:rPr>
      </w:pPr>
      <w:r>
        <w:rPr>
          <w:rFonts w:ascii="宋体" w:eastAsia="宋体" w:hAnsi="宋体" w:cs="Arial"/>
          <w:sz w:val="24"/>
          <w:szCs w:val="24"/>
        </w:rPr>
        <w:br w:type="page"/>
      </w:r>
    </w:p>
    <w:p w:rsidR="003E4D36" w:rsidRDefault="00E729B5">
      <w:pPr>
        <w:pStyle w:val="1"/>
        <w:jc w:val="center"/>
        <w:rPr>
          <w:sz w:val="30"/>
          <w:szCs w:val="30"/>
        </w:rPr>
      </w:pPr>
      <w:bookmarkStart w:id="243" w:name="_Toc523243826"/>
      <w:r>
        <w:rPr>
          <w:rFonts w:hint="eastAsia"/>
          <w:sz w:val="30"/>
          <w:szCs w:val="30"/>
        </w:rPr>
        <w:lastRenderedPageBreak/>
        <w:t>第十一部分</w:t>
      </w:r>
      <w:r>
        <w:rPr>
          <w:sz w:val="30"/>
          <w:szCs w:val="30"/>
        </w:rPr>
        <w:t xml:space="preserve">  </w:t>
      </w:r>
      <w:r>
        <w:rPr>
          <w:rFonts w:hint="eastAsia"/>
          <w:sz w:val="30"/>
          <w:szCs w:val="30"/>
        </w:rPr>
        <w:t>基金资产的估值</w:t>
      </w:r>
      <w:bookmarkEnd w:id="228"/>
      <w:bookmarkEnd w:id="229"/>
      <w:bookmarkEnd w:id="230"/>
      <w:bookmarkEnd w:id="243"/>
    </w:p>
    <w:p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一、估值日</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本基金的估值日为本基金相关的证券交易场所的交易日以及国家法律法规规定需要对外披露基金净值的非交易日。</w:t>
      </w:r>
    </w:p>
    <w:p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二、估值对象</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基金所拥有的股票、股指期货合约、国债期货合约、股票期权合约、权证、债券和银行存款本息、应收款项、其它投资等资产及负债。</w:t>
      </w:r>
    </w:p>
    <w:p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三、估值方法</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2、交易所市场交易的固定收益品种的估值</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（1）对在交易所市场上市交易或挂牌转让的固定收益品种，选取第三方估值机构提供的相应品种当日的估值净价进行估值；</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（2）对在交易所市场上市交易的可转换债券，按估值日收盘价减去可转换债券收盘价中所含债券应收利息后得到的净价进行估值；</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（3）对在交易所市场挂牌转让的资产支持证券，采用估值技术确定公允价值，在估值技术难以可靠计量公允价值的情况下，按成本估值；</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（4）对在交易所市场发行未上市或未挂牌转让的固定收益品种，采用估值技术确定公允价值，在估值技术难以可靠计量公允价值的情况下，按成本估值。</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3、银行间市场交易的固定收益品种的估值</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（1）银行间市场交易的固定收益品种，选取第三方估值机构提供的相应品种当日的估值净价进行估值。</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（2）对银行间市场未上市，且第三方估值机构未提供估值价格的固定收益品种，按成本估值。</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4、处于未上市期间的有价证券应区分如下情况处理：</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（1）送股、转增股、配股和公开增发的新股，按估值日在证券交易所挂牌的同一股票的估值方法估值；该日无交易的，以最近一日的市价（收盘价）估值；</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（2）首次公开发行未上市的股票、债券和权证，采用估值技术确定公允价值，在估值技术难以可靠计量公允价值的情况下，按成本估值；</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5、同一债券同时在两个或两个以上市场交易的，按债券所处的市场分别估值。</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6、本基金投资股指期货、国债期货合约，一般以估值当日结算价进行估值，估值当日无结算价的，且最近交易日后经济环境未发生重大变化的，采用最近交易日结算价估值。</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7、中小企业私募债券，采用估值技术确定公允价值。在估值技术难以可靠计量公允价值的情况下，按成本估值。</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8、本基金投资股票期权，根据相关法律法规以及监管部门的规定估值。</w:t>
      </w:r>
    </w:p>
    <w:p w:rsidR="003E4D36" w:rsidRDefault="00E729B5">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rsidR="003E4D36" w:rsidRDefault="00E729B5">
      <w:pPr>
        <w:autoSpaceDE w:val="0"/>
        <w:autoSpaceDN w:val="0"/>
        <w:spacing w:line="360" w:lineRule="auto"/>
        <w:ind w:firstLineChars="200" w:firstLine="480"/>
        <w:textAlignment w:val="bottom"/>
        <w:rPr>
          <w:bCs/>
          <w:sz w:val="24"/>
        </w:rPr>
      </w:pPr>
      <w:r>
        <w:rPr>
          <w:bCs/>
          <w:sz w:val="24"/>
        </w:rPr>
        <w:t>10</w:t>
      </w:r>
      <w:r>
        <w:rPr>
          <w:bCs/>
          <w:sz w:val="24"/>
        </w:rPr>
        <w:t>、如有确凿证据表明按上述方法进行估值不能客观反映其公允价值的，基金管理人可根据具体情况与基金托管人商定后，按最能反映公允价值的价格估值。</w:t>
      </w:r>
    </w:p>
    <w:p w:rsidR="003E4D36" w:rsidRDefault="00E729B5">
      <w:pPr>
        <w:autoSpaceDE w:val="0"/>
        <w:autoSpaceDN w:val="0"/>
        <w:spacing w:line="360" w:lineRule="auto"/>
        <w:ind w:firstLineChars="200" w:firstLine="480"/>
        <w:textAlignment w:val="bottom"/>
        <w:rPr>
          <w:bCs/>
          <w:sz w:val="24"/>
        </w:rPr>
      </w:pPr>
      <w:r>
        <w:rPr>
          <w:bCs/>
          <w:sz w:val="24"/>
        </w:rPr>
        <w:t>11</w:t>
      </w:r>
      <w:r>
        <w:rPr>
          <w:bCs/>
          <w:sz w:val="24"/>
        </w:rPr>
        <w:t>、相关法律法规以及监管部门有强制规定的，从其规定。如有新增事项，按国家最新规定估值。</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lastRenderedPageBreak/>
        <w:t>四、估值程序</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1、各类基金份额净值是按照每个工作日闭市后，该类基金资产净值除以当日该类基金份额的余额数量计算，精确到0.0001元，小数点后第5位四舍五入。国家另有规定的，从其规定。</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每个工作日计算基金资产净值及两类基金份额净值，并按规定公告。</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应每个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五、估值错误的处理</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基金管理人和基金托管人将采取必要、适当、合理的措施确保基金资产估值的准确性、及时性。当基金份额净值小数点后4位以内（含第4位）发生估值错误时，视为基金份额净值错误。</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基金合同的当事人应按照以下约定处理：</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1、估值错误类型</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上述估值错误的主要类型包括但不限于：资料申报差错、数据传输差错、数据计算差错、系统故障差错、下达指令差错等。</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2、估值错误处理原则</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（2）估值错误的责任方对有关当事人的直接损失负责，不对间接损失负责，并且仅对估值错误的有关直接当事人负责，不对第三方负责。</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（4）估值错误调整采用尽量恢复至假设未发生估值错误的正确情形的方式。</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如果出现估值错误的当事人未按规定对受损方进行赔偿，并且依据法律、行政法规、《基金合同》或其他规定，基金管理人自行或依据法院判决、仲裁裁决对受损方承担了赔偿责任，则基金管理人有权向出现过错的当事人进行追索，并有权要求其赔偿或补偿由此发生的费用和遭受的损失。</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（7）按法律法规规定的其他原则处理估值错误。</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3、估值错误处理程序</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估值错误被发现后，有关的当事人应当及时进行处理，处理的程序如下：</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（1）查明估值错误发生的原因，列明所有的当事人，并根据估值错误发生的原因确定估值错误的责任方；</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（2）根据估值错误处理原则或当事人协商的方法对因估值错误造成的损失进行评估；</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（3）根据估值错误处理原则或当事人协商的方法由估值错误的责任方进行更正和赔偿损失；</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（4）根据估值错误处理的方法，需要修改基金登记机构交易数据的，由基金登记机构进行更正，并就估值错误的更正向有关当事人进行确认。</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4、基金份额净值估值错误处理的方法如下：</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（1）基金份额净值计算出现错误时，基金管理人应当立即予以纠正，通报基金托管人，并采取合理的措施防止损失进一步扩大。</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（2）错误偏差达到基金份额净值的0.25%时，基金管理人应当通报基金托管人并报中国证监会备案；错误偏差达到基金份额净值的0.5%时，基金管理人应当公告。</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（3）前述内容如法律法规或监管机关另有规定的，从其规定处理。 </w:t>
      </w:r>
    </w:p>
    <w:p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六、暂停估值的情形</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1、基金投资所涉及的证券、期货交易市场遇法定节假日或因其他原因暂停营业时；</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2、因不可抗力致使基金管理人、基金托管人无法准确评估基金资产价值时；</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以上的资产出现无可参考的活跃市场价格且采用估值技术仍导致公允价值存在重大不确定性时，经与基金托管人协商一致的；</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4、中国证监会和基金合同认定的其它情形。</w:t>
      </w:r>
    </w:p>
    <w:p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七、基金净值的确认</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八、特殊情况的处理</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1、基金管理人或基金托管人按估值方法的第10项进行估值时，所造成的误差不作为基金资产估值错误处理。</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w:t>
      </w:r>
      <w:r>
        <w:rPr>
          <w:rFonts w:asciiTheme="minorEastAsia" w:hAnsiTheme="minorEastAsia" w:cs="Times New Roman" w:hint="eastAsia"/>
          <w:bCs/>
          <w:sz w:val="24"/>
          <w:szCs w:val="24"/>
        </w:rPr>
        <w:lastRenderedPageBreak/>
        <w:t xml:space="preserve">和基金托管人可以免除赔偿责任。但基金管理人和基金托管人应当积极采取必要的措施消除或减轻由此造成的影响。 </w:t>
      </w:r>
    </w:p>
    <w:p w:rsidR="003E4D36" w:rsidRDefault="00E729B5">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rsidR="003E4D36" w:rsidRDefault="00E729B5">
      <w:pPr>
        <w:pStyle w:val="1"/>
        <w:jc w:val="center"/>
        <w:rPr>
          <w:sz w:val="30"/>
          <w:szCs w:val="30"/>
          <w:lang w:val="en-US"/>
        </w:rPr>
      </w:pPr>
      <w:bookmarkStart w:id="244" w:name="_Toc263092320"/>
      <w:bookmarkStart w:id="245" w:name="_Toc416264548"/>
      <w:bookmarkStart w:id="246" w:name="_Toc523243827"/>
      <w:bookmarkEnd w:id="231"/>
      <w:bookmarkEnd w:id="232"/>
      <w:bookmarkEnd w:id="233"/>
      <w:bookmarkEnd w:id="234"/>
      <w:bookmarkEnd w:id="235"/>
      <w:bookmarkEnd w:id="236"/>
      <w:bookmarkEnd w:id="237"/>
      <w:bookmarkEnd w:id="238"/>
      <w:bookmarkEnd w:id="239"/>
      <w:bookmarkEnd w:id="240"/>
      <w:bookmarkEnd w:id="241"/>
      <w:bookmarkEnd w:id="242"/>
      <w:r>
        <w:rPr>
          <w:rFonts w:hint="eastAsia"/>
          <w:sz w:val="30"/>
          <w:szCs w:val="30"/>
        </w:rPr>
        <w:lastRenderedPageBreak/>
        <w:t>第十二部分</w:t>
      </w:r>
      <w:r>
        <w:rPr>
          <w:sz w:val="30"/>
          <w:szCs w:val="30"/>
          <w:lang w:val="en-US"/>
        </w:rPr>
        <w:t xml:space="preserve">  </w:t>
      </w:r>
      <w:r>
        <w:rPr>
          <w:rFonts w:hint="eastAsia"/>
          <w:sz w:val="30"/>
          <w:szCs w:val="30"/>
        </w:rPr>
        <w:t>基金的收益分配</w:t>
      </w:r>
      <w:bookmarkEnd w:id="244"/>
      <w:bookmarkEnd w:id="245"/>
      <w:bookmarkEnd w:id="246"/>
    </w:p>
    <w:p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一、基金利润的构成</w:t>
      </w:r>
    </w:p>
    <w:p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基金利润指基金利息收入、投资收益、公允价值变动收益和其他收入扣除相关费用后的余额，基金已实现收益指基金利润减去公允价值变动收益后的余额。</w:t>
      </w:r>
    </w:p>
    <w:p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二、基金可供分配利润</w:t>
      </w:r>
    </w:p>
    <w:p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基金可供分配利润指截至收益分配基准日基金未分配利润与未分配利润中已实现收益的孰低数。</w:t>
      </w:r>
    </w:p>
    <w:p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三、基金收益分配原则</w:t>
      </w:r>
    </w:p>
    <w:p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1、在符合有关基金分红条件的前提下，本基金管理人可以根据实际情况进行收益分配，具体分配方案以公告为准，若《基金合同》生效不满3个月可不进行收益分配；</w:t>
      </w:r>
    </w:p>
    <w:p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2、本基金收益分配方式分两种：现金分红与红利再投资，投资者可选择现金红利或将现金红利自动转为相应类别基金份额进行再投资；若投资者不选择，本基金默认的收益分配方式是现金分红；</w:t>
      </w:r>
    </w:p>
    <w:p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3、基金收益分配后基金份额净值不能低于面值，即基金收益分配基准日的基金份额净值减去每单位基金份额收益分配金额后不能低于面值；</w:t>
      </w:r>
    </w:p>
    <w:p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4、A 类基金份额和C类基金份额之间由于A类基金份额不收取而C类基金份额收取销售服务费将导致在可供分配利润上有所不同；本基金同一类别的每份基金份额享有同等分配权；</w:t>
      </w:r>
    </w:p>
    <w:p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5、法律法规或监管机关另有规定的，从其规定。</w:t>
      </w:r>
    </w:p>
    <w:p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在对基金份额持有人利益无实质不利影响的前提下，基金管理人可调整基金收益分配原则和支付方式，不需召开基金份额持有人大会。</w:t>
      </w:r>
    </w:p>
    <w:p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四、收益分配方案</w:t>
      </w:r>
    </w:p>
    <w:p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基金收益分配方案中应载明截止收益分配基准日的可供分配利润、基金收益分配对象、分配时间、分配数额及比例、分配方式等内容。</w:t>
      </w:r>
    </w:p>
    <w:p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五、收益分配方案的确定、公告与实施</w:t>
      </w:r>
    </w:p>
    <w:p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本基金收益分配方案由基金管理人拟定，并由基金托管人复核，在2个工作日内在指定媒介公告并报中国证监会备案。</w:t>
      </w:r>
    </w:p>
    <w:p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基金红利发放日距离收益分配基准日（即可供分配利润计算截止日）的时间</w:t>
      </w:r>
      <w:r>
        <w:rPr>
          <w:rFonts w:asciiTheme="minorEastAsia" w:hAnsiTheme="minorEastAsia" w:cs="Times New Roman" w:hint="eastAsia"/>
          <w:bCs/>
          <w:sz w:val="24"/>
          <w:szCs w:val="24"/>
        </w:rPr>
        <w:lastRenderedPageBreak/>
        <w:t>不得超过15个工作日。</w:t>
      </w:r>
    </w:p>
    <w:p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六、基金收益分配中发生的费用</w:t>
      </w:r>
    </w:p>
    <w:p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bookmarkStart w:id="247" w:name="_Toc416264549"/>
      <w:bookmarkStart w:id="248" w:name="_Toc214873602"/>
      <w:bookmarkStart w:id="249" w:name="_Toc12357181"/>
      <w:bookmarkStart w:id="250" w:name="_Toc21073401"/>
      <w:bookmarkStart w:id="251" w:name="_Toc263092321"/>
      <w:bookmarkStart w:id="252" w:name="_Toc147463128"/>
      <w:bookmarkStart w:id="253" w:name="_Toc31917"/>
      <w:bookmarkStart w:id="254" w:name="_Toc2623"/>
      <w:bookmarkStart w:id="255" w:name="_Toc139991744"/>
      <w:bookmarkStart w:id="256" w:name="_Toc871"/>
      <w:bookmarkStart w:id="257" w:name="_Toc19714"/>
      <w:bookmarkStart w:id="258" w:name="_Toc141703894"/>
      <w:bookmarkStart w:id="259" w:name="_Toc352229760"/>
      <w:bookmarkStart w:id="260" w:name="_Toc27832"/>
      <w:bookmarkStart w:id="261" w:name="_Toc7802"/>
      <w:bookmarkStart w:id="262" w:name="_Toc17782"/>
    </w:p>
    <w:p w:rsidR="003E4D36" w:rsidRDefault="00E729B5">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rsidR="003E4D36" w:rsidRDefault="00E729B5">
      <w:pPr>
        <w:pStyle w:val="1"/>
        <w:jc w:val="center"/>
        <w:rPr>
          <w:sz w:val="30"/>
          <w:szCs w:val="30"/>
        </w:rPr>
      </w:pPr>
      <w:bookmarkStart w:id="263" w:name="_Toc523243828"/>
      <w:r>
        <w:rPr>
          <w:rFonts w:hint="eastAsia"/>
          <w:sz w:val="30"/>
          <w:szCs w:val="30"/>
        </w:rPr>
        <w:lastRenderedPageBreak/>
        <w:t>第十三部分</w:t>
      </w:r>
      <w:r>
        <w:rPr>
          <w:sz w:val="30"/>
          <w:szCs w:val="30"/>
        </w:rPr>
        <w:t xml:space="preserve">  </w:t>
      </w:r>
      <w:r>
        <w:rPr>
          <w:rFonts w:hint="eastAsia"/>
          <w:sz w:val="30"/>
          <w:szCs w:val="30"/>
        </w:rPr>
        <w:t>基金费用与税收</w:t>
      </w:r>
      <w:bookmarkEnd w:id="247"/>
      <w:bookmarkEnd w:id="248"/>
      <w:bookmarkEnd w:id="249"/>
      <w:bookmarkEnd w:id="250"/>
      <w:bookmarkEnd w:id="251"/>
      <w:bookmarkEnd w:id="252"/>
      <w:bookmarkEnd w:id="263"/>
    </w:p>
    <w:p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一、基金费用的种类</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1、基金管理人的管理费；</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2、基金托管人的托管费；</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3、C类基金份额的销售服务费；</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4、《基金合同》生效后与基金相关的信息披露费用；</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5、《基金合同》生效后与基金相关的会计师费、律师费、诉讼费和仲裁费；</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6、基金份额持有人大会费用；</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7、基金的证券、期货交易费用；</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8、基金的银行汇划费用；</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9、基金的账户开户费用、账户维护费用；</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10、按照国家有关规定和《基金合同》约定，可以在基金财产中列支的其他费用。</w:t>
      </w:r>
    </w:p>
    <w:p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二、基金费用计提方法、计提标准和支付方式</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 xml:space="preserve">1、基金管理人的管理费 </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本基金的管理费按前一日基金资产净值的0.6%年费率计提。管理费的计算方法如下：</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H＝E×0.6%÷当年天数</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H为每日应计提的基金管理费</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E为前一日的基金资产净值</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2、基金托管人的托管费</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本基金的托管费按前一日基金资产净值的0.1%的年费率计提。托管费的计算方法如下：</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H＝E×0.1%÷当年天数</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H为每日应计提的基金托管费</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E为前一日的基金资产净值</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3、销售服务费</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本基金A类基金份额不收取销售服务费，C类基金份额的销售服务费年费率为0.1%。</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 xml:space="preserve">本基金销售服务费将专门用于本基金的销售与基金份额持有人服务， 销售服务费计提的计算公式如下： </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H=E×0.1%÷当年天数</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H为C类基金份额每日应计提的销售服务费</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E为C类基金份额前一日基金资产净值</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上述“一、基金费用的种类中第4－10项费用”，根据有关法规及相应协议规定，按费用实际支出金额列入当期费用，由基金托管人从基金财产中支付。</w:t>
      </w:r>
    </w:p>
    <w:p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三、不列入基金费用的项目</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下列费用不列入基金费用：</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1、基金管理人和基金托管人因未履行或未完全履行义务导致的费用支出或基金财产的损失；</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2、基金管理人和基金托管人处理与基金运作无关的事项发生的费用；</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3、《基金合同》生效前的相关费用；</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4、其他根据相关法律法规及中国证监会的有关规定不得列入基金费用的项目。</w:t>
      </w:r>
    </w:p>
    <w:p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四、基金税收</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本基金运作过程中涉及的各纳税主体，其纳税义务按国家税收法律、法规执行。</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基金财产投资的相关税收，由基金份额持有人承担，基金管理人或者其他扣缴义务人按照国家有关税收征收的规定代扣代缴。</w:t>
      </w:r>
      <w:bookmarkStart w:id="264" w:name="_Toc416264550"/>
      <w:bookmarkStart w:id="265" w:name="_Toc263092322"/>
      <w:bookmarkStart w:id="266" w:name="_Toc214873603"/>
      <w:bookmarkStart w:id="267" w:name="_Toc12105"/>
      <w:bookmarkStart w:id="268" w:name="_Toc141703895"/>
      <w:bookmarkStart w:id="269" w:name="_Toc139991745"/>
      <w:bookmarkStart w:id="270" w:name="_Toc32046"/>
      <w:bookmarkStart w:id="271" w:name="_Toc13987"/>
      <w:bookmarkStart w:id="272" w:name="_Toc19706"/>
      <w:bookmarkStart w:id="273" w:name="_Toc32041"/>
      <w:bookmarkStart w:id="274" w:name="_Toc6493"/>
      <w:bookmarkStart w:id="275" w:name="_Toc3365"/>
      <w:bookmarkStart w:id="276" w:name="_Toc32227"/>
      <w:bookmarkStart w:id="277" w:name="_Toc19752"/>
      <w:bookmarkStart w:id="278" w:name="_Toc24601"/>
      <w:bookmarkStart w:id="279" w:name="_Toc15779"/>
      <w:bookmarkStart w:id="280" w:name="_Toc352229761"/>
      <w:bookmarkEnd w:id="253"/>
      <w:bookmarkEnd w:id="254"/>
      <w:bookmarkEnd w:id="255"/>
      <w:bookmarkEnd w:id="256"/>
      <w:bookmarkEnd w:id="257"/>
      <w:bookmarkEnd w:id="258"/>
      <w:bookmarkEnd w:id="259"/>
      <w:bookmarkEnd w:id="260"/>
      <w:bookmarkEnd w:id="261"/>
      <w:bookmarkEnd w:id="262"/>
    </w:p>
    <w:p w:rsidR="003E4D36" w:rsidRDefault="00E729B5">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rsidR="003E4D36" w:rsidRDefault="00E729B5">
      <w:pPr>
        <w:pStyle w:val="1"/>
        <w:jc w:val="center"/>
        <w:rPr>
          <w:sz w:val="30"/>
          <w:szCs w:val="30"/>
        </w:rPr>
      </w:pPr>
      <w:bookmarkStart w:id="281" w:name="_Toc523243829"/>
      <w:r>
        <w:rPr>
          <w:rFonts w:hint="eastAsia"/>
          <w:sz w:val="30"/>
          <w:szCs w:val="30"/>
        </w:rPr>
        <w:lastRenderedPageBreak/>
        <w:t>第十四部分</w:t>
      </w:r>
      <w:r>
        <w:rPr>
          <w:sz w:val="30"/>
          <w:szCs w:val="30"/>
        </w:rPr>
        <w:t xml:space="preserve">  </w:t>
      </w:r>
      <w:r>
        <w:rPr>
          <w:rFonts w:hint="eastAsia"/>
          <w:sz w:val="30"/>
          <w:szCs w:val="30"/>
        </w:rPr>
        <w:t>基金的会计与审计</w:t>
      </w:r>
      <w:bookmarkEnd w:id="264"/>
      <w:bookmarkEnd w:id="265"/>
      <w:bookmarkEnd w:id="266"/>
      <w:bookmarkEnd w:id="281"/>
    </w:p>
    <w:p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一、基金会计政策</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1、基金管理人为本基金的基金会计责任方；</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2、基金的会计年度为公历年度的1月1日至12月31日；基金首次募集的会计年度按如下原则：如果《基金合同》生效少于2个月，可以并入下一个会计年度披露；</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3、基金核算以人民币为记账本位币，以人民币元为记账单位；</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4、会计制度执行国家有关会计制度；</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5、本基金独立建账、独立核算；</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6、基金管理人及基金托管人各自保留完整的会计账目、凭证并进行日常的会计核算，按照有关规定编制基金会计报表；</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7、基金托管人每月与基金管理人就基金的会计核算、报表编制等进行核对并以书面方式确认。</w:t>
      </w:r>
    </w:p>
    <w:p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二、基金的年度审计</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1、基金管理人聘请与基金管理人、基金托管人相互独立的具有证券从业资格的会计师事务所及其注册会计师对本基金的年度财务报表进行审计。</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2、会计师事务所更换经办注册会计师，应事先征得基金管理人同意。</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3、基金管理人认为有充足理由更换会计师事务所，须通报基金托管人。更换会计师事务所需在2个工作日内在指定媒介公告并报中国证监会备案。</w:t>
      </w:r>
    </w:p>
    <w:p w:rsidR="003E4D36" w:rsidRDefault="00E729B5">
      <w:pPr>
        <w:widowControl/>
        <w:jc w:val="left"/>
        <w:rPr>
          <w:rFonts w:asciiTheme="minorEastAsia" w:hAnsiTheme="minorEastAsia" w:cs="Times New Roman"/>
          <w:b/>
          <w:kern w:val="0"/>
          <w:sz w:val="24"/>
          <w:szCs w:val="24"/>
          <w:lang w:val="zh-CN"/>
        </w:rPr>
      </w:pPr>
      <w:r>
        <w:rPr>
          <w:rFonts w:asciiTheme="minorEastAsia" w:hAnsiTheme="minorEastAsia" w:cs="Times New Roman"/>
          <w:b/>
          <w:kern w:val="0"/>
          <w:sz w:val="24"/>
          <w:szCs w:val="24"/>
          <w:lang w:val="zh-CN"/>
        </w:rPr>
        <w:br w:type="page"/>
      </w:r>
    </w:p>
    <w:p w:rsidR="003E4D36" w:rsidRDefault="00E729B5">
      <w:pPr>
        <w:pStyle w:val="1"/>
        <w:jc w:val="center"/>
        <w:rPr>
          <w:sz w:val="30"/>
          <w:szCs w:val="30"/>
        </w:rPr>
      </w:pPr>
      <w:bookmarkStart w:id="282" w:name="_Toc416264551"/>
      <w:bookmarkStart w:id="283" w:name="_Toc79978642"/>
      <w:bookmarkStart w:id="284" w:name="_Toc263092323"/>
      <w:bookmarkStart w:id="285" w:name="_Toc523243830"/>
      <w:bookmarkStart w:id="286" w:name="_Toc214873604"/>
      <w:bookmarkStart w:id="287" w:name="_Toc19558"/>
      <w:bookmarkStart w:id="288" w:name="_Toc3656"/>
      <w:bookmarkStart w:id="289" w:name="_Toc128310499"/>
      <w:bookmarkStart w:id="290" w:name="_Toc93226149"/>
      <w:bookmarkStart w:id="291" w:name="_Toc20052"/>
      <w:bookmarkStart w:id="292" w:name="_Toc178"/>
      <w:bookmarkStart w:id="293" w:name="_Toc1617"/>
      <w:bookmarkStart w:id="294" w:name="_Toc141703896"/>
      <w:bookmarkStart w:id="295" w:name="_Toc92662707"/>
      <w:bookmarkStart w:id="296" w:name="_Toc21829"/>
      <w:bookmarkStart w:id="297" w:name="_Toc15351"/>
      <w:bookmarkStart w:id="298" w:name="_Toc352229762"/>
      <w:bookmarkStart w:id="299" w:name="_Toc12761"/>
      <w:bookmarkStart w:id="300" w:name="_Toc25883"/>
      <w:bookmarkStart w:id="301" w:name="_Toc15525"/>
      <w:bookmarkStart w:id="302" w:name="_Toc22552"/>
      <w:bookmarkStart w:id="303" w:name="_Toc13999174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r>
        <w:rPr>
          <w:rFonts w:hint="eastAsia"/>
          <w:sz w:val="30"/>
          <w:szCs w:val="30"/>
        </w:rPr>
        <w:lastRenderedPageBreak/>
        <w:t>第十五部分</w:t>
      </w:r>
      <w:r>
        <w:rPr>
          <w:sz w:val="30"/>
          <w:szCs w:val="30"/>
        </w:rPr>
        <w:t xml:space="preserve">  </w:t>
      </w:r>
      <w:r>
        <w:rPr>
          <w:rFonts w:hint="eastAsia"/>
          <w:sz w:val="30"/>
          <w:szCs w:val="30"/>
        </w:rPr>
        <w:t>基金的信息披露</w:t>
      </w:r>
      <w:bookmarkEnd w:id="282"/>
      <w:bookmarkEnd w:id="283"/>
      <w:bookmarkEnd w:id="284"/>
      <w:bookmarkEnd w:id="285"/>
      <w:bookmarkEnd w:id="286"/>
    </w:p>
    <w:p w:rsidR="003E4D36" w:rsidRDefault="00E729B5">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一、本基金的信息披露应符合《基金法》、《运作办法》、《信息披露办法》、《基金合同》及其他有关规定。</w:t>
      </w:r>
    </w:p>
    <w:p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二、信息披露义务人</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本基金信息披露义务人包括基金管理人、基金托管人、召集基金份额持有人大会的基金份额持有人等法律法规和中国证监会规定的自然人、法人和其他组织。</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本基金信息披露义务人按照法律法规和中国证监会的规定披露基金信息，并保证所披露信息的真实性、准确性和完整性。</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rsidR="003E4D36" w:rsidRDefault="00E729B5">
      <w:pPr>
        <w:autoSpaceDE w:val="0"/>
        <w:autoSpaceDN w:val="0"/>
        <w:spacing w:line="360" w:lineRule="auto"/>
        <w:ind w:firstLineChars="200" w:firstLine="482"/>
        <w:textAlignment w:val="bottom"/>
        <w:rPr>
          <w:rFonts w:asciiTheme="minorEastAsia" w:hAnsiTheme="minorEastAsia" w:cs="Times New Roman"/>
          <w:bCs/>
          <w:sz w:val="24"/>
          <w:szCs w:val="24"/>
        </w:rPr>
      </w:pPr>
      <w:r>
        <w:rPr>
          <w:rFonts w:asciiTheme="minorEastAsia" w:hAnsiTheme="minorEastAsia" w:cs="Times New Roman" w:hint="eastAsia"/>
          <w:b/>
          <w:sz w:val="24"/>
          <w:szCs w:val="24"/>
        </w:rPr>
        <w:t>三、本基金信息披露义务人承诺公开披露的基金信息，不得有下列行为：</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1、虚假记载、误导性陈述或者重大遗漏；</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2、对证券投资业绩进行预测；</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3、违规承诺收益或者承担损失；</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4、诋毁其他基金管理人、基金托管人或者基金销售机构；</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5、登载任何自然人、法人或者其他组织的祝贺性、恭维性或推荐性的文字；</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6、中国证监会禁止的其他行为。</w:t>
      </w:r>
    </w:p>
    <w:p w:rsidR="003E4D36" w:rsidRDefault="00E729B5">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四、本基金公开披露的信息应采用中文文本。如同时采用外文文本的，基金信息披露义务人应保证两种文本的内容一致。两种文本发生歧义的，以中文文本为准。</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本基金公开披露的信息采用阿拉伯数字；除特别说明外，货币单位为人民币元。</w:t>
      </w:r>
    </w:p>
    <w:p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五、公开披露的基金信息</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公开披露的基金信息包括：</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（一）基金招募说明书、《基金合同》、基金托管协议</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1、《基金合同》是界定《基金合同》当事人的各项权利、义务关系，明确</w:t>
      </w:r>
      <w:r>
        <w:rPr>
          <w:rFonts w:asciiTheme="minorEastAsia" w:hAnsiTheme="minorEastAsia" w:cs="Times New Roman" w:hint="eastAsia"/>
          <w:bCs/>
          <w:sz w:val="24"/>
          <w:szCs w:val="24"/>
        </w:rPr>
        <w:lastRenderedPageBreak/>
        <w:t>基金份额持有人大会召开的规则及具体程序，说明基金产品的特性等涉及基金投资者重大利益的事项的法律文件。</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招募说明书应当最大限度地披露影响基金投资者决策的全部事项，说明基金认购、申购和赎回安排、基金投资、基金产品特性、风险揭示、信息披露及基金份额持有人服务等内容。《基金合同》生效后，基金管理人在每6个月结束之日起45日内，更新招募说明书并登载在网站上，将更新后的招募说明书摘要登载在指定媒介上；基金管理人在公告的15日前向主要办公场所所在地的中国证监会派出机构报送更新的招募说明书，并就有关更新内容提供书面说明。</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3、基金托管协议是界定基金托管人和基金管理人在基金财产保管及基金运作监督等活动中的权利、义务关系的法律文件。</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基金募集申请经中国证监会注册后，基金管理人在基金份额发售的3日前，将基金招募说明书、《基金合同》摘要登载在指定媒介上；基金管理人、基金托管人应当将《基金合同》、基金托管协议登载在网站上。</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（二）基金份额发售公告</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基金管理人应当就基金份额发售的具体事宜编制基金份额发售公告，并在披露招募说明书的当日登载于指定媒介上。</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（三）《基金合同》生效公告</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基金管理人应当在收到中国证监会确认文件的次日在指定媒介上登载《基金合同》生效公告。</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（四）基金资产净值、基金份额净值</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《基金合同》生效后，在开始办理基金份额申购或者赎回前，基金管理人应当至少每周公告一次基金资产净值和两类基金份额净值。</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在开始办理基金份额申购或者赎回后，基金管理人应当在每个开放日的次日，通过网站、基金份额发售网点以及其他媒介，披露开放日的两类基金份额净值和两类基金份额累计净值。</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公告半年度和年度最后一个市场交易日基金资产净值和两类基金份额净值。基金管理人应当在前款规定的市场交易日的次日，将基金资产净值、两类基金份额净值和两类基金份额累计净值登载在指定媒介上。</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（五）基金份额申购、赎回价格</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基金管理人应当在《基金合同》、招募说明书等信息披露文件上载明基金份额申购、赎回价格的计算方式及有关申购、赎回费率，并保证投资者能够在基金份额发售网点查阅或者复制前述信息资料。</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（六）基金定期报告，包括基金年度报告、基金半年度报告和基金季度报告</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基金管理人应当在每年结束之日起90日内，编制完成基金年度报告，并将年度报告正文登载于网站上，将年度报告摘要登载在指定媒介上。基金年度报告的财务会计报告应当经过审计。</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基金管理人应当在上半年结束之日起60日内，编制完成基金半年度报告，并将半年度报告正文登载在网站上，将半年度报告摘要登载在指定媒介上。</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基金管理人应当在每个季度结束之日起15个工作日内，编制完成基金季度报告，并将季度报告登载在指定媒介上。</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《基金合同》生效不足2个月的，基金管理人可以不编制当期季度报告、半年度报告或者年度报告。</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基金定期报告在公开披露的第2个工作日，分别报中国证监会和基金管理人主要办公场所所在地中国证监会派出机构备案。报备应当采用电子文本或书面报告方式。</w:t>
      </w:r>
    </w:p>
    <w:p w:rsidR="003E4D36" w:rsidRDefault="00E729B5">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本基金持续运作过程中，应当在基金年度报告和半年度报告中披露基金组合资产情况及其流动性风险分析等</w:t>
      </w:r>
      <w:r>
        <w:rPr>
          <w:rFonts w:asciiTheme="minorEastAsia" w:hAnsiTheme="minorEastAsia" w:cs="Times New Roman" w:hint="eastAsia"/>
          <w:bCs/>
          <w:sz w:val="24"/>
          <w:szCs w:val="24"/>
        </w:rPr>
        <w:t>。</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（七）临时报告</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本基金发生重大事件，有关信息披露义务人应当在2个工作日内编制临时报告书，予以公告，并在公开披露日分别报中国证监会和基金管理人主要办公场所所在地的中国证监会派出机构备案。</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前款所称重大事件，是指可能对基金份额持有人权益或者基金份额的价格产生重大影响的下列事件：</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1、基金份额持有人大会的召开；</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2、终止《基金合同》；</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3、转换基金运作方式；</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4、更换基金管理人、基金托管人；</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5、基金管理人、基金托管人的法定名称、住所发生变更；</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6、基金管理人股东及其出资比例发生变更；</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7、基金募集期延长；</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8、基金管理人的董事长、总经理及其他高级管理人员、基金经理和基金托管人基金托管部门负责人发生变动；</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9、基金管理人的董事在一年内变更超过百分之五十；</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10、基金管理人、基金托管人基金托管部门的主要业务人员在一年内变动超过百分之三十；</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11、涉及基金管理业务、基金财产、基金托管业务的诉讼或仲裁；</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12、基金管理人、基金托管人受到监管部门的调查；</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13、基金管理人及其董事、总经理及其他高级管理人员、基金经理受到严重行政处罚，基金托管人及其基金托管部门负责人受到严重行政处罚；</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14、重大关联交易事项；</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15、基金收益分配事项；</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16、管理费、托管费、销售服务费等费用计提标准、计提方式和费率发生变更；</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17、基金份额净值计价错误达基金份额净值百分之零点五；</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18、基金改聘会计师事务所；</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19、变更基金销售机构；</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20、更换基金登记机构；</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21、本基金开始办理申购、赎回；</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22、本基金申购、赎回费率及其收费方式发生变更；</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23、本基金发生巨额赎回并延期办理；</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24、本基金连续发生巨额赎回并暂停接受赎回申请；</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25、本基金暂停接受申购、赎回申请后重新接受申购、赎回；</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26</w:t>
      </w:r>
      <w:r>
        <w:rPr>
          <w:rFonts w:hint="eastAsia"/>
          <w:bCs/>
          <w:sz w:val="24"/>
        </w:rPr>
        <w:t>、发生涉及本基金申购、赎回事项调整或潜在影响投资者赎回等重大事项</w:t>
      </w:r>
      <w:r>
        <w:rPr>
          <w:rFonts w:hint="eastAsia"/>
          <w:bCs/>
          <w:sz w:val="24"/>
        </w:rPr>
        <w:lastRenderedPageBreak/>
        <w:t>时；</w:t>
      </w:r>
    </w:p>
    <w:p w:rsidR="003E4D36" w:rsidRDefault="00E729B5">
      <w:pPr>
        <w:autoSpaceDE w:val="0"/>
        <w:autoSpaceDN w:val="0"/>
        <w:spacing w:line="360" w:lineRule="auto"/>
        <w:ind w:firstLineChars="200" w:firstLine="480"/>
        <w:textAlignment w:val="bottom"/>
        <w:rPr>
          <w:bCs/>
          <w:sz w:val="24"/>
        </w:rPr>
      </w:pPr>
      <w:r>
        <w:rPr>
          <w:rFonts w:hint="eastAsia"/>
          <w:bCs/>
          <w:sz w:val="24"/>
        </w:rPr>
        <w:t>27</w:t>
      </w:r>
      <w:r>
        <w:rPr>
          <w:rFonts w:hint="eastAsia"/>
          <w:bCs/>
          <w:sz w:val="24"/>
        </w:rPr>
        <w:t>、基金管理人采用摆动定价机制进行估值；</w:t>
      </w:r>
    </w:p>
    <w:p w:rsidR="003E4D36" w:rsidRDefault="00E729B5">
      <w:pPr>
        <w:spacing w:line="360" w:lineRule="auto"/>
        <w:ind w:firstLineChars="200" w:firstLine="480"/>
        <w:rPr>
          <w:bCs/>
          <w:sz w:val="24"/>
        </w:rPr>
      </w:pPr>
      <w:r>
        <w:rPr>
          <w:bCs/>
          <w:sz w:val="24"/>
        </w:rPr>
        <w:t>28</w:t>
      </w:r>
      <w:r>
        <w:rPr>
          <w:bCs/>
          <w:sz w:val="24"/>
        </w:rPr>
        <w:t>、</w:t>
      </w:r>
      <w:r>
        <w:rPr>
          <w:rFonts w:hint="eastAsia"/>
          <w:bCs/>
          <w:sz w:val="24"/>
        </w:rPr>
        <w:t>调整基金份额类别的设置；</w:t>
      </w:r>
    </w:p>
    <w:p w:rsidR="003E4D36" w:rsidRDefault="00E729B5">
      <w:pPr>
        <w:spacing w:line="360" w:lineRule="auto"/>
        <w:ind w:firstLineChars="200" w:firstLine="480"/>
        <w:rPr>
          <w:bCs/>
          <w:sz w:val="24"/>
        </w:rPr>
      </w:pPr>
      <w:r>
        <w:rPr>
          <w:bCs/>
          <w:sz w:val="24"/>
        </w:rPr>
        <w:t>29</w:t>
      </w:r>
      <w:r>
        <w:rPr>
          <w:rFonts w:hint="eastAsia"/>
          <w:bCs/>
          <w:sz w:val="24"/>
        </w:rPr>
        <w:t>、基金推出新业务或服务；</w:t>
      </w:r>
    </w:p>
    <w:p w:rsidR="003E4D36" w:rsidRDefault="00E729B5">
      <w:pPr>
        <w:autoSpaceDE w:val="0"/>
        <w:autoSpaceDN w:val="0"/>
        <w:spacing w:line="360" w:lineRule="auto"/>
        <w:ind w:firstLineChars="200" w:firstLine="480"/>
        <w:textAlignment w:val="bottom"/>
        <w:rPr>
          <w:bCs/>
          <w:sz w:val="24"/>
        </w:rPr>
      </w:pPr>
      <w:r>
        <w:rPr>
          <w:bCs/>
          <w:sz w:val="24"/>
        </w:rPr>
        <w:t>30</w:t>
      </w:r>
      <w:r>
        <w:rPr>
          <w:rFonts w:hint="eastAsia"/>
          <w:bCs/>
          <w:sz w:val="24"/>
        </w:rPr>
        <w:t>、</w:t>
      </w:r>
      <w:r>
        <w:rPr>
          <w:bCs/>
          <w:sz w:val="24"/>
        </w:rPr>
        <w:t>中国证监会规定的其他事项。</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（八）澄清公告</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（九）基金份额持有人大会决议</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基金份额持有人大会决定的事项，应当依法报中国证监会备案，并予以公告。</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（十）投资股指期货的信息披露</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季度报告、基金半年度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（十一）投资国债期货的信息披露</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季度报告、基金半年度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（十二）投资股票期权的信息披露</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（十三）投资中小企业私募债券的信息披露</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投资中小企业私募债券后2个交易日内，在中国证监会指定媒介披露所投资中小企业私募债券的名称、数量、期限、收益率等信息。基金管理人应当在基金年度报告、基金半年度报告和基金季度报告等定期报告和</w:t>
      </w:r>
      <w:r>
        <w:rPr>
          <w:rFonts w:asciiTheme="minorEastAsia" w:hAnsiTheme="minorEastAsia" w:cs="Times New Roman" w:hint="eastAsia"/>
          <w:bCs/>
          <w:sz w:val="24"/>
          <w:szCs w:val="24"/>
        </w:rPr>
        <w:lastRenderedPageBreak/>
        <w:t>招募说明书等文件中披露中小企业私募债券的投资情况。</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（十四）投资资产支持证券的信息披露</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（十五）中国证监会规定的其他信息。</w:t>
      </w:r>
    </w:p>
    <w:p w:rsidR="003E4D36" w:rsidRDefault="00E729B5">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六、信息披露事务管理</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基金管理人、基金托管人应当建立健全信息披露管理制度，指定专人负责管理信息披露事务。</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基金信息披露义务人公开披露基金信息，应当符合中国证监会相关基金信息披露内容与格式准则的规定。</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托管人应当按照相关法律法规、中国证监会的规定和《基金合同》的约定，对基金管理人编制的基金资产净值、基金份额净值、基金份额申购赎回价格、基金定期报告和定期更新的招募说明书等公开披露的相关基金信息进行复核、审查，并向基金管理人出具书面文件或者盖章确认。</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基金管理人、基金托管人应当在指定媒介中选择披露信息的报刊。</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基金管理人、基金托管人除依法在指定媒介上披露信息外，还可以根据需要在其他公共媒介披露信息，但是其他公共媒介不得早于指定媒介披露信息，并且在不同媒介上披露同一信息的内容应当一致。</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为基金信息披露义务人公开披露的基金信息出具审计报告、法律意见书的专业机构，应当制作工作底稿，并将相关档案至少保存到《基金合同》终止后10年。</w:t>
      </w:r>
    </w:p>
    <w:p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七、信息披露文件的存放与查阅</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招募说明书公布后，应当分别置备于基金管理人、基金托管人和基金销售机构的住所，供公众查阅、复制。</w:t>
      </w:r>
    </w:p>
    <w:p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基金定期报告公布后，应当分别置备于基金管理人和基金托管人的住所，以供公众查阅、复制。</w:t>
      </w:r>
    </w:p>
    <w:p w:rsidR="003E4D36" w:rsidRDefault="00E729B5">
      <w:pPr>
        <w:pStyle w:val="1"/>
        <w:jc w:val="center"/>
        <w:rPr>
          <w:sz w:val="30"/>
          <w:szCs w:val="30"/>
        </w:rPr>
      </w:pPr>
      <w:bookmarkStart w:id="304" w:name="_Toc147463125"/>
      <w:bookmarkStart w:id="305" w:name="_Toc263092324"/>
      <w:bookmarkStart w:id="306" w:name="_Toc12357178"/>
      <w:bookmarkStart w:id="307" w:name="_Toc21073398"/>
      <w:bookmarkStart w:id="308" w:name="_Toc416264552"/>
      <w:bookmarkStart w:id="309" w:name="_Toc214873605"/>
      <w:bookmarkStart w:id="310" w:name="_Toc523243831"/>
      <w:bookmarkStart w:id="311" w:name="_Toc92662708"/>
      <w:bookmarkStart w:id="312" w:name="_Toc93226150"/>
      <w:bookmarkStart w:id="313" w:name="_Toc17499"/>
      <w:bookmarkStart w:id="314" w:name="_Toc10894"/>
      <w:bookmarkStart w:id="315" w:name="_Toc1043"/>
      <w:bookmarkStart w:id="316" w:name="_Toc141703897"/>
      <w:bookmarkStart w:id="317" w:name="_Toc352229763"/>
      <w:bookmarkStart w:id="318" w:name="_Toc128310500"/>
      <w:bookmarkStart w:id="319" w:name="_Toc21206"/>
      <w:bookmarkStart w:id="320" w:name="_Toc23859"/>
      <w:bookmarkStart w:id="321" w:name="_Toc18747"/>
      <w:bookmarkStart w:id="322" w:name="_Toc139991747"/>
      <w:bookmarkStart w:id="323" w:name="_Toc13255"/>
      <w:bookmarkStart w:id="324" w:name="_Toc18007"/>
      <w:bookmarkStart w:id="325" w:name="_Toc28961"/>
      <w:bookmarkStart w:id="326" w:name="_Toc29695"/>
      <w:bookmarkStart w:id="327" w:name="_Toc3173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r>
        <w:rPr>
          <w:rFonts w:hint="eastAsia"/>
          <w:sz w:val="30"/>
          <w:szCs w:val="30"/>
        </w:rPr>
        <w:lastRenderedPageBreak/>
        <w:t>第十六部分</w:t>
      </w:r>
      <w:r>
        <w:rPr>
          <w:sz w:val="30"/>
          <w:szCs w:val="30"/>
        </w:rPr>
        <w:t xml:space="preserve">  </w:t>
      </w:r>
      <w:r>
        <w:rPr>
          <w:rFonts w:hint="eastAsia"/>
          <w:sz w:val="30"/>
          <w:szCs w:val="30"/>
        </w:rPr>
        <w:t>风险揭示</w:t>
      </w:r>
      <w:bookmarkEnd w:id="304"/>
      <w:bookmarkEnd w:id="305"/>
      <w:bookmarkEnd w:id="306"/>
      <w:bookmarkEnd w:id="307"/>
      <w:bookmarkEnd w:id="308"/>
      <w:bookmarkEnd w:id="309"/>
      <w:bookmarkEnd w:id="310"/>
    </w:p>
    <w:p w:rsidR="003E4D36" w:rsidRDefault="00E729B5">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一、投资于本基金的主要风险</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rsidR="003E4D36" w:rsidRDefault="00E729B5">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二、投资于本基金的特有风险</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灵活配置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w:t>
      </w:r>
      <w:r>
        <w:rPr>
          <w:rFonts w:asciiTheme="minorEastAsia" w:hAnsiTheme="minorEastAsia" w:cs="Arial" w:hint="eastAsia"/>
          <w:bCs/>
          <w:sz w:val="24"/>
          <w:szCs w:val="24"/>
        </w:rPr>
        <w:lastRenderedPageBreak/>
        <w:t>值特性突出的上市公司股票，这种对股票的评估具有一定的主观性，将在个股投资决策中给基金带来一定的不确定性，因而存在个股选择风险。</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、股指期货、国债期货等金融衍生品投资风险</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4、资产支持证券投资风险</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rsidR="003E4D36" w:rsidRDefault="00E729B5">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三、其他风险</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w:t>
      </w:r>
      <w:r>
        <w:rPr>
          <w:rFonts w:asciiTheme="minorEastAsia" w:hAnsiTheme="minorEastAsia" w:cs="Arial" w:hint="eastAsia"/>
          <w:bCs/>
          <w:sz w:val="24"/>
          <w:szCs w:val="24"/>
        </w:rPr>
        <w:lastRenderedPageBreak/>
        <w:t>者差错而影响交易的正常进行或者导致投资者的利益受到影响。这种技术风险可能来自基金管理公司、登记机构、销售机构、证券交易所、证券登记结算机构等等。</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rsidR="003E4D36" w:rsidRDefault="00E729B5">
      <w:pPr>
        <w:widowControl/>
        <w:jc w:val="left"/>
        <w:rPr>
          <w:rFonts w:asciiTheme="minorEastAsia" w:hAnsiTheme="minorEastAsia" w:cs="Times New Roman"/>
          <w:b/>
          <w:bCs/>
          <w:kern w:val="44"/>
          <w:sz w:val="24"/>
          <w:szCs w:val="24"/>
        </w:rPr>
      </w:pPr>
      <w:r>
        <w:rPr>
          <w:rFonts w:asciiTheme="minorEastAsia" w:hAnsiTheme="minorEastAsia" w:cs="Times New Roman"/>
          <w:b/>
          <w:bCs/>
          <w:kern w:val="44"/>
          <w:sz w:val="24"/>
          <w:szCs w:val="24"/>
        </w:rPr>
        <w:br w:type="page"/>
      </w:r>
    </w:p>
    <w:p w:rsidR="003E4D36" w:rsidRDefault="00E729B5">
      <w:pPr>
        <w:pStyle w:val="1"/>
        <w:jc w:val="center"/>
        <w:rPr>
          <w:sz w:val="30"/>
          <w:szCs w:val="30"/>
        </w:rPr>
      </w:pPr>
      <w:bookmarkStart w:id="328" w:name="_Toc523243832"/>
      <w:r>
        <w:rPr>
          <w:rFonts w:hint="eastAsia"/>
          <w:sz w:val="30"/>
          <w:szCs w:val="30"/>
        </w:rPr>
        <w:lastRenderedPageBreak/>
        <w:t>第十七部分</w:t>
      </w:r>
      <w:r>
        <w:rPr>
          <w:sz w:val="30"/>
          <w:szCs w:val="30"/>
        </w:rPr>
        <w:t xml:space="preserve">  </w:t>
      </w:r>
      <w:bookmarkEnd w:id="311"/>
      <w:bookmarkEnd w:id="312"/>
      <w:r>
        <w:rPr>
          <w:rFonts w:hint="eastAsia"/>
          <w:sz w:val="30"/>
          <w:szCs w:val="30"/>
        </w:rPr>
        <w:t>基金合同的变更、终止与基金财产的清算</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rsidR="003E4D36" w:rsidRDefault="003E4D36">
      <w:pPr>
        <w:spacing w:line="360" w:lineRule="auto"/>
        <w:ind w:firstLineChars="200" w:firstLine="480"/>
        <w:rPr>
          <w:rFonts w:asciiTheme="minorEastAsia" w:hAnsiTheme="minorEastAsia" w:cs="Times New Roman"/>
          <w:bCs/>
          <w:sz w:val="24"/>
          <w:szCs w:val="24"/>
        </w:rPr>
      </w:pPr>
    </w:p>
    <w:p w:rsidR="003E4D36" w:rsidRDefault="00E729B5">
      <w:pPr>
        <w:adjustRightInd w:val="0"/>
        <w:snapToGrid w:val="0"/>
        <w:spacing w:line="360" w:lineRule="auto"/>
        <w:ind w:firstLineChars="200" w:firstLine="482"/>
        <w:rPr>
          <w:rFonts w:asciiTheme="minorEastAsia" w:hAnsiTheme="minorEastAsia" w:cs="Times New Roman"/>
          <w:b/>
          <w:sz w:val="24"/>
          <w:szCs w:val="24"/>
        </w:rPr>
      </w:pPr>
      <w:bookmarkStart w:id="329" w:name="_Toc128310501"/>
      <w:bookmarkStart w:id="330" w:name="_Toc8512"/>
      <w:bookmarkStart w:id="331" w:name="_Toc31866"/>
      <w:bookmarkStart w:id="332" w:name="_Toc12028"/>
      <w:bookmarkStart w:id="333" w:name="_Toc352229764"/>
      <w:bookmarkStart w:id="334" w:name="_Toc141703898"/>
      <w:bookmarkStart w:id="335" w:name="_Toc139991748"/>
      <w:bookmarkStart w:id="336" w:name="_Toc92662709"/>
      <w:bookmarkStart w:id="337" w:name="_Toc21351"/>
      <w:bookmarkStart w:id="338" w:name="_Toc1173"/>
      <w:bookmarkStart w:id="339" w:name="_Toc29289"/>
      <w:bookmarkStart w:id="340" w:name="_Toc11049"/>
      <w:bookmarkStart w:id="341" w:name="_Toc11802"/>
      <w:bookmarkStart w:id="342" w:name="_Toc93226151"/>
      <w:bookmarkStart w:id="343" w:name="_Toc193"/>
      <w:bookmarkStart w:id="344" w:name="_Toc3056"/>
      <w:bookmarkStart w:id="345" w:name="_Toc1421"/>
      <w:r>
        <w:rPr>
          <w:rFonts w:asciiTheme="minorEastAsia" w:hAnsiTheme="minorEastAsia" w:cs="Times New Roman" w:hint="eastAsia"/>
          <w:b/>
          <w:sz w:val="24"/>
          <w:szCs w:val="24"/>
        </w:rPr>
        <w:t>一、《基金合同》的变更</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 2、关于《基金合同》变更的基金份额持有人大会决议自生效后方可执行，并自决议生效后两个工作日内在指定媒介公告。</w:t>
      </w:r>
    </w:p>
    <w:p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二、《基金合同》的终止事由</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有下列情形之一的，《基金合同》应当终止：</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1、基金份额持有人大会决定终止的；</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2、基金管理人、基金托管人职责终止，在6个月内没有新基金管理人、新基金托管人承接的；</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3、《基金合同》约定的其他情形；</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4、相关法律法规和中国证监会规定的其他情况。</w:t>
      </w:r>
    </w:p>
    <w:p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三、基金财产的清算</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1、基金财产清算小组：自出现《基金合同》终止事由之日起30个工作日内成立清算小组，基金管理人组织基金财产清算小组并在中国证监会的监督下进行基金清算。</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3、基金财产清算小组职责：基金财产清算小组负责基金财产的保管、清理、估价、变现和分配。基金财产清算小组可以依法进行必要的民事活动。</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4、基金财产清算程序：</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（1）《基金合同》终止情形出现时，由基金财产清算小组统一接管基金；</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（2）对基金财产和债权债务进行清理和确认；</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（3）对基金财产进行估值和变现；</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（4）制作清算报告；</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（5）聘请会计师事务所对清算报告进行外部审计，聘请律师事务所对清算报告出具法律意见书；</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（6）将清算报告报中国证监会备案并公告；</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（7）对基金剩余财产进行分配。</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5、基金财产清算的期限为6个月。</w:t>
      </w:r>
    </w:p>
    <w:p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四、清算费用</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五、基金财产清算剩余资产的分配</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六、基金财产清算的公告</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过程中的有关重大事项须及时公告；基金财产清算报告经会计师事务所审计并由律师事务所出具法律意见书后报中国证监会备案并公告。基金财产清算公告于基金财产清算报告报中国证监会备案后5个工作日内由基金财产清算小组进行公告。</w:t>
      </w:r>
    </w:p>
    <w:p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七、基金财产清算账册及文件的保存</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基金财产清算账册及有关文件由基金托管人保存15年以上。</w:t>
      </w:r>
    </w:p>
    <w:p w:rsidR="003E4D36" w:rsidRDefault="00E729B5">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rsidR="003E4D36" w:rsidRDefault="00E729B5">
      <w:pPr>
        <w:pStyle w:val="1"/>
        <w:jc w:val="center"/>
        <w:rPr>
          <w:sz w:val="30"/>
          <w:szCs w:val="30"/>
        </w:rPr>
      </w:pPr>
      <w:bookmarkStart w:id="346" w:name="_Toc416264553"/>
      <w:bookmarkStart w:id="347" w:name="_Toc523243833"/>
      <w:bookmarkStart w:id="348" w:name="_Toc263092326"/>
      <w:bookmarkStart w:id="349" w:name="_Toc214873607"/>
      <w:bookmarkStart w:id="350" w:name="_Toc352229765"/>
      <w:bookmarkStart w:id="351" w:name="_Toc123051465"/>
      <w:bookmarkStart w:id="352" w:name="_Toc27464"/>
      <w:bookmarkStart w:id="353" w:name="_Toc141703899"/>
      <w:bookmarkStart w:id="354" w:name="_Toc10006"/>
      <w:bookmarkStart w:id="355" w:name="_Toc8049"/>
      <w:bookmarkStart w:id="356" w:name="_Toc9005"/>
      <w:bookmarkStart w:id="357" w:name="_Toc98560364"/>
      <w:bookmarkStart w:id="358" w:name="_Toc123102466"/>
      <w:bookmarkStart w:id="359" w:name="_Toc11113"/>
      <w:bookmarkStart w:id="360" w:name="_Toc25647"/>
      <w:bookmarkStart w:id="361" w:name="_Toc139991749"/>
      <w:bookmarkStart w:id="362" w:name="_Toc8059"/>
      <w:bookmarkStart w:id="363" w:name="_Toc6237"/>
      <w:bookmarkStart w:id="364" w:name="_Toc29891"/>
      <w:bookmarkStart w:id="365" w:name="_Toc7170"/>
      <w:bookmarkStart w:id="366" w:name="_Toc22978"/>
      <w:bookmarkStart w:id="367" w:name="_Toc123112247"/>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46"/>
      <w:bookmarkEnd w:id="347"/>
      <w:bookmarkEnd w:id="348"/>
      <w:bookmarkEnd w:id="349"/>
    </w:p>
    <w:p w:rsidR="003E4D36" w:rsidRDefault="00E729B5">
      <w:pPr>
        <w:widowControl/>
        <w:spacing w:line="360" w:lineRule="auto"/>
        <w:ind w:firstLineChars="200" w:firstLine="482"/>
        <w:jc w:val="left"/>
        <w:rPr>
          <w:rFonts w:asciiTheme="minorEastAsia" w:hAnsiTheme="minorEastAsia" w:cs="Times New Roman"/>
          <w:b/>
          <w:sz w:val="24"/>
          <w:szCs w:val="24"/>
        </w:rPr>
      </w:pPr>
      <w:r>
        <w:rPr>
          <w:rFonts w:asciiTheme="minorEastAsia" w:hAnsiTheme="minorEastAsia" w:cs="Times New Roman" w:hint="eastAsia"/>
          <w:b/>
          <w:sz w:val="24"/>
          <w:szCs w:val="24"/>
        </w:rPr>
        <w:t>一、基金份额持有人、基金管理人和基金托管人的权利、义务</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（15）在符合有关法律、法规的前提下，制订和调整有关基金认购、申购、赎回、转换和非交易过户等业务规则；</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（16）法律法规及中国证监会规定的和《基金合同》约定的其他权利。</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（8）采取适当合理的措施使计算基金份额认购、申购、赎回和注销价格的方法符合《基金合同》等法律文件的规定，按有关规定计算并公告基金资产净值，确定基金份额申购、赎回的价格；</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（10）编制季度、半年度和年度基金报告；</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（26）建立并保存基金份额持有人名册；</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hint="eastAsia"/>
          <w:bCs/>
          <w:sz w:val="24"/>
          <w:szCs w:val="24"/>
        </w:rPr>
        <w:tab/>
        <w:t>基金托管人的权利与义务</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（1）自《基金合同》生效之日起，依法律法规和《基金合同》的规定安全保管基金财产；</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（4）根据相关市场规则，为基金开设资金账户、证券账户等投资所需账户，为基金办理证券、期货交易资金清算；</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（6）按规定开设基金财产的资金账户、证券账户等投资所需账户，按照《基金合同》的约定，根据基金管理人的投资指令，及时办理清算、交割事宜；</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（7）保守基金商业秘密，除《基金法》、《基金合同》及其他有关规定另有规定外，在基金信息公开披露前予以保密，不得向他人泄露；</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（8）复核、审查基金管理人计算的基金资产净值、基金份额申购、赎回价格；</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（11）保存基金托管业务活动的记录、账册、报表和其他相关资料15年以上；</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（12）建立并保存基金份额持有人名册；</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（16）按照法律法规和《基金合同》的规定监督基金管理人的投资运作；</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（三）基金份额持有人的权利和义务</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（3）依法申请赎回其持有的基金份额；</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（4）缴纳基金认购、申购款项及法律法规和《基金合同》所规定的费用；</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（5）在其持有的基金份额范围内，承担基金亏损或者《基金合同》终止的有限责任；</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（9）法律法规及中国证监会规定的和《基金合同》约定的其他义务。</w:t>
      </w:r>
    </w:p>
    <w:p w:rsidR="003E4D36" w:rsidRDefault="00E729B5">
      <w:pPr>
        <w:widowControl/>
        <w:spacing w:line="360" w:lineRule="auto"/>
        <w:ind w:firstLineChars="200" w:firstLine="482"/>
        <w:jc w:val="left"/>
        <w:rPr>
          <w:rFonts w:asciiTheme="minorEastAsia" w:hAnsiTheme="minorEastAsia" w:cs="Times New Roman"/>
          <w:bCs/>
          <w:sz w:val="24"/>
          <w:szCs w:val="24"/>
        </w:rPr>
      </w:pPr>
      <w:r>
        <w:rPr>
          <w:rFonts w:asciiTheme="minorEastAsia" w:hAnsiTheme="minorEastAsia" w:cs="Times New Roman" w:hint="eastAsia"/>
          <w:b/>
          <w:sz w:val="24"/>
          <w:szCs w:val="24"/>
        </w:rPr>
        <w:t>二、基金份额持有人大会召集、议事及表决的程序和规则</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1、当出现或需要决定下列事由之一的，应当召开基金份额持有人大会：</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（1）终止《基金合同》，但《基金合同》另有约定的除外；</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的报酬标准</w:t>
      </w:r>
      <w:r>
        <w:rPr>
          <w:rFonts w:asciiTheme="minorEastAsia" w:hAnsiTheme="minorEastAsia" w:cs="Times New Roman" w:hint="eastAsia"/>
          <w:bCs/>
          <w:sz w:val="24"/>
          <w:szCs w:val="24"/>
        </w:rPr>
        <w:t>或调高销售服务费率；</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（7）本基金与其他基金的合并；</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（8）变更基金投资目标、范围或策略；</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（10）基金管理人或基金托管人要求召开基金份额持有人大会；</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2、以下情况可由基金管理人和基金托管人协商后修改，不需召开基金份额持有人大会：</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（1）调低销售服务费；</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（2）法律法规要求增加的基金费用的收取；</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（4）因相应的法律法规发生变动而应当对《基金合同》进行修改；</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2、基金管理人未按规定召集或不能召集时，由基金托管人召集；</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w:t>
      </w:r>
      <w:r>
        <w:rPr>
          <w:rFonts w:asciiTheme="minorEastAsia" w:hAnsiTheme="minorEastAsia" w:cs="Times New Roman" w:hint="eastAsia"/>
          <w:bCs/>
          <w:sz w:val="24"/>
          <w:szCs w:val="24"/>
        </w:rPr>
        <w:lastRenderedPageBreak/>
        <w:t>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（2）会议拟审议的事项、议事程序和表决方式；</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（6）出席会议者必须准备的文件和必须履行的手续；</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w:t>
      </w:r>
      <w:r>
        <w:rPr>
          <w:rFonts w:asciiTheme="minorEastAsia" w:hAnsiTheme="minorEastAsia" w:cs="Times New Roman" w:hint="eastAsia"/>
          <w:bCs/>
          <w:sz w:val="24"/>
          <w:szCs w:val="24"/>
        </w:rPr>
        <w:lastRenderedPageBreak/>
        <w:t>管理人或基金托管人拒不派代表对表决意见的计票进行监督的，不影响表决意见的计票效力。</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w:t>
      </w:r>
      <w:r>
        <w:rPr>
          <w:rFonts w:asciiTheme="minorEastAsia" w:hAnsiTheme="minorEastAsia" w:cs="Times New Roman" w:hint="eastAsia"/>
          <w:bCs/>
          <w:sz w:val="24"/>
          <w:szCs w:val="24"/>
        </w:rPr>
        <w:lastRenderedPageBreak/>
        <w:t>议通知规定的方式收取基金份额持有人的表决意见；基金托管人或基金管理人经通知不参加收取表决意见的，不影响表决效力；</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2、议事程序</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（八）生效与公告</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3E4D36" w:rsidRDefault="00E729B5">
      <w:pPr>
        <w:widowControl/>
        <w:spacing w:line="360" w:lineRule="auto"/>
        <w:ind w:firstLineChars="200" w:firstLine="482"/>
        <w:jc w:val="left"/>
        <w:rPr>
          <w:rFonts w:asciiTheme="minorEastAsia" w:hAnsiTheme="minorEastAsia" w:cs="Times New Roman"/>
          <w:b/>
          <w:sz w:val="24"/>
          <w:szCs w:val="24"/>
        </w:rPr>
      </w:pPr>
      <w:r>
        <w:rPr>
          <w:rFonts w:asciiTheme="minorEastAsia" w:hAnsiTheme="minorEastAsia" w:cs="Times New Roman" w:hint="eastAsia"/>
          <w:b/>
          <w:sz w:val="24"/>
          <w:szCs w:val="24"/>
        </w:rPr>
        <w:t>三、基金合同解除和终止的事由、程序以及基金财产清算方式</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 2、关于《基金合同》变更的基金份额持有人大会决议自生效后方可执行，并自决议生效后两个工作日内在指定媒介公告。</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（三）基金财产的清算</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（3）对基金财产进行估值和变现；</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（5）聘请会计师事务所对清算报告进行外部审计，聘请律师事务所对清算报告出具法律意见书；</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《基金合同》受中国法律管辖。</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《基金合同》可印制成册，供投资人在基金管理人、基金托管人、销售机构的办公场所和营业场所查阅。</w:t>
      </w:r>
    </w:p>
    <w:p w:rsidR="003E4D36" w:rsidRDefault="00E729B5">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rsidR="003E4D36" w:rsidRDefault="00E729B5">
      <w:pPr>
        <w:pStyle w:val="1"/>
        <w:jc w:val="center"/>
        <w:rPr>
          <w:sz w:val="30"/>
          <w:szCs w:val="30"/>
        </w:rPr>
      </w:pPr>
      <w:bookmarkStart w:id="368" w:name="_Toc214873614"/>
      <w:bookmarkStart w:id="369" w:name="_Toc416264554"/>
      <w:bookmarkStart w:id="370" w:name="_Toc263092327"/>
      <w:bookmarkStart w:id="371" w:name="_Toc523243834"/>
      <w:bookmarkStart w:id="372" w:name="_Toc48649720"/>
      <w:bookmarkStart w:id="373" w:name="_Toc139991750"/>
      <w:bookmarkStart w:id="374" w:name="_Toc13398"/>
      <w:bookmarkStart w:id="375" w:name="_Toc23166"/>
      <w:bookmarkStart w:id="376" w:name="_Toc30645"/>
      <w:bookmarkStart w:id="377" w:name="_Toc27058"/>
      <w:bookmarkStart w:id="378" w:name="_Toc9708"/>
      <w:bookmarkStart w:id="379" w:name="_Toc28549"/>
      <w:bookmarkStart w:id="380" w:name="_Toc123102467"/>
      <w:bookmarkStart w:id="381" w:name="_Toc21240"/>
      <w:bookmarkStart w:id="382" w:name="_Toc79392641"/>
      <w:bookmarkStart w:id="383" w:name="_Toc141703901"/>
      <w:bookmarkStart w:id="384" w:name="_Toc123112248"/>
      <w:bookmarkStart w:id="385" w:name="_Toc8710"/>
      <w:bookmarkStart w:id="386" w:name="_Toc23022"/>
      <w:bookmarkStart w:id="387" w:name="_Toc12191"/>
      <w:bookmarkStart w:id="388" w:name="_Toc98560365"/>
      <w:bookmarkStart w:id="389" w:name="_Toc352229766"/>
      <w:bookmarkStart w:id="390" w:name="_Toc123051466"/>
      <w:bookmarkStart w:id="391" w:name="_Toc7367"/>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68"/>
      <w:bookmarkEnd w:id="369"/>
      <w:bookmarkEnd w:id="370"/>
      <w:bookmarkEnd w:id="371"/>
    </w:p>
    <w:p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一、托管协议当事人</w:t>
      </w:r>
    </w:p>
    <w:p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（一）基金管理人（或简称“管理人”）</w:t>
      </w:r>
    </w:p>
    <w:p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住所：广州市南沙区海滨路171号南沙金融大厦11楼1101之一J20室</w:t>
      </w:r>
    </w:p>
    <w:p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办公地址：深圳市福田区深南大道2012号深圳证券交易所广场3501室</w:t>
      </w:r>
    </w:p>
    <w:p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w:t>
      </w:r>
      <w:r w:rsidR="00084EBD">
        <w:rPr>
          <w:rFonts w:asciiTheme="minorEastAsia" w:hAnsiTheme="minorEastAsia" w:cs="Arial" w:hint="eastAsia"/>
          <w:kern w:val="0"/>
          <w:sz w:val="24"/>
          <w:szCs w:val="24"/>
        </w:rPr>
        <w:t>刘志军</w:t>
      </w:r>
    </w:p>
    <w:p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bookmarkStart w:id="392" w:name="_GoBack"/>
      <w:bookmarkEnd w:id="392"/>
    </w:p>
    <w:p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名称：平安银行股份有限公司</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注册地址：广东省深圳市深南东路5047 号</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办公地址：广东省深圳市深南东路5047 号</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Pr>
          <w:rFonts w:ascii="宋体" w:hAnsi="宋体" w:hint="eastAsia"/>
          <w:color w:val="000000"/>
          <w:sz w:val="24"/>
        </w:rPr>
        <w:t>谢永林</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成立时间：1987年12月22日</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组织形式：股份有限公司</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注册资本：</w:t>
      </w:r>
      <w:r>
        <w:rPr>
          <w:rFonts w:ascii="宋体" w:hAnsi="宋体" w:cs="Times New Roman"/>
          <w:sz w:val="24"/>
          <w:szCs w:val="24"/>
        </w:rPr>
        <w:t>11,424,894,787</w:t>
      </w:r>
      <w:r>
        <w:rPr>
          <w:rFonts w:ascii="宋体" w:hAnsi="宋体" w:cs="Times New Roman" w:hint="eastAsia"/>
          <w:color w:val="000000"/>
          <w:sz w:val="24"/>
          <w:szCs w:val="24"/>
        </w:rPr>
        <w:t>元人民币</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存续期间：永续经营</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基金托管资格批准文号：中国证监会证监许可[2008]1037号</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w:t>
      </w:r>
      <w:r>
        <w:rPr>
          <w:rFonts w:asciiTheme="minorEastAsia" w:hAnsiTheme="minorEastAsia" w:cs="Arial" w:hint="eastAsia"/>
          <w:sz w:val="24"/>
          <w:szCs w:val="24"/>
        </w:rPr>
        <w:lastRenderedPageBreak/>
        <w:t>见证业务；保险兼业代理业务；代理收付款项；黄金进口业务；提供信用证服务及担保；提供保管箱服务；外币兑换；结汇、售汇；信用卡业务；经有关监管机构批准或允许的其他业务。</w:t>
      </w:r>
    </w:p>
    <w:p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二、基金托管人对基金管理人的业务监督和核查</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、政府支持机构债、地方政府债、次级债、可转换债券、可交换债券、中小企业私募</w:t>
      </w:r>
      <w:proofErr w:type="gramStart"/>
      <w:r>
        <w:rPr>
          <w:rFonts w:asciiTheme="minorEastAsia" w:hAnsiTheme="minorEastAsia" w:cs="Arial" w:hint="eastAsia"/>
          <w:color w:val="000000"/>
          <w:sz w:val="24"/>
          <w:szCs w:val="24"/>
        </w:rPr>
        <w:t>债及其</w:t>
      </w:r>
      <w:proofErr w:type="gramEnd"/>
      <w:r>
        <w:rPr>
          <w:rFonts w:asciiTheme="minorEastAsia" w:hAnsiTheme="minorEastAsia" w:cs="Arial" w:hint="eastAsia"/>
          <w:color w:val="000000"/>
          <w:sz w:val="24"/>
          <w:szCs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本基金的投资组合比例为：股票资产占基金资产的0%-95%；每个交易日日终在扣除股指期货、国债期货合约需缴纳的保证金以后，本基金保留的现金或到期日在一年以内的政府债券不低于基金资产净值的5%</w:t>
      </w:r>
      <w:r>
        <w:rPr>
          <w:rFonts w:hint="eastAsia"/>
          <w:bCs/>
          <w:sz w:val="24"/>
        </w:rPr>
        <w:t>，其中现金不包括结算备付金、存出保证金、应收申购款等</w:t>
      </w:r>
      <w:r>
        <w:rPr>
          <w:rFonts w:asciiTheme="minorEastAsia" w:hAnsiTheme="minorEastAsia" w:cs="Arial" w:hint="eastAsia"/>
          <w:color w:val="000000"/>
          <w:sz w:val="24"/>
          <w:szCs w:val="24"/>
        </w:rPr>
        <w:t>；权证投资占基金资产净值的0-3%。</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（1）股票投资占基金资产的比例为0%–95%；</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（2）每个交易日日终在扣除股指期货、国债期货合约需缴纳的交易保证金后，保持不低于基金资产净值5％的现金或者到期日在一年以内的政府债券</w:t>
      </w:r>
      <w:r>
        <w:rPr>
          <w:rFonts w:hint="eastAsia"/>
          <w:bCs/>
          <w:sz w:val="24"/>
        </w:rPr>
        <w:t>，其中现金不包括结算备付金、存出保证金、应收申购款等</w:t>
      </w:r>
      <w:r>
        <w:rPr>
          <w:rFonts w:asciiTheme="minorEastAsia" w:hAnsiTheme="minorEastAsia" w:cs="Arial" w:hint="eastAsia"/>
          <w:color w:val="000000"/>
          <w:sz w:val="24"/>
          <w:szCs w:val="24"/>
        </w:rPr>
        <w:t>；</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（3）本基金持有一家公司发行的证券，其市值不超过基金资产净值的10％；</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（6）本基金管理人管理的全部基金持有的同一权证，不得超过该权证的10％；</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rsidR="003E4D36" w:rsidRDefault="00E729B5">
      <w:pPr>
        <w:adjustRightInd w:val="0"/>
        <w:snapToGrid w:val="0"/>
        <w:spacing w:line="276"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Arial" w:hint="eastAsia"/>
          <w:color w:val="000000"/>
          <w:sz w:val="24"/>
          <w:szCs w:val="24"/>
        </w:rPr>
        <w:t>基金投资于中小企业私募债的比例不超过基金资产净值的20%；</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w:t>
      </w:r>
      <w:proofErr w:type="gramStart"/>
      <w:r>
        <w:rPr>
          <w:rFonts w:asciiTheme="minorEastAsia" w:hAnsiTheme="minorEastAsia" w:cs="Arial" w:hint="eastAsia"/>
          <w:color w:val="000000"/>
          <w:sz w:val="24"/>
          <w:szCs w:val="24"/>
        </w:rPr>
        <w:t>若参</w:t>
      </w:r>
      <w:proofErr w:type="gramEnd"/>
      <w:r>
        <w:rPr>
          <w:rFonts w:asciiTheme="minorEastAsia" w:hAnsiTheme="minorEastAsia" w:cs="Arial" w:hint="eastAsia"/>
          <w:color w:val="000000"/>
          <w:sz w:val="24"/>
          <w:szCs w:val="24"/>
        </w:rPr>
        <w:t>与股指期货、国债期货交易，需遵守下列规定：</w:t>
      </w:r>
    </w:p>
    <w:p w:rsidR="003E4D36" w:rsidRDefault="00E729B5">
      <w:pPr>
        <w:adjustRightInd w:val="0"/>
        <w:snapToGrid w:val="0"/>
        <w:spacing w:line="276"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1）本基金在任何交易日日终，持有的买入股指期货合约价值，不得超过基金资产净值的10%；</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2）本基金在任何交易日日终，持有的买入股指期货、国债期货合约价值与</w:t>
      </w:r>
      <w:r>
        <w:rPr>
          <w:rFonts w:asciiTheme="minorEastAsia" w:hAnsiTheme="minorEastAsia" w:cs="Arial" w:hint="eastAsia"/>
          <w:color w:val="000000"/>
          <w:sz w:val="24"/>
          <w:szCs w:val="24"/>
        </w:rPr>
        <w:lastRenderedPageBreak/>
        <w:t>有价证券市值之和，不得超过基金资产净值的95%，其中，有价证券指股票、债券（不含到期日在一年以内的政府债券）、权证、资产支持证券、买入返售金融资产（不含质押式回购）等；</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6）本基金在任何交易日日终，持有的买入国债期货合约价值，不得超过基金资产净值的15%；</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7）本基金在任何交易日日终，持有的卖出国债期货合约价值不得超过基金持有的债券总市值的30%；</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8）本基金在任何交易日内交易（不包括平仓）的国债期货合约的成交金额不得超过上一交易日基金资产净值的30%；</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w:t>
      </w:r>
      <w:proofErr w:type="gramStart"/>
      <w:r>
        <w:rPr>
          <w:rFonts w:asciiTheme="minorEastAsia" w:hAnsiTheme="minorEastAsia" w:cs="Arial" w:hint="eastAsia"/>
          <w:color w:val="000000"/>
          <w:sz w:val="24"/>
          <w:szCs w:val="24"/>
        </w:rPr>
        <w:t>若参</w:t>
      </w:r>
      <w:proofErr w:type="gramEnd"/>
      <w:r>
        <w:rPr>
          <w:rFonts w:asciiTheme="minorEastAsia" w:hAnsiTheme="minorEastAsia" w:cs="Arial" w:hint="eastAsia"/>
          <w:color w:val="000000"/>
          <w:sz w:val="24"/>
          <w:szCs w:val="24"/>
        </w:rPr>
        <w:t>与股票期权交易，需遵守下列投资比例限制：</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1）本基金因未平仓的期权合约支付和收取的权利金总额不得超过基金资产净值的10%；</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2）本基金开仓卖出认购期权的，应持有足额标的证券；开仓卖出认沽期权的，应持有合约行权所需的全额现金或交易所规则认可的可冲抵期权保证金的现金等价物；</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3）本基金未平仓的期权合约面值不得超过基金资产净值的20%。其中，合约面值按照行权价乘以合约乘数计算；</w:t>
      </w:r>
    </w:p>
    <w:p w:rsidR="003E4D36" w:rsidRDefault="00E729B5">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rsidR="003E4D36" w:rsidRDefault="00E729B5">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rsidR="003E4D36" w:rsidRDefault="00E729B5">
      <w:pPr>
        <w:spacing w:line="360" w:lineRule="auto"/>
        <w:ind w:firstLineChars="200" w:firstLine="480"/>
        <w:rPr>
          <w:bCs/>
          <w:sz w:val="24"/>
        </w:rPr>
      </w:pPr>
      <w:r>
        <w:rPr>
          <w:rFonts w:hint="eastAsia"/>
          <w:bCs/>
          <w:sz w:val="24"/>
        </w:rPr>
        <w:t>因证券市场波动、上市公司股票停牌、基金规模变动等基金管理人之外的因</w:t>
      </w:r>
      <w:r>
        <w:rPr>
          <w:rFonts w:hint="eastAsia"/>
          <w:bCs/>
          <w:sz w:val="24"/>
        </w:rPr>
        <w:lastRenderedPageBreak/>
        <w:t>素致使基金不符合前款所规定比例限制的，基金管理人不得主动新增流动性受限资产的投资；</w:t>
      </w:r>
    </w:p>
    <w:p w:rsidR="003E4D36" w:rsidRDefault="00E729B5">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rsidR="003E4D36" w:rsidRDefault="00E729B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3E4D36" w:rsidRDefault="00E729B5">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法律法规或监管部门取消或变更上述限制，如适用于本基金，基金管理人在履行适当程序后，则本基金投资不再受相关限制或按调整后的规定执行。</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（三）基金托管人根据有关法律法规的规定及基金合同的约定，对本托管协议第十五条第九款基金投资禁止行为进行监督。</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基金托管人通过事后监督方式对基金管理人基金投资禁止行为进行监督。</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w:t>
      </w:r>
      <w:proofErr w:type="gramStart"/>
      <w:r>
        <w:rPr>
          <w:rFonts w:asciiTheme="minorEastAsia" w:hAnsiTheme="minorEastAsia" w:cs="Arial" w:hint="eastAsia"/>
          <w:color w:val="000000"/>
          <w:sz w:val="24"/>
          <w:szCs w:val="24"/>
        </w:rPr>
        <w:t>方发行</w:t>
      </w:r>
      <w:proofErr w:type="gramEnd"/>
      <w:r>
        <w:rPr>
          <w:rFonts w:asciiTheme="minorEastAsia" w:hAnsiTheme="minorEastAsia" w:cs="Arial" w:hint="eastAsia"/>
          <w:color w:val="000000"/>
          <w:sz w:val="24"/>
          <w:szCs w:val="24"/>
        </w:rPr>
        <w:t>的证券名单。基金管理人和基金托管人有责任确保关联交易名单的真实性、准确性、完整性，并负责及时将更新后的名单发送给对方。</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w:t>
      </w:r>
      <w:r>
        <w:rPr>
          <w:rFonts w:asciiTheme="minorEastAsia" w:hAnsiTheme="minorEastAsia" w:cs="Arial" w:hint="eastAsia"/>
          <w:color w:val="000000"/>
          <w:sz w:val="24"/>
          <w:szCs w:val="24"/>
        </w:rPr>
        <w:lastRenderedPageBreak/>
        <w:t>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（五）基金托管人根据有关法律法规的规定及《基金合同》的约定，对基金管理人选择存款银行进行监督。 </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本基金投资银行存款应符合如下规定： </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w:t>
      </w:r>
      <w:r>
        <w:rPr>
          <w:rFonts w:asciiTheme="minorEastAsia" w:hAnsiTheme="minorEastAsia" w:cs="Arial" w:hint="eastAsia"/>
          <w:color w:val="000000"/>
          <w:sz w:val="24"/>
          <w:szCs w:val="24"/>
        </w:rPr>
        <w:lastRenderedPageBreak/>
        <w:t>违规行为，应立即报告中国证监会，同时通知基金管理人在10个工作日内纠正或拒绝结算，</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管理人拒不执行造成基金财产的损失，基金托管人不承担任何责任。</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（六）基金托管人根据有关法律法规的规定及基金合同的约定，对基金投资流通受限证券进行监督。</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上述规章制度须经基金管理人董事会批准。上述规章制度经董事会通过之后，基金管理人应至少</w:t>
      </w:r>
      <w:proofErr w:type="gramStart"/>
      <w:r>
        <w:rPr>
          <w:rFonts w:asciiTheme="minorEastAsia" w:hAnsiTheme="minorEastAsia" w:cs="Arial" w:hint="eastAsia"/>
          <w:color w:val="000000"/>
          <w:sz w:val="24"/>
          <w:szCs w:val="24"/>
        </w:rPr>
        <w:t>于首次</w:t>
      </w:r>
      <w:proofErr w:type="gramEnd"/>
      <w:r>
        <w:rPr>
          <w:rFonts w:asciiTheme="minorEastAsia" w:hAnsiTheme="minorEastAsia" w:cs="Arial" w:hint="eastAsia"/>
          <w:color w:val="000000"/>
          <w:sz w:val="24"/>
          <w:szCs w:val="24"/>
        </w:rPr>
        <w:t>投资流通受限证券之前两个工作日将上述资料书面发至基金托管人，保证基金托管人有足够的时间进行审核。</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5.基金投资流通受限证券，基金管理人应根据本协议的规定与基金托管银行签订风险控制补充协议。协议应包括基金托管人对于基金管理人是否遵守相关制度、流动</w:t>
      </w:r>
      <w:proofErr w:type="gramStart"/>
      <w:r>
        <w:rPr>
          <w:rFonts w:asciiTheme="minorEastAsia" w:hAnsiTheme="minorEastAsia" w:cs="Arial" w:hint="eastAsia"/>
          <w:color w:val="000000"/>
          <w:sz w:val="24"/>
          <w:szCs w:val="24"/>
        </w:rPr>
        <w:t>型风险</w:t>
      </w:r>
      <w:proofErr w:type="gramEnd"/>
      <w:r>
        <w:rPr>
          <w:rFonts w:asciiTheme="minorEastAsia" w:hAnsiTheme="minorEastAsia" w:cs="Arial" w:hint="eastAsia"/>
          <w:color w:val="000000"/>
          <w:sz w:val="24"/>
          <w:szCs w:val="24"/>
        </w:rPr>
        <w:t>处置预案以及相关投资额度和比例的情况进行监督等内容。</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6．基金管理人应在基金投资非公开发行股票后两个交易日内，在中国证监</w:t>
      </w:r>
      <w:r>
        <w:rPr>
          <w:rFonts w:asciiTheme="minorEastAsia" w:hAnsiTheme="minorEastAsia" w:cs="Arial" w:hint="eastAsia"/>
          <w:color w:val="000000"/>
          <w:sz w:val="24"/>
          <w:szCs w:val="24"/>
        </w:rPr>
        <w:lastRenderedPageBreak/>
        <w:t>会指定媒介披露所投资非公开发行股票的名称、数量、总成本、账面价值，以及总成本和账面价值占基金资产净值的比例、锁定期等信息。</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如基金管理人和基金托管人无法达成一致，应及时上报中国证监会请求解决。</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（十）</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（十一）基金托管人发现基金管理人有重大违规行为，应及时报告中国证监会，同时通知基金管理人限期纠正，并将纠正结果报告中国证监会。</w:t>
      </w:r>
    </w:p>
    <w:p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期货账户等投资所需账户、复核基金管理人计算的基金资产净值和基金份额净值、根据基金管理人指令办理清算交收、相关信息披露和监督基金投资运作等行为。</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Theme="minorEastAsia" w:hAnsiTheme="minorEastAsia" w:cs="Arial" w:hint="eastAsia"/>
          <w:sz w:val="24"/>
          <w:szCs w:val="24"/>
        </w:rPr>
        <w:t>供基金</w:t>
      </w:r>
      <w:proofErr w:type="gramEnd"/>
      <w:r>
        <w:rPr>
          <w:rFonts w:asciiTheme="minorEastAsia" w:hAnsiTheme="minorEastAsia" w:cs="Arial" w:hint="eastAsia"/>
          <w:sz w:val="24"/>
          <w:szCs w:val="24"/>
        </w:rPr>
        <w:t>管理人核查托管财产的完整性和真实性，在规定时间内答复基金管理人并改正。</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（一）基金财产保管的原则</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1．基金财产应独立于基金管理人、基金托管人的固有财产；</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2．基金托管人应安全保管基金财产；</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3．基金托管人按照规定开设基金财产的资金账户、证券账户和期货账户等投资所需账户；</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4．基金托管人对所托管的不同基金财产分别设置账户，确保基金财产的完整与独立； </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5．基金托管人根据基金管理人的指令，按照基金合同和本协议的约定保管基金财产，如有特殊情况双方可另行协商解决；</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7．除依据法律法规和基金合同的规定外，基金托管人不得委托第三人托管基金财产。</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（二）基金募集期间及募集资金的验资</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1．基金募集期间募集的资金应存于基金募集专户，该账户由基金管理人开立并管理。</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募集期限届满，未能达到基金合同生效的条件，由基金管理人按规定办理退款等事宜。</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（三）基金托管专户的开立和管理</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基金管理人授权基金托管人办理托管专户的开立、销户、变更工作，本基金托管账户无需预留印鉴，具体按基金托管人要求办理。</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2．基金托管专户的开立和使用，限于满足开展本基金业务的需要。基金托管人和基金管理人不得假借本基金的名义开立任何其他银行账户；亦不得使用基金的任何账户进行本基金业务以外的活动。</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3．基金托管专户的开立和管理应符合有关法律法规以及银行业监督管理机构的其他有关规定。</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（四）基金证券账户和结算备付金账户的开立和管理</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1．基金托管人在中国证券登记结算有限责任公司上海分公司、深圳分公司为基金开立基金托管人与本基金联名的证券账户。</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5．若中国证监会或其他监管机构在本托管协议订立日之后允许基金从事其他投资品种的投资业务，涉及相关账户的开立、使用的，若无相关规定，</w:t>
      </w:r>
      <w:proofErr w:type="gramStart"/>
      <w:r>
        <w:rPr>
          <w:rFonts w:asciiTheme="minorEastAsia" w:hAnsiTheme="minorEastAsia" w:cs="Arial" w:hint="eastAsia"/>
          <w:sz w:val="24"/>
          <w:szCs w:val="24"/>
        </w:rPr>
        <w:t>则基金</w:t>
      </w:r>
      <w:proofErr w:type="gramEnd"/>
      <w:r>
        <w:rPr>
          <w:rFonts w:asciiTheme="minorEastAsia" w:hAnsiTheme="minorEastAsia" w:cs="Arial" w:hint="eastAsia"/>
          <w:sz w:val="24"/>
          <w:szCs w:val="24"/>
        </w:rPr>
        <w:t>托管人比照上述关于账户开立、使用的规定执行。</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（五）银行间债券托管专户的开设和管理</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（六）其他账户的开立和管理</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在本托管协议签订日之后，本基金被允许从事符合法律法规规定和《基金合</w:t>
      </w:r>
      <w:r>
        <w:rPr>
          <w:rFonts w:asciiTheme="minorEastAsia" w:hAnsiTheme="minorEastAsia" w:cs="Arial" w:hint="eastAsia"/>
          <w:sz w:val="24"/>
          <w:szCs w:val="24"/>
        </w:rPr>
        <w:lastRenderedPageBreak/>
        <w:t>同》约定的其他投资品种的投资业务时，如果涉及相关账户的开设和使用，由基金管理人协助基金托管人根据有关法律法规的规定和《基金合同》的约定，开立有关账户。该账户按有关规则使用并管理。</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（七）基金财产投资的有关有价凭证等的保管</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（八）与基金财产有关的重大合同的保管</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基金资产净值是指基金资产总值减去负债后的金额。</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基金份额净值是指基金资产净值除以基金份额总数，基金份额净值的计算，精确到0.0001元，小数点后第5位四舍五入，国家另有规定的，从其规定。</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基金管理人每个工作日计算基金资产净值及基金份额净值，经基金托管人复核，按规定公告。</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2．复核程序</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基金管理人每工作日对基金资产进行估值后，将基金份额净值结果发送基金托管人，经基金托管人复核无误后，由基金管理人对外公布。</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w:t>
      </w:r>
      <w:r>
        <w:rPr>
          <w:rFonts w:asciiTheme="minorEastAsia" w:hAnsiTheme="minorEastAsia" w:cs="Arial" w:hint="eastAsia"/>
          <w:sz w:val="24"/>
          <w:szCs w:val="24"/>
        </w:rPr>
        <w:lastRenderedPageBreak/>
        <w:t>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（二）基金会计核算</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1、基金账册的建立</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基金管理人进行基金会计核算并编制基金财务会计报告。基金管理人、基金托管人独立地设置、记录和保管本基金的全套账册。</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2、基金财务报表和定期报告的编制和复核</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当在每月结束后5个工作日内完成月度报表的编制；在每个季度结束之日起15个工作日内完成基金季度报告的编制；在上半年结束之日起60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基金管理人应留足充分的时间，便于基金托管人复核相关报表及报告。</w:t>
      </w:r>
    </w:p>
    <w:p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裁。仲裁裁决是终局的，对当事人均有约束力，仲裁费用由败诉方承担。</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本协议受中国法律管辖。</w:t>
      </w:r>
    </w:p>
    <w:p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（一）托管协议的变更</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本协议双方当事人经协商一致，可以对协议进行修改。修改后的新协议，其内容不得与基金合同的规定有任何冲突。基金托管协议的变更报中国证监会备案。</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（二）基金托管协议终止出现的情形</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hint="eastAsia"/>
          <w:sz w:val="24"/>
          <w:szCs w:val="24"/>
        </w:rPr>
        <w:tab/>
        <w:t>基金合同终止；</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hint="eastAsia"/>
          <w:sz w:val="24"/>
          <w:szCs w:val="24"/>
        </w:rPr>
        <w:tab/>
        <w:t>基金托管人解散、依法被撤销、破产或由其他基金托管人接管基金资产；</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hint="eastAsia"/>
          <w:sz w:val="24"/>
          <w:szCs w:val="24"/>
        </w:rPr>
        <w:tab/>
        <w:t>基金管理人解散、依法被撤销、破产或由其他基金管理人接管基金管理权；</w:t>
      </w:r>
    </w:p>
    <w:p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hint="eastAsia"/>
          <w:sz w:val="24"/>
          <w:szCs w:val="24"/>
        </w:rPr>
        <w:tab/>
        <w:t>发生法律法规或基金合同规定的终止事项。</w:t>
      </w:r>
    </w:p>
    <w:p w:rsidR="003E4D36" w:rsidRDefault="00E729B5">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rsidR="003E4D36" w:rsidRDefault="00E729B5">
      <w:pPr>
        <w:pStyle w:val="1"/>
        <w:jc w:val="center"/>
        <w:rPr>
          <w:sz w:val="30"/>
          <w:szCs w:val="30"/>
        </w:rPr>
      </w:pPr>
      <w:bookmarkStart w:id="393" w:name="_Toc523243835"/>
      <w:bookmarkStart w:id="394" w:name="_Toc12357176"/>
      <w:bookmarkStart w:id="395" w:name="_Toc147463123"/>
      <w:bookmarkStart w:id="396" w:name="_Toc263092328"/>
      <w:bookmarkStart w:id="397" w:name="_Toc21073396"/>
      <w:bookmarkStart w:id="398" w:name="_Toc416264555"/>
      <w:bookmarkStart w:id="399" w:name="_Toc214873621"/>
      <w:bookmarkStart w:id="400" w:name="_Toc21983"/>
      <w:bookmarkStart w:id="401" w:name="_Toc98560366"/>
      <w:bookmarkStart w:id="402" w:name="_Toc123051467"/>
      <w:bookmarkStart w:id="403" w:name="_Toc123102468"/>
      <w:bookmarkStart w:id="404" w:name="_Toc24923"/>
      <w:bookmarkStart w:id="405" w:name="_Toc23999"/>
      <w:bookmarkStart w:id="406" w:name="_Toc30350"/>
      <w:bookmarkStart w:id="407" w:name="_Toc352229767"/>
      <w:bookmarkStart w:id="408" w:name="_Toc6110"/>
      <w:bookmarkStart w:id="409" w:name="_Toc1790"/>
      <w:bookmarkStart w:id="410" w:name="_Toc6202"/>
      <w:bookmarkStart w:id="411" w:name="_Toc141703902"/>
      <w:bookmarkStart w:id="412" w:name="_Toc139991751"/>
      <w:bookmarkStart w:id="413" w:name="_Toc25651"/>
      <w:bookmarkStart w:id="414" w:name="_Toc7288"/>
      <w:bookmarkStart w:id="415" w:name="_Toc3319"/>
      <w:bookmarkStart w:id="416" w:name="_Toc123112249"/>
      <w:bookmarkStart w:id="417" w:name="_Toc8636"/>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393"/>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基金管理人网址：www.furamc.com.cn</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客服邮箱：service@furamc.com.cn</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E-MAIL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w:t>
      </w:r>
      <w:r>
        <w:rPr>
          <w:rFonts w:asciiTheme="minorEastAsia" w:hAnsiTheme="minorEastAsia" w:cs="Arial" w:hint="eastAsia"/>
          <w:sz w:val="24"/>
          <w:szCs w:val="24"/>
        </w:rPr>
        <w:lastRenderedPageBreak/>
        <w:t>构所提供的服务进行投诉。</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 xml:space="preserve">工作日之内对基金投资人的投诉做出回复。对于非工作日提出的投诉，基金管理人将在顺延到下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w:t>
      </w:r>
      <w:proofErr w:type="gramStart"/>
      <w:r>
        <w:rPr>
          <w:rFonts w:asciiTheme="minorEastAsia" w:hAnsiTheme="minorEastAsia" w:cs="Arial" w:hint="eastAsia"/>
          <w:sz w:val="24"/>
          <w:szCs w:val="24"/>
        </w:rPr>
        <w:t>人客户</w:t>
      </w:r>
      <w:proofErr w:type="gramEnd"/>
      <w:r>
        <w:rPr>
          <w:rFonts w:asciiTheme="minorEastAsia" w:hAnsiTheme="minorEastAsia" w:cs="Arial" w:hint="eastAsia"/>
          <w:sz w:val="24"/>
          <w:szCs w:val="24"/>
        </w:rPr>
        <w:t>服务部地址：深圳市福田区深南大道2012号深圳证券交易所广场3501，富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管理有限公司客户服务部（收）</w:t>
      </w:r>
    </w:p>
    <w:p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rsidR="003E4D36" w:rsidRDefault="00E729B5">
      <w:pPr>
        <w:spacing w:line="360" w:lineRule="auto"/>
        <w:ind w:firstLineChars="200" w:firstLine="480"/>
        <w:rPr>
          <w:rFonts w:asciiTheme="minorEastAsia" w:hAnsiTheme="minorEastAsia"/>
          <w:sz w:val="24"/>
          <w:szCs w:val="24"/>
        </w:rPr>
        <w:sectPr w:rsidR="003E4D36">
          <w:footerReference w:type="default" r:id="rId17"/>
          <w:pgSz w:w="11906" w:h="16838"/>
          <w:pgMar w:top="1440" w:right="1800" w:bottom="1440" w:left="1800" w:header="851" w:footer="992" w:gutter="0"/>
          <w:pgNumType w:start="1" w:chapStyle="1"/>
          <w:cols w:space="720"/>
          <w:docGrid w:type="lines" w:linePitch="312"/>
        </w:sectPr>
      </w:pPr>
      <w:r>
        <w:rPr>
          <w:rFonts w:asciiTheme="minorEastAsia" w:hAnsiTheme="minorEastAsia" w:cs="Arial" w:hint="eastAsia"/>
          <w:sz w:val="24"/>
          <w:szCs w:val="24"/>
        </w:rPr>
        <w:t>（七）如本招募说明书存在任何您/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rsidR="003E4D36" w:rsidRDefault="00E729B5">
      <w:pPr>
        <w:pStyle w:val="1"/>
        <w:jc w:val="center"/>
        <w:rPr>
          <w:sz w:val="30"/>
          <w:szCs w:val="30"/>
        </w:rPr>
      </w:pPr>
      <w:bookmarkStart w:id="418" w:name="_Toc523243836"/>
      <w:bookmarkStart w:id="419" w:name="_Toc214873622"/>
      <w:bookmarkStart w:id="420" w:name="_Toc416264556"/>
      <w:bookmarkStart w:id="421" w:name="_Toc530223198"/>
      <w:bookmarkStart w:id="422" w:name="_Toc263092329"/>
      <w:bookmarkEnd w:id="394"/>
      <w:bookmarkEnd w:id="395"/>
      <w:bookmarkEnd w:id="396"/>
      <w:bookmarkEnd w:id="397"/>
      <w:bookmarkEnd w:id="398"/>
      <w:bookmarkEnd w:id="399"/>
      <w:r>
        <w:rPr>
          <w:rFonts w:hint="eastAsia"/>
          <w:sz w:val="30"/>
          <w:szCs w:val="30"/>
        </w:rPr>
        <w:lastRenderedPageBreak/>
        <w:t>第</w:t>
      </w:r>
      <w:r>
        <w:rPr>
          <w:sz w:val="30"/>
          <w:szCs w:val="30"/>
        </w:rPr>
        <w:t>二十一部分</w:t>
      </w:r>
      <w:r>
        <w:rPr>
          <w:rFonts w:hint="eastAsia"/>
          <w:sz w:val="30"/>
          <w:szCs w:val="30"/>
        </w:rPr>
        <w:t xml:space="preserve"> </w:t>
      </w:r>
      <w:r>
        <w:rPr>
          <w:sz w:val="30"/>
          <w:szCs w:val="30"/>
        </w:rPr>
        <w:t xml:space="preserve"> </w:t>
      </w:r>
      <w:r>
        <w:rPr>
          <w:rFonts w:hint="eastAsia"/>
          <w:sz w:val="30"/>
          <w:szCs w:val="30"/>
        </w:rPr>
        <w:t>其他</w:t>
      </w:r>
      <w:r>
        <w:rPr>
          <w:sz w:val="30"/>
          <w:szCs w:val="30"/>
        </w:rPr>
        <w:t>应披露事项</w:t>
      </w:r>
      <w:bookmarkEnd w:id="418"/>
    </w:p>
    <w:tbl>
      <w:tblPr>
        <w:tblW w:w="8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5850"/>
        <w:gridCol w:w="1829"/>
      </w:tblGrid>
      <w:tr w:rsidR="003E4D36">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3E4D36" w:rsidRDefault="00E729B5">
            <w:pPr>
              <w:jc w:val="center"/>
              <w:rPr>
                <w:rFonts w:ascii="宋体" w:eastAsia="宋体" w:hAnsi="宋体"/>
                <w:sz w:val="24"/>
                <w:szCs w:val="24"/>
              </w:rPr>
            </w:pPr>
            <w:r>
              <w:rPr>
                <w:rFonts w:ascii="宋体" w:eastAsia="宋体" w:hAnsi="宋体" w:hint="eastAsia"/>
                <w:sz w:val="24"/>
                <w:szCs w:val="24"/>
              </w:rPr>
              <w:t>序号</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3E4D36" w:rsidRDefault="00E729B5">
            <w:pPr>
              <w:jc w:val="center"/>
              <w:rPr>
                <w:rFonts w:ascii="宋体" w:eastAsia="宋体" w:hAnsi="宋体"/>
                <w:sz w:val="24"/>
                <w:szCs w:val="24"/>
              </w:rPr>
            </w:pPr>
            <w:r>
              <w:rPr>
                <w:rFonts w:ascii="宋体" w:eastAsia="宋体" w:hAnsi="宋体" w:hint="eastAsia"/>
                <w:sz w:val="24"/>
                <w:szCs w:val="24"/>
              </w:rPr>
              <w:t>公告事项</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3E4D36" w:rsidRDefault="00E729B5">
            <w:pPr>
              <w:jc w:val="center"/>
              <w:rPr>
                <w:rFonts w:ascii="宋体" w:eastAsia="宋体" w:hAnsi="宋体"/>
                <w:sz w:val="24"/>
                <w:szCs w:val="24"/>
              </w:rPr>
            </w:pPr>
            <w:r>
              <w:rPr>
                <w:rFonts w:ascii="宋体" w:eastAsia="宋体" w:hAnsi="宋体" w:hint="eastAsia"/>
                <w:sz w:val="24"/>
                <w:szCs w:val="24"/>
              </w:rPr>
              <w:t>披露日期</w:t>
            </w:r>
          </w:p>
        </w:tc>
      </w:tr>
      <w:tr w:rsidR="00C1630A" w:rsidTr="00C1630A">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Fonts w:ascii="宋体" w:eastAsia="宋体" w:hAnsi="宋体"/>
                <w:sz w:val="24"/>
                <w:szCs w:val="24"/>
              </w:rPr>
            </w:pPr>
            <w:r w:rsidRPr="00C1630A">
              <w:rPr>
                <w:rFonts w:ascii="宋体" w:eastAsia="宋体" w:hAnsi="宋体" w:hint="eastAsia"/>
                <w:sz w:val="24"/>
                <w:szCs w:val="24"/>
              </w:rPr>
              <w:t>1</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富</w:t>
            </w:r>
            <w:proofErr w:type="gramStart"/>
            <w:r w:rsidRPr="00C1630A">
              <w:rPr>
                <w:rStyle w:val="af"/>
                <w:rFonts w:ascii="宋体" w:eastAsia="宋体" w:hAnsi="宋体" w:hint="eastAsia"/>
                <w:color w:val="auto"/>
                <w:sz w:val="24"/>
                <w:szCs w:val="24"/>
                <w:u w:val="none"/>
              </w:rPr>
              <w:t>荣基金</w:t>
            </w:r>
            <w:proofErr w:type="gramEnd"/>
            <w:r w:rsidRPr="00C1630A">
              <w:rPr>
                <w:rStyle w:val="af"/>
                <w:rFonts w:ascii="宋体" w:eastAsia="宋体" w:hAnsi="宋体" w:hint="eastAsia"/>
                <w:color w:val="auto"/>
                <w:sz w:val="24"/>
                <w:szCs w:val="24"/>
                <w:u w:val="none"/>
              </w:rPr>
              <w:t>管理有限公司关于旗下部分基金</w:t>
            </w:r>
            <w:proofErr w:type="gramStart"/>
            <w:r w:rsidRPr="00C1630A">
              <w:rPr>
                <w:rStyle w:val="af"/>
                <w:rFonts w:ascii="宋体" w:eastAsia="宋体" w:hAnsi="宋体" w:hint="eastAsia"/>
                <w:color w:val="auto"/>
                <w:sz w:val="24"/>
                <w:szCs w:val="24"/>
                <w:u w:val="none"/>
              </w:rPr>
              <w:t>新增泰诚财富</w:t>
            </w:r>
            <w:proofErr w:type="gramEnd"/>
            <w:r w:rsidRPr="00C1630A">
              <w:rPr>
                <w:rStyle w:val="af"/>
                <w:rFonts w:ascii="宋体" w:eastAsia="宋体" w:hAnsi="宋体" w:hint="eastAsia"/>
                <w:color w:val="auto"/>
                <w:sz w:val="24"/>
                <w:szCs w:val="24"/>
                <w:u w:val="none"/>
              </w:rPr>
              <w:t>基金销售（大连）有限公司为销售机构并开通基金</w:t>
            </w:r>
            <w:proofErr w:type="gramStart"/>
            <w:r w:rsidRPr="00C1630A">
              <w:rPr>
                <w:rStyle w:val="af"/>
                <w:rFonts w:ascii="宋体" w:eastAsia="宋体" w:hAnsi="宋体" w:hint="eastAsia"/>
                <w:color w:val="auto"/>
                <w:sz w:val="24"/>
                <w:szCs w:val="24"/>
                <w:u w:val="none"/>
              </w:rPr>
              <w:t>定投业务</w:t>
            </w:r>
            <w:proofErr w:type="gramEnd"/>
            <w:r w:rsidRPr="00C1630A">
              <w:rPr>
                <w:rStyle w:val="af"/>
                <w:rFonts w:ascii="宋体" w:eastAsia="宋体" w:hAnsi="宋体" w:hint="eastAsia"/>
                <w:color w:val="auto"/>
                <w:sz w:val="24"/>
                <w:szCs w:val="24"/>
                <w:u w:val="none"/>
              </w:rPr>
              <w:t>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pPr>
              <w:jc w:val="center"/>
              <w:rPr>
                <w:rFonts w:ascii="宋体" w:eastAsia="宋体" w:hAnsi="宋体"/>
                <w:sz w:val="24"/>
                <w:szCs w:val="24"/>
              </w:rPr>
            </w:pPr>
            <w:r w:rsidRPr="00C1630A">
              <w:rPr>
                <w:rFonts w:ascii="宋体" w:eastAsia="宋体" w:hAnsi="宋体" w:hint="eastAsia"/>
                <w:sz w:val="24"/>
                <w:szCs w:val="24"/>
              </w:rPr>
              <w:t>2018年8月16日</w:t>
            </w:r>
          </w:p>
        </w:tc>
      </w:tr>
      <w:tr w:rsidR="00C1630A" w:rsidTr="00C1630A">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Fonts w:ascii="宋体" w:eastAsia="宋体" w:hAnsi="宋体"/>
                <w:sz w:val="24"/>
                <w:szCs w:val="24"/>
              </w:rPr>
            </w:pPr>
            <w:r w:rsidRPr="00C1630A">
              <w:rPr>
                <w:rFonts w:ascii="宋体" w:eastAsia="宋体" w:hAnsi="宋体" w:hint="eastAsia"/>
                <w:sz w:val="24"/>
                <w:szCs w:val="24"/>
              </w:rPr>
              <w:t>2</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富</w:t>
            </w:r>
            <w:proofErr w:type="gramStart"/>
            <w:r w:rsidRPr="00C1630A">
              <w:rPr>
                <w:rStyle w:val="af"/>
                <w:rFonts w:ascii="宋体" w:eastAsia="宋体" w:hAnsi="宋体" w:hint="eastAsia"/>
                <w:color w:val="auto"/>
                <w:sz w:val="24"/>
                <w:szCs w:val="24"/>
                <w:u w:val="none"/>
              </w:rPr>
              <w:t>荣基金</w:t>
            </w:r>
            <w:proofErr w:type="gramEnd"/>
            <w:r w:rsidRPr="00C1630A">
              <w:rPr>
                <w:rStyle w:val="af"/>
                <w:rFonts w:ascii="宋体" w:eastAsia="宋体" w:hAnsi="宋体" w:hint="eastAsia"/>
                <w:color w:val="auto"/>
                <w:sz w:val="24"/>
                <w:szCs w:val="24"/>
                <w:u w:val="none"/>
              </w:rPr>
              <w:t>管理有限公司关于旗下部分基金</w:t>
            </w:r>
            <w:proofErr w:type="gramStart"/>
            <w:r w:rsidRPr="00C1630A">
              <w:rPr>
                <w:rStyle w:val="af"/>
                <w:rFonts w:ascii="宋体" w:eastAsia="宋体" w:hAnsi="宋体" w:hint="eastAsia"/>
                <w:color w:val="auto"/>
                <w:sz w:val="24"/>
                <w:szCs w:val="24"/>
                <w:u w:val="none"/>
              </w:rPr>
              <w:t>参加泰诚财富</w:t>
            </w:r>
            <w:proofErr w:type="gramEnd"/>
            <w:r w:rsidRPr="00C1630A">
              <w:rPr>
                <w:rStyle w:val="af"/>
                <w:rFonts w:ascii="宋体" w:eastAsia="宋体" w:hAnsi="宋体" w:hint="eastAsia"/>
                <w:color w:val="auto"/>
                <w:sz w:val="24"/>
                <w:szCs w:val="24"/>
                <w:u w:val="none"/>
              </w:rPr>
              <w:t>基金销售（大连）有限公司基金申购及定期定额投资申购费率优惠活动的公告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pPr>
              <w:jc w:val="center"/>
              <w:rPr>
                <w:rFonts w:ascii="宋体" w:eastAsia="宋体" w:hAnsi="宋体"/>
                <w:sz w:val="24"/>
                <w:szCs w:val="24"/>
              </w:rPr>
            </w:pPr>
            <w:r w:rsidRPr="00C1630A">
              <w:rPr>
                <w:rFonts w:ascii="宋体" w:eastAsia="宋体" w:hAnsi="宋体" w:hint="eastAsia"/>
                <w:sz w:val="24"/>
                <w:szCs w:val="24"/>
              </w:rPr>
              <w:t>2018年8月16日</w:t>
            </w:r>
          </w:p>
        </w:tc>
      </w:tr>
      <w:tr w:rsidR="007673DE" w:rsidTr="00C1630A">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7673DE" w:rsidRPr="00C1630A" w:rsidRDefault="007673DE" w:rsidP="00C1630A">
            <w:pPr>
              <w:jc w:val="center"/>
              <w:rPr>
                <w:rFonts w:ascii="宋体" w:eastAsia="宋体" w:hAnsi="宋体"/>
                <w:sz w:val="24"/>
                <w:szCs w:val="24"/>
              </w:rPr>
            </w:pPr>
            <w:r>
              <w:rPr>
                <w:rFonts w:ascii="宋体" w:eastAsia="宋体" w:hAnsi="宋体" w:hint="eastAsia"/>
                <w:sz w:val="24"/>
                <w:szCs w:val="24"/>
              </w:rPr>
              <w:t>3</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7673DE" w:rsidRPr="007673DE" w:rsidRDefault="007673DE" w:rsidP="007673DE">
            <w:pPr>
              <w:jc w:val="center"/>
              <w:rPr>
                <w:rStyle w:val="af"/>
                <w:rFonts w:ascii="宋体" w:eastAsia="宋体" w:hAnsi="宋体"/>
                <w:color w:val="auto"/>
                <w:sz w:val="24"/>
                <w:szCs w:val="24"/>
                <w:u w:val="none"/>
              </w:rPr>
            </w:pPr>
            <w:r w:rsidRPr="007673DE">
              <w:rPr>
                <w:rStyle w:val="af"/>
                <w:rFonts w:ascii="宋体" w:eastAsia="宋体" w:hAnsi="宋体" w:hint="eastAsia"/>
                <w:color w:val="auto"/>
                <w:sz w:val="24"/>
                <w:szCs w:val="24"/>
                <w:u w:val="none"/>
              </w:rPr>
              <w:t>富荣福鑫灵活配置混合型证券投资基金</w:t>
            </w:r>
          </w:p>
          <w:p w:rsidR="007673DE" w:rsidRPr="00C1630A" w:rsidRDefault="007673DE">
            <w:pPr>
              <w:jc w:val="center"/>
              <w:rPr>
                <w:rStyle w:val="af"/>
                <w:rFonts w:ascii="宋体" w:eastAsia="宋体" w:hAnsi="宋体"/>
                <w:color w:val="auto"/>
                <w:sz w:val="24"/>
                <w:szCs w:val="24"/>
                <w:u w:val="none"/>
              </w:rPr>
            </w:pPr>
            <w:r>
              <w:rPr>
                <w:rStyle w:val="af"/>
                <w:rFonts w:ascii="宋体" w:eastAsia="宋体" w:hAnsi="宋体" w:hint="eastAsia"/>
                <w:color w:val="auto"/>
                <w:sz w:val="24"/>
                <w:szCs w:val="24"/>
                <w:u w:val="none"/>
              </w:rPr>
              <w:t>2018</w:t>
            </w:r>
            <w:r w:rsidRPr="007673DE">
              <w:rPr>
                <w:rStyle w:val="af"/>
                <w:rFonts w:ascii="宋体" w:eastAsia="宋体" w:hAnsi="宋体" w:hint="eastAsia"/>
                <w:color w:val="auto"/>
                <w:sz w:val="24"/>
                <w:szCs w:val="24"/>
                <w:u w:val="none"/>
              </w:rPr>
              <w:t>年半年度报告</w:t>
            </w:r>
            <w:r>
              <w:rPr>
                <w:rStyle w:val="af"/>
                <w:rFonts w:ascii="宋体" w:eastAsia="宋体" w:hAnsi="宋体" w:hint="eastAsia"/>
                <w:color w:val="auto"/>
                <w:sz w:val="24"/>
                <w:szCs w:val="24"/>
                <w:u w:val="none"/>
              </w:rPr>
              <w:t>（2018</w:t>
            </w:r>
            <w:r w:rsidRPr="007673DE">
              <w:rPr>
                <w:rStyle w:val="af"/>
                <w:rFonts w:ascii="宋体" w:eastAsia="宋体" w:hAnsi="宋体" w:hint="eastAsia"/>
                <w:color w:val="auto"/>
                <w:sz w:val="24"/>
                <w:szCs w:val="24"/>
                <w:u w:val="none"/>
              </w:rPr>
              <w:t>年</w:t>
            </w:r>
            <w:r>
              <w:rPr>
                <w:rStyle w:val="af"/>
                <w:rFonts w:ascii="宋体" w:eastAsia="宋体" w:hAnsi="宋体" w:hint="eastAsia"/>
                <w:color w:val="auto"/>
                <w:sz w:val="24"/>
                <w:szCs w:val="24"/>
                <w:u w:val="none"/>
              </w:rPr>
              <w:t>06</w:t>
            </w:r>
            <w:r w:rsidRPr="007673DE">
              <w:rPr>
                <w:rStyle w:val="af"/>
                <w:rFonts w:ascii="宋体" w:eastAsia="宋体" w:hAnsi="宋体" w:hint="eastAsia"/>
                <w:color w:val="auto"/>
                <w:sz w:val="24"/>
                <w:szCs w:val="24"/>
                <w:u w:val="none"/>
              </w:rPr>
              <w:t>月</w:t>
            </w:r>
            <w:r>
              <w:rPr>
                <w:rStyle w:val="af"/>
                <w:rFonts w:ascii="宋体" w:eastAsia="宋体" w:hAnsi="宋体" w:hint="eastAsia"/>
                <w:color w:val="auto"/>
                <w:sz w:val="24"/>
                <w:szCs w:val="24"/>
                <w:u w:val="none"/>
              </w:rPr>
              <w:t>30</w:t>
            </w:r>
            <w:r w:rsidRPr="007673DE">
              <w:rPr>
                <w:rStyle w:val="af"/>
                <w:rFonts w:ascii="宋体" w:eastAsia="宋体" w:hAnsi="宋体" w:hint="eastAsia"/>
                <w:color w:val="auto"/>
                <w:sz w:val="24"/>
                <w:szCs w:val="24"/>
                <w:u w:val="none"/>
              </w:rPr>
              <w:t>日</w:t>
            </w:r>
            <w:r>
              <w:rPr>
                <w:rStyle w:val="af"/>
                <w:rFonts w:ascii="宋体" w:eastAsia="宋体" w:hAnsi="宋体" w:hint="eastAsia"/>
                <w:color w:val="auto"/>
                <w:sz w:val="24"/>
                <w:szCs w:val="24"/>
                <w:u w:val="none"/>
              </w:rPr>
              <w:t>）</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7673DE" w:rsidRPr="00C1630A" w:rsidRDefault="007673DE">
            <w:pPr>
              <w:jc w:val="center"/>
              <w:rPr>
                <w:rFonts w:ascii="宋体" w:eastAsia="宋体" w:hAnsi="宋体"/>
                <w:sz w:val="24"/>
                <w:szCs w:val="24"/>
              </w:rPr>
            </w:pPr>
            <w:r>
              <w:rPr>
                <w:rFonts w:ascii="宋体" w:eastAsia="宋体" w:hAnsi="宋体" w:hint="eastAsia"/>
                <w:sz w:val="24"/>
                <w:szCs w:val="24"/>
              </w:rPr>
              <w:t>2018年8月29日</w:t>
            </w:r>
          </w:p>
        </w:tc>
      </w:tr>
      <w:tr w:rsidR="00C1630A" w:rsidTr="00C1630A">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7673DE" w:rsidP="00C1630A">
            <w:pPr>
              <w:jc w:val="center"/>
              <w:rPr>
                <w:rFonts w:ascii="宋体" w:eastAsia="宋体" w:hAnsi="宋体"/>
                <w:sz w:val="24"/>
                <w:szCs w:val="24"/>
              </w:rPr>
            </w:pPr>
            <w:r>
              <w:rPr>
                <w:rFonts w:ascii="宋体" w:eastAsia="宋体" w:hAnsi="宋体" w:hint="eastAsia"/>
                <w:sz w:val="24"/>
                <w:szCs w:val="24"/>
              </w:rPr>
              <w:t>4</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富荣基金管理有限公司更正公告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2018年9月7日</w:t>
            </w:r>
          </w:p>
        </w:tc>
      </w:tr>
      <w:tr w:rsidR="00C1630A" w:rsidTr="00C1630A">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7673DE" w:rsidP="00C1630A">
            <w:pPr>
              <w:jc w:val="center"/>
              <w:rPr>
                <w:rFonts w:ascii="宋体" w:eastAsia="宋体" w:hAnsi="宋体"/>
                <w:sz w:val="24"/>
                <w:szCs w:val="24"/>
              </w:rPr>
            </w:pPr>
            <w:r>
              <w:rPr>
                <w:rFonts w:ascii="宋体" w:eastAsia="宋体" w:hAnsi="宋体" w:hint="eastAsia"/>
                <w:sz w:val="24"/>
                <w:szCs w:val="24"/>
              </w:rPr>
              <w:t>5</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F7651F">
              <w:rPr>
                <w:rFonts w:hint="eastAsia"/>
              </w:rPr>
              <w:t>富荣基金关于增聘副总经理的公告</w:t>
            </w:r>
          </w:p>
          <w:p w:rsidR="00C1630A" w:rsidRPr="00C1630A" w:rsidRDefault="00C1630A" w:rsidP="00C1630A">
            <w:pPr>
              <w:jc w:val="center"/>
              <w:rPr>
                <w:rStyle w:val="af"/>
                <w:rFonts w:ascii="宋体" w:eastAsia="宋体" w:hAnsi="宋体"/>
                <w:color w:val="auto"/>
                <w:sz w:val="24"/>
                <w:szCs w:val="24"/>
                <w:u w:val="none"/>
              </w:rPr>
            </w:pP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2018年9月10日</w:t>
            </w:r>
          </w:p>
        </w:tc>
      </w:tr>
      <w:tr w:rsidR="00C1630A" w:rsidTr="00C1630A">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7673DE" w:rsidP="00C1630A">
            <w:pPr>
              <w:jc w:val="center"/>
              <w:rPr>
                <w:rFonts w:ascii="宋体" w:eastAsia="宋体" w:hAnsi="宋体"/>
                <w:sz w:val="24"/>
                <w:szCs w:val="24"/>
              </w:rPr>
            </w:pPr>
            <w:r>
              <w:rPr>
                <w:rFonts w:ascii="宋体" w:eastAsia="宋体" w:hAnsi="宋体" w:hint="eastAsia"/>
                <w:sz w:val="24"/>
                <w:szCs w:val="24"/>
              </w:rPr>
              <w:t>6</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富荣基金管理有限公司关于旗下部分基金参加济安财富（北京）基金销售有限公司基金申购及定期定额投资申购费率优惠活动的公告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2018年9月11日</w:t>
            </w:r>
          </w:p>
        </w:tc>
      </w:tr>
      <w:tr w:rsidR="00C1630A" w:rsidTr="00C1630A">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7673DE" w:rsidP="00C1630A">
            <w:pPr>
              <w:jc w:val="center"/>
              <w:rPr>
                <w:rFonts w:ascii="宋体" w:eastAsia="宋体" w:hAnsi="宋体"/>
                <w:sz w:val="24"/>
                <w:szCs w:val="24"/>
              </w:rPr>
            </w:pPr>
            <w:r>
              <w:rPr>
                <w:rFonts w:ascii="宋体" w:eastAsia="宋体" w:hAnsi="宋体" w:hint="eastAsia"/>
                <w:sz w:val="24"/>
                <w:szCs w:val="24"/>
              </w:rPr>
              <w:t>7</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富</w:t>
            </w:r>
            <w:proofErr w:type="gramStart"/>
            <w:r w:rsidRPr="00C1630A">
              <w:rPr>
                <w:rStyle w:val="af"/>
                <w:rFonts w:ascii="宋体" w:eastAsia="宋体" w:hAnsi="宋体" w:hint="eastAsia"/>
                <w:color w:val="auto"/>
                <w:sz w:val="24"/>
                <w:szCs w:val="24"/>
                <w:u w:val="none"/>
              </w:rPr>
              <w:t>荣基金</w:t>
            </w:r>
            <w:proofErr w:type="gramEnd"/>
            <w:r w:rsidRPr="00C1630A">
              <w:rPr>
                <w:rStyle w:val="af"/>
                <w:rFonts w:ascii="宋体" w:eastAsia="宋体" w:hAnsi="宋体" w:hint="eastAsia"/>
                <w:color w:val="auto"/>
                <w:sz w:val="24"/>
                <w:szCs w:val="24"/>
                <w:u w:val="none"/>
              </w:rPr>
              <w:t>管理有限公司关于旗下部分基金新增济安财富（北京）基金销售有限公司为销售机构并开通基金</w:t>
            </w:r>
            <w:proofErr w:type="gramStart"/>
            <w:r w:rsidRPr="00C1630A">
              <w:rPr>
                <w:rStyle w:val="af"/>
                <w:rFonts w:ascii="宋体" w:eastAsia="宋体" w:hAnsi="宋体" w:hint="eastAsia"/>
                <w:color w:val="auto"/>
                <w:sz w:val="24"/>
                <w:szCs w:val="24"/>
                <w:u w:val="none"/>
              </w:rPr>
              <w:t>定投业务</w:t>
            </w:r>
            <w:proofErr w:type="gramEnd"/>
            <w:r w:rsidRPr="00C1630A">
              <w:rPr>
                <w:rStyle w:val="af"/>
                <w:rFonts w:ascii="宋体" w:eastAsia="宋体" w:hAnsi="宋体" w:hint="eastAsia"/>
                <w:color w:val="auto"/>
                <w:sz w:val="24"/>
                <w:szCs w:val="24"/>
                <w:u w:val="none"/>
              </w:rPr>
              <w:t>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2018年9月11日</w:t>
            </w:r>
          </w:p>
        </w:tc>
      </w:tr>
      <w:tr w:rsidR="00C1630A" w:rsidTr="00C1630A">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7673DE" w:rsidP="00C1630A">
            <w:pPr>
              <w:jc w:val="center"/>
              <w:rPr>
                <w:rFonts w:ascii="宋体" w:eastAsia="宋体" w:hAnsi="宋体"/>
                <w:sz w:val="24"/>
                <w:szCs w:val="24"/>
              </w:rPr>
            </w:pPr>
            <w:r>
              <w:rPr>
                <w:rFonts w:ascii="宋体" w:eastAsia="宋体" w:hAnsi="宋体" w:hint="eastAsia"/>
                <w:sz w:val="24"/>
                <w:szCs w:val="24"/>
              </w:rPr>
              <w:t>8</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富荣基金管理有限公司关于旗下基金在直销平台开通基金转换业务的公告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2018年9月15日</w:t>
            </w:r>
          </w:p>
        </w:tc>
      </w:tr>
      <w:tr w:rsidR="00C1630A" w:rsidTr="00C1630A">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7673DE" w:rsidP="00C1630A">
            <w:pPr>
              <w:jc w:val="center"/>
              <w:rPr>
                <w:rFonts w:ascii="宋体" w:eastAsia="宋体" w:hAnsi="宋体"/>
                <w:sz w:val="24"/>
                <w:szCs w:val="24"/>
              </w:rPr>
            </w:pPr>
            <w:r>
              <w:rPr>
                <w:rFonts w:ascii="宋体" w:eastAsia="宋体" w:hAnsi="宋体" w:hint="eastAsia"/>
                <w:sz w:val="24"/>
                <w:szCs w:val="24"/>
              </w:rPr>
              <w:t>9</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富</w:t>
            </w:r>
            <w:proofErr w:type="gramStart"/>
            <w:r w:rsidRPr="00C1630A">
              <w:rPr>
                <w:rStyle w:val="af"/>
                <w:rFonts w:ascii="宋体" w:eastAsia="宋体" w:hAnsi="宋体" w:hint="eastAsia"/>
                <w:color w:val="auto"/>
                <w:sz w:val="24"/>
                <w:szCs w:val="24"/>
                <w:u w:val="none"/>
              </w:rPr>
              <w:t>荣基金</w:t>
            </w:r>
            <w:proofErr w:type="gramEnd"/>
            <w:r w:rsidRPr="00C1630A">
              <w:rPr>
                <w:rStyle w:val="af"/>
                <w:rFonts w:ascii="宋体" w:eastAsia="宋体" w:hAnsi="宋体" w:hint="eastAsia"/>
                <w:color w:val="auto"/>
                <w:sz w:val="24"/>
                <w:szCs w:val="24"/>
                <w:u w:val="none"/>
              </w:rPr>
              <w:t>管理有限公司关于旗下部分基金新增金惠家保险代理有限公司为销售机构并开通基金</w:t>
            </w:r>
            <w:proofErr w:type="gramStart"/>
            <w:r w:rsidRPr="00C1630A">
              <w:rPr>
                <w:rStyle w:val="af"/>
                <w:rFonts w:ascii="宋体" w:eastAsia="宋体" w:hAnsi="宋体" w:hint="eastAsia"/>
                <w:color w:val="auto"/>
                <w:sz w:val="24"/>
                <w:szCs w:val="24"/>
                <w:u w:val="none"/>
              </w:rPr>
              <w:t>定投业务</w:t>
            </w:r>
            <w:proofErr w:type="gramEnd"/>
            <w:r w:rsidRPr="00C1630A">
              <w:rPr>
                <w:rStyle w:val="af"/>
                <w:rFonts w:ascii="宋体" w:eastAsia="宋体" w:hAnsi="宋体" w:hint="eastAsia"/>
                <w:color w:val="auto"/>
                <w:sz w:val="24"/>
                <w:szCs w:val="24"/>
                <w:u w:val="none"/>
              </w:rPr>
              <w:t>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2018年9月20日</w:t>
            </w:r>
          </w:p>
        </w:tc>
      </w:tr>
      <w:tr w:rsidR="00C1630A" w:rsidTr="00C1630A">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7673DE" w:rsidP="00C1630A">
            <w:pPr>
              <w:jc w:val="center"/>
              <w:rPr>
                <w:rFonts w:ascii="宋体" w:eastAsia="宋体" w:hAnsi="宋体"/>
                <w:sz w:val="24"/>
                <w:szCs w:val="24"/>
              </w:rPr>
            </w:pPr>
            <w:r>
              <w:rPr>
                <w:rFonts w:ascii="宋体" w:eastAsia="宋体" w:hAnsi="宋体" w:hint="eastAsia"/>
                <w:sz w:val="24"/>
                <w:szCs w:val="24"/>
              </w:rPr>
              <w:t>10</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富荣基金管理有限公司关于旗下部分基金参加金惠家保险代理有限公司基金申购及定期定额投资申购费率优惠活动的公告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2018年9月20日</w:t>
            </w:r>
          </w:p>
        </w:tc>
      </w:tr>
      <w:tr w:rsidR="007673DE" w:rsidTr="00C1630A">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7673DE" w:rsidRPr="00C1630A" w:rsidRDefault="007673DE" w:rsidP="00C1630A">
            <w:pPr>
              <w:jc w:val="center"/>
              <w:rPr>
                <w:rFonts w:ascii="宋体" w:eastAsia="宋体" w:hAnsi="宋体"/>
                <w:sz w:val="24"/>
                <w:szCs w:val="24"/>
              </w:rPr>
            </w:pPr>
            <w:r>
              <w:rPr>
                <w:rFonts w:ascii="宋体" w:eastAsia="宋体" w:hAnsi="宋体" w:hint="eastAsia"/>
                <w:sz w:val="24"/>
                <w:szCs w:val="24"/>
              </w:rPr>
              <w:t>11</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7673DE" w:rsidRPr="007673DE" w:rsidRDefault="007673DE" w:rsidP="007673DE">
            <w:pPr>
              <w:jc w:val="center"/>
              <w:rPr>
                <w:rStyle w:val="af"/>
                <w:rFonts w:ascii="宋体" w:eastAsia="宋体" w:hAnsi="宋体"/>
                <w:color w:val="auto"/>
                <w:sz w:val="24"/>
                <w:szCs w:val="24"/>
                <w:u w:val="none"/>
              </w:rPr>
            </w:pPr>
            <w:r w:rsidRPr="007673DE">
              <w:rPr>
                <w:rStyle w:val="af"/>
                <w:rFonts w:ascii="宋体" w:eastAsia="宋体" w:hAnsi="宋体" w:hint="eastAsia"/>
                <w:color w:val="auto"/>
                <w:sz w:val="24"/>
                <w:szCs w:val="24"/>
                <w:u w:val="none"/>
              </w:rPr>
              <w:t>富荣福鑫灵活配置混合型证券投资基金</w:t>
            </w:r>
          </w:p>
          <w:p w:rsidR="007673DE" w:rsidRPr="00C1630A" w:rsidRDefault="007673DE" w:rsidP="007673DE">
            <w:pPr>
              <w:jc w:val="center"/>
              <w:rPr>
                <w:rStyle w:val="af"/>
                <w:rFonts w:ascii="宋体" w:eastAsia="宋体" w:hAnsi="宋体"/>
                <w:color w:val="auto"/>
                <w:sz w:val="24"/>
                <w:szCs w:val="24"/>
                <w:u w:val="none"/>
              </w:rPr>
            </w:pPr>
            <w:r w:rsidRPr="007673DE">
              <w:rPr>
                <w:rStyle w:val="af"/>
                <w:rFonts w:ascii="宋体" w:eastAsia="宋体" w:hAnsi="宋体" w:hint="eastAsia"/>
                <w:color w:val="auto"/>
                <w:sz w:val="24"/>
                <w:szCs w:val="24"/>
                <w:u w:val="none"/>
              </w:rPr>
              <w:t>更新的招募说明书</w:t>
            </w:r>
            <w:r w:rsidRPr="007673DE">
              <w:rPr>
                <w:rStyle w:val="af"/>
                <w:rFonts w:ascii="宋体" w:eastAsia="宋体" w:hAnsi="宋体" w:hint="eastAsia"/>
                <w:color w:val="auto"/>
                <w:sz w:val="24"/>
                <w:szCs w:val="24"/>
                <w:u w:val="none"/>
              </w:rPr>
              <w:cr/>
              <w:t>（</w:t>
            </w:r>
            <w:r>
              <w:rPr>
                <w:rStyle w:val="af"/>
                <w:rFonts w:ascii="宋体" w:eastAsia="宋体" w:hAnsi="宋体" w:hint="eastAsia"/>
                <w:color w:val="auto"/>
                <w:sz w:val="24"/>
                <w:szCs w:val="24"/>
                <w:u w:val="none"/>
              </w:rPr>
              <w:t>2018</w:t>
            </w:r>
            <w:r w:rsidRPr="007673DE">
              <w:rPr>
                <w:rStyle w:val="af"/>
                <w:rFonts w:ascii="宋体" w:eastAsia="宋体" w:hAnsi="宋体" w:hint="eastAsia"/>
                <w:color w:val="auto"/>
                <w:sz w:val="24"/>
                <w:szCs w:val="24"/>
                <w:u w:val="none"/>
              </w:rPr>
              <w:t>年第</w:t>
            </w:r>
            <w:r>
              <w:rPr>
                <w:rStyle w:val="af"/>
                <w:rFonts w:ascii="宋体" w:eastAsia="宋体" w:hAnsi="宋体" w:hint="eastAsia"/>
                <w:color w:val="auto"/>
                <w:sz w:val="24"/>
                <w:szCs w:val="24"/>
                <w:u w:val="none"/>
              </w:rPr>
              <w:t>1</w:t>
            </w:r>
            <w:r w:rsidRPr="007673DE">
              <w:rPr>
                <w:rStyle w:val="af"/>
                <w:rFonts w:ascii="宋体" w:eastAsia="宋体" w:hAnsi="宋体" w:hint="eastAsia"/>
                <w:color w:val="auto"/>
                <w:sz w:val="24"/>
                <w:szCs w:val="24"/>
                <w:u w:val="none"/>
              </w:rPr>
              <w:t>号）</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7673DE" w:rsidRPr="00C1630A" w:rsidRDefault="007673DE" w:rsidP="00C1630A">
            <w:pPr>
              <w:jc w:val="center"/>
              <w:rPr>
                <w:rStyle w:val="af"/>
                <w:rFonts w:ascii="宋体" w:eastAsia="宋体" w:hAnsi="宋体"/>
                <w:color w:val="auto"/>
                <w:sz w:val="24"/>
                <w:szCs w:val="24"/>
                <w:u w:val="none"/>
              </w:rPr>
            </w:pPr>
            <w:r>
              <w:rPr>
                <w:rStyle w:val="af"/>
                <w:rFonts w:ascii="宋体" w:eastAsia="宋体" w:hAnsi="宋体" w:hint="eastAsia"/>
                <w:color w:val="auto"/>
                <w:sz w:val="24"/>
                <w:szCs w:val="24"/>
                <w:u w:val="none"/>
              </w:rPr>
              <w:t>2018年9月26日</w:t>
            </w:r>
          </w:p>
        </w:tc>
      </w:tr>
      <w:tr w:rsidR="00C1630A" w:rsidTr="00C1630A">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7673DE" w:rsidP="00C1630A">
            <w:pPr>
              <w:jc w:val="center"/>
              <w:rPr>
                <w:rFonts w:ascii="宋体" w:eastAsia="宋体" w:hAnsi="宋体"/>
                <w:sz w:val="24"/>
                <w:szCs w:val="24"/>
              </w:rPr>
            </w:pPr>
            <w:r>
              <w:rPr>
                <w:rFonts w:ascii="宋体" w:eastAsia="宋体" w:hAnsi="宋体" w:hint="eastAsia"/>
                <w:sz w:val="24"/>
                <w:szCs w:val="24"/>
              </w:rPr>
              <w:t>12</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富荣基金管理有限公司关于增聘基金经理的公告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2018年9月28日</w:t>
            </w:r>
          </w:p>
        </w:tc>
      </w:tr>
      <w:tr w:rsidR="00C1630A" w:rsidTr="00C1630A">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7673DE" w:rsidP="00C1630A">
            <w:pPr>
              <w:jc w:val="center"/>
              <w:rPr>
                <w:rFonts w:ascii="宋体" w:eastAsia="宋体" w:hAnsi="宋体"/>
                <w:sz w:val="24"/>
                <w:szCs w:val="24"/>
              </w:rPr>
            </w:pPr>
            <w:r>
              <w:rPr>
                <w:rFonts w:ascii="宋体" w:eastAsia="宋体" w:hAnsi="宋体" w:hint="eastAsia"/>
                <w:sz w:val="24"/>
                <w:szCs w:val="24"/>
              </w:rPr>
              <w:t>13</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富</w:t>
            </w:r>
            <w:proofErr w:type="gramStart"/>
            <w:r w:rsidRPr="00C1630A">
              <w:rPr>
                <w:rStyle w:val="af"/>
                <w:rFonts w:ascii="宋体" w:eastAsia="宋体" w:hAnsi="宋体" w:hint="eastAsia"/>
                <w:color w:val="auto"/>
                <w:sz w:val="24"/>
                <w:szCs w:val="24"/>
                <w:u w:val="none"/>
              </w:rPr>
              <w:t>荣基金</w:t>
            </w:r>
            <w:proofErr w:type="gramEnd"/>
            <w:r w:rsidRPr="00C1630A">
              <w:rPr>
                <w:rStyle w:val="af"/>
                <w:rFonts w:ascii="宋体" w:eastAsia="宋体" w:hAnsi="宋体" w:hint="eastAsia"/>
                <w:color w:val="auto"/>
                <w:sz w:val="24"/>
                <w:szCs w:val="24"/>
                <w:u w:val="none"/>
              </w:rPr>
              <w:t>管理有限公司关于旗下部分基金参加民</w:t>
            </w:r>
            <w:proofErr w:type="gramStart"/>
            <w:r w:rsidRPr="00C1630A">
              <w:rPr>
                <w:rStyle w:val="af"/>
                <w:rFonts w:ascii="宋体" w:eastAsia="宋体" w:hAnsi="宋体" w:hint="eastAsia"/>
                <w:color w:val="auto"/>
                <w:sz w:val="24"/>
                <w:szCs w:val="24"/>
                <w:u w:val="none"/>
              </w:rPr>
              <w:t>商基金</w:t>
            </w:r>
            <w:proofErr w:type="gramEnd"/>
            <w:r w:rsidRPr="00C1630A">
              <w:rPr>
                <w:rStyle w:val="af"/>
                <w:rFonts w:ascii="宋体" w:eastAsia="宋体" w:hAnsi="宋体" w:hint="eastAsia"/>
                <w:color w:val="auto"/>
                <w:sz w:val="24"/>
                <w:szCs w:val="24"/>
                <w:u w:val="none"/>
              </w:rPr>
              <w:t>销售（上海）有限公司基金申购及定期定额投资申购费率优惠活动的公告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2018年10月24日</w:t>
            </w:r>
          </w:p>
        </w:tc>
      </w:tr>
      <w:tr w:rsidR="00C1630A" w:rsidTr="00C1630A">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7673DE" w:rsidP="00C1630A">
            <w:pPr>
              <w:jc w:val="center"/>
              <w:rPr>
                <w:rFonts w:ascii="宋体" w:eastAsia="宋体" w:hAnsi="宋体"/>
                <w:sz w:val="24"/>
                <w:szCs w:val="24"/>
              </w:rPr>
            </w:pPr>
            <w:r>
              <w:rPr>
                <w:rFonts w:ascii="宋体" w:eastAsia="宋体" w:hAnsi="宋体" w:hint="eastAsia"/>
                <w:sz w:val="24"/>
                <w:szCs w:val="24"/>
              </w:rPr>
              <w:t>14</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富</w:t>
            </w:r>
            <w:proofErr w:type="gramStart"/>
            <w:r w:rsidRPr="00C1630A">
              <w:rPr>
                <w:rStyle w:val="af"/>
                <w:rFonts w:ascii="宋体" w:eastAsia="宋体" w:hAnsi="宋体" w:hint="eastAsia"/>
                <w:color w:val="auto"/>
                <w:sz w:val="24"/>
                <w:szCs w:val="24"/>
                <w:u w:val="none"/>
              </w:rPr>
              <w:t>荣基金</w:t>
            </w:r>
            <w:proofErr w:type="gramEnd"/>
            <w:r w:rsidRPr="00C1630A">
              <w:rPr>
                <w:rStyle w:val="af"/>
                <w:rFonts w:ascii="宋体" w:eastAsia="宋体" w:hAnsi="宋体" w:hint="eastAsia"/>
                <w:color w:val="auto"/>
                <w:sz w:val="24"/>
                <w:szCs w:val="24"/>
                <w:u w:val="none"/>
              </w:rPr>
              <w:t>管理有限公司关于旗下部分基金新增民</w:t>
            </w:r>
            <w:proofErr w:type="gramStart"/>
            <w:r w:rsidRPr="00C1630A">
              <w:rPr>
                <w:rStyle w:val="af"/>
                <w:rFonts w:ascii="宋体" w:eastAsia="宋体" w:hAnsi="宋体" w:hint="eastAsia"/>
                <w:color w:val="auto"/>
                <w:sz w:val="24"/>
                <w:szCs w:val="24"/>
                <w:u w:val="none"/>
              </w:rPr>
              <w:t>商基金</w:t>
            </w:r>
            <w:proofErr w:type="gramEnd"/>
            <w:r w:rsidRPr="00C1630A">
              <w:rPr>
                <w:rStyle w:val="af"/>
                <w:rFonts w:ascii="宋体" w:eastAsia="宋体" w:hAnsi="宋体" w:hint="eastAsia"/>
                <w:color w:val="auto"/>
                <w:sz w:val="24"/>
                <w:szCs w:val="24"/>
                <w:u w:val="none"/>
              </w:rPr>
              <w:t>销售（上海）有限公司为销售机构并开通</w:t>
            </w:r>
            <w:proofErr w:type="gramStart"/>
            <w:r w:rsidRPr="00C1630A">
              <w:rPr>
                <w:rStyle w:val="af"/>
                <w:rFonts w:ascii="宋体" w:eastAsia="宋体" w:hAnsi="宋体" w:hint="eastAsia"/>
                <w:color w:val="auto"/>
                <w:sz w:val="24"/>
                <w:szCs w:val="24"/>
                <w:u w:val="none"/>
              </w:rPr>
              <w:t>基金定投转换</w:t>
            </w:r>
            <w:proofErr w:type="gramEnd"/>
            <w:r w:rsidRPr="00C1630A">
              <w:rPr>
                <w:rStyle w:val="af"/>
                <w:rFonts w:ascii="宋体" w:eastAsia="宋体" w:hAnsi="宋体" w:hint="eastAsia"/>
                <w:color w:val="auto"/>
                <w:sz w:val="24"/>
                <w:szCs w:val="24"/>
                <w:u w:val="none"/>
              </w:rPr>
              <w:t>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2018年10月24日</w:t>
            </w:r>
          </w:p>
        </w:tc>
      </w:tr>
      <w:tr w:rsidR="007673DE" w:rsidTr="00C1630A">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7673DE" w:rsidRPr="00C1630A" w:rsidRDefault="007673DE" w:rsidP="00C1630A">
            <w:pPr>
              <w:jc w:val="center"/>
              <w:rPr>
                <w:rFonts w:ascii="宋体" w:eastAsia="宋体" w:hAnsi="宋体"/>
                <w:sz w:val="24"/>
                <w:szCs w:val="24"/>
              </w:rPr>
            </w:pPr>
            <w:r>
              <w:rPr>
                <w:rFonts w:ascii="宋体" w:eastAsia="宋体" w:hAnsi="宋体" w:hint="eastAsia"/>
                <w:sz w:val="24"/>
                <w:szCs w:val="24"/>
              </w:rPr>
              <w:t>15</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7673DE" w:rsidRPr="00C1630A" w:rsidRDefault="007673DE" w:rsidP="00C1630A">
            <w:pPr>
              <w:jc w:val="center"/>
              <w:rPr>
                <w:rStyle w:val="af"/>
                <w:rFonts w:ascii="宋体" w:eastAsia="宋体" w:hAnsi="宋体"/>
                <w:color w:val="auto"/>
                <w:sz w:val="24"/>
                <w:szCs w:val="24"/>
                <w:u w:val="none"/>
              </w:rPr>
            </w:pPr>
            <w:r w:rsidRPr="007673DE">
              <w:rPr>
                <w:rStyle w:val="af"/>
                <w:rFonts w:ascii="宋体" w:eastAsia="宋体" w:hAnsi="宋体" w:hint="eastAsia"/>
                <w:color w:val="auto"/>
                <w:sz w:val="24"/>
                <w:szCs w:val="24"/>
                <w:u w:val="none"/>
              </w:rPr>
              <w:t>富荣福鑫灵活配置混合型证券投资基金2018年第</w:t>
            </w:r>
            <w:r>
              <w:rPr>
                <w:rStyle w:val="af"/>
                <w:rFonts w:ascii="宋体" w:eastAsia="宋体" w:hAnsi="宋体" w:hint="eastAsia"/>
                <w:color w:val="auto"/>
                <w:sz w:val="24"/>
                <w:szCs w:val="24"/>
                <w:u w:val="none"/>
              </w:rPr>
              <w:t>3</w:t>
            </w:r>
            <w:r w:rsidRPr="007673DE">
              <w:rPr>
                <w:rStyle w:val="af"/>
                <w:rFonts w:ascii="宋体" w:eastAsia="宋体" w:hAnsi="宋体" w:hint="eastAsia"/>
                <w:color w:val="auto"/>
                <w:sz w:val="24"/>
                <w:szCs w:val="24"/>
                <w:u w:val="none"/>
              </w:rPr>
              <w:t>季度报告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7673DE" w:rsidRPr="00C1630A" w:rsidRDefault="007673DE" w:rsidP="00C1630A">
            <w:pPr>
              <w:jc w:val="center"/>
              <w:rPr>
                <w:rStyle w:val="af"/>
                <w:rFonts w:ascii="宋体" w:eastAsia="宋体" w:hAnsi="宋体"/>
                <w:color w:val="auto"/>
                <w:sz w:val="24"/>
                <w:szCs w:val="24"/>
                <w:u w:val="none"/>
              </w:rPr>
            </w:pPr>
            <w:r>
              <w:rPr>
                <w:rStyle w:val="af"/>
                <w:rFonts w:ascii="宋体" w:eastAsia="宋体" w:hAnsi="宋体" w:hint="eastAsia"/>
                <w:color w:val="auto"/>
                <w:sz w:val="24"/>
                <w:szCs w:val="24"/>
                <w:u w:val="none"/>
              </w:rPr>
              <w:t>2018年10月25日</w:t>
            </w:r>
          </w:p>
        </w:tc>
      </w:tr>
      <w:tr w:rsidR="00C1630A" w:rsidTr="00C1630A">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7673DE" w:rsidP="00C1630A">
            <w:pPr>
              <w:jc w:val="center"/>
              <w:rPr>
                <w:rFonts w:ascii="宋体" w:eastAsia="宋体" w:hAnsi="宋体"/>
                <w:sz w:val="24"/>
                <w:szCs w:val="24"/>
              </w:rPr>
            </w:pPr>
            <w:r>
              <w:rPr>
                <w:rFonts w:ascii="宋体" w:eastAsia="宋体" w:hAnsi="宋体" w:hint="eastAsia"/>
                <w:sz w:val="24"/>
                <w:szCs w:val="24"/>
              </w:rPr>
              <w:t>16</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富荣基金管理有限公司关于增聘基金经理的公告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2018年11月7</w:t>
            </w:r>
            <w:r w:rsidRPr="00C1630A">
              <w:rPr>
                <w:rStyle w:val="af"/>
                <w:rFonts w:ascii="宋体" w:eastAsia="宋体" w:hAnsi="宋体" w:hint="eastAsia"/>
                <w:color w:val="auto"/>
                <w:sz w:val="24"/>
                <w:szCs w:val="24"/>
                <w:u w:val="none"/>
              </w:rPr>
              <w:lastRenderedPageBreak/>
              <w:t>日</w:t>
            </w:r>
          </w:p>
        </w:tc>
      </w:tr>
      <w:tr w:rsidR="00C1630A" w:rsidTr="00C1630A">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7673DE" w:rsidP="00C1630A">
            <w:pPr>
              <w:jc w:val="center"/>
              <w:rPr>
                <w:rFonts w:ascii="宋体" w:eastAsia="宋体" w:hAnsi="宋体"/>
                <w:sz w:val="24"/>
                <w:szCs w:val="24"/>
              </w:rPr>
            </w:pPr>
            <w:r>
              <w:rPr>
                <w:rFonts w:ascii="宋体" w:eastAsia="宋体" w:hAnsi="宋体" w:hint="eastAsia"/>
                <w:sz w:val="24"/>
                <w:szCs w:val="24"/>
              </w:rPr>
              <w:lastRenderedPageBreak/>
              <w:t>17</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富荣基金关于副总经理变更的公告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2018年11月22日</w:t>
            </w:r>
          </w:p>
        </w:tc>
      </w:tr>
      <w:tr w:rsidR="00C1630A" w:rsidTr="00C1630A">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7673DE" w:rsidP="00C1630A">
            <w:pPr>
              <w:jc w:val="center"/>
              <w:rPr>
                <w:rFonts w:ascii="宋体" w:eastAsia="宋体" w:hAnsi="宋体"/>
                <w:sz w:val="24"/>
                <w:szCs w:val="24"/>
              </w:rPr>
            </w:pPr>
            <w:r>
              <w:rPr>
                <w:rFonts w:ascii="宋体" w:eastAsia="宋体" w:hAnsi="宋体" w:hint="eastAsia"/>
                <w:sz w:val="24"/>
                <w:szCs w:val="24"/>
              </w:rPr>
              <w:t>18</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富荣基金管理有限公司基金经理变更公告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2018年11月27日</w:t>
            </w:r>
          </w:p>
        </w:tc>
      </w:tr>
      <w:tr w:rsidR="00C1630A" w:rsidTr="00C1630A">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7673DE" w:rsidP="00C1630A">
            <w:pPr>
              <w:jc w:val="center"/>
              <w:rPr>
                <w:rFonts w:ascii="宋体" w:eastAsia="宋体" w:hAnsi="宋体"/>
                <w:sz w:val="24"/>
                <w:szCs w:val="24"/>
              </w:rPr>
            </w:pPr>
            <w:r>
              <w:rPr>
                <w:rFonts w:ascii="宋体" w:eastAsia="宋体" w:hAnsi="宋体" w:hint="eastAsia"/>
                <w:sz w:val="24"/>
                <w:szCs w:val="24"/>
              </w:rPr>
              <w:t>19</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富荣基金管理有限公司基金经理变更公告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2018年12月13日</w:t>
            </w:r>
          </w:p>
        </w:tc>
      </w:tr>
      <w:tr w:rsidR="00C1630A" w:rsidTr="00C1630A">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7673DE" w:rsidP="00C1630A">
            <w:pPr>
              <w:jc w:val="center"/>
              <w:rPr>
                <w:rFonts w:ascii="宋体" w:eastAsia="宋体" w:hAnsi="宋体"/>
                <w:sz w:val="24"/>
                <w:szCs w:val="24"/>
              </w:rPr>
            </w:pPr>
            <w:r>
              <w:rPr>
                <w:rFonts w:ascii="宋体" w:eastAsia="宋体" w:hAnsi="宋体" w:hint="eastAsia"/>
                <w:sz w:val="24"/>
                <w:szCs w:val="24"/>
              </w:rPr>
              <w:t>20</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富荣基金管理有限公司基金经理变更公告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2018年12月15日</w:t>
            </w:r>
          </w:p>
        </w:tc>
      </w:tr>
      <w:tr w:rsidR="00C1630A" w:rsidTr="00C1630A">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7673DE" w:rsidP="00C1630A">
            <w:pPr>
              <w:jc w:val="center"/>
              <w:rPr>
                <w:rFonts w:ascii="宋体" w:eastAsia="宋体" w:hAnsi="宋体"/>
                <w:sz w:val="24"/>
                <w:szCs w:val="24"/>
              </w:rPr>
            </w:pPr>
            <w:r>
              <w:rPr>
                <w:rFonts w:ascii="宋体" w:eastAsia="宋体" w:hAnsi="宋体" w:hint="eastAsia"/>
                <w:sz w:val="24"/>
                <w:szCs w:val="24"/>
              </w:rPr>
              <w:t>21</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富荣基金管理有限公司2019年改聘会计师事务所公告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2019年1月4日</w:t>
            </w:r>
          </w:p>
        </w:tc>
      </w:tr>
      <w:tr w:rsidR="007673DE" w:rsidTr="00C1630A">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7673DE" w:rsidRPr="00C1630A" w:rsidRDefault="007673DE" w:rsidP="00C1630A">
            <w:pPr>
              <w:jc w:val="center"/>
              <w:rPr>
                <w:rFonts w:ascii="宋体" w:eastAsia="宋体" w:hAnsi="宋体"/>
                <w:sz w:val="24"/>
                <w:szCs w:val="24"/>
              </w:rPr>
            </w:pPr>
            <w:r>
              <w:rPr>
                <w:rFonts w:ascii="宋体" w:eastAsia="宋体" w:hAnsi="宋体" w:hint="eastAsia"/>
                <w:sz w:val="24"/>
                <w:szCs w:val="24"/>
              </w:rPr>
              <w:t>22</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7673DE" w:rsidRPr="00C1630A" w:rsidRDefault="007673DE" w:rsidP="00C1630A">
            <w:pPr>
              <w:jc w:val="center"/>
              <w:rPr>
                <w:rStyle w:val="af"/>
                <w:rFonts w:ascii="宋体" w:eastAsia="宋体" w:hAnsi="宋体"/>
                <w:color w:val="auto"/>
                <w:sz w:val="24"/>
                <w:szCs w:val="24"/>
                <w:u w:val="none"/>
              </w:rPr>
            </w:pPr>
            <w:r w:rsidRPr="007673DE">
              <w:rPr>
                <w:rStyle w:val="af"/>
                <w:rFonts w:ascii="宋体" w:eastAsia="宋体" w:hAnsi="宋体" w:hint="eastAsia"/>
                <w:color w:val="auto"/>
                <w:sz w:val="24"/>
                <w:szCs w:val="24"/>
                <w:u w:val="none"/>
              </w:rPr>
              <w:t>富荣福鑫灵活配置混合型证券投资基金2018年第4季度报告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7673DE" w:rsidRPr="00C1630A" w:rsidRDefault="007673DE" w:rsidP="00C1630A">
            <w:pPr>
              <w:jc w:val="center"/>
              <w:rPr>
                <w:rStyle w:val="af"/>
                <w:rFonts w:ascii="宋体" w:eastAsia="宋体" w:hAnsi="宋体"/>
                <w:color w:val="auto"/>
                <w:sz w:val="24"/>
                <w:szCs w:val="24"/>
                <w:u w:val="none"/>
              </w:rPr>
            </w:pPr>
            <w:r>
              <w:rPr>
                <w:rStyle w:val="af"/>
                <w:rFonts w:ascii="宋体" w:eastAsia="宋体" w:hAnsi="宋体" w:hint="eastAsia"/>
                <w:color w:val="auto"/>
                <w:sz w:val="24"/>
                <w:szCs w:val="24"/>
                <w:u w:val="none"/>
              </w:rPr>
              <w:t>2019年1月18日</w:t>
            </w:r>
          </w:p>
        </w:tc>
      </w:tr>
      <w:tr w:rsidR="00C1630A" w:rsidTr="00C1630A">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7673DE" w:rsidP="00C1630A">
            <w:pPr>
              <w:jc w:val="center"/>
              <w:rPr>
                <w:rFonts w:ascii="宋体" w:eastAsia="宋体" w:hAnsi="宋体"/>
                <w:sz w:val="24"/>
                <w:szCs w:val="24"/>
              </w:rPr>
            </w:pPr>
            <w:r>
              <w:rPr>
                <w:rFonts w:ascii="宋体" w:eastAsia="宋体" w:hAnsi="宋体" w:hint="eastAsia"/>
                <w:sz w:val="24"/>
                <w:szCs w:val="24"/>
              </w:rPr>
              <w:t>23</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富荣基金关于董事长变更的公告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C1630A" w:rsidRPr="00C1630A" w:rsidRDefault="00C1630A" w:rsidP="00C1630A">
            <w:pPr>
              <w:jc w:val="center"/>
              <w:rPr>
                <w:rStyle w:val="af"/>
                <w:rFonts w:ascii="宋体" w:eastAsia="宋体" w:hAnsi="宋体"/>
                <w:color w:val="auto"/>
                <w:sz w:val="24"/>
                <w:szCs w:val="24"/>
                <w:u w:val="none"/>
              </w:rPr>
            </w:pPr>
            <w:r w:rsidRPr="00C1630A">
              <w:rPr>
                <w:rStyle w:val="af"/>
                <w:rFonts w:ascii="宋体" w:eastAsia="宋体" w:hAnsi="宋体" w:hint="eastAsia"/>
                <w:color w:val="auto"/>
                <w:sz w:val="24"/>
                <w:szCs w:val="24"/>
                <w:u w:val="none"/>
              </w:rPr>
              <w:t>2019年1月24日</w:t>
            </w:r>
          </w:p>
        </w:tc>
      </w:tr>
    </w:tbl>
    <w:p w:rsidR="007066F0" w:rsidRDefault="007066F0" w:rsidP="007066F0">
      <w:pPr>
        <w:rPr>
          <w:lang w:val="zh-CN"/>
        </w:rPr>
      </w:pPr>
      <w:bookmarkStart w:id="423" w:name="_Toc523243837"/>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7066F0" w:rsidRDefault="007066F0" w:rsidP="007066F0">
      <w:pPr>
        <w:rPr>
          <w:lang w:val="zh-CN"/>
        </w:rPr>
      </w:pPr>
    </w:p>
    <w:p w:rsidR="003E4D36" w:rsidRDefault="00E729B5" w:rsidP="00A10872">
      <w:pPr>
        <w:pStyle w:val="1"/>
        <w:jc w:val="center"/>
        <w:rPr>
          <w:sz w:val="30"/>
          <w:szCs w:val="30"/>
        </w:rPr>
      </w:pPr>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19"/>
      <w:bookmarkEnd w:id="420"/>
      <w:bookmarkEnd w:id="421"/>
      <w:bookmarkEnd w:id="422"/>
      <w:bookmarkEnd w:id="423"/>
    </w:p>
    <w:p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招募说明书公布后，应当分别置备于基金管理人、基金托管人和基金销售机构的住所，投资人可在办公时间查阅；投资人在支付工本费后，可在合理时间内取得上述文件复制件或复印件。对投资人按此种方式所获得的文件及其复印件，基金管理人保证文本的内容与所公告的内容完全一致。</w:t>
      </w:r>
    </w:p>
    <w:p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rsidR="003E4D36" w:rsidRDefault="00E729B5">
      <w:pPr>
        <w:widowControl/>
        <w:jc w:val="left"/>
        <w:rPr>
          <w:rFonts w:asciiTheme="minorEastAsia" w:hAnsiTheme="minorEastAsia" w:cs="Arial"/>
          <w:kern w:val="0"/>
          <w:sz w:val="24"/>
          <w:szCs w:val="24"/>
        </w:rPr>
      </w:pPr>
      <w:r>
        <w:rPr>
          <w:rFonts w:asciiTheme="minorEastAsia" w:hAnsiTheme="minorEastAsia" w:cs="Arial"/>
          <w:kern w:val="0"/>
          <w:sz w:val="24"/>
          <w:szCs w:val="24"/>
        </w:rPr>
        <w:br w:type="page"/>
      </w:r>
    </w:p>
    <w:p w:rsidR="003E4D36" w:rsidRDefault="00E729B5">
      <w:pPr>
        <w:pStyle w:val="1"/>
        <w:jc w:val="center"/>
        <w:rPr>
          <w:sz w:val="30"/>
          <w:szCs w:val="30"/>
        </w:rPr>
      </w:pPr>
      <w:bookmarkStart w:id="424" w:name="_Toc523243838"/>
      <w:bookmarkEnd w:id="61"/>
      <w:bookmarkEnd w:id="62"/>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r>
        <w:rPr>
          <w:sz w:val="30"/>
          <w:szCs w:val="30"/>
        </w:rPr>
        <w:lastRenderedPageBreak/>
        <w:t>第二十</w:t>
      </w:r>
      <w:r>
        <w:rPr>
          <w:rFonts w:hint="eastAsia"/>
          <w:sz w:val="30"/>
          <w:szCs w:val="30"/>
        </w:rPr>
        <w:t>三</w:t>
      </w:r>
      <w:r>
        <w:rPr>
          <w:sz w:val="30"/>
          <w:szCs w:val="30"/>
        </w:rPr>
        <w:t>部分  备查文件</w:t>
      </w:r>
      <w:bookmarkEnd w:id="424"/>
    </w:p>
    <w:p w:rsidR="003E4D36" w:rsidRDefault="003E4D36">
      <w:pPr>
        <w:rPr>
          <w:rFonts w:asciiTheme="minorEastAsia" w:hAnsiTheme="minorEastAsia" w:cs="Times New Roman"/>
          <w:sz w:val="24"/>
          <w:szCs w:val="24"/>
          <w:lang w:val="zh-CN"/>
        </w:rPr>
      </w:pPr>
    </w:p>
    <w:p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富荣福鑫灵活配置混合型证券投资基金募集</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（二）《富荣福鑫灵活配置混合型证券投资基金基金合同》 </w:t>
      </w:r>
    </w:p>
    <w:p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（三）《富荣福鑫灵活配置混合型证券投资基金托管协议》 </w:t>
      </w:r>
    </w:p>
    <w:p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富荣福鑫灵活配置混合型证券投资基金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rsidR="003E4D36" w:rsidRDefault="003E4D36">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3E4D36" w:rsidRDefault="003E4D36">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rsidR="003E4D36" w:rsidRDefault="00E729B5">
      <w:pPr>
        <w:widowControl/>
        <w:adjustRightInd w:val="0"/>
        <w:snapToGrid w:val="0"/>
        <w:spacing w:line="360" w:lineRule="auto"/>
        <w:ind w:rightChars="-85" w:right="-178"/>
        <w:jc w:val="center"/>
        <w:rPr>
          <w:rFonts w:asciiTheme="minorEastAsia" w:hAnsiTheme="minorEastAsia" w:cs="Arial"/>
          <w:kern w:val="0"/>
          <w:sz w:val="24"/>
          <w:szCs w:val="24"/>
        </w:rPr>
      </w:pPr>
      <w:r>
        <w:rPr>
          <w:rFonts w:asciiTheme="minorEastAsia" w:hAnsiTheme="minorEastAsia" w:cs="Arial" w:hint="eastAsia"/>
          <w:kern w:val="0"/>
          <w:sz w:val="24"/>
          <w:szCs w:val="24"/>
        </w:rPr>
        <w:t xml:space="preserve">                                                  富荣基金管理有限公司</w:t>
      </w:r>
    </w:p>
    <w:p w:rsidR="003E4D36" w:rsidRDefault="003E4D36">
      <w:pPr>
        <w:widowControl/>
        <w:adjustRightInd w:val="0"/>
        <w:snapToGrid w:val="0"/>
        <w:spacing w:line="360" w:lineRule="auto"/>
        <w:ind w:rightChars="-85" w:right="-178"/>
        <w:jc w:val="center"/>
        <w:rPr>
          <w:rFonts w:asciiTheme="minorEastAsia" w:hAnsiTheme="minorEastAsia" w:cs="Arial"/>
          <w:kern w:val="0"/>
          <w:sz w:val="24"/>
          <w:szCs w:val="24"/>
        </w:rPr>
      </w:pPr>
    </w:p>
    <w:p w:rsidR="003E4D36" w:rsidRDefault="00E729B5">
      <w:pPr>
        <w:widowControl/>
        <w:adjustRightInd w:val="0"/>
        <w:snapToGrid w:val="0"/>
        <w:spacing w:line="360" w:lineRule="auto"/>
        <w:ind w:rightChars="-85" w:right="-178"/>
        <w:jc w:val="center"/>
        <w:rPr>
          <w:rFonts w:asciiTheme="minorEastAsia" w:hAnsiTheme="minorEastAsia" w:cs="Arial"/>
          <w:kern w:val="0"/>
          <w:sz w:val="24"/>
          <w:szCs w:val="24"/>
        </w:rPr>
      </w:pPr>
      <w:r>
        <w:rPr>
          <w:rFonts w:asciiTheme="minorEastAsia" w:hAnsiTheme="minorEastAsia" w:cs="Arial" w:hint="eastAsia"/>
          <w:kern w:val="0"/>
          <w:sz w:val="24"/>
          <w:szCs w:val="24"/>
        </w:rPr>
        <w:t xml:space="preserve">                                                  201</w:t>
      </w:r>
      <w:r w:rsidR="007673DE">
        <w:rPr>
          <w:rFonts w:asciiTheme="minorEastAsia" w:hAnsiTheme="minorEastAsia" w:cs="Arial" w:hint="eastAsia"/>
          <w:kern w:val="0"/>
          <w:sz w:val="24"/>
          <w:szCs w:val="24"/>
        </w:rPr>
        <w:t>9</w:t>
      </w:r>
      <w:r>
        <w:rPr>
          <w:rFonts w:asciiTheme="minorEastAsia" w:hAnsiTheme="minorEastAsia" w:cs="Arial" w:hint="eastAsia"/>
          <w:kern w:val="0"/>
          <w:sz w:val="24"/>
          <w:szCs w:val="24"/>
        </w:rPr>
        <w:t>年</w:t>
      </w:r>
      <w:r w:rsidR="00884A4F">
        <w:rPr>
          <w:rFonts w:asciiTheme="minorEastAsia" w:hAnsiTheme="minorEastAsia" w:cs="Arial" w:hint="eastAsia"/>
          <w:kern w:val="0"/>
          <w:sz w:val="24"/>
          <w:szCs w:val="24"/>
        </w:rPr>
        <w:t>3</w:t>
      </w:r>
      <w:r w:rsidR="007673DE">
        <w:rPr>
          <w:rFonts w:asciiTheme="minorEastAsia" w:hAnsiTheme="minorEastAsia" w:cs="Arial" w:hint="eastAsia"/>
          <w:kern w:val="0"/>
          <w:sz w:val="24"/>
          <w:szCs w:val="24"/>
        </w:rPr>
        <w:t xml:space="preserve"> </w:t>
      </w:r>
      <w:r>
        <w:rPr>
          <w:rFonts w:asciiTheme="minorEastAsia" w:hAnsiTheme="minorEastAsia" w:cs="Arial" w:hint="eastAsia"/>
          <w:kern w:val="0"/>
          <w:sz w:val="24"/>
          <w:szCs w:val="24"/>
        </w:rPr>
        <w:t>月</w:t>
      </w:r>
      <w:r w:rsidR="00884A4F">
        <w:rPr>
          <w:rFonts w:asciiTheme="minorEastAsia" w:hAnsiTheme="minorEastAsia" w:cs="Arial" w:hint="eastAsia"/>
          <w:kern w:val="0"/>
          <w:sz w:val="24"/>
          <w:szCs w:val="24"/>
        </w:rPr>
        <w:t>13</w:t>
      </w:r>
      <w:r w:rsidR="007673DE">
        <w:rPr>
          <w:rFonts w:asciiTheme="minorEastAsia" w:hAnsiTheme="minorEastAsia" w:cs="Arial" w:hint="eastAsia"/>
          <w:kern w:val="0"/>
          <w:sz w:val="24"/>
          <w:szCs w:val="24"/>
        </w:rPr>
        <w:t xml:space="preserve"> </w:t>
      </w:r>
      <w:r>
        <w:rPr>
          <w:rFonts w:asciiTheme="minorEastAsia" w:hAnsiTheme="minorEastAsia" w:cs="Arial" w:hint="eastAsia"/>
          <w:kern w:val="0"/>
          <w:sz w:val="24"/>
          <w:szCs w:val="24"/>
        </w:rPr>
        <w:t>日</w:t>
      </w:r>
    </w:p>
    <w:p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rsidR="003E4D36" w:rsidRDefault="003E4D36">
      <w:pPr>
        <w:widowControl/>
        <w:adjustRightInd w:val="0"/>
        <w:snapToGrid w:val="0"/>
        <w:spacing w:line="360" w:lineRule="auto"/>
        <w:ind w:rightChars="-85" w:right="-178" w:firstLineChars="3050" w:firstLine="6405"/>
        <w:rPr>
          <w:lang w:val="zh-CN"/>
        </w:rPr>
      </w:pPr>
    </w:p>
    <w:sectPr w:rsidR="003E4D36">
      <w:footerReference w:type="default" r:id="rId18"/>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32A" w:rsidRDefault="0000032A">
      <w:r>
        <w:separator/>
      </w:r>
    </w:p>
  </w:endnote>
  <w:endnote w:type="continuationSeparator" w:id="0">
    <w:p w:rsidR="0000032A" w:rsidRDefault="000003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ˎ̥">
    <w:altName w:val="Times New Roman"/>
    <w:panose1 w:val="00000000000000000000"/>
    <w:charset w:val="00"/>
    <w:family w:val="roman"/>
    <w:notTrueType/>
    <w:pitch w:val="default"/>
  </w:font>
  <w:font w:name="方正仿宋简体">
    <w:altName w:val="微软雅黑"/>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32A" w:rsidRDefault="0000032A">
    <w:pPr>
      <w:pStyle w:val="aa"/>
      <w:jc w:val="center"/>
    </w:pPr>
  </w:p>
  <w:p w:rsidR="0000032A" w:rsidRDefault="0000032A">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9384729"/>
      <w:docPartObj>
        <w:docPartGallery w:val="AutoText"/>
      </w:docPartObj>
    </w:sdtPr>
    <w:sdtEndPr/>
    <w:sdtContent>
      <w:p w:rsidR="0000032A" w:rsidRDefault="0000032A">
        <w:pPr>
          <w:pStyle w:val="aa"/>
          <w:jc w:val="center"/>
        </w:pPr>
        <w:r>
          <w:fldChar w:fldCharType="begin"/>
        </w:r>
        <w:r>
          <w:instrText>PAGE   \* MERGEFORMAT</w:instrText>
        </w:r>
        <w:r>
          <w:fldChar w:fldCharType="separate"/>
        </w:r>
        <w:r w:rsidR="00084EBD" w:rsidRPr="00084EBD">
          <w:rPr>
            <w:noProof/>
            <w:lang w:val="zh-CN"/>
          </w:rPr>
          <w:t>94</w:t>
        </w:r>
        <w:r>
          <w:fldChar w:fldCharType="end"/>
        </w:r>
      </w:p>
    </w:sdtContent>
  </w:sdt>
  <w:p w:rsidR="0000032A" w:rsidRDefault="0000032A">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5549968"/>
      <w:docPartObj>
        <w:docPartGallery w:val="AutoText"/>
      </w:docPartObj>
    </w:sdtPr>
    <w:sdtEndPr/>
    <w:sdtContent>
      <w:p w:rsidR="0000032A" w:rsidRDefault="0000032A">
        <w:pPr>
          <w:pStyle w:val="aa"/>
          <w:jc w:val="center"/>
        </w:pPr>
        <w:r>
          <w:fldChar w:fldCharType="begin"/>
        </w:r>
        <w:r>
          <w:instrText>PAGE   \* MERGEFORMAT</w:instrText>
        </w:r>
        <w:r>
          <w:fldChar w:fldCharType="separate"/>
        </w:r>
        <w:r w:rsidR="00084EBD" w:rsidRPr="00084EBD">
          <w:rPr>
            <w:noProof/>
            <w:lang w:val="zh-CN"/>
          </w:rPr>
          <w:t>113</w:t>
        </w:r>
        <w:r>
          <w:fldChar w:fldCharType="end"/>
        </w:r>
      </w:p>
    </w:sdtContent>
  </w:sdt>
  <w:p w:rsidR="0000032A" w:rsidRDefault="0000032A">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32A" w:rsidRDefault="0000032A">
      <w:r>
        <w:separator/>
      </w:r>
    </w:p>
  </w:footnote>
  <w:footnote w:type="continuationSeparator" w:id="0">
    <w:p w:rsidR="0000032A" w:rsidRDefault="000003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32A" w:rsidRDefault="0000032A">
    <w:pPr>
      <w:pStyle w:val="ab"/>
      <w:jc w:val="left"/>
    </w:pPr>
    <w:r>
      <w:rPr>
        <w:rFonts w:ascii="Arial" w:hAnsi="Arial" w:cs="Arial" w:hint="eastAsia"/>
        <w:szCs w:val="21"/>
      </w:rPr>
      <w:t>富荣福鑫灵活配置混合型证券投资基金更新</w:t>
    </w:r>
    <w:r>
      <w:rPr>
        <w:rFonts w:ascii="Arial" w:hAnsi="Arial" w:cs="Arial"/>
        <w:szCs w:val="21"/>
      </w:rPr>
      <w:t>的招募说明书</w:t>
    </w:r>
    <w:r>
      <w:rPr>
        <w:rFonts w:ascii="Arial" w:hAnsi="Arial" w:cs="Arial" w:hint="eastAsia"/>
        <w:szCs w:val="21"/>
      </w:rPr>
      <w:t>（</w:t>
    </w:r>
    <w:r>
      <w:rPr>
        <w:rFonts w:ascii="Arial" w:hAnsi="Arial" w:cs="Arial" w:hint="eastAsia"/>
        <w:szCs w:val="21"/>
      </w:rPr>
      <w:t>2019</w:t>
    </w:r>
    <w:r>
      <w:rPr>
        <w:rFonts w:ascii="Arial" w:hAnsi="Arial" w:cs="Arial" w:hint="eastAsia"/>
        <w:szCs w:val="21"/>
      </w:rPr>
      <w:t>年</w:t>
    </w:r>
    <w:r>
      <w:rPr>
        <w:rFonts w:ascii="Arial" w:hAnsi="Arial" w:cs="Arial"/>
        <w:szCs w:val="21"/>
      </w:rPr>
      <w:t>第</w:t>
    </w:r>
    <w:r>
      <w:rPr>
        <w:rFonts w:ascii="Arial" w:hAnsi="Arial" w:cs="Arial" w:hint="eastAsia"/>
        <w:szCs w:val="21"/>
      </w:rPr>
      <w:t>1</w:t>
    </w:r>
    <w:r>
      <w:rPr>
        <w:rFonts w:ascii="Arial" w:hAnsi="Arial" w:cs="Arial" w:hint="eastAsia"/>
        <w:szCs w:val="21"/>
      </w:rPr>
      <w:t>号）</w:t>
    </w:r>
    <w:r>
      <w:rPr>
        <w:rFonts w:ascii="Arial" w:hAnsi="Arial" w:cs="Arial" w:hint="eastAsia"/>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FC8C49"/>
    <w:multiLevelType w:val="singleLevel"/>
    <w:tmpl w:val="8BFC8C49"/>
    <w:lvl w:ilvl="0">
      <w:start w:val="2"/>
      <w:numFmt w:val="decimal"/>
      <w:suff w:val="nothing"/>
      <w:lvlText w:val="%1、"/>
      <w:lvlJc w:val="left"/>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032A"/>
    <w:rsid w:val="0000336D"/>
    <w:rsid w:val="00011E0C"/>
    <w:rsid w:val="000134DF"/>
    <w:rsid w:val="000141B3"/>
    <w:rsid w:val="000150A1"/>
    <w:rsid w:val="00016B2F"/>
    <w:rsid w:val="000178C9"/>
    <w:rsid w:val="00017B51"/>
    <w:rsid w:val="000201A2"/>
    <w:rsid w:val="00021C6F"/>
    <w:rsid w:val="00026A47"/>
    <w:rsid w:val="00032C15"/>
    <w:rsid w:val="00041B54"/>
    <w:rsid w:val="00043AE3"/>
    <w:rsid w:val="000455CE"/>
    <w:rsid w:val="00047A49"/>
    <w:rsid w:val="000507C1"/>
    <w:rsid w:val="00050D60"/>
    <w:rsid w:val="00050E32"/>
    <w:rsid w:val="0005270F"/>
    <w:rsid w:val="00053A28"/>
    <w:rsid w:val="00055889"/>
    <w:rsid w:val="0006090B"/>
    <w:rsid w:val="00061EFE"/>
    <w:rsid w:val="00062C1B"/>
    <w:rsid w:val="00066597"/>
    <w:rsid w:val="00072066"/>
    <w:rsid w:val="00073EEF"/>
    <w:rsid w:val="00076E9C"/>
    <w:rsid w:val="000817BB"/>
    <w:rsid w:val="00084A9D"/>
    <w:rsid w:val="00084EBD"/>
    <w:rsid w:val="00092FE3"/>
    <w:rsid w:val="00093B11"/>
    <w:rsid w:val="0009505B"/>
    <w:rsid w:val="0009610D"/>
    <w:rsid w:val="00096D0E"/>
    <w:rsid w:val="000A1798"/>
    <w:rsid w:val="000A1D6A"/>
    <w:rsid w:val="000A1FED"/>
    <w:rsid w:val="000A2809"/>
    <w:rsid w:val="000B0075"/>
    <w:rsid w:val="000B4DA0"/>
    <w:rsid w:val="000B6836"/>
    <w:rsid w:val="000B720D"/>
    <w:rsid w:val="000B7428"/>
    <w:rsid w:val="000B7622"/>
    <w:rsid w:val="000B7ACE"/>
    <w:rsid w:val="000C3020"/>
    <w:rsid w:val="000C36FD"/>
    <w:rsid w:val="000C4C8F"/>
    <w:rsid w:val="000C5204"/>
    <w:rsid w:val="000D3337"/>
    <w:rsid w:val="000D6FDD"/>
    <w:rsid w:val="000E1E9B"/>
    <w:rsid w:val="000E3D34"/>
    <w:rsid w:val="000E4187"/>
    <w:rsid w:val="000E67E3"/>
    <w:rsid w:val="000F248B"/>
    <w:rsid w:val="000F4000"/>
    <w:rsid w:val="000F5C40"/>
    <w:rsid w:val="000F63F5"/>
    <w:rsid w:val="00102D5B"/>
    <w:rsid w:val="00112609"/>
    <w:rsid w:val="00112BE2"/>
    <w:rsid w:val="0012019B"/>
    <w:rsid w:val="00127ED5"/>
    <w:rsid w:val="00132839"/>
    <w:rsid w:val="00133E74"/>
    <w:rsid w:val="001369D9"/>
    <w:rsid w:val="00145063"/>
    <w:rsid w:val="00147C35"/>
    <w:rsid w:val="001545B6"/>
    <w:rsid w:val="001609F9"/>
    <w:rsid w:val="0016112E"/>
    <w:rsid w:val="001635EE"/>
    <w:rsid w:val="00163E1B"/>
    <w:rsid w:val="00165259"/>
    <w:rsid w:val="00166406"/>
    <w:rsid w:val="0016706A"/>
    <w:rsid w:val="001745C9"/>
    <w:rsid w:val="0017467F"/>
    <w:rsid w:val="00174F6A"/>
    <w:rsid w:val="0018127A"/>
    <w:rsid w:val="00181F45"/>
    <w:rsid w:val="001824D3"/>
    <w:rsid w:val="00184AAE"/>
    <w:rsid w:val="00184E9F"/>
    <w:rsid w:val="00185938"/>
    <w:rsid w:val="00185F7E"/>
    <w:rsid w:val="001903DC"/>
    <w:rsid w:val="001A0D71"/>
    <w:rsid w:val="001A0FAD"/>
    <w:rsid w:val="001A1315"/>
    <w:rsid w:val="001A3539"/>
    <w:rsid w:val="001A64DD"/>
    <w:rsid w:val="001B02C1"/>
    <w:rsid w:val="001B101B"/>
    <w:rsid w:val="001B11B3"/>
    <w:rsid w:val="001B1C13"/>
    <w:rsid w:val="001B32CE"/>
    <w:rsid w:val="001B598D"/>
    <w:rsid w:val="001B716E"/>
    <w:rsid w:val="001C0AE8"/>
    <w:rsid w:val="001C258D"/>
    <w:rsid w:val="001C404F"/>
    <w:rsid w:val="001D0185"/>
    <w:rsid w:val="001D2EF8"/>
    <w:rsid w:val="001D2F48"/>
    <w:rsid w:val="001E05E8"/>
    <w:rsid w:val="001F141D"/>
    <w:rsid w:val="001F2A1F"/>
    <w:rsid w:val="001F32BF"/>
    <w:rsid w:val="001F5570"/>
    <w:rsid w:val="001F7512"/>
    <w:rsid w:val="002001D3"/>
    <w:rsid w:val="00201AB5"/>
    <w:rsid w:val="002047D1"/>
    <w:rsid w:val="00205E21"/>
    <w:rsid w:val="002078F3"/>
    <w:rsid w:val="00207CD5"/>
    <w:rsid w:val="00214E5D"/>
    <w:rsid w:val="00220CDC"/>
    <w:rsid w:val="00224EE1"/>
    <w:rsid w:val="0022597A"/>
    <w:rsid w:val="00227859"/>
    <w:rsid w:val="00231846"/>
    <w:rsid w:val="0023220C"/>
    <w:rsid w:val="00233D45"/>
    <w:rsid w:val="0023618C"/>
    <w:rsid w:val="00241ACA"/>
    <w:rsid w:val="002430FE"/>
    <w:rsid w:val="00244A82"/>
    <w:rsid w:val="002453CC"/>
    <w:rsid w:val="002507FE"/>
    <w:rsid w:val="00250CC4"/>
    <w:rsid w:val="0025184A"/>
    <w:rsid w:val="0025398C"/>
    <w:rsid w:val="002601E9"/>
    <w:rsid w:val="00260AE0"/>
    <w:rsid w:val="00263BCA"/>
    <w:rsid w:val="00266A12"/>
    <w:rsid w:val="002701CE"/>
    <w:rsid w:val="002706A4"/>
    <w:rsid w:val="00272F3A"/>
    <w:rsid w:val="00273F62"/>
    <w:rsid w:val="00274D96"/>
    <w:rsid w:val="00277C9D"/>
    <w:rsid w:val="00283A8E"/>
    <w:rsid w:val="00283F15"/>
    <w:rsid w:val="002863C8"/>
    <w:rsid w:val="00291943"/>
    <w:rsid w:val="002966EC"/>
    <w:rsid w:val="002A00BA"/>
    <w:rsid w:val="002A1DD0"/>
    <w:rsid w:val="002A6E10"/>
    <w:rsid w:val="002A7618"/>
    <w:rsid w:val="002B01D8"/>
    <w:rsid w:val="002B64A8"/>
    <w:rsid w:val="002C438F"/>
    <w:rsid w:val="002C4E0D"/>
    <w:rsid w:val="002D0DE7"/>
    <w:rsid w:val="002D32E2"/>
    <w:rsid w:val="002E342B"/>
    <w:rsid w:val="002E3582"/>
    <w:rsid w:val="002E7690"/>
    <w:rsid w:val="002F0AEB"/>
    <w:rsid w:val="002F71C2"/>
    <w:rsid w:val="002F7A61"/>
    <w:rsid w:val="00301FB3"/>
    <w:rsid w:val="003050DA"/>
    <w:rsid w:val="00310536"/>
    <w:rsid w:val="0031518F"/>
    <w:rsid w:val="003155E3"/>
    <w:rsid w:val="00315D57"/>
    <w:rsid w:val="00326A72"/>
    <w:rsid w:val="003271BF"/>
    <w:rsid w:val="0032747B"/>
    <w:rsid w:val="00327DF4"/>
    <w:rsid w:val="0033271C"/>
    <w:rsid w:val="0033347C"/>
    <w:rsid w:val="00333E36"/>
    <w:rsid w:val="00334B30"/>
    <w:rsid w:val="00344461"/>
    <w:rsid w:val="003464D5"/>
    <w:rsid w:val="00352C16"/>
    <w:rsid w:val="00353591"/>
    <w:rsid w:val="00354A44"/>
    <w:rsid w:val="00365C58"/>
    <w:rsid w:val="0036697D"/>
    <w:rsid w:val="00370B4F"/>
    <w:rsid w:val="00371ED5"/>
    <w:rsid w:val="00377542"/>
    <w:rsid w:val="003847E5"/>
    <w:rsid w:val="003854AA"/>
    <w:rsid w:val="00386A86"/>
    <w:rsid w:val="00386C47"/>
    <w:rsid w:val="00390719"/>
    <w:rsid w:val="00391D58"/>
    <w:rsid w:val="003928DF"/>
    <w:rsid w:val="003962D5"/>
    <w:rsid w:val="003A1C92"/>
    <w:rsid w:val="003A3022"/>
    <w:rsid w:val="003A6148"/>
    <w:rsid w:val="003A733C"/>
    <w:rsid w:val="003B0808"/>
    <w:rsid w:val="003B2407"/>
    <w:rsid w:val="003B374D"/>
    <w:rsid w:val="003B4F90"/>
    <w:rsid w:val="003B5179"/>
    <w:rsid w:val="003B66F5"/>
    <w:rsid w:val="003C0A28"/>
    <w:rsid w:val="003C3BD4"/>
    <w:rsid w:val="003C4E68"/>
    <w:rsid w:val="003C51F4"/>
    <w:rsid w:val="003D1CE3"/>
    <w:rsid w:val="003D32C5"/>
    <w:rsid w:val="003D4F54"/>
    <w:rsid w:val="003E4D36"/>
    <w:rsid w:val="003F024E"/>
    <w:rsid w:val="003F0D6B"/>
    <w:rsid w:val="003F1645"/>
    <w:rsid w:val="003F2C03"/>
    <w:rsid w:val="003F7179"/>
    <w:rsid w:val="00402349"/>
    <w:rsid w:val="004052E3"/>
    <w:rsid w:val="00412850"/>
    <w:rsid w:val="00413B26"/>
    <w:rsid w:val="00416668"/>
    <w:rsid w:val="00416A03"/>
    <w:rsid w:val="00417728"/>
    <w:rsid w:val="004254CB"/>
    <w:rsid w:val="00427D57"/>
    <w:rsid w:val="004313D8"/>
    <w:rsid w:val="00432722"/>
    <w:rsid w:val="004334EC"/>
    <w:rsid w:val="00434ACE"/>
    <w:rsid w:val="00441196"/>
    <w:rsid w:val="004419FB"/>
    <w:rsid w:val="00443B45"/>
    <w:rsid w:val="00443C74"/>
    <w:rsid w:val="00463AC0"/>
    <w:rsid w:val="00463D15"/>
    <w:rsid w:val="004657EA"/>
    <w:rsid w:val="00465DA1"/>
    <w:rsid w:val="00467F0E"/>
    <w:rsid w:val="00470701"/>
    <w:rsid w:val="004822FB"/>
    <w:rsid w:val="00485822"/>
    <w:rsid w:val="00485D15"/>
    <w:rsid w:val="0048715E"/>
    <w:rsid w:val="00487357"/>
    <w:rsid w:val="00487BD8"/>
    <w:rsid w:val="00494FA6"/>
    <w:rsid w:val="00495EB6"/>
    <w:rsid w:val="004B4833"/>
    <w:rsid w:val="004C1F9B"/>
    <w:rsid w:val="004C27F1"/>
    <w:rsid w:val="004C3863"/>
    <w:rsid w:val="004C4A0F"/>
    <w:rsid w:val="004C6CFC"/>
    <w:rsid w:val="004D2D86"/>
    <w:rsid w:val="004D3208"/>
    <w:rsid w:val="004D73CA"/>
    <w:rsid w:val="004D7A1C"/>
    <w:rsid w:val="004E08FD"/>
    <w:rsid w:val="004E35AE"/>
    <w:rsid w:val="004F02E3"/>
    <w:rsid w:val="004F4E07"/>
    <w:rsid w:val="004F4E5A"/>
    <w:rsid w:val="004F7007"/>
    <w:rsid w:val="00501B0D"/>
    <w:rsid w:val="005043F9"/>
    <w:rsid w:val="005046CA"/>
    <w:rsid w:val="00505039"/>
    <w:rsid w:val="00506A9D"/>
    <w:rsid w:val="00511556"/>
    <w:rsid w:val="00517167"/>
    <w:rsid w:val="00520016"/>
    <w:rsid w:val="005266D4"/>
    <w:rsid w:val="005368DD"/>
    <w:rsid w:val="00540285"/>
    <w:rsid w:val="005435FB"/>
    <w:rsid w:val="00552750"/>
    <w:rsid w:val="00555BA2"/>
    <w:rsid w:val="0055734F"/>
    <w:rsid w:val="005622B6"/>
    <w:rsid w:val="005677AD"/>
    <w:rsid w:val="00571308"/>
    <w:rsid w:val="005730A9"/>
    <w:rsid w:val="0057704C"/>
    <w:rsid w:val="005803F4"/>
    <w:rsid w:val="005819A7"/>
    <w:rsid w:val="0058387A"/>
    <w:rsid w:val="00585A88"/>
    <w:rsid w:val="0059102D"/>
    <w:rsid w:val="005916C4"/>
    <w:rsid w:val="005921E3"/>
    <w:rsid w:val="0059486A"/>
    <w:rsid w:val="00596A50"/>
    <w:rsid w:val="00597B85"/>
    <w:rsid w:val="005A3605"/>
    <w:rsid w:val="005A4328"/>
    <w:rsid w:val="005A463E"/>
    <w:rsid w:val="005A7A85"/>
    <w:rsid w:val="005B0297"/>
    <w:rsid w:val="005B766D"/>
    <w:rsid w:val="005C5145"/>
    <w:rsid w:val="005D58E2"/>
    <w:rsid w:val="005D7E0D"/>
    <w:rsid w:val="005D7E1E"/>
    <w:rsid w:val="005E18B6"/>
    <w:rsid w:val="005F3AD5"/>
    <w:rsid w:val="005F62D9"/>
    <w:rsid w:val="00601DA1"/>
    <w:rsid w:val="006038C3"/>
    <w:rsid w:val="006059FA"/>
    <w:rsid w:val="006061C4"/>
    <w:rsid w:val="00611CEA"/>
    <w:rsid w:val="006132D5"/>
    <w:rsid w:val="006140CC"/>
    <w:rsid w:val="0061438B"/>
    <w:rsid w:val="00616C7B"/>
    <w:rsid w:val="006212EC"/>
    <w:rsid w:val="006259CB"/>
    <w:rsid w:val="00627DBF"/>
    <w:rsid w:val="00632249"/>
    <w:rsid w:val="00635709"/>
    <w:rsid w:val="006367A1"/>
    <w:rsid w:val="00637A2B"/>
    <w:rsid w:val="0064244A"/>
    <w:rsid w:val="006424F1"/>
    <w:rsid w:val="0064649E"/>
    <w:rsid w:val="00646533"/>
    <w:rsid w:val="00646DF1"/>
    <w:rsid w:val="00647036"/>
    <w:rsid w:val="00656F9A"/>
    <w:rsid w:val="00660591"/>
    <w:rsid w:val="006620BA"/>
    <w:rsid w:val="00662717"/>
    <w:rsid w:val="00664829"/>
    <w:rsid w:val="006662A1"/>
    <w:rsid w:val="00666C25"/>
    <w:rsid w:val="00671DB5"/>
    <w:rsid w:val="00673746"/>
    <w:rsid w:val="00673BD7"/>
    <w:rsid w:val="006748D6"/>
    <w:rsid w:val="00675885"/>
    <w:rsid w:val="0068156F"/>
    <w:rsid w:val="0068209D"/>
    <w:rsid w:val="006827D6"/>
    <w:rsid w:val="006845DD"/>
    <w:rsid w:val="00685B0F"/>
    <w:rsid w:val="00687B59"/>
    <w:rsid w:val="00692BE9"/>
    <w:rsid w:val="006A3AEA"/>
    <w:rsid w:val="006A609D"/>
    <w:rsid w:val="006A62A6"/>
    <w:rsid w:val="006B11BB"/>
    <w:rsid w:val="006B324A"/>
    <w:rsid w:val="006B5B58"/>
    <w:rsid w:val="006B5E4E"/>
    <w:rsid w:val="006B788D"/>
    <w:rsid w:val="006C2816"/>
    <w:rsid w:val="006C632A"/>
    <w:rsid w:val="006D0194"/>
    <w:rsid w:val="006D11CD"/>
    <w:rsid w:val="006D4512"/>
    <w:rsid w:val="006D6E03"/>
    <w:rsid w:val="006E55E8"/>
    <w:rsid w:val="006F36D3"/>
    <w:rsid w:val="006F4638"/>
    <w:rsid w:val="00702DD7"/>
    <w:rsid w:val="00704D7F"/>
    <w:rsid w:val="007066B5"/>
    <w:rsid w:val="007066F0"/>
    <w:rsid w:val="00710D35"/>
    <w:rsid w:val="00716D3B"/>
    <w:rsid w:val="007204D6"/>
    <w:rsid w:val="00721EED"/>
    <w:rsid w:val="00722704"/>
    <w:rsid w:val="00722FF0"/>
    <w:rsid w:val="007248CE"/>
    <w:rsid w:val="00732DA2"/>
    <w:rsid w:val="00736608"/>
    <w:rsid w:val="00737CB3"/>
    <w:rsid w:val="00740060"/>
    <w:rsid w:val="00740CBA"/>
    <w:rsid w:val="00742372"/>
    <w:rsid w:val="00743C6B"/>
    <w:rsid w:val="0074463C"/>
    <w:rsid w:val="00750314"/>
    <w:rsid w:val="00750772"/>
    <w:rsid w:val="00763ACE"/>
    <w:rsid w:val="00766DBF"/>
    <w:rsid w:val="007673DE"/>
    <w:rsid w:val="00767E9E"/>
    <w:rsid w:val="00771C0C"/>
    <w:rsid w:val="00771D0E"/>
    <w:rsid w:val="00773E87"/>
    <w:rsid w:val="007743FF"/>
    <w:rsid w:val="00780A15"/>
    <w:rsid w:val="0078216F"/>
    <w:rsid w:val="00785310"/>
    <w:rsid w:val="00790FC7"/>
    <w:rsid w:val="007929DD"/>
    <w:rsid w:val="00795893"/>
    <w:rsid w:val="00795A6A"/>
    <w:rsid w:val="007A1A06"/>
    <w:rsid w:val="007A4472"/>
    <w:rsid w:val="007A57BE"/>
    <w:rsid w:val="007A659F"/>
    <w:rsid w:val="007A708A"/>
    <w:rsid w:val="007B0530"/>
    <w:rsid w:val="007B11A4"/>
    <w:rsid w:val="007B1A77"/>
    <w:rsid w:val="007B4187"/>
    <w:rsid w:val="007C17DD"/>
    <w:rsid w:val="007C40D7"/>
    <w:rsid w:val="007C5BF3"/>
    <w:rsid w:val="007C7D83"/>
    <w:rsid w:val="007D3786"/>
    <w:rsid w:val="007D3B33"/>
    <w:rsid w:val="007D4996"/>
    <w:rsid w:val="007D60CA"/>
    <w:rsid w:val="007E0DDF"/>
    <w:rsid w:val="007E59DF"/>
    <w:rsid w:val="007E6165"/>
    <w:rsid w:val="007E7483"/>
    <w:rsid w:val="007F0F86"/>
    <w:rsid w:val="007F3452"/>
    <w:rsid w:val="007F610C"/>
    <w:rsid w:val="007F62EE"/>
    <w:rsid w:val="007F72A0"/>
    <w:rsid w:val="00805BBA"/>
    <w:rsid w:val="008101DA"/>
    <w:rsid w:val="0081071F"/>
    <w:rsid w:val="00811640"/>
    <w:rsid w:val="0081243C"/>
    <w:rsid w:val="00815169"/>
    <w:rsid w:val="00816187"/>
    <w:rsid w:val="008170B0"/>
    <w:rsid w:val="00817FFC"/>
    <w:rsid w:val="0082089D"/>
    <w:rsid w:val="0082147A"/>
    <w:rsid w:val="00824FDE"/>
    <w:rsid w:val="008253FA"/>
    <w:rsid w:val="00826E64"/>
    <w:rsid w:val="00827565"/>
    <w:rsid w:val="008276B4"/>
    <w:rsid w:val="00827F46"/>
    <w:rsid w:val="00831A98"/>
    <w:rsid w:val="00833506"/>
    <w:rsid w:val="00834A50"/>
    <w:rsid w:val="00847C44"/>
    <w:rsid w:val="00853093"/>
    <w:rsid w:val="00856EA5"/>
    <w:rsid w:val="00860F0D"/>
    <w:rsid w:val="00863DCB"/>
    <w:rsid w:val="00864D27"/>
    <w:rsid w:val="0086578E"/>
    <w:rsid w:val="00865A22"/>
    <w:rsid w:val="008667D3"/>
    <w:rsid w:val="00883182"/>
    <w:rsid w:val="00884A4F"/>
    <w:rsid w:val="00886530"/>
    <w:rsid w:val="0088667C"/>
    <w:rsid w:val="00886EAA"/>
    <w:rsid w:val="00890371"/>
    <w:rsid w:val="008929A7"/>
    <w:rsid w:val="0089384B"/>
    <w:rsid w:val="008A154B"/>
    <w:rsid w:val="008A3545"/>
    <w:rsid w:val="008A35AA"/>
    <w:rsid w:val="008A4226"/>
    <w:rsid w:val="008A562A"/>
    <w:rsid w:val="008B0E2E"/>
    <w:rsid w:val="008B1C1C"/>
    <w:rsid w:val="008B2FEF"/>
    <w:rsid w:val="008C72FF"/>
    <w:rsid w:val="008C7AAA"/>
    <w:rsid w:val="008D1644"/>
    <w:rsid w:val="008D2EA1"/>
    <w:rsid w:val="008D4429"/>
    <w:rsid w:val="008D682A"/>
    <w:rsid w:val="008D769B"/>
    <w:rsid w:val="008F6E8B"/>
    <w:rsid w:val="00902224"/>
    <w:rsid w:val="00904611"/>
    <w:rsid w:val="009046B4"/>
    <w:rsid w:val="00904D87"/>
    <w:rsid w:val="00904EB3"/>
    <w:rsid w:val="0090511D"/>
    <w:rsid w:val="00905381"/>
    <w:rsid w:val="00906588"/>
    <w:rsid w:val="00913D49"/>
    <w:rsid w:val="0091583E"/>
    <w:rsid w:val="00916A1B"/>
    <w:rsid w:val="009202B7"/>
    <w:rsid w:val="009258F8"/>
    <w:rsid w:val="009277AE"/>
    <w:rsid w:val="00935379"/>
    <w:rsid w:val="00940E35"/>
    <w:rsid w:val="00943D86"/>
    <w:rsid w:val="00943E94"/>
    <w:rsid w:val="00944250"/>
    <w:rsid w:val="00945E08"/>
    <w:rsid w:val="0095094F"/>
    <w:rsid w:val="00953446"/>
    <w:rsid w:val="0095481A"/>
    <w:rsid w:val="00956E76"/>
    <w:rsid w:val="00961F52"/>
    <w:rsid w:val="00965E53"/>
    <w:rsid w:val="00966F69"/>
    <w:rsid w:val="00971061"/>
    <w:rsid w:val="00980EE0"/>
    <w:rsid w:val="00980F20"/>
    <w:rsid w:val="00982E09"/>
    <w:rsid w:val="00982F8A"/>
    <w:rsid w:val="00986F18"/>
    <w:rsid w:val="0098753F"/>
    <w:rsid w:val="00990719"/>
    <w:rsid w:val="00992BC7"/>
    <w:rsid w:val="00993A01"/>
    <w:rsid w:val="0099657E"/>
    <w:rsid w:val="009974C2"/>
    <w:rsid w:val="00997664"/>
    <w:rsid w:val="00997906"/>
    <w:rsid w:val="009A1160"/>
    <w:rsid w:val="009A3D58"/>
    <w:rsid w:val="009A479E"/>
    <w:rsid w:val="009A5C6A"/>
    <w:rsid w:val="009A718C"/>
    <w:rsid w:val="009A7297"/>
    <w:rsid w:val="009B2161"/>
    <w:rsid w:val="009B33F0"/>
    <w:rsid w:val="009B3B2B"/>
    <w:rsid w:val="009B5534"/>
    <w:rsid w:val="009C0798"/>
    <w:rsid w:val="009C494D"/>
    <w:rsid w:val="009D11EF"/>
    <w:rsid w:val="009E0008"/>
    <w:rsid w:val="009E71B1"/>
    <w:rsid w:val="009F05AC"/>
    <w:rsid w:val="009F0AD2"/>
    <w:rsid w:val="009F11B8"/>
    <w:rsid w:val="009F527B"/>
    <w:rsid w:val="00A0265F"/>
    <w:rsid w:val="00A029B0"/>
    <w:rsid w:val="00A02CF1"/>
    <w:rsid w:val="00A03899"/>
    <w:rsid w:val="00A0497F"/>
    <w:rsid w:val="00A06114"/>
    <w:rsid w:val="00A10026"/>
    <w:rsid w:val="00A104AB"/>
    <w:rsid w:val="00A10872"/>
    <w:rsid w:val="00A10B82"/>
    <w:rsid w:val="00A12790"/>
    <w:rsid w:val="00A13228"/>
    <w:rsid w:val="00A233EB"/>
    <w:rsid w:val="00A2548F"/>
    <w:rsid w:val="00A25F53"/>
    <w:rsid w:val="00A268F2"/>
    <w:rsid w:val="00A27A58"/>
    <w:rsid w:val="00A36D05"/>
    <w:rsid w:val="00A441D8"/>
    <w:rsid w:val="00A46540"/>
    <w:rsid w:val="00A519F0"/>
    <w:rsid w:val="00A617C7"/>
    <w:rsid w:val="00A64091"/>
    <w:rsid w:val="00A653ED"/>
    <w:rsid w:val="00A66633"/>
    <w:rsid w:val="00A66927"/>
    <w:rsid w:val="00A70800"/>
    <w:rsid w:val="00A70CD3"/>
    <w:rsid w:val="00A737CD"/>
    <w:rsid w:val="00A7461F"/>
    <w:rsid w:val="00A8081E"/>
    <w:rsid w:val="00A85BF2"/>
    <w:rsid w:val="00A86555"/>
    <w:rsid w:val="00A90C15"/>
    <w:rsid w:val="00A93783"/>
    <w:rsid w:val="00A94EE3"/>
    <w:rsid w:val="00A9733E"/>
    <w:rsid w:val="00AA00C1"/>
    <w:rsid w:val="00AA06B3"/>
    <w:rsid w:val="00AA0914"/>
    <w:rsid w:val="00AA23F2"/>
    <w:rsid w:val="00AB7A62"/>
    <w:rsid w:val="00AC23C9"/>
    <w:rsid w:val="00AC48B9"/>
    <w:rsid w:val="00AC6ACB"/>
    <w:rsid w:val="00AC7FFA"/>
    <w:rsid w:val="00AD2515"/>
    <w:rsid w:val="00AD352B"/>
    <w:rsid w:val="00AD4A06"/>
    <w:rsid w:val="00AD4B02"/>
    <w:rsid w:val="00AD6CDD"/>
    <w:rsid w:val="00AE0D8D"/>
    <w:rsid w:val="00AE216B"/>
    <w:rsid w:val="00AE3BBE"/>
    <w:rsid w:val="00AE58E1"/>
    <w:rsid w:val="00AF2EDB"/>
    <w:rsid w:val="00AF4E3B"/>
    <w:rsid w:val="00AF666B"/>
    <w:rsid w:val="00AF7806"/>
    <w:rsid w:val="00B00CB2"/>
    <w:rsid w:val="00B01097"/>
    <w:rsid w:val="00B013D2"/>
    <w:rsid w:val="00B05F2B"/>
    <w:rsid w:val="00B06A50"/>
    <w:rsid w:val="00B06B61"/>
    <w:rsid w:val="00B11BD0"/>
    <w:rsid w:val="00B17408"/>
    <w:rsid w:val="00B203C2"/>
    <w:rsid w:val="00B208BE"/>
    <w:rsid w:val="00B22682"/>
    <w:rsid w:val="00B230AC"/>
    <w:rsid w:val="00B257F8"/>
    <w:rsid w:val="00B26126"/>
    <w:rsid w:val="00B3218B"/>
    <w:rsid w:val="00B378E1"/>
    <w:rsid w:val="00B57A86"/>
    <w:rsid w:val="00B57FB0"/>
    <w:rsid w:val="00B60CAE"/>
    <w:rsid w:val="00B649E3"/>
    <w:rsid w:val="00B6572D"/>
    <w:rsid w:val="00B6781E"/>
    <w:rsid w:val="00B713F9"/>
    <w:rsid w:val="00B71D7A"/>
    <w:rsid w:val="00B725B9"/>
    <w:rsid w:val="00B731F8"/>
    <w:rsid w:val="00B7394E"/>
    <w:rsid w:val="00B74BBF"/>
    <w:rsid w:val="00B76A24"/>
    <w:rsid w:val="00B8145F"/>
    <w:rsid w:val="00B841A9"/>
    <w:rsid w:val="00B901B4"/>
    <w:rsid w:val="00B90670"/>
    <w:rsid w:val="00BA50DD"/>
    <w:rsid w:val="00BA64C2"/>
    <w:rsid w:val="00BA6732"/>
    <w:rsid w:val="00BD1E6E"/>
    <w:rsid w:val="00BD2A33"/>
    <w:rsid w:val="00BE059D"/>
    <w:rsid w:val="00BE31E8"/>
    <w:rsid w:val="00BE37BA"/>
    <w:rsid w:val="00BE52BC"/>
    <w:rsid w:val="00BF303E"/>
    <w:rsid w:val="00BF7B8F"/>
    <w:rsid w:val="00C01DB3"/>
    <w:rsid w:val="00C02B65"/>
    <w:rsid w:val="00C040F0"/>
    <w:rsid w:val="00C119B3"/>
    <w:rsid w:val="00C13C8B"/>
    <w:rsid w:val="00C1630A"/>
    <w:rsid w:val="00C169CD"/>
    <w:rsid w:val="00C214F3"/>
    <w:rsid w:val="00C3180D"/>
    <w:rsid w:val="00C325B9"/>
    <w:rsid w:val="00C32B76"/>
    <w:rsid w:val="00C33B54"/>
    <w:rsid w:val="00C372E8"/>
    <w:rsid w:val="00C43018"/>
    <w:rsid w:val="00C4420B"/>
    <w:rsid w:val="00C45E81"/>
    <w:rsid w:val="00C5197E"/>
    <w:rsid w:val="00C569CB"/>
    <w:rsid w:val="00C61360"/>
    <w:rsid w:val="00C61A87"/>
    <w:rsid w:val="00C62978"/>
    <w:rsid w:val="00C63530"/>
    <w:rsid w:val="00C63B66"/>
    <w:rsid w:val="00C71655"/>
    <w:rsid w:val="00C716C4"/>
    <w:rsid w:val="00C71CCE"/>
    <w:rsid w:val="00C7727C"/>
    <w:rsid w:val="00C7780F"/>
    <w:rsid w:val="00C840C4"/>
    <w:rsid w:val="00C8697E"/>
    <w:rsid w:val="00C8745B"/>
    <w:rsid w:val="00C87F34"/>
    <w:rsid w:val="00CA3D1C"/>
    <w:rsid w:val="00CA3FA0"/>
    <w:rsid w:val="00CB483E"/>
    <w:rsid w:val="00CB4F45"/>
    <w:rsid w:val="00CB5CF7"/>
    <w:rsid w:val="00CB7FDF"/>
    <w:rsid w:val="00CC016C"/>
    <w:rsid w:val="00CC1524"/>
    <w:rsid w:val="00CC38BC"/>
    <w:rsid w:val="00CC3FD6"/>
    <w:rsid w:val="00CC4646"/>
    <w:rsid w:val="00CC4BBF"/>
    <w:rsid w:val="00CC6F62"/>
    <w:rsid w:val="00CD5B92"/>
    <w:rsid w:val="00CD6407"/>
    <w:rsid w:val="00CF2220"/>
    <w:rsid w:val="00CF48EF"/>
    <w:rsid w:val="00D076A0"/>
    <w:rsid w:val="00D10AEE"/>
    <w:rsid w:val="00D116D7"/>
    <w:rsid w:val="00D144B9"/>
    <w:rsid w:val="00D153A1"/>
    <w:rsid w:val="00D15D01"/>
    <w:rsid w:val="00D201F4"/>
    <w:rsid w:val="00D20D5E"/>
    <w:rsid w:val="00D21C3E"/>
    <w:rsid w:val="00D30B5E"/>
    <w:rsid w:val="00D31D4F"/>
    <w:rsid w:val="00D32E0A"/>
    <w:rsid w:val="00D3314C"/>
    <w:rsid w:val="00D3382D"/>
    <w:rsid w:val="00D3499F"/>
    <w:rsid w:val="00D35821"/>
    <w:rsid w:val="00D3588A"/>
    <w:rsid w:val="00D36EED"/>
    <w:rsid w:val="00D40F56"/>
    <w:rsid w:val="00D42938"/>
    <w:rsid w:val="00D51F1D"/>
    <w:rsid w:val="00D54704"/>
    <w:rsid w:val="00D56867"/>
    <w:rsid w:val="00D56BEF"/>
    <w:rsid w:val="00D579D9"/>
    <w:rsid w:val="00D60C57"/>
    <w:rsid w:val="00D62D7A"/>
    <w:rsid w:val="00D646EF"/>
    <w:rsid w:val="00D65943"/>
    <w:rsid w:val="00D65C12"/>
    <w:rsid w:val="00D66165"/>
    <w:rsid w:val="00D678EB"/>
    <w:rsid w:val="00D67B99"/>
    <w:rsid w:val="00D724F6"/>
    <w:rsid w:val="00D72F9D"/>
    <w:rsid w:val="00D73195"/>
    <w:rsid w:val="00D73219"/>
    <w:rsid w:val="00D73D18"/>
    <w:rsid w:val="00D756F0"/>
    <w:rsid w:val="00D75C25"/>
    <w:rsid w:val="00D90250"/>
    <w:rsid w:val="00D9048A"/>
    <w:rsid w:val="00D930F8"/>
    <w:rsid w:val="00D9445F"/>
    <w:rsid w:val="00D944CB"/>
    <w:rsid w:val="00D963EA"/>
    <w:rsid w:val="00DA3702"/>
    <w:rsid w:val="00DA3803"/>
    <w:rsid w:val="00DA53A0"/>
    <w:rsid w:val="00DA672B"/>
    <w:rsid w:val="00DA6765"/>
    <w:rsid w:val="00DB0B27"/>
    <w:rsid w:val="00DB2B1C"/>
    <w:rsid w:val="00DB36A1"/>
    <w:rsid w:val="00DC18B9"/>
    <w:rsid w:val="00DC34EA"/>
    <w:rsid w:val="00DD0A4B"/>
    <w:rsid w:val="00DD27F1"/>
    <w:rsid w:val="00DD4528"/>
    <w:rsid w:val="00DD53A7"/>
    <w:rsid w:val="00DD56A4"/>
    <w:rsid w:val="00DE3476"/>
    <w:rsid w:val="00DE3FEA"/>
    <w:rsid w:val="00DE633F"/>
    <w:rsid w:val="00DF2DA9"/>
    <w:rsid w:val="00DF31EF"/>
    <w:rsid w:val="00DF38F8"/>
    <w:rsid w:val="00DF45B1"/>
    <w:rsid w:val="00DF4EED"/>
    <w:rsid w:val="00E02857"/>
    <w:rsid w:val="00E03AA1"/>
    <w:rsid w:val="00E06A86"/>
    <w:rsid w:val="00E14466"/>
    <w:rsid w:val="00E174CD"/>
    <w:rsid w:val="00E222D8"/>
    <w:rsid w:val="00E2242D"/>
    <w:rsid w:val="00E22517"/>
    <w:rsid w:val="00E240DA"/>
    <w:rsid w:val="00E24BAE"/>
    <w:rsid w:val="00E30437"/>
    <w:rsid w:val="00E3056A"/>
    <w:rsid w:val="00E30609"/>
    <w:rsid w:val="00E334FD"/>
    <w:rsid w:val="00E33B1F"/>
    <w:rsid w:val="00E34EBC"/>
    <w:rsid w:val="00E355E6"/>
    <w:rsid w:val="00E362E4"/>
    <w:rsid w:val="00E41248"/>
    <w:rsid w:val="00E4128A"/>
    <w:rsid w:val="00E42641"/>
    <w:rsid w:val="00E5173A"/>
    <w:rsid w:val="00E63ED8"/>
    <w:rsid w:val="00E63FD3"/>
    <w:rsid w:val="00E669D9"/>
    <w:rsid w:val="00E70940"/>
    <w:rsid w:val="00E717B9"/>
    <w:rsid w:val="00E71AA1"/>
    <w:rsid w:val="00E729B5"/>
    <w:rsid w:val="00E76519"/>
    <w:rsid w:val="00E80F55"/>
    <w:rsid w:val="00E85501"/>
    <w:rsid w:val="00E94C6B"/>
    <w:rsid w:val="00E94FCE"/>
    <w:rsid w:val="00EA4756"/>
    <w:rsid w:val="00EB7500"/>
    <w:rsid w:val="00EC127F"/>
    <w:rsid w:val="00EC44C5"/>
    <w:rsid w:val="00ED00EB"/>
    <w:rsid w:val="00ED0330"/>
    <w:rsid w:val="00ED161A"/>
    <w:rsid w:val="00ED759A"/>
    <w:rsid w:val="00EE2CAD"/>
    <w:rsid w:val="00EE2DDB"/>
    <w:rsid w:val="00EE361C"/>
    <w:rsid w:val="00EE769B"/>
    <w:rsid w:val="00EF005C"/>
    <w:rsid w:val="00EF666F"/>
    <w:rsid w:val="00F0312E"/>
    <w:rsid w:val="00F109AB"/>
    <w:rsid w:val="00F1118A"/>
    <w:rsid w:val="00F13903"/>
    <w:rsid w:val="00F152EA"/>
    <w:rsid w:val="00F16B98"/>
    <w:rsid w:val="00F21671"/>
    <w:rsid w:val="00F32B8F"/>
    <w:rsid w:val="00F37574"/>
    <w:rsid w:val="00F456C8"/>
    <w:rsid w:val="00F47904"/>
    <w:rsid w:val="00F52598"/>
    <w:rsid w:val="00F53671"/>
    <w:rsid w:val="00F536CC"/>
    <w:rsid w:val="00F559B1"/>
    <w:rsid w:val="00F562CC"/>
    <w:rsid w:val="00F5641D"/>
    <w:rsid w:val="00F5696E"/>
    <w:rsid w:val="00F56E3C"/>
    <w:rsid w:val="00F57BAE"/>
    <w:rsid w:val="00F61F55"/>
    <w:rsid w:val="00F732DC"/>
    <w:rsid w:val="00F7651F"/>
    <w:rsid w:val="00F80437"/>
    <w:rsid w:val="00F8118C"/>
    <w:rsid w:val="00F813DA"/>
    <w:rsid w:val="00F8348C"/>
    <w:rsid w:val="00F90B48"/>
    <w:rsid w:val="00F919AC"/>
    <w:rsid w:val="00F92CCB"/>
    <w:rsid w:val="00F974D6"/>
    <w:rsid w:val="00FA6603"/>
    <w:rsid w:val="00FB0B07"/>
    <w:rsid w:val="00FB360B"/>
    <w:rsid w:val="00FB389B"/>
    <w:rsid w:val="00FB5917"/>
    <w:rsid w:val="00FB5D4F"/>
    <w:rsid w:val="00FC33A5"/>
    <w:rsid w:val="00FC6EC5"/>
    <w:rsid w:val="00FC761C"/>
    <w:rsid w:val="00FD3125"/>
    <w:rsid w:val="00FD40A6"/>
    <w:rsid w:val="00FE011F"/>
    <w:rsid w:val="00FE09BA"/>
    <w:rsid w:val="00FE0E24"/>
    <w:rsid w:val="00FE3CB6"/>
    <w:rsid w:val="00FE6303"/>
    <w:rsid w:val="00FE6A3D"/>
    <w:rsid w:val="00FE71D4"/>
    <w:rsid w:val="00FF171F"/>
    <w:rsid w:val="00FF1AC9"/>
    <w:rsid w:val="00FF5B67"/>
    <w:rsid w:val="00FF6AC1"/>
    <w:rsid w:val="03D24459"/>
    <w:rsid w:val="044D1467"/>
    <w:rsid w:val="068752DA"/>
    <w:rsid w:val="12654DA3"/>
    <w:rsid w:val="15C13406"/>
    <w:rsid w:val="1BC01BEA"/>
    <w:rsid w:val="1BDA1E17"/>
    <w:rsid w:val="1E9A0226"/>
    <w:rsid w:val="35E4609C"/>
    <w:rsid w:val="363D6249"/>
    <w:rsid w:val="3AB2719F"/>
    <w:rsid w:val="3E182468"/>
    <w:rsid w:val="465B0C9E"/>
    <w:rsid w:val="4A8C63AD"/>
    <w:rsid w:val="5D026D44"/>
    <w:rsid w:val="5EAA18D9"/>
    <w:rsid w:val="5EB365A5"/>
    <w:rsid w:val="5FBB164E"/>
    <w:rsid w:val="64C37364"/>
    <w:rsid w:val="659F2EC5"/>
    <w:rsid w:val="6F2916E8"/>
    <w:rsid w:val="72F9028C"/>
    <w:rsid w:val="787A75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footnote text" w:uiPriority="0" w:qFormat="1"/>
    <w:lsdException w:name="annotation text" w:semiHidden="0" w:qFormat="1"/>
    <w:lsdException w:name="header" w:semiHidden="0" w:qFormat="1"/>
    <w:lsdException w:name="footer" w:semiHidden="0" w:qFormat="1"/>
    <w:lsdException w:name="caption" w:uiPriority="35" w:qFormat="1"/>
    <w:lsdException w:name="footnote reference" w:uiPriority="0" w:qFormat="1"/>
    <w:lsdException w:name="annotation reference" w:uiPriority="0"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qFormat="1"/>
    <w:lsdException w:name="Body Text Indent 3" w:uiPriority="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Document Map" w:uiPriority="0" w:qFormat="1"/>
    <w:lsdException w:name="Plain Text" w:uiPriority="0" w:qFormat="1"/>
    <w:lsdException w:name="annotation subject" w:uiPriority="0" w:qFormat="1"/>
    <w:lsdException w:name="Balloon Text" w:uiPriority="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Char"/>
    <w:semiHidden/>
    <w:unhideWhenUsed/>
    <w:qFormat/>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Char"/>
    <w:semiHidden/>
    <w:unhideWhenUsed/>
    <w:qFormat/>
    <w:pPr>
      <w:keepNext/>
      <w:keepLines/>
      <w:spacing w:before="260" w:after="260" w:line="412" w:lineRule="auto"/>
      <w:outlineLvl w:val="2"/>
    </w:pPr>
    <w:rPr>
      <w:rFonts w:ascii="Times New Roman" w:eastAsia="宋体" w:hAnsi="Times New Roman" w:cs="Times New Roman"/>
      <w:b/>
      <w:kern w:val="0"/>
      <w:sz w:val="32"/>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qFormat/>
    <w:rPr>
      <w:b/>
    </w:rPr>
  </w:style>
  <w:style w:type="paragraph" w:styleId="a4">
    <w:name w:val="annotation text"/>
    <w:basedOn w:val="a"/>
    <w:link w:val="Char1"/>
    <w:uiPriority w:val="99"/>
    <w:unhideWhenUsed/>
    <w:qFormat/>
    <w:pPr>
      <w:jc w:val="left"/>
    </w:pPr>
    <w:rPr>
      <w:rFonts w:ascii="Times New Roman" w:eastAsia="宋体" w:hAnsi="Times New Roman" w:cs="Times New Roman"/>
      <w:szCs w:val="20"/>
    </w:rPr>
  </w:style>
  <w:style w:type="paragraph" w:styleId="a5">
    <w:name w:val="Normal Indent"/>
    <w:basedOn w:val="a"/>
    <w:semiHidden/>
    <w:unhideWhenUsed/>
    <w:qFormat/>
    <w:pPr>
      <w:ind w:firstLineChars="200" w:firstLine="420"/>
    </w:pPr>
    <w:rPr>
      <w:rFonts w:ascii="Times New Roman" w:eastAsia="宋体" w:hAnsi="Times New Roman" w:cs="Times New Roman"/>
      <w:szCs w:val="20"/>
    </w:rPr>
  </w:style>
  <w:style w:type="paragraph" w:styleId="a6">
    <w:name w:val="Document Map"/>
    <w:basedOn w:val="a"/>
    <w:link w:val="Char0"/>
    <w:semiHidden/>
    <w:unhideWhenUsed/>
    <w:qFormat/>
    <w:pPr>
      <w:shd w:val="clear" w:color="auto" w:fill="000080"/>
    </w:pPr>
    <w:rPr>
      <w:rFonts w:ascii="Times New Roman" w:eastAsia="宋体" w:hAnsi="Times New Roman" w:cs="Times New Roman"/>
      <w:szCs w:val="20"/>
    </w:rPr>
  </w:style>
  <w:style w:type="paragraph" w:styleId="a7">
    <w:name w:val="Body Text"/>
    <w:basedOn w:val="a"/>
    <w:link w:val="Char2"/>
    <w:semiHidden/>
    <w:unhideWhenUsed/>
    <w:pPr>
      <w:autoSpaceDE w:val="0"/>
      <w:autoSpaceDN w:val="0"/>
      <w:adjustRightInd w:val="0"/>
      <w:spacing w:line="360" w:lineRule="auto"/>
      <w:jc w:val="left"/>
    </w:pPr>
    <w:rPr>
      <w:rFonts w:ascii="宋体" w:eastAsia="宋体" w:hAnsi="Calibri" w:cs="Times New Roman"/>
      <w:kern w:val="0"/>
    </w:rPr>
  </w:style>
  <w:style w:type="paragraph" w:styleId="30">
    <w:name w:val="toc 3"/>
    <w:basedOn w:val="a"/>
    <w:next w:val="a"/>
    <w:semiHidden/>
    <w:unhideWhenUsed/>
    <w:pPr>
      <w:ind w:leftChars="400" w:left="840"/>
    </w:pPr>
    <w:rPr>
      <w:rFonts w:ascii="Times New Roman" w:eastAsia="宋体" w:hAnsi="Times New Roman" w:cs="Times New Roman"/>
      <w:szCs w:val="20"/>
    </w:rPr>
  </w:style>
  <w:style w:type="paragraph" w:styleId="a8">
    <w:name w:val="Plain Text"/>
    <w:basedOn w:val="a"/>
    <w:link w:val="Char3"/>
    <w:semiHidden/>
    <w:unhideWhenUsed/>
    <w:qFormat/>
    <w:pPr>
      <w:adjustRightInd w:val="0"/>
      <w:spacing w:line="312" w:lineRule="atLeast"/>
    </w:pPr>
    <w:rPr>
      <w:rFonts w:ascii="宋体" w:eastAsia="宋体" w:hAnsi="Courier New" w:cs="Times New Roman"/>
      <w:kern w:val="0"/>
      <w:szCs w:val="20"/>
    </w:rPr>
  </w:style>
  <w:style w:type="paragraph" w:styleId="20">
    <w:name w:val="Body Text Indent 2"/>
    <w:basedOn w:val="a"/>
    <w:link w:val="2Char0"/>
    <w:semiHidden/>
    <w:unhideWhenUsed/>
    <w:qFormat/>
    <w:pPr>
      <w:spacing w:line="360" w:lineRule="auto"/>
      <w:ind w:firstLine="425"/>
    </w:pPr>
    <w:rPr>
      <w:rFonts w:ascii="仿宋_GB2312" w:eastAsia="仿宋_GB2312" w:hAnsi="Times New Roman" w:cs="Times New Roman"/>
      <w:sz w:val="28"/>
      <w:szCs w:val="20"/>
    </w:rPr>
  </w:style>
  <w:style w:type="paragraph" w:styleId="a9">
    <w:name w:val="Balloon Text"/>
    <w:basedOn w:val="a"/>
    <w:link w:val="Char4"/>
    <w:semiHidden/>
    <w:unhideWhenUsed/>
    <w:qFormat/>
    <w:rPr>
      <w:rFonts w:ascii="Times New Roman" w:eastAsia="宋体" w:hAnsi="Times New Roman" w:cs="Times New Roman"/>
      <w:sz w:val="18"/>
      <w:szCs w:val="20"/>
    </w:rPr>
  </w:style>
  <w:style w:type="paragraph" w:styleId="aa">
    <w:name w:val="footer"/>
    <w:basedOn w:val="a"/>
    <w:link w:val="Char5"/>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b">
    <w:name w:val="header"/>
    <w:basedOn w:val="a"/>
    <w:link w:val="Char6"/>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0">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c">
    <w:name w:val="footnote text"/>
    <w:basedOn w:val="a"/>
    <w:link w:val="Char7"/>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Char0"/>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d">
    <w:name w:val="Title"/>
    <w:basedOn w:val="a"/>
    <w:next w:val="a"/>
    <w:link w:val="Char8"/>
    <w:qFormat/>
    <w:pPr>
      <w:spacing w:before="240" w:after="60"/>
      <w:jc w:val="center"/>
      <w:outlineLvl w:val="0"/>
    </w:pPr>
    <w:rPr>
      <w:rFonts w:ascii="Cambria" w:eastAsia="宋体" w:hAnsi="Cambria" w:cs="Times New Roman"/>
      <w:b/>
      <w:sz w:val="32"/>
    </w:rPr>
  </w:style>
  <w:style w:type="character" w:styleId="ae">
    <w:name w:val="FollowedHyperlink"/>
    <w:basedOn w:val="a0"/>
    <w:uiPriority w:val="99"/>
    <w:semiHidden/>
    <w:unhideWhenUsed/>
    <w:qFormat/>
    <w:rPr>
      <w:color w:val="800080" w:themeColor="followedHyperlink"/>
      <w:u w:val="single"/>
    </w:rPr>
  </w:style>
  <w:style w:type="character" w:styleId="af">
    <w:name w:val="Hyperlink"/>
    <w:uiPriority w:val="99"/>
    <w:unhideWhenUsed/>
    <w:qFormat/>
    <w:rPr>
      <w:color w:val="0000FF"/>
      <w:u w:val="single"/>
    </w:rPr>
  </w:style>
  <w:style w:type="character" w:styleId="af0">
    <w:name w:val="annotation reference"/>
    <w:semiHidden/>
    <w:unhideWhenUsed/>
    <w:qFormat/>
    <w:rPr>
      <w:sz w:val="21"/>
    </w:rPr>
  </w:style>
  <w:style w:type="character" w:styleId="af1">
    <w:name w:val="footnote reference"/>
    <w:semiHidden/>
    <w:unhideWhenUsed/>
    <w:qFormat/>
    <w:rPr>
      <w:vertAlign w:val="superscript"/>
    </w:rPr>
  </w:style>
  <w:style w:type="table" w:styleId="af2">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rPr>
      <w:rFonts w:ascii="宋体" w:eastAsia="宋体" w:hAnsi="Times New Roman" w:cs="Times New Roman"/>
      <w:b/>
      <w:color w:val="000000"/>
      <w:kern w:val="0"/>
      <w:sz w:val="24"/>
      <w:szCs w:val="20"/>
      <w:lang w:val="zh-CN" w:eastAsia="zh-CN"/>
    </w:rPr>
  </w:style>
  <w:style w:type="character" w:customStyle="1" w:styleId="2Char">
    <w:name w:val="标题 2 Char"/>
    <w:basedOn w:val="a0"/>
    <w:link w:val="2"/>
    <w:semiHidden/>
    <w:qFormat/>
    <w:rPr>
      <w:rFonts w:ascii="Arial" w:eastAsia="黑体" w:hAnsi="Arial" w:cs="Times New Roman"/>
      <w:b/>
      <w:sz w:val="32"/>
      <w:szCs w:val="20"/>
      <w:lang w:val="zh-CN" w:eastAsia="zh-CN"/>
    </w:rPr>
  </w:style>
  <w:style w:type="character" w:customStyle="1" w:styleId="3Char">
    <w:name w:val="标题 3 Char"/>
    <w:basedOn w:val="a0"/>
    <w:link w:val="3"/>
    <w:semiHidden/>
    <w:qFormat/>
    <w:rPr>
      <w:rFonts w:ascii="Times New Roman" w:eastAsia="宋体" w:hAnsi="Times New Roman" w:cs="Times New Roman"/>
      <w:b/>
      <w:kern w:val="0"/>
      <w:sz w:val="32"/>
      <w:szCs w:val="20"/>
      <w:lang w:val="zh-CN" w:eastAsia="zh-CN"/>
    </w:rPr>
  </w:style>
  <w:style w:type="character" w:customStyle="1" w:styleId="Char7">
    <w:name w:val="脚注文本 Char"/>
    <w:basedOn w:val="a0"/>
    <w:link w:val="ac"/>
    <w:semiHidden/>
    <w:qFormat/>
    <w:rPr>
      <w:rFonts w:ascii="Times New Roman" w:eastAsia="宋体" w:hAnsi="Times New Roman" w:cs="Times New Roman"/>
      <w:sz w:val="18"/>
      <w:szCs w:val="20"/>
    </w:rPr>
  </w:style>
  <w:style w:type="character" w:customStyle="1" w:styleId="Char9">
    <w:name w:val="批注文字 Char"/>
    <w:basedOn w:val="a0"/>
    <w:semiHidden/>
    <w:qFormat/>
  </w:style>
  <w:style w:type="character" w:customStyle="1" w:styleId="Char6">
    <w:name w:val="页眉 Char"/>
    <w:basedOn w:val="a0"/>
    <w:link w:val="ab"/>
    <w:uiPriority w:val="99"/>
    <w:qFormat/>
    <w:rPr>
      <w:rFonts w:ascii="Times New Roman" w:eastAsia="宋体" w:hAnsi="Times New Roman" w:cs="Times New Roman"/>
      <w:sz w:val="18"/>
      <w:szCs w:val="18"/>
    </w:rPr>
  </w:style>
  <w:style w:type="character" w:customStyle="1" w:styleId="Char5">
    <w:name w:val="页脚 Char"/>
    <w:basedOn w:val="a0"/>
    <w:link w:val="aa"/>
    <w:uiPriority w:val="99"/>
    <w:qFormat/>
    <w:rPr>
      <w:rFonts w:ascii="Times New Roman" w:eastAsia="宋体" w:hAnsi="Times New Roman" w:cs="Times New Roman"/>
      <w:sz w:val="18"/>
      <w:szCs w:val="18"/>
    </w:rPr>
  </w:style>
  <w:style w:type="character" w:customStyle="1" w:styleId="Char8">
    <w:name w:val="标题 Char"/>
    <w:basedOn w:val="a0"/>
    <w:link w:val="ad"/>
    <w:qFormat/>
    <w:rPr>
      <w:rFonts w:ascii="Cambria" w:eastAsia="宋体" w:hAnsi="Cambria" w:cs="Times New Roman"/>
      <w:b/>
      <w:sz w:val="32"/>
    </w:rPr>
  </w:style>
  <w:style w:type="character" w:customStyle="1" w:styleId="Char2">
    <w:name w:val="正文文本 Char"/>
    <w:basedOn w:val="a0"/>
    <w:link w:val="a7"/>
    <w:semiHidden/>
    <w:qFormat/>
    <w:rPr>
      <w:rFonts w:ascii="宋体" w:eastAsia="宋体" w:hAnsi="Calibri" w:cs="Times New Roman"/>
      <w:kern w:val="0"/>
    </w:rPr>
  </w:style>
  <w:style w:type="character" w:customStyle="1" w:styleId="2Char0">
    <w:name w:val="正文文本缩进 2 Char"/>
    <w:basedOn w:val="a0"/>
    <w:link w:val="20"/>
    <w:semiHidden/>
    <w:qFormat/>
    <w:rPr>
      <w:rFonts w:ascii="仿宋_GB2312" w:eastAsia="仿宋_GB2312" w:hAnsi="Times New Roman" w:cs="Times New Roman"/>
      <w:sz w:val="28"/>
      <w:szCs w:val="20"/>
    </w:rPr>
  </w:style>
  <w:style w:type="character" w:customStyle="1" w:styleId="3Char0">
    <w:name w:val="正文文本缩进 3 Char"/>
    <w:basedOn w:val="a0"/>
    <w:link w:val="31"/>
    <w:semiHidden/>
    <w:qFormat/>
    <w:rPr>
      <w:rFonts w:ascii="Times New Roman" w:eastAsia="宋体" w:hAnsi="Times New Roman" w:cs="Times New Roman"/>
      <w:color w:val="0000FF"/>
      <w:szCs w:val="20"/>
    </w:rPr>
  </w:style>
  <w:style w:type="character" w:customStyle="1" w:styleId="Char0">
    <w:name w:val="文档结构图 Char"/>
    <w:basedOn w:val="a0"/>
    <w:link w:val="a6"/>
    <w:semiHidden/>
    <w:qFormat/>
    <w:rPr>
      <w:rFonts w:ascii="Times New Roman" w:eastAsia="宋体" w:hAnsi="Times New Roman" w:cs="Times New Roman"/>
      <w:szCs w:val="20"/>
      <w:shd w:val="clear" w:color="auto" w:fill="000080"/>
    </w:rPr>
  </w:style>
  <w:style w:type="character" w:customStyle="1" w:styleId="Char3">
    <w:name w:val="纯文本 Char"/>
    <w:basedOn w:val="a0"/>
    <w:link w:val="a8"/>
    <w:semiHidden/>
    <w:qFormat/>
    <w:rPr>
      <w:rFonts w:ascii="宋体" w:eastAsia="宋体" w:hAnsi="Courier New" w:cs="Times New Roman"/>
      <w:kern w:val="0"/>
      <w:szCs w:val="20"/>
    </w:rPr>
  </w:style>
  <w:style w:type="character" w:customStyle="1" w:styleId="Char">
    <w:name w:val="批注主题 Char"/>
    <w:basedOn w:val="Char9"/>
    <w:link w:val="a3"/>
    <w:semiHidden/>
    <w:qFormat/>
    <w:rPr>
      <w:rFonts w:ascii="Times New Roman" w:eastAsia="宋体" w:hAnsi="Times New Roman" w:cs="Times New Roman"/>
      <w:b/>
      <w:szCs w:val="20"/>
    </w:rPr>
  </w:style>
  <w:style w:type="character" w:customStyle="1" w:styleId="Char4">
    <w:name w:val="批注框文本 Char"/>
    <w:basedOn w:val="a0"/>
    <w:link w:val="a9"/>
    <w:semiHidden/>
    <w:qFormat/>
    <w:rPr>
      <w:rFonts w:ascii="Times New Roman" w:eastAsia="宋体" w:hAnsi="Times New Roman" w:cs="Times New Roman"/>
      <w:sz w:val="18"/>
      <w:szCs w:val="20"/>
    </w:rPr>
  </w:style>
  <w:style w:type="paragraph" w:customStyle="1" w:styleId="11">
    <w:name w:val="修订1"/>
    <w:semiHidden/>
    <w:qFormat/>
    <w:rPr>
      <w:rFonts w:ascii="Times New Roman" w:eastAsia="宋体" w:hAnsi="Times New Roman" w:cs="Times New Roman"/>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3">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a">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7"/>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rFonts w:ascii="Times New Roman" w:eastAsia="宋体" w:hAnsi="Times New Roman" w:cs="Times New Roman"/>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4">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eastAsia="宋体" w:hAnsi="Times New Roman" w:cs="Times New Roman"/>
      <w:color w:val="000000"/>
      <w:sz w:val="24"/>
    </w:rPr>
  </w:style>
  <w:style w:type="character" w:customStyle="1" w:styleId="Char10">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1">
    <w:name w:val="正文文本 Char1"/>
    <w:qFormat/>
    <w:rPr>
      <w:rFonts w:ascii="Times New Roman" w:eastAsia="宋体" w:hAnsi="Times New Roman" w:cs="Times New Roman" w:hint="default"/>
      <w:szCs w:val="20"/>
    </w:rPr>
  </w:style>
  <w:style w:type="character" w:customStyle="1" w:styleId="Char12">
    <w:name w:val="标题 Char1"/>
    <w:qFormat/>
    <w:rPr>
      <w:rFonts w:ascii="Cambria" w:eastAsia="宋体" w:hAnsi="Cambria" w:cs="Times New Roman" w:hint="default"/>
      <w:b/>
      <w:bCs/>
      <w:sz w:val="32"/>
      <w:szCs w:val="32"/>
    </w:rPr>
  </w:style>
  <w:style w:type="character" w:customStyle="1" w:styleId="Char20">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Char1">
    <w:name w:val="批注文字 Char1"/>
    <w:basedOn w:val="a0"/>
    <w:link w:val="a4"/>
    <w:uiPriority w:val="99"/>
    <w:qFormat/>
    <w:locked/>
    <w:rPr>
      <w:rFonts w:ascii="Times New Roman" w:eastAsia="宋体" w:hAnsi="Times New Roman" w:cs="Times New Roman"/>
      <w:szCs w:val="20"/>
    </w:rPr>
  </w:style>
  <w:style w:type="character" w:customStyle="1" w:styleId="Char13">
    <w:name w:val="批注主题 Char1"/>
    <w:basedOn w:val="Char1"/>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4">
    <w:name w:val="纯文本 Char1"/>
    <w:basedOn w:val="a0"/>
    <w:uiPriority w:val="99"/>
    <w:semiHidden/>
    <w:qFormat/>
    <w:rPr>
      <w:rFonts w:ascii="宋体" w:eastAsia="宋体" w:hAnsi="Courier New" w:cs="Courier New" w:hint="eastAsia"/>
      <w:szCs w:val="21"/>
    </w:rPr>
  </w:style>
  <w:style w:type="character" w:customStyle="1" w:styleId="Char21">
    <w:name w:val="标题 Char2"/>
    <w:basedOn w:val="a0"/>
    <w:uiPriority w:val="10"/>
    <w:qFormat/>
    <w:rPr>
      <w:rFonts w:ascii="Cambria" w:eastAsia="宋体" w:hAnsi="Cambria" w:cs="Times New Roman" w:hint="default"/>
      <w:b/>
      <w:bCs/>
      <w:sz w:val="32"/>
      <w:szCs w:val="32"/>
    </w:rPr>
  </w:style>
  <w:style w:type="character" w:customStyle="1" w:styleId="Char15">
    <w:name w:val="文档结构图 Char1"/>
    <w:basedOn w:val="a0"/>
    <w:uiPriority w:val="99"/>
    <w:semiHidden/>
    <w:qFormat/>
    <w:rPr>
      <w:rFonts w:ascii="宋体" w:eastAsia="宋体" w:hAnsi="Times New Roman" w:cs="Times New Roman" w:hint="eastAsia"/>
      <w:sz w:val="18"/>
      <w:szCs w:val="18"/>
    </w:rPr>
  </w:style>
  <w:style w:type="character" w:customStyle="1" w:styleId="Char16">
    <w:name w:val="批注框文本 Char1"/>
    <w:basedOn w:val="a0"/>
    <w:uiPriority w:val="99"/>
    <w:semiHidden/>
    <w:qFormat/>
    <w:rPr>
      <w:rFonts w:ascii="Times New Roman" w:eastAsia="宋体" w:hAnsi="Times New Roman" w:cs="Times New Roman" w:hint="default"/>
      <w:sz w:val="18"/>
      <w:szCs w:val="18"/>
    </w:rPr>
  </w:style>
  <w:style w:type="character" w:customStyle="1" w:styleId="Char17">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5">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footnote text" w:uiPriority="0" w:qFormat="1"/>
    <w:lsdException w:name="annotation text" w:semiHidden="0" w:qFormat="1"/>
    <w:lsdException w:name="header" w:semiHidden="0" w:qFormat="1"/>
    <w:lsdException w:name="footer" w:semiHidden="0" w:qFormat="1"/>
    <w:lsdException w:name="caption" w:uiPriority="35" w:qFormat="1"/>
    <w:lsdException w:name="footnote reference" w:uiPriority="0" w:qFormat="1"/>
    <w:lsdException w:name="annotation reference" w:uiPriority="0"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qFormat="1"/>
    <w:lsdException w:name="Body Text Indent 3" w:uiPriority="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Document Map" w:uiPriority="0" w:qFormat="1"/>
    <w:lsdException w:name="Plain Text" w:uiPriority="0" w:qFormat="1"/>
    <w:lsdException w:name="annotation subject" w:uiPriority="0" w:qFormat="1"/>
    <w:lsdException w:name="Balloon Text" w:uiPriority="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Char"/>
    <w:semiHidden/>
    <w:unhideWhenUsed/>
    <w:qFormat/>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Char"/>
    <w:semiHidden/>
    <w:unhideWhenUsed/>
    <w:qFormat/>
    <w:pPr>
      <w:keepNext/>
      <w:keepLines/>
      <w:spacing w:before="260" w:after="260" w:line="412" w:lineRule="auto"/>
      <w:outlineLvl w:val="2"/>
    </w:pPr>
    <w:rPr>
      <w:rFonts w:ascii="Times New Roman" w:eastAsia="宋体" w:hAnsi="Times New Roman" w:cs="Times New Roman"/>
      <w:b/>
      <w:kern w:val="0"/>
      <w:sz w:val="32"/>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qFormat/>
    <w:rPr>
      <w:b/>
    </w:rPr>
  </w:style>
  <w:style w:type="paragraph" w:styleId="a4">
    <w:name w:val="annotation text"/>
    <w:basedOn w:val="a"/>
    <w:link w:val="Char1"/>
    <w:uiPriority w:val="99"/>
    <w:unhideWhenUsed/>
    <w:qFormat/>
    <w:pPr>
      <w:jc w:val="left"/>
    </w:pPr>
    <w:rPr>
      <w:rFonts w:ascii="Times New Roman" w:eastAsia="宋体" w:hAnsi="Times New Roman" w:cs="Times New Roman"/>
      <w:szCs w:val="20"/>
    </w:rPr>
  </w:style>
  <w:style w:type="paragraph" w:styleId="a5">
    <w:name w:val="Normal Indent"/>
    <w:basedOn w:val="a"/>
    <w:semiHidden/>
    <w:unhideWhenUsed/>
    <w:qFormat/>
    <w:pPr>
      <w:ind w:firstLineChars="200" w:firstLine="420"/>
    </w:pPr>
    <w:rPr>
      <w:rFonts w:ascii="Times New Roman" w:eastAsia="宋体" w:hAnsi="Times New Roman" w:cs="Times New Roman"/>
      <w:szCs w:val="20"/>
    </w:rPr>
  </w:style>
  <w:style w:type="paragraph" w:styleId="a6">
    <w:name w:val="Document Map"/>
    <w:basedOn w:val="a"/>
    <w:link w:val="Char0"/>
    <w:semiHidden/>
    <w:unhideWhenUsed/>
    <w:qFormat/>
    <w:pPr>
      <w:shd w:val="clear" w:color="auto" w:fill="000080"/>
    </w:pPr>
    <w:rPr>
      <w:rFonts w:ascii="Times New Roman" w:eastAsia="宋体" w:hAnsi="Times New Roman" w:cs="Times New Roman"/>
      <w:szCs w:val="20"/>
    </w:rPr>
  </w:style>
  <w:style w:type="paragraph" w:styleId="a7">
    <w:name w:val="Body Text"/>
    <w:basedOn w:val="a"/>
    <w:link w:val="Char2"/>
    <w:semiHidden/>
    <w:unhideWhenUsed/>
    <w:pPr>
      <w:autoSpaceDE w:val="0"/>
      <w:autoSpaceDN w:val="0"/>
      <w:adjustRightInd w:val="0"/>
      <w:spacing w:line="360" w:lineRule="auto"/>
      <w:jc w:val="left"/>
    </w:pPr>
    <w:rPr>
      <w:rFonts w:ascii="宋体" w:eastAsia="宋体" w:hAnsi="Calibri" w:cs="Times New Roman"/>
      <w:kern w:val="0"/>
    </w:rPr>
  </w:style>
  <w:style w:type="paragraph" w:styleId="30">
    <w:name w:val="toc 3"/>
    <w:basedOn w:val="a"/>
    <w:next w:val="a"/>
    <w:semiHidden/>
    <w:unhideWhenUsed/>
    <w:pPr>
      <w:ind w:leftChars="400" w:left="840"/>
    </w:pPr>
    <w:rPr>
      <w:rFonts w:ascii="Times New Roman" w:eastAsia="宋体" w:hAnsi="Times New Roman" w:cs="Times New Roman"/>
      <w:szCs w:val="20"/>
    </w:rPr>
  </w:style>
  <w:style w:type="paragraph" w:styleId="a8">
    <w:name w:val="Plain Text"/>
    <w:basedOn w:val="a"/>
    <w:link w:val="Char3"/>
    <w:semiHidden/>
    <w:unhideWhenUsed/>
    <w:qFormat/>
    <w:pPr>
      <w:adjustRightInd w:val="0"/>
      <w:spacing w:line="312" w:lineRule="atLeast"/>
    </w:pPr>
    <w:rPr>
      <w:rFonts w:ascii="宋体" w:eastAsia="宋体" w:hAnsi="Courier New" w:cs="Times New Roman"/>
      <w:kern w:val="0"/>
      <w:szCs w:val="20"/>
    </w:rPr>
  </w:style>
  <w:style w:type="paragraph" w:styleId="20">
    <w:name w:val="Body Text Indent 2"/>
    <w:basedOn w:val="a"/>
    <w:link w:val="2Char0"/>
    <w:semiHidden/>
    <w:unhideWhenUsed/>
    <w:qFormat/>
    <w:pPr>
      <w:spacing w:line="360" w:lineRule="auto"/>
      <w:ind w:firstLine="425"/>
    </w:pPr>
    <w:rPr>
      <w:rFonts w:ascii="仿宋_GB2312" w:eastAsia="仿宋_GB2312" w:hAnsi="Times New Roman" w:cs="Times New Roman"/>
      <w:sz w:val="28"/>
      <w:szCs w:val="20"/>
    </w:rPr>
  </w:style>
  <w:style w:type="paragraph" w:styleId="a9">
    <w:name w:val="Balloon Text"/>
    <w:basedOn w:val="a"/>
    <w:link w:val="Char4"/>
    <w:semiHidden/>
    <w:unhideWhenUsed/>
    <w:qFormat/>
    <w:rPr>
      <w:rFonts w:ascii="Times New Roman" w:eastAsia="宋体" w:hAnsi="Times New Roman" w:cs="Times New Roman"/>
      <w:sz w:val="18"/>
      <w:szCs w:val="20"/>
    </w:rPr>
  </w:style>
  <w:style w:type="paragraph" w:styleId="aa">
    <w:name w:val="footer"/>
    <w:basedOn w:val="a"/>
    <w:link w:val="Char5"/>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b">
    <w:name w:val="header"/>
    <w:basedOn w:val="a"/>
    <w:link w:val="Char6"/>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0">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c">
    <w:name w:val="footnote text"/>
    <w:basedOn w:val="a"/>
    <w:link w:val="Char7"/>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Char0"/>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d">
    <w:name w:val="Title"/>
    <w:basedOn w:val="a"/>
    <w:next w:val="a"/>
    <w:link w:val="Char8"/>
    <w:qFormat/>
    <w:pPr>
      <w:spacing w:before="240" w:after="60"/>
      <w:jc w:val="center"/>
      <w:outlineLvl w:val="0"/>
    </w:pPr>
    <w:rPr>
      <w:rFonts w:ascii="Cambria" w:eastAsia="宋体" w:hAnsi="Cambria" w:cs="Times New Roman"/>
      <w:b/>
      <w:sz w:val="32"/>
    </w:rPr>
  </w:style>
  <w:style w:type="character" w:styleId="ae">
    <w:name w:val="FollowedHyperlink"/>
    <w:basedOn w:val="a0"/>
    <w:uiPriority w:val="99"/>
    <w:semiHidden/>
    <w:unhideWhenUsed/>
    <w:qFormat/>
    <w:rPr>
      <w:color w:val="800080" w:themeColor="followedHyperlink"/>
      <w:u w:val="single"/>
    </w:rPr>
  </w:style>
  <w:style w:type="character" w:styleId="af">
    <w:name w:val="Hyperlink"/>
    <w:uiPriority w:val="99"/>
    <w:unhideWhenUsed/>
    <w:qFormat/>
    <w:rPr>
      <w:color w:val="0000FF"/>
      <w:u w:val="single"/>
    </w:rPr>
  </w:style>
  <w:style w:type="character" w:styleId="af0">
    <w:name w:val="annotation reference"/>
    <w:semiHidden/>
    <w:unhideWhenUsed/>
    <w:qFormat/>
    <w:rPr>
      <w:sz w:val="21"/>
    </w:rPr>
  </w:style>
  <w:style w:type="character" w:styleId="af1">
    <w:name w:val="footnote reference"/>
    <w:semiHidden/>
    <w:unhideWhenUsed/>
    <w:qFormat/>
    <w:rPr>
      <w:vertAlign w:val="superscript"/>
    </w:rPr>
  </w:style>
  <w:style w:type="table" w:styleId="af2">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rPr>
      <w:rFonts w:ascii="宋体" w:eastAsia="宋体" w:hAnsi="Times New Roman" w:cs="Times New Roman"/>
      <w:b/>
      <w:color w:val="000000"/>
      <w:kern w:val="0"/>
      <w:sz w:val="24"/>
      <w:szCs w:val="20"/>
      <w:lang w:val="zh-CN" w:eastAsia="zh-CN"/>
    </w:rPr>
  </w:style>
  <w:style w:type="character" w:customStyle="1" w:styleId="2Char">
    <w:name w:val="标题 2 Char"/>
    <w:basedOn w:val="a0"/>
    <w:link w:val="2"/>
    <w:semiHidden/>
    <w:qFormat/>
    <w:rPr>
      <w:rFonts w:ascii="Arial" w:eastAsia="黑体" w:hAnsi="Arial" w:cs="Times New Roman"/>
      <w:b/>
      <w:sz w:val="32"/>
      <w:szCs w:val="20"/>
      <w:lang w:val="zh-CN" w:eastAsia="zh-CN"/>
    </w:rPr>
  </w:style>
  <w:style w:type="character" w:customStyle="1" w:styleId="3Char">
    <w:name w:val="标题 3 Char"/>
    <w:basedOn w:val="a0"/>
    <w:link w:val="3"/>
    <w:semiHidden/>
    <w:qFormat/>
    <w:rPr>
      <w:rFonts w:ascii="Times New Roman" w:eastAsia="宋体" w:hAnsi="Times New Roman" w:cs="Times New Roman"/>
      <w:b/>
      <w:kern w:val="0"/>
      <w:sz w:val="32"/>
      <w:szCs w:val="20"/>
      <w:lang w:val="zh-CN" w:eastAsia="zh-CN"/>
    </w:rPr>
  </w:style>
  <w:style w:type="character" w:customStyle="1" w:styleId="Char7">
    <w:name w:val="脚注文本 Char"/>
    <w:basedOn w:val="a0"/>
    <w:link w:val="ac"/>
    <w:semiHidden/>
    <w:qFormat/>
    <w:rPr>
      <w:rFonts w:ascii="Times New Roman" w:eastAsia="宋体" w:hAnsi="Times New Roman" w:cs="Times New Roman"/>
      <w:sz w:val="18"/>
      <w:szCs w:val="20"/>
    </w:rPr>
  </w:style>
  <w:style w:type="character" w:customStyle="1" w:styleId="Char9">
    <w:name w:val="批注文字 Char"/>
    <w:basedOn w:val="a0"/>
    <w:semiHidden/>
    <w:qFormat/>
  </w:style>
  <w:style w:type="character" w:customStyle="1" w:styleId="Char6">
    <w:name w:val="页眉 Char"/>
    <w:basedOn w:val="a0"/>
    <w:link w:val="ab"/>
    <w:uiPriority w:val="99"/>
    <w:qFormat/>
    <w:rPr>
      <w:rFonts w:ascii="Times New Roman" w:eastAsia="宋体" w:hAnsi="Times New Roman" w:cs="Times New Roman"/>
      <w:sz w:val="18"/>
      <w:szCs w:val="18"/>
    </w:rPr>
  </w:style>
  <w:style w:type="character" w:customStyle="1" w:styleId="Char5">
    <w:name w:val="页脚 Char"/>
    <w:basedOn w:val="a0"/>
    <w:link w:val="aa"/>
    <w:uiPriority w:val="99"/>
    <w:qFormat/>
    <w:rPr>
      <w:rFonts w:ascii="Times New Roman" w:eastAsia="宋体" w:hAnsi="Times New Roman" w:cs="Times New Roman"/>
      <w:sz w:val="18"/>
      <w:szCs w:val="18"/>
    </w:rPr>
  </w:style>
  <w:style w:type="character" w:customStyle="1" w:styleId="Char8">
    <w:name w:val="标题 Char"/>
    <w:basedOn w:val="a0"/>
    <w:link w:val="ad"/>
    <w:qFormat/>
    <w:rPr>
      <w:rFonts w:ascii="Cambria" w:eastAsia="宋体" w:hAnsi="Cambria" w:cs="Times New Roman"/>
      <w:b/>
      <w:sz w:val="32"/>
    </w:rPr>
  </w:style>
  <w:style w:type="character" w:customStyle="1" w:styleId="Char2">
    <w:name w:val="正文文本 Char"/>
    <w:basedOn w:val="a0"/>
    <w:link w:val="a7"/>
    <w:semiHidden/>
    <w:qFormat/>
    <w:rPr>
      <w:rFonts w:ascii="宋体" w:eastAsia="宋体" w:hAnsi="Calibri" w:cs="Times New Roman"/>
      <w:kern w:val="0"/>
    </w:rPr>
  </w:style>
  <w:style w:type="character" w:customStyle="1" w:styleId="2Char0">
    <w:name w:val="正文文本缩进 2 Char"/>
    <w:basedOn w:val="a0"/>
    <w:link w:val="20"/>
    <w:semiHidden/>
    <w:qFormat/>
    <w:rPr>
      <w:rFonts w:ascii="仿宋_GB2312" w:eastAsia="仿宋_GB2312" w:hAnsi="Times New Roman" w:cs="Times New Roman"/>
      <w:sz w:val="28"/>
      <w:szCs w:val="20"/>
    </w:rPr>
  </w:style>
  <w:style w:type="character" w:customStyle="1" w:styleId="3Char0">
    <w:name w:val="正文文本缩进 3 Char"/>
    <w:basedOn w:val="a0"/>
    <w:link w:val="31"/>
    <w:semiHidden/>
    <w:qFormat/>
    <w:rPr>
      <w:rFonts w:ascii="Times New Roman" w:eastAsia="宋体" w:hAnsi="Times New Roman" w:cs="Times New Roman"/>
      <w:color w:val="0000FF"/>
      <w:szCs w:val="20"/>
    </w:rPr>
  </w:style>
  <w:style w:type="character" w:customStyle="1" w:styleId="Char0">
    <w:name w:val="文档结构图 Char"/>
    <w:basedOn w:val="a0"/>
    <w:link w:val="a6"/>
    <w:semiHidden/>
    <w:qFormat/>
    <w:rPr>
      <w:rFonts w:ascii="Times New Roman" w:eastAsia="宋体" w:hAnsi="Times New Roman" w:cs="Times New Roman"/>
      <w:szCs w:val="20"/>
      <w:shd w:val="clear" w:color="auto" w:fill="000080"/>
    </w:rPr>
  </w:style>
  <w:style w:type="character" w:customStyle="1" w:styleId="Char3">
    <w:name w:val="纯文本 Char"/>
    <w:basedOn w:val="a0"/>
    <w:link w:val="a8"/>
    <w:semiHidden/>
    <w:qFormat/>
    <w:rPr>
      <w:rFonts w:ascii="宋体" w:eastAsia="宋体" w:hAnsi="Courier New" w:cs="Times New Roman"/>
      <w:kern w:val="0"/>
      <w:szCs w:val="20"/>
    </w:rPr>
  </w:style>
  <w:style w:type="character" w:customStyle="1" w:styleId="Char">
    <w:name w:val="批注主题 Char"/>
    <w:basedOn w:val="Char9"/>
    <w:link w:val="a3"/>
    <w:semiHidden/>
    <w:qFormat/>
    <w:rPr>
      <w:rFonts w:ascii="Times New Roman" w:eastAsia="宋体" w:hAnsi="Times New Roman" w:cs="Times New Roman"/>
      <w:b/>
      <w:szCs w:val="20"/>
    </w:rPr>
  </w:style>
  <w:style w:type="character" w:customStyle="1" w:styleId="Char4">
    <w:name w:val="批注框文本 Char"/>
    <w:basedOn w:val="a0"/>
    <w:link w:val="a9"/>
    <w:semiHidden/>
    <w:qFormat/>
    <w:rPr>
      <w:rFonts w:ascii="Times New Roman" w:eastAsia="宋体" w:hAnsi="Times New Roman" w:cs="Times New Roman"/>
      <w:sz w:val="18"/>
      <w:szCs w:val="20"/>
    </w:rPr>
  </w:style>
  <w:style w:type="paragraph" w:customStyle="1" w:styleId="11">
    <w:name w:val="修订1"/>
    <w:semiHidden/>
    <w:qFormat/>
    <w:rPr>
      <w:rFonts w:ascii="Times New Roman" w:eastAsia="宋体" w:hAnsi="Times New Roman" w:cs="Times New Roman"/>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3">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a">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7"/>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rFonts w:ascii="Times New Roman" w:eastAsia="宋体" w:hAnsi="Times New Roman" w:cs="Times New Roman"/>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4">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eastAsia="宋体" w:hAnsi="Times New Roman" w:cs="Times New Roman"/>
      <w:color w:val="000000"/>
      <w:sz w:val="24"/>
    </w:rPr>
  </w:style>
  <w:style w:type="character" w:customStyle="1" w:styleId="Char10">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1">
    <w:name w:val="正文文本 Char1"/>
    <w:qFormat/>
    <w:rPr>
      <w:rFonts w:ascii="Times New Roman" w:eastAsia="宋体" w:hAnsi="Times New Roman" w:cs="Times New Roman" w:hint="default"/>
      <w:szCs w:val="20"/>
    </w:rPr>
  </w:style>
  <w:style w:type="character" w:customStyle="1" w:styleId="Char12">
    <w:name w:val="标题 Char1"/>
    <w:qFormat/>
    <w:rPr>
      <w:rFonts w:ascii="Cambria" w:eastAsia="宋体" w:hAnsi="Cambria" w:cs="Times New Roman" w:hint="default"/>
      <w:b/>
      <w:bCs/>
      <w:sz w:val="32"/>
      <w:szCs w:val="32"/>
    </w:rPr>
  </w:style>
  <w:style w:type="character" w:customStyle="1" w:styleId="Char20">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Char1">
    <w:name w:val="批注文字 Char1"/>
    <w:basedOn w:val="a0"/>
    <w:link w:val="a4"/>
    <w:uiPriority w:val="99"/>
    <w:qFormat/>
    <w:locked/>
    <w:rPr>
      <w:rFonts w:ascii="Times New Roman" w:eastAsia="宋体" w:hAnsi="Times New Roman" w:cs="Times New Roman"/>
      <w:szCs w:val="20"/>
    </w:rPr>
  </w:style>
  <w:style w:type="character" w:customStyle="1" w:styleId="Char13">
    <w:name w:val="批注主题 Char1"/>
    <w:basedOn w:val="Char1"/>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4">
    <w:name w:val="纯文本 Char1"/>
    <w:basedOn w:val="a0"/>
    <w:uiPriority w:val="99"/>
    <w:semiHidden/>
    <w:qFormat/>
    <w:rPr>
      <w:rFonts w:ascii="宋体" w:eastAsia="宋体" w:hAnsi="Courier New" w:cs="Courier New" w:hint="eastAsia"/>
      <w:szCs w:val="21"/>
    </w:rPr>
  </w:style>
  <w:style w:type="character" w:customStyle="1" w:styleId="Char21">
    <w:name w:val="标题 Char2"/>
    <w:basedOn w:val="a0"/>
    <w:uiPriority w:val="10"/>
    <w:qFormat/>
    <w:rPr>
      <w:rFonts w:ascii="Cambria" w:eastAsia="宋体" w:hAnsi="Cambria" w:cs="Times New Roman" w:hint="default"/>
      <w:b/>
      <w:bCs/>
      <w:sz w:val="32"/>
      <w:szCs w:val="32"/>
    </w:rPr>
  </w:style>
  <w:style w:type="character" w:customStyle="1" w:styleId="Char15">
    <w:name w:val="文档结构图 Char1"/>
    <w:basedOn w:val="a0"/>
    <w:uiPriority w:val="99"/>
    <w:semiHidden/>
    <w:qFormat/>
    <w:rPr>
      <w:rFonts w:ascii="宋体" w:eastAsia="宋体" w:hAnsi="Times New Roman" w:cs="Times New Roman" w:hint="eastAsia"/>
      <w:sz w:val="18"/>
      <w:szCs w:val="18"/>
    </w:rPr>
  </w:style>
  <w:style w:type="character" w:customStyle="1" w:styleId="Char16">
    <w:name w:val="批注框文本 Char1"/>
    <w:basedOn w:val="a0"/>
    <w:uiPriority w:val="99"/>
    <w:semiHidden/>
    <w:qFormat/>
    <w:rPr>
      <w:rFonts w:ascii="Times New Roman" w:eastAsia="宋体" w:hAnsi="Times New Roman" w:cs="Times New Roman" w:hint="default"/>
      <w:sz w:val="18"/>
      <w:szCs w:val="18"/>
    </w:rPr>
  </w:style>
  <w:style w:type="character" w:customStyle="1" w:styleId="Char17">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5">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2819072">
      <w:bodyDiv w:val="1"/>
      <w:marLeft w:val="0"/>
      <w:marRight w:val="0"/>
      <w:marTop w:val="0"/>
      <w:marBottom w:val="0"/>
      <w:divBdr>
        <w:top w:val="none" w:sz="0" w:space="0" w:color="auto"/>
        <w:left w:val="none" w:sz="0" w:space="0" w:color="auto"/>
        <w:bottom w:val="none" w:sz="0" w:space="0" w:color="auto"/>
        <w:right w:val="none" w:sz="0" w:space="0" w:color="auto"/>
      </w:divBdr>
    </w:div>
    <w:div w:id="19103099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zlfund.cn" TargetMode="External"/><Relationship Id="rId18"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www.jianfortune.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image" Target="media/image1.jpeg"/><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jjmmw.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B02987-64DB-4BE9-B5B4-4E3FFFF77C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117</Pages>
  <Words>11914</Words>
  <Characters>67911</Characters>
  <Application>Microsoft Office Word</Application>
  <DocSecurity>0</DocSecurity>
  <Lines>565</Lines>
  <Paragraphs>159</Paragraphs>
  <ScaleCrop>false</ScaleCrop>
  <Company/>
  <LinksUpToDate>false</LinksUpToDate>
  <CharactersWithSpaces>79666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liuzf</cp:lastModifiedBy>
  <cp:revision>54</cp:revision>
  <cp:lastPrinted>2019-02-21T06:45:00Z</cp:lastPrinted>
  <dcterms:created xsi:type="dcterms:W3CDTF">2018-09-04T06:10:00Z</dcterms:created>
  <dcterms:modified xsi:type="dcterms:W3CDTF">2019-03-11T07:17:00Z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