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36DF" w:rsidRPr="00533A47" w:rsidRDefault="007A36DF">
      <w:pPr>
        <w:tabs>
          <w:tab w:val="left" w:pos="6660"/>
        </w:tabs>
        <w:spacing w:line="360" w:lineRule="auto"/>
        <w:jc w:val="center"/>
        <w:rPr>
          <w:rFonts w:asciiTheme="minorEastAsia" w:hAnsiTheme="minorEastAsia" w:cs="Times New Roman"/>
          <w:bCs/>
          <w:sz w:val="24"/>
          <w:szCs w:val="24"/>
        </w:rPr>
      </w:pPr>
    </w:p>
    <w:p w:rsidR="007A36DF" w:rsidRPr="00533A47" w:rsidRDefault="007A36DF">
      <w:pPr>
        <w:spacing w:line="360" w:lineRule="auto"/>
        <w:jc w:val="center"/>
        <w:rPr>
          <w:rFonts w:asciiTheme="minorEastAsia" w:hAnsiTheme="minorEastAsia" w:cs="Times New Roman"/>
          <w:b/>
          <w:sz w:val="24"/>
          <w:szCs w:val="24"/>
        </w:rPr>
      </w:pPr>
    </w:p>
    <w:p w:rsidR="007A36DF" w:rsidRPr="00533A47" w:rsidRDefault="007A36DF">
      <w:pPr>
        <w:adjustRightInd w:val="0"/>
        <w:snapToGrid w:val="0"/>
        <w:spacing w:line="360" w:lineRule="auto"/>
        <w:jc w:val="center"/>
        <w:rPr>
          <w:rFonts w:ascii="Arial" w:eastAsia="宋体" w:hAnsi="宋体" w:cs="Arial"/>
          <w:b/>
          <w:sz w:val="24"/>
          <w:szCs w:val="24"/>
        </w:rPr>
      </w:pPr>
      <w:bookmarkStart w:id="0" w:name="_Toc139991729"/>
      <w:bookmarkStart w:id="1" w:name="_Toc123701386"/>
      <w:bookmarkStart w:id="2" w:name="_Toc123112227"/>
      <w:bookmarkStart w:id="3" w:name="_Toc123112266"/>
    </w:p>
    <w:p w:rsidR="007A36DF" w:rsidRPr="00533A47" w:rsidRDefault="003E13F7">
      <w:pPr>
        <w:adjustRightInd w:val="0"/>
        <w:snapToGrid w:val="0"/>
        <w:spacing w:line="360" w:lineRule="auto"/>
        <w:jc w:val="center"/>
        <w:rPr>
          <w:rFonts w:ascii="Arial" w:eastAsia="宋体" w:hAnsi="宋体" w:cs="Arial"/>
          <w:b/>
          <w:sz w:val="24"/>
          <w:szCs w:val="24"/>
        </w:rPr>
      </w:pPr>
      <w:r w:rsidRPr="00533A47">
        <w:rPr>
          <w:rFonts w:ascii="Arial" w:eastAsia="宋体" w:hAnsi="宋体" w:cs="Arial" w:hint="eastAsia"/>
          <w:b/>
          <w:sz w:val="24"/>
          <w:szCs w:val="24"/>
        </w:rPr>
        <w:t>富荣福鑫灵活配置混合型证券投资基金</w:t>
      </w:r>
    </w:p>
    <w:p w:rsidR="007A36DF" w:rsidRPr="00533A47" w:rsidRDefault="003E13F7">
      <w:pPr>
        <w:adjustRightInd w:val="0"/>
        <w:snapToGrid w:val="0"/>
        <w:spacing w:line="360" w:lineRule="auto"/>
        <w:jc w:val="center"/>
        <w:rPr>
          <w:rFonts w:ascii="Arial" w:eastAsia="宋体" w:hAnsi="宋体" w:cs="Arial"/>
          <w:b/>
          <w:sz w:val="24"/>
          <w:szCs w:val="24"/>
        </w:rPr>
      </w:pPr>
      <w:r w:rsidRPr="00533A47">
        <w:rPr>
          <w:rFonts w:ascii="Arial" w:eastAsia="宋体" w:hAnsi="宋体" w:cs="Arial" w:hint="eastAsia"/>
          <w:b/>
          <w:sz w:val="24"/>
          <w:szCs w:val="24"/>
        </w:rPr>
        <w:t>更新</w:t>
      </w:r>
      <w:r w:rsidRPr="00533A47">
        <w:rPr>
          <w:rFonts w:ascii="Arial" w:eastAsia="宋体" w:hAnsi="宋体" w:cs="Arial"/>
          <w:b/>
          <w:sz w:val="24"/>
          <w:szCs w:val="24"/>
        </w:rPr>
        <w:t>的</w:t>
      </w:r>
      <w:r w:rsidRPr="00533A47">
        <w:rPr>
          <w:rFonts w:ascii="Arial" w:eastAsia="宋体" w:hAnsi="宋体" w:cs="Arial" w:hint="eastAsia"/>
          <w:b/>
          <w:sz w:val="24"/>
          <w:szCs w:val="24"/>
        </w:rPr>
        <w:t>招募说明书摘要</w:t>
      </w:r>
    </w:p>
    <w:p w:rsidR="007A36DF" w:rsidRPr="00533A47" w:rsidRDefault="003E13F7">
      <w:pPr>
        <w:adjustRightInd w:val="0"/>
        <w:snapToGrid w:val="0"/>
        <w:spacing w:line="360" w:lineRule="auto"/>
        <w:jc w:val="center"/>
        <w:rPr>
          <w:rFonts w:ascii="Arial" w:eastAsia="宋体" w:hAnsi="宋体" w:cs="Arial"/>
          <w:b/>
          <w:sz w:val="24"/>
          <w:szCs w:val="24"/>
        </w:rPr>
      </w:pPr>
      <w:r w:rsidRPr="00533A47">
        <w:rPr>
          <w:rFonts w:ascii="Arial" w:eastAsia="宋体" w:hAnsi="宋体" w:cs="Arial" w:hint="eastAsia"/>
          <w:b/>
          <w:sz w:val="24"/>
          <w:szCs w:val="24"/>
        </w:rPr>
        <w:t>（</w:t>
      </w:r>
      <w:r w:rsidR="008C452C" w:rsidRPr="00533A47">
        <w:rPr>
          <w:rFonts w:ascii="Arial" w:eastAsia="宋体" w:hAnsi="宋体" w:cs="Arial" w:hint="eastAsia"/>
          <w:b/>
          <w:sz w:val="24"/>
          <w:szCs w:val="24"/>
        </w:rPr>
        <w:t>2019</w:t>
      </w:r>
      <w:r w:rsidRPr="00533A47">
        <w:rPr>
          <w:rFonts w:ascii="Arial" w:eastAsia="宋体" w:hAnsi="宋体" w:cs="Arial" w:hint="eastAsia"/>
          <w:b/>
          <w:sz w:val="24"/>
          <w:szCs w:val="24"/>
        </w:rPr>
        <w:t>年第</w:t>
      </w:r>
      <w:r w:rsidRPr="00533A47">
        <w:rPr>
          <w:rFonts w:ascii="Arial" w:eastAsia="宋体" w:hAnsi="宋体" w:cs="Arial" w:hint="eastAsia"/>
          <w:b/>
          <w:sz w:val="24"/>
          <w:szCs w:val="24"/>
        </w:rPr>
        <w:t>1</w:t>
      </w:r>
      <w:r w:rsidRPr="00533A47">
        <w:rPr>
          <w:rFonts w:ascii="Arial" w:eastAsia="宋体" w:hAnsi="宋体" w:cs="Arial" w:hint="eastAsia"/>
          <w:b/>
          <w:sz w:val="24"/>
          <w:szCs w:val="24"/>
        </w:rPr>
        <w:t>号）</w:t>
      </w:r>
    </w:p>
    <w:p w:rsidR="007A36DF" w:rsidRPr="00533A47" w:rsidRDefault="007A36DF">
      <w:pPr>
        <w:adjustRightInd w:val="0"/>
        <w:snapToGrid w:val="0"/>
        <w:spacing w:line="360" w:lineRule="auto"/>
        <w:jc w:val="center"/>
        <w:rPr>
          <w:rFonts w:ascii="Arial" w:eastAsia="宋体" w:hAnsi="宋体" w:cs="Arial"/>
          <w:b/>
          <w:sz w:val="24"/>
          <w:szCs w:val="24"/>
        </w:rPr>
      </w:pPr>
    </w:p>
    <w:p w:rsidR="007A36DF" w:rsidRPr="00533A47" w:rsidRDefault="007A36DF">
      <w:pPr>
        <w:adjustRightInd w:val="0"/>
        <w:snapToGrid w:val="0"/>
        <w:spacing w:line="360" w:lineRule="auto"/>
        <w:jc w:val="center"/>
        <w:rPr>
          <w:rFonts w:ascii="Arial" w:eastAsia="宋体" w:hAnsi="宋体" w:cs="Arial"/>
          <w:b/>
          <w:sz w:val="24"/>
          <w:szCs w:val="24"/>
        </w:rPr>
      </w:pPr>
    </w:p>
    <w:p w:rsidR="007A36DF" w:rsidRPr="00533A47" w:rsidRDefault="007A36DF">
      <w:pPr>
        <w:adjustRightInd w:val="0"/>
        <w:snapToGrid w:val="0"/>
        <w:spacing w:line="360" w:lineRule="auto"/>
        <w:jc w:val="center"/>
        <w:rPr>
          <w:rFonts w:ascii="Arial" w:eastAsia="宋体" w:hAnsi="宋体" w:cs="Arial"/>
          <w:b/>
          <w:sz w:val="24"/>
          <w:szCs w:val="24"/>
        </w:rPr>
      </w:pPr>
    </w:p>
    <w:p w:rsidR="007A36DF" w:rsidRPr="00533A47" w:rsidRDefault="007A36DF">
      <w:pPr>
        <w:adjustRightInd w:val="0"/>
        <w:snapToGrid w:val="0"/>
        <w:spacing w:line="360" w:lineRule="auto"/>
        <w:jc w:val="center"/>
        <w:rPr>
          <w:rFonts w:ascii="Arial" w:eastAsia="宋体" w:hAnsi="宋体" w:cs="Arial"/>
          <w:b/>
          <w:sz w:val="24"/>
          <w:szCs w:val="24"/>
        </w:rPr>
      </w:pPr>
    </w:p>
    <w:p w:rsidR="007A36DF" w:rsidRPr="00533A47" w:rsidRDefault="007A36DF">
      <w:pPr>
        <w:adjustRightInd w:val="0"/>
        <w:snapToGrid w:val="0"/>
        <w:spacing w:line="360" w:lineRule="auto"/>
        <w:jc w:val="center"/>
        <w:rPr>
          <w:rFonts w:ascii="Arial" w:eastAsia="宋体" w:hAnsi="宋体" w:cs="Arial"/>
          <w:b/>
          <w:sz w:val="24"/>
          <w:szCs w:val="24"/>
        </w:rPr>
      </w:pPr>
    </w:p>
    <w:p w:rsidR="007A36DF" w:rsidRPr="00533A47" w:rsidRDefault="007A36DF">
      <w:pPr>
        <w:adjustRightInd w:val="0"/>
        <w:snapToGrid w:val="0"/>
        <w:spacing w:line="360" w:lineRule="auto"/>
        <w:jc w:val="center"/>
        <w:rPr>
          <w:rFonts w:ascii="Arial" w:eastAsia="宋体" w:hAnsi="宋体" w:cs="Arial"/>
          <w:b/>
          <w:sz w:val="24"/>
          <w:szCs w:val="24"/>
        </w:rPr>
      </w:pPr>
    </w:p>
    <w:p w:rsidR="007A36DF" w:rsidRPr="00533A47" w:rsidRDefault="003E13F7" w:rsidP="00217F96">
      <w:pPr>
        <w:adjustRightInd w:val="0"/>
        <w:snapToGrid w:val="0"/>
        <w:spacing w:line="360" w:lineRule="auto"/>
        <w:jc w:val="center"/>
        <w:rPr>
          <w:rFonts w:ascii="Arial" w:eastAsia="宋体" w:hAnsi="宋体" w:cs="Arial"/>
          <w:b/>
          <w:sz w:val="24"/>
          <w:szCs w:val="24"/>
        </w:rPr>
      </w:pPr>
      <w:bookmarkStart w:id="4" w:name="_Toc123701383"/>
      <w:bookmarkStart w:id="5" w:name="_Toc139992301"/>
      <w:bookmarkStart w:id="6" w:name="_Toc123112224"/>
      <w:bookmarkStart w:id="7" w:name="_Toc139991726"/>
      <w:bookmarkStart w:id="8" w:name="_Toc123112263"/>
      <w:r w:rsidRPr="00533A47">
        <w:rPr>
          <w:rFonts w:ascii="Arial" w:eastAsia="宋体" w:hAnsi="宋体" w:cs="Arial" w:hint="eastAsia"/>
          <w:b/>
          <w:sz w:val="24"/>
          <w:szCs w:val="24"/>
        </w:rPr>
        <w:t>基金管理人：</w:t>
      </w:r>
      <w:bookmarkEnd w:id="4"/>
      <w:bookmarkEnd w:id="5"/>
      <w:bookmarkEnd w:id="6"/>
      <w:bookmarkEnd w:id="7"/>
      <w:bookmarkEnd w:id="8"/>
      <w:r w:rsidRPr="00533A47">
        <w:rPr>
          <w:rFonts w:ascii="Arial" w:eastAsia="宋体" w:hAnsi="宋体" w:cs="Arial" w:hint="eastAsia"/>
          <w:b/>
          <w:sz w:val="24"/>
          <w:szCs w:val="24"/>
        </w:rPr>
        <w:t>富荣基金管理有限公司</w:t>
      </w:r>
    </w:p>
    <w:p w:rsidR="007A36DF" w:rsidRPr="00533A47" w:rsidRDefault="003E13F7" w:rsidP="00217F96">
      <w:pPr>
        <w:adjustRightInd w:val="0"/>
        <w:snapToGrid w:val="0"/>
        <w:spacing w:line="360" w:lineRule="auto"/>
        <w:jc w:val="center"/>
        <w:rPr>
          <w:rFonts w:ascii="Arial" w:eastAsia="宋体" w:hAnsi="宋体" w:cs="Arial"/>
          <w:b/>
          <w:sz w:val="24"/>
          <w:szCs w:val="24"/>
        </w:rPr>
      </w:pPr>
      <w:bookmarkStart w:id="9" w:name="_Toc139991727"/>
      <w:bookmarkStart w:id="10" w:name="_Toc123701384"/>
      <w:bookmarkStart w:id="11" w:name="_Toc139992302"/>
      <w:bookmarkStart w:id="12" w:name="_Toc123112264"/>
      <w:bookmarkStart w:id="13" w:name="_Toc123112225"/>
      <w:r w:rsidRPr="00533A47">
        <w:rPr>
          <w:rFonts w:ascii="Arial" w:eastAsia="宋体" w:hAnsi="宋体" w:cs="Arial" w:hint="eastAsia"/>
          <w:b/>
          <w:sz w:val="24"/>
          <w:szCs w:val="24"/>
        </w:rPr>
        <w:t>基金托管人：</w:t>
      </w:r>
      <w:bookmarkEnd w:id="9"/>
      <w:bookmarkEnd w:id="10"/>
      <w:bookmarkEnd w:id="11"/>
      <w:bookmarkEnd w:id="12"/>
      <w:bookmarkEnd w:id="13"/>
      <w:r w:rsidRPr="00533A47">
        <w:rPr>
          <w:rFonts w:ascii="Arial" w:eastAsia="宋体" w:hAnsi="宋体" w:cs="Arial" w:hint="eastAsia"/>
          <w:b/>
          <w:sz w:val="24"/>
          <w:szCs w:val="24"/>
        </w:rPr>
        <w:t>平安银行股份有限公司</w:t>
      </w:r>
    </w:p>
    <w:p w:rsidR="007A36DF" w:rsidRPr="00533A47" w:rsidRDefault="007A36DF">
      <w:pPr>
        <w:autoSpaceDE w:val="0"/>
        <w:autoSpaceDN w:val="0"/>
        <w:adjustRightInd w:val="0"/>
        <w:snapToGrid w:val="0"/>
        <w:spacing w:line="360" w:lineRule="auto"/>
        <w:jc w:val="center"/>
        <w:rPr>
          <w:rFonts w:asciiTheme="minorEastAsia" w:hAnsiTheme="minorEastAsia" w:cs="Arial"/>
          <w:b/>
          <w:bCs/>
          <w:sz w:val="24"/>
          <w:szCs w:val="24"/>
        </w:rPr>
      </w:pPr>
    </w:p>
    <w:p w:rsidR="007A36DF" w:rsidRPr="00533A47" w:rsidRDefault="007A36DF">
      <w:pPr>
        <w:autoSpaceDE w:val="0"/>
        <w:autoSpaceDN w:val="0"/>
        <w:adjustRightInd w:val="0"/>
        <w:snapToGrid w:val="0"/>
        <w:spacing w:line="360" w:lineRule="auto"/>
        <w:jc w:val="center"/>
        <w:rPr>
          <w:rFonts w:asciiTheme="minorEastAsia" w:hAnsiTheme="minorEastAsia" w:cs="Arial"/>
          <w:b/>
          <w:bCs/>
          <w:sz w:val="24"/>
          <w:szCs w:val="24"/>
        </w:rPr>
      </w:pPr>
    </w:p>
    <w:p w:rsidR="007A36DF" w:rsidRPr="00533A47" w:rsidRDefault="007A36DF">
      <w:pPr>
        <w:autoSpaceDE w:val="0"/>
        <w:autoSpaceDN w:val="0"/>
        <w:adjustRightInd w:val="0"/>
        <w:snapToGrid w:val="0"/>
        <w:spacing w:line="360" w:lineRule="auto"/>
        <w:jc w:val="center"/>
        <w:rPr>
          <w:rFonts w:asciiTheme="minorEastAsia" w:hAnsiTheme="minorEastAsia" w:cs="Arial"/>
          <w:b/>
          <w:bCs/>
          <w:sz w:val="24"/>
          <w:szCs w:val="24"/>
        </w:rPr>
      </w:pPr>
    </w:p>
    <w:p w:rsidR="007A36DF" w:rsidRPr="00533A47" w:rsidRDefault="007A36DF">
      <w:pPr>
        <w:widowControl/>
        <w:spacing w:line="360" w:lineRule="auto"/>
        <w:rPr>
          <w:rFonts w:ascii="Arial" w:eastAsia="宋体" w:hAnsi="Arial" w:cs="Arial"/>
          <w:b/>
          <w:bCs/>
          <w:kern w:val="0"/>
          <w:sz w:val="24"/>
          <w:szCs w:val="24"/>
        </w:rPr>
        <w:sectPr w:rsidR="007A36DF" w:rsidRPr="00533A47">
          <w:headerReference w:type="default" r:id="rId10"/>
          <w:footerReference w:type="default" r:id="rId11"/>
          <w:pgSz w:w="11906" w:h="16838"/>
          <w:pgMar w:top="1440" w:right="1800" w:bottom="1440" w:left="1800" w:header="851" w:footer="992" w:gutter="0"/>
          <w:pgNumType w:start="1"/>
          <w:cols w:space="720"/>
          <w:titlePg/>
          <w:docGrid w:type="lines" w:linePitch="312"/>
        </w:sectPr>
      </w:pPr>
    </w:p>
    <w:p w:rsidR="007A36DF" w:rsidRPr="00533A47" w:rsidRDefault="003E13F7">
      <w:pPr>
        <w:autoSpaceDE w:val="0"/>
        <w:autoSpaceDN w:val="0"/>
        <w:adjustRightInd w:val="0"/>
        <w:snapToGrid w:val="0"/>
        <w:spacing w:line="360" w:lineRule="auto"/>
        <w:jc w:val="center"/>
        <w:rPr>
          <w:rFonts w:ascii="Arial" w:eastAsia="宋体" w:hAnsi="Arial" w:cs="Arial"/>
          <w:b/>
          <w:bCs/>
          <w:sz w:val="24"/>
          <w:szCs w:val="24"/>
        </w:rPr>
      </w:pPr>
      <w:r w:rsidRPr="00533A47">
        <w:rPr>
          <w:rFonts w:ascii="Arial" w:eastAsia="宋体" w:hAnsi="Arial" w:cs="Arial" w:hint="eastAsia"/>
          <w:b/>
          <w:bCs/>
          <w:sz w:val="24"/>
          <w:szCs w:val="24"/>
        </w:rPr>
        <w:lastRenderedPageBreak/>
        <w:t>【重要提示】</w:t>
      </w:r>
    </w:p>
    <w:p w:rsidR="007A36DF" w:rsidRPr="00DE17CF" w:rsidRDefault="007A36DF" w:rsidP="00DE17CF">
      <w:pPr>
        <w:autoSpaceDE w:val="0"/>
        <w:autoSpaceDN w:val="0"/>
        <w:adjustRightInd w:val="0"/>
        <w:snapToGrid w:val="0"/>
        <w:spacing w:line="360" w:lineRule="auto"/>
        <w:ind w:firstLineChars="200" w:firstLine="480"/>
        <w:rPr>
          <w:rFonts w:asciiTheme="minorEastAsia" w:hAnsiTheme="minorEastAsia" w:cs="Arial"/>
          <w:sz w:val="24"/>
          <w:szCs w:val="24"/>
        </w:rPr>
      </w:pPr>
    </w:p>
    <w:p w:rsidR="007A36DF" w:rsidRPr="00533A47" w:rsidRDefault="003E13F7">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本基金经中国证监会2017年5月12日证监许可[2017]700号文准予注册。本基金于2018年2月13日正式生效。</w:t>
      </w:r>
    </w:p>
    <w:p w:rsidR="007A36DF" w:rsidRPr="00533A47" w:rsidRDefault="003E13F7">
      <w:pPr>
        <w:autoSpaceDE w:val="0"/>
        <w:autoSpaceDN w:val="0"/>
        <w:adjustRightInd w:val="0"/>
        <w:snapToGrid w:val="0"/>
        <w:spacing w:line="360" w:lineRule="auto"/>
        <w:ind w:firstLineChars="200" w:firstLine="480"/>
        <w:rPr>
          <w:rFonts w:asciiTheme="minorEastAsia" w:hAnsiTheme="minorEastAsia" w:cs="Arial"/>
          <w:sz w:val="24"/>
          <w:szCs w:val="24"/>
        </w:rPr>
      </w:pPr>
      <w:r w:rsidRPr="00533A47">
        <w:rPr>
          <w:rFonts w:asciiTheme="minorEastAsia" w:hAnsiTheme="minorEastAsia" w:cs="Arial" w:hint="eastAsia"/>
          <w:sz w:val="24"/>
          <w:szCs w:val="24"/>
        </w:rPr>
        <w:t>本基金管理人保证招募说明书的内容真实、准确、完整。本招募说明书经中国证监会注册，但中国证监会对本基金募集的注册，并不表明其对本基金的投资价值、市场前景和收益</w:t>
      </w:r>
      <w:proofErr w:type="gramStart"/>
      <w:r w:rsidRPr="00533A47">
        <w:rPr>
          <w:rFonts w:asciiTheme="minorEastAsia" w:hAnsiTheme="minorEastAsia" w:cs="Arial" w:hint="eastAsia"/>
          <w:sz w:val="24"/>
          <w:szCs w:val="24"/>
        </w:rPr>
        <w:t>作出</w:t>
      </w:r>
      <w:proofErr w:type="gramEnd"/>
      <w:r w:rsidRPr="00533A47">
        <w:rPr>
          <w:rFonts w:asciiTheme="minorEastAsia" w:hAnsiTheme="minorEastAsia" w:cs="Arial" w:hint="eastAsia"/>
          <w:sz w:val="24"/>
          <w:szCs w:val="24"/>
        </w:rPr>
        <w:t>实质性判断或保证，也不表明投资于本基金没有风险。</w:t>
      </w:r>
    </w:p>
    <w:p w:rsidR="007A36DF" w:rsidRPr="00533A47" w:rsidRDefault="003E13F7">
      <w:pPr>
        <w:autoSpaceDE w:val="0"/>
        <w:autoSpaceDN w:val="0"/>
        <w:adjustRightInd w:val="0"/>
        <w:snapToGrid w:val="0"/>
        <w:spacing w:line="360" w:lineRule="auto"/>
        <w:ind w:firstLineChars="200" w:firstLine="480"/>
        <w:rPr>
          <w:rFonts w:asciiTheme="minorEastAsia" w:hAnsiTheme="minorEastAsia" w:cs="Arial"/>
          <w:sz w:val="24"/>
          <w:szCs w:val="24"/>
        </w:rPr>
      </w:pPr>
      <w:r w:rsidRPr="00533A47">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w:t>
      </w:r>
      <w:proofErr w:type="gramStart"/>
      <w:r w:rsidRPr="00533A47">
        <w:rPr>
          <w:rFonts w:asciiTheme="minorEastAsia" w:hAnsiTheme="minorEastAsia" w:cs="Arial" w:hint="eastAsia"/>
          <w:sz w:val="24"/>
          <w:szCs w:val="24"/>
        </w:rPr>
        <w:t>规</w:t>
      </w:r>
      <w:proofErr w:type="gramEnd"/>
      <w:r w:rsidRPr="00533A47">
        <w:rPr>
          <w:rFonts w:asciiTheme="minorEastAsia" w:hAnsiTheme="minorEastAsia" w:cs="Arial" w:hint="eastAsia"/>
          <w:sz w:val="24"/>
          <w:szCs w:val="24"/>
        </w:rPr>
        <w:t>性风险、本基金特定投资策略带来的风险及其他风险等。本基金属于混合型基金，其预期的风险和收益高于货币市场基金、债券基金，低于股票型基金，属于证券投资基金中</w:t>
      </w:r>
      <w:proofErr w:type="gramStart"/>
      <w:r w:rsidRPr="00533A47">
        <w:rPr>
          <w:rFonts w:asciiTheme="minorEastAsia" w:hAnsiTheme="minorEastAsia" w:cs="Arial" w:hint="eastAsia"/>
          <w:sz w:val="24"/>
          <w:szCs w:val="24"/>
        </w:rPr>
        <w:t>中</w:t>
      </w:r>
      <w:proofErr w:type="gramEnd"/>
      <w:r w:rsidRPr="00533A47">
        <w:rPr>
          <w:rFonts w:asciiTheme="minorEastAsia" w:hAnsiTheme="minorEastAsia" w:cs="Arial" w:hint="eastAsia"/>
          <w:sz w:val="24"/>
          <w:szCs w:val="24"/>
        </w:rPr>
        <w:t>高风险、中高预期收益的品种。</w:t>
      </w:r>
    </w:p>
    <w:p w:rsidR="007A36DF" w:rsidRPr="00533A47" w:rsidRDefault="003E13F7">
      <w:pPr>
        <w:autoSpaceDE w:val="0"/>
        <w:autoSpaceDN w:val="0"/>
        <w:adjustRightInd w:val="0"/>
        <w:snapToGrid w:val="0"/>
        <w:spacing w:line="360" w:lineRule="auto"/>
        <w:ind w:firstLineChars="200" w:firstLine="480"/>
        <w:rPr>
          <w:rFonts w:asciiTheme="minorEastAsia" w:hAnsiTheme="minorEastAsia" w:cs="Arial"/>
          <w:sz w:val="24"/>
          <w:szCs w:val="24"/>
        </w:rPr>
      </w:pPr>
      <w:r w:rsidRPr="00533A47">
        <w:rPr>
          <w:rFonts w:asciiTheme="minorEastAsia" w:hAnsiTheme="minorEastAsia" w:cs="Arial" w:hint="eastAsia"/>
          <w:sz w:val="24"/>
          <w:szCs w:val="24"/>
        </w:rPr>
        <w:t>本基金可投资中小企业私募债券，其发行人是非上市中小微企业，发行方式为面向特定对象的私募发行。当基金所投资的中小企业私募债券之债务人出现违约，或在交易过程中发生交收违约，或由于中小企业私募债券信用质量降低导致价格下降等，可能造成基金财产损失。中小企业私募债券较传统企业债的信用风险及流动性风险更大，从而增加了本基金整体的债券投资风险。</w:t>
      </w:r>
    </w:p>
    <w:p w:rsidR="007A36DF" w:rsidRPr="00533A47" w:rsidRDefault="003E13F7">
      <w:pPr>
        <w:autoSpaceDE w:val="0"/>
        <w:autoSpaceDN w:val="0"/>
        <w:adjustRightInd w:val="0"/>
        <w:snapToGrid w:val="0"/>
        <w:spacing w:line="360" w:lineRule="auto"/>
        <w:ind w:firstLineChars="200" w:firstLine="480"/>
        <w:rPr>
          <w:rFonts w:asciiTheme="minorEastAsia" w:hAnsiTheme="minorEastAsia" w:cs="Arial"/>
          <w:sz w:val="24"/>
          <w:szCs w:val="24"/>
        </w:rPr>
      </w:pPr>
      <w:r w:rsidRPr="00533A47">
        <w:rPr>
          <w:rFonts w:asciiTheme="minorEastAsia" w:hAnsiTheme="minorEastAsia" w:cs="Arial" w:hint="eastAsia"/>
          <w:sz w:val="24"/>
          <w:szCs w:val="24"/>
        </w:rPr>
        <w:t>本基金以</w:t>
      </w:r>
      <w:r w:rsidRPr="00533A47">
        <w:rPr>
          <w:rFonts w:asciiTheme="minorEastAsia" w:hAnsiTheme="minorEastAsia" w:cs="Arial"/>
          <w:sz w:val="24"/>
          <w:szCs w:val="24"/>
        </w:rPr>
        <w:t>1.00</w:t>
      </w:r>
      <w:r w:rsidRPr="00533A47">
        <w:rPr>
          <w:rFonts w:asciiTheme="minorEastAsia" w:hAnsiTheme="minorEastAsia" w:cs="Arial" w:hint="eastAsia"/>
          <w:sz w:val="24"/>
          <w:szCs w:val="24"/>
        </w:rPr>
        <w:t>元初始面值募集基金份额，在市场波动等因素的影响下，基金投资有可能出现亏损或基金份额净值低于初始面值。</w:t>
      </w:r>
    </w:p>
    <w:p w:rsidR="007A36DF" w:rsidRPr="00533A47" w:rsidRDefault="003E13F7">
      <w:pPr>
        <w:autoSpaceDE w:val="0"/>
        <w:autoSpaceDN w:val="0"/>
        <w:adjustRightInd w:val="0"/>
        <w:snapToGrid w:val="0"/>
        <w:spacing w:line="360" w:lineRule="auto"/>
        <w:ind w:firstLineChars="200" w:firstLine="480"/>
        <w:rPr>
          <w:rFonts w:asciiTheme="minorEastAsia" w:hAnsiTheme="minorEastAsia" w:cs="Arial"/>
          <w:sz w:val="24"/>
          <w:szCs w:val="24"/>
        </w:rPr>
      </w:pPr>
      <w:r w:rsidRPr="00533A47">
        <w:rPr>
          <w:rFonts w:asciiTheme="minorEastAsia" w:hAnsiTheme="minorEastAsia" w:cs="Arial" w:hint="eastAsia"/>
          <w:sz w:val="24"/>
          <w:szCs w:val="24"/>
        </w:rPr>
        <w:t>投资有风险，投资人认购（或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rsidR="007A36DF" w:rsidRPr="00533A47" w:rsidRDefault="003E13F7">
      <w:pPr>
        <w:autoSpaceDE w:val="0"/>
        <w:autoSpaceDN w:val="0"/>
        <w:adjustRightInd w:val="0"/>
        <w:snapToGrid w:val="0"/>
        <w:spacing w:line="360" w:lineRule="auto"/>
        <w:ind w:firstLineChars="200" w:firstLine="480"/>
        <w:rPr>
          <w:rFonts w:asciiTheme="minorEastAsia" w:hAnsiTheme="minorEastAsia" w:cs="Arial"/>
          <w:sz w:val="24"/>
          <w:szCs w:val="24"/>
        </w:rPr>
      </w:pPr>
      <w:r w:rsidRPr="00533A47">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sidRPr="00533A47">
        <w:rPr>
          <w:rFonts w:asciiTheme="minorEastAsia" w:hAnsiTheme="minorEastAsia" w:cs="Arial"/>
          <w:sz w:val="24"/>
          <w:szCs w:val="24"/>
        </w:rPr>
        <w:t>“</w:t>
      </w:r>
      <w:r w:rsidRPr="00533A47">
        <w:rPr>
          <w:rFonts w:asciiTheme="minorEastAsia" w:hAnsiTheme="minorEastAsia" w:cs="Arial" w:hint="eastAsia"/>
          <w:sz w:val="24"/>
          <w:szCs w:val="24"/>
        </w:rPr>
        <w:t>买者自负</w:t>
      </w:r>
      <w:r w:rsidRPr="00533A47">
        <w:rPr>
          <w:rFonts w:asciiTheme="minorEastAsia" w:hAnsiTheme="minorEastAsia" w:cs="Arial"/>
          <w:sz w:val="24"/>
          <w:szCs w:val="24"/>
        </w:rPr>
        <w:t>”</w:t>
      </w:r>
      <w:r w:rsidRPr="00533A47">
        <w:rPr>
          <w:rFonts w:asciiTheme="minorEastAsia" w:hAnsiTheme="minorEastAsia" w:cs="Arial" w:hint="eastAsia"/>
          <w:sz w:val="24"/>
          <w:szCs w:val="24"/>
        </w:rPr>
        <w:t>原则，在</w:t>
      </w:r>
      <w:proofErr w:type="gramStart"/>
      <w:r w:rsidRPr="00533A47">
        <w:rPr>
          <w:rFonts w:asciiTheme="minorEastAsia" w:hAnsiTheme="minorEastAsia" w:cs="Arial" w:hint="eastAsia"/>
          <w:sz w:val="24"/>
          <w:szCs w:val="24"/>
        </w:rPr>
        <w:t>作出</w:t>
      </w:r>
      <w:proofErr w:type="gramEnd"/>
      <w:r w:rsidRPr="00533A47">
        <w:rPr>
          <w:rFonts w:asciiTheme="minorEastAsia" w:hAnsiTheme="minorEastAsia" w:cs="Arial" w:hint="eastAsia"/>
          <w:sz w:val="24"/>
          <w:szCs w:val="24"/>
        </w:rPr>
        <w:t>投资决策后，基金运营状况与基金净值变化引致的投资风险，由投资者自行承担。</w:t>
      </w:r>
    </w:p>
    <w:p w:rsidR="007A36DF" w:rsidRPr="00533A47" w:rsidRDefault="003E13F7">
      <w:pPr>
        <w:autoSpaceDE w:val="0"/>
        <w:autoSpaceDN w:val="0"/>
        <w:adjustRightInd w:val="0"/>
        <w:snapToGrid w:val="0"/>
        <w:spacing w:line="360" w:lineRule="auto"/>
        <w:ind w:firstLineChars="200" w:firstLine="480"/>
        <w:rPr>
          <w:rFonts w:asciiTheme="minorEastAsia" w:hAnsiTheme="minorEastAsia" w:cs="Arial"/>
          <w:sz w:val="24"/>
          <w:szCs w:val="24"/>
        </w:rPr>
      </w:pPr>
      <w:r w:rsidRPr="00533A47">
        <w:rPr>
          <w:rFonts w:asciiTheme="minorEastAsia" w:hAnsiTheme="minorEastAsia" w:cs="Arial" w:hint="eastAsia"/>
          <w:sz w:val="24"/>
          <w:szCs w:val="24"/>
        </w:rPr>
        <w:t>本招募说明书所载内容截止日为</w:t>
      </w:r>
      <w:r w:rsidR="008C452C" w:rsidRPr="00533A47">
        <w:rPr>
          <w:rFonts w:asciiTheme="minorEastAsia" w:hAnsiTheme="minorEastAsia" w:cs="Arial" w:hint="eastAsia"/>
          <w:sz w:val="24"/>
          <w:szCs w:val="24"/>
        </w:rPr>
        <w:t>2019</w:t>
      </w:r>
      <w:r w:rsidRPr="00533A47">
        <w:rPr>
          <w:rFonts w:asciiTheme="minorEastAsia" w:hAnsiTheme="minorEastAsia" w:cs="Arial" w:hint="eastAsia"/>
          <w:sz w:val="24"/>
          <w:szCs w:val="24"/>
        </w:rPr>
        <w:t>年</w:t>
      </w:r>
      <w:r w:rsidR="008C452C" w:rsidRPr="00533A47">
        <w:rPr>
          <w:rFonts w:asciiTheme="minorEastAsia" w:hAnsiTheme="minorEastAsia" w:cs="Arial" w:hint="eastAsia"/>
          <w:sz w:val="24"/>
          <w:szCs w:val="24"/>
        </w:rPr>
        <w:t>2</w:t>
      </w:r>
      <w:r w:rsidRPr="00533A47">
        <w:rPr>
          <w:rFonts w:asciiTheme="minorEastAsia" w:hAnsiTheme="minorEastAsia" w:cs="Arial" w:hint="eastAsia"/>
          <w:sz w:val="24"/>
          <w:szCs w:val="24"/>
        </w:rPr>
        <w:t>月13日，有关财务数据截止日为2018年</w:t>
      </w:r>
      <w:r w:rsidR="008C452C" w:rsidRPr="00533A47">
        <w:rPr>
          <w:rFonts w:asciiTheme="minorEastAsia" w:hAnsiTheme="minorEastAsia" w:cs="Arial" w:hint="eastAsia"/>
          <w:sz w:val="24"/>
          <w:szCs w:val="24"/>
        </w:rPr>
        <w:t>12</w:t>
      </w:r>
      <w:r w:rsidRPr="00533A47">
        <w:rPr>
          <w:rFonts w:asciiTheme="minorEastAsia" w:hAnsiTheme="minorEastAsia" w:cs="Arial" w:hint="eastAsia"/>
          <w:sz w:val="24"/>
          <w:szCs w:val="24"/>
        </w:rPr>
        <w:t>月</w:t>
      </w:r>
      <w:r w:rsidR="008C452C" w:rsidRPr="00533A47">
        <w:rPr>
          <w:rFonts w:asciiTheme="minorEastAsia" w:hAnsiTheme="minorEastAsia" w:cs="Arial" w:hint="eastAsia"/>
          <w:sz w:val="24"/>
          <w:szCs w:val="24"/>
        </w:rPr>
        <w:t>31</w:t>
      </w:r>
      <w:r w:rsidRPr="00533A47">
        <w:rPr>
          <w:rFonts w:asciiTheme="minorEastAsia" w:hAnsiTheme="minorEastAsia" w:cs="Arial" w:hint="eastAsia"/>
          <w:sz w:val="24"/>
          <w:szCs w:val="24"/>
        </w:rPr>
        <w:t>日，净值表现截止日为2018年</w:t>
      </w:r>
      <w:r w:rsidR="008C452C" w:rsidRPr="00533A47">
        <w:rPr>
          <w:rFonts w:asciiTheme="minorEastAsia" w:hAnsiTheme="minorEastAsia" w:cs="Arial" w:hint="eastAsia"/>
          <w:sz w:val="24"/>
          <w:szCs w:val="24"/>
        </w:rPr>
        <w:t>12</w:t>
      </w:r>
      <w:r w:rsidRPr="00533A47">
        <w:rPr>
          <w:rFonts w:asciiTheme="minorEastAsia" w:hAnsiTheme="minorEastAsia" w:cs="Arial" w:hint="eastAsia"/>
          <w:sz w:val="24"/>
          <w:szCs w:val="24"/>
        </w:rPr>
        <w:t>月</w:t>
      </w:r>
      <w:r w:rsidR="008C452C" w:rsidRPr="00533A47">
        <w:rPr>
          <w:rFonts w:asciiTheme="minorEastAsia" w:hAnsiTheme="minorEastAsia" w:cs="Arial" w:hint="eastAsia"/>
          <w:sz w:val="24"/>
          <w:szCs w:val="24"/>
        </w:rPr>
        <w:t>31</w:t>
      </w:r>
      <w:r w:rsidRPr="00533A47">
        <w:rPr>
          <w:rFonts w:asciiTheme="minorEastAsia" w:hAnsiTheme="minorEastAsia" w:cs="Arial" w:hint="eastAsia"/>
          <w:sz w:val="24"/>
          <w:szCs w:val="24"/>
        </w:rPr>
        <w:t>日，本报告中所列财务数据未</w:t>
      </w:r>
      <w:r w:rsidRPr="00533A47">
        <w:rPr>
          <w:rFonts w:asciiTheme="minorEastAsia" w:hAnsiTheme="minorEastAsia" w:cs="Arial" w:hint="eastAsia"/>
          <w:sz w:val="24"/>
          <w:szCs w:val="24"/>
        </w:rPr>
        <w:lastRenderedPageBreak/>
        <w:t>经审计。</w:t>
      </w:r>
    </w:p>
    <w:p w:rsidR="007A36DF" w:rsidRPr="00533A47" w:rsidRDefault="003E13F7">
      <w:pPr>
        <w:autoSpaceDE w:val="0"/>
        <w:autoSpaceDN w:val="0"/>
        <w:adjustRightInd w:val="0"/>
        <w:snapToGrid w:val="0"/>
        <w:spacing w:line="360" w:lineRule="auto"/>
        <w:ind w:firstLineChars="200" w:firstLine="480"/>
        <w:rPr>
          <w:rFonts w:asciiTheme="minorEastAsia" w:hAnsiTheme="minorEastAsia" w:cs="Arial"/>
          <w:sz w:val="24"/>
          <w:szCs w:val="24"/>
        </w:rPr>
      </w:pPr>
      <w:r w:rsidRPr="00533A47">
        <w:rPr>
          <w:rFonts w:asciiTheme="minorEastAsia" w:hAnsiTheme="minorEastAsia" w:cs="Arial" w:hint="eastAsia"/>
          <w:sz w:val="24"/>
          <w:szCs w:val="24"/>
        </w:rPr>
        <w:t>本基金托管人平安银行股份有限公司已于</w:t>
      </w:r>
      <w:r w:rsidR="008C452C" w:rsidRPr="00533A47">
        <w:rPr>
          <w:rFonts w:asciiTheme="minorEastAsia" w:hAnsiTheme="minorEastAsia" w:cs="Arial" w:hint="eastAsia"/>
          <w:sz w:val="24"/>
          <w:szCs w:val="24"/>
        </w:rPr>
        <w:t>2019</w:t>
      </w:r>
      <w:r w:rsidRPr="00533A47">
        <w:rPr>
          <w:rFonts w:asciiTheme="minorEastAsia" w:hAnsiTheme="minorEastAsia" w:cs="Arial" w:hint="eastAsia"/>
          <w:sz w:val="24"/>
          <w:szCs w:val="24"/>
        </w:rPr>
        <w:t>年</w:t>
      </w:r>
      <w:r w:rsidR="008C452C" w:rsidRPr="00533A47">
        <w:rPr>
          <w:rFonts w:asciiTheme="minorEastAsia" w:hAnsiTheme="minorEastAsia" w:cs="Arial" w:hint="eastAsia"/>
          <w:sz w:val="24"/>
          <w:szCs w:val="24"/>
        </w:rPr>
        <w:t>2</w:t>
      </w:r>
      <w:r w:rsidRPr="00533A47">
        <w:rPr>
          <w:rFonts w:asciiTheme="minorEastAsia" w:hAnsiTheme="minorEastAsia" w:cs="Arial" w:hint="eastAsia"/>
          <w:sz w:val="24"/>
          <w:szCs w:val="24"/>
        </w:rPr>
        <w:t>月</w:t>
      </w:r>
      <w:r w:rsidR="00BA5E9D">
        <w:rPr>
          <w:rFonts w:asciiTheme="minorEastAsia" w:hAnsiTheme="minorEastAsia" w:cs="Arial" w:hint="eastAsia"/>
          <w:sz w:val="24"/>
          <w:szCs w:val="24"/>
        </w:rPr>
        <w:t>22</w:t>
      </w:r>
      <w:r w:rsidRPr="00533A47">
        <w:rPr>
          <w:rFonts w:asciiTheme="minorEastAsia" w:hAnsiTheme="minorEastAsia" w:cs="Arial" w:hint="eastAsia"/>
          <w:sz w:val="24"/>
          <w:szCs w:val="24"/>
        </w:rPr>
        <w:t>日复核了本次更新的招募说明书。</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sz w:val="24"/>
          <w:szCs w:val="24"/>
        </w:rPr>
        <w:br w:type="page"/>
      </w:r>
    </w:p>
    <w:p w:rsidR="007A36DF" w:rsidRPr="00DE17CF" w:rsidRDefault="003E13F7" w:rsidP="00EF2B86">
      <w:pPr>
        <w:autoSpaceDE w:val="0"/>
        <w:autoSpaceDN w:val="0"/>
        <w:adjustRightInd w:val="0"/>
        <w:snapToGrid w:val="0"/>
        <w:spacing w:line="360" w:lineRule="auto"/>
        <w:ind w:firstLineChars="200" w:firstLine="480"/>
        <w:outlineLvl w:val="0"/>
        <w:rPr>
          <w:rFonts w:asciiTheme="minorEastAsia" w:hAnsiTheme="minorEastAsia" w:cs="Arial"/>
          <w:sz w:val="24"/>
          <w:szCs w:val="24"/>
        </w:rPr>
      </w:pPr>
      <w:bookmarkStart w:id="14" w:name="_Toc521572408"/>
      <w:bookmarkStart w:id="15" w:name="_Toc263092311"/>
      <w:bookmarkStart w:id="16" w:name="_Toc416264539"/>
      <w:bookmarkStart w:id="17" w:name="_Toc352229749"/>
      <w:bookmarkStart w:id="18" w:name="_Toc410197817"/>
      <w:bookmarkStart w:id="19" w:name="_Toc24682"/>
      <w:bookmarkStart w:id="20" w:name="_Toc6714"/>
      <w:bookmarkStart w:id="21" w:name="_Toc7151"/>
      <w:bookmarkStart w:id="22" w:name="_Toc90742390"/>
      <w:bookmarkStart w:id="23" w:name="_Toc27226"/>
      <w:bookmarkStart w:id="24" w:name="_Toc27189"/>
      <w:bookmarkStart w:id="25" w:name="_Toc3266"/>
      <w:bookmarkStart w:id="26" w:name="_Toc29948"/>
      <w:bookmarkStart w:id="27" w:name="_Toc29784"/>
      <w:bookmarkStart w:id="28" w:name="_Toc90742688"/>
      <w:bookmarkStart w:id="29" w:name="_Toc22074"/>
      <w:bookmarkStart w:id="30" w:name="_Toc90742321"/>
      <w:bookmarkStart w:id="31" w:name="_Toc15203"/>
      <w:bookmarkStart w:id="32" w:name="_Toc16265"/>
      <w:bookmarkStart w:id="33" w:name="_Toc233456272"/>
      <w:bookmarkStart w:id="34" w:name="_Toc258829400"/>
      <w:bookmarkEnd w:id="0"/>
      <w:bookmarkEnd w:id="1"/>
      <w:bookmarkEnd w:id="2"/>
      <w:bookmarkEnd w:id="3"/>
      <w:r w:rsidRPr="00DE17CF">
        <w:rPr>
          <w:rFonts w:asciiTheme="minorEastAsia" w:hAnsiTheme="minorEastAsia" w:cs="Arial" w:hint="eastAsia"/>
          <w:sz w:val="24"/>
          <w:szCs w:val="24"/>
        </w:rPr>
        <w:lastRenderedPageBreak/>
        <w:t>一、基金管理人</w:t>
      </w:r>
      <w:bookmarkEnd w:id="14"/>
      <w:bookmarkEnd w:id="15"/>
      <w:bookmarkEnd w:id="16"/>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（一）基金管理人概况</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名称：富</w:t>
      </w:r>
      <w:proofErr w:type="gramStart"/>
      <w:r w:rsidRPr="00DE17CF">
        <w:rPr>
          <w:rFonts w:asciiTheme="minorEastAsia" w:hAnsiTheme="minorEastAsia" w:cs="Arial" w:hint="eastAsia"/>
          <w:sz w:val="24"/>
          <w:szCs w:val="24"/>
        </w:rPr>
        <w:t>荣基金</w:t>
      </w:r>
      <w:proofErr w:type="gramEnd"/>
      <w:r w:rsidRPr="00DE17CF">
        <w:rPr>
          <w:rFonts w:asciiTheme="minorEastAsia" w:hAnsiTheme="minorEastAsia" w:cs="Arial" w:hint="eastAsia"/>
          <w:sz w:val="24"/>
          <w:szCs w:val="24"/>
        </w:rPr>
        <w:t>管理有限公司</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住所：广州市南沙区海滨路171号南沙金融大厦11楼1101之一J20室</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办公地址：深圳市福田区深南大道2012号深圳交易所大厦3501室</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法定代表人：</w:t>
      </w:r>
      <w:r w:rsidR="009C657D">
        <w:rPr>
          <w:rFonts w:asciiTheme="minorEastAsia" w:hAnsiTheme="minorEastAsia" w:cs="Arial" w:hint="eastAsia"/>
          <w:sz w:val="24"/>
          <w:szCs w:val="24"/>
        </w:rPr>
        <w:t>杨小舟</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成立时间：2016年1月25日</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注册资本：2亿元人民币</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存续期间：持续经营</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联系人：毛志华</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联系电话：（0755）</w:t>
      </w:r>
      <w:r w:rsidRPr="00DE17CF">
        <w:rPr>
          <w:rFonts w:asciiTheme="minorEastAsia" w:hAnsiTheme="minorEastAsia" w:cs="Arial"/>
          <w:sz w:val="24"/>
          <w:szCs w:val="24"/>
        </w:rPr>
        <w:t>8435 6636</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 xml:space="preserve">股权结构：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7A36DF" w:rsidRPr="00DE17CF">
        <w:trPr>
          <w:jc w:val="center"/>
        </w:trPr>
        <w:tc>
          <w:tcPr>
            <w:tcW w:w="4250" w:type="dxa"/>
            <w:tcBorders>
              <w:top w:val="single" w:sz="4" w:space="0" w:color="auto"/>
              <w:left w:val="single" w:sz="4" w:space="0" w:color="auto"/>
              <w:bottom w:val="single" w:sz="4" w:space="0" w:color="auto"/>
              <w:right w:val="single" w:sz="4" w:space="0" w:color="auto"/>
            </w:tcBorders>
            <w:vAlign w:val="center"/>
          </w:tcPr>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出资比例</w:t>
            </w:r>
          </w:p>
        </w:tc>
      </w:tr>
      <w:tr w:rsidR="007A36DF" w:rsidRPr="00DE17CF">
        <w:trPr>
          <w:jc w:val="center"/>
        </w:trPr>
        <w:tc>
          <w:tcPr>
            <w:tcW w:w="4250" w:type="dxa"/>
            <w:tcBorders>
              <w:top w:val="single" w:sz="4" w:space="0" w:color="auto"/>
              <w:left w:val="single" w:sz="4" w:space="0" w:color="auto"/>
              <w:bottom w:val="single" w:sz="4" w:space="0" w:color="auto"/>
              <w:right w:val="single" w:sz="4" w:space="0" w:color="auto"/>
            </w:tcBorders>
            <w:vAlign w:val="center"/>
          </w:tcPr>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50%</w:t>
            </w:r>
          </w:p>
        </w:tc>
      </w:tr>
      <w:tr w:rsidR="007A36DF" w:rsidRPr="00DE17CF">
        <w:trPr>
          <w:jc w:val="center"/>
        </w:trPr>
        <w:tc>
          <w:tcPr>
            <w:tcW w:w="4250" w:type="dxa"/>
            <w:tcBorders>
              <w:top w:val="single" w:sz="4" w:space="0" w:color="auto"/>
              <w:left w:val="single" w:sz="4" w:space="0" w:color="auto"/>
              <w:bottom w:val="single" w:sz="4" w:space="0" w:color="auto"/>
              <w:right w:val="single" w:sz="4" w:space="0" w:color="auto"/>
            </w:tcBorders>
            <w:vAlign w:val="center"/>
          </w:tcPr>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45.1%</w:t>
            </w:r>
          </w:p>
        </w:tc>
      </w:tr>
      <w:tr w:rsidR="007A36DF" w:rsidRPr="00DE17CF">
        <w:trPr>
          <w:jc w:val="center"/>
        </w:trPr>
        <w:tc>
          <w:tcPr>
            <w:tcW w:w="4250" w:type="dxa"/>
            <w:tcBorders>
              <w:top w:val="single" w:sz="4" w:space="0" w:color="auto"/>
              <w:left w:val="single" w:sz="4" w:space="0" w:color="auto"/>
              <w:bottom w:val="single" w:sz="4" w:space="0" w:color="auto"/>
              <w:right w:val="single" w:sz="4" w:space="0" w:color="auto"/>
            </w:tcBorders>
            <w:vAlign w:val="center"/>
          </w:tcPr>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proofErr w:type="gramStart"/>
            <w:r w:rsidRPr="00DE17CF">
              <w:rPr>
                <w:rFonts w:asciiTheme="minorEastAsia" w:hAnsiTheme="minorEastAsia" w:cs="Arial" w:hint="eastAsia"/>
                <w:sz w:val="24"/>
                <w:szCs w:val="24"/>
              </w:rPr>
              <w:t>湖南省典勤投资</w:t>
            </w:r>
            <w:proofErr w:type="gramEnd"/>
            <w:r w:rsidRPr="00DE17CF">
              <w:rPr>
                <w:rFonts w:asciiTheme="minorEastAsia" w:hAnsiTheme="minorEastAsia" w:cs="Arial" w:hint="eastAsia"/>
                <w:sz w:val="24"/>
                <w:szCs w:val="24"/>
              </w:rPr>
              <w:t>开发有限公司</w:t>
            </w:r>
          </w:p>
        </w:tc>
        <w:tc>
          <w:tcPr>
            <w:tcW w:w="1275" w:type="dxa"/>
            <w:tcBorders>
              <w:top w:val="single" w:sz="4" w:space="0" w:color="auto"/>
              <w:left w:val="single" w:sz="4" w:space="0" w:color="auto"/>
              <w:bottom w:val="single" w:sz="4" w:space="0" w:color="auto"/>
              <w:right w:val="single" w:sz="4" w:space="0" w:color="auto"/>
            </w:tcBorders>
            <w:vAlign w:val="center"/>
          </w:tcPr>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4.9%</w:t>
            </w:r>
          </w:p>
        </w:tc>
      </w:tr>
    </w:tbl>
    <w:p w:rsidR="007A36DF" w:rsidRPr="00DE17CF" w:rsidRDefault="007A36DF" w:rsidP="00DE17CF">
      <w:pPr>
        <w:autoSpaceDE w:val="0"/>
        <w:autoSpaceDN w:val="0"/>
        <w:adjustRightInd w:val="0"/>
        <w:snapToGrid w:val="0"/>
        <w:spacing w:line="360" w:lineRule="auto"/>
        <w:ind w:firstLineChars="200" w:firstLine="480"/>
        <w:rPr>
          <w:rFonts w:asciiTheme="minorEastAsia" w:hAnsiTheme="minorEastAsia" w:cs="Arial"/>
          <w:sz w:val="24"/>
          <w:szCs w:val="24"/>
        </w:rPr>
      </w:pP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（二）主要成员情况</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bookmarkStart w:id="35" w:name="_Toc238027832"/>
      <w:bookmarkStart w:id="36" w:name="_Toc238013745"/>
      <w:bookmarkStart w:id="37" w:name="_Toc352229750"/>
      <w:bookmarkStart w:id="38" w:name="_Toc416264540"/>
      <w:bookmarkStart w:id="39" w:name="_Toc410197818"/>
      <w:bookmarkStart w:id="40" w:name="_Toc263092312"/>
      <w:bookmarkEnd w:id="17"/>
      <w:bookmarkEnd w:id="18"/>
      <w:bookmarkEnd w:id="19"/>
      <w:bookmarkEnd w:id="35"/>
      <w:bookmarkEnd w:id="36"/>
      <w:r w:rsidRPr="00DE17CF">
        <w:rPr>
          <w:rFonts w:asciiTheme="minorEastAsia" w:hAnsiTheme="minorEastAsia" w:cs="Arial" w:hint="eastAsia"/>
          <w:sz w:val="24"/>
          <w:szCs w:val="24"/>
        </w:rPr>
        <w:t>1、董事会成员</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郭容辰女士，董事，总经理，北京大学法学硕士，历任交通银行深圳福田支行行长、深圳分行零售信贷部总经理、个人金融部总经理、华夏银行深圳分行个人金融部总经理、金鹰基金管理有限公司副总经理，现任富</w:t>
      </w:r>
      <w:proofErr w:type="gramStart"/>
      <w:r w:rsidRPr="00DE17CF">
        <w:rPr>
          <w:rFonts w:asciiTheme="minorEastAsia" w:hAnsiTheme="minorEastAsia" w:cs="Arial" w:hint="eastAsia"/>
          <w:sz w:val="24"/>
          <w:szCs w:val="24"/>
        </w:rPr>
        <w:t>荣基金</w:t>
      </w:r>
      <w:proofErr w:type="gramEnd"/>
      <w:r w:rsidRPr="00DE17CF">
        <w:rPr>
          <w:rFonts w:asciiTheme="minorEastAsia" w:hAnsiTheme="minorEastAsia" w:cs="Arial" w:hint="eastAsia"/>
          <w:sz w:val="24"/>
          <w:szCs w:val="24"/>
        </w:rPr>
        <w:t>管理有限公司总经理。</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lastRenderedPageBreak/>
        <w:t>罗劲先生，董事，湖南大学工商管理硕士。曾任广州农村商业银行股份有限公司华夏支行集团客户事业部副总经理。现任广州汇</w:t>
      </w:r>
      <w:proofErr w:type="gramStart"/>
      <w:r w:rsidRPr="00DE17CF">
        <w:rPr>
          <w:rFonts w:asciiTheme="minorEastAsia" w:hAnsiTheme="minorEastAsia" w:cs="Arial" w:hint="eastAsia"/>
          <w:sz w:val="24"/>
          <w:szCs w:val="24"/>
        </w:rPr>
        <w:t>垠澳丰</w:t>
      </w:r>
      <w:proofErr w:type="gramEnd"/>
      <w:r w:rsidRPr="00DE17CF">
        <w:rPr>
          <w:rFonts w:asciiTheme="minorEastAsia" w:hAnsiTheme="minorEastAsia" w:cs="Arial" w:hint="eastAsia"/>
          <w:sz w:val="24"/>
          <w:szCs w:val="24"/>
        </w:rPr>
        <w:t>股权投资基金管理有限公司常务副总经理、四川汇源光通信股份有限公司董事长、富荣基金管理有限公司董事。</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郭涛先生，董事，上海高级金融学院研究生（在读）。现任深圳市益德置业有限公司总经理、深圳福元德租赁有限公司董事长兼总经理、</w:t>
      </w:r>
      <w:proofErr w:type="gramStart"/>
      <w:r w:rsidRPr="00DE17CF">
        <w:rPr>
          <w:rFonts w:asciiTheme="minorEastAsia" w:hAnsiTheme="minorEastAsia" w:cs="Arial" w:hint="eastAsia"/>
          <w:sz w:val="24"/>
          <w:szCs w:val="24"/>
        </w:rPr>
        <w:t>深圳融博融资租赁</w:t>
      </w:r>
      <w:proofErr w:type="gramEnd"/>
      <w:r w:rsidRPr="00DE17CF">
        <w:rPr>
          <w:rFonts w:asciiTheme="minorEastAsia" w:hAnsiTheme="minorEastAsia" w:cs="Arial" w:hint="eastAsia"/>
          <w:sz w:val="24"/>
          <w:szCs w:val="24"/>
        </w:rPr>
        <w:t>有限公司董事长兼总经理、深圳市天汇</w:t>
      </w:r>
      <w:proofErr w:type="gramStart"/>
      <w:r w:rsidRPr="00DE17CF">
        <w:rPr>
          <w:rFonts w:asciiTheme="minorEastAsia" w:hAnsiTheme="minorEastAsia" w:cs="Arial" w:hint="eastAsia"/>
          <w:sz w:val="24"/>
          <w:szCs w:val="24"/>
        </w:rPr>
        <w:t>鑫</w:t>
      </w:r>
      <w:proofErr w:type="gramEnd"/>
      <w:r w:rsidRPr="00DE17CF">
        <w:rPr>
          <w:rFonts w:asciiTheme="minorEastAsia" w:hAnsiTheme="minorEastAsia" w:cs="Arial" w:hint="eastAsia"/>
          <w:sz w:val="24"/>
          <w:szCs w:val="24"/>
        </w:rPr>
        <w:t>达担保有限公司总经理、</w:t>
      </w:r>
      <w:proofErr w:type="gramStart"/>
      <w:r w:rsidRPr="00DE17CF">
        <w:rPr>
          <w:rFonts w:asciiTheme="minorEastAsia" w:hAnsiTheme="minorEastAsia" w:cs="Arial" w:hint="eastAsia"/>
          <w:sz w:val="24"/>
          <w:szCs w:val="24"/>
        </w:rPr>
        <w:t>深圳市亿尔德</w:t>
      </w:r>
      <w:proofErr w:type="gramEnd"/>
      <w:r w:rsidRPr="00DE17CF">
        <w:rPr>
          <w:rFonts w:asciiTheme="minorEastAsia" w:hAnsiTheme="minorEastAsia" w:cs="Arial" w:hint="eastAsia"/>
          <w:sz w:val="24"/>
          <w:szCs w:val="24"/>
        </w:rPr>
        <w:t>投资有限公司法人、嘉年实业股份有限公司董事、富荣基金管理有限公司董事。</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李峰先生，独立董事，芝加哥大学会计学博士。现任职美国密歇根大学Ross商学院终身教授、上海交通大学上海金融学院访问教授、上海宏力达信息技术股份有限公司独立董事、银科投资控股有限公司独立董事、富荣基金管理有限公司独立董事。</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林斌先生，独立董事，厦门大学经济学博士。现任中山大学管理学院会计学系教授、富荣基金管理有限公司独立董事。</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余</w:t>
      </w:r>
      <w:proofErr w:type="gramStart"/>
      <w:r w:rsidRPr="00DE17CF">
        <w:rPr>
          <w:rFonts w:asciiTheme="minorEastAsia" w:hAnsiTheme="minorEastAsia" w:cs="Arial" w:hint="eastAsia"/>
          <w:sz w:val="24"/>
          <w:szCs w:val="24"/>
        </w:rPr>
        <w:t>关健</w:t>
      </w:r>
      <w:proofErr w:type="gramEnd"/>
      <w:r w:rsidRPr="00DE17CF">
        <w:rPr>
          <w:rFonts w:asciiTheme="minorEastAsia" w:hAnsiTheme="minorEastAsia" w:cs="Arial" w:hint="eastAsia"/>
          <w:sz w:val="24"/>
          <w:szCs w:val="24"/>
        </w:rPr>
        <w:t>先生，独立董事，西南财经大学工业经济硕士研究生。曾任中国银行深圳分行信贷处处长、中国银行深圳分行风险管理处处长、深圳赛格、深圳特发集团董事、</w:t>
      </w:r>
      <w:proofErr w:type="gramStart"/>
      <w:r w:rsidRPr="00DE17CF">
        <w:rPr>
          <w:rFonts w:asciiTheme="minorEastAsia" w:hAnsiTheme="minorEastAsia" w:cs="Arial" w:hint="eastAsia"/>
          <w:sz w:val="24"/>
          <w:szCs w:val="24"/>
        </w:rPr>
        <w:t>邦</w:t>
      </w:r>
      <w:proofErr w:type="gramEnd"/>
      <w:r w:rsidRPr="00DE17CF">
        <w:rPr>
          <w:rFonts w:asciiTheme="minorEastAsia" w:hAnsiTheme="minorEastAsia" w:cs="Arial" w:hint="eastAsia"/>
          <w:sz w:val="24"/>
          <w:szCs w:val="24"/>
        </w:rPr>
        <w:t>信资产管理公司董事总经理、对外贸易集团股份有限公司董事长、东方资产管理公司办事处总经理，现任东银实业（深圳）有限公司董事、深圳金田股份有限公司独立董事、富荣基金管理有限公司独立董事。</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2、监事会成员</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基金管理人不设监事会，设监事两名，其中一名为职工监事。</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卢伟女士，监事，大专。</w:t>
      </w:r>
      <w:proofErr w:type="gramStart"/>
      <w:r w:rsidRPr="00DE17CF">
        <w:rPr>
          <w:rFonts w:asciiTheme="minorEastAsia" w:hAnsiTheme="minorEastAsia" w:cs="Arial" w:hint="eastAsia"/>
          <w:sz w:val="24"/>
          <w:szCs w:val="24"/>
        </w:rPr>
        <w:t>在盈投控股</w:t>
      </w:r>
      <w:proofErr w:type="gramEnd"/>
      <w:r w:rsidRPr="00DE17CF">
        <w:rPr>
          <w:rFonts w:asciiTheme="minorEastAsia" w:hAnsiTheme="minorEastAsia" w:cs="Arial" w:hint="eastAsia"/>
          <w:sz w:val="24"/>
          <w:szCs w:val="24"/>
        </w:rPr>
        <w:t>有限公司任职，现任富荣基金管理有限公司监事。</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毛志华先生，职工监事，本科。现任富荣基金管理有限公司监事。</w:t>
      </w:r>
    </w:p>
    <w:p w:rsidR="007A36DF" w:rsidRPr="00DE17CF" w:rsidRDefault="003E13F7" w:rsidP="005F6503">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3、高级管理人员</w:t>
      </w:r>
    </w:p>
    <w:p w:rsidR="008734F5" w:rsidRPr="00DE17CF" w:rsidRDefault="008734F5"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rsidR="008734F5" w:rsidRPr="00DE17CF" w:rsidRDefault="008734F5"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郭容辰女士，总经理，北京大学法学硕士，历任交通银行深圳福田支行行长、</w:t>
      </w:r>
      <w:r w:rsidRPr="00DE17CF">
        <w:rPr>
          <w:rFonts w:asciiTheme="minorEastAsia" w:hAnsiTheme="minorEastAsia" w:cs="Arial" w:hint="eastAsia"/>
          <w:sz w:val="24"/>
          <w:szCs w:val="24"/>
        </w:rPr>
        <w:lastRenderedPageBreak/>
        <w:t>深圳分行零售信贷部总经理、个人金融部总经理、华夏银行深圳分行个人金融部总经理、金鹰基金管理有限公司副总经理，现任富荣基金管理有限公司总经理。</w:t>
      </w:r>
    </w:p>
    <w:p w:rsidR="008734F5" w:rsidRPr="00DE17CF" w:rsidRDefault="008734F5"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苏春华先生,副总经理、首席投资官，中山大学硕士研究生，曾任广州期货贸易有限公司期货研究员、君安证券广州营业部高级分析员、光大银行广州证券部副经理兼研究室主任、广州银行资金营运中心总经理兼首席交易员，历任广东华兴银行金融市场部总经理、金融市场条</w:t>
      </w:r>
      <w:proofErr w:type="gramStart"/>
      <w:r w:rsidRPr="00DE17CF">
        <w:rPr>
          <w:rFonts w:asciiTheme="minorEastAsia" w:hAnsiTheme="minorEastAsia" w:cs="Arial" w:hint="eastAsia"/>
          <w:sz w:val="24"/>
          <w:szCs w:val="24"/>
        </w:rPr>
        <w:t>线业务</w:t>
      </w:r>
      <w:proofErr w:type="gramEnd"/>
      <w:r w:rsidRPr="00DE17CF">
        <w:rPr>
          <w:rFonts w:asciiTheme="minorEastAsia" w:hAnsiTheme="minorEastAsia" w:cs="Arial" w:hint="eastAsia"/>
          <w:sz w:val="24"/>
          <w:szCs w:val="24"/>
        </w:rPr>
        <w:t>总监、总行副行长，现任富荣基金管理有限公司副总经理、首席投资官。</w:t>
      </w:r>
    </w:p>
    <w:p w:rsidR="008734F5" w:rsidRPr="00DE17CF" w:rsidRDefault="008734F5"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林峰先生，副总经理，法学专业本科。曾任中国银行广州分行行员、广州白云支行会计，民生银行广州分行会计结算科负责人、系统财务科科长、越秀支行行长，广东省农村信用社联合社历任资金调剂营运中心总经理助理、副总经理、负责人等，现任富荣基金管理有限公司副总经理。</w:t>
      </w:r>
    </w:p>
    <w:p w:rsidR="007A36DF" w:rsidRPr="00DE17CF" w:rsidRDefault="008734F5"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滕大江先生，督察长，中南大学工学学士，先后供职于平安证券、</w:t>
      </w:r>
      <w:proofErr w:type="gramStart"/>
      <w:r w:rsidRPr="00DE17CF">
        <w:rPr>
          <w:rFonts w:asciiTheme="minorEastAsia" w:hAnsiTheme="minorEastAsia" w:cs="Arial" w:hint="eastAsia"/>
          <w:sz w:val="24"/>
          <w:szCs w:val="24"/>
        </w:rPr>
        <w:t>平安大</w:t>
      </w:r>
      <w:proofErr w:type="gramEnd"/>
      <w:r w:rsidRPr="00DE17CF">
        <w:rPr>
          <w:rFonts w:asciiTheme="minorEastAsia" w:hAnsiTheme="minorEastAsia" w:cs="Arial" w:hint="eastAsia"/>
          <w:sz w:val="24"/>
          <w:szCs w:val="24"/>
        </w:rPr>
        <w:t>华基金管理有限公司、前海开源基金管理有限公司监察稽核部门。现任富荣基金管理有限公司督察长。</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4、本</w:t>
      </w:r>
      <w:proofErr w:type="gramStart"/>
      <w:r w:rsidRPr="00DE17CF">
        <w:rPr>
          <w:rFonts w:asciiTheme="minorEastAsia" w:hAnsiTheme="minorEastAsia" w:cs="Arial" w:hint="eastAsia"/>
          <w:sz w:val="24"/>
          <w:szCs w:val="24"/>
        </w:rPr>
        <w:t>基金基金</w:t>
      </w:r>
      <w:proofErr w:type="gramEnd"/>
      <w:r w:rsidRPr="00DE17CF">
        <w:rPr>
          <w:rFonts w:asciiTheme="minorEastAsia" w:hAnsiTheme="minorEastAsia" w:cs="Arial" w:hint="eastAsia"/>
          <w:sz w:val="24"/>
          <w:szCs w:val="24"/>
        </w:rPr>
        <w:t>经理</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邓宇翔先生，权益</w:t>
      </w:r>
      <w:proofErr w:type="gramStart"/>
      <w:r w:rsidRPr="00DE17CF">
        <w:rPr>
          <w:rFonts w:asciiTheme="minorEastAsia" w:hAnsiTheme="minorEastAsia" w:cs="Arial" w:hint="eastAsia"/>
          <w:sz w:val="24"/>
          <w:szCs w:val="24"/>
        </w:rPr>
        <w:t>投资部兼研究</w:t>
      </w:r>
      <w:proofErr w:type="gramEnd"/>
      <w:r w:rsidRPr="00DE17CF">
        <w:rPr>
          <w:rFonts w:asciiTheme="minorEastAsia" w:hAnsiTheme="minorEastAsia" w:cs="Arial" w:hint="eastAsia"/>
          <w:sz w:val="24"/>
          <w:szCs w:val="24"/>
        </w:rPr>
        <w:t>部总监</w:t>
      </w:r>
      <w:r w:rsidRPr="00DE17CF">
        <w:rPr>
          <w:rFonts w:asciiTheme="minorEastAsia" w:hAnsiTheme="minorEastAsia" w:cs="Arial"/>
          <w:sz w:val="24"/>
          <w:szCs w:val="24"/>
        </w:rPr>
        <w:t>，</w:t>
      </w:r>
      <w:r w:rsidRPr="00DE17CF">
        <w:rPr>
          <w:rFonts w:asciiTheme="minorEastAsia" w:hAnsiTheme="minorEastAsia" w:cs="Arial" w:hint="eastAsia"/>
          <w:sz w:val="24"/>
          <w:szCs w:val="24"/>
        </w:rPr>
        <w:t>中国科学技术大学理学硕士，曾任西南证券股份有限公司资深投资经理、深圳展博投资有限公司投资经理、深圳东新佳投资有限公司投资经理。现任富荣基金管理有限公司权益</w:t>
      </w:r>
      <w:proofErr w:type="gramStart"/>
      <w:r w:rsidRPr="00DE17CF">
        <w:rPr>
          <w:rFonts w:asciiTheme="minorEastAsia" w:hAnsiTheme="minorEastAsia" w:cs="Arial" w:hint="eastAsia"/>
          <w:sz w:val="24"/>
          <w:szCs w:val="24"/>
        </w:rPr>
        <w:t>投资部兼研究</w:t>
      </w:r>
      <w:proofErr w:type="gramEnd"/>
      <w:r w:rsidRPr="00DE17CF">
        <w:rPr>
          <w:rFonts w:asciiTheme="minorEastAsia" w:hAnsiTheme="minorEastAsia" w:cs="Arial" w:hint="eastAsia"/>
          <w:sz w:val="24"/>
          <w:szCs w:val="24"/>
        </w:rPr>
        <w:t>部总监、基金经理。</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5、投资决策委员会成员的姓名、职务</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郭容辰女士，投资决策委员会主任委员、总经理。</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苏春华先生，投资决策委员会副主任委员、副总经理、首席投资官。</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林峰先生，投资决策委员会委员、副总经理。</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吕晓蓉女士，投资决策委员会委员、基金经理。</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邓宇翔先生，投资决策委员会委员、权益投资部总监、研究部总监、基金经理。</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万方毅女士，投资决策委员会委员、固定收益部总监。</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6、上述人员之间不存在近亲属关系。</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sz w:val="24"/>
          <w:szCs w:val="24"/>
        </w:rPr>
        <w:br w:type="page"/>
      </w:r>
    </w:p>
    <w:p w:rsidR="007A36DF" w:rsidRPr="00DE17CF" w:rsidRDefault="003E13F7" w:rsidP="00EF2B86">
      <w:pPr>
        <w:autoSpaceDE w:val="0"/>
        <w:autoSpaceDN w:val="0"/>
        <w:adjustRightInd w:val="0"/>
        <w:snapToGrid w:val="0"/>
        <w:spacing w:line="360" w:lineRule="auto"/>
        <w:ind w:firstLineChars="200" w:firstLine="480"/>
        <w:outlineLvl w:val="0"/>
        <w:rPr>
          <w:rFonts w:asciiTheme="minorEastAsia" w:hAnsiTheme="minorEastAsia" w:cs="Arial"/>
          <w:sz w:val="24"/>
          <w:szCs w:val="24"/>
        </w:rPr>
      </w:pPr>
      <w:bookmarkStart w:id="41" w:name="_Toc521572409"/>
      <w:r w:rsidRPr="00DE17CF">
        <w:rPr>
          <w:rFonts w:asciiTheme="minorEastAsia" w:hAnsiTheme="minorEastAsia" w:cs="Arial" w:hint="eastAsia"/>
          <w:sz w:val="24"/>
          <w:szCs w:val="24"/>
        </w:rPr>
        <w:lastRenderedPageBreak/>
        <w:t>二、基金托管人</w:t>
      </w:r>
      <w:bookmarkEnd w:id="41"/>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（一）基本情况</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名称：平安银行股份有限公司</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住所：广东省深圳市罗湖区深南东路5047号</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办公地址：广东省深圳市罗湖区深南东路5047号</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法定代表人：谢永林</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成立日期：1987年12月22日</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组织形式：股份有限公司</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注册资本：17,170,411,366元</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存续期间：持续经营</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基金托管资格批文及文号：中国证监会证监许可[2008]1037 号</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联系人：高希泉</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联系电话：(0755) 2219 7701</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平安银行股份有限公司是一家总部设在深圳的全国性股份制商业银行（深圳证券交易所简称：平安银行，证券代码000001）。其前身是深圳发展银行股份有限公司，于2012年6月吸收合并原平安银行并于同年7月更名为平安银行。中国平安保险（集团）股份有限公司及其子公司合计持有平安银行58%的股份，为平安银行的控股股东。截至2018年9月末，平安银行有 77 家分行,共1,056家营业机构。</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2018年1-9月，平安银行实现营业收入866.64亿元（同比增长8.6%）、净利润204.56亿元（同比增长6.8%）、资产总额33,520.56亿元（较上年末增长3.2%）、吸收存款余额21,346.41亿元（较上年末增长6.7%）、发放贷款和垫款总额（含贴现）19,220.47亿元（较上年末增幅12.8%）。</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平安银行总行</w:t>
      </w:r>
      <w:proofErr w:type="gramStart"/>
      <w:r w:rsidRPr="00DE17CF">
        <w:rPr>
          <w:rFonts w:asciiTheme="minorEastAsia" w:hAnsiTheme="minorEastAsia" w:cs="Arial" w:hint="eastAsia"/>
          <w:sz w:val="24"/>
          <w:szCs w:val="24"/>
        </w:rPr>
        <w:t>设资产</w:t>
      </w:r>
      <w:proofErr w:type="gramEnd"/>
      <w:r w:rsidRPr="00DE17CF">
        <w:rPr>
          <w:rFonts w:asciiTheme="minorEastAsia" w:hAnsiTheme="minorEastAsia" w:cs="Arial" w:hint="eastAsia"/>
          <w:sz w:val="24"/>
          <w:szCs w:val="24"/>
        </w:rPr>
        <w:t>托管事业部，下设市场拓展处、创新发展处、估值核算处、资金清算处、规划发展处、IT系统支持处、督察合</w:t>
      </w:r>
      <w:proofErr w:type="gramStart"/>
      <w:r w:rsidRPr="00DE17CF">
        <w:rPr>
          <w:rFonts w:asciiTheme="minorEastAsia" w:hAnsiTheme="minorEastAsia" w:cs="Arial" w:hint="eastAsia"/>
          <w:sz w:val="24"/>
          <w:szCs w:val="24"/>
        </w:rPr>
        <w:t>规</w:t>
      </w:r>
      <w:proofErr w:type="gramEnd"/>
      <w:r w:rsidRPr="00DE17CF">
        <w:rPr>
          <w:rFonts w:asciiTheme="minorEastAsia" w:hAnsiTheme="minorEastAsia" w:cs="Arial" w:hint="eastAsia"/>
          <w:sz w:val="24"/>
          <w:szCs w:val="24"/>
        </w:rPr>
        <w:t xml:space="preserve">处、基金服务中心8 </w:t>
      </w:r>
      <w:proofErr w:type="gramStart"/>
      <w:r w:rsidRPr="00DE17CF">
        <w:rPr>
          <w:rFonts w:asciiTheme="minorEastAsia" w:hAnsiTheme="minorEastAsia" w:cs="Arial" w:hint="eastAsia"/>
          <w:sz w:val="24"/>
          <w:szCs w:val="24"/>
        </w:rPr>
        <w:t>个</w:t>
      </w:r>
      <w:proofErr w:type="gramEnd"/>
      <w:r w:rsidRPr="00DE17CF">
        <w:rPr>
          <w:rFonts w:asciiTheme="minorEastAsia" w:hAnsiTheme="minorEastAsia" w:cs="Arial" w:hint="eastAsia"/>
          <w:sz w:val="24"/>
          <w:szCs w:val="24"/>
        </w:rPr>
        <w:t>处室，目前部门人员为60人。</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（二）主要人员情况</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陈正涛,男,中共党员，经济学硕士、高级经济师、高级理财规划师、国际注册私人银行家，具备《中国证券业执业证书》。长期从事商业银行工作，具有本外币资金清算，银行经营管理及基金托管业务的经营管理经验。1985年7月至1993</w:t>
      </w:r>
      <w:r w:rsidRPr="00DE17CF">
        <w:rPr>
          <w:rFonts w:asciiTheme="minorEastAsia" w:hAnsiTheme="minorEastAsia" w:cs="Arial" w:hint="eastAsia"/>
          <w:sz w:val="24"/>
          <w:szCs w:val="24"/>
        </w:rPr>
        <w:lastRenderedPageBreak/>
        <w:t>年2月在武汉金融高等专科学校任教；1993年3月至1993年7月在招商银行武汉分行任客户经理；1993年8月至1999年2月在招行武汉分行武昌支行任计划信贷部经理、行长助理；1999年3月－2000年1月在招行武汉分行青山支行任行长助理；2000年2月至2001年7月在招行武汉分行公司银行部任副总经理；2001年8月至2003年2月在招行武汉分行解放公园支行任行长；2003年3月至2005年4月在招行武汉分行机构业务部任总经理；2005年5月至2007年6月在招行武汉分行硚口支行任行长；2007年7月至2008年1月在招行武汉分行同业银行部任总经理；自2008年2月加盟平安银行先后任公司业务部总经理助理、产品及交易银行部副总经理，一直负责公司银行产品开发与管理，全面掌握银行产品包括托管业务产品的运作、营销和管理，尤其是对商业银行有关的各项监管政策比较熟悉。2011年12月任平安银行资产托管部副总经理；2013年5月起任平安银行资产托管事业部副总裁（主持工作）；2015年3月5日起任平安银行资产托管事业部总裁。</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（三）基金托管业务经营情况</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2008年8月15日获得中国证监会、银监会核准开办证券投资基金托管业务。</w:t>
      </w:r>
    </w:p>
    <w:p w:rsidR="007A36DF"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截至2018年11月末，平安银行股份有限公司托管净值规模合计5.76</w:t>
      </w:r>
      <w:proofErr w:type="gramStart"/>
      <w:r w:rsidRPr="00DE17CF">
        <w:rPr>
          <w:rFonts w:asciiTheme="minorEastAsia" w:hAnsiTheme="minorEastAsia" w:cs="Arial" w:hint="eastAsia"/>
          <w:sz w:val="24"/>
          <w:szCs w:val="24"/>
        </w:rPr>
        <w:t>万亿</w:t>
      </w:r>
      <w:proofErr w:type="gramEnd"/>
      <w:r w:rsidRPr="00DE17CF">
        <w:rPr>
          <w:rFonts w:asciiTheme="minorEastAsia" w:hAnsiTheme="minorEastAsia" w:cs="Arial" w:hint="eastAsia"/>
          <w:sz w:val="24"/>
          <w:szCs w:val="24"/>
        </w:rPr>
        <w:t>，托管证券投资基金共113只，具体包括华</w:t>
      </w:r>
      <w:proofErr w:type="gramStart"/>
      <w:r w:rsidRPr="00DE17CF">
        <w:rPr>
          <w:rFonts w:asciiTheme="minorEastAsia" w:hAnsiTheme="minorEastAsia" w:cs="Arial" w:hint="eastAsia"/>
          <w:sz w:val="24"/>
          <w:szCs w:val="24"/>
        </w:rPr>
        <w:t>富价值</w:t>
      </w:r>
      <w:proofErr w:type="gramEnd"/>
      <w:r w:rsidRPr="00DE17CF">
        <w:rPr>
          <w:rFonts w:asciiTheme="minorEastAsia" w:hAnsiTheme="minorEastAsia" w:cs="Arial" w:hint="eastAsia"/>
          <w:sz w:val="24"/>
          <w:szCs w:val="24"/>
        </w:rPr>
        <w:t>增长灵活配置混合型证券投资基金、华富量子生命力股票型证券投资基金、长信可转债债券型证券投资基金、招商保证金快线货币市场基金、平安日增利货币市场基金、新华</w:t>
      </w:r>
      <w:proofErr w:type="gramStart"/>
      <w:r w:rsidRPr="00DE17CF">
        <w:rPr>
          <w:rFonts w:asciiTheme="minorEastAsia" w:hAnsiTheme="minorEastAsia" w:cs="Arial" w:hint="eastAsia"/>
          <w:sz w:val="24"/>
          <w:szCs w:val="24"/>
        </w:rPr>
        <w:t>鑫</w:t>
      </w:r>
      <w:proofErr w:type="gramEnd"/>
      <w:r w:rsidRPr="00DE17CF">
        <w:rPr>
          <w:rFonts w:asciiTheme="minorEastAsia" w:hAnsiTheme="minorEastAsia" w:cs="Arial" w:hint="eastAsia"/>
          <w:sz w:val="24"/>
          <w:szCs w:val="24"/>
        </w:rPr>
        <w:t>益灵活配置混合型证券投资基金、东吴中证可转换债券指数分级证券投资基金、平安财富宝货币市场基金、红塔红土</w:t>
      </w:r>
      <w:proofErr w:type="gramStart"/>
      <w:r w:rsidRPr="00DE17CF">
        <w:rPr>
          <w:rFonts w:asciiTheme="minorEastAsia" w:hAnsiTheme="minorEastAsia" w:cs="Arial" w:hint="eastAsia"/>
          <w:sz w:val="24"/>
          <w:szCs w:val="24"/>
        </w:rPr>
        <w:t>盛世普益灵活</w:t>
      </w:r>
      <w:proofErr w:type="gramEnd"/>
      <w:r w:rsidRPr="00DE17CF">
        <w:rPr>
          <w:rFonts w:asciiTheme="minorEastAsia" w:hAnsiTheme="minorEastAsia" w:cs="Arial" w:hint="eastAsia"/>
          <w:sz w:val="24"/>
          <w:szCs w:val="24"/>
        </w:rPr>
        <w:t>配置混合型发起式证券投资基金、新华活期添利货币市场证券投资基金、民生加银优选股票型证券投资基金、新华增盈回报债券型证券投资基金、鹏</w:t>
      </w:r>
      <w:proofErr w:type="gramStart"/>
      <w:r w:rsidRPr="00DE17CF">
        <w:rPr>
          <w:rFonts w:asciiTheme="minorEastAsia" w:hAnsiTheme="minorEastAsia" w:cs="Arial" w:hint="eastAsia"/>
          <w:sz w:val="24"/>
          <w:szCs w:val="24"/>
        </w:rPr>
        <w:t>华安盈宝货币市场</w:t>
      </w:r>
      <w:proofErr w:type="gramEnd"/>
      <w:r w:rsidRPr="00DE17CF">
        <w:rPr>
          <w:rFonts w:asciiTheme="minorEastAsia" w:hAnsiTheme="minorEastAsia" w:cs="Arial" w:hint="eastAsia"/>
          <w:sz w:val="24"/>
          <w:szCs w:val="24"/>
        </w:rPr>
        <w:t>基金、平安新</w:t>
      </w:r>
      <w:proofErr w:type="gramStart"/>
      <w:r w:rsidRPr="00DE17CF">
        <w:rPr>
          <w:rFonts w:asciiTheme="minorEastAsia" w:hAnsiTheme="minorEastAsia" w:cs="Arial" w:hint="eastAsia"/>
          <w:sz w:val="24"/>
          <w:szCs w:val="24"/>
        </w:rPr>
        <w:t>鑫</w:t>
      </w:r>
      <w:proofErr w:type="gramEnd"/>
      <w:r w:rsidRPr="00DE17CF">
        <w:rPr>
          <w:rFonts w:asciiTheme="minorEastAsia" w:hAnsiTheme="minorEastAsia" w:cs="Arial" w:hint="eastAsia"/>
          <w:sz w:val="24"/>
          <w:szCs w:val="24"/>
        </w:rPr>
        <w:t>先锋混合型证券投资基金、新华万银多元策略灵活配置混合型证券投资基金、中海进取收益灵活配置混合型证券投资基金、东吴移动互联灵活配置混合型证券投资基金、平安智慧中国灵活配置混合型证券投资基金、国金通用</w:t>
      </w:r>
      <w:proofErr w:type="gramStart"/>
      <w:r w:rsidRPr="00DE17CF">
        <w:rPr>
          <w:rFonts w:asciiTheme="minorEastAsia" w:hAnsiTheme="minorEastAsia" w:cs="Arial" w:hint="eastAsia"/>
          <w:sz w:val="24"/>
          <w:szCs w:val="24"/>
        </w:rPr>
        <w:t>鑫</w:t>
      </w:r>
      <w:proofErr w:type="gramEnd"/>
      <w:r w:rsidRPr="00DE17CF">
        <w:rPr>
          <w:rFonts w:asciiTheme="minorEastAsia" w:hAnsiTheme="minorEastAsia" w:cs="Arial" w:hint="eastAsia"/>
          <w:sz w:val="24"/>
          <w:szCs w:val="24"/>
        </w:rPr>
        <w:t>新灵活配置混合型证券投资基金（LOF）、</w:t>
      </w:r>
      <w:proofErr w:type="gramStart"/>
      <w:r w:rsidRPr="00DE17CF">
        <w:rPr>
          <w:rFonts w:asciiTheme="minorEastAsia" w:hAnsiTheme="minorEastAsia" w:cs="Arial" w:hint="eastAsia"/>
          <w:sz w:val="24"/>
          <w:szCs w:val="24"/>
        </w:rPr>
        <w:t>嘉合磐石</w:t>
      </w:r>
      <w:proofErr w:type="gramEnd"/>
      <w:r w:rsidRPr="00DE17CF">
        <w:rPr>
          <w:rFonts w:asciiTheme="minorEastAsia" w:hAnsiTheme="minorEastAsia" w:cs="Arial" w:hint="eastAsia"/>
          <w:sz w:val="24"/>
          <w:szCs w:val="24"/>
        </w:rPr>
        <w:t>混合型证券投资基金、平安</w:t>
      </w:r>
      <w:proofErr w:type="gramStart"/>
      <w:r w:rsidRPr="00DE17CF">
        <w:rPr>
          <w:rFonts w:asciiTheme="minorEastAsia" w:hAnsiTheme="minorEastAsia" w:cs="Arial" w:hint="eastAsia"/>
          <w:sz w:val="24"/>
          <w:szCs w:val="24"/>
        </w:rPr>
        <w:t>鑫</w:t>
      </w:r>
      <w:proofErr w:type="gramEnd"/>
      <w:r w:rsidRPr="00DE17CF">
        <w:rPr>
          <w:rFonts w:asciiTheme="minorEastAsia" w:hAnsiTheme="minorEastAsia" w:cs="Arial" w:hint="eastAsia"/>
          <w:sz w:val="24"/>
          <w:szCs w:val="24"/>
        </w:rPr>
        <w:t>享混合型证券投资基金、</w:t>
      </w:r>
      <w:proofErr w:type="gramStart"/>
      <w:r w:rsidRPr="00DE17CF">
        <w:rPr>
          <w:rFonts w:asciiTheme="minorEastAsia" w:hAnsiTheme="minorEastAsia" w:cs="Arial" w:hint="eastAsia"/>
          <w:sz w:val="24"/>
          <w:szCs w:val="24"/>
        </w:rPr>
        <w:t>广发聚盛</w:t>
      </w:r>
      <w:proofErr w:type="gramEnd"/>
      <w:r w:rsidRPr="00DE17CF">
        <w:rPr>
          <w:rFonts w:asciiTheme="minorEastAsia" w:hAnsiTheme="minorEastAsia" w:cs="Arial" w:hint="eastAsia"/>
          <w:sz w:val="24"/>
          <w:szCs w:val="24"/>
        </w:rPr>
        <w:t>灵活配置混合型证券投资基金、鹏</w:t>
      </w:r>
      <w:proofErr w:type="gramStart"/>
      <w:r w:rsidRPr="00DE17CF">
        <w:rPr>
          <w:rFonts w:asciiTheme="minorEastAsia" w:hAnsiTheme="minorEastAsia" w:cs="Arial" w:hint="eastAsia"/>
          <w:sz w:val="24"/>
          <w:szCs w:val="24"/>
        </w:rPr>
        <w:t>华弘安</w:t>
      </w:r>
      <w:proofErr w:type="gramEnd"/>
      <w:r w:rsidRPr="00DE17CF">
        <w:rPr>
          <w:rFonts w:asciiTheme="minorEastAsia" w:hAnsiTheme="minorEastAsia" w:cs="Arial" w:hint="eastAsia"/>
          <w:sz w:val="24"/>
          <w:szCs w:val="24"/>
        </w:rPr>
        <w:t>灵活配置混合型证券投资基金、博</w:t>
      </w:r>
      <w:proofErr w:type="gramStart"/>
      <w:r w:rsidRPr="00DE17CF">
        <w:rPr>
          <w:rFonts w:asciiTheme="minorEastAsia" w:hAnsiTheme="minorEastAsia" w:cs="Arial" w:hint="eastAsia"/>
          <w:sz w:val="24"/>
          <w:szCs w:val="24"/>
        </w:rPr>
        <w:t>时裕泰纯债</w:t>
      </w:r>
      <w:proofErr w:type="gramEnd"/>
      <w:r w:rsidRPr="00DE17CF">
        <w:rPr>
          <w:rFonts w:asciiTheme="minorEastAsia" w:hAnsiTheme="minorEastAsia" w:cs="Arial" w:hint="eastAsia"/>
          <w:sz w:val="24"/>
          <w:szCs w:val="24"/>
        </w:rPr>
        <w:t>债券型证券投资基金、德</w:t>
      </w:r>
      <w:proofErr w:type="gramStart"/>
      <w:r w:rsidRPr="00DE17CF">
        <w:rPr>
          <w:rFonts w:asciiTheme="minorEastAsia" w:hAnsiTheme="minorEastAsia" w:cs="Arial" w:hint="eastAsia"/>
          <w:sz w:val="24"/>
          <w:szCs w:val="24"/>
        </w:rPr>
        <w:t>邦</w:t>
      </w:r>
      <w:proofErr w:type="gramEnd"/>
      <w:r w:rsidRPr="00DE17CF">
        <w:rPr>
          <w:rFonts w:asciiTheme="minorEastAsia" w:hAnsiTheme="minorEastAsia" w:cs="Arial" w:hint="eastAsia"/>
          <w:sz w:val="24"/>
          <w:szCs w:val="24"/>
        </w:rPr>
        <w:t>增利货币市场基金、中海顺</w:t>
      </w:r>
      <w:proofErr w:type="gramStart"/>
      <w:r w:rsidRPr="00DE17CF">
        <w:rPr>
          <w:rFonts w:asciiTheme="minorEastAsia" w:hAnsiTheme="minorEastAsia" w:cs="Arial" w:hint="eastAsia"/>
          <w:sz w:val="24"/>
          <w:szCs w:val="24"/>
        </w:rPr>
        <w:t>鑫</w:t>
      </w:r>
      <w:proofErr w:type="gramEnd"/>
      <w:r w:rsidRPr="00DE17CF">
        <w:rPr>
          <w:rFonts w:asciiTheme="minorEastAsia" w:hAnsiTheme="minorEastAsia" w:cs="Arial" w:hint="eastAsia"/>
          <w:sz w:val="24"/>
          <w:szCs w:val="24"/>
        </w:rPr>
        <w:t>保本混合型证券投资基金、民生加银新收益债券型证券投资基金、东方红</w:t>
      </w:r>
      <w:proofErr w:type="gramStart"/>
      <w:r w:rsidRPr="00DE17CF">
        <w:rPr>
          <w:rFonts w:asciiTheme="minorEastAsia" w:hAnsiTheme="minorEastAsia" w:cs="Arial" w:hint="eastAsia"/>
          <w:sz w:val="24"/>
          <w:szCs w:val="24"/>
        </w:rPr>
        <w:t>睿轩沪</w:t>
      </w:r>
      <w:proofErr w:type="gramEnd"/>
      <w:r w:rsidRPr="00DE17CF">
        <w:rPr>
          <w:rFonts w:asciiTheme="minorEastAsia" w:hAnsiTheme="minorEastAsia" w:cs="Arial" w:hint="eastAsia"/>
          <w:sz w:val="24"/>
          <w:szCs w:val="24"/>
        </w:rPr>
        <w:t>港深灵活配置混合型证券投资基金、</w:t>
      </w:r>
      <w:proofErr w:type="gramStart"/>
      <w:r w:rsidRPr="00DE17CF">
        <w:rPr>
          <w:rFonts w:asciiTheme="minorEastAsia" w:hAnsiTheme="minorEastAsia" w:cs="Arial" w:hint="eastAsia"/>
          <w:sz w:val="24"/>
          <w:szCs w:val="24"/>
        </w:rPr>
        <w:t>浙商汇</w:t>
      </w:r>
      <w:proofErr w:type="gramEnd"/>
      <w:r w:rsidRPr="00DE17CF">
        <w:rPr>
          <w:rFonts w:asciiTheme="minorEastAsia" w:hAnsiTheme="minorEastAsia" w:cs="Arial" w:hint="eastAsia"/>
          <w:sz w:val="24"/>
          <w:szCs w:val="24"/>
        </w:rPr>
        <w:t>金转型升级灵活配置混合型证券投资基金、广发安泽</w:t>
      </w:r>
      <w:proofErr w:type="gramStart"/>
      <w:r w:rsidRPr="00DE17CF">
        <w:rPr>
          <w:rFonts w:asciiTheme="minorEastAsia" w:hAnsiTheme="minorEastAsia" w:cs="Arial" w:hint="eastAsia"/>
          <w:sz w:val="24"/>
          <w:szCs w:val="24"/>
        </w:rPr>
        <w:t>回报纯</w:t>
      </w:r>
      <w:r w:rsidRPr="00DE17CF">
        <w:rPr>
          <w:rFonts w:asciiTheme="minorEastAsia" w:hAnsiTheme="minorEastAsia" w:cs="Arial" w:hint="eastAsia"/>
          <w:sz w:val="24"/>
          <w:szCs w:val="24"/>
        </w:rPr>
        <w:lastRenderedPageBreak/>
        <w:t>债债券</w:t>
      </w:r>
      <w:proofErr w:type="gramEnd"/>
      <w:r w:rsidRPr="00DE17CF">
        <w:rPr>
          <w:rFonts w:asciiTheme="minorEastAsia" w:hAnsiTheme="minorEastAsia" w:cs="Arial" w:hint="eastAsia"/>
          <w:sz w:val="24"/>
          <w:szCs w:val="24"/>
        </w:rPr>
        <w:t>型证券投资基金、博</w:t>
      </w:r>
      <w:proofErr w:type="gramStart"/>
      <w:r w:rsidRPr="00DE17CF">
        <w:rPr>
          <w:rFonts w:asciiTheme="minorEastAsia" w:hAnsiTheme="minorEastAsia" w:cs="Arial" w:hint="eastAsia"/>
          <w:sz w:val="24"/>
          <w:szCs w:val="24"/>
        </w:rPr>
        <w:t>时裕景纯债</w:t>
      </w:r>
      <w:proofErr w:type="gramEnd"/>
      <w:r w:rsidRPr="00DE17CF">
        <w:rPr>
          <w:rFonts w:asciiTheme="minorEastAsia" w:hAnsiTheme="minorEastAsia" w:cs="Arial" w:hint="eastAsia"/>
          <w:sz w:val="24"/>
          <w:szCs w:val="24"/>
        </w:rPr>
        <w:t>债券型证券投资基金、平安</w:t>
      </w:r>
      <w:proofErr w:type="gramStart"/>
      <w:r w:rsidRPr="00DE17CF">
        <w:rPr>
          <w:rFonts w:asciiTheme="minorEastAsia" w:hAnsiTheme="minorEastAsia" w:cs="Arial" w:hint="eastAsia"/>
          <w:sz w:val="24"/>
          <w:szCs w:val="24"/>
        </w:rPr>
        <w:t>惠盈纯债</w:t>
      </w:r>
      <w:proofErr w:type="gramEnd"/>
      <w:r w:rsidRPr="00DE17CF">
        <w:rPr>
          <w:rFonts w:asciiTheme="minorEastAsia" w:hAnsiTheme="minorEastAsia" w:cs="Arial" w:hint="eastAsia"/>
          <w:sz w:val="24"/>
          <w:szCs w:val="24"/>
        </w:rPr>
        <w:t>债券型证券投资基金、长城久源保本混合型证券投资基金、平安</w:t>
      </w:r>
      <w:proofErr w:type="gramStart"/>
      <w:r w:rsidRPr="00DE17CF">
        <w:rPr>
          <w:rFonts w:asciiTheme="minorEastAsia" w:hAnsiTheme="minorEastAsia" w:cs="Arial" w:hint="eastAsia"/>
          <w:sz w:val="24"/>
          <w:szCs w:val="24"/>
        </w:rPr>
        <w:t>安</w:t>
      </w:r>
      <w:proofErr w:type="gramEnd"/>
      <w:r w:rsidRPr="00DE17CF">
        <w:rPr>
          <w:rFonts w:asciiTheme="minorEastAsia" w:hAnsiTheme="minorEastAsia" w:cs="Arial" w:hint="eastAsia"/>
          <w:sz w:val="24"/>
          <w:szCs w:val="24"/>
        </w:rPr>
        <w:t>盈保本混合型证券投资基金、嘉</w:t>
      </w:r>
      <w:proofErr w:type="gramStart"/>
      <w:r w:rsidRPr="00DE17CF">
        <w:rPr>
          <w:rFonts w:asciiTheme="minorEastAsia" w:hAnsiTheme="minorEastAsia" w:cs="Arial" w:hint="eastAsia"/>
          <w:sz w:val="24"/>
          <w:szCs w:val="24"/>
        </w:rPr>
        <w:t>实稳盛</w:t>
      </w:r>
      <w:proofErr w:type="gramEnd"/>
      <w:r w:rsidRPr="00DE17CF">
        <w:rPr>
          <w:rFonts w:asciiTheme="minorEastAsia" w:hAnsiTheme="minorEastAsia" w:cs="Arial" w:hint="eastAsia"/>
          <w:sz w:val="24"/>
          <w:szCs w:val="24"/>
        </w:rPr>
        <w:t>债券型证券投资基金、</w:t>
      </w:r>
      <w:proofErr w:type="gramStart"/>
      <w:r w:rsidRPr="00DE17CF">
        <w:rPr>
          <w:rFonts w:asciiTheme="minorEastAsia" w:hAnsiTheme="minorEastAsia" w:cs="Arial" w:hint="eastAsia"/>
          <w:sz w:val="24"/>
          <w:szCs w:val="24"/>
        </w:rPr>
        <w:t>长信先锐债券</w:t>
      </w:r>
      <w:proofErr w:type="gramEnd"/>
      <w:r w:rsidRPr="00DE17CF">
        <w:rPr>
          <w:rFonts w:asciiTheme="minorEastAsia" w:hAnsiTheme="minorEastAsia" w:cs="Arial" w:hint="eastAsia"/>
          <w:sz w:val="24"/>
          <w:szCs w:val="24"/>
        </w:rPr>
        <w:t>型证券投资基金、华润元大现金通货币市场基金、</w:t>
      </w:r>
      <w:proofErr w:type="gramStart"/>
      <w:r w:rsidRPr="00DE17CF">
        <w:rPr>
          <w:rFonts w:asciiTheme="minorEastAsia" w:hAnsiTheme="minorEastAsia" w:cs="Arial" w:hint="eastAsia"/>
          <w:sz w:val="24"/>
          <w:szCs w:val="24"/>
        </w:rPr>
        <w:t>平安鼎信定期</w:t>
      </w:r>
      <w:proofErr w:type="gramEnd"/>
      <w:r w:rsidRPr="00DE17CF">
        <w:rPr>
          <w:rFonts w:asciiTheme="minorEastAsia" w:hAnsiTheme="minorEastAsia" w:cs="Arial" w:hint="eastAsia"/>
          <w:sz w:val="24"/>
          <w:szCs w:val="24"/>
        </w:rPr>
        <w:t>开放债券型证券投资基金、</w:t>
      </w:r>
      <w:proofErr w:type="gramStart"/>
      <w:r w:rsidRPr="00DE17CF">
        <w:rPr>
          <w:rFonts w:asciiTheme="minorEastAsia" w:hAnsiTheme="minorEastAsia" w:cs="Arial" w:hint="eastAsia"/>
          <w:sz w:val="24"/>
          <w:szCs w:val="24"/>
        </w:rPr>
        <w:t>平安鼎泰灵活</w:t>
      </w:r>
      <w:proofErr w:type="gramEnd"/>
      <w:r w:rsidRPr="00DE17CF">
        <w:rPr>
          <w:rFonts w:asciiTheme="minorEastAsia" w:hAnsiTheme="minorEastAsia" w:cs="Arial" w:hint="eastAsia"/>
          <w:sz w:val="24"/>
          <w:szCs w:val="24"/>
        </w:rPr>
        <w:t>配置混合型证券投资基金、</w:t>
      </w:r>
      <w:proofErr w:type="gramStart"/>
      <w:r w:rsidRPr="00DE17CF">
        <w:rPr>
          <w:rFonts w:asciiTheme="minorEastAsia" w:hAnsiTheme="minorEastAsia" w:cs="Arial" w:hint="eastAsia"/>
          <w:sz w:val="24"/>
          <w:szCs w:val="24"/>
        </w:rPr>
        <w:t>南方荣欢</w:t>
      </w:r>
      <w:proofErr w:type="gramEnd"/>
      <w:r w:rsidRPr="00DE17CF">
        <w:rPr>
          <w:rFonts w:asciiTheme="minorEastAsia" w:hAnsiTheme="minorEastAsia" w:cs="Arial" w:hint="eastAsia"/>
          <w:sz w:val="24"/>
          <w:szCs w:val="24"/>
        </w:rPr>
        <w:t>定期开放混合型发起式证券投资基金、长信</w:t>
      </w:r>
      <w:proofErr w:type="gramStart"/>
      <w:r w:rsidRPr="00DE17CF">
        <w:rPr>
          <w:rFonts w:asciiTheme="minorEastAsia" w:hAnsiTheme="minorEastAsia" w:cs="Arial" w:hint="eastAsia"/>
          <w:sz w:val="24"/>
          <w:szCs w:val="24"/>
        </w:rPr>
        <w:t>富平纯债一年</w:t>
      </w:r>
      <w:proofErr w:type="gramEnd"/>
      <w:r w:rsidRPr="00DE17CF">
        <w:rPr>
          <w:rFonts w:asciiTheme="minorEastAsia" w:hAnsiTheme="minorEastAsia" w:cs="Arial" w:hint="eastAsia"/>
          <w:sz w:val="24"/>
          <w:szCs w:val="24"/>
        </w:rPr>
        <w:t>定期开放债券型证券投资基金、中海</w:t>
      </w:r>
      <w:proofErr w:type="gramStart"/>
      <w:r w:rsidRPr="00DE17CF">
        <w:rPr>
          <w:rFonts w:asciiTheme="minorEastAsia" w:hAnsiTheme="minorEastAsia" w:cs="Arial" w:hint="eastAsia"/>
          <w:sz w:val="24"/>
          <w:szCs w:val="24"/>
        </w:rPr>
        <w:t>合嘉增强</w:t>
      </w:r>
      <w:proofErr w:type="gramEnd"/>
      <w:r w:rsidRPr="00DE17CF">
        <w:rPr>
          <w:rFonts w:asciiTheme="minorEastAsia" w:hAnsiTheme="minorEastAsia" w:cs="Arial" w:hint="eastAsia"/>
          <w:sz w:val="24"/>
          <w:szCs w:val="24"/>
        </w:rPr>
        <w:t>收益债券型证券投资基金、富兰克林国海新活力灵活配置混合型证券投资基金、南方</w:t>
      </w:r>
      <w:proofErr w:type="gramStart"/>
      <w:r w:rsidRPr="00DE17CF">
        <w:rPr>
          <w:rFonts w:asciiTheme="minorEastAsia" w:hAnsiTheme="minorEastAsia" w:cs="Arial" w:hint="eastAsia"/>
          <w:sz w:val="24"/>
          <w:szCs w:val="24"/>
        </w:rPr>
        <w:t>颐</w:t>
      </w:r>
      <w:proofErr w:type="gramEnd"/>
      <w:r w:rsidRPr="00DE17CF">
        <w:rPr>
          <w:rFonts w:asciiTheme="minorEastAsia" w:hAnsiTheme="minorEastAsia" w:cs="Arial" w:hint="eastAsia"/>
          <w:sz w:val="24"/>
          <w:szCs w:val="24"/>
        </w:rPr>
        <w:t>元债券型发起式证券投资基金、鹏</w:t>
      </w:r>
      <w:proofErr w:type="gramStart"/>
      <w:r w:rsidRPr="00DE17CF">
        <w:rPr>
          <w:rFonts w:asciiTheme="minorEastAsia" w:hAnsiTheme="minorEastAsia" w:cs="Arial" w:hint="eastAsia"/>
          <w:sz w:val="24"/>
          <w:szCs w:val="24"/>
        </w:rPr>
        <w:t>华弘惠</w:t>
      </w:r>
      <w:proofErr w:type="gramEnd"/>
      <w:r w:rsidRPr="00DE17CF">
        <w:rPr>
          <w:rFonts w:asciiTheme="minorEastAsia" w:hAnsiTheme="minorEastAsia" w:cs="Arial" w:hint="eastAsia"/>
          <w:sz w:val="24"/>
          <w:szCs w:val="24"/>
        </w:rPr>
        <w:t>灵活配置混合型证券投资基金、鹏华兴安定</w:t>
      </w:r>
      <w:proofErr w:type="gramStart"/>
      <w:r w:rsidRPr="00DE17CF">
        <w:rPr>
          <w:rFonts w:asciiTheme="minorEastAsia" w:hAnsiTheme="minorEastAsia" w:cs="Arial" w:hint="eastAsia"/>
          <w:sz w:val="24"/>
          <w:szCs w:val="24"/>
        </w:rPr>
        <w:t>期开放</w:t>
      </w:r>
      <w:proofErr w:type="gramEnd"/>
      <w:r w:rsidRPr="00DE17CF">
        <w:rPr>
          <w:rFonts w:asciiTheme="minorEastAsia" w:hAnsiTheme="minorEastAsia" w:cs="Arial" w:hint="eastAsia"/>
          <w:sz w:val="24"/>
          <w:szCs w:val="24"/>
        </w:rPr>
        <w:t>灵活配置混合型证券投资基金、</w:t>
      </w:r>
      <w:proofErr w:type="gramStart"/>
      <w:r w:rsidRPr="00DE17CF">
        <w:rPr>
          <w:rFonts w:asciiTheme="minorEastAsia" w:hAnsiTheme="minorEastAsia" w:cs="Arial" w:hint="eastAsia"/>
          <w:sz w:val="24"/>
          <w:szCs w:val="24"/>
        </w:rPr>
        <w:t>西部利</w:t>
      </w:r>
      <w:proofErr w:type="gramEnd"/>
      <w:r w:rsidRPr="00DE17CF">
        <w:rPr>
          <w:rFonts w:asciiTheme="minorEastAsia" w:hAnsiTheme="minorEastAsia" w:cs="Arial" w:hint="eastAsia"/>
          <w:sz w:val="24"/>
          <w:szCs w:val="24"/>
        </w:rPr>
        <w:t>得天添利货币市场基金、鹏</w:t>
      </w:r>
      <w:proofErr w:type="gramStart"/>
      <w:r w:rsidRPr="00DE17CF">
        <w:rPr>
          <w:rFonts w:asciiTheme="minorEastAsia" w:hAnsiTheme="minorEastAsia" w:cs="Arial" w:hint="eastAsia"/>
          <w:sz w:val="24"/>
          <w:szCs w:val="24"/>
        </w:rPr>
        <w:t>华弘腾</w:t>
      </w:r>
      <w:proofErr w:type="gramEnd"/>
      <w:r w:rsidRPr="00DE17CF">
        <w:rPr>
          <w:rFonts w:asciiTheme="minorEastAsia" w:hAnsiTheme="minorEastAsia" w:cs="Arial" w:hint="eastAsia"/>
          <w:sz w:val="24"/>
          <w:szCs w:val="24"/>
        </w:rPr>
        <w:t>灵活配置混合型证券投资基金、博时安祺一年定期开放债券型证券投资基金、安信活期宝货币市场基金、广发鑫源灵活配置混合型证券投资基金、平安惠享纯债债券型证券投资基金、广发安悦回报灵活配置混合型证券投资基金、平安惠融纯债债券型证券投资基金、广发沪港深新起点股票型证券投资基金、平安惠金定期开放债券型证券投资基金、鹏华弘腾成长多策略灵活配置混合型证券投资基金、博时丰达纯债6个月定期开放债券型发起式证券投资基金、英大睿鑫灵活配置混合型证券投资基金、西部利得新动力灵活配置混合型证券投资基金、平安惠利纯债债券型证券投资基金、广发鑫盛18个月定期开放混合型证券投资基金、长盛盛丰灵活配置混合型证券投资基金、鹏华丰盈债券型证券投资基金、平安惠隆纯债债券型证券投资基金、平安金管家货币市场基金、平安鑫利定期开放灵活配置混合型证券投资基金、国联安睿智定期开放混合型证券投资基金、华泰柏瑞享利灵活配置混合型证券投资基金、广发汇平一年定期开放债券型证券投资基金、平安中证沪港深高股息精选指数型证券投资基金、前海开源聚财宝货币市场基金、招商稳阳定期开放灵活配置混合型证券投资基金、长盛盛瑞灵活配置混合型证券投资基金、前海开源沪港深隆鑫灵活配置混合型证券投资基金、金鹰添荣纯债债券型证券投资基金、西部利得汇享债券型证券投资基金、鹏华丰玉债券型证券投资基金、华安睿安定期开放混合型证券投资基金、西部利得久安回报灵活配置混合型证券投资基金、广发汇安18个月定期开放债券型证券投资基金、上投摩根岁岁金定期开放债券型证券投资基金、平安转型创新灵活配置混合型证券投资基金、南方和元债券型证券投资基金、中金丰沃灵活配置混合型证券投资基金、兴银消费新趋势灵活配置混合型证券投资基金、南方高元债券型发起式证券投资基金、易方达瑞</w:t>
      </w:r>
      <w:r w:rsidRPr="00DE17CF">
        <w:rPr>
          <w:rFonts w:asciiTheme="minorEastAsia" w:hAnsiTheme="minorEastAsia" w:cs="Arial" w:hint="eastAsia"/>
          <w:sz w:val="24"/>
          <w:szCs w:val="24"/>
        </w:rPr>
        <w:lastRenderedPageBreak/>
        <w:t>智灵活配置混合型证券投资基金、中金丰颐灵活配置混合型证券投资基金、中金丰鸿灵活配置混合型证券投资基金、平安惠泽纯债债券型证券投资基金、南方智造未来股票型证券投资基金、万家安弘纯债一年定期开放债券型证券投资基金、平安量化先锋混合型发起式证券投资基金、平安沪深300指数量化增强证券投资基金、平安合正定期开放纯债债券型发起式证券投资基金、嘉合磐通债券型证券投资基金、华夏鼎旺三个月定期开放债券型发起式证券投资基金、国泰安惠收益定期开放债券型证券投资基金、博时富安纯债3个月定期开放债券型发起式证券投资基金、富荣福鑫灵活配置混合型证券投资基金、富荣福锦混合型证券投资基金、前海开源丰鑫灵活配置混合型证券投资基金、平安中证500交易型开放式指数证券投资基金（ETF）、汇添富鑫成定期开放债券型发起式证券投资基金、平安合韵定期开放纯债债券型发起式证券投资基金、易方达恒安定期开放债券型发起式证券投资基金、中银证券汇享定期开放债券型发起式证券投资基金、平安MSCI中国A股低波动交易型开放式指数证券投资基金（ETF）、平安合悦定期开放债券型发起式证券投资基金、平安中证500交易型开放式指数证券投资基金联接基金、中金瑞祥灵活配置混合型证券投资基金、招商添荣3个月定期开放债券型发起式证券投资基金。</w:t>
      </w:r>
    </w:p>
    <w:p w:rsidR="007A36DF" w:rsidRPr="00DE17CF" w:rsidRDefault="007A36DF" w:rsidP="00DE17CF">
      <w:pPr>
        <w:autoSpaceDE w:val="0"/>
        <w:autoSpaceDN w:val="0"/>
        <w:adjustRightInd w:val="0"/>
        <w:snapToGrid w:val="0"/>
        <w:spacing w:line="360" w:lineRule="auto"/>
        <w:ind w:firstLineChars="200" w:firstLine="480"/>
        <w:rPr>
          <w:rFonts w:asciiTheme="minorEastAsia" w:hAnsiTheme="minorEastAsia" w:cs="Arial"/>
          <w:sz w:val="24"/>
          <w:szCs w:val="24"/>
        </w:rPr>
      </w:pPr>
    </w:p>
    <w:p w:rsidR="007A36DF" w:rsidRPr="00DE17CF" w:rsidRDefault="003E13F7" w:rsidP="00EF2B86">
      <w:pPr>
        <w:autoSpaceDE w:val="0"/>
        <w:autoSpaceDN w:val="0"/>
        <w:adjustRightInd w:val="0"/>
        <w:snapToGrid w:val="0"/>
        <w:spacing w:line="360" w:lineRule="auto"/>
        <w:ind w:firstLineChars="200" w:firstLine="480"/>
        <w:outlineLvl w:val="0"/>
        <w:rPr>
          <w:rFonts w:asciiTheme="minorEastAsia" w:hAnsiTheme="minorEastAsia" w:cs="Arial"/>
          <w:sz w:val="24"/>
          <w:szCs w:val="24"/>
        </w:rPr>
      </w:pPr>
      <w:bookmarkStart w:id="42" w:name="_Toc214873594"/>
      <w:bookmarkStart w:id="43" w:name="_Toc416264541"/>
      <w:bookmarkStart w:id="44" w:name="_Toc263092313"/>
      <w:bookmarkStart w:id="45" w:name="_Toc521572410"/>
      <w:bookmarkStart w:id="46" w:name="_Toc610"/>
      <w:bookmarkStart w:id="47" w:name="_Toc123051452"/>
      <w:bookmarkStart w:id="48" w:name="_Toc7920"/>
      <w:bookmarkStart w:id="49" w:name="_Toc98560352"/>
      <w:bookmarkStart w:id="50" w:name="_Toc4003"/>
      <w:bookmarkStart w:id="51" w:name="_Toc20733"/>
      <w:bookmarkStart w:id="52" w:name="_Toc123112234"/>
      <w:bookmarkStart w:id="53" w:name="_Toc141703886"/>
      <w:bookmarkStart w:id="54" w:name="_Toc352229752"/>
      <w:bookmarkStart w:id="55" w:name="_Toc352229751"/>
      <w:bookmarkStart w:id="56" w:name="_Toc11081"/>
      <w:bookmarkStart w:id="57" w:name="_Toc1427"/>
      <w:bookmarkStart w:id="58" w:name="_Toc17244"/>
      <w:bookmarkStart w:id="59" w:name="_Toc10463"/>
      <w:bookmarkStart w:id="60" w:name="_Toc123102453"/>
      <w:bookmarkStart w:id="61" w:name="_Toc1270"/>
      <w:bookmarkStart w:id="62" w:name="_Toc23261"/>
      <w:bookmarkStart w:id="63" w:name="_Toc79392606"/>
      <w:bookmarkStart w:id="64" w:name="_Toc139991736"/>
      <w:bookmarkStart w:id="65" w:name="_Toc23822"/>
      <w:bookmarkStart w:id="66" w:name="_Toc48649707"/>
      <w:bookmarkEnd w:id="20"/>
      <w:bookmarkEnd w:id="21"/>
      <w:bookmarkEnd w:id="22"/>
      <w:bookmarkEnd w:id="23"/>
      <w:bookmarkEnd w:id="24"/>
      <w:bookmarkEnd w:id="25"/>
      <w:bookmarkEnd w:id="26"/>
      <w:bookmarkEnd w:id="27"/>
      <w:bookmarkEnd w:id="28"/>
      <w:bookmarkEnd w:id="29"/>
      <w:bookmarkEnd w:id="30"/>
      <w:bookmarkEnd w:id="31"/>
      <w:bookmarkEnd w:id="32"/>
      <w:bookmarkEnd w:id="37"/>
      <w:bookmarkEnd w:id="38"/>
      <w:bookmarkEnd w:id="39"/>
      <w:bookmarkEnd w:id="40"/>
      <w:r w:rsidRPr="00DE17CF">
        <w:rPr>
          <w:rFonts w:asciiTheme="minorEastAsia" w:hAnsiTheme="minorEastAsia" w:cs="Arial" w:hint="eastAsia"/>
          <w:sz w:val="24"/>
          <w:szCs w:val="24"/>
        </w:rPr>
        <w:t>三、相关服务机构</w:t>
      </w:r>
      <w:bookmarkEnd w:id="42"/>
      <w:bookmarkEnd w:id="43"/>
      <w:bookmarkEnd w:id="44"/>
      <w:bookmarkEnd w:id="45"/>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（一）基金份额发售机构</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1、直销机构：富荣基金管理有限公司直销中心</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 xml:space="preserve">注册地址：广州市南沙区海滨路171号南沙金融大厦11楼1101之一J20室 </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办公地址：深圳市福田区深南大道2012号深圳证券交易所广场3501室</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 xml:space="preserve">法定代表人： </w:t>
      </w:r>
      <w:r w:rsidR="009C657D">
        <w:rPr>
          <w:rFonts w:asciiTheme="minorEastAsia" w:hAnsiTheme="minorEastAsia" w:cs="Arial" w:hint="eastAsia"/>
          <w:sz w:val="24"/>
          <w:szCs w:val="24"/>
        </w:rPr>
        <w:t>杨小舟</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电话：0755-84356629</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传真：0755-83230902</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客服电话：4006855600</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网址：www.furamc.com.cn</w:t>
      </w:r>
    </w:p>
    <w:p w:rsidR="007A36DF" w:rsidRPr="00533A47"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533A47">
        <w:rPr>
          <w:rFonts w:asciiTheme="minorEastAsia" w:hAnsiTheme="minorEastAsia" w:cs="Arial" w:hint="eastAsia"/>
          <w:sz w:val="24"/>
          <w:szCs w:val="24"/>
        </w:rPr>
        <w:t>2、其他销售机构：</w:t>
      </w:r>
    </w:p>
    <w:tbl>
      <w:tblPr>
        <w:tblStyle w:val="af6"/>
        <w:tblW w:w="8610" w:type="dxa"/>
        <w:tblLayout w:type="fixed"/>
        <w:tblLook w:val="04A0" w:firstRow="1" w:lastRow="0" w:firstColumn="1" w:lastColumn="0" w:noHBand="0" w:noVBand="1"/>
      </w:tblPr>
      <w:tblGrid>
        <w:gridCol w:w="901"/>
        <w:gridCol w:w="3151"/>
        <w:gridCol w:w="4558"/>
      </w:tblGrid>
      <w:tr w:rsidR="006E3A73" w:rsidRPr="00DE17CF" w:rsidTr="006E3A73">
        <w:trPr>
          <w:trHeight w:val="510"/>
        </w:trPr>
        <w:tc>
          <w:tcPr>
            <w:tcW w:w="901" w:type="dxa"/>
            <w:tcBorders>
              <w:top w:val="single" w:sz="4" w:space="0" w:color="auto"/>
              <w:left w:val="single" w:sz="4" w:space="0" w:color="auto"/>
              <w:bottom w:val="single" w:sz="4" w:space="0" w:color="auto"/>
              <w:right w:val="single" w:sz="4" w:space="0" w:color="auto"/>
            </w:tcBorders>
            <w:vAlign w:val="center"/>
            <w:hideMark/>
          </w:tcPr>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hAnsiTheme="minorEastAsia" w:cs="Arial" w:hint="eastAsia"/>
                <w:sz w:val="24"/>
                <w:szCs w:val="24"/>
              </w:rPr>
              <w:t>序号</w:t>
            </w:r>
          </w:p>
        </w:tc>
        <w:tc>
          <w:tcPr>
            <w:tcW w:w="3152" w:type="dxa"/>
            <w:tcBorders>
              <w:top w:val="single" w:sz="4" w:space="0" w:color="auto"/>
              <w:left w:val="single" w:sz="4" w:space="0" w:color="auto"/>
              <w:bottom w:val="single" w:sz="4" w:space="0" w:color="auto"/>
              <w:right w:val="single" w:sz="4" w:space="0" w:color="auto"/>
            </w:tcBorders>
            <w:vAlign w:val="center"/>
            <w:hideMark/>
          </w:tcPr>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hAnsiTheme="minorEastAsia" w:cs="Arial" w:hint="eastAsia"/>
                <w:sz w:val="24"/>
                <w:szCs w:val="24"/>
              </w:rPr>
              <w:t>代销机构名称</w:t>
            </w:r>
          </w:p>
        </w:tc>
        <w:tc>
          <w:tcPr>
            <w:tcW w:w="4560" w:type="dxa"/>
            <w:tcBorders>
              <w:top w:val="single" w:sz="4" w:space="0" w:color="auto"/>
              <w:left w:val="single" w:sz="4" w:space="0" w:color="auto"/>
              <w:bottom w:val="single" w:sz="4" w:space="0" w:color="auto"/>
              <w:right w:val="single" w:sz="4" w:space="0" w:color="auto"/>
            </w:tcBorders>
            <w:hideMark/>
          </w:tcPr>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hAnsiTheme="minorEastAsia" w:cs="Arial" w:hint="eastAsia"/>
                <w:sz w:val="24"/>
                <w:szCs w:val="24"/>
              </w:rPr>
              <w:t>代销机构信息</w:t>
            </w:r>
          </w:p>
        </w:tc>
      </w:tr>
      <w:tr w:rsidR="006E3A73" w:rsidRPr="00DE17CF" w:rsidTr="006E3A73">
        <w:trPr>
          <w:trHeight w:val="1333"/>
        </w:trPr>
        <w:tc>
          <w:tcPr>
            <w:tcW w:w="901" w:type="dxa"/>
            <w:tcBorders>
              <w:top w:val="single" w:sz="4" w:space="0" w:color="auto"/>
              <w:left w:val="single" w:sz="4" w:space="0" w:color="auto"/>
              <w:bottom w:val="single" w:sz="4" w:space="0" w:color="auto"/>
              <w:right w:val="single" w:sz="4" w:space="0" w:color="auto"/>
            </w:tcBorders>
            <w:hideMark/>
          </w:tcPr>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lastRenderedPageBreak/>
              <w:t>1</w:t>
            </w:r>
          </w:p>
        </w:tc>
        <w:tc>
          <w:tcPr>
            <w:tcW w:w="3152" w:type="dxa"/>
            <w:tcBorders>
              <w:top w:val="single" w:sz="4" w:space="0" w:color="auto"/>
              <w:left w:val="single" w:sz="4" w:space="0" w:color="auto"/>
              <w:bottom w:val="single" w:sz="4" w:space="0" w:color="auto"/>
              <w:right w:val="single" w:sz="4" w:space="0" w:color="auto"/>
            </w:tcBorders>
            <w:hideMark/>
          </w:tcPr>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包商银行股份有限公司</w:t>
            </w:r>
          </w:p>
        </w:tc>
        <w:tc>
          <w:tcPr>
            <w:tcW w:w="4560" w:type="dxa"/>
            <w:tcBorders>
              <w:top w:val="single" w:sz="4" w:space="0" w:color="auto"/>
              <w:left w:val="single" w:sz="4" w:space="0" w:color="auto"/>
              <w:bottom w:val="single" w:sz="4" w:space="0" w:color="auto"/>
              <w:right w:val="single" w:sz="4" w:space="0" w:color="auto"/>
            </w:tcBorders>
            <w:hideMark/>
          </w:tcPr>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办公地址：内蒙古包头市钢铁大街6号</w:t>
            </w:r>
          </w:p>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客服电话：95352</w:t>
            </w:r>
          </w:p>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网站：www.bsb.com.cn</w:t>
            </w:r>
          </w:p>
        </w:tc>
      </w:tr>
      <w:tr w:rsidR="006E3A73" w:rsidRPr="00DE17CF" w:rsidTr="006E3A73">
        <w:trPr>
          <w:trHeight w:val="510"/>
        </w:trPr>
        <w:tc>
          <w:tcPr>
            <w:tcW w:w="901" w:type="dxa"/>
            <w:tcBorders>
              <w:top w:val="single" w:sz="4" w:space="0" w:color="auto"/>
              <w:left w:val="single" w:sz="4" w:space="0" w:color="auto"/>
              <w:bottom w:val="single" w:sz="4" w:space="0" w:color="auto"/>
              <w:right w:val="single" w:sz="4" w:space="0" w:color="auto"/>
            </w:tcBorders>
            <w:hideMark/>
          </w:tcPr>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2</w:t>
            </w:r>
          </w:p>
        </w:tc>
        <w:tc>
          <w:tcPr>
            <w:tcW w:w="3152" w:type="dxa"/>
            <w:tcBorders>
              <w:top w:val="single" w:sz="4" w:space="0" w:color="auto"/>
              <w:left w:val="single" w:sz="4" w:space="0" w:color="auto"/>
              <w:bottom w:val="single" w:sz="4" w:space="0" w:color="auto"/>
              <w:right w:val="single" w:sz="4" w:space="0" w:color="auto"/>
            </w:tcBorders>
            <w:hideMark/>
          </w:tcPr>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平安银行股份有限公司</w:t>
            </w:r>
          </w:p>
        </w:tc>
        <w:tc>
          <w:tcPr>
            <w:tcW w:w="4560" w:type="dxa"/>
            <w:tcBorders>
              <w:top w:val="single" w:sz="4" w:space="0" w:color="auto"/>
              <w:left w:val="single" w:sz="4" w:space="0" w:color="auto"/>
              <w:bottom w:val="single" w:sz="4" w:space="0" w:color="auto"/>
              <w:right w:val="single" w:sz="4" w:space="0" w:color="auto"/>
            </w:tcBorders>
            <w:hideMark/>
          </w:tcPr>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注册（办公）地址：深圳市深南东路5047号深圳发展银行大厦</w:t>
            </w:r>
          </w:p>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客户服务电话：95511－3</w:t>
            </w:r>
          </w:p>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网址：www.bank.pingan.com</w:t>
            </w:r>
          </w:p>
        </w:tc>
      </w:tr>
      <w:tr w:rsidR="006E3A73" w:rsidRPr="00DE17CF" w:rsidTr="006E3A73">
        <w:trPr>
          <w:trHeight w:val="510"/>
        </w:trPr>
        <w:tc>
          <w:tcPr>
            <w:tcW w:w="901" w:type="dxa"/>
            <w:tcBorders>
              <w:top w:val="single" w:sz="4" w:space="0" w:color="auto"/>
              <w:left w:val="single" w:sz="4" w:space="0" w:color="auto"/>
              <w:bottom w:val="single" w:sz="4" w:space="0" w:color="auto"/>
              <w:right w:val="single" w:sz="4" w:space="0" w:color="auto"/>
            </w:tcBorders>
            <w:hideMark/>
          </w:tcPr>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3</w:t>
            </w:r>
          </w:p>
        </w:tc>
        <w:tc>
          <w:tcPr>
            <w:tcW w:w="3152" w:type="dxa"/>
            <w:tcBorders>
              <w:top w:val="single" w:sz="4" w:space="0" w:color="auto"/>
              <w:left w:val="single" w:sz="4" w:space="0" w:color="auto"/>
              <w:bottom w:val="single" w:sz="4" w:space="0" w:color="auto"/>
              <w:right w:val="single" w:sz="4" w:space="0" w:color="auto"/>
            </w:tcBorders>
            <w:hideMark/>
          </w:tcPr>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平安证券股份有限公司</w:t>
            </w:r>
          </w:p>
        </w:tc>
        <w:tc>
          <w:tcPr>
            <w:tcW w:w="4560" w:type="dxa"/>
            <w:tcBorders>
              <w:top w:val="single" w:sz="4" w:space="0" w:color="auto"/>
              <w:left w:val="single" w:sz="4" w:space="0" w:color="auto"/>
              <w:bottom w:val="single" w:sz="4" w:space="0" w:color="auto"/>
              <w:right w:val="single" w:sz="4" w:space="0" w:color="auto"/>
            </w:tcBorders>
            <w:hideMark/>
          </w:tcPr>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注册（办公）地址：深圳市福田中心区金田路4036号荣</w:t>
            </w:r>
            <w:proofErr w:type="gramStart"/>
            <w:r w:rsidRPr="00DE17CF">
              <w:rPr>
                <w:rFonts w:asciiTheme="minorEastAsia" w:eastAsiaTheme="minorEastAsia" w:hAnsiTheme="minorEastAsia" w:cs="Arial" w:hint="eastAsia"/>
                <w:sz w:val="24"/>
                <w:szCs w:val="24"/>
              </w:rPr>
              <w:t>超大厦</w:t>
            </w:r>
            <w:proofErr w:type="gramEnd"/>
            <w:r w:rsidRPr="00DE17CF">
              <w:rPr>
                <w:rFonts w:asciiTheme="minorEastAsia" w:eastAsiaTheme="minorEastAsia" w:hAnsiTheme="minorEastAsia" w:cs="Arial" w:hint="eastAsia"/>
                <w:sz w:val="24"/>
                <w:szCs w:val="24"/>
              </w:rPr>
              <w:t xml:space="preserve">16-20层 </w:t>
            </w:r>
          </w:p>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 xml:space="preserve">客户服务电话：95511-8 </w:t>
            </w:r>
          </w:p>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网址：stock.pingan.com</w:t>
            </w:r>
          </w:p>
        </w:tc>
      </w:tr>
      <w:tr w:rsidR="006E3A73" w:rsidRPr="00DE17CF" w:rsidTr="006E3A73">
        <w:tc>
          <w:tcPr>
            <w:tcW w:w="901" w:type="dxa"/>
            <w:tcBorders>
              <w:top w:val="single" w:sz="4" w:space="0" w:color="auto"/>
              <w:left w:val="single" w:sz="4" w:space="0" w:color="auto"/>
              <w:bottom w:val="single" w:sz="4" w:space="0" w:color="auto"/>
              <w:right w:val="single" w:sz="4" w:space="0" w:color="auto"/>
            </w:tcBorders>
            <w:hideMark/>
          </w:tcPr>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4</w:t>
            </w:r>
          </w:p>
        </w:tc>
        <w:tc>
          <w:tcPr>
            <w:tcW w:w="3152" w:type="dxa"/>
            <w:tcBorders>
              <w:top w:val="single" w:sz="4" w:space="0" w:color="auto"/>
              <w:left w:val="single" w:sz="4" w:space="0" w:color="auto"/>
              <w:bottom w:val="single" w:sz="4" w:space="0" w:color="auto"/>
              <w:right w:val="single" w:sz="4" w:space="0" w:color="auto"/>
            </w:tcBorders>
            <w:hideMark/>
          </w:tcPr>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中</w:t>
            </w:r>
            <w:proofErr w:type="gramStart"/>
            <w:r w:rsidRPr="00DE17CF">
              <w:rPr>
                <w:rFonts w:asciiTheme="minorEastAsia" w:eastAsiaTheme="minorEastAsia" w:hAnsiTheme="minorEastAsia" w:cs="Arial" w:hint="eastAsia"/>
                <w:sz w:val="24"/>
                <w:szCs w:val="24"/>
              </w:rPr>
              <w:t>信建投证券</w:t>
            </w:r>
            <w:proofErr w:type="gramEnd"/>
            <w:r w:rsidRPr="00DE17CF">
              <w:rPr>
                <w:rFonts w:asciiTheme="minorEastAsia" w:eastAsiaTheme="minorEastAsia" w:hAnsiTheme="minorEastAsia" w:cs="Arial" w:hint="eastAsia"/>
                <w:sz w:val="24"/>
                <w:szCs w:val="24"/>
              </w:rPr>
              <w:t>股份有限公司</w:t>
            </w:r>
          </w:p>
        </w:tc>
        <w:tc>
          <w:tcPr>
            <w:tcW w:w="4560" w:type="dxa"/>
            <w:tcBorders>
              <w:top w:val="single" w:sz="4" w:space="0" w:color="auto"/>
              <w:left w:val="single" w:sz="4" w:space="0" w:color="auto"/>
              <w:bottom w:val="single" w:sz="4" w:space="0" w:color="auto"/>
              <w:right w:val="single" w:sz="4" w:space="0" w:color="auto"/>
            </w:tcBorders>
            <w:hideMark/>
          </w:tcPr>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注册（办公）地址：北京市朝阳区安立路66号4号楼</w:t>
            </w:r>
          </w:p>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客户服务电话: 4008888108/95587</w:t>
            </w:r>
          </w:p>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网址：www.csc108.com</w:t>
            </w:r>
          </w:p>
        </w:tc>
      </w:tr>
      <w:tr w:rsidR="006E3A73" w:rsidRPr="00DE17CF" w:rsidTr="006E3A73">
        <w:tc>
          <w:tcPr>
            <w:tcW w:w="901" w:type="dxa"/>
            <w:tcBorders>
              <w:top w:val="single" w:sz="4" w:space="0" w:color="auto"/>
              <w:left w:val="single" w:sz="4" w:space="0" w:color="auto"/>
              <w:bottom w:val="single" w:sz="4" w:space="0" w:color="auto"/>
              <w:right w:val="single" w:sz="4" w:space="0" w:color="auto"/>
            </w:tcBorders>
            <w:hideMark/>
          </w:tcPr>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5</w:t>
            </w:r>
          </w:p>
        </w:tc>
        <w:tc>
          <w:tcPr>
            <w:tcW w:w="3152" w:type="dxa"/>
            <w:tcBorders>
              <w:top w:val="single" w:sz="4" w:space="0" w:color="auto"/>
              <w:left w:val="single" w:sz="4" w:space="0" w:color="auto"/>
              <w:bottom w:val="single" w:sz="4" w:space="0" w:color="auto"/>
              <w:right w:val="single" w:sz="4" w:space="0" w:color="auto"/>
            </w:tcBorders>
            <w:hideMark/>
          </w:tcPr>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联</w:t>
            </w:r>
            <w:proofErr w:type="gramStart"/>
            <w:r w:rsidRPr="00DE17CF">
              <w:rPr>
                <w:rFonts w:asciiTheme="minorEastAsia" w:eastAsiaTheme="minorEastAsia" w:hAnsiTheme="minorEastAsia" w:cs="Arial" w:hint="eastAsia"/>
                <w:sz w:val="24"/>
                <w:szCs w:val="24"/>
              </w:rPr>
              <w:t>讯证券</w:t>
            </w:r>
            <w:proofErr w:type="gramEnd"/>
            <w:r w:rsidRPr="00DE17CF">
              <w:rPr>
                <w:rFonts w:asciiTheme="minorEastAsia" w:eastAsiaTheme="minorEastAsia" w:hAnsiTheme="minorEastAsia" w:cs="Arial" w:hint="eastAsia"/>
                <w:sz w:val="24"/>
                <w:szCs w:val="24"/>
              </w:rPr>
              <w:t>股份有限公司</w:t>
            </w:r>
          </w:p>
        </w:tc>
        <w:tc>
          <w:tcPr>
            <w:tcW w:w="4560" w:type="dxa"/>
            <w:tcBorders>
              <w:top w:val="single" w:sz="4" w:space="0" w:color="auto"/>
              <w:left w:val="single" w:sz="4" w:space="0" w:color="auto"/>
              <w:bottom w:val="single" w:sz="4" w:space="0" w:color="auto"/>
              <w:right w:val="single" w:sz="4" w:space="0" w:color="auto"/>
            </w:tcBorders>
            <w:hideMark/>
          </w:tcPr>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办公地址：广东惠州市惠城区江北东江三路55号广播电视新闻中心西面一层大堂和三、四层</w:t>
            </w:r>
          </w:p>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客户服务电话：95564</w:t>
            </w:r>
          </w:p>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网址：www.lxsec.com</w:t>
            </w:r>
          </w:p>
        </w:tc>
      </w:tr>
      <w:tr w:rsidR="006E3A73" w:rsidRPr="00DE17CF" w:rsidTr="006E3A73">
        <w:tc>
          <w:tcPr>
            <w:tcW w:w="901" w:type="dxa"/>
            <w:tcBorders>
              <w:top w:val="single" w:sz="4" w:space="0" w:color="auto"/>
              <w:left w:val="single" w:sz="4" w:space="0" w:color="auto"/>
              <w:bottom w:val="single" w:sz="4" w:space="0" w:color="auto"/>
              <w:right w:val="single" w:sz="4" w:space="0" w:color="auto"/>
            </w:tcBorders>
            <w:hideMark/>
          </w:tcPr>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6</w:t>
            </w:r>
          </w:p>
        </w:tc>
        <w:tc>
          <w:tcPr>
            <w:tcW w:w="3152" w:type="dxa"/>
            <w:tcBorders>
              <w:top w:val="single" w:sz="4" w:space="0" w:color="auto"/>
              <w:left w:val="single" w:sz="4" w:space="0" w:color="auto"/>
              <w:bottom w:val="single" w:sz="4" w:space="0" w:color="auto"/>
              <w:right w:val="single" w:sz="4" w:space="0" w:color="auto"/>
            </w:tcBorders>
            <w:hideMark/>
          </w:tcPr>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世纪证券有限责任公司</w:t>
            </w:r>
          </w:p>
        </w:tc>
        <w:tc>
          <w:tcPr>
            <w:tcW w:w="4560" w:type="dxa"/>
            <w:tcBorders>
              <w:top w:val="single" w:sz="4" w:space="0" w:color="auto"/>
              <w:left w:val="single" w:sz="4" w:space="0" w:color="auto"/>
              <w:bottom w:val="single" w:sz="4" w:space="0" w:color="auto"/>
              <w:right w:val="single" w:sz="4" w:space="0" w:color="auto"/>
            </w:tcBorders>
            <w:hideMark/>
          </w:tcPr>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注册（办公）地址：深圳市福田区深南大道招商银行大厦40-42层</w:t>
            </w:r>
          </w:p>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客服电话：4008323000</w:t>
            </w:r>
          </w:p>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网站： http://www.csco.com.cn</w:t>
            </w:r>
          </w:p>
        </w:tc>
      </w:tr>
      <w:tr w:rsidR="006E3A73" w:rsidRPr="00DE17CF" w:rsidTr="006E3A73">
        <w:tc>
          <w:tcPr>
            <w:tcW w:w="901" w:type="dxa"/>
            <w:tcBorders>
              <w:top w:val="single" w:sz="4" w:space="0" w:color="auto"/>
              <w:left w:val="single" w:sz="4" w:space="0" w:color="auto"/>
              <w:bottom w:val="single" w:sz="4" w:space="0" w:color="auto"/>
              <w:right w:val="single" w:sz="4" w:space="0" w:color="auto"/>
            </w:tcBorders>
            <w:hideMark/>
          </w:tcPr>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7</w:t>
            </w:r>
          </w:p>
        </w:tc>
        <w:tc>
          <w:tcPr>
            <w:tcW w:w="3152" w:type="dxa"/>
            <w:tcBorders>
              <w:top w:val="single" w:sz="4" w:space="0" w:color="auto"/>
              <w:left w:val="single" w:sz="4" w:space="0" w:color="auto"/>
              <w:bottom w:val="single" w:sz="4" w:space="0" w:color="auto"/>
              <w:right w:val="single" w:sz="4" w:space="0" w:color="auto"/>
            </w:tcBorders>
            <w:hideMark/>
          </w:tcPr>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proofErr w:type="gramStart"/>
            <w:r w:rsidRPr="00DE17CF">
              <w:rPr>
                <w:rFonts w:asciiTheme="minorEastAsia" w:eastAsiaTheme="minorEastAsia" w:hAnsiTheme="minorEastAsia" w:cs="Arial" w:hint="eastAsia"/>
                <w:sz w:val="24"/>
                <w:szCs w:val="24"/>
              </w:rPr>
              <w:t>大泰金石</w:t>
            </w:r>
            <w:proofErr w:type="gramEnd"/>
            <w:r w:rsidRPr="00DE17CF">
              <w:rPr>
                <w:rFonts w:asciiTheme="minorEastAsia" w:eastAsiaTheme="minorEastAsia" w:hAnsiTheme="minorEastAsia" w:cs="Arial" w:hint="eastAsia"/>
                <w:sz w:val="24"/>
                <w:szCs w:val="24"/>
              </w:rPr>
              <w:t>基金销售有限公司</w:t>
            </w:r>
          </w:p>
        </w:tc>
        <w:tc>
          <w:tcPr>
            <w:tcW w:w="4560" w:type="dxa"/>
            <w:tcBorders>
              <w:top w:val="single" w:sz="4" w:space="0" w:color="auto"/>
              <w:left w:val="single" w:sz="4" w:space="0" w:color="auto"/>
              <w:bottom w:val="single" w:sz="4" w:space="0" w:color="auto"/>
              <w:right w:val="single" w:sz="4" w:space="0" w:color="auto"/>
            </w:tcBorders>
            <w:hideMark/>
          </w:tcPr>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办公地址：上海市长宁区虹桥路1386号文</w:t>
            </w:r>
            <w:proofErr w:type="gramStart"/>
            <w:r w:rsidRPr="00DE17CF">
              <w:rPr>
                <w:rFonts w:asciiTheme="minorEastAsia" w:eastAsiaTheme="minorEastAsia" w:hAnsiTheme="minorEastAsia" w:cs="Arial" w:hint="eastAsia"/>
                <w:sz w:val="24"/>
                <w:szCs w:val="24"/>
              </w:rPr>
              <w:t>广大厦</w:t>
            </w:r>
            <w:proofErr w:type="gramEnd"/>
            <w:r w:rsidRPr="00DE17CF">
              <w:rPr>
                <w:rFonts w:asciiTheme="minorEastAsia" w:eastAsiaTheme="minorEastAsia" w:hAnsiTheme="minorEastAsia" w:cs="Arial" w:hint="eastAsia"/>
                <w:sz w:val="24"/>
                <w:szCs w:val="24"/>
              </w:rPr>
              <w:t>15楼</w:t>
            </w:r>
          </w:p>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客户服务电话:</w:t>
            </w:r>
          </w:p>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400-928-2266/021-22267995</w:t>
            </w:r>
          </w:p>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网址：www.dtfunds.com</w:t>
            </w:r>
          </w:p>
        </w:tc>
      </w:tr>
      <w:tr w:rsidR="006E3A73" w:rsidRPr="00DE17CF" w:rsidTr="006E3A73">
        <w:tc>
          <w:tcPr>
            <w:tcW w:w="901" w:type="dxa"/>
            <w:tcBorders>
              <w:top w:val="single" w:sz="4" w:space="0" w:color="auto"/>
              <w:left w:val="single" w:sz="4" w:space="0" w:color="auto"/>
              <w:bottom w:val="single" w:sz="4" w:space="0" w:color="auto"/>
              <w:right w:val="single" w:sz="4" w:space="0" w:color="auto"/>
            </w:tcBorders>
            <w:hideMark/>
          </w:tcPr>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lastRenderedPageBreak/>
              <w:t>8</w:t>
            </w:r>
          </w:p>
        </w:tc>
        <w:tc>
          <w:tcPr>
            <w:tcW w:w="3152" w:type="dxa"/>
            <w:tcBorders>
              <w:top w:val="single" w:sz="4" w:space="0" w:color="auto"/>
              <w:left w:val="single" w:sz="4" w:space="0" w:color="auto"/>
              <w:bottom w:val="single" w:sz="4" w:space="0" w:color="auto"/>
              <w:right w:val="single" w:sz="4" w:space="0" w:color="auto"/>
            </w:tcBorders>
            <w:hideMark/>
          </w:tcPr>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上海基</w:t>
            </w:r>
            <w:proofErr w:type="gramStart"/>
            <w:r w:rsidRPr="00DE17CF">
              <w:rPr>
                <w:rFonts w:asciiTheme="minorEastAsia" w:eastAsiaTheme="minorEastAsia" w:hAnsiTheme="minorEastAsia" w:cs="Arial" w:hint="eastAsia"/>
                <w:sz w:val="24"/>
                <w:szCs w:val="24"/>
              </w:rPr>
              <w:t>煜</w:t>
            </w:r>
            <w:proofErr w:type="gramEnd"/>
            <w:r w:rsidRPr="00DE17CF">
              <w:rPr>
                <w:rFonts w:asciiTheme="minorEastAsia" w:eastAsiaTheme="minorEastAsia" w:hAnsiTheme="minorEastAsia" w:cs="Arial" w:hint="eastAsia"/>
                <w:sz w:val="24"/>
                <w:szCs w:val="24"/>
              </w:rPr>
              <w:t>基金销售有限公司</w:t>
            </w:r>
          </w:p>
        </w:tc>
        <w:tc>
          <w:tcPr>
            <w:tcW w:w="4560" w:type="dxa"/>
            <w:tcBorders>
              <w:top w:val="single" w:sz="4" w:space="0" w:color="auto"/>
              <w:left w:val="single" w:sz="4" w:space="0" w:color="auto"/>
              <w:bottom w:val="single" w:sz="4" w:space="0" w:color="auto"/>
              <w:right w:val="single" w:sz="4" w:space="0" w:color="auto"/>
            </w:tcBorders>
            <w:hideMark/>
          </w:tcPr>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办公地址：上海市杨浦区昆明路518号A1002室</w:t>
            </w:r>
          </w:p>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客户服务电话：4008205369</w:t>
            </w:r>
          </w:p>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网址：www.jiyufund.com.cn</w:t>
            </w:r>
          </w:p>
        </w:tc>
      </w:tr>
      <w:tr w:rsidR="006E3A73" w:rsidRPr="00DE17CF" w:rsidTr="006E3A73">
        <w:tc>
          <w:tcPr>
            <w:tcW w:w="901" w:type="dxa"/>
            <w:tcBorders>
              <w:top w:val="single" w:sz="4" w:space="0" w:color="auto"/>
              <w:left w:val="single" w:sz="4" w:space="0" w:color="auto"/>
              <w:bottom w:val="single" w:sz="4" w:space="0" w:color="auto"/>
              <w:right w:val="single" w:sz="4" w:space="0" w:color="auto"/>
            </w:tcBorders>
            <w:hideMark/>
          </w:tcPr>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9</w:t>
            </w:r>
          </w:p>
        </w:tc>
        <w:tc>
          <w:tcPr>
            <w:tcW w:w="3152" w:type="dxa"/>
            <w:tcBorders>
              <w:top w:val="single" w:sz="4" w:space="0" w:color="auto"/>
              <w:left w:val="single" w:sz="4" w:space="0" w:color="auto"/>
              <w:bottom w:val="single" w:sz="4" w:space="0" w:color="auto"/>
              <w:right w:val="single" w:sz="4" w:space="0" w:color="auto"/>
            </w:tcBorders>
            <w:hideMark/>
          </w:tcPr>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上海好买基金销售有限公司</w:t>
            </w:r>
          </w:p>
        </w:tc>
        <w:tc>
          <w:tcPr>
            <w:tcW w:w="4560" w:type="dxa"/>
            <w:tcBorders>
              <w:top w:val="single" w:sz="4" w:space="0" w:color="auto"/>
              <w:left w:val="single" w:sz="4" w:space="0" w:color="auto"/>
              <w:bottom w:val="single" w:sz="4" w:space="0" w:color="auto"/>
              <w:right w:val="single" w:sz="4" w:space="0" w:color="auto"/>
            </w:tcBorders>
            <w:hideMark/>
          </w:tcPr>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办公地址：上海市浦东南路1118号鄂尔多斯国际大厦9楼</w:t>
            </w:r>
          </w:p>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 xml:space="preserve">客户服务电话：4007009665 </w:t>
            </w:r>
          </w:p>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网址：www.ehowbuy.com</w:t>
            </w:r>
          </w:p>
        </w:tc>
      </w:tr>
      <w:tr w:rsidR="006E3A73" w:rsidRPr="00DE17CF" w:rsidTr="006E3A73">
        <w:tc>
          <w:tcPr>
            <w:tcW w:w="901" w:type="dxa"/>
            <w:tcBorders>
              <w:top w:val="single" w:sz="4" w:space="0" w:color="auto"/>
              <w:left w:val="single" w:sz="4" w:space="0" w:color="auto"/>
              <w:bottom w:val="single" w:sz="4" w:space="0" w:color="auto"/>
              <w:right w:val="single" w:sz="4" w:space="0" w:color="auto"/>
            </w:tcBorders>
            <w:hideMark/>
          </w:tcPr>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10</w:t>
            </w:r>
          </w:p>
        </w:tc>
        <w:tc>
          <w:tcPr>
            <w:tcW w:w="3152" w:type="dxa"/>
            <w:tcBorders>
              <w:top w:val="single" w:sz="4" w:space="0" w:color="auto"/>
              <w:left w:val="single" w:sz="4" w:space="0" w:color="auto"/>
              <w:bottom w:val="single" w:sz="4" w:space="0" w:color="auto"/>
              <w:right w:val="single" w:sz="4" w:space="0" w:color="auto"/>
            </w:tcBorders>
            <w:hideMark/>
          </w:tcPr>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北京肯特瑞财富投资管理有限公司</w:t>
            </w:r>
          </w:p>
        </w:tc>
        <w:tc>
          <w:tcPr>
            <w:tcW w:w="4560" w:type="dxa"/>
            <w:tcBorders>
              <w:top w:val="single" w:sz="4" w:space="0" w:color="auto"/>
              <w:left w:val="single" w:sz="4" w:space="0" w:color="auto"/>
              <w:bottom w:val="single" w:sz="4" w:space="0" w:color="auto"/>
              <w:right w:val="single" w:sz="4" w:space="0" w:color="auto"/>
            </w:tcBorders>
            <w:hideMark/>
          </w:tcPr>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办公地址： 北京市亦</w:t>
            </w:r>
            <w:proofErr w:type="gramStart"/>
            <w:r w:rsidRPr="00DE17CF">
              <w:rPr>
                <w:rFonts w:asciiTheme="minorEastAsia" w:eastAsiaTheme="minorEastAsia" w:hAnsiTheme="minorEastAsia" w:cs="Arial" w:hint="eastAsia"/>
                <w:sz w:val="24"/>
                <w:szCs w:val="24"/>
              </w:rPr>
              <w:t>庄经济开发区科创</w:t>
            </w:r>
            <w:proofErr w:type="gramEnd"/>
            <w:r w:rsidRPr="00DE17CF">
              <w:rPr>
                <w:rFonts w:asciiTheme="minorEastAsia" w:eastAsiaTheme="minorEastAsia" w:hAnsiTheme="minorEastAsia" w:cs="Arial" w:hint="eastAsia"/>
                <w:sz w:val="24"/>
                <w:szCs w:val="24"/>
              </w:rPr>
              <w:t>十一街18号院A座17层</w:t>
            </w:r>
          </w:p>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客户服务电话：95118</w:t>
            </w:r>
          </w:p>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网址：www.fund.jd.com</w:t>
            </w:r>
          </w:p>
        </w:tc>
      </w:tr>
      <w:tr w:rsidR="006E3A73" w:rsidRPr="00DE17CF" w:rsidTr="006E3A73">
        <w:tc>
          <w:tcPr>
            <w:tcW w:w="901" w:type="dxa"/>
            <w:tcBorders>
              <w:top w:val="single" w:sz="4" w:space="0" w:color="auto"/>
              <w:left w:val="single" w:sz="4" w:space="0" w:color="auto"/>
              <w:bottom w:val="single" w:sz="4" w:space="0" w:color="auto"/>
              <w:right w:val="single" w:sz="4" w:space="0" w:color="auto"/>
            </w:tcBorders>
            <w:hideMark/>
          </w:tcPr>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11</w:t>
            </w:r>
          </w:p>
        </w:tc>
        <w:tc>
          <w:tcPr>
            <w:tcW w:w="3152" w:type="dxa"/>
            <w:tcBorders>
              <w:top w:val="single" w:sz="4" w:space="0" w:color="auto"/>
              <w:left w:val="single" w:sz="4" w:space="0" w:color="auto"/>
              <w:bottom w:val="single" w:sz="4" w:space="0" w:color="auto"/>
              <w:right w:val="single" w:sz="4" w:space="0" w:color="auto"/>
            </w:tcBorders>
            <w:hideMark/>
          </w:tcPr>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蚂蚁（杭州）基金销售有限公司</w:t>
            </w:r>
          </w:p>
        </w:tc>
        <w:tc>
          <w:tcPr>
            <w:tcW w:w="4560" w:type="dxa"/>
            <w:tcBorders>
              <w:top w:val="single" w:sz="4" w:space="0" w:color="auto"/>
              <w:left w:val="single" w:sz="4" w:space="0" w:color="auto"/>
              <w:bottom w:val="single" w:sz="4" w:space="0" w:color="auto"/>
              <w:right w:val="single" w:sz="4" w:space="0" w:color="auto"/>
            </w:tcBorders>
            <w:hideMark/>
          </w:tcPr>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办公地址：浙江省杭州市西湖</w:t>
            </w:r>
            <w:proofErr w:type="gramStart"/>
            <w:r w:rsidRPr="00DE17CF">
              <w:rPr>
                <w:rFonts w:asciiTheme="minorEastAsia" w:eastAsiaTheme="minorEastAsia" w:hAnsiTheme="minorEastAsia" w:cs="Arial" w:hint="eastAsia"/>
                <w:sz w:val="24"/>
                <w:szCs w:val="24"/>
              </w:rPr>
              <w:t>区万塘路</w:t>
            </w:r>
            <w:proofErr w:type="gramEnd"/>
            <w:r w:rsidRPr="00DE17CF">
              <w:rPr>
                <w:rFonts w:asciiTheme="minorEastAsia" w:eastAsiaTheme="minorEastAsia" w:hAnsiTheme="minorEastAsia" w:cs="Arial" w:hint="eastAsia"/>
                <w:sz w:val="24"/>
                <w:szCs w:val="24"/>
              </w:rPr>
              <w:t xml:space="preserve">18号黄龙时代广场B座6F </w:t>
            </w:r>
          </w:p>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客户服务电话：4000-766-123</w:t>
            </w:r>
          </w:p>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网址：www.fund123.cn</w:t>
            </w:r>
          </w:p>
        </w:tc>
      </w:tr>
      <w:tr w:rsidR="006E3A73" w:rsidRPr="00DE17CF" w:rsidTr="006E3A73">
        <w:tc>
          <w:tcPr>
            <w:tcW w:w="901" w:type="dxa"/>
            <w:tcBorders>
              <w:top w:val="single" w:sz="4" w:space="0" w:color="auto"/>
              <w:left w:val="single" w:sz="4" w:space="0" w:color="auto"/>
              <w:bottom w:val="single" w:sz="4" w:space="0" w:color="auto"/>
              <w:right w:val="single" w:sz="4" w:space="0" w:color="auto"/>
            </w:tcBorders>
            <w:hideMark/>
          </w:tcPr>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12</w:t>
            </w:r>
          </w:p>
        </w:tc>
        <w:tc>
          <w:tcPr>
            <w:tcW w:w="3152" w:type="dxa"/>
            <w:tcBorders>
              <w:top w:val="single" w:sz="4" w:space="0" w:color="auto"/>
              <w:left w:val="single" w:sz="4" w:space="0" w:color="auto"/>
              <w:bottom w:val="single" w:sz="4" w:space="0" w:color="auto"/>
              <w:right w:val="single" w:sz="4" w:space="0" w:color="auto"/>
            </w:tcBorders>
            <w:hideMark/>
          </w:tcPr>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浙江同花</w:t>
            </w:r>
            <w:proofErr w:type="gramStart"/>
            <w:r w:rsidRPr="00DE17CF">
              <w:rPr>
                <w:rFonts w:asciiTheme="minorEastAsia" w:eastAsiaTheme="minorEastAsia" w:hAnsiTheme="minorEastAsia" w:cs="Arial" w:hint="eastAsia"/>
                <w:sz w:val="24"/>
                <w:szCs w:val="24"/>
              </w:rPr>
              <w:t>顺基金</w:t>
            </w:r>
            <w:proofErr w:type="gramEnd"/>
            <w:r w:rsidRPr="00DE17CF">
              <w:rPr>
                <w:rFonts w:asciiTheme="minorEastAsia" w:eastAsiaTheme="minorEastAsia" w:hAnsiTheme="minorEastAsia" w:cs="Arial" w:hint="eastAsia"/>
                <w:sz w:val="24"/>
                <w:szCs w:val="24"/>
              </w:rPr>
              <w:t>销售有限公司</w:t>
            </w:r>
          </w:p>
        </w:tc>
        <w:tc>
          <w:tcPr>
            <w:tcW w:w="4560" w:type="dxa"/>
            <w:tcBorders>
              <w:top w:val="single" w:sz="4" w:space="0" w:color="auto"/>
              <w:left w:val="single" w:sz="4" w:space="0" w:color="auto"/>
              <w:bottom w:val="single" w:sz="4" w:space="0" w:color="auto"/>
              <w:right w:val="single" w:sz="4" w:space="0" w:color="auto"/>
            </w:tcBorders>
            <w:hideMark/>
          </w:tcPr>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办公地址：浙江省杭州市</w:t>
            </w:r>
            <w:proofErr w:type="gramStart"/>
            <w:r w:rsidRPr="00DE17CF">
              <w:rPr>
                <w:rFonts w:asciiTheme="minorEastAsia" w:eastAsiaTheme="minorEastAsia" w:hAnsiTheme="minorEastAsia" w:cs="Arial" w:hint="eastAsia"/>
                <w:sz w:val="24"/>
                <w:szCs w:val="24"/>
              </w:rPr>
              <w:t>翠柏路</w:t>
            </w:r>
            <w:proofErr w:type="gramEnd"/>
            <w:r w:rsidRPr="00DE17CF">
              <w:rPr>
                <w:rFonts w:asciiTheme="minorEastAsia" w:eastAsiaTheme="minorEastAsia" w:hAnsiTheme="minorEastAsia" w:cs="Arial" w:hint="eastAsia"/>
                <w:sz w:val="24"/>
                <w:szCs w:val="24"/>
              </w:rPr>
              <w:t>7号杭州电子商务产业园2楼</w:t>
            </w:r>
          </w:p>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客服电话：4008-773-772 /0571-88920897</w:t>
            </w:r>
          </w:p>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网址：www.5ifund.com</w:t>
            </w:r>
          </w:p>
        </w:tc>
      </w:tr>
      <w:tr w:rsidR="006E3A73" w:rsidRPr="00DE17CF" w:rsidTr="006E3A73">
        <w:tc>
          <w:tcPr>
            <w:tcW w:w="901" w:type="dxa"/>
            <w:tcBorders>
              <w:top w:val="single" w:sz="4" w:space="0" w:color="auto"/>
              <w:left w:val="single" w:sz="4" w:space="0" w:color="auto"/>
              <w:bottom w:val="single" w:sz="4" w:space="0" w:color="auto"/>
              <w:right w:val="single" w:sz="4" w:space="0" w:color="auto"/>
            </w:tcBorders>
            <w:hideMark/>
          </w:tcPr>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13</w:t>
            </w:r>
          </w:p>
        </w:tc>
        <w:tc>
          <w:tcPr>
            <w:tcW w:w="3152" w:type="dxa"/>
            <w:tcBorders>
              <w:top w:val="single" w:sz="4" w:space="0" w:color="auto"/>
              <w:left w:val="single" w:sz="4" w:space="0" w:color="auto"/>
              <w:bottom w:val="single" w:sz="4" w:space="0" w:color="auto"/>
              <w:right w:val="single" w:sz="4" w:space="0" w:color="auto"/>
            </w:tcBorders>
            <w:hideMark/>
          </w:tcPr>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上海陆金</w:t>
            </w:r>
            <w:proofErr w:type="gramStart"/>
            <w:r w:rsidRPr="00DE17CF">
              <w:rPr>
                <w:rFonts w:asciiTheme="minorEastAsia" w:eastAsiaTheme="minorEastAsia" w:hAnsiTheme="minorEastAsia" w:cs="Arial" w:hint="eastAsia"/>
                <w:sz w:val="24"/>
                <w:szCs w:val="24"/>
              </w:rPr>
              <w:t>所资产</w:t>
            </w:r>
            <w:proofErr w:type="gramEnd"/>
            <w:r w:rsidRPr="00DE17CF">
              <w:rPr>
                <w:rFonts w:asciiTheme="minorEastAsia" w:eastAsiaTheme="minorEastAsia" w:hAnsiTheme="minorEastAsia" w:cs="Arial" w:hint="eastAsia"/>
                <w:sz w:val="24"/>
                <w:szCs w:val="24"/>
              </w:rPr>
              <w:t>管理有限公司</w:t>
            </w:r>
          </w:p>
        </w:tc>
        <w:tc>
          <w:tcPr>
            <w:tcW w:w="4560" w:type="dxa"/>
            <w:tcBorders>
              <w:top w:val="single" w:sz="4" w:space="0" w:color="auto"/>
              <w:left w:val="single" w:sz="4" w:space="0" w:color="auto"/>
              <w:bottom w:val="single" w:sz="4" w:space="0" w:color="auto"/>
              <w:right w:val="single" w:sz="4" w:space="0" w:color="auto"/>
            </w:tcBorders>
            <w:hideMark/>
          </w:tcPr>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办公地址：上海市浦东新区陆家嘴环路1333号14楼</w:t>
            </w:r>
          </w:p>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客户服务电话：4008219031</w:t>
            </w:r>
          </w:p>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网址：www.lufunds.com</w:t>
            </w:r>
          </w:p>
        </w:tc>
      </w:tr>
      <w:tr w:rsidR="006E3A73" w:rsidRPr="00DE17CF" w:rsidTr="006E3A73">
        <w:tc>
          <w:tcPr>
            <w:tcW w:w="901" w:type="dxa"/>
            <w:tcBorders>
              <w:top w:val="single" w:sz="4" w:space="0" w:color="auto"/>
              <w:left w:val="single" w:sz="4" w:space="0" w:color="auto"/>
              <w:bottom w:val="single" w:sz="4" w:space="0" w:color="auto"/>
              <w:right w:val="single" w:sz="4" w:space="0" w:color="auto"/>
            </w:tcBorders>
            <w:hideMark/>
          </w:tcPr>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14</w:t>
            </w:r>
          </w:p>
        </w:tc>
        <w:tc>
          <w:tcPr>
            <w:tcW w:w="3152" w:type="dxa"/>
            <w:tcBorders>
              <w:top w:val="single" w:sz="4" w:space="0" w:color="auto"/>
              <w:left w:val="single" w:sz="4" w:space="0" w:color="auto"/>
              <w:bottom w:val="single" w:sz="4" w:space="0" w:color="auto"/>
              <w:right w:val="single" w:sz="4" w:space="0" w:color="auto"/>
            </w:tcBorders>
            <w:hideMark/>
          </w:tcPr>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上海联泰资产管理有限公司</w:t>
            </w:r>
          </w:p>
        </w:tc>
        <w:tc>
          <w:tcPr>
            <w:tcW w:w="4560" w:type="dxa"/>
            <w:tcBorders>
              <w:top w:val="single" w:sz="4" w:space="0" w:color="auto"/>
              <w:left w:val="single" w:sz="4" w:space="0" w:color="auto"/>
              <w:bottom w:val="single" w:sz="4" w:space="0" w:color="auto"/>
              <w:right w:val="single" w:sz="4" w:space="0" w:color="auto"/>
            </w:tcBorders>
            <w:hideMark/>
          </w:tcPr>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办公地址：上海市长宁区金钟路658号2号楼B座6楼</w:t>
            </w:r>
          </w:p>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客户服务电话：400-046-6788</w:t>
            </w:r>
          </w:p>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网址：www.66zichan.com</w:t>
            </w:r>
          </w:p>
        </w:tc>
      </w:tr>
      <w:tr w:rsidR="006E3A73" w:rsidRPr="00DE17CF" w:rsidTr="006E3A73">
        <w:tc>
          <w:tcPr>
            <w:tcW w:w="901" w:type="dxa"/>
            <w:tcBorders>
              <w:top w:val="single" w:sz="4" w:space="0" w:color="auto"/>
              <w:left w:val="single" w:sz="4" w:space="0" w:color="auto"/>
              <w:bottom w:val="single" w:sz="4" w:space="0" w:color="auto"/>
              <w:right w:val="single" w:sz="4" w:space="0" w:color="auto"/>
            </w:tcBorders>
            <w:hideMark/>
          </w:tcPr>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15</w:t>
            </w:r>
          </w:p>
        </w:tc>
        <w:tc>
          <w:tcPr>
            <w:tcW w:w="3152" w:type="dxa"/>
            <w:tcBorders>
              <w:top w:val="single" w:sz="4" w:space="0" w:color="auto"/>
              <w:left w:val="single" w:sz="4" w:space="0" w:color="auto"/>
              <w:bottom w:val="single" w:sz="4" w:space="0" w:color="auto"/>
              <w:right w:val="single" w:sz="4" w:space="0" w:color="auto"/>
            </w:tcBorders>
            <w:hideMark/>
          </w:tcPr>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上海天天基金销售有限公司</w:t>
            </w:r>
          </w:p>
        </w:tc>
        <w:tc>
          <w:tcPr>
            <w:tcW w:w="4560" w:type="dxa"/>
            <w:tcBorders>
              <w:top w:val="single" w:sz="4" w:space="0" w:color="auto"/>
              <w:left w:val="single" w:sz="4" w:space="0" w:color="auto"/>
              <w:bottom w:val="single" w:sz="4" w:space="0" w:color="auto"/>
              <w:right w:val="single" w:sz="4" w:space="0" w:color="auto"/>
            </w:tcBorders>
            <w:hideMark/>
          </w:tcPr>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办公地址：上海市徐汇区宛平南路88号金</w:t>
            </w:r>
            <w:r w:rsidRPr="00DE17CF">
              <w:rPr>
                <w:rFonts w:asciiTheme="minorEastAsia" w:eastAsiaTheme="minorEastAsia" w:hAnsiTheme="minorEastAsia" w:cs="Arial" w:hint="eastAsia"/>
                <w:sz w:val="24"/>
                <w:szCs w:val="24"/>
              </w:rPr>
              <w:lastRenderedPageBreak/>
              <w:t>座（北楼）25层</w:t>
            </w:r>
          </w:p>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客服电话：400-1818-188</w:t>
            </w:r>
          </w:p>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网址：http://www.1234567.com.cn</w:t>
            </w:r>
          </w:p>
        </w:tc>
      </w:tr>
      <w:tr w:rsidR="006E3A73" w:rsidRPr="00DE17CF" w:rsidTr="006E3A73">
        <w:tc>
          <w:tcPr>
            <w:tcW w:w="901" w:type="dxa"/>
            <w:tcBorders>
              <w:top w:val="single" w:sz="4" w:space="0" w:color="auto"/>
              <w:left w:val="single" w:sz="4" w:space="0" w:color="auto"/>
              <w:bottom w:val="single" w:sz="4" w:space="0" w:color="auto"/>
              <w:right w:val="single" w:sz="4" w:space="0" w:color="auto"/>
            </w:tcBorders>
            <w:hideMark/>
          </w:tcPr>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lastRenderedPageBreak/>
              <w:t>16</w:t>
            </w:r>
          </w:p>
        </w:tc>
        <w:tc>
          <w:tcPr>
            <w:tcW w:w="3152" w:type="dxa"/>
            <w:tcBorders>
              <w:top w:val="single" w:sz="4" w:space="0" w:color="auto"/>
              <w:left w:val="single" w:sz="4" w:space="0" w:color="auto"/>
              <w:bottom w:val="single" w:sz="4" w:space="0" w:color="auto"/>
              <w:right w:val="single" w:sz="4" w:space="0" w:color="auto"/>
            </w:tcBorders>
            <w:hideMark/>
          </w:tcPr>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珠海盈米财富管理有限公司</w:t>
            </w:r>
          </w:p>
        </w:tc>
        <w:tc>
          <w:tcPr>
            <w:tcW w:w="4560" w:type="dxa"/>
            <w:tcBorders>
              <w:top w:val="single" w:sz="4" w:space="0" w:color="auto"/>
              <w:left w:val="single" w:sz="4" w:space="0" w:color="auto"/>
              <w:bottom w:val="single" w:sz="4" w:space="0" w:color="auto"/>
              <w:right w:val="single" w:sz="4" w:space="0" w:color="auto"/>
            </w:tcBorders>
            <w:hideMark/>
          </w:tcPr>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办公地址：广州市海珠区</w:t>
            </w:r>
            <w:proofErr w:type="gramStart"/>
            <w:r w:rsidRPr="00DE17CF">
              <w:rPr>
                <w:rFonts w:asciiTheme="minorEastAsia" w:eastAsiaTheme="minorEastAsia" w:hAnsiTheme="minorEastAsia" w:cs="Arial" w:hint="eastAsia"/>
                <w:sz w:val="24"/>
                <w:szCs w:val="24"/>
              </w:rPr>
              <w:t>琶</w:t>
            </w:r>
            <w:proofErr w:type="gramEnd"/>
            <w:r w:rsidRPr="00DE17CF">
              <w:rPr>
                <w:rFonts w:asciiTheme="minorEastAsia" w:eastAsiaTheme="minorEastAsia" w:hAnsiTheme="minorEastAsia" w:cs="Arial" w:hint="eastAsia"/>
                <w:sz w:val="24"/>
                <w:szCs w:val="24"/>
              </w:rPr>
              <w:t>洲大道东1号保利国际广场南塔12楼B1201-1203</w:t>
            </w:r>
          </w:p>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客户服务电话：020-89629066</w:t>
            </w:r>
          </w:p>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网址：www.yingmi.cn</w:t>
            </w:r>
          </w:p>
        </w:tc>
      </w:tr>
      <w:tr w:rsidR="006E3A73" w:rsidRPr="00DE17CF" w:rsidTr="006E3A73">
        <w:tc>
          <w:tcPr>
            <w:tcW w:w="901" w:type="dxa"/>
            <w:tcBorders>
              <w:top w:val="single" w:sz="4" w:space="0" w:color="auto"/>
              <w:left w:val="single" w:sz="4" w:space="0" w:color="auto"/>
              <w:bottom w:val="single" w:sz="4" w:space="0" w:color="auto"/>
              <w:right w:val="single" w:sz="4" w:space="0" w:color="auto"/>
            </w:tcBorders>
            <w:hideMark/>
          </w:tcPr>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17</w:t>
            </w:r>
          </w:p>
        </w:tc>
        <w:tc>
          <w:tcPr>
            <w:tcW w:w="3152" w:type="dxa"/>
            <w:tcBorders>
              <w:top w:val="single" w:sz="4" w:space="0" w:color="auto"/>
              <w:left w:val="single" w:sz="4" w:space="0" w:color="auto"/>
              <w:bottom w:val="single" w:sz="4" w:space="0" w:color="auto"/>
              <w:right w:val="single" w:sz="4" w:space="0" w:color="auto"/>
            </w:tcBorders>
          </w:tcPr>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上海长</w:t>
            </w:r>
            <w:proofErr w:type="gramStart"/>
            <w:r w:rsidRPr="00DE17CF">
              <w:rPr>
                <w:rFonts w:asciiTheme="minorEastAsia" w:eastAsiaTheme="minorEastAsia" w:hAnsiTheme="minorEastAsia" w:cs="Arial" w:hint="eastAsia"/>
                <w:sz w:val="24"/>
                <w:szCs w:val="24"/>
              </w:rPr>
              <w:t>量基金</w:t>
            </w:r>
            <w:proofErr w:type="gramEnd"/>
            <w:r w:rsidRPr="00DE17CF">
              <w:rPr>
                <w:rFonts w:asciiTheme="minorEastAsia" w:eastAsiaTheme="minorEastAsia" w:hAnsiTheme="minorEastAsia" w:cs="Arial" w:hint="eastAsia"/>
                <w:sz w:val="24"/>
                <w:szCs w:val="24"/>
              </w:rPr>
              <w:t>销售投资顾问有限公司</w:t>
            </w:r>
          </w:p>
          <w:p w:rsidR="006E3A73" w:rsidRPr="00DE17CF" w:rsidRDefault="006E3A73" w:rsidP="00DE17CF">
            <w:pPr>
              <w:autoSpaceDE w:val="0"/>
              <w:autoSpaceDN w:val="0"/>
              <w:adjustRightInd w:val="0"/>
              <w:snapToGrid w:val="0"/>
              <w:spacing w:line="360" w:lineRule="auto"/>
              <w:ind w:firstLineChars="200" w:firstLine="480"/>
              <w:rPr>
                <w:rFonts w:asciiTheme="minorEastAsia" w:eastAsiaTheme="minorEastAsia" w:hAnsiTheme="minorEastAsia" w:cs="Arial"/>
                <w:sz w:val="24"/>
                <w:szCs w:val="24"/>
              </w:rPr>
            </w:pPr>
          </w:p>
        </w:tc>
        <w:tc>
          <w:tcPr>
            <w:tcW w:w="4560" w:type="dxa"/>
            <w:tcBorders>
              <w:top w:val="single" w:sz="4" w:space="0" w:color="auto"/>
              <w:left w:val="single" w:sz="4" w:space="0" w:color="auto"/>
              <w:bottom w:val="single" w:sz="4" w:space="0" w:color="auto"/>
              <w:right w:val="single" w:sz="4" w:space="0" w:color="auto"/>
            </w:tcBorders>
            <w:hideMark/>
          </w:tcPr>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办公地址：上海市浦东新区东方路1267号11层</w:t>
            </w:r>
          </w:p>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客服电话：400-820-2899</w:t>
            </w:r>
          </w:p>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网址：www.erichfund.com</w:t>
            </w:r>
          </w:p>
        </w:tc>
      </w:tr>
      <w:tr w:rsidR="006E3A73" w:rsidRPr="00DE17CF" w:rsidTr="006E3A73">
        <w:tc>
          <w:tcPr>
            <w:tcW w:w="901" w:type="dxa"/>
            <w:tcBorders>
              <w:top w:val="single" w:sz="4" w:space="0" w:color="auto"/>
              <w:left w:val="single" w:sz="4" w:space="0" w:color="auto"/>
              <w:bottom w:val="single" w:sz="4" w:space="0" w:color="auto"/>
              <w:right w:val="single" w:sz="4" w:space="0" w:color="auto"/>
            </w:tcBorders>
            <w:hideMark/>
          </w:tcPr>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18</w:t>
            </w:r>
          </w:p>
        </w:tc>
        <w:tc>
          <w:tcPr>
            <w:tcW w:w="3152" w:type="dxa"/>
            <w:tcBorders>
              <w:top w:val="single" w:sz="4" w:space="0" w:color="auto"/>
              <w:left w:val="single" w:sz="4" w:space="0" w:color="auto"/>
              <w:bottom w:val="single" w:sz="4" w:space="0" w:color="auto"/>
              <w:right w:val="single" w:sz="4" w:space="0" w:color="auto"/>
            </w:tcBorders>
            <w:hideMark/>
          </w:tcPr>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北京汇成基金销售有限公司</w:t>
            </w:r>
          </w:p>
        </w:tc>
        <w:tc>
          <w:tcPr>
            <w:tcW w:w="4560" w:type="dxa"/>
            <w:tcBorders>
              <w:top w:val="single" w:sz="4" w:space="0" w:color="auto"/>
              <w:left w:val="single" w:sz="4" w:space="0" w:color="auto"/>
              <w:bottom w:val="single" w:sz="4" w:space="0" w:color="auto"/>
              <w:right w:val="single" w:sz="4" w:space="0" w:color="auto"/>
            </w:tcBorders>
            <w:hideMark/>
          </w:tcPr>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注册地址：北京市海淀区中关村大街11号11层1108</w:t>
            </w:r>
          </w:p>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客户服务电话：4006199059</w:t>
            </w:r>
          </w:p>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网址：www.hcjijin.com</w:t>
            </w:r>
          </w:p>
        </w:tc>
      </w:tr>
      <w:tr w:rsidR="006E3A73" w:rsidRPr="00DE17CF" w:rsidTr="006E3A73">
        <w:tc>
          <w:tcPr>
            <w:tcW w:w="901" w:type="dxa"/>
            <w:tcBorders>
              <w:top w:val="single" w:sz="4" w:space="0" w:color="auto"/>
              <w:left w:val="single" w:sz="4" w:space="0" w:color="auto"/>
              <w:bottom w:val="single" w:sz="4" w:space="0" w:color="auto"/>
              <w:right w:val="single" w:sz="4" w:space="0" w:color="auto"/>
            </w:tcBorders>
            <w:hideMark/>
          </w:tcPr>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19</w:t>
            </w:r>
          </w:p>
        </w:tc>
        <w:tc>
          <w:tcPr>
            <w:tcW w:w="3152" w:type="dxa"/>
            <w:tcBorders>
              <w:top w:val="single" w:sz="4" w:space="0" w:color="auto"/>
              <w:left w:val="single" w:sz="4" w:space="0" w:color="auto"/>
              <w:bottom w:val="single" w:sz="4" w:space="0" w:color="auto"/>
              <w:right w:val="single" w:sz="4" w:space="0" w:color="auto"/>
            </w:tcBorders>
            <w:hideMark/>
          </w:tcPr>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深圳市新兰德证券投资咨询有限公司</w:t>
            </w:r>
          </w:p>
        </w:tc>
        <w:tc>
          <w:tcPr>
            <w:tcW w:w="4560" w:type="dxa"/>
            <w:tcBorders>
              <w:top w:val="single" w:sz="4" w:space="0" w:color="auto"/>
              <w:left w:val="single" w:sz="4" w:space="0" w:color="auto"/>
              <w:bottom w:val="single" w:sz="4" w:space="0" w:color="auto"/>
              <w:right w:val="single" w:sz="4" w:space="0" w:color="auto"/>
            </w:tcBorders>
            <w:hideMark/>
          </w:tcPr>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办公地址：北京市西城区宣武门外大街10号</w:t>
            </w:r>
            <w:proofErr w:type="gramStart"/>
            <w:r w:rsidRPr="00DE17CF">
              <w:rPr>
                <w:rFonts w:asciiTheme="minorEastAsia" w:eastAsiaTheme="minorEastAsia" w:hAnsiTheme="minorEastAsia" w:cs="Arial" w:hint="eastAsia"/>
                <w:sz w:val="24"/>
                <w:szCs w:val="24"/>
              </w:rPr>
              <w:t>庄胜广场</w:t>
            </w:r>
            <w:proofErr w:type="gramEnd"/>
            <w:r w:rsidRPr="00DE17CF">
              <w:rPr>
                <w:rFonts w:asciiTheme="minorEastAsia" w:eastAsiaTheme="minorEastAsia" w:hAnsiTheme="minorEastAsia" w:cs="Arial" w:hint="eastAsia"/>
                <w:sz w:val="24"/>
                <w:szCs w:val="24"/>
              </w:rPr>
              <w:t>中央办公楼东翼7层</w:t>
            </w:r>
          </w:p>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客户服务电话：400-166-1188</w:t>
            </w:r>
          </w:p>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网址：http://www.new-rand.cn/</w:t>
            </w:r>
          </w:p>
        </w:tc>
      </w:tr>
      <w:tr w:rsidR="006E3A73" w:rsidRPr="00DE17CF" w:rsidTr="006E3A73">
        <w:tc>
          <w:tcPr>
            <w:tcW w:w="901" w:type="dxa"/>
            <w:tcBorders>
              <w:top w:val="single" w:sz="4" w:space="0" w:color="auto"/>
              <w:left w:val="single" w:sz="4" w:space="0" w:color="auto"/>
              <w:bottom w:val="single" w:sz="4" w:space="0" w:color="auto"/>
              <w:right w:val="single" w:sz="4" w:space="0" w:color="auto"/>
            </w:tcBorders>
            <w:hideMark/>
          </w:tcPr>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20</w:t>
            </w:r>
          </w:p>
        </w:tc>
        <w:tc>
          <w:tcPr>
            <w:tcW w:w="3152" w:type="dxa"/>
            <w:tcBorders>
              <w:top w:val="single" w:sz="4" w:space="0" w:color="auto"/>
              <w:left w:val="single" w:sz="4" w:space="0" w:color="auto"/>
              <w:bottom w:val="single" w:sz="4" w:space="0" w:color="auto"/>
              <w:right w:val="single" w:sz="4" w:space="0" w:color="auto"/>
            </w:tcBorders>
            <w:hideMark/>
          </w:tcPr>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proofErr w:type="gramStart"/>
            <w:r w:rsidRPr="00DE17CF">
              <w:rPr>
                <w:rFonts w:asciiTheme="minorEastAsia" w:eastAsiaTheme="minorEastAsia" w:hAnsiTheme="minorEastAsia" w:cs="Arial" w:hint="eastAsia"/>
                <w:sz w:val="24"/>
                <w:szCs w:val="24"/>
              </w:rPr>
              <w:t>泰诚财富</w:t>
            </w:r>
            <w:proofErr w:type="gramEnd"/>
            <w:r w:rsidRPr="00DE17CF">
              <w:rPr>
                <w:rFonts w:asciiTheme="minorEastAsia" w:eastAsiaTheme="minorEastAsia" w:hAnsiTheme="minorEastAsia" w:cs="Arial" w:hint="eastAsia"/>
                <w:sz w:val="24"/>
                <w:szCs w:val="24"/>
              </w:rPr>
              <w:t>基金销售（大连）有限公司</w:t>
            </w:r>
          </w:p>
        </w:tc>
        <w:tc>
          <w:tcPr>
            <w:tcW w:w="4560" w:type="dxa"/>
            <w:tcBorders>
              <w:top w:val="single" w:sz="4" w:space="0" w:color="auto"/>
              <w:left w:val="single" w:sz="4" w:space="0" w:color="auto"/>
              <w:bottom w:val="single" w:sz="4" w:space="0" w:color="auto"/>
              <w:right w:val="single" w:sz="4" w:space="0" w:color="auto"/>
            </w:tcBorders>
            <w:hideMark/>
          </w:tcPr>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注册（办公）地址：辽宁省大连市沙河口区星海中龙园3号</w:t>
            </w:r>
          </w:p>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客户服务电话：4006411999</w:t>
            </w:r>
          </w:p>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网址：www.taichengcaifu.com</w:t>
            </w:r>
          </w:p>
        </w:tc>
      </w:tr>
      <w:tr w:rsidR="006E3A73" w:rsidRPr="00DE17CF" w:rsidTr="006E3A73">
        <w:tc>
          <w:tcPr>
            <w:tcW w:w="901" w:type="dxa"/>
            <w:tcBorders>
              <w:top w:val="single" w:sz="4" w:space="0" w:color="auto"/>
              <w:left w:val="single" w:sz="4" w:space="0" w:color="auto"/>
              <w:bottom w:val="single" w:sz="4" w:space="0" w:color="auto"/>
              <w:right w:val="single" w:sz="4" w:space="0" w:color="auto"/>
            </w:tcBorders>
            <w:hideMark/>
          </w:tcPr>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21</w:t>
            </w:r>
          </w:p>
        </w:tc>
        <w:tc>
          <w:tcPr>
            <w:tcW w:w="3152" w:type="dxa"/>
            <w:tcBorders>
              <w:top w:val="single" w:sz="4" w:space="0" w:color="auto"/>
              <w:left w:val="single" w:sz="4" w:space="0" w:color="auto"/>
              <w:bottom w:val="single" w:sz="4" w:space="0" w:color="auto"/>
              <w:right w:val="single" w:sz="4" w:space="0" w:color="auto"/>
            </w:tcBorders>
            <w:hideMark/>
          </w:tcPr>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济安财富（北京）基金销售有限公司</w:t>
            </w:r>
          </w:p>
        </w:tc>
        <w:tc>
          <w:tcPr>
            <w:tcW w:w="4560" w:type="dxa"/>
            <w:tcBorders>
              <w:top w:val="single" w:sz="4" w:space="0" w:color="auto"/>
              <w:left w:val="single" w:sz="4" w:space="0" w:color="auto"/>
              <w:bottom w:val="single" w:sz="4" w:space="0" w:color="auto"/>
              <w:right w:val="single" w:sz="4" w:space="0" w:color="auto"/>
            </w:tcBorders>
            <w:hideMark/>
          </w:tcPr>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注册(办公)地址：北京市朝阳区太阳宫中路16号院1号楼3层307</w:t>
            </w:r>
          </w:p>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客户服务电话：400-673-7010</w:t>
            </w:r>
          </w:p>
          <w:p w:rsidR="006E3A73" w:rsidRPr="00DE17CF" w:rsidRDefault="006E3A73" w:rsidP="00DE17CF">
            <w:pPr>
              <w:autoSpaceDE w:val="0"/>
              <w:autoSpaceDN w:val="0"/>
              <w:adjustRightInd w:val="0"/>
              <w:snapToGrid w:val="0"/>
              <w:spacing w:line="360" w:lineRule="auto"/>
              <w:ind w:firstLineChars="200" w:firstLine="480"/>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网址：</w:t>
            </w:r>
            <w:hyperlink r:id="rId12" w:history="1">
              <w:r w:rsidRPr="00DE17CF">
                <w:rPr>
                  <w:rFonts w:asciiTheme="minorEastAsia" w:eastAsiaTheme="minorEastAsia" w:hAnsiTheme="minorEastAsia" w:cs="Arial" w:hint="eastAsia"/>
                  <w:sz w:val="24"/>
                  <w:szCs w:val="24"/>
                </w:rPr>
                <w:t>www.jianfortune.com</w:t>
              </w:r>
            </w:hyperlink>
          </w:p>
        </w:tc>
      </w:tr>
      <w:tr w:rsidR="006E3A73" w:rsidRPr="00DE17CF" w:rsidTr="006E3A73">
        <w:tc>
          <w:tcPr>
            <w:tcW w:w="901" w:type="dxa"/>
            <w:tcBorders>
              <w:top w:val="single" w:sz="4" w:space="0" w:color="auto"/>
              <w:left w:val="single" w:sz="4" w:space="0" w:color="auto"/>
              <w:bottom w:val="single" w:sz="4" w:space="0" w:color="auto"/>
              <w:right w:val="single" w:sz="4" w:space="0" w:color="auto"/>
            </w:tcBorders>
            <w:hideMark/>
          </w:tcPr>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22</w:t>
            </w:r>
          </w:p>
        </w:tc>
        <w:tc>
          <w:tcPr>
            <w:tcW w:w="3152" w:type="dxa"/>
            <w:tcBorders>
              <w:top w:val="single" w:sz="4" w:space="0" w:color="auto"/>
              <w:left w:val="single" w:sz="4" w:space="0" w:color="auto"/>
              <w:bottom w:val="single" w:sz="4" w:space="0" w:color="auto"/>
              <w:right w:val="single" w:sz="4" w:space="0" w:color="auto"/>
            </w:tcBorders>
            <w:hideMark/>
          </w:tcPr>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金惠家保险代理有限公司</w:t>
            </w:r>
          </w:p>
        </w:tc>
        <w:tc>
          <w:tcPr>
            <w:tcW w:w="4560" w:type="dxa"/>
            <w:tcBorders>
              <w:top w:val="single" w:sz="4" w:space="0" w:color="auto"/>
              <w:left w:val="single" w:sz="4" w:space="0" w:color="auto"/>
              <w:bottom w:val="single" w:sz="4" w:space="0" w:color="auto"/>
              <w:right w:val="single" w:sz="4" w:space="0" w:color="auto"/>
            </w:tcBorders>
            <w:hideMark/>
          </w:tcPr>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注册(办公)地址：北京市西城区阜成门外大街2号19层A2017</w:t>
            </w:r>
          </w:p>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lastRenderedPageBreak/>
              <w:t>客户服务电话：400-1060101</w:t>
            </w:r>
          </w:p>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网址： www.jhjfund.com</w:t>
            </w:r>
          </w:p>
        </w:tc>
      </w:tr>
      <w:tr w:rsidR="006E3A73" w:rsidRPr="00DE17CF" w:rsidTr="006E3A73">
        <w:tc>
          <w:tcPr>
            <w:tcW w:w="901" w:type="dxa"/>
            <w:tcBorders>
              <w:top w:val="single" w:sz="4" w:space="0" w:color="auto"/>
              <w:left w:val="single" w:sz="4" w:space="0" w:color="auto"/>
              <w:bottom w:val="single" w:sz="4" w:space="0" w:color="auto"/>
              <w:right w:val="single" w:sz="4" w:space="0" w:color="auto"/>
            </w:tcBorders>
            <w:hideMark/>
          </w:tcPr>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lastRenderedPageBreak/>
              <w:t>23</w:t>
            </w:r>
          </w:p>
        </w:tc>
        <w:tc>
          <w:tcPr>
            <w:tcW w:w="3152" w:type="dxa"/>
            <w:tcBorders>
              <w:top w:val="single" w:sz="4" w:space="0" w:color="auto"/>
              <w:left w:val="single" w:sz="4" w:space="0" w:color="auto"/>
              <w:bottom w:val="single" w:sz="4" w:space="0" w:color="auto"/>
              <w:right w:val="single" w:sz="4" w:space="0" w:color="auto"/>
            </w:tcBorders>
            <w:hideMark/>
          </w:tcPr>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民</w:t>
            </w:r>
            <w:proofErr w:type="gramStart"/>
            <w:r w:rsidRPr="00DE17CF">
              <w:rPr>
                <w:rFonts w:asciiTheme="minorEastAsia" w:eastAsiaTheme="minorEastAsia" w:hAnsiTheme="minorEastAsia" w:cs="Arial" w:hint="eastAsia"/>
                <w:sz w:val="24"/>
                <w:szCs w:val="24"/>
              </w:rPr>
              <w:t>商基金</w:t>
            </w:r>
            <w:proofErr w:type="gramEnd"/>
            <w:r w:rsidRPr="00DE17CF">
              <w:rPr>
                <w:rFonts w:asciiTheme="minorEastAsia" w:eastAsiaTheme="minorEastAsia" w:hAnsiTheme="minorEastAsia" w:cs="Arial" w:hint="eastAsia"/>
                <w:sz w:val="24"/>
                <w:szCs w:val="24"/>
              </w:rPr>
              <w:t>销售（上海）有限公司</w:t>
            </w:r>
          </w:p>
        </w:tc>
        <w:tc>
          <w:tcPr>
            <w:tcW w:w="4560" w:type="dxa"/>
            <w:tcBorders>
              <w:top w:val="single" w:sz="4" w:space="0" w:color="auto"/>
              <w:left w:val="single" w:sz="4" w:space="0" w:color="auto"/>
              <w:bottom w:val="single" w:sz="4" w:space="0" w:color="auto"/>
              <w:right w:val="single" w:sz="4" w:space="0" w:color="auto"/>
            </w:tcBorders>
            <w:hideMark/>
          </w:tcPr>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注册</w:t>
            </w:r>
            <w:r w:rsidRPr="00DE17CF">
              <w:rPr>
                <w:rFonts w:asciiTheme="minorEastAsia" w:eastAsiaTheme="minorEastAsia" w:hAnsiTheme="minorEastAsia" w:cs="Arial"/>
                <w:sz w:val="24"/>
                <w:szCs w:val="24"/>
              </w:rPr>
              <w:t>(</w:t>
            </w:r>
            <w:r w:rsidRPr="00DE17CF">
              <w:rPr>
                <w:rFonts w:asciiTheme="minorEastAsia" w:eastAsiaTheme="minorEastAsia" w:hAnsiTheme="minorEastAsia" w:cs="Arial" w:hint="eastAsia"/>
                <w:sz w:val="24"/>
                <w:szCs w:val="24"/>
              </w:rPr>
              <w:t>办公</w:t>
            </w:r>
            <w:r w:rsidRPr="00DE17CF">
              <w:rPr>
                <w:rFonts w:asciiTheme="minorEastAsia" w:eastAsiaTheme="minorEastAsia" w:hAnsiTheme="minorEastAsia" w:cs="Arial"/>
                <w:sz w:val="24"/>
                <w:szCs w:val="24"/>
              </w:rPr>
              <w:t>)</w:t>
            </w:r>
            <w:r w:rsidRPr="00DE17CF">
              <w:rPr>
                <w:rFonts w:asciiTheme="minorEastAsia" w:eastAsiaTheme="minorEastAsia" w:hAnsiTheme="minorEastAsia" w:cs="Arial" w:hint="eastAsia"/>
                <w:sz w:val="24"/>
                <w:szCs w:val="24"/>
              </w:rPr>
              <w:t>地址：上海黄浦区北京东路</w:t>
            </w:r>
            <w:r w:rsidRPr="00DE17CF">
              <w:rPr>
                <w:rFonts w:asciiTheme="minorEastAsia" w:eastAsiaTheme="minorEastAsia" w:hAnsiTheme="minorEastAsia" w:cs="Arial"/>
                <w:sz w:val="24"/>
                <w:szCs w:val="24"/>
              </w:rPr>
              <w:t>666</w:t>
            </w:r>
            <w:r w:rsidRPr="00DE17CF">
              <w:rPr>
                <w:rFonts w:asciiTheme="minorEastAsia" w:eastAsiaTheme="minorEastAsia" w:hAnsiTheme="minorEastAsia" w:cs="Arial" w:hint="eastAsia"/>
                <w:sz w:val="24"/>
                <w:szCs w:val="24"/>
              </w:rPr>
              <w:t>号</w:t>
            </w:r>
            <w:r w:rsidRPr="00DE17CF">
              <w:rPr>
                <w:rFonts w:asciiTheme="minorEastAsia" w:eastAsiaTheme="minorEastAsia" w:hAnsiTheme="minorEastAsia" w:cs="Arial"/>
                <w:sz w:val="24"/>
                <w:szCs w:val="24"/>
              </w:rPr>
              <w:t>H</w:t>
            </w:r>
            <w:r w:rsidRPr="00DE17CF">
              <w:rPr>
                <w:rFonts w:asciiTheme="minorEastAsia" w:eastAsiaTheme="minorEastAsia" w:hAnsiTheme="minorEastAsia" w:cs="Arial" w:hint="eastAsia"/>
                <w:sz w:val="24"/>
                <w:szCs w:val="24"/>
              </w:rPr>
              <w:t>区（东座）</w:t>
            </w:r>
            <w:r w:rsidRPr="00DE17CF">
              <w:rPr>
                <w:rFonts w:asciiTheme="minorEastAsia" w:eastAsiaTheme="minorEastAsia" w:hAnsiTheme="minorEastAsia" w:cs="Arial"/>
                <w:sz w:val="24"/>
                <w:szCs w:val="24"/>
              </w:rPr>
              <w:t>6</w:t>
            </w:r>
            <w:r w:rsidRPr="00DE17CF">
              <w:rPr>
                <w:rFonts w:asciiTheme="minorEastAsia" w:eastAsiaTheme="minorEastAsia" w:hAnsiTheme="minorEastAsia" w:cs="Arial" w:hint="eastAsia"/>
                <w:sz w:val="24"/>
                <w:szCs w:val="24"/>
              </w:rPr>
              <w:t>楼</w:t>
            </w:r>
            <w:r w:rsidRPr="00DE17CF">
              <w:rPr>
                <w:rFonts w:asciiTheme="minorEastAsia" w:eastAsiaTheme="minorEastAsia" w:hAnsiTheme="minorEastAsia" w:cs="Arial"/>
                <w:sz w:val="24"/>
                <w:szCs w:val="24"/>
              </w:rPr>
              <w:t>A31</w:t>
            </w:r>
            <w:r w:rsidRPr="00DE17CF">
              <w:rPr>
                <w:rFonts w:asciiTheme="minorEastAsia" w:eastAsiaTheme="minorEastAsia" w:hAnsiTheme="minorEastAsia" w:cs="Arial" w:hint="eastAsia"/>
                <w:sz w:val="24"/>
                <w:szCs w:val="24"/>
              </w:rPr>
              <w:t>室</w:t>
            </w:r>
          </w:p>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客户服务电话：</w:t>
            </w:r>
            <w:r w:rsidRPr="00DE17CF">
              <w:rPr>
                <w:rFonts w:asciiTheme="minorEastAsia" w:eastAsiaTheme="minorEastAsia" w:hAnsiTheme="minorEastAsia" w:cs="Arial"/>
                <w:sz w:val="24"/>
                <w:szCs w:val="24"/>
              </w:rPr>
              <w:t>021-50206003</w:t>
            </w:r>
          </w:p>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网址：</w:t>
            </w:r>
            <w:r w:rsidRPr="00DE17CF">
              <w:rPr>
                <w:rFonts w:asciiTheme="minorEastAsia" w:eastAsiaTheme="minorEastAsia" w:hAnsiTheme="minorEastAsia" w:cs="Arial"/>
                <w:sz w:val="24"/>
                <w:szCs w:val="24"/>
              </w:rPr>
              <w:t>http://www.msftec.com</w:t>
            </w:r>
          </w:p>
        </w:tc>
      </w:tr>
      <w:tr w:rsidR="006E3A73" w:rsidRPr="00DE17CF" w:rsidTr="006E3A73">
        <w:tc>
          <w:tcPr>
            <w:tcW w:w="901" w:type="dxa"/>
            <w:tcBorders>
              <w:top w:val="single" w:sz="4" w:space="0" w:color="auto"/>
              <w:left w:val="single" w:sz="4" w:space="0" w:color="auto"/>
              <w:bottom w:val="single" w:sz="4" w:space="0" w:color="auto"/>
              <w:right w:val="single" w:sz="4" w:space="0" w:color="auto"/>
            </w:tcBorders>
            <w:hideMark/>
          </w:tcPr>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24</w:t>
            </w:r>
          </w:p>
        </w:tc>
        <w:tc>
          <w:tcPr>
            <w:tcW w:w="3152" w:type="dxa"/>
            <w:tcBorders>
              <w:top w:val="single" w:sz="4" w:space="0" w:color="auto"/>
              <w:left w:val="single" w:sz="4" w:space="0" w:color="auto"/>
              <w:bottom w:val="single" w:sz="4" w:space="0" w:color="auto"/>
              <w:right w:val="single" w:sz="4" w:space="0" w:color="auto"/>
            </w:tcBorders>
            <w:hideMark/>
          </w:tcPr>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大连</w:t>
            </w:r>
            <w:proofErr w:type="gramStart"/>
            <w:r w:rsidRPr="00DE17CF">
              <w:rPr>
                <w:rFonts w:asciiTheme="minorEastAsia" w:eastAsiaTheme="minorEastAsia" w:hAnsiTheme="minorEastAsia" w:cs="Arial" w:hint="eastAsia"/>
                <w:sz w:val="24"/>
                <w:szCs w:val="24"/>
              </w:rPr>
              <w:t>网金基金</w:t>
            </w:r>
            <w:proofErr w:type="gramEnd"/>
            <w:r w:rsidRPr="00DE17CF">
              <w:rPr>
                <w:rFonts w:asciiTheme="minorEastAsia" w:eastAsiaTheme="minorEastAsia" w:hAnsiTheme="minorEastAsia" w:cs="Arial" w:hint="eastAsia"/>
                <w:sz w:val="24"/>
                <w:szCs w:val="24"/>
              </w:rPr>
              <w:t>销售有限公司</w:t>
            </w:r>
          </w:p>
        </w:tc>
        <w:tc>
          <w:tcPr>
            <w:tcW w:w="4560" w:type="dxa"/>
            <w:tcBorders>
              <w:top w:val="single" w:sz="4" w:space="0" w:color="auto"/>
              <w:left w:val="single" w:sz="4" w:space="0" w:color="auto"/>
              <w:bottom w:val="single" w:sz="4" w:space="0" w:color="auto"/>
              <w:right w:val="single" w:sz="4" w:space="0" w:color="auto"/>
            </w:tcBorders>
            <w:hideMark/>
          </w:tcPr>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注册</w:t>
            </w:r>
            <w:r w:rsidRPr="00DE17CF">
              <w:rPr>
                <w:rFonts w:asciiTheme="minorEastAsia" w:eastAsiaTheme="minorEastAsia" w:hAnsiTheme="minorEastAsia" w:cs="Arial"/>
                <w:sz w:val="24"/>
                <w:szCs w:val="24"/>
              </w:rPr>
              <w:t>(</w:t>
            </w:r>
            <w:r w:rsidRPr="00DE17CF">
              <w:rPr>
                <w:rFonts w:asciiTheme="minorEastAsia" w:eastAsiaTheme="minorEastAsia" w:hAnsiTheme="minorEastAsia" w:cs="Arial" w:hint="eastAsia"/>
                <w:sz w:val="24"/>
                <w:szCs w:val="24"/>
              </w:rPr>
              <w:t>办公</w:t>
            </w:r>
            <w:r w:rsidRPr="00DE17CF">
              <w:rPr>
                <w:rFonts w:asciiTheme="minorEastAsia" w:eastAsiaTheme="minorEastAsia" w:hAnsiTheme="minorEastAsia" w:cs="Arial"/>
                <w:sz w:val="24"/>
                <w:szCs w:val="24"/>
              </w:rPr>
              <w:t>)</w:t>
            </w:r>
            <w:r w:rsidRPr="00DE17CF">
              <w:rPr>
                <w:rFonts w:asciiTheme="minorEastAsia" w:eastAsiaTheme="minorEastAsia" w:hAnsiTheme="minorEastAsia" w:cs="Arial" w:hint="eastAsia"/>
                <w:sz w:val="24"/>
                <w:szCs w:val="24"/>
              </w:rPr>
              <w:t>地址：大连市沙河口区体坛路</w:t>
            </w:r>
            <w:r w:rsidRPr="00DE17CF">
              <w:rPr>
                <w:rFonts w:asciiTheme="minorEastAsia" w:eastAsiaTheme="minorEastAsia" w:hAnsiTheme="minorEastAsia" w:cs="Arial"/>
                <w:sz w:val="24"/>
                <w:szCs w:val="24"/>
              </w:rPr>
              <w:t>22</w:t>
            </w:r>
            <w:r w:rsidRPr="00DE17CF">
              <w:rPr>
                <w:rFonts w:asciiTheme="minorEastAsia" w:eastAsiaTheme="minorEastAsia" w:hAnsiTheme="minorEastAsia" w:cs="Arial" w:hint="eastAsia"/>
                <w:sz w:val="24"/>
                <w:szCs w:val="24"/>
              </w:rPr>
              <w:t>号诺德大厦</w:t>
            </w:r>
            <w:r w:rsidRPr="00DE17CF">
              <w:rPr>
                <w:rFonts w:asciiTheme="minorEastAsia" w:eastAsiaTheme="minorEastAsia" w:hAnsiTheme="minorEastAsia" w:cs="Arial"/>
                <w:sz w:val="24"/>
                <w:szCs w:val="24"/>
              </w:rPr>
              <w:t>2</w:t>
            </w:r>
            <w:r w:rsidRPr="00DE17CF">
              <w:rPr>
                <w:rFonts w:asciiTheme="minorEastAsia" w:eastAsiaTheme="minorEastAsia" w:hAnsiTheme="minorEastAsia" w:cs="Arial" w:hint="eastAsia"/>
                <w:sz w:val="24"/>
                <w:szCs w:val="24"/>
              </w:rPr>
              <w:t>层</w:t>
            </w:r>
          </w:p>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客户服务电话：</w:t>
            </w:r>
            <w:r w:rsidRPr="00DE17CF">
              <w:rPr>
                <w:rFonts w:asciiTheme="minorEastAsia" w:eastAsiaTheme="minorEastAsia" w:hAnsiTheme="minorEastAsia" w:cs="Arial"/>
                <w:sz w:val="24"/>
                <w:szCs w:val="24"/>
              </w:rPr>
              <w:t>4000-899-100</w:t>
            </w:r>
          </w:p>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网址：</w:t>
            </w:r>
            <w:r w:rsidRPr="00DE17CF">
              <w:rPr>
                <w:rFonts w:asciiTheme="minorEastAsia" w:eastAsiaTheme="minorEastAsia" w:hAnsiTheme="minorEastAsia" w:cs="Arial"/>
                <w:sz w:val="24"/>
                <w:szCs w:val="24"/>
              </w:rPr>
              <w:t xml:space="preserve"> http://www.yibaijin.com/</w:t>
            </w:r>
          </w:p>
        </w:tc>
      </w:tr>
      <w:tr w:rsidR="006E3A73" w:rsidRPr="00DE17CF" w:rsidTr="006E3A73">
        <w:tc>
          <w:tcPr>
            <w:tcW w:w="901" w:type="dxa"/>
            <w:tcBorders>
              <w:top w:val="single" w:sz="4" w:space="0" w:color="auto"/>
              <w:left w:val="single" w:sz="4" w:space="0" w:color="auto"/>
              <w:bottom w:val="single" w:sz="4" w:space="0" w:color="auto"/>
              <w:right w:val="single" w:sz="4" w:space="0" w:color="auto"/>
            </w:tcBorders>
            <w:hideMark/>
          </w:tcPr>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25</w:t>
            </w:r>
          </w:p>
        </w:tc>
        <w:tc>
          <w:tcPr>
            <w:tcW w:w="3152" w:type="dxa"/>
            <w:tcBorders>
              <w:top w:val="single" w:sz="4" w:space="0" w:color="auto"/>
              <w:left w:val="single" w:sz="4" w:space="0" w:color="auto"/>
              <w:bottom w:val="single" w:sz="4" w:space="0" w:color="auto"/>
              <w:right w:val="single" w:sz="4" w:space="0" w:color="auto"/>
            </w:tcBorders>
            <w:hideMark/>
          </w:tcPr>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proofErr w:type="gramStart"/>
            <w:r w:rsidRPr="00DE17CF">
              <w:rPr>
                <w:rFonts w:asciiTheme="minorEastAsia" w:eastAsiaTheme="minorEastAsia" w:hAnsiTheme="minorEastAsia" w:cs="Arial" w:hint="eastAsia"/>
                <w:sz w:val="24"/>
                <w:szCs w:val="24"/>
              </w:rPr>
              <w:t>扬州国</w:t>
            </w:r>
            <w:proofErr w:type="gramEnd"/>
            <w:r w:rsidRPr="00DE17CF">
              <w:rPr>
                <w:rFonts w:asciiTheme="minorEastAsia" w:eastAsiaTheme="minorEastAsia" w:hAnsiTheme="minorEastAsia" w:cs="Arial" w:hint="eastAsia"/>
                <w:sz w:val="24"/>
                <w:szCs w:val="24"/>
              </w:rPr>
              <w:t>信嘉利基金销售有限公司</w:t>
            </w:r>
          </w:p>
        </w:tc>
        <w:tc>
          <w:tcPr>
            <w:tcW w:w="4560" w:type="dxa"/>
            <w:tcBorders>
              <w:top w:val="single" w:sz="4" w:space="0" w:color="auto"/>
              <w:left w:val="single" w:sz="4" w:space="0" w:color="auto"/>
              <w:bottom w:val="single" w:sz="4" w:space="0" w:color="auto"/>
              <w:right w:val="single" w:sz="4" w:space="0" w:color="auto"/>
            </w:tcBorders>
            <w:hideMark/>
          </w:tcPr>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注册</w:t>
            </w:r>
            <w:r w:rsidRPr="00DE17CF">
              <w:rPr>
                <w:rFonts w:asciiTheme="minorEastAsia" w:eastAsiaTheme="minorEastAsia" w:hAnsiTheme="minorEastAsia" w:cs="Arial"/>
                <w:sz w:val="24"/>
                <w:szCs w:val="24"/>
              </w:rPr>
              <w:t>(</w:t>
            </w:r>
            <w:r w:rsidRPr="00DE17CF">
              <w:rPr>
                <w:rFonts w:asciiTheme="minorEastAsia" w:eastAsiaTheme="minorEastAsia" w:hAnsiTheme="minorEastAsia" w:cs="Arial" w:hint="eastAsia"/>
                <w:sz w:val="24"/>
                <w:szCs w:val="24"/>
              </w:rPr>
              <w:t>办公</w:t>
            </w:r>
            <w:r w:rsidRPr="00DE17CF">
              <w:rPr>
                <w:rFonts w:asciiTheme="minorEastAsia" w:eastAsiaTheme="minorEastAsia" w:hAnsiTheme="minorEastAsia" w:cs="Arial"/>
                <w:sz w:val="24"/>
                <w:szCs w:val="24"/>
              </w:rPr>
              <w:t>)</w:t>
            </w:r>
            <w:r w:rsidRPr="00DE17CF">
              <w:rPr>
                <w:rFonts w:asciiTheme="minorEastAsia" w:eastAsiaTheme="minorEastAsia" w:hAnsiTheme="minorEastAsia" w:cs="Arial" w:hint="eastAsia"/>
                <w:sz w:val="24"/>
                <w:szCs w:val="24"/>
              </w:rPr>
              <w:t>地址：扬州市广陵新城信息产业基地</w:t>
            </w:r>
            <w:r w:rsidRPr="00DE17CF">
              <w:rPr>
                <w:rFonts w:asciiTheme="minorEastAsia" w:eastAsiaTheme="minorEastAsia" w:hAnsiTheme="minorEastAsia" w:cs="Arial"/>
                <w:sz w:val="24"/>
                <w:szCs w:val="24"/>
              </w:rPr>
              <w:t>3</w:t>
            </w:r>
            <w:r w:rsidRPr="00DE17CF">
              <w:rPr>
                <w:rFonts w:asciiTheme="minorEastAsia" w:eastAsiaTheme="minorEastAsia" w:hAnsiTheme="minorEastAsia" w:cs="Arial" w:hint="eastAsia"/>
                <w:sz w:val="24"/>
                <w:szCs w:val="24"/>
              </w:rPr>
              <w:t>期</w:t>
            </w:r>
            <w:r w:rsidRPr="00DE17CF">
              <w:rPr>
                <w:rFonts w:asciiTheme="minorEastAsia" w:eastAsiaTheme="minorEastAsia" w:hAnsiTheme="minorEastAsia" w:cs="Arial"/>
                <w:sz w:val="24"/>
                <w:szCs w:val="24"/>
              </w:rPr>
              <w:t>20B</w:t>
            </w:r>
            <w:r w:rsidRPr="00DE17CF">
              <w:rPr>
                <w:rFonts w:asciiTheme="minorEastAsia" w:eastAsiaTheme="minorEastAsia" w:hAnsiTheme="minorEastAsia" w:cs="Arial" w:hint="eastAsia"/>
                <w:sz w:val="24"/>
                <w:szCs w:val="24"/>
              </w:rPr>
              <w:t>栋</w:t>
            </w:r>
          </w:p>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客户服务电话：</w:t>
            </w:r>
            <w:r w:rsidRPr="00DE17CF">
              <w:rPr>
                <w:rFonts w:asciiTheme="minorEastAsia" w:eastAsiaTheme="minorEastAsia" w:hAnsiTheme="minorEastAsia" w:cs="Arial"/>
                <w:sz w:val="24"/>
                <w:szCs w:val="24"/>
              </w:rPr>
              <w:t>400 021 6088</w:t>
            </w:r>
          </w:p>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网址：</w:t>
            </w:r>
            <w:r w:rsidRPr="00DE17CF">
              <w:rPr>
                <w:rFonts w:asciiTheme="minorEastAsia" w:eastAsiaTheme="minorEastAsia" w:hAnsiTheme="minorEastAsia" w:cs="Arial"/>
                <w:sz w:val="24"/>
                <w:szCs w:val="24"/>
              </w:rPr>
              <w:t>www.gxjlcn.com</w:t>
            </w:r>
          </w:p>
        </w:tc>
      </w:tr>
      <w:tr w:rsidR="006E3A73" w:rsidRPr="00DE17CF" w:rsidTr="006E3A73">
        <w:tc>
          <w:tcPr>
            <w:tcW w:w="901" w:type="dxa"/>
            <w:tcBorders>
              <w:top w:val="single" w:sz="4" w:space="0" w:color="auto"/>
              <w:left w:val="single" w:sz="4" w:space="0" w:color="auto"/>
              <w:bottom w:val="single" w:sz="4" w:space="0" w:color="auto"/>
              <w:right w:val="single" w:sz="4" w:space="0" w:color="auto"/>
            </w:tcBorders>
            <w:hideMark/>
          </w:tcPr>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26</w:t>
            </w:r>
          </w:p>
        </w:tc>
        <w:tc>
          <w:tcPr>
            <w:tcW w:w="3152" w:type="dxa"/>
            <w:tcBorders>
              <w:top w:val="single" w:sz="4" w:space="0" w:color="auto"/>
              <w:left w:val="single" w:sz="4" w:space="0" w:color="auto"/>
              <w:bottom w:val="single" w:sz="4" w:space="0" w:color="auto"/>
              <w:right w:val="single" w:sz="4" w:space="0" w:color="auto"/>
            </w:tcBorders>
            <w:hideMark/>
          </w:tcPr>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深圳</w:t>
            </w:r>
            <w:proofErr w:type="gramStart"/>
            <w:r w:rsidRPr="00DE17CF">
              <w:rPr>
                <w:rFonts w:asciiTheme="minorEastAsia" w:eastAsiaTheme="minorEastAsia" w:hAnsiTheme="minorEastAsia" w:cs="Arial" w:hint="eastAsia"/>
                <w:sz w:val="24"/>
                <w:szCs w:val="24"/>
              </w:rPr>
              <w:t>众禄基金</w:t>
            </w:r>
            <w:proofErr w:type="gramEnd"/>
            <w:r w:rsidRPr="00DE17CF">
              <w:rPr>
                <w:rFonts w:asciiTheme="minorEastAsia" w:eastAsiaTheme="minorEastAsia" w:hAnsiTheme="minorEastAsia" w:cs="Arial" w:hint="eastAsia"/>
                <w:sz w:val="24"/>
                <w:szCs w:val="24"/>
              </w:rPr>
              <w:t>销售股份有限公司</w:t>
            </w:r>
          </w:p>
        </w:tc>
        <w:tc>
          <w:tcPr>
            <w:tcW w:w="4560" w:type="dxa"/>
            <w:tcBorders>
              <w:top w:val="single" w:sz="4" w:space="0" w:color="auto"/>
              <w:left w:val="single" w:sz="4" w:space="0" w:color="auto"/>
              <w:bottom w:val="single" w:sz="4" w:space="0" w:color="auto"/>
              <w:right w:val="single" w:sz="4" w:space="0" w:color="auto"/>
            </w:tcBorders>
            <w:hideMark/>
          </w:tcPr>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注册（办公）地址：深圳市罗湖区梨园路物资控股置地大厦8楼</w:t>
            </w:r>
          </w:p>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客户服务电话：</w:t>
            </w:r>
            <w:r w:rsidRPr="00DE17CF">
              <w:rPr>
                <w:rFonts w:asciiTheme="minorEastAsia" w:eastAsiaTheme="minorEastAsia" w:hAnsiTheme="minorEastAsia" w:cs="Arial"/>
                <w:sz w:val="24"/>
                <w:szCs w:val="24"/>
              </w:rPr>
              <w:t>4006-788-887</w:t>
            </w:r>
          </w:p>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网址：</w:t>
            </w:r>
            <w:proofErr w:type="gramStart"/>
            <w:r w:rsidRPr="00DE17CF">
              <w:rPr>
                <w:rFonts w:asciiTheme="minorEastAsia" w:eastAsiaTheme="minorEastAsia" w:hAnsiTheme="minorEastAsia" w:cs="Arial" w:hint="eastAsia"/>
                <w:sz w:val="24"/>
                <w:szCs w:val="24"/>
              </w:rPr>
              <w:t>众禄基金</w:t>
            </w:r>
            <w:proofErr w:type="gramEnd"/>
            <w:r w:rsidRPr="00DE17CF">
              <w:rPr>
                <w:rFonts w:asciiTheme="minorEastAsia" w:eastAsiaTheme="minorEastAsia" w:hAnsiTheme="minorEastAsia" w:cs="Arial" w:hint="eastAsia"/>
                <w:sz w:val="24"/>
                <w:szCs w:val="24"/>
              </w:rPr>
              <w:t>网</w:t>
            </w:r>
            <w:r w:rsidRPr="00DE17CF">
              <w:rPr>
                <w:rFonts w:asciiTheme="minorEastAsia" w:eastAsiaTheme="minorEastAsia" w:hAnsiTheme="minorEastAsia" w:cs="Arial"/>
                <w:sz w:val="24"/>
                <w:szCs w:val="24"/>
              </w:rPr>
              <w:t xml:space="preserve"> </w:t>
            </w:r>
            <w:hyperlink r:id="rId13" w:history="1">
              <w:r w:rsidRPr="00DE17CF">
                <w:rPr>
                  <w:rFonts w:asciiTheme="minorEastAsia" w:eastAsiaTheme="minorEastAsia" w:hAnsiTheme="minorEastAsia" w:cs="Arial"/>
                  <w:sz w:val="24"/>
                  <w:szCs w:val="24"/>
                </w:rPr>
                <w:t>www.zlfund.cn</w:t>
              </w:r>
            </w:hyperlink>
          </w:p>
          <w:p w:rsidR="006E3A73" w:rsidRPr="00DE17CF" w:rsidRDefault="006E3A73" w:rsidP="00A354F1">
            <w:pPr>
              <w:autoSpaceDE w:val="0"/>
              <w:autoSpaceDN w:val="0"/>
              <w:adjustRightInd w:val="0"/>
              <w:snapToGrid w:val="0"/>
              <w:spacing w:line="360" w:lineRule="auto"/>
              <w:rPr>
                <w:rFonts w:asciiTheme="minorEastAsia" w:eastAsiaTheme="minorEastAsia" w:hAnsiTheme="minorEastAsia" w:cs="Arial"/>
                <w:sz w:val="24"/>
                <w:szCs w:val="24"/>
              </w:rPr>
            </w:pPr>
            <w:r w:rsidRPr="00DE17CF">
              <w:rPr>
                <w:rFonts w:asciiTheme="minorEastAsia" w:eastAsiaTheme="minorEastAsia" w:hAnsiTheme="minorEastAsia" w:cs="Arial" w:hint="eastAsia"/>
                <w:sz w:val="24"/>
                <w:szCs w:val="24"/>
              </w:rPr>
              <w:t>基金</w:t>
            </w:r>
            <w:proofErr w:type="gramStart"/>
            <w:r w:rsidRPr="00DE17CF">
              <w:rPr>
                <w:rFonts w:asciiTheme="minorEastAsia" w:eastAsiaTheme="minorEastAsia" w:hAnsiTheme="minorEastAsia" w:cs="Arial" w:hint="eastAsia"/>
                <w:sz w:val="24"/>
                <w:szCs w:val="24"/>
              </w:rPr>
              <w:t>买卖网</w:t>
            </w:r>
            <w:proofErr w:type="gramEnd"/>
            <w:r w:rsidRPr="00DE17CF">
              <w:rPr>
                <w:rFonts w:asciiTheme="minorEastAsia" w:eastAsiaTheme="minorEastAsia" w:hAnsiTheme="minorEastAsia" w:cs="Arial"/>
                <w:sz w:val="24"/>
                <w:szCs w:val="24"/>
              </w:rPr>
              <w:t xml:space="preserve"> </w:t>
            </w:r>
            <w:hyperlink r:id="rId14" w:history="1">
              <w:r w:rsidRPr="00DE17CF">
                <w:rPr>
                  <w:rFonts w:asciiTheme="minorEastAsia" w:eastAsiaTheme="minorEastAsia" w:hAnsiTheme="minorEastAsia" w:cs="Arial"/>
                  <w:sz w:val="24"/>
                  <w:szCs w:val="24"/>
                </w:rPr>
                <w:t>www.jjmmw.com</w:t>
              </w:r>
            </w:hyperlink>
          </w:p>
        </w:tc>
      </w:tr>
    </w:tbl>
    <w:p w:rsidR="007A36DF" w:rsidRPr="00533A47" w:rsidRDefault="007A36DF" w:rsidP="00DE17CF">
      <w:pPr>
        <w:autoSpaceDE w:val="0"/>
        <w:autoSpaceDN w:val="0"/>
        <w:adjustRightInd w:val="0"/>
        <w:snapToGrid w:val="0"/>
        <w:spacing w:line="360" w:lineRule="auto"/>
        <w:ind w:firstLineChars="200" w:firstLine="480"/>
        <w:rPr>
          <w:rFonts w:asciiTheme="minorEastAsia" w:hAnsiTheme="minorEastAsia" w:cs="Arial"/>
          <w:sz w:val="24"/>
          <w:szCs w:val="24"/>
        </w:rPr>
      </w:pP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（二）登记机构</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 xml:space="preserve">名称：富荣基金管理有限公司 </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 xml:space="preserve">住所：广东省广州市南沙区海滨路171号南沙金融大厦11楼1101之一J20 </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 xml:space="preserve">办公地址：深圳市福田区深南大道2012号深圳证券交易所广场3501室 </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法定代表人：</w:t>
      </w:r>
      <w:r w:rsidR="009C657D">
        <w:rPr>
          <w:rFonts w:asciiTheme="minorEastAsia" w:hAnsiTheme="minorEastAsia" w:cs="Arial" w:hint="eastAsia"/>
          <w:sz w:val="24"/>
          <w:szCs w:val="24"/>
        </w:rPr>
        <w:t>杨小舟</w:t>
      </w:r>
      <w:r w:rsidRPr="00DE17CF">
        <w:rPr>
          <w:rFonts w:asciiTheme="minorEastAsia" w:hAnsiTheme="minorEastAsia" w:cs="Arial" w:hint="eastAsia"/>
          <w:sz w:val="24"/>
          <w:szCs w:val="24"/>
        </w:rPr>
        <w:t xml:space="preserve"> </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联系人：黄文飞</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电话： 0755-84356604</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传真： 0755-83230787</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（三）出具法律意见书的律师事务所</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名称：上海市通力律师事务所</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lastRenderedPageBreak/>
        <w:t>住所：上海市银城中路68号时代金融中心19楼</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办公地址：上海市银城中路68号时代金融中心19楼</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负责人：俞卫锋</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电话：021-31358666</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传真：021-31358600</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经办律师：陆奇、安冬</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联系人： 陆奇</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（四）审计基金财产的会计师事务所</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bookmarkStart w:id="67" w:name="_Toc416264542"/>
      <w:bookmarkStart w:id="68" w:name="_Toc521572411"/>
      <w:bookmarkStart w:id="69" w:name="_Toc263092314"/>
      <w:bookmarkStart w:id="70" w:name="_Toc31235"/>
      <w:bookmarkStart w:id="71" w:name="_Toc31653"/>
      <w:bookmarkStart w:id="72" w:name="_Toc3601"/>
      <w:bookmarkStart w:id="73" w:name="_Toc352229753"/>
      <w:bookmarkStart w:id="74" w:name="_Toc12245"/>
      <w:bookmarkStart w:id="75" w:name="_Toc16859"/>
      <w:bookmarkStart w:id="76" w:name="_Toc15143"/>
      <w:bookmarkStart w:id="77" w:name="_Toc123112235"/>
      <w:bookmarkStart w:id="78" w:name="_Toc31644"/>
      <w:bookmarkStart w:id="79" w:name="_Toc141703887"/>
      <w:bookmarkStart w:id="80" w:name="_Toc14835"/>
      <w:bookmarkStart w:id="81" w:name="_Toc139991737"/>
      <w:bookmarkStart w:id="82" w:name="_Toc123102454"/>
      <w:bookmarkStart w:id="83" w:name="_Toc98560353"/>
      <w:bookmarkStart w:id="84" w:name="_Toc6405"/>
      <w:bookmarkStart w:id="85" w:name="_Toc123051453"/>
      <w:bookmarkStart w:id="86" w:name="_Toc26207"/>
      <w:bookmarkStart w:id="87" w:name="_Toc29251"/>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r w:rsidRPr="00DE17CF">
        <w:rPr>
          <w:rFonts w:asciiTheme="minorEastAsia" w:hAnsiTheme="minorEastAsia" w:cs="Arial" w:hint="eastAsia"/>
          <w:sz w:val="24"/>
          <w:szCs w:val="24"/>
        </w:rPr>
        <w:t>名称：安永华明会计师事务所（特殊普通合伙）</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住所：中国北京市东城区东长安街1号东方广场安永大楼16层</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办公地址：中国北京市东城区东长安街1号东方广场安永大楼16层</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法定代表人：</w:t>
      </w:r>
      <w:proofErr w:type="gramStart"/>
      <w:r w:rsidRPr="00DE17CF">
        <w:rPr>
          <w:rFonts w:asciiTheme="minorEastAsia" w:hAnsiTheme="minorEastAsia" w:cs="Arial" w:hint="eastAsia"/>
          <w:sz w:val="24"/>
          <w:szCs w:val="24"/>
        </w:rPr>
        <w:t>毛鞍宁</w:t>
      </w:r>
      <w:proofErr w:type="gramEnd"/>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电话： +86 10 58153000</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传真： +86 10 85188298</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签字注册会计师：吴翠蓉  高鹤</w:t>
      </w:r>
    </w:p>
    <w:p w:rsidR="007A36DF"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联系人: 吴翠蓉</w:t>
      </w:r>
    </w:p>
    <w:p w:rsidR="007A36DF" w:rsidRPr="00DE17CF" w:rsidRDefault="007A36DF" w:rsidP="00DE17CF">
      <w:pPr>
        <w:autoSpaceDE w:val="0"/>
        <w:autoSpaceDN w:val="0"/>
        <w:adjustRightInd w:val="0"/>
        <w:snapToGrid w:val="0"/>
        <w:spacing w:line="360" w:lineRule="auto"/>
        <w:ind w:firstLineChars="200" w:firstLine="480"/>
        <w:rPr>
          <w:rFonts w:asciiTheme="minorEastAsia" w:hAnsiTheme="minorEastAsia" w:cs="Arial"/>
          <w:sz w:val="24"/>
          <w:szCs w:val="24"/>
        </w:rPr>
      </w:pPr>
    </w:p>
    <w:p w:rsidR="007A36DF" w:rsidRPr="00DE17CF" w:rsidRDefault="007A36DF" w:rsidP="00DE17CF">
      <w:pPr>
        <w:autoSpaceDE w:val="0"/>
        <w:autoSpaceDN w:val="0"/>
        <w:adjustRightInd w:val="0"/>
        <w:snapToGrid w:val="0"/>
        <w:spacing w:line="360" w:lineRule="auto"/>
        <w:ind w:firstLineChars="200" w:firstLine="480"/>
        <w:rPr>
          <w:rFonts w:asciiTheme="minorEastAsia" w:hAnsiTheme="minorEastAsia" w:cs="Arial"/>
          <w:sz w:val="24"/>
          <w:szCs w:val="24"/>
        </w:rPr>
      </w:pPr>
    </w:p>
    <w:p w:rsidR="007A36DF" w:rsidRPr="00DE17CF" w:rsidRDefault="007A36DF" w:rsidP="00DE17CF">
      <w:pPr>
        <w:autoSpaceDE w:val="0"/>
        <w:autoSpaceDN w:val="0"/>
        <w:adjustRightInd w:val="0"/>
        <w:snapToGrid w:val="0"/>
        <w:spacing w:line="360" w:lineRule="auto"/>
        <w:ind w:firstLineChars="200" w:firstLine="480"/>
        <w:rPr>
          <w:rFonts w:asciiTheme="minorEastAsia" w:hAnsiTheme="minorEastAsia" w:cs="Arial"/>
          <w:sz w:val="24"/>
          <w:szCs w:val="24"/>
        </w:rPr>
      </w:pPr>
    </w:p>
    <w:p w:rsidR="007A36DF" w:rsidRPr="00DE17CF" w:rsidRDefault="007A36DF" w:rsidP="00DE17CF">
      <w:pPr>
        <w:autoSpaceDE w:val="0"/>
        <w:autoSpaceDN w:val="0"/>
        <w:adjustRightInd w:val="0"/>
        <w:snapToGrid w:val="0"/>
        <w:spacing w:line="360" w:lineRule="auto"/>
        <w:ind w:firstLineChars="200" w:firstLine="480"/>
        <w:rPr>
          <w:rFonts w:asciiTheme="minorEastAsia" w:hAnsiTheme="minorEastAsia" w:cs="Arial"/>
          <w:sz w:val="24"/>
          <w:szCs w:val="24"/>
        </w:rPr>
      </w:pPr>
    </w:p>
    <w:p w:rsidR="007A36DF" w:rsidRPr="00DE17CF" w:rsidRDefault="007A36DF" w:rsidP="00DE17CF">
      <w:pPr>
        <w:autoSpaceDE w:val="0"/>
        <w:autoSpaceDN w:val="0"/>
        <w:adjustRightInd w:val="0"/>
        <w:snapToGrid w:val="0"/>
        <w:spacing w:line="360" w:lineRule="auto"/>
        <w:ind w:firstLineChars="200" w:firstLine="480"/>
        <w:rPr>
          <w:rFonts w:asciiTheme="minorEastAsia" w:hAnsiTheme="minorEastAsia" w:cs="Arial"/>
          <w:sz w:val="24"/>
          <w:szCs w:val="24"/>
        </w:rPr>
      </w:pPr>
    </w:p>
    <w:p w:rsidR="007A36DF" w:rsidRPr="00DE17CF" w:rsidRDefault="007A36DF" w:rsidP="00DE17CF">
      <w:pPr>
        <w:autoSpaceDE w:val="0"/>
        <w:autoSpaceDN w:val="0"/>
        <w:adjustRightInd w:val="0"/>
        <w:snapToGrid w:val="0"/>
        <w:spacing w:line="360" w:lineRule="auto"/>
        <w:ind w:firstLineChars="200" w:firstLine="480"/>
        <w:rPr>
          <w:rFonts w:asciiTheme="minorEastAsia" w:hAnsiTheme="minorEastAsia" w:cs="Arial"/>
          <w:sz w:val="24"/>
          <w:szCs w:val="24"/>
        </w:rPr>
      </w:pPr>
    </w:p>
    <w:p w:rsidR="007A36DF" w:rsidRPr="00DE17CF" w:rsidRDefault="007A36DF" w:rsidP="00DE17CF">
      <w:pPr>
        <w:autoSpaceDE w:val="0"/>
        <w:autoSpaceDN w:val="0"/>
        <w:adjustRightInd w:val="0"/>
        <w:snapToGrid w:val="0"/>
        <w:spacing w:line="360" w:lineRule="auto"/>
        <w:ind w:firstLineChars="200" w:firstLine="480"/>
        <w:rPr>
          <w:rFonts w:asciiTheme="minorEastAsia" w:hAnsiTheme="minorEastAsia" w:cs="Arial"/>
          <w:sz w:val="24"/>
          <w:szCs w:val="24"/>
        </w:rPr>
      </w:pPr>
    </w:p>
    <w:p w:rsidR="007A36DF" w:rsidRPr="00DE17CF" w:rsidRDefault="003E13F7" w:rsidP="00EF2B86">
      <w:pPr>
        <w:autoSpaceDE w:val="0"/>
        <w:autoSpaceDN w:val="0"/>
        <w:adjustRightInd w:val="0"/>
        <w:snapToGrid w:val="0"/>
        <w:spacing w:line="360" w:lineRule="auto"/>
        <w:ind w:firstLineChars="200" w:firstLine="480"/>
        <w:outlineLvl w:val="0"/>
        <w:rPr>
          <w:rFonts w:asciiTheme="minorEastAsia" w:hAnsiTheme="minorEastAsia" w:cs="Arial"/>
          <w:sz w:val="24"/>
          <w:szCs w:val="24"/>
        </w:rPr>
      </w:pPr>
      <w:r w:rsidRPr="00DE17CF">
        <w:rPr>
          <w:rFonts w:asciiTheme="minorEastAsia" w:hAnsiTheme="minorEastAsia" w:cs="Arial" w:hint="eastAsia"/>
          <w:sz w:val="24"/>
          <w:szCs w:val="24"/>
        </w:rPr>
        <w:t>四、基金的</w:t>
      </w:r>
      <w:bookmarkEnd w:id="67"/>
      <w:bookmarkEnd w:id="68"/>
      <w:bookmarkEnd w:id="69"/>
      <w:r w:rsidRPr="00DE17CF">
        <w:rPr>
          <w:rFonts w:asciiTheme="minorEastAsia" w:hAnsiTheme="minorEastAsia" w:cs="Arial" w:hint="eastAsia"/>
          <w:sz w:val="24"/>
          <w:szCs w:val="24"/>
        </w:rPr>
        <w:t>名称</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基金的名称：富荣福</w:t>
      </w:r>
      <w:proofErr w:type="gramStart"/>
      <w:r w:rsidRPr="00DE17CF">
        <w:rPr>
          <w:rFonts w:asciiTheme="minorEastAsia" w:hAnsiTheme="minorEastAsia" w:cs="Arial" w:hint="eastAsia"/>
          <w:sz w:val="24"/>
          <w:szCs w:val="24"/>
        </w:rPr>
        <w:t>鑫</w:t>
      </w:r>
      <w:proofErr w:type="gramEnd"/>
      <w:r w:rsidRPr="00DE17CF">
        <w:rPr>
          <w:rFonts w:asciiTheme="minorEastAsia" w:hAnsiTheme="minorEastAsia" w:cs="Arial" w:hint="eastAsia"/>
          <w:sz w:val="24"/>
          <w:szCs w:val="24"/>
        </w:rPr>
        <w:t>灵活配置混合型证券投资基金。</w:t>
      </w:r>
    </w:p>
    <w:p w:rsidR="007A36DF" w:rsidRPr="00DE17CF" w:rsidRDefault="007A36DF" w:rsidP="00DE17CF">
      <w:pPr>
        <w:autoSpaceDE w:val="0"/>
        <w:autoSpaceDN w:val="0"/>
        <w:adjustRightInd w:val="0"/>
        <w:snapToGrid w:val="0"/>
        <w:spacing w:line="360" w:lineRule="auto"/>
        <w:ind w:firstLineChars="200" w:firstLine="480"/>
        <w:rPr>
          <w:rFonts w:asciiTheme="minorEastAsia" w:hAnsiTheme="minorEastAsia" w:cs="Arial"/>
          <w:sz w:val="24"/>
          <w:szCs w:val="24"/>
        </w:rPr>
      </w:pPr>
    </w:p>
    <w:p w:rsidR="007A36DF" w:rsidRPr="00DE17CF" w:rsidRDefault="003E13F7" w:rsidP="00EF2B86">
      <w:pPr>
        <w:autoSpaceDE w:val="0"/>
        <w:autoSpaceDN w:val="0"/>
        <w:adjustRightInd w:val="0"/>
        <w:snapToGrid w:val="0"/>
        <w:spacing w:line="360" w:lineRule="auto"/>
        <w:ind w:firstLineChars="200" w:firstLine="480"/>
        <w:outlineLvl w:val="0"/>
        <w:rPr>
          <w:rFonts w:asciiTheme="minorEastAsia" w:hAnsiTheme="minorEastAsia" w:cs="Arial"/>
          <w:sz w:val="24"/>
          <w:szCs w:val="24"/>
        </w:rPr>
      </w:pPr>
      <w:bookmarkStart w:id="88" w:name="_Toc416264543"/>
      <w:bookmarkStart w:id="89" w:name="_Toc214873596"/>
      <w:bookmarkStart w:id="90" w:name="_Toc521572412"/>
      <w:bookmarkStart w:id="91" w:name="_Toc263092315"/>
      <w:bookmarkStart w:id="92" w:name="_Toc18567"/>
      <w:bookmarkStart w:id="93" w:name="_Toc7058"/>
      <w:bookmarkStart w:id="94" w:name="_Toc123102455"/>
      <w:bookmarkStart w:id="95" w:name="_Toc3321"/>
      <w:bookmarkStart w:id="96" w:name="_Toc11030"/>
      <w:bookmarkStart w:id="97" w:name="_Toc3771"/>
      <w:bookmarkStart w:id="98" w:name="_Toc10650"/>
      <w:bookmarkStart w:id="99" w:name="_Toc20768"/>
      <w:bookmarkStart w:id="100" w:name="_Toc141703888"/>
      <w:bookmarkStart w:id="101" w:name="_Toc25783"/>
      <w:bookmarkStart w:id="102" w:name="_Toc98560354"/>
      <w:bookmarkStart w:id="103" w:name="_Toc352229754"/>
      <w:bookmarkStart w:id="104" w:name="_Toc4559"/>
      <w:bookmarkStart w:id="105" w:name="_Toc79392583"/>
      <w:bookmarkStart w:id="106" w:name="_Toc9706"/>
      <w:bookmarkStart w:id="107" w:name="_Toc123112236"/>
      <w:bookmarkStart w:id="108" w:name="_Toc6447"/>
      <w:bookmarkStart w:id="109" w:name="_Toc139991738"/>
      <w:bookmarkStart w:id="110" w:name="_Toc123051454"/>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r w:rsidRPr="00DE17CF">
        <w:rPr>
          <w:rFonts w:asciiTheme="minorEastAsia" w:hAnsiTheme="minorEastAsia" w:cs="Arial" w:hint="eastAsia"/>
          <w:sz w:val="24"/>
          <w:szCs w:val="24"/>
        </w:rPr>
        <w:t>五、</w:t>
      </w:r>
      <w:bookmarkEnd w:id="88"/>
      <w:bookmarkEnd w:id="89"/>
      <w:bookmarkEnd w:id="90"/>
      <w:bookmarkEnd w:id="91"/>
      <w:r w:rsidRPr="00DE17CF">
        <w:rPr>
          <w:rFonts w:asciiTheme="minorEastAsia" w:hAnsiTheme="minorEastAsia" w:cs="Arial" w:hint="eastAsia"/>
          <w:sz w:val="24"/>
          <w:szCs w:val="24"/>
        </w:rPr>
        <w:t>基金的</w:t>
      </w:r>
      <w:r w:rsidRPr="00DE17CF">
        <w:rPr>
          <w:rFonts w:asciiTheme="minorEastAsia" w:hAnsiTheme="minorEastAsia" w:cs="Arial"/>
          <w:sz w:val="24"/>
          <w:szCs w:val="24"/>
        </w:rPr>
        <w:t>类型</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基金的类型：混合型证券投资基金。</w:t>
      </w:r>
    </w:p>
    <w:p w:rsidR="007A36DF" w:rsidRPr="00DE17CF" w:rsidRDefault="003E13F7" w:rsidP="00EF2B86">
      <w:pPr>
        <w:autoSpaceDE w:val="0"/>
        <w:autoSpaceDN w:val="0"/>
        <w:adjustRightInd w:val="0"/>
        <w:snapToGrid w:val="0"/>
        <w:spacing w:line="360" w:lineRule="auto"/>
        <w:ind w:firstLineChars="200" w:firstLine="480"/>
        <w:outlineLvl w:val="0"/>
        <w:rPr>
          <w:rFonts w:asciiTheme="minorEastAsia" w:hAnsiTheme="minorEastAsia" w:cs="Arial"/>
          <w:sz w:val="24"/>
          <w:szCs w:val="24"/>
        </w:rPr>
      </w:pPr>
      <w:bookmarkStart w:id="111" w:name="_Toc23324"/>
      <w:bookmarkStart w:id="112" w:name="_Toc482624798"/>
      <w:bookmarkStart w:id="113" w:name="_Toc123102456"/>
      <w:bookmarkStart w:id="114" w:name="_Toc3080"/>
      <w:bookmarkStart w:id="115" w:name="_Toc21735"/>
      <w:bookmarkStart w:id="116" w:name="_Toc18769"/>
      <w:bookmarkStart w:id="117" w:name="_Toc352229755"/>
      <w:bookmarkStart w:id="118" w:name="_Toc16164"/>
      <w:bookmarkStart w:id="119" w:name="_Toc21073391"/>
      <w:bookmarkStart w:id="120" w:name="_Toc10398"/>
      <w:bookmarkStart w:id="121" w:name="_Toc1745"/>
      <w:bookmarkStart w:id="122" w:name="_Toc141703889"/>
      <w:bookmarkStart w:id="123" w:name="_Toc139991739"/>
      <w:bookmarkStart w:id="124" w:name="_Toc31821"/>
      <w:bookmarkStart w:id="125" w:name="_Toc3572"/>
      <w:bookmarkStart w:id="126" w:name="_Toc725"/>
      <w:bookmarkStart w:id="127" w:name="_Toc123051455"/>
      <w:bookmarkStart w:id="128" w:name="_Toc12357171"/>
      <w:bookmarkStart w:id="129" w:name="_Toc98560355"/>
      <w:bookmarkStart w:id="130" w:name="_Toc18206"/>
      <w:bookmarkStart w:id="131" w:name="_Toc123112237"/>
      <w:bookmarkStart w:id="132" w:name="_Toc3963"/>
      <w:bookmarkStart w:id="133" w:name="_Toc416264544"/>
      <w:bookmarkStart w:id="134" w:name="_Toc147463118"/>
      <w:bookmarkStart w:id="135" w:name="_Toc263092316"/>
      <w:bookmarkStart w:id="136" w:name="_Toc214873597"/>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r w:rsidRPr="00DE17CF">
        <w:rPr>
          <w:rFonts w:asciiTheme="minorEastAsia" w:hAnsiTheme="minorEastAsia" w:cs="Arial" w:hint="eastAsia"/>
          <w:sz w:val="24"/>
          <w:szCs w:val="24"/>
        </w:rPr>
        <w:t>六、基金的投资</w:t>
      </w:r>
      <w:bookmarkEnd w:id="111"/>
      <w:bookmarkEnd w:id="112"/>
    </w:p>
    <w:p w:rsidR="007A36DF" w:rsidRPr="00DE17CF" w:rsidRDefault="003E13F7" w:rsidP="000A43D5">
      <w:pPr>
        <w:autoSpaceDE w:val="0"/>
        <w:autoSpaceDN w:val="0"/>
        <w:adjustRightInd w:val="0"/>
        <w:snapToGrid w:val="0"/>
        <w:spacing w:line="360" w:lineRule="auto"/>
        <w:ind w:firstLineChars="200" w:firstLine="480"/>
        <w:outlineLvl w:val="1"/>
        <w:rPr>
          <w:rFonts w:asciiTheme="minorEastAsia" w:hAnsiTheme="minorEastAsia" w:cs="Arial"/>
          <w:sz w:val="24"/>
          <w:szCs w:val="24"/>
        </w:rPr>
      </w:pPr>
      <w:r w:rsidRPr="00DE17CF">
        <w:rPr>
          <w:rFonts w:asciiTheme="minorEastAsia" w:hAnsiTheme="minorEastAsia" w:cs="Arial" w:hint="eastAsia"/>
          <w:sz w:val="24"/>
          <w:szCs w:val="24"/>
        </w:rPr>
        <w:t>（一）</w:t>
      </w:r>
      <w:r w:rsidRPr="00DE17CF">
        <w:rPr>
          <w:rFonts w:asciiTheme="minorEastAsia" w:hAnsiTheme="minorEastAsia" w:cs="Arial"/>
          <w:sz w:val="24"/>
          <w:szCs w:val="24"/>
        </w:rPr>
        <w:t>投资目标</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lastRenderedPageBreak/>
        <w:t>本基金通过对多种投资策略的有机结合，在严格控制风险的基础上，力求取得超越基金业绩比较基准的收益。</w:t>
      </w:r>
    </w:p>
    <w:p w:rsidR="007A36DF" w:rsidRPr="00DE17CF" w:rsidRDefault="003E13F7" w:rsidP="000A43D5">
      <w:pPr>
        <w:autoSpaceDE w:val="0"/>
        <w:autoSpaceDN w:val="0"/>
        <w:adjustRightInd w:val="0"/>
        <w:snapToGrid w:val="0"/>
        <w:spacing w:line="360" w:lineRule="auto"/>
        <w:ind w:firstLineChars="200" w:firstLine="480"/>
        <w:outlineLvl w:val="1"/>
        <w:rPr>
          <w:rFonts w:asciiTheme="minorEastAsia" w:hAnsiTheme="minorEastAsia" w:cs="Arial"/>
          <w:sz w:val="24"/>
          <w:szCs w:val="24"/>
        </w:rPr>
      </w:pPr>
      <w:r w:rsidRPr="00DE17CF">
        <w:rPr>
          <w:rFonts w:asciiTheme="minorEastAsia" w:hAnsiTheme="minorEastAsia" w:cs="Arial" w:hint="eastAsia"/>
          <w:sz w:val="24"/>
          <w:szCs w:val="24"/>
        </w:rPr>
        <w:t>（二）</w:t>
      </w:r>
      <w:r w:rsidRPr="00DE17CF">
        <w:rPr>
          <w:rFonts w:asciiTheme="minorEastAsia" w:hAnsiTheme="minorEastAsia" w:cs="Arial"/>
          <w:sz w:val="24"/>
          <w:szCs w:val="24"/>
        </w:rPr>
        <w:t>投资范围</w:t>
      </w:r>
    </w:p>
    <w:bookmarkEnd w:id="33"/>
    <w:bookmarkEnd w:id="34"/>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本基金的投资范围主要为具有良好流动性的金融工具，包括国内依法发行上市的股票（包括中小板、创业板及其他经中国证监会核准上市的股票），债券（含国债、金融债、企业债、公司债、央行票据、中期票据、短期融资</w:t>
      </w:r>
      <w:proofErr w:type="gramStart"/>
      <w:r w:rsidRPr="00DE17CF">
        <w:rPr>
          <w:rFonts w:asciiTheme="minorEastAsia" w:hAnsiTheme="minorEastAsia" w:cs="Arial" w:hint="eastAsia"/>
          <w:sz w:val="24"/>
          <w:szCs w:val="24"/>
        </w:rPr>
        <w:t>券</w:t>
      </w:r>
      <w:proofErr w:type="gramEnd"/>
      <w:r w:rsidRPr="00DE17CF">
        <w:rPr>
          <w:rFonts w:asciiTheme="minorEastAsia" w:hAnsiTheme="minorEastAsia" w:cs="Arial" w:hint="eastAsia"/>
          <w:sz w:val="24"/>
          <w:szCs w:val="24"/>
        </w:rPr>
        <w:t>、超短期融资</w:t>
      </w:r>
      <w:proofErr w:type="gramStart"/>
      <w:r w:rsidRPr="00DE17CF">
        <w:rPr>
          <w:rFonts w:asciiTheme="minorEastAsia" w:hAnsiTheme="minorEastAsia" w:cs="Arial" w:hint="eastAsia"/>
          <w:sz w:val="24"/>
          <w:szCs w:val="24"/>
        </w:rPr>
        <w:t>券</w:t>
      </w:r>
      <w:proofErr w:type="gramEnd"/>
      <w:r w:rsidRPr="00DE17CF">
        <w:rPr>
          <w:rFonts w:asciiTheme="minorEastAsia" w:hAnsiTheme="minorEastAsia" w:cs="Arial" w:hint="eastAsia"/>
          <w:sz w:val="24"/>
          <w:szCs w:val="24"/>
        </w:rPr>
        <w:t>、政府支持机构债、地方政府债、次级债、可转换债券、可交换债券、中小企业私募</w:t>
      </w:r>
      <w:proofErr w:type="gramStart"/>
      <w:r w:rsidRPr="00DE17CF">
        <w:rPr>
          <w:rFonts w:asciiTheme="minorEastAsia" w:hAnsiTheme="minorEastAsia" w:cs="Arial" w:hint="eastAsia"/>
          <w:sz w:val="24"/>
          <w:szCs w:val="24"/>
        </w:rPr>
        <w:t>债及其</w:t>
      </w:r>
      <w:proofErr w:type="gramEnd"/>
      <w:r w:rsidRPr="00DE17CF">
        <w:rPr>
          <w:rFonts w:asciiTheme="minorEastAsia" w:hAnsiTheme="minorEastAsia" w:cs="Arial" w:hint="eastAsia"/>
          <w:sz w:val="24"/>
          <w:szCs w:val="24"/>
        </w:rPr>
        <w:t>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基金的投资组合比例为：股票资产占基金资产的0%-95%；每个交易日日终在扣除股指期货、国债期货合约需缴纳的保证金以后，本基金保留的现金或到期日在一年以内的政府债券不低于基金资产净值的5%，其中现金不包括结算备付金、存出保证金、应收申购款等；权证投资占基金资产净值的0-3%。</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如果法律法规或中国证监会变更投资品种的投资比例限制，基金管理人在履行适当程序后，可以调整上述投资品种的投资比例。</w:t>
      </w:r>
    </w:p>
    <w:p w:rsidR="007A36DF" w:rsidRPr="00DE17CF" w:rsidRDefault="003E13F7" w:rsidP="000A43D5">
      <w:pPr>
        <w:autoSpaceDE w:val="0"/>
        <w:autoSpaceDN w:val="0"/>
        <w:adjustRightInd w:val="0"/>
        <w:snapToGrid w:val="0"/>
        <w:spacing w:line="360" w:lineRule="auto"/>
        <w:ind w:firstLineChars="200" w:firstLine="480"/>
        <w:outlineLvl w:val="1"/>
        <w:rPr>
          <w:rFonts w:asciiTheme="minorEastAsia" w:hAnsiTheme="minorEastAsia" w:cs="Arial"/>
          <w:sz w:val="24"/>
          <w:szCs w:val="24"/>
        </w:rPr>
      </w:pPr>
      <w:r w:rsidRPr="00DE17CF">
        <w:rPr>
          <w:rFonts w:asciiTheme="minorEastAsia" w:hAnsiTheme="minorEastAsia" w:cs="Arial" w:hint="eastAsia"/>
          <w:sz w:val="24"/>
          <w:szCs w:val="24"/>
        </w:rPr>
        <w:t>（三）</w:t>
      </w:r>
      <w:r w:rsidRPr="00DE17CF">
        <w:rPr>
          <w:rFonts w:asciiTheme="minorEastAsia" w:hAnsiTheme="minorEastAsia" w:cs="Arial"/>
          <w:sz w:val="24"/>
          <w:szCs w:val="24"/>
        </w:rPr>
        <w:t>投资策略</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bookmarkStart w:id="137" w:name="_Toc148867251"/>
      <w:bookmarkStart w:id="138" w:name="_Toc149105517"/>
      <w:bookmarkStart w:id="139" w:name="_Toc212891567"/>
      <w:r w:rsidRPr="00DE17CF">
        <w:rPr>
          <w:rFonts w:asciiTheme="minorEastAsia" w:hAnsiTheme="minorEastAsia" w:cs="Arial" w:hint="eastAsia"/>
          <w:sz w:val="24"/>
          <w:szCs w:val="24"/>
        </w:rPr>
        <w:t>1、资产配置策略</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本基金将通过跟踪</w:t>
      </w:r>
      <w:proofErr w:type="gramStart"/>
      <w:r w:rsidRPr="00DE17CF">
        <w:rPr>
          <w:rFonts w:asciiTheme="minorEastAsia" w:hAnsiTheme="minorEastAsia" w:cs="Arial" w:hint="eastAsia"/>
          <w:sz w:val="24"/>
          <w:szCs w:val="24"/>
        </w:rPr>
        <w:t>考量</w:t>
      </w:r>
      <w:proofErr w:type="gramEnd"/>
      <w:r w:rsidRPr="00DE17CF">
        <w:rPr>
          <w:rFonts w:asciiTheme="minorEastAsia" w:hAnsiTheme="minorEastAsia" w:cs="Arial" w:hint="eastAsia"/>
          <w:sz w:val="24"/>
          <w:szCs w:val="24"/>
        </w:rPr>
        <w:t>通常的宏观经济变量（包括GDP增长率、CPI走势、M2的绝对水平和增长率、利率水平与走势等）以及各项国家政策（包括财政、税收、货币、汇率政策等），并</w:t>
      </w:r>
      <w:proofErr w:type="gramStart"/>
      <w:r w:rsidRPr="00DE17CF">
        <w:rPr>
          <w:rFonts w:asciiTheme="minorEastAsia" w:hAnsiTheme="minorEastAsia" w:cs="Arial" w:hint="eastAsia"/>
          <w:sz w:val="24"/>
          <w:szCs w:val="24"/>
        </w:rPr>
        <w:t>结合美</w:t>
      </w:r>
      <w:proofErr w:type="gramEnd"/>
      <w:r w:rsidRPr="00DE17CF">
        <w:rPr>
          <w:rFonts w:asciiTheme="minorEastAsia" w:hAnsiTheme="minorEastAsia" w:cs="Arial" w:hint="eastAsia"/>
          <w:sz w:val="24"/>
          <w:szCs w:val="24"/>
        </w:rPr>
        <w:t>林时钟等科学严谨的资产配置模型，动态评估不同资产大类在不同时期的投资价值及其风险收益特征，追求股票、债券和货币等大类资产的灵活配置和稳健收益。</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2、债券投资策略</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本基金债券投资将</w:t>
      </w:r>
      <w:proofErr w:type="gramStart"/>
      <w:r w:rsidRPr="00DE17CF">
        <w:rPr>
          <w:rFonts w:asciiTheme="minorEastAsia" w:hAnsiTheme="minorEastAsia" w:cs="Arial" w:hint="eastAsia"/>
          <w:sz w:val="24"/>
          <w:szCs w:val="24"/>
        </w:rPr>
        <w:t>采取久期策略</w:t>
      </w:r>
      <w:proofErr w:type="gramEnd"/>
      <w:r w:rsidRPr="00DE17CF">
        <w:rPr>
          <w:rFonts w:asciiTheme="minorEastAsia" w:hAnsiTheme="minorEastAsia" w:cs="Arial" w:hint="eastAsia"/>
          <w:sz w:val="24"/>
          <w:szCs w:val="24"/>
        </w:rPr>
        <w:t>、收益率曲线策略、骑乘策略、息差策略、</w:t>
      </w:r>
      <w:proofErr w:type="gramStart"/>
      <w:r w:rsidRPr="00DE17CF">
        <w:rPr>
          <w:rFonts w:asciiTheme="minorEastAsia" w:hAnsiTheme="minorEastAsia" w:cs="Arial" w:hint="eastAsia"/>
          <w:sz w:val="24"/>
          <w:szCs w:val="24"/>
        </w:rPr>
        <w:t>个券</w:t>
      </w:r>
      <w:proofErr w:type="gramEnd"/>
      <w:r w:rsidRPr="00DE17CF">
        <w:rPr>
          <w:rFonts w:asciiTheme="minorEastAsia" w:hAnsiTheme="minorEastAsia" w:cs="Arial" w:hint="eastAsia"/>
          <w:sz w:val="24"/>
          <w:szCs w:val="24"/>
        </w:rPr>
        <w:t>选择策略、信用策略、中小企业私募债投资策略等积极投资策略，灵活地调整组合的券种搭配，精选个</w:t>
      </w:r>
      <w:proofErr w:type="gramStart"/>
      <w:r w:rsidRPr="00DE17CF">
        <w:rPr>
          <w:rFonts w:asciiTheme="minorEastAsia" w:hAnsiTheme="minorEastAsia" w:cs="Arial" w:hint="eastAsia"/>
          <w:sz w:val="24"/>
          <w:szCs w:val="24"/>
        </w:rPr>
        <w:t>券</w:t>
      </w:r>
      <w:proofErr w:type="gramEnd"/>
      <w:r w:rsidRPr="00DE17CF">
        <w:rPr>
          <w:rFonts w:asciiTheme="minorEastAsia" w:hAnsiTheme="minorEastAsia" w:cs="Arial" w:hint="eastAsia"/>
          <w:sz w:val="24"/>
          <w:szCs w:val="24"/>
        </w:rPr>
        <w:t>，力争实现投资组合的保值增值。</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（1）</w:t>
      </w:r>
      <w:proofErr w:type="gramStart"/>
      <w:r w:rsidRPr="00DE17CF">
        <w:rPr>
          <w:rFonts w:asciiTheme="minorEastAsia" w:hAnsiTheme="minorEastAsia" w:cs="Arial" w:hint="eastAsia"/>
          <w:sz w:val="24"/>
          <w:szCs w:val="24"/>
        </w:rPr>
        <w:t>久期策略</w:t>
      </w:r>
      <w:proofErr w:type="gramEnd"/>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proofErr w:type="gramStart"/>
      <w:r w:rsidRPr="00DE17CF">
        <w:rPr>
          <w:rFonts w:asciiTheme="minorEastAsia" w:hAnsiTheme="minorEastAsia" w:cs="Arial" w:hint="eastAsia"/>
          <w:sz w:val="24"/>
          <w:szCs w:val="24"/>
        </w:rPr>
        <w:lastRenderedPageBreak/>
        <w:t>久期管理</w:t>
      </w:r>
      <w:proofErr w:type="gramEnd"/>
      <w:r w:rsidRPr="00DE17CF">
        <w:rPr>
          <w:rFonts w:asciiTheme="minorEastAsia" w:hAnsiTheme="minorEastAsia" w:cs="Arial" w:hint="eastAsia"/>
          <w:sz w:val="24"/>
          <w:szCs w:val="24"/>
        </w:rPr>
        <w:t>是债券投资的重要</w:t>
      </w:r>
      <w:proofErr w:type="gramStart"/>
      <w:r w:rsidRPr="00DE17CF">
        <w:rPr>
          <w:rFonts w:asciiTheme="minorEastAsia" w:hAnsiTheme="minorEastAsia" w:cs="Arial" w:hint="eastAsia"/>
          <w:sz w:val="24"/>
          <w:szCs w:val="24"/>
        </w:rPr>
        <w:t>考量</w:t>
      </w:r>
      <w:proofErr w:type="gramEnd"/>
      <w:r w:rsidRPr="00DE17CF">
        <w:rPr>
          <w:rFonts w:asciiTheme="minorEastAsia" w:hAnsiTheme="minorEastAsia" w:cs="Arial" w:hint="eastAsia"/>
          <w:sz w:val="24"/>
          <w:szCs w:val="24"/>
        </w:rPr>
        <w:t>因素，本基金将采用以“目标久期”为中心、 自上而下的</w:t>
      </w:r>
      <w:proofErr w:type="gramStart"/>
      <w:r w:rsidRPr="00DE17CF">
        <w:rPr>
          <w:rFonts w:asciiTheme="minorEastAsia" w:hAnsiTheme="minorEastAsia" w:cs="Arial" w:hint="eastAsia"/>
          <w:sz w:val="24"/>
          <w:szCs w:val="24"/>
        </w:rPr>
        <w:t>组合久期管理</w:t>
      </w:r>
      <w:proofErr w:type="gramEnd"/>
      <w:r w:rsidRPr="00DE17CF">
        <w:rPr>
          <w:rFonts w:asciiTheme="minorEastAsia" w:hAnsiTheme="minorEastAsia" w:cs="Arial" w:hint="eastAsia"/>
          <w:sz w:val="24"/>
          <w:szCs w:val="24"/>
        </w:rPr>
        <w:t>策略。</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（2）收益率曲线策略</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收益率曲线的形状变化是判断市场整体走向的一个重要依据，本基金将据此调整组合长、中、短期债券的搭配，并进行动态调整。</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（3）骑乘策略</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本基金将采用基于收益率曲线分析对债券组合进行适时调整的骑乘策略， 以达到增强组合的持有期收益的目的。</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（4）息差策略</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本基金将</w:t>
      </w:r>
      <w:proofErr w:type="gramStart"/>
      <w:r w:rsidRPr="00DE17CF">
        <w:rPr>
          <w:rFonts w:asciiTheme="minorEastAsia" w:hAnsiTheme="minorEastAsia" w:cs="Arial" w:hint="eastAsia"/>
          <w:sz w:val="24"/>
          <w:szCs w:val="24"/>
        </w:rPr>
        <w:t>采用息</w:t>
      </w:r>
      <w:proofErr w:type="gramEnd"/>
      <w:r w:rsidRPr="00DE17CF">
        <w:rPr>
          <w:rFonts w:asciiTheme="minorEastAsia" w:hAnsiTheme="minorEastAsia" w:cs="Arial" w:hint="eastAsia"/>
          <w:sz w:val="24"/>
          <w:szCs w:val="24"/>
        </w:rPr>
        <w:t>差策略，以达到更好地利用杠杆放大债券投资的收益的目的。</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（5）</w:t>
      </w:r>
      <w:proofErr w:type="gramStart"/>
      <w:r w:rsidRPr="00DE17CF">
        <w:rPr>
          <w:rFonts w:asciiTheme="minorEastAsia" w:hAnsiTheme="minorEastAsia" w:cs="Arial" w:hint="eastAsia"/>
          <w:sz w:val="24"/>
          <w:szCs w:val="24"/>
        </w:rPr>
        <w:t>个券</w:t>
      </w:r>
      <w:proofErr w:type="gramEnd"/>
      <w:r w:rsidRPr="00DE17CF">
        <w:rPr>
          <w:rFonts w:asciiTheme="minorEastAsia" w:hAnsiTheme="minorEastAsia" w:cs="Arial" w:hint="eastAsia"/>
          <w:sz w:val="24"/>
          <w:szCs w:val="24"/>
        </w:rPr>
        <w:t>选择策略</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本基金将根据单个债券到期收益率相对于市场收益率曲线的偏离程度，结合信用等级、流动性、选择权条款、税赋特点等因素，确定其投资价值，选择定价合理或价值被低估的债券进行投资。</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（6）信用策略</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本基金通过主动承担适度的信用风险来获取信用溢价，根据内、外部信用评级结果，结合对类似债券信用利差的分析以及对未来信用利差走势的判断，选择信用利差被高估、未来信用利差可能下降的信用</w:t>
      </w:r>
      <w:proofErr w:type="gramStart"/>
      <w:r w:rsidRPr="00DE17CF">
        <w:rPr>
          <w:rFonts w:asciiTheme="minorEastAsia" w:hAnsiTheme="minorEastAsia" w:cs="Arial" w:hint="eastAsia"/>
          <w:sz w:val="24"/>
          <w:szCs w:val="24"/>
        </w:rPr>
        <w:t>债进行</w:t>
      </w:r>
      <w:proofErr w:type="gramEnd"/>
      <w:r w:rsidRPr="00DE17CF">
        <w:rPr>
          <w:rFonts w:asciiTheme="minorEastAsia" w:hAnsiTheme="minorEastAsia" w:cs="Arial" w:hint="eastAsia"/>
          <w:sz w:val="24"/>
          <w:szCs w:val="24"/>
        </w:rPr>
        <w:t>投资。</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（7）中小企业私募债券策略</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中小企业私募债券是在中国境内以非公开方式发行和转让，约定在一定期限还本付息的公司债券。由于其非公开性及条款可协商性，普遍具有较高收益。 本基金将深入研究发行人资信及公司运营情况，合理合</w:t>
      </w:r>
      <w:proofErr w:type="gramStart"/>
      <w:r w:rsidRPr="00DE17CF">
        <w:rPr>
          <w:rFonts w:asciiTheme="minorEastAsia" w:hAnsiTheme="minorEastAsia" w:cs="Arial" w:hint="eastAsia"/>
          <w:sz w:val="24"/>
          <w:szCs w:val="24"/>
        </w:rPr>
        <w:t>规</w:t>
      </w:r>
      <w:proofErr w:type="gramEnd"/>
      <w:r w:rsidRPr="00DE17CF">
        <w:rPr>
          <w:rFonts w:asciiTheme="minorEastAsia" w:hAnsiTheme="minorEastAsia" w:cs="Arial" w:hint="eastAsia"/>
          <w:sz w:val="24"/>
          <w:szCs w:val="24"/>
        </w:rPr>
        <w:t>合格地进行中小企业私募债券投资。本基金在投资过程中密切监控债券信用等级或发行人信用等级变化情况，尽力规避风险，并获取超额收益。</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3、股票投资策略</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本基金通过自上而下及自下而上相结合的方法挖掘优质的上市公司构建投资组合：自上而下地分析行业的增长前景、行业结构、商业模式、竞争要素等分析把握其投资机会；自下而上地评判企业的产品、核心竞争力、管理层、治理结构等；并结合企业基本面和估值水平进行综合的</w:t>
      </w:r>
      <w:proofErr w:type="gramStart"/>
      <w:r w:rsidRPr="00DE17CF">
        <w:rPr>
          <w:rFonts w:asciiTheme="minorEastAsia" w:hAnsiTheme="minorEastAsia" w:cs="Arial" w:hint="eastAsia"/>
          <w:sz w:val="24"/>
          <w:szCs w:val="24"/>
        </w:rPr>
        <w:t>研</w:t>
      </w:r>
      <w:proofErr w:type="gramEnd"/>
      <w:r w:rsidRPr="00DE17CF">
        <w:rPr>
          <w:rFonts w:asciiTheme="minorEastAsia" w:hAnsiTheme="minorEastAsia" w:cs="Arial" w:hint="eastAsia"/>
          <w:sz w:val="24"/>
          <w:szCs w:val="24"/>
        </w:rPr>
        <w:t>判，力争实现组合的保值增值。</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（1）自上而下的行业遴选</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lastRenderedPageBreak/>
        <w:t>本基金将自上而下地进行行业遴选，重点关注行业增长前景、行业利润前景和行业成功要素。对行业增长前景，主要分析行业的外部发展环境、行业的生命周期以及行业波动与经济周期的关系等；对行业利润前景，主要分析行业结构， 特别是业内竞争的方式、业内竞争的激烈程度、以及业内厂商的谈判能力等。基于对行业结构的分析形成对业内竞争的关键成功要素的判断，为预测企业经营环境的变化建立起扎实的基础。</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（2）自下而上的个股选择</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本基金主要从两方面进行自下而上的个股选择：一方面是竞争力分析，通过对公司竞争策略和核心竞争力的分析，选择具有可持续竞争优势的上市公司或未来具有广阔成长空间的公司。就公司竞争策略，基于行业分析的结果判断策略的有效性、策略的实施支持和策略的执行成果；</w:t>
      </w:r>
      <w:proofErr w:type="gramStart"/>
      <w:r w:rsidRPr="00DE17CF">
        <w:rPr>
          <w:rFonts w:asciiTheme="minorEastAsia" w:hAnsiTheme="minorEastAsia" w:cs="Arial" w:hint="eastAsia"/>
          <w:sz w:val="24"/>
          <w:szCs w:val="24"/>
        </w:rPr>
        <w:t>就核心</w:t>
      </w:r>
      <w:proofErr w:type="gramEnd"/>
      <w:r w:rsidRPr="00DE17CF">
        <w:rPr>
          <w:rFonts w:asciiTheme="minorEastAsia" w:hAnsiTheme="minorEastAsia" w:cs="Arial" w:hint="eastAsia"/>
          <w:sz w:val="24"/>
          <w:szCs w:val="24"/>
        </w:rPr>
        <w:t>竞争力，分析公司的现有核心竞争力，并判断公司能否利用现有的资源、能力和定位取得可持续竞争优势。</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另一方面是管理层分析，在国内监管体系落后、公司治理结构不完善的基础上，上市公司的命运对管理团队的依赖度大大增加。本基金将着重考察公司的管理层以及管理制度。</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（3）综合</w:t>
      </w:r>
      <w:proofErr w:type="gramStart"/>
      <w:r w:rsidRPr="00DE17CF">
        <w:rPr>
          <w:rFonts w:asciiTheme="minorEastAsia" w:hAnsiTheme="minorEastAsia" w:cs="Arial" w:hint="eastAsia"/>
          <w:sz w:val="24"/>
          <w:szCs w:val="24"/>
        </w:rPr>
        <w:t>研</w:t>
      </w:r>
      <w:proofErr w:type="gramEnd"/>
      <w:r w:rsidRPr="00DE17CF">
        <w:rPr>
          <w:rFonts w:asciiTheme="minorEastAsia" w:hAnsiTheme="minorEastAsia" w:cs="Arial" w:hint="eastAsia"/>
          <w:sz w:val="24"/>
          <w:szCs w:val="24"/>
        </w:rPr>
        <w:t>判</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本基金在自上而下和自下而上的基础上，结合估值分析，力争实现组合的保值增值。通过对估值方法的选择和估值倍数的比较，选择股价相对低估的股票。就估值方法而言，基于行业的特点确定对股价最有影响力的关键估值方法（包括PE、PEG、PB、PS、EV/EBITDA等）；就估值倍数而言，通过业内比较、历史比较和增长性分析，确定具有上升基础的股价水平。</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4、金融衍生</w:t>
      </w:r>
      <w:proofErr w:type="gramStart"/>
      <w:r w:rsidRPr="00DE17CF">
        <w:rPr>
          <w:rFonts w:asciiTheme="minorEastAsia" w:hAnsiTheme="minorEastAsia" w:cs="Arial" w:hint="eastAsia"/>
          <w:sz w:val="24"/>
          <w:szCs w:val="24"/>
        </w:rPr>
        <w:t>品投资</w:t>
      </w:r>
      <w:proofErr w:type="gramEnd"/>
      <w:r w:rsidRPr="00DE17CF">
        <w:rPr>
          <w:rFonts w:asciiTheme="minorEastAsia" w:hAnsiTheme="minorEastAsia" w:cs="Arial" w:hint="eastAsia"/>
          <w:sz w:val="24"/>
          <w:szCs w:val="24"/>
        </w:rPr>
        <w:t>策略</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（1）权证投资策略</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权证为本基金辅助性投资工具，投资原则为有利于基金资产增值、控制下跌风险。本基金在权证投资方面将以价值分析为基础，在采用数量化模型分析其合理定价的基础上，立足于无风险套利，力求稳健的投资收益。</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（2）股指期货投资策略</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本基金将根据风险管理的原则，以套期保值为目的，在风险可控的前提下，本着谨慎原则，参与股指期货的投资，以管理投资组合的系统性风险，改善组合的风险收益特性。</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lastRenderedPageBreak/>
        <w:t>（3）股票期权投资策略</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本基金按照风险管理的原则，在严格控制风险的前提下，</w:t>
      </w:r>
      <w:r w:rsidRPr="00DE17CF">
        <w:rPr>
          <w:rFonts w:asciiTheme="minorEastAsia" w:hAnsiTheme="minorEastAsia" w:cs="Arial"/>
          <w:sz w:val="24"/>
          <w:szCs w:val="24"/>
        </w:rPr>
        <w:t>以套期保值为目的，</w:t>
      </w:r>
      <w:r w:rsidRPr="00DE17CF">
        <w:rPr>
          <w:rFonts w:asciiTheme="minorEastAsia" w:hAnsiTheme="minorEastAsia" w:cs="Arial" w:hint="eastAsia"/>
          <w:sz w:val="24"/>
          <w:szCs w:val="24"/>
        </w:rPr>
        <w:t>选择流动性好、交易活跃的股票期权合约进行投资。本基金基于证券市场的判断，结合期权定价模型，选择估值合理的股票期权合约。</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本基金投资股票期权，基金管理人将根据审慎原则，建立期权交易决策部门或小组，授权特定的管理人员负责期权的投资审批事项，以防范期权投资的风险。</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（4）国债期货投资策略</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本基金投资国债期货，将根据风险管理的原则，</w:t>
      </w:r>
      <w:r w:rsidRPr="00DE17CF">
        <w:rPr>
          <w:rFonts w:asciiTheme="minorEastAsia" w:hAnsiTheme="minorEastAsia" w:cs="Arial"/>
          <w:sz w:val="24"/>
          <w:szCs w:val="24"/>
        </w:rPr>
        <w:t>以套期保值为目的，</w:t>
      </w:r>
      <w:r w:rsidRPr="00DE17CF">
        <w:rPr>
          <w:rFonts w:asciiTheme="minorEastAsia" w:hAnsiTheme="minorEastAsia" w:cs="Arial" w:hint="eastAsia"/>
          <w:sz w:val="24"/>
          <w:szCs w:val="24"/>
        </w:rPr>
        <w:t>充分考虑国债期货的流动性和风险收益特征，在风险可控的前提下，适度参与国债期货投资。</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未来，根据市场情况，基金可相应调整和更新相关投资策略，并在招募说明书更新中公告。</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5、资产支持证券投资策略</w:t>
      </w:r>
    </w:p>
    <w:bookmarkEnd w:id="137"/>
    <w:bookmarkEnd w:id="138"/>
    <w:bookmarkEnd w:id="139"/>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本基金将综合运用战略资产配置和战术资产配置进行资产支持证券的投资组合管理，并根据信用风险、利率风险和流动性风险变化积极调整投资策略，严格遵守法律法规和基金合同的约定，在保证本金安全和基金资产流动性的基础上获得稳定收益。</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未来随着证券市场投资工具的发展和丰富，在符合有关法律法规规定的前提下，本基金可相应调整和更新相关投资策略。</w:t>
      </w:r>
    </w:p>
    <w:p w:rsidR="007A36DF" w:rsidRPr="00DE17CF" w:rsidRDefault="003E13F7" w:rsidP="000A43D5">
      <w:pPr>
        <w:autoSpaceDE w:val="0"/>
        <w:autoSpaceDN w:val="0"/>
        <w:adjustRightInd w:val="0"/>
        <w:snapToGrid w:val="0"/>
        <w:spacing w:line="360" w:lineRule="auto"/>
        <w:ind w:firstLineChars="200" w:firstLine="480"/>
        <w:outlineLvl w:val="1"/>
        <w:rPr>
          <w:rFonts w:asciiTheme="minorEastAsia" w:hAnsiTheme="minorEastAsia" w:cs="Arial"/>
          <w:sz w:val="24"/>
          <w:szCs w:val="24"/>
        </w:rPr>
      </w:pPr>
      <w:r w:rsidRPr="00DE17CF">
        <w:rPr>
          <w:rFonts w:asciiTheme="minorEastAsia" w:hAnsiTheme="minorEastAsia" w:cs="Arial" w:hint="eastAsia"/>
          <w:sz w:val="24"/>
          <w:szCs w:val="24"/>
        </w:rPr>
        <w:t>（四）</w:t>
      </w:r>
      <w:r w:rsidRPr="00DE17CF">
        <w:rPr>
          <w:rFonts w:asciiTheme="minorEastAsia" w:hAnsiTheme="minorEastAsia" w:cs="Arial"/>
          <w:sz w:val="24"/>
          <w:szCs w:val="24"/>
        </w:rPr>
        <w:t>投资限制</w:t>
      </w:r>
    </w:p>
    <w:p w:rsidR="007A36DF" w:rsidRPr="00DE17CF" w:rsidRDefault="003E13F7">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1、组合限制</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基金的投资组合应遵循以下限制：</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（1）股票投资占基金资产的比例为0%–95%；</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（2）每个交易日日终在扣除股指期货、国债期货合约需缴纳的交易保证金后，保持不低于基金资产净值5％的现金或者到期日在一年以内的政府债券，其中现金不包括结算备付金、存出保证金、应收申购款等；</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（3）本基金持有一家公司发行的证券，其市值不超过基金资产净值的10％；</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（4）本基金管理人管理的全部基金持有一家公司发行的证券，不超过该证券的10％；</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（5）本基金持有的全部权证，其市值不得超过基金资产净值的3％；</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lastRenderedPageBreak/>
        <w:t>（6）本基金管理人管理的全部基金持有的同一权证，不得超过该权证的   10％；</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（7）本基金在任何交易日买入权证的总金额，不得超过上一交易日基金资产净值的0.5％；</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（8）本基金投资于同一原始权益人的各类资产支持证券的比例，不得超过基金资产净值的10％；</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（9）本基金持有的全部资产支持证券，其市值不得超过基金资产净值的20％，中国证监会规定的特殊品种除外；</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（10）本基金持有的同一(指同一信用级别)资产支持证券的比例，不得超过该资产支持证券规模的10％；</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（11）本基金管理人管理的全部基金投资于同一原始权益人的各类资产支持证券，不得超过其各类资产支持证券合计规模的10％；</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（12）本基金应投资于信用级别评级为BBB以上(含BBB)的资产支持证券。基金持有资产支持证券期间，如果其信用等级下降、不再符合投资标准，应在评级报告发布之日起3个月内予以全部卖出；</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（13）基金财产参与股票发行申购，本基金所申报的金额不超过本基金的总资产，本基金所申报的股票数量不超过拟发行股票公司本次发行股票的总量；</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（14）本基金进入全国银行间同业市场进行债券回购的资金余额不得超过基金资产净值的40%，在全国银行间同业市场的债券回购最长期限为1年，债券回购到期后不得展期；</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（15）本基金总资产不得超过基金净资产的 140%；</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（16）本基金持有单只中小企业私募债券，其市值不得超过本基金资产净值的10%；基金投资于中小企业私募债的比例不超过基金资产净值的20%；</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（17）本基金参与股指期货、国债期货交易，需遵守下列规定：</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1）本基金在任何交易日日终，持有的买入股指期货合约价值，不得超过基金资产净值的10%；</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2）本基金在任何交易日日终，持有的买入股指期货、国债期货合约价值与有价证券市值之和，不得超过基金资产净值的95%，其中，有价证券指股票、债券（不含到期日在一年以内的政府债券）、权证、资产支持证券、买入返售金融资产（不含质押式回购）等；</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lastRenderedPageBreak/>
        <w:t>3）本基金在任何交易日日终，持有的卖出股指期货合约价值不得超过基金持有的股票总市值的20%；</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4）本基金在任何交易日内交易（不包括平仓）的股指期货合约的成交金额不得超过上一交易日基金资产净值的20%；</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5）本基金所持有的股票市值和买入、卖出股指期货合约价值，合计（轧差计算）应当符合基金合同关于股票投资比例的有关规定；</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6）本基金在任何交易日日终，持有的买入国债期货合约价值，不得超过基金资产净值的15%；</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7）本基金在任何交易日日终，持有的卖出国债期货合约价值不得超过基金持有的债券总市值的30%；</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8）本基金在任何交易日内交易（不包括平仓）的国债期货合约的成交金额不得超过上一交易日基金资产净值的30%；</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（18）本基金参与股票期权交易，需遵守下列投资比例限制：</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1）本基金因未平仓的期权合约支付和收取的权利金总额不得超过基金资产净值的10%；</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2）本基金开仓卖出认购期权的，应持有足额标的证券；开仓卖出认沽期权的，应持有合约行权所需的全额现金或交易所规则认可的可冲抵期权保证金的现金等价物；</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3）本基金未平仓的期权合约面值不得超过基金资产净值的20%。其中，合约面值按照行权价乘以合约乘数计算；</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19）本基金管理人管理的全部开放式基金（包括开放式基金以及处于开放期的定期开放基金）持有一家上市公司发行的可流通股票，不得超过该上市公司可流通股票的15%；本基金管理人管理的全部投资组合持有一家上市公司发行的可流通股票，不得超过该上市公司可流通股票的30%；</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（20）本基金主动投资于流动性受限资产的市值合计不得超过基金资产净值的15%；</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因证券市场波动、上市公司股票停牌、基金规模变动等基金管理人之外的因素致使基金不符合前款所规定比例限制的，基金管理人不得主动新增流动性受限资产的投资；</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（21）本基金与私募类</w:t>
      </w:r>
      <w:proofErr w:type="gramStart"/>
      <w:r w:rsidRPr="00DE17CF">
        <w:rPr>
          <w:rFonts w:asciiTheme="minorEastAsia" w:hAnsiTheme="minorEastAsia" w:cs="Arial" w:hint="eastAsia"/>
          <w:sz w:val="24"/>
          <w:szCs w:val="24"/>
        </w:rPr>
        <w:t>证券资管产品</w:t>
      </w:r>
      <w:proofErr w:type="gramEnd"/>
      <w:r w:rsidRPr="00DE17CF">
        <w:rPr>
          <w:rFonts w:asciiTheme="minorEastAsia" w:hAnsiTheme="minorEastAsia" w:cs="Arial" w:hint="eastAsia"/>
          <w:sz w:val="24"/>
          <w:szCs w:val="24"/>
        </w:rPr>
        <w:t>及中国证监会认定的其他主体为交易对</w:t>
      </w:r>
      <w:r w:rsidRPr="00DE17CF">
        <w:rPr>
          <w:rFonts w:asciiTheme="minorEastAsia" w:hAnsiTheme="minorEastAsia" w:cs="Arial" w:hint="eastAsia"/>
          <w:sz w:val="24"/>
          <w:szCs w:val="24"/>
        </w:rPr>
        <w:lastRenderedPageBreak/>
        <w:t>手开展逆回购交易的，可接受质押品的资质要求应当与基金合同约定的投资范围保持一致；</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（22）法律法规及中国证监会规定的和《基金合同》约定的其他投资限制。</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除上述第（2）、（1</w:t>
      </w:r>
      <w:r w:rsidRPr="00DE17CF">
        <w:rPr>
          <w:rFonts w:asciiTheme="minorEastAsia" w:hAnsiTheme="minorEastAsia" w:cs="Arial"/>
          <w:sz w:val="24"/>
          <w:szCs w:val="24"/>
        </w:rPr>
        <w:t>2</w:t>
      </w:r>
      <w:r w:rsidRPr="00DE17CF">
        <w:rPr>
          <w:rFonts w:asciiTheme="minorEastAsia" w:hAnsiTheme="minorEastAsia" w:cs="Arial" w:hint="eastAsia"/>
          <w:sz w:val="24"/>
          <w:szCs w:val="24"/>
        </w:rPr>
        <w:t>）、（</w:t>
      </w:r>
      <w:r w:rsidRPr="00DE17CF">
        <w:rPr>
          <w:rFonts w:asciiTheme="minorEastAsia" w:hAnsiTheme="minorEastAsia" w:cs="Arial"/>
          <w:sz w:val="24"/>
          <w:szCs w:val="24"/>
        </w:rPr>
        <w:t>20</w:t>
      </w:r>
      <w:r w:rsidRPr="00DE17CF">
        <w:rPr>
          <w:rFonts w:asciiTheme="minorEastAsia" w:hAnsiTheme="minorEastAsia" w:cs="Arial" w:hint="eastAsia"/>
          <w:sz w:val="24"/>
          <w:szCs w:val="24"/>
        </w:rPr>
        <w:t>）、（21）项外，因证券、期货市场波动、上市公司合并、基金规模变动、股权分置改革中支付对价等基金管理人之外的因素致使基金投资比例不符合上述规定投资比例的，基金管理人应当在10个交易日内进行调整，但中国证监会规定的特殊情形除外。</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基金管理人应当自基金合同生效之日起6个月内使基金的投资组合比例符合基金合同的有关约定。在上述期间内，本基金的投资范围、投资策略应当符合基金合同的约定。基金托管人对基金的投资的监督与检查自基金合同生效之日起开始。</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法律法规或监管部门取消或调整上述限制，如适用于本基金，基金管理人在履行适当程序后，则本基金投资不再受相关限制或按调整后的规定执行。</w:t>
      </w:r>
    </w:p>
    <w:p w:rsidR="007A36DF" w:rsidRPr="00DE17CF" w:rsidRDefault="003E13F7">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2、禁止行为</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为维护基金份额持有人的合法权益，基金财产不得用于下列投资或者活动：</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（1）承销证券；</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（2）违反规定向他人贷款或者提供担保；</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（3）从事承担无限责任的投资；</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（4）买卖其他基金份额，但是中国证监会另有规定的除外；</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（5）向其基金管理人、基金托管人出资；</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（6）从事内幕交易、操纵证券交易价格及其他不正当的证券交易活动；</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（7）法律、行政法规和中国证监会规定禁止的其他活动。</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法律、行政法规或监管部门取消上述禁止性规定，如适用于本基金，则本基</w:t>
      </w:r>
      <w:r w:rsidRPr="00DE17CF">
        <w:rPr>
          <w:rFonts w:asciiTheme="minorEastAsia" w:hAnsiTheme="minorEastAsia" w:cs="Arial" w:hint="eastAsia"/>
          <w:sz w:val="24"/>
          <w:szCs w:val="24"/>
        </w:rPr>
        <w:lastRenderedPageBreak/>
        <w:t>金投资不再受相关限制。</w:t>
      </w:r>
    </w:p>
    <w:p w:rsidR="007A36DF" w:rsidRPr="00DE17CF" w:rsidRDefault="003E13F7" w:rsidP="000A43D5">
      <w:pPr>
        <w:autoSpaceDE w:val="0"/>
        <w:autoSpaceDN w:val="0"/>
        <w:adjustRightInd w:val="0"/>
        <w:snapToGrid w:val="0"/>
        <w:spacing w:line="360" w:lineRule="auto"/>
        <w:ind w:firstLineChars="200" w:firstLine="480"/>
        <w:outlineLvl w:val="1"/>
        <w:rPr>
          <w:rFonts w:asciiTheme="minorEastAsia" w:hAnsiTheme="minorEastAsia" w:cs="Arial"/>
          <w:sz w:val="24"/>
          <w:szCs w:val="24"/>
        </w:rPr>
      </w:pPr>
      <w:r w:rsidRPr="00DE17CF">
        <w:rPr>
          <w:rFonts w:asciiTheme="minorEastAsia" w:hAnsiTheme="minorEastAsia" w:cs="Arial" w:hint="eastAsia"/>
          <w:sz w:val="24"/>
          <w:szCs w:val="24"/>
        </w:rPr>
        <w:t>（五）</w:t>
      </w:r>
      <w:r w:rsidRPr="00DE17CF">
        <w:rPr>
          <w:rFonts w:asciiTheme="minorEastAsia" w:hAnsiTheme="minorEastAsia" w:cs="Arial"/>
          <w:sz w:val="24"/>
          <w:szCs w:val="24"/>
        </w:rPr>
        <w:t>业绩比较基准</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本基金的业绩比较基准为：中</w:t>
      </w:r>
      <w:proofErr w:type="gramStart"/>
      <w:r w:rsidRPr="00DE17CF">
        <w:rPr>
          <w:rFonts w:asciiTheme="minorEastAsia" w:hAnsiTheme="minorEastAsia" w:cs="Arial" w:hint="eastAsia"/>
          <w:sz w:val="24"/>
          <w:szCs w:val="24"/>
        </w:rPr>
        <w:t>证全债指数</w:t>
      </w:r>
      <w:proofErr w:type="gramEnd"/>
      <w:r w:rsidRPr="00DE17CF">
        <w:rPr>
          <w:rFonts w:asciiTheme="minorEastAsia" w:hAnsiTheme="minorEastAsia" w:cs="Arial" w:hint="eastAsia"/>
          <w:sz w:val="24"/>
          <w:szCs w:val="24"/>
        </w:rPr>
        <w:t>收益率×70%+沪深300指数收益率×30%</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中</w:t>
      </w:r>
      <w:proofErr w:type="gramStart"/>
      <w:r w:rsidRPr="00DE17CF">
        <w:rPr>
          <w:rFonts w:asciiTheme="minorEastAsia" w:hAnsiTheme="minorEastAsia" w:cs="Arial" w:hint="eastAsia"/>
          <w:sz w:val="24"/>
          <w:szCs w:val="24"/>
        </w:rPr>
        <w:t>证全债指数</w:t>
      </w:r>
      <w:proofErr w:type="gramEnd"/>
      <w:r w:rsidRPr="00DE17CF">
        <w:rPr>
          <w:rFonts w:asciiTheme="minorEastAsia" w:hAnsiTheme="minorEastAsia" w:cs="Arial" w:hint="eastAsia"/>
          <w:sz w:val="24"/>
          <w:szCs w:val="24"/>
        </w:rPr>
        <w:t>的选样债券的信用类别覆盖全面，期限构成宽泛，适于</w:t>
      </w:r>
      <w:proofErr w:type="gramStart"/>
      <w:r w:rsidRPr="00DE17CF">
        <w:rPr>
          <w:rFonts w:asciiTheme="minorEastAsia" w:hAnsiTheme="minorEastAsia" w:cs="Arial" w:hint="eastAsia"/>
          <w:sz w:val="24"/>
          <w:szCs w:val="24"/>
        </w:rPr>
        <w:t>做基金</w:t>
      </w:r>
      <w:proofErr w:type="gramEnd"/>
      <w:r w:rsidRPr="00DE17CF">
        <w:rPr>
          <w:rFonts w:asciiTheme="minorEastAsia" w:hAnsiTheme="minorEastAsia" w:cs="Arial" w:hint="eastAsia"/>
          <w:sz w:val="24"/>
          <w:szCs w:val="24"/>
        </w:rPr>
        <w:t>债券资产的业绩比较基准。沪深 300 指数选样科学客观，行业代表性好，流动性高，抗操纵性强，是目前市场上较有影响力的股票投资业绩比较基准。基于本基金的投资范围和投资比例限制，选用上述业绩比较基准能够忠实反映本基金的风险收益特征。</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如果今后法律法规发生变化，或者有更权威的、更能为市场普遍接受的业绩比较基准推出，或者是市场上出现更加适合用于本基金的业绩比较基准时，基金管理人经与基金托管人协商一致，在履行适当程序后变更本基金业绩比较基准并及时公告，而无需召开基金份额持有人大会。</w:t>
      </w:r>
    </w:p>
    <w:p w:rsidR="007A36DF" w:rsidRPr="00DE17CF" w:rsidRDefault="003E13F7" w:rsidP="000A43D5">
      <w:pPr>
        <w:autoSpaceDE w:val="0"/>
        <w:autoSpaceDN w:val="0"/>
        <w:adjustRightInd w:val="0"/>
        <w:snapToGrid w:val="0"/>
        <w:spacing w:line="360" w:lineRule="auto"/>
        <w:ind w:firstLineChars="200" w:firstLine="480"/>
        <w:outlineLvl w:val="1"/>
        <w:rPr>
          <w:rFonts w:asciiTheme="minorEastAsia" w:hAnsiTheme="minorEastAsia" w:cs="Arial"/>
          <w:sz w:val="24"/>
          <w:szCs w:val="24"/>
        </w:rPr>
      </w:pPr>
      <w:r w:rsidRPr="00DE17CF">
        <w:rPr>
          <w:rFonts w:asciiTheme="minorEastAsia" w:hAnsiTheme="minorEastAsia" w:cs="Arial" w:hint="eastAsia"/>
          <w:sz w:val="24"/>
          <w:szCs w:val="24"/>
        </w:rPr>
        <w:t>（六）</w:t>
      </w:r>
      <w:r w:rsidRPr="00DE17CF">
        <w:rPr>
          <w:rFonts w:asciiTheme="minorEastAsia" w:hAnsiTheme="minorEastAsia" w:cs="Arial"/>
          <w:sz w:val="24"/>
          <w:szCs w:val="24"/>
        </w:rPr>
        <w:t>风险收益特征</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bookmarkStart w:id="140" w:name="_Toc79392634"/>
      <w:r w:rsidRPr="00DE17CF">
        <w:rPr>
          <w:rFonts w:asciiTheme="minorEastAsia" w:hAnsiTheme="minorEastAsia" w:cs="Arial" w:hint="eastAsia"/>
          <w:sz w:val="24"/>
          <w:szCs w:val="24"/>
        </w:rPr>
        <w:t>本基金属于混合型基金，其预期风险和预期收益高于货币市场基金、债券基金，低于股票型基金，属于证券投资基金中</w:t>
      </w:r>
      <w:proofErr w:type="gramStart"/>
      <w:r w:rsidRPr="00DE17CF">
        <w:rPr>
          <w:rFonts w:asciiTheme="minorEastAsia" w:hAnsiTheme="minorEastAsia" w:cs="Arial" w:hint="eastAsia"/>
          <w:sz w:val="24"/>
          <w:szCs w:val="24"/>
        </w:rPr>
        <w:t>中</w:t>
      </w:r>
      <w:proofErr w:type="gramEnd"/>
      <w:r w:rsidRPr="00DE17CF">
        <w:rPr>
          <w:rFonts w:asciiTheme="minorEastAsia" w:hAnsiTheme="minorEastAsia" w:cs="Arial" w:hint="eastAsia"/>
          <w:sz w:val="24"/>
          <w:szCs w:val="24"/>
        </w:rPr>
        <w:t>高风险、中高预期收益的品种。</w:t>
      </w:r>
    </w:p>
    <w:p w:rsidR="007A36DF" w:rsidRPr="00DE17CF" w:rsidRDefault="003E13F7" w:rsidP="000A43D5">
      <w:pPr>
        <w:autoSpaceDE w:val="0"/>
        <w:autoSpaceDN w:val="0"/>
        <w:adjustRightInd w:val="0"/>
        <w:snapToGrid w:val="0"/>
        <w:spacing w:line="360" w:lineRule="auto"/>
        <w:ind w:firstLineChars="200" w:firstLine="480"/>
        <w:outlineLvl w:val="1"/>
        <w:rPr>
          <w:rFonts w:asciiTheme="minorEastAsia" w:hAnsiTheme="minorEastAsia" w:cs="Arial"/>
          <w:sz w:val="24"/>
          <w:szCs w:val="24"/>
        </w:rPr>
      </w:pPr>
      <w:r w:rsidRPr="00DE17CF">
        <w:rPr>
          <w:rFonts w:asciiTheme="minorEastAsia" w:hAnsiTheme="minorEastAsia" w:cs="Arial" w:hint="eastAsia"/>
          <w:sz w:val="24"/>
          <w:szCs w:val="24"/>
        </w:rPr>
        <w:t>（七）基金管理人代表基金行使股东和债权人权利的处理原则及方法</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1、基金管理人按照国家有关规定代表基金独立行使股东和债权人权利，保护基金份额持有人的利益；</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2、不谋求对上市公司的控股，不参与所投资上市公司的经营管理；</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3、有利于基金财产的安全与增值；</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4、不通过关联交易为自身、雇员、授权代理人或任何存在利害关系的第三人牟取任何不当利益。</w:t>
      </w:r>
    </w:p>
    <w:p w:rsidR="007A36DF" w:rsidRPr="00DE17CF" w:rsidRDefault="003E13F7" w:rsidP="000A43D5">
      <w:pPr>
        <w:autoSpaceDE w:val="0"/>
        <w:autoSpaceDN w:val="0"/>
        <w:adjustRightInd w:val="0"/>
        <w:snapToGrid w:val="0"/>
        <w:spacing w:line="360" w:lineRule="auto"/>
        <w:ind w:firstLineChars="200" w:firstLine="480"/>
        <w:outlineLvl w:val="1"/>
        <w:rPr>
          <w:rFonts w:asciiTheme="minorEastAsia" w:hAnsiTheme="minorEastAsia" w:cs="Arial"/>
          <w:sz w:val="24"/>
          <w:szCs w:val="24"/>
        </w:rPr>
      </w:pPr>
      <w:r w:rsidRPr="00DE17CF">
        <w:rPr>
          <w:rFonts w:asciiTheme="minorEastAsia" w:hAnsiTheme="minorEastAsia" w:cs="Arial" w:hint="eastAsia"/>
          <w:sz w:val="24"/>
          <w:szCs w:val="24"/>
        </w:rPr>
        <w:t>（八）基金投资组合报告</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基金管理人的董事会及董事保证本报告所载资料不存在虚假记载、误导性陈述或重大遗漏，并对其内容的真实性、准确性和完整性承担个别及连带责任。</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基金托管人平安银行股份有限公司根据本基金合同规定，于2019年</w:t>
      </w:r>
      <w:r w:rsidR="000770E4">
        <w:rPr>
          <w:rFonts w:asciiTheme="minorEastAsia" w:hAnsiTheme="minorEastAsia" w:cs="Arial" w:hint="eastAsia"/>
          <w:sz w:val="24"/>
          <w:szCs w:val="24"/>
        </w:rPr>
        <w:t>02</w:t>
      </w:r>
      <w:r w:rsidRPr="00DE17CF">
        <w:rPr>
          <w:rFonts w:asciiTheme="minorEastAsia" w:hAnsiTheme="minorEastAsia" w:cs="Arial" w:hint="eastAsia"/>
          <w:sz w:val="24"/>
          <w:szCs w:val="24"/>
        </w:rPr>
        <w:t>月</w:t>
      </w:r>
      <w:r w:rsidR="000770E4">
        <w:rPr>
          <w:rFonts w:asciiTheme="minorEastAsia" w:hAnsiTheme="minorEastAsia" w:cs="Arial" w:hint="eastAsia"/>
          <w:sz w:val="24"/>
          <w:szCs w:val="24"/>
        </w:rPr>
        <w:t>22</w:t>
      </w:r>
      <w:r w:rsidRPr="00DE17CF">
        <w:rPr>
          <w:rFonts w:asciiTheme="minorEastAsia" w:hAnsiTheme="minorEastAsia" w:cs="Arial" w:hint="eastAsia"/>
          <w:sz w:val="24"/>
          <w:szCs w:val="24"/>
        </w:rPr>
        <w:t>日复核了本报告中的财务指标、净值表现和投资组合报告等内容，保证复核内容不存在虚假记载、误导性陈述或者重大遗漏。</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本投资组合报告所载数据截至2018年12月31日，本报告中所列财务数据未经</w:t>
      </w:r>
      <w:r w:rsidRPr="00DE17CF">
        <w:rPr>
          <w:rFonts w:asciiTheme="minorEastAsia" w:hAnsiTheme="minorEastAsia" w:cs="Arial" w:hint="eastAsia"/>
          <w:sz w:val="24"/>
          <w:szCs w:val="24"/>
        </w:rPr>
        <w:lastRenderedPageBreak/>
        <w:t>审计。</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sz w:val="24"/>
          <w:szCs w:val="24"/>
        </w:rPr>
        <w:t>1</w:t>
      </w:r>
      <w:r w:rsidRPr="00DE17CF">
        <w:rPr>
          <w:rFonts w:asciiTheme="minorEastAsia" w:hAnsiTheme="minorEastAsia" w:cs="Arial" w:hint="eastAsia"/>
          <w:sz w:val="24"/>
          <w:szCs w:val="24"/>
        </w:rPr>
        <w:t>、报告期末基金资产组合情况</w:t>
      </w:r>
    </w:p>
    <w:tbl>
      <w:tblPr>
        <w:tblW w:w="8175" w:type="dxa"/>
        <w:tblInd w:w="108" w:type="dxa"/>
        <w:tblLayout w:type="fixed"/>
        <w:tblLook w:val="04A0" w:firstRow="1" w:lastRow="0" w:firstColumn="1" w:lastColumn="0" w:noHBand="0" w:noVBand="1"/>
      </w:tblPr>
      <w:tblGrid>
        <w:gridCol w:w="754"/>
        <w:gridCol w:w="2810"/>
        <w:gridCol w:w="2167"/>
        <w:gridCol w:w="2444"/>
      </w:tblGrid>
      <w:tr w:rsidR="006E3A73" w:rsidRPr="00DE17CF" w:rsidTr="006E3A73">
        <w:tc>
          <w:tcPr>
            <w:tcW w:w="754"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103259">
            <w:pPr>
              <w:autoSpaceDE w:val="0"/>
              <w:autoSpaceDN w:val="0"/>
              <w:adjustRightInd w:val="0"/>
              <w:snapToGrid w:val="0"/>
              <w:spacing w:line="360" w:lineRule="auto"/>
              <w:rPr>
                <w:rFonts w:asciiTheme="minorEastAsia" w:hAnsiTheme="minorEastAsia" w:cs="Arial"/>
                <w:sz w:val="24"/>
                <w:szCs w:val="24"/>
              </w:rPr>
            </w:pPr>
            <w:r w:rsidRPr="00DE17CF">
              <w:rPr>
                <w:rFonts w:asciiTheme="minorEastAsia" w:hAnsiTheme="minorEastAsia" w:cs="Arial" w:hint="eastAsia"/>
                <w:sz w:val="24"/>
                <w:szCs w:val="24"/>
              </w:rPr>
              <w:t>序号</w:t>
            </w:r>
          </w:p>
        </w:tc>
        <w:tc>
          <w:tcPr>
            <w:tcW w:w="2811"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3F3D90">
            <w:pPr>
              <w:autoSpaceDE w:val="0"/>
              <w:autoSpaceDN w:val="0"/>
              <w:adjustRightInd w:val="0"/>
              <w:snapToGrid w:val="0"/>
              <w:spacing w:line="360" w:lineRule="auto"/>
              <w:ind w:firstLineChars="200" w:firstLine="480"/>
              <w:jc w:val="left"/>
              <w:rPr>
                <w:rFonts w:asciiTheme="minorEastAsia" w:hAnsiTheme="minorEastAsia" w:cs="Arial"/>
                <w:sz w:val="24"/>
                <w:szCs w:val="24"/>
              </w:rPr>
            </w:pPr>
            <w:r w:rsidRPr="00DE17CF">
              <w:rPr>
                <w:rFonts w:asciiTheme="minorEastAsia" w:hAnsiTheme="minorEastAsia" w:cs="Arial" w:hint="eastAsia"/>
                <w:sz w:val="24"/>
                <w:szCs w:val="24"/>
              </w:rPr>
              <w:t>项目</w:t>
            </w:r>
          </w:p>
        </w:tc>
        <w:tc>
          <w:tcPr>
            <w:tcW w:w="2168"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金额(元)</w:t>
            </w:r>
          </w:p>
        </w:tc>
        <w:tc>
          <w:tcPr>
            <w:tcW w:w="2445"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占基金总资产的比例（%）</w:t>
            </w:r>
          </w:p>
        </w:tc>
      </w:tr>
      <w:tr w:rsidR="006E3A73" w:rsidRPr="00DE17CF" w:rsidTr="006E3A73">
        <w:tc>
          <w:tcPr>
            <w:tcW w:w="754"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103259">
            <w:pPr>
              <w:autoSpaceDE w:val="0"/>
              <w:autoSpaceDN w:val="0"/>
              <w:adjustRightInd w:val="0"/>
              <w:snapToGrid w:val="0"/>
              <w:spacing w:line="360" w:lineRule="auto"/>
              <w:rPr>
                <w:rFonts w:asciiTheme="minorEastAsia" w:hAnsiTheme="minorEastAsia" w:cs="Arial"/>
                <w:sz w:val="24"/>
                <w:szCs w:val="24"/>
              </w:rPr>
            </w:pPr>
            <w:r w:rsidRPr="00DE17CF">
              <w:rPr>
                <w:rFonts w:asciiTheme="minorEastAsia" w:hAnsiTheme="minorEastAsia" w:cs="Arial" w:hint="eastAsia"/>
                <w:sz w:val="24"/>
                <w:szCs w:val="24"/>
              </w:rPr>
              <w:t>1</w:t>
            </w:r>
          </w:p>
        </w:tc>
        <w:tc>
          <w:tcPr>
            <w:tcW w:w="2811"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3F3D90">
            <w:pPr>
              <w:autoSpaceDE w:val="0"/>
              <w:autoSpaceDN w:val="0"/>
              <w:adjustRightInd w:val="0"/>
              <w:snapToGrid w:val="0"/>
              <w:spacing w:line="360" w:lineRule="auto"/>
              <w:ind w:firstLineChars="200" w:firstLine="480"/>
              <w:jc w:val="left"/>
              <w:rPr>
                <w:rFonts w:asciiTheme="minorEastAsia" w:hAnsiTheme="minorEastAsia" w:cs="Arial"/>
                <w:sz w:val="24"/>
                <w:szCs w:val="24"/>
              </w:rPr>
            </w:pPr>
            <w:r w:rsidRPr="00DE17CF">
              <w:rPr>
                <w:rFonts w:asciiTheme="minorEastAsia" w:hAnsiTheme="minorEastAsia" w:cs="Arial" w:hint="eastAsia"/>
                <w:sz w:val="24"/>
                <w:szCs w:val="24"/>
              </w:rPr>
              <w:t>权益投资</w:t>
            </w:r>
          </w:p>
        </w:tc>
        <w:tc>
          <w:tcPr>
            <w:tcW w:w="2168"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3F3D90">
            <w:pPr>
              <w:autoSpaceDE w:val="0"/>
              <w:autoSpaceDN w:val="0"/>
              <w:adjustRightInd w:val="0"/>
              <w:snapToGrid w:val="0"/>
              <w:spacing w:line="360" w:lineRule="auto"/>
              <w:rPr>
                <w:rFonts w:asciiTheme="minorEastAsia" w:hAnsiTheme="minorEastAsia" w:cs="Arial"/>
                <w:sz w:val="24"/>
                <w:szCs w:val="24"/>
              </w:rPr>
            </w:pPr>
            <w:r w:rsidRPr="00DE17CF">
              <w:rPr>
                <w:rFonts w:asciiTheme="minorEastAsia" w:hAnsiTheme="minorEastAsia" w:cs="Arial" w:hint="eastAsia"/>
                <w:sz w:val="24"/>
                <w:szCs w:val="24"/>
              </w:rPr>
              <w:t>-</w:t>
            </w:r>
          </w:p>
        </w:tc>
        <w:tc>
          <w:tcPr>
            <w:tcW w:w="2445"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3F3D90">
            <w:pPr>
              <w:autoSpaceDE w:val="0"/>
              <w:autoSpaceDN w:val="0"/>
              <w:adjustRightInd w:val="0"/>
              <w:snapToGrid w:val="0"/>
              <w:spacing w:line="360" w:lineRule="auto"/>
              <w:rPr>
                <w:rFonts w:asciiTheme="minorEastAsia" w:hAnsiTheme="minorEastAsia" w:cs="Arial"/>
                <w:sz w:val="24"/>
                <w:szCs w:val="24"/>
              </w:rPr>
            </w:pPr>
            <w:r w:rsidRPr="00DE17CF">
              <w:rPr>
                <w:rFonts w:asciiTheme="minorEastAsia" w:hAnsiTheme="minorEastAsia" w:cs="Arial" w:hint="eastAsia"/>
                <w:sz w:val="24"/>
                <w:szCs w:val="24"/>
              </w:rPr>
              <w:t>-</w:t>
            </w:r>
          </w:p>
        </w:tc>
      </w:tr>
      <w:tr w:rsidR="006E3A73" w:rsidRPr="00DE17CF" w:rsidTr="006E3A73">
        <w:tc>
          <w:tcPr>
            <w:tcW w:w="754" w:type="dxa"/>
            <w:tcBorders>
              <w:top w:val="single" w:sz="8" w:space="0" w:color="000000"/>
              <w:left w:val="single" w:sz="8" w:space="0" w:color="000000"/>
              <w:bottom w:val="single" w:sz="4" w:space="0" w:color="000000"/>
              <w:right w:val="single" w:sz="8" w:space="0" w:color="000000"/>
            </w:tcBorders>
            <w:vAlign w:val="center"/>
          </w:tcPr>
          <w:p w:rsidR="006E3A73" w:rsidRPr="00DE17CF" w:rsidRDefault="006E3A73" w:rsidP="00103259">
            <w:pPr>
              <w:autoSpaceDE w:val="0"/>
              <w:autoSpaceDN w:val="0"/>
              <w:adjustRightInd w:val="0"/>
              <w:snapToGrid w:val="0"/>
              <w:spacing w:line="360" w:lineRule="auto"/>
              <w:rPr>
                <w:rFonts w:asciiTheme="minorEastAsia" w:hAnsiTheme="minorEastAsia" w:cs="Arial"/>
                <w:sz w:val="24"/>
                <w:szCs w:val="24"/>
              </w:rPr>
            </w:pPr>
          </w:p>
        </w:tc>
        <w:tc>
          <w:tcPr>
            <w:tcW w:w="2811"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3F3D90">
            <w:pPr>
              <w:autoSpaceDE w:val="0"/>
              <w:autoSpaceDN w:val="0"/>
              <w:adjustRightInd w:val="0"/>
              <w:snapToGrid w:val="0"/>
              <w:spacing w:line="360" w:lineRule="auto"/>
              <w:ind w:firstLineChars="200" w:firstLine="480"/>
              <w:jc w:val="left"/>
              <w:rPr>
                <w:rFonts w:asciiTheme="minorEastAsia" w:hAnsiTheme="minorEastAsia" w:cs="Arial"/>
                <w:sz w:val="24"/>
                <w:szCs w:val="24"/>
              </w:rPr>
            </w:pPr>
            <w:r w:rsidRPr="00DE17CF">
              <w:rPr>
                <w:rFonts w:asciiTheme="minorEastAsia" w:hAnsiTheme="minorEastAsia" w:cs="Arial" w:hint="eastAsia"/>
                <w:sz w:val="24"/>
                <w:szCs w:val="24"/>
              </w:rPr>
              <w:t>其中：股票</w:t>
            </w:r>
          </w:p>
        </w:tc>
        <w:tc>
          <w:tcPr>
            <w:tcW w:w="2168"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3F3D90">
            <w:pPr>
              <w:autoSpaceDE w:val="0"/>
              <w:autoSpaceDN w:val="0"/>
              <w:adjustRightInd w:val="0"/>
              <w:snapToGrid w:val="0"/>
              <w:spacing w:line="360" w:lineRule="auto"/>
              <w:rPr>
                <w:rFonts w:asciiTheme="minorEastAsia" w:hAnsiTheme="minorEastAsia" w:cs="Arial"/>
                <w:sz w:val="24"/>
                <w:szCs w:val="24"/>
              </w:rPr>
            </w:pPr>
            <w:r w:rsidRPr="00DE17CF">
              <w:rPr>
                <w:rFonts w:asciiTheme="minorEastAsia" w:hAnsiTheme="minorEastAsia" w:cs="Arial" w:hint="eastAsia"/>
                <w:sz w:val="24"/>
                <w:szCs w:val="24"/>
              </w:rPr>
              <w:t>-</w:t>
            </w:r>
          </w:p>
        </w:tc>
        <w:tc>
          <w:tcPr>
            <w:tcW w:w="2445"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3F3D90">
            <w:pPr>
              <w:autoSpaceDE w:val="0"/>
              <w:autoSpaceDN w:val="0"/>
              <w:adjustRightInd w:val="0"/>
              <w:snapToGrid w:val="0"/>
              <w:spacing w:line="360" w:lineRule="auto"/>
              <w:rPr>
                <w:rFonts w:asciiTheme="minorEastAsia" w:hAnsiTheme="minorEastAsia" w:cs="Arial"/>
                <w:sz w:val="24"/>
                <w:szCs w:val="24"/>
              </w:rPr>
            </w:pPr>
            <w:r w:rsidRPr="00DE17CF">
              <w:rPr>
                <w:rFonts w:asciiTheme="minorEastAsia" w:hAnsiTheme="minorEastAsia" w:cs="Arial" w:hint="eastAsia"/>
                <w:sz w:val="24"/>
                <w:szCs w:val="24"/>
              </w:rPr>
              <w:t>-</w:t>
            </w:r>
          </w:p>
        </w:tc>
      </w:tr>
      <w:tr w:rsidR="006E3A73" w:rsidRPr="00DE17CF" w:rsidTr="006E3A73">
        <w:tc>
          <w:tcPr>
            <w:tcW w:w="754"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103259">
            <w:pPr>
              <w:autoSpaceDE w:val="0"/>
              <w:autoSpaceDN w:val="0"/>
              <w:adjustRightInd w:val="0"/>
              <w:snapToGrid w:val="0"/>
              <w:spacing w:line="360" w:lineRule="auto"/>
              <w:rPr>
                <w:rFonts w:asciiTheme="minorEastAsia" w:hAnsiTheme="minorEastAsia" w:cs="Arial"/>
                <w:sz w:val="24"/>
                <w:szCs w:val="24"/>
              </w:rPr>
            </w:pPr>
            <w:r w:rsidRPr="00DE17CF">
              <w:rPr>
                <w:rFonts w:asciiTheme="minorEastAsia" w:hAnsiTheme="minorEastAsia" w:cs="Arial" w:hint="eastAsia"/>
                <w:sz w:val="24"/>
                <w:szCs w:val="24"/>
              </w:rPr>
              <w:t>2</w:t>
            </w:r>
          </w:p>
        </w:tc>
        <w:tc>
          <w:tcPr>
            <w:tcW w:w="2811"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3F3D90">
            <w:pPr>
              <w:autoSpaceDE w:val="0"/>
              <w:autoSpaceDN w:val="0"/>
              <w:adjustRightInd w:val="0"/>
              <w:snapToGrid w:val="0"/>
              <w:spacing w:line="360" w:lineRule="auto"/>
              <w:ind w:firstLineChars="200" w:firstLine="480"/>
              <w:jc w:val="left"/>
              <w:rPr>
                <w:rFonts w:asciiTheme="minorEastAsia" w:hAnsiTheme="minorEastAsia" w:cs="Arial"/>
                <w:sz w:val="24"/>
                <w:szCs w:val="24"/>
              </w:rPr>
            </w:pPr>
            <w:r w:rsidRPr="00DE17CF">
              <w:rPr>
                <w:rFonts w:asciiTheme="minorEastAsia" w:hAnsiTheme="minorEastAsia" w:cs="Arial" w:hint="eastAsia"/>
                <w:sz w:val="24"/>
                <w:szCs w:val="24"/>
              </w:rPr>
              <w:t>基金投资</w:t>
            </w:r>
          </w:p>
        </w:tc>
        <w:tc>
          <w:tcPr>
            <w:tcW w:w="2168"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3F3D90">
            <w:pPr>
              <w:autoSpaceDE w:val="0"/>
              <w:autoSpaceDN w:val="0"/>
              <w:adjustRightInd w:val="0"/>
              <w:snapToGrid w:val="0"/>
              <w:spacing w:line="360" w:lineRule="auto"/>
              <w:rPr>
                <w:rFonts w:asciiTheme="minorEastAsia" w:hAnsiTheme="minorEastAsia" w:cs="Arial"/>
                <w:sz w:val="24"/>
                <w:szCs w:val="24"/>
              </w:rPr>
            </w:pPr>
            <w:r w:rsidRPr="00DE17CF">
              <w:rPr>
                <w:rFonts w:asciiTheme="minorEastAsia" w:hAnsiTheme="minorEastAsia" w:cs="Arial" w:hint="eastAsia"/>
                <w:sz w:val="24"/>
                <w:szCs w:val="24"/>
              </w:rPr>
              <w:t>-</w:t>
            </w:r>
          </w:p>
        </w:tc>
        <w:tc>
          <w:tcPr>
            <w:tcW w:w="2445"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3F3D90">
            <w:pPr>
              <w:autoSpaceDE w:val="0"/>
              <w:autoSpaceDN w:val="0"/>
              <w:adjustRightInd w:val="0"/>
              <w:snapToGrid w:val="0"/>
              <w:spacing w:line="360" w:lineRule="auto"/>
              <w:rPr>
                <w:rFonts w:asciiTheme="minorEastAsia" w:hAnsiTheme="minorEastAsia" w:cs="Arial"/>
                <w:sz w:val="24"/>
                <w:szCs w:val="24"/>
              </w:rPr>
            </w:pPr>
            <w:r w:rsidRPr="00DE17CF">
              <w:rPr>
                <w:rFonts w:asciiTheme="minorEastAsia" w:hAnsiTheme="minorEastAsia" w:cs="Arial" w:hint="eastAsia"/>
                <w:sz w:val="24"/>
                <w:szCs w:val="24"/>
              </w:rPr>
              <w:t>-</w:t>
            </w:r>
          </w:p>
        </w:tc>
      </w:tr>
      <w:tr w:rsidR="006E3A73" w:rsidRPr="00DE17CF" w:rsidTr="006E3A73">
        <w:tc>
          <w:tcPr>
            <w:tcW w:w="754"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103259">
            <w:pPr>
              <w:autoSpaceDE w:val="0"/>
              <w:autoSpaceDN w:val="0"/>
              <w:adjustRightInd w:val="0"/>
              <w:snapToGrid w:val="0"/>
              <w:spacing w:line="360" w:lineRule="auto"/>
              <w:rPr>
                <w:rFonts w:asciiTheme="minorEastAsia" w:hAnsiTheme="minorEastAsia" w:cs="Arial"/>
                <w:sz w:val="24"/>
                <w:szCs w:val="24"/>
              </w:rPr>
            </w:pPr>
            <w:r w:rsidRPr="00DE17CF">
              <w:rPr>
                <w:rFonts w:asciiTheme="minorEastAsia" w:hAnsiTheme="minorEastAsia" w:cs="Arial" w:hint="eastAsia"/>
                <w:sz w:val="24"/>
                <w:szCs w:val="24"/>
              </w:rPr>
              <w:t>3</w:t>
            </w:r>
          </w:p>
        </w:tc>
        <w:tc>
          <w:tcPr>
            <w:tcW w:w="2811"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3F3D90">
            <w:pPr>
              <w:autoSpaceDE w:val="0"/>
              <w:autoSpaceDN w:val="0"/>
              <w:adjustRightInd w:val="0"/>
              <w:snapToGrid w:val="0"/>
              <w:spacing w:line="360" w:lineRule="auto"/>
              <w:ind w:firstLineChars="200" w:firstLine="480"/>
              <w:jc w:val="left"/>
              <w:rPr>
                <w:rFonts w:asciiTheme="minorEastAsia" w:hAnsiTheme="minorEastAsia" w:cs="Arial"/>
                <w:sz w:val="24"/>
                <w:szCs w:val="24"/>
              </w:rPr>
            </w:pPr>
            <w:r w:rsidRPr="00DE17CF">
              <w:rPr>
                <w:rFonts w:asciiTheme="minorEastAsia" w:hAnsiTheme="minorEastAsia" w:cs="Arial" w:hint="eastAsia"/>
                <w:sz w:val="24"/>
                <w:szCs w:val="24"/>
              </w:rPr>
              <w:t>固定收益投资</w:t>
            </w:r>
          </w:p>
        </w:tc>
        <w:tc>
          <w:tcPr>
            <w:tcW w:w="2168"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3F3D90">
            <w:pPr>
              <w:autoSpaceDE w:val="0"/>
              <w:autoSpaceDN w:val="0"/>
              <w:adjustRightInd w:val="0"/>
              <w:snapToGrid w:val="0"/>
              <w:spacing w:line="360" w:lineRule="auto"/>
              <w:rPr>
                <w:rFonts w:asciiTheme="minorEastAsia" w:hAnsiTheme="minorEastAsia" w:cs="Arial"/>
                <w:sz w:val="24"/>
                <w:szCs w:val="24"/>
              </w:rPr>
            </w:pPr>
            <w:r w:rsidRPr="00DE17CF">
              <w:rPr>
                <w:rFonts w:asciiTheme="minorEastAsia" w:hAnsiTheme="minorEastAsia" w:cs="Arial" w:hint="eastAsia"/>
                <w:sz w:val="24"/>
                <w:szCs w:val="24"/>
              </w:rPr>
              <w:t>-</w:t>
            </w:r>
          </w:p>
        </w:tc>
        <w:tc>
          <w:tcPr>
            <w:tcW w:w="2445"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3F3D90">
            <w:pPr>
              <w:autoSpaceDE w:val="0"/>
              <w:autoSpaceDN w:val="0"/>
              <w:adjustRightInd w:val="0"/>
              <w:snapToGrid w:val="0"/>
              <w:spacing w:line="360" w:lineRule="auto"/>
              <w:rPr>
                <w:rFonts w:asciiTheme="minorEastAsia" w:hAnsiTheme="minorEastAsia" w:cs="Arial"/>
                <w:sz w:val="24"/>
                <w:szCs w:val="24"/>
              </w:rPr>
            </w:pPr>
            <w:r w:rsidRPr="00DE17CF">
              <w:rPr>
                <w:rFonts w:asciiTheme="minorEastAsia" w:hAnsiTheme="minorEastAsia" w:cs="Arial" w:hint="eastAsia"/>
                <w:sz w:val="24"/>
                <w:szCs w:val="24"/>
              </w:rPr>
              <w:t>-</w:t>
            </w:r>
          </w:p>
        </w:tc>
      </w:tr>
      <w:tr w:rsidR="006E3A73" w:rsidRPr="00DE17CF" w:rsidTr="006E3A73">
        <w:tc>
          <w:tcPr>
            <w:tcW w:w="754" w:type="dxa"/>
            <w:tcBorders>
              <w:top w:val="single" w:sz="8" w:space="0" w:color="000000"/>
              <w:left w:val="single" w:sz="8" w:space="0" w:color="000000"/>
              <w:bottom w:val="single" w:sz="4" w:space="0" w:color="000000"/>
              <w:right w:val="single" w:sz="8" w:space="0" w:color="000000"/>
            </w:tcBorders>
            <w:vAlign w:val="center"/>
          </w:tcPr>
          <w:p w:rsidR="006E3A73" w:rsidRPr="00DE17CF" w:rsidRDefault="006E3A73" w:rsidP="00103259">
            <w:pPr>
              <w:autoSpaceDE w:val="0"/>
              <w:autoSpaceDN w:val="0"/>
              <w:adjustRightInd w:val="0"/>
              <w:snapToGrid w:val="0"/>
              <w:spacing w:line="360" w:lineRule="auto"/>
              <w:rPr>
                <w:rFonts w:asciiTheme="minorEastAsia" w:hAnsiTheme="minorEastAsia" w:cs="Arial"/>
                <w:sz w:val="24"/>
                <w:szCs w:val="24"/>
              </w:rPr>
            </w:pPr>
          </w:p>
        </w:tc>
        <w:tc>
          <w:tcPr>
            <w:tcW w:w="2811"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3F3D90">
            <w:pPr>
              <w:autoSpaceDE w:val="0"/>
              <w:autoSpaceDN w:val="0"/>
              <w:adjustRightInd w:val="0"/>
              <w:snapToGrid w:val="0"/>
              <w:spacing w:line="360" w:lineRule="auto"/>
              <w:ind w:firstLineChars="200" w:firstLine="480"/>
              <w:jc w:val="left"/>
              <w:rPr>
                <w:rFonts w:asciiTheme="minorEastAsia" w:hAnsiTheme="minorEastAsia" w:cs="Arial"/>
                <w:sz w:val="24"/>
                <w:szCs w:val="24"/>
              </w:rPr>
            </w:pPr>
            <w:r w:rsidRPr="00DE17CF">
              <w:rPr>
                <w:rFonts w:asciiTheme="minorEastAsia" w:hAnsiTheme="minorEastAsia" w:cs="Arial" w:hint="eastAsia"/>
                <w:sz w:val="24"/>
                <w:szCs w:val="24"/>
              </w:rPr>
              <w:t>其中：债券</w:t>
            </w:r>
          </w:p>
        </w:tc>
        <w:tc>
          <w:tcPr>
            <w:tcW w:w="2168"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3F3D90">
            <w:pPr>
              <w:autoSpaceDE w:val="0"/>
              <w:autoSpaceDN w:val="0"/>
              <w:adjustRightInd w:val="0"/>
              <w:snapToGrid w:val="0"/>
              <w:spacing w:line="360" w:lineRule="auto"/>
              <w:rPr>
                <w:rFonts w:asciiTheme="minorEastAsia" w:hAnsiTheme="minorEastAsia" w:cs="Arial"/>
                <w:sz w:val="24"/>
                <w:szCs w:val="24"/>
              </w:rPr>
            </w:pPr>
            <w:r w:rsidRPr="00DE17CF">
              <w:rPr>
                <w:rFonts w:asciiTheme="minorEastAsia" w:hAnsiTheme="minorEastAsia" w:cs="Arial" w:hint="eastAsia"/>
                <w:sz w:val="24"/>
                <w:szCs w:val="24"/>
              </w:rPr>
              <w:t>-</w:t>
            </w:r>
          </w:p>
        </w:tc>
        <w:tc>
          <w:tcPr>
            <w:tcW w:w="2445"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3F3D90">
            <w:pPr>
              <w:autoSpaceDE w:val="0"/>
              <w:autoSpaceDN w:val="0"/>
              <w:adjustRightInd w:val="0"/>
              <w:snapToGrid w:val="0"/>
              <w:spacing w:line="360" w:lineRule="auto"/>
              <w:rPr>
                <w:rFonts w:asciiTheme="minorEastAsia" w:hAnsiTheme="minorEastAsia" w:cs="Arial"/>
                <w:sz w:val="24"/>
                <w:szCs w:val="24"/>
              </w:rPr>
            </w:pPr>
            <w:r w:rsidRPr="00DE17CF">
              <w:rPr>
                <w:rFonts w:asciiTheme="minorEastAsia" w:hAnsiTheme="minorEastAsia" w:cs="Arial" w:hint="eastAsia"/>
                <w:sz w:val="24"/>
                <w:szCs w:val="24"/>
              </w:rPr>
              <w:t>-</w:t>
            </w:r>
          </w:p>
        </w:tc>
      </w:tr>
      <w:tr w:rsidR="006E3A73" w:rsidRPr="00DE17CF" w:rsidTr="006E3A73">
        <w:tc>
          <w:tcPr>
            <w:tcW w:w="754" w:type="dxa"/>
            <w:tcBorders>
              <w:top w:val="single" w:sz="8" w:space="0" w:color="000000"/>
              <w:left w:val="single" w:sz="8" w:space="0" w:color="000000"/>
              <w:bottom w:val="single" w:sz="4" w:space="0" w:color="000000"/>
              <w:right w:val="single" w:sz="8" w:space="0" w:color="000000"/>
            </w:tcBorders>
            <w:vAlign w:val="center"/>
          </w:tcPr>
          <w:p w:rsidR="006E3A73" w:rsidRPr="00DE17CF" w:rsidRDefault="006E3A73" w:rsidP="00103259">
            <w:pPr>
              <w:autoSpaceDE w:val="0"/>
              <w:autoSpaceDN w:val="0"/>
              <w:adjustRightInd w:val="0"/>
              <w:snapToGrid w:val="0"/>
              <w:spacing w:line="360" w:lineRule="auto"/>
              <w:rPr>
                <w:rFonts w:asciiTheme="minorEastAsia" w:hAnsiTheme="minorEastAsia" w:cs="Arial"/>
                <w:sz w:val="24"/>
                <w:szCs w:val="24"/>
              </w:rPr>
            </w:pPr>
          </w:p>
        </w:tc>
        <w:tc>
          <w:tcPr>
            <w:tcW w:w="2811"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3F3D90">
            <w:pPr>
              <w:autoSpaceDE w:val="0"/>
              <w:autoSpaceDN w:val="0"/>
              <w:adjustRightInd w:val="0"/>
              <w:snapToGrid w:val="0"/>
              <w:spacing w:line="360" w:lineRule="auto"/>
              <w:ind w:firstLineChars="200" w:firstLine="480"/>
              <w:jc w:val="left"/>
              <w:rPr>
                <w:rFonts w:asciiTheme="minorEastAsia" w:hAnsiTheme="minorEastAsia" w:cs="Arial"/>
                <w:sz w:val="24"/>
                <w:szCs w:val="24"/>
              </w:rPr>
            </w:pPr>
            <w:r w:rsidRPr="00DE17CF">
              <w:rPr>
                <w:rFonts w:asciiTheme="minorEastAsia" w:hAnsiTheme="minorEastAsia" w:cs="Arial" w:hint="eastAsia"/>
                <w:sz w:val="24"/>
                <w:szCs w:val="24"/>
              </w:rPr>
              <w:t>资产支持证券</w:t>
            </w:r>
          </w:p>
        </w:tc>
        <w:tc>
          <w:tcPr>
            <w:tcW w:w="2168"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3F3D90">
            <w:pPr>
              <w:autoSpaceDE w:val="0"/>
              <w:autoSpaceDN w:val="0"/>
              <w:adjustRightInd w:val="0"/>
              <w:snapToGrid w:val="0"/>
              <w:spacing w:line="360" w:lineRule="auto"/>
              <w:rPr>
                <w:rFonts w:asciiTheme="minorEastAsia" w:hAnsiTheme="minorEastAsia" w:cs="Arial"/>
                <w:sz w:val="24"/>
                <w:szCs w:val="24"/>
              </w:rPr>
            </w:pPr>
            <w:r w:rsidRPr="00DE17CF">
              <w:rPr>
                <w:rFonts w:asciiTheme="minorEastAsia" w:hAnsiTheme="minorEastAsia" w:cs="Arial" w:hint="eastAsia"/>
                <w:sz w:val="24"/>
                <w:szCs w:val="24"/>
              </w:rPr>
              <w:t>-</w:t>
            </w:r>
          </w:p>
        </w:tc>
        <w:tc>
          <w:tcPr>
            <w:tcW w:w="2445"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3F3D90">
            <w:pPr>
              <w:autoSpaceDE w:val="0"/>
              <w:autoSpaceDN w:val="0"/>
              <w:adjustRightInd w:val="0"/>
              <w:snapToGrid w:val="0"/>
              <w:spacing w:line="360" w:lineRule="auto"/>
              <w:rPr>
                <w:rFonts w:asciiTheme="minorEastAsia" w:hAnsiTheme="minorEastAsia" w:cs="Arial"/>
                <w:sz w:val="24"/>
                <w:szCs w:val="24"/>
              </w:rPr>
            </w:pPr>
            <w:r w:rsidRPr="00DE17CF">
              <w:rPr>
                <w:rFonts w:asciiTheme="minorEastAsia" w:hAnsiTheme="minorEastAsia" w:cs="Arial" w:hint="eastAsia"/>
                <w:sz w:val="24"/>
                <w:szCs w:val="24"/>
              </w:rPr>
              <w:t>-</w:t>
            </w:r>
          </w:p>
        </w:tc>
      </w:tr>
      <w:tr w:rsidR="006E3A73" w:rsidRPr="00DE17CF" w:rsidTr="006E3A73">
        <w:tc>
          <w:tcPr>
            <w:tcW w:w="754"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103259">
            <w:pPr>
              <w:autoSpaceDE w:val="0"/>
              <w:autoSpaceDN w:val="0"/>
              <w:adjustRightInd w:val="0"/>
              <w:snapToGrid w:val="0"/>
              <w:spacing w:line="360" w:lineRule="auto"/>
              <w:rPr>
                <w:rFonts w:asciiTheme="minorEastAsia" w:hAnsiTheme="minorEastAsia" w:cs="Arial"/>
                <w:sz w:val="24"/>
                <w:szCs w:val="24"/>
              </w:rPr>
            </w:pPr>
            <w:r w:rsidRPr="00DE17CF">
              <w:rPr>
                <w:rFonts w:asciiTheme="minorEastAsia" w:hAnsiTheme="minorEastAsia" w:cs="Arial" w:hint="eastAsia"/>
                <w:sz w:val="24"/>
                <w:szCs w:val="24"/>
              </w:rPr>
              <w:t>4</w:t>
            </w:r>
          </w:p>
        </w:tc>
        <w:tc>
          <w:tcPr>
            <w:tcW w:w="2811"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3F3D90">
            <w:pPr>
              <w:autoSpaceDE w:val="0"/>
              <w:autoSpaceDN w:val="0"/>
              <w:adjustRightInd w:val="0"/>
              <w:snapToGrid w:val="0"/>
              <w:spacing w:line="360" w:lineRule="auto"/>
              <w:ind w:firstLineChars="200" w:firstLine="480"/>
              <w:jc w:val="left"/>
              <w:rPr>
                <w:rFonts w:asciiTheme="minorEastAsia" w:hAnsiTheme="minorEastAsia" w:cs="Arial"/>
                <w:sz w:val="24"/>
                <w:szCs w:val="24"/>
              </w:rPr>
            </w:pPr>
            <w:r w:rsidRPr="00DE17CF">
              <w:rPr>
                <w:rFonts w:asciiTheme="minorEastAsia" w:hAnsiTheme="minorEastAsia" w:cs="Arial" w:hint="eastAsia"/>
                <w:sz w:val="24"/>
                <w:szCs w:val="24"/>
              </w:rPr>
              <w:t>贵金属投资</w:t>
            </w:r>
          </w:p>
        </w:tc>
        <w:tc>
          <w:tcPr>
            <w:tcW w:w="2168"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3F3D90">
            <w:pPr>
              <w:autoSpaceDE w:val="0"/>
              <w:autoSpaceDN w:val="0"/>
              <w:adjustRightInd w:val="0"/>
              <w:snapToGrid w:val="0"/>
              <w:spacing w:line="360" w:lineRule="auto"/>
              <w:rPr>
                <w:rFonts w:asciiTheme="minorEastAsia" w:hAnsiTheme="minorEastAsia" w:cs="Arial"/>
                <w:sz w:val="24"/>
                <w:szCs w:val="24"/>
              </w:rPr>
            </w:pPr>
            <w:r w:rsidRPr="00DE17CF">
              <w:rPr>
                <w:rFonts w:asciiTheme="minorEastAsia" w:hAnsiTheme="minorEastAsia" w:cs="Arial" w:hint="eastAsia"/>
                <w:sz w:val="24"/>
                <w:szCs w:val="24"/>
              </w:rPr>
              <w:t>-</w:t>
            </w:r>
          </w:p>
        </w:tc>
        <w:tc>
          <w:tcPr>
            <w:tcW w:w="2445"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3F3D90">
            <w:pPr>
              <w:autoSpaceDE w:val="0"/>
              <w:autoSpaceDN w:val="0"/>
              <w:adjustRightInd w:val="0"/>
              <w:snapToGrid w:val="0"/>
              <w:spacing w:line="360" w:lineRule="auto"/>
              <w:rPr>
                <w:rFonts w:asciiTheme="minorEastAsia" w:hAnsiTheme="minorEastAsia" w:cs="Arial"/>
                <w:sz w:val="24"/>
                <w:szCs w:val="24"/>
              </w:rPr>
            </w:pPr>
            <w:r w:rsidRPr="00DE17CF">
              <w:rPr>
                <w:rFonts w:asciiTheme="minorEastAsia" w:hAnsiTheme="minorEastAsia" w:cs="Arial" w:hint="eastAsia"/>
                <w:sz w:val="24"/>
                <w:szCs w:val="24"/>
              </w:rPr>
              <w:t>-</w:t>
            </w:r>
          </w:p>
        </w:tc>
      </w:tr>
      <w:tr w:rsidR="006E3A73" w:rsidRPr="00DE17CF" w:rsidTr="006E3A73">
        <w:tc>
          <w:tcPr>
            <w:tcW w:w="754"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103259">
            <w:pPr>
              <w:autoSpaceDE w:val="0"/>
              <w:autoSpaceDN w:val="0"/>
              <w:adjustRightInd w:val="0"/>
              <w:snapToGrid w:val="0"/>
              <w:spacing w:line="360" w:lineRule="auto"/>
              <w:rPr>
                <w:rFonts w:asciiTheme="minorEastAsia" w:hAnsiTheme="minorEastAsia" w:cs="Arial"/>
                <w:sz w:val="24"/>
                <w:szCs w:val="24"/>
              </w:rPr>
            </w:pPr>
            <w:r w:rsidRPr="00DE17CF">
              <w:rPr>
                <w:rFonts w:asciiTheme="minorEastAsia" w:hAnsiTheme="minorEastAsia" w:cs="Arial" w:hint="eastAsia"/>
                <w:sz w:val="24"/>
                <w:szCs w:val="24"/>
              </w:rPr>
              <w:t>5</w:t>
            </w:r>
          </w:p>
        </w:tc>
        <w:tc>
          <w:tcPr>
            <w:tcW w:w="2811"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3F3D90">
            <w:pPr>
              <w:autoSpaceDE w:val="0"/>
              <w:autoSpaceDN w:val="0"/>
              <w:adjustRightInd w:val="0"/>
              <w:snapToGrid w:val="0"/>
              <w:spacing w:line="360" w:lineRule="auto"/>
              <w:ind w:firstLineChars="200" w:firstLine="480"/>
              <w:jc w:val="left"/>
              <w:rPr>
                <w:rFonts w:asciiTheme="minorEastAsia" w:hAnsiTheme="minorEastAsia" w:cs="Arial"/>
                <w:sz w:val="24"/>
                <w:szCs w:val="24"/>
              </w:rPr>
            </w:pPr>
            <w:r w:rsidRPr="00DE17CF">
              <w:rPr>
                <w:rFonts w:asciiTheme="minorEastAsia" w:hAnsiTheme="minorEastAsia" w:cs="Arial" w:hint="eastAsia"/>
                <w:sz w:val="24"/>
                <w:szCs w:val="24"/>
              </w:rPr>
              <w:t>金融衍生</w:t>
            </w:r>
            <w:proofErr w:type="gramStart"/>
            <w:r w:rsidRPr="00DE17CF">
              <w:rPr>
                <w:rFonts w:asciiTheme="minorEastAsia" w:hAnsiTheme="minorEastAsia" w:cs="Arial" w:hint="eastAsia"/>
                <w:sz w:val="24"/>
                <w:szCs w:val="24"/>
              </w:rPr>
              <w:t>品投资</w:t>
            </w:r>
            <w:proofErr w:type="gramEnd"/>
          </w:p>
        </w:tc>
        <w:tc>
          <w:tcPr>
            <w:tcW w:w="2168"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3F3D90">
            <w:pPr>
              <w:autoSpaceDE w:val="0"/>
              <w:autoSpaceDN w:val="0"/>
              <w:adjustRightInd w:val="0"/>
              <w:snapToGrid w:val="0"/>
              <w:spacing w:line="360" w:lineRule="auto"/>
              <w:rPr>
                <w:rFonts w:asciiTheme="minorEastAsia" w:hAnsiTheme="minorEastAsia" w:cs="Arial"/>
                <w:sz w:val="24"/>
                <w:szCs w:val="24"/>
              </w:rPr>
            </w:pPr>
            <w:r w:rsidRPr="00DE17CF">
              <w:rPr>
                <w:rFonts w:asciiTheme="minorEastAsia" w:hAnsiTheme="minorEastAsia" w:cs="Arial" w:hint="eastAsia"/>
                <w:sz w:val="24"/>
                <w:szCs w:val="24"/>
              </w:rPr>
              <w:t>-</w:t>
            </w:r>
          </w:p>
        </w:tc>
        <w:tc>
          <w:tcPr>
            <w:tcW w:w="2445"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3F3D90">
            <w:pPr>
              <w:autoSpaceDE w:val="0"/>
              <w:autoSpaceDN w:val="0"/>
              <w:adjustRightInd w:val="0"/>
              <w:snapToGrid w:val="0"/>
              <w:spacing w:line="360" w:lineRule="auto"/>
              <w:rPr>
                <w:rFonts w:asciiTheme="minorEastAsia" w:hAnsiTheme="minorEastAsia" w:cs="Arial"/>
                <w:sz w:val="24"/>
                <w:szCs w:val="24"/>
              </w:rPr>
            </w:pPr>
            <w:r w:rsidRPr="00DE17CF">
              <w:rPr>
                <w:rFonts w:asciiTheme="minorEastAsia" w:hAnsiTheme="minorEastAsia" w:cs="Arial" w:hint="eastAsia"/>
                <w:sz w:val="24"/>
                <w:szCs w:val="24"/>
              </w:rPr>
              <w:t>-</w:t>
            </w:r>
          </w:p>
        </w:tc>
      </w:tr>
      <w:tr w:rsidR="006E3A73" w:rsidRPr="00DE17CF" w:rsidTr="006E3A73">
        <w:tc>
          <w:tcPr>
            <w:tcW w:w="754"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103259">
            <w:pPr>
              <w:autoSpaceDE w:val="0"/>
              <w:autoSpaceDN w:val="0"/>
              <w:adjustRightInd w:val="0"/>
              <w:snapToGrid w:val="0"/>
              <w:spacing w:line="360" w:lineRule="auto"/>
              <w:rPr>
                <w:rFonts w:asciiTheme="minorEastAsia" w:hAnsiTheme="minorEastAsia" w:cs="Arial"/>
                <w:sz w:val="24"/>
                <w:szCs w:val="24"/>
              </w:rPr>
            </w:pPr>
            <w:r w:rsidRPr="00DE17CF">
              <w:rPr>
                <w:rFonts w:asciiTheme="minorEastAsia" w:hAnsiTheme="minorEastAsia" w:cs="Arial" w:hint="eastAsia"/>
                <w:sz w:val="24"/>
                <w:szCs w:val="24"/>
              </w:rPr>
              <w:t>6</w:t>
            </w:r>
          </w:p>
        </w:tc>
        <w:tc>
          <w:tcPr>
            <w:tcW w:w="2811"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3F3D90">
            <w:pPr>
              <w:autoSpaceDE w:val="0"/>
              <w:autoSpaceDN w:val="0"/>
              <w:adjustRightInd w:val="0"/>
              <w:snapToGrid w:val="0"/>
              <w:spacing w:line="360" w:lineRule="auto"/>
              <w:ind w:firstLineChars="200" w:firstLine="480"/>
              <w:jc w:val="left"/>
              <w:rPr>
                <w:rFonts w:asciiTheme="minorEastAsia" w:hAnsiTheme="minorEastAsia" w:cs="Arial"/>
                <w:sz w:val="24"/>
                <w:szCs w:val="24"/>
              </w:rPr>
            </w:pPr>
            <w:r w:rsidRPr="00DE17CF">
              <w:rPr>
                <w:rFonts w:asciiTheme="minorEastAsia" w:hAnsiTheme="minorEastAsia" w:cs="Arial" w:hint="eastAsia"/>
                <w:sz w:val="24"/>
                <w:szCs w:val="24"/>
              </w:rPr>
              <w:t>买入返售金融资产</w:t>
            </w:r>
          </w:p>
        </w:tc>
        <w:tc>
          <w:tcPr>
            <w:tcW w:w="2168"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3F3D90">
            <w:pPr>
              <w:autoSpaceDE w:val="0"/>
              <w:autoSpaceDN w:val="0"/>
              <w:adjustRightInd w:val="0"/>
              <w:snapToGrid w:val="0"/>
              <w:spacing w:line="360" w:lineRule="auto"/>
              <w:rPr>
                <w:rFonts w:asciiTheme="minorEastAsia" w:hAnsiTheme="minorEastAsia" w:cs="Arial"/>
                <w:sz w:val="24"/>
                <w:szCs w:val="24"/>
              </w:rPr>
            </w:pPr>
            <w:r w:rsidRPr="00DE17CF">
              <w:rPr>
                <w:rFonts w:asciiTheme="minorEastAsia" w:hAnsiTheme="minorEastAsia" w:cs="Arial" w:hint="eastAsia"/>
                <w:sz w:val="24"/>
                <w:szCs w:val="24"/>
              </w:rPr>
              <w:t>21,000,000.00</w:t>
            </w:r>
          </w:p>
        </w:tc>
        <w:tc>
          <w:tcPr>
            <w:tcW w:w="2445"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3F3D90">
            <w:pPr>
              <w:autoSpaceDE w:val="0"/>
              <w:autoSpaceDN w:val="0"/>
              <w:adjustRightInd w:val="0"/>
              <w:snapToGrid w:val="0"/>
              <w:spacing w:line="360" w:lineRule="auto"/>
              <w:rPr>
                <w:rFonts w:asciiTheme="minorEastAsia" w:hAnsiTheme="minorEastAsia" w:cs="Arial"/>
                <w:sz w:val="24"/>
                <w:szCs w:val="24"/>
              </w:rPr>
            </w:pPr>
            <w:r w:rsidRPr="00DE17CF">
              <w:rPr>
                <w:rFonts w:asciiTheme="minorEastAsia" w:hAnsiTheme="minorEastAsia" w:cs="Arial" w:hint="eastAsia"/>
                <w:sz w:val="24"/>
                <w:szCs w:val="24"/>
              </w:rPr>
              <w:t>39.87</w:t>
            </w:r>
          </w:p>
        </w:tc>
      </w:tr>
      <w:tr w:rsidR="006E3A73" w:rsidRPr="00DE17CF" w:rsidTr="006E3A73">
        <w:tc>
          <w:tcPr>
            <w:tcW w:w="754" w:type="dxa"/>
            <w:tcBorders>
              <w:top w:val="single" w:sz="8" w:space="0" w:color="000000"/>
              <w:left w:val="single" w:sz="8" w:space="0" w:color="000000"/>
              <w:bottom w:val="single" w:sz="4" w:space="0" w:color="000000"/>
              <w:right w:val="single" w:sz="8" w:space="0" w:color="000000"/>
            </w:tcBorders>
            <w:vAlign w:val="center"/>
          </w:tcPr>
          <w:p w:rsidR="006E3A73" w:rsidRPr="00DE17CF" w:rsidRDefault="006E3A73" w:rsidP="00103259">
            <w:pPr>
              <w:autoSpaceDE w:val="0"/>
              <w:autoSpaceDN w:val="0"/>
              <w:adjustRightInd w:val="0"/>
              <w:snapToGrid w:val="0"/>
              <w:spacing w:line="360" w:lineRule="auto"/>
              <w:rPr>
                <w:rFonts w:asciiTheme="minorEastAsia" w:hAnsiTheme="minorEastAsia" w:cs="Arial"/>
                <w:sz w:val="24"/>
                <w:szCs w:val="24"/>
              </w:rPr>
            </w:pPr>
          </w:p>
        </w:tc>
        <w:tc>
          <w:tcPr>
            <w:tcW w:w="2811"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3F3D90">
            <w:pPr>
              <w:autoSpaceDE w:val="0"/>
              <w:autoSpaceDN w:val="0"/>
              <w:adjustRightInd w:val="0"/>
              <w:snapToGrid w:val="0"/>
              <w:spacing w:line="360" w:lineRule="auto"/>
              <w:ind w:firstLineChars="200" w:firstLine="480"/>
              <w:jc w:val="left"/>
              <w:rPr>
                <w:rFonts w:asciiTheme="minorEastAsia" w:hAnsiTheme="minorEastAsia" w:cs="Arial"/>
                <w:sz w:val="24"/>
                <w:szCs w:val="24"/>
              </w:rPr>
            </w:pPr>
            <w:r w:rsidRPr="00DE17CF">
              <w:rPr>
                <w:rFonts w:asciiTheme="minorEastAsia" w:hAnsiTheme="minorEastAsia" w:cs="Arial" w:hint="eastAsia"/>
                <w:sz w:val="24"/>
                <w:szCs w:val="24"/>
              </w:rPr>
              <w:t>其中：买断式回购的买入返售金融资产</w:t>
            </w:r>
          </w:p>
        </w:tc>
        <w:tc>
          <w:tcPr>
            <w:tcW w:w="2168"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3F3D90">
            <w:pPr>
              <w:autoSpaceDE w:val="0"/>
              <w:autoSpaceDN w:val="0"/>
              <w:adjustRightInd w:val="0"/>
              <w:snapToGrid w:val="0"/>
              <w:spacing w:line="360" w:lineRule="auto"/>
              <w:rPr>
                <w:rFonts w:asciiTheme="minorEastAsia" w:hAnsiTheme="minorEastAsia" w:cs="Arial"/>
                <w:sz w:val="24"/>
                <w:szCs w:val="24"/>
              </w:rPr>
            </w:pPr>
            <w:r w:rsidRPr="00DE17CF">
              <w:rPr>
                <w:rFonts w:asciiTheme="minorEastAsia" w:hAnsiTheme="minorEastAsia" w:cs="Arial" w:hint="eastAsia"/>
                <w:sz w:val="24"/>
                <w:szCs w:val="24"/>
              </w:rPr>
              <w:t>-</w:t>
            </w:r>
          </w:p>
        </w:tc>
        <w:tc>
          <w:tcPr>
            <w:tcW w:w="2445"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3F3D90">
            <w:pPr>
              <w:autoSpaceDE w:val="0"/>
              <w:autoSpaceDN w:val="0"/>
              <w:adjustRightInd w:val="0"/>
              <w:snapToGrid w:val="0"/>
              <w:spacing w:line="360" w:lineRule="auto"/>
              <w:rPr>
                <w:rFonts w:asciiTheme="minorEastAsia" w:hAnsiTheme="minorEastAsia" w:cs="Arial"/>
                <w:sz w:val="24"/>
                <w:szCs w:val="24"/>
              </w:rPr>
            </w:pPr>
            <w:r w:rsidRPr="00DE17CF">
              <w:rPr>
                <w:rFonts w:asciiTheme="minorEastAsia" w:hAnsiTheme="minorEastAsia" w:cs="Arial" w:hint="eastAsia"/>
                <w:sz w:val="24"/>
                <w:szCs w:val="24"/>
              </w:rPr>
              <w:t>-</w:t>
            </w:r>
          </w:p>
        </w:tc>
      </w:tr>
      <w:tr w:rsidR="006E3A73" w:rsidRPr="00DE17CF" w:rsidTr="006E3A73">
        <w:tc>
          <w:tcPr>
            <w:tcW w:w="754"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103259">
            <w:pPr>
              <w:autoSpaceDE w:val="0"/>
              <w:autoSpaceDN w:val="0"/>
              <w:adjustRightInd w:val="0"/>
              <w:snapToGrid w:val="0"/>
              <w:spacing w:line="360" w:lineRule="auto"/>
              <w:rPr>
                <w:rFonts w:asciiTheme="minorEastAsia" w:hAnsiTheme="minorEastAsia" w:cs="Arial"/>
                <w:sz w:val="24"/>
                <w:szCs w:val="24"/>
              </w:rPr>
            </w:pPr>
            <w:r w:rsidRPr="00DE17CF">
              <w:rPr>
                <w:rFonts w:asciiTheme="minorEastAsia" w:hAnsiTheme="minorEastAsia" w:cs="Arial" w:hint="eastAsia"/>
                <w:sz w:val="24"/>
                <w:szCs w:val="24"/>
              </w:rPr>
              <w:t>7</w:t>
            </w:r>
          </w:p>
        </w:tc>
        <w:tc>
          <w:tcPr>
            <w:tcW w:w="2811"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3F3D90">
            <w:pPr>
              <w:autoSpaceDE w:val="0"/>
              <w:autoSpaceDN w:val="0"/>
              <w:adjustRightInd w:val="0"/>
              <w:snapToGrid w:val="0"/>
              <w:spacing w:line="360" w:lineRule="auto"/>
              <w:ind w:firstLineChars="200" w:firstLine="480"/>
              <w:jc w:val="left"/>
              <w:rPr>
                <w:rFonts w:asciiTheme="minorEastAsia" w:hAnsiTheme="minorEastAsia" w:cs="Arial"/>
                <w:sz w:val="24"/>
                <w:szCs w:val="24"/>
              </w:rPr>
            </w:pPr>
            <w:r w:rsidRPr="00DE17CF">
              <w:rPr>
                <w:rFonts w:asciiTheme="minorEastAsia" w:hAnsiTheme="minorEastAsia" w:cs="Arial" w:hint="eastAsia"/>
                <w:sz w:val="24"/>
                <w:szCs w:val="24"/>
              </w:rPr>
              <w:t>银行存款和结算备付金合计</w:t>
            </w:r>
          </w:p>
        </w:tc>
        <w:tc>
          <w:tcPr>
            <w:tcW w:w="2168"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3F3D90">
            <w:pPr>
              <w:autoSpaceDE w:val="0"/>
              <w:autoSpaceDN w:val="0"/>
              <w:adjustRightInd w:val="0"/>
              <w:snapToGrid w:val="0"/>
              <w:spacing w:line="360" w:lineRule="auto"/>
              <w:rPr>
                <w:rFonts w:asciiTheme="minorEastAsia" w:hAnsiTheme="minorEastAsia" w:cs="Arial"/>
                <w:sz w:val="24"/>
                <w:szCs w:val="24"/>
              </w:rPr>
            </w:pPr>
            <w:r w:rsidRPr="00DE17CF">
              <w:rPr>
                <w:rFonts w:asciiTheme="minorEastAsia" w:hAnsiTheme="minorEastAsia" w:cs="Arial" w:hint="eastAsia"/>
                <w:sz w:val="24"/>
                <w:szCs w:val="24"/>
              </w:rPr>
              <w:t>31,599,748.37</w:t>
            </w:r>
          </w:p>
        </w:tc>
        <w:tc>
          <w:tcPr>
            <w:tcW w:w="2445"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3F3D90">
            <w:pPr>
              <w:autoSpaceDE w:val="0"/>
              <w:autoSpaceDN w:val="0"/>
              <w:adjustRightInd w:val="0"/>
              <w:snapToGrid w:val="0"/>
              <w:spacing w:line="360" w:lineRule="auto"/>
              <w:rPr>
                <w:rFonts w:asciiTheme="minorEastAsia" w:hAnsiTheme="minorEastAsia" w:cs="Arial"/>
                <w:sz w:val="24"/>
                <w:szCs w:val="24"/>
              </w:rPr>
            </w:pPr>
            <w:r w:rsidRPr="00DE17CF">
              <w:rPr>
                <w:rFonts w:asciiTheme="minorEastAsia" w:hAnsiTheme="minorEastAsia" w:cs="Arial" w:hint="eastAsia"/>
                <w:sz w:val="24"/>
                <w:szCs w:val="24"/>
              </w:rPr>
              <w:t>59.99</w:t>
            </w:r>
          </w:p>
        </w:tc>
      </w:tr>
      <w:tr w:rsidR="006E3A73" w:rsidRPr="00DE17CF" w:rsidTr="006E3A73">
        <w:tc>
          <w:tcPr>
            <w:tcW w:w="754"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103259">
            <w:pPr>
              <w:autoSpaceDE w:val="0"/>
              <w:autoSpaceDN w:val="0"/>
              <w:adjustRightInd w:val="0"/>
              <w:snapToGrid w:val="0"/>
              <w:spacing w:line="360" w:lineRule="auto"/>
              <w:rPr>
                <w:rFonts w:asciiTheme="minorEastAsia" w:hAnsiTheme="minorEastAsia" w:cs="Arial"/>
                <w:sz w:val="24"/>
                <w:szCs w:val="24"/>
              </w:rPr>
            </w:pPr>
            <w:r w:rsidRPr="00DE17CF">
              <w:rPr>
                <w:rFonts w:asciiTheme="minorEastAsia" w:hAnsiTheme="minorEastAsia" w:cs="Arial" w:hint="eastAsia"/>
                <w:sz w:val="24"/>
                <w:szCs w:val="24"/>
              </w:rPr>
              <w:t>8</w:t>
            </w:r>
          </w:p>
        </w:tc>
        <w:tc>
          <w:tcPr>
            <w:tcW w:w="2811"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3F3D90">
            <w:pPr>
              <w:autoSpaceDE w:val="0"/>
              <w:autoSpaceDN w:val="0"/>
              <w:adjustRightInd w:val="0"/>
              <w:snapToGrid w:val="0"/>
              <w:spacing w:line="360" w:lineRule="auto"/>
              <w:ind w:firstLineChars="200" w:firstLine="480"/>
              <w:jc w:val="left"/>
              <w:rPr>
                <w:rFonts w:asciiTheme="minorEastAsia" w:hAnsiTheme="minorEastAsia" w:cs="Arial"/>
                <w:sz w:val="24"/>
                <w:szCs w:val="24"/>
              </w:rPr>
            </w:pPr>
            <w:r w:rsidRPr="00DE17CF">
              <w:rPr>
                <w:rFonts w:asciiTheme="minorEastAsia" w:hAnsiTheme="minorEastAsia" w:cs="Arial" w:hint="eastAsia"/>
                <w:sz w:val="24"/>
                <w:szCs w:val="24"/>
              </w:rPr>
              <w:t>其他资产</w:t>
            </w:r>
          </w:p>
        </w:tc>
        <w:tc>
          <w:tcPr>
            <w:tcW w:w="2168"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3F3D90">
            <w:pPr>
              <w:autoSpaceDE w:val="0"/>
              <w:autoSpaceDN w:val="0"/>
              <w:adjustRightInd w:val="0"/>
              <w:snapToGrid w:val="0"/>
              <w:spacing w:line="360" w:lineRule="auto"/>
              <w:rPr>
                <w:rFonts w:asciiTheme="minorEastAsia" w:hAnsiTheme="minorEastAsia" w:cs="Arial"/>
                <w:sz w:val="24"/>
                <w:szCs w:val="24"/>
              </w:rPr>
            </w:pPr>
            <w:r w:rsidRPr="00DE17CF">
              <w:rPr>
                <w:rFonts w:asciiTheme="minorEastAsia" w:hAnsiTheme="minorEastAsia" w:cs="Arial" w:hint="eastAsia"/>
                <w:sz w:val="24"/>
                <w:szCs w:val="24"/>
              </w:rPr>
              <w:t>71,357.98</w:t>
            </w:r>
          </w:p>
        </w:tc>
        <w:tc>
          <w:tcPr>
            <w:tcW w:w="2445"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3F3D90">
            <w:pPr>
              <w:autoSpaceDE w:val="0"/>
              <w:autoSpaceDN w:val="0"/>
              <w:adjustRightInd w:val="0"/>
              <w:snapToGrid w:val="0"/>
              <w:spacing w:line="360" w:lineRule="auto"/>
              <w:rPr>
                <w:rFonts w:asciiTheme="minorEastAsia" w:hAnsiTheme="minorEastAsia" w:cs="Arial"/>
                <w:sz w:val="24"/>
                <w:szCs w:val="24"/>
              </w:rPr>
            </w:pPr>
            <w:r w:rsidRPr="00DE17CF">
              <w:rPr>
                <w:rFonts w:asciiTheme="minorEastAsia" w:hAnsiTheme="minorEastAsia" w:cs="Arial" w:hint="eastAsia"/>
                <w:sz w:val="24"/>
                <w:szCs w:val="24"/>
              </w:rPr>
              <w:t>0.14</w:t>
            </w:r>
          </w:p>
        </w:tc>
      </w:tr>
      <w:tr w:rsidR="006E3A73" w:rsidRPr="00DE17CF" w:rsidTr="006E3A73">
        <w:tc>
          <w:tcPr>
            <w:tcW w:w="754"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103259">
            <w:pPr>
              <w:autoSpaceDE w:val="0"/>
              <w:autoSpaceDN w:val="0"/>
              <w:adjustRightInd w:val="0"/>
              <w:snapToGrid w:val="0"/>
              <w:spacing w:line="360" w:lineRule="auto"/>
              <w:rPr>
                <w:rFonts w:asciiTheme="minorEastAsia" w:hAnsiTheme="minorEastAsia" w:cs="Arial"/>
                <w:sz w:val="24"/>
                <w:szCs w:val="24"/>
              </w:rPr>
            </w:pPr>
            <w:r w:rsidRPr="00DE17CF">
              <w:rPr>
                <w:rFonts w:asciiTheme="minorEastAsia" w:hAnsiTheme="minorEastAsia" w:cs="Arial" w:hint="eastAsia"/>
                <w:sz w:val="24"/>
                <w:szCs w:val="24"/>
              </w:rPr>
              <w:t>9</w:t>
            </w:r>
          </w:p>
        </w:tc>
        <w:tc>
          <w:tcPr>
            <w:tcW w:w="2811"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3F3D90">
            <w:pPr>
              <w:autoSpaceDE w:val="0"/>
              <w:autoSpaceDN w:val="0"/>
              <w:adjustRightInd w:val="0"/>
              <w:snapToGrid w:val="0"/>
              <w:spacing w:line="360" w:lineRule="auto"/>
              <w:ind w:firstLineChars="200" w:firstLine="480"/>
              <w:jc w:val="left"/>
              <w:rPr>
                <w:rFonts w:asciiTheme="minorEastAsia" w:hAnsiTheme="minorEastAsia" w:cs="Arial"/>
                <w:sz w:val="24"/>
                <w:szCs w:val="24"/>
              </w:rPr>
            </w:pPr>
            <w:r w:rsidRPr="00DE17CF">
              <w:rPr>
                <w:rFonts w:asciiTheme="minorEastAsia" w:hAnsiTheme="minorEastAsia" w:cs="Arial" w:hint="eastAsia"/>
                <w:sz w:val="24"/>
                <w:szCs w:val="24"/>
              </w:rPr>
              <w:t>合计</w:t>
            </w:r>
          </w:p>
        </w:tc>
        <w:tc>
          <w:tcPr>
            <w:tcW w:w="2168"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3F3D90">
            <w:pPr>
              <w:autoSpaceDE w:val="0"/>
              <w:autoSpaceDN w:val="0"/>
              <w:adjustRightInd w:val="0"/>
              <w:snapToGrid w:val="0"/>
              <w:spacing w:line="360" w:lineRule="auto"/>
              <w:rPr>
                <w:rFonts w:asciiTheme="minorEastAsia" w:hAnsiTheme="minorEastAsia" w:cs="Arial"/>
                <w:sz w:val="24"/>
                <w:szCs w:val="24"/>
              </w:rPr>
            </w:pPr>
            <w:r w:rsidRPr="00DE17CF">
              <w:rPr>
                <w:rFonts w:asciiTheme="minorEastAsia" w:hAnsiTheme="minorEastAsia" w:cs="Arial" w:hint="eastAsia"/>
                <w:sz w:val="24"/>
                <w:szCs w:val="24"/>
              </w:rPr>
              <w:t>52,671,106.35</w:t>
            </w:r>
          </w:p>
        </w:tc>
        <w:tc>
          <w:tcPr>
            <w:tcW w:w="2445"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3F3D90">
            <w:pPr>
              <w:autoSpaceDE w:val="0"/>
              <w:autoSpaceDN w:val="0"/>
              <w:adjustRightInd w:val="0"/>
              <w:snapToGrid w:val="0"/>
              <w:spacing w:line="360" w:lineRule="auto"/>
              <w:rPr>
                <w:rFonts w:asciiTheme="minorEastAsia" w:hAnsiTheme="minorEastAsia" w:cs="Arial"/>
                <w:sz w:val="24"/>
                <w:szCs w:val="24"/>
              </w:rPr>
            </w:pPr>
            <w:r w:rsidRPr="00DE17CF">
              <w:rPr>
                <w:rFonts w:asciiTheme="minorEastAsia" w:hAnsiTheme="minorEastAsia" w:cs="Arial" w:hint="eastAsia"/>
                <w:sz w:val="24"/>
                <w:szCs w:val="24"/>
              </w:rPr>
              <w:t>100.00</w:t>
            </w:r>
          </w:p>
        </w:tc>
      </w:tr>
    </w:tbl>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2、报告期末按行业分类的股票投资组合</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（1）报告期末按行业分类的境内股票投资组合</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本基金本报告期末未持有股票。</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（2）报告期末按行业分类的港股通投资股票投资组合</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本基金本报告期末未持有港股通股票。</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3、报告期末按公允价值占基金资产净值比例大小排序的前十名股票投资明细</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本基金本报告期末未持有股票。</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lastRenderedPageBreak/>
        <w:t>4、报告期末按债券品种分类的债券投资组合</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本基金本报告期末未持有债券。</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5、报告期末按公允价值占基金资产净值比例大小排序的前五名债券投资明细</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本基金本报告期末未持有债券。</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6、报告期末按公允价值占基金资产净值比例大小排序的前十名资产支持证券投资明细</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本基金本报告期末未持有资产支持证券。</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7、 报告期末按公允价值占基金资产净值比例大小排序的前五名贵金属投资明细</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本基金本报告期末未持有贵金属。</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8、报告期末按公允价值占基金资产净值比例大小排序的前五名权证投资明细</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本基金本报告期末未持有权证。</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9、报告期末本基金投资的股指期货交易情况说明</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本基金本报告期末未投资股指期货。</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10、报告期末本基金投资的国债期货交易情况说明</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本基金本报告期末未投资国债期货。</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 xml:space="preserve">11、投资组合报告附注 </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（1）本基金本报告期投资的前十名证券的发行主体，本报告期没有出现被监管部门立案调查的情形，也没有出现在报告编制日前一年内受到公开谴责、处罚的情形。</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（2）本基金投资的前十名股票没有超出基金合同规定的备选股票库。</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（3）其他资产构成</w:t>
      </w:r>
    </w:p>
    <w:tbl>
      <w:tblPr>
        <w:tblW w:w="8175" w:type="dxa"/>
        <w:tblInd w:w="108" w:type="dxa"/>
        <w:tblLayout w:type="fixed"/>
        <w:tblLook w:val="04A0" w:firstRow="1" w:lastRow="0" w:firstColumn="1" w:lastColumn="0" w:noHBand="0" w:noVBand="1"/>
      </w:tblPr>
      <w:tblGrid>
        <w:gridCol w:w="1181"/>
        <w:gridCol w:w="3328"/>
        <w:gridCol w:w="3666"/>
      </w:tblGrid>
      <w:tr w:rsidR="006E3A73" w:rsidRPr="00DE17CF" w:rsidTr="006E3A73">
        <w:tc>
          <w:tcPr>
            <w:tcW w:w="1182"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序号</w:t>
            </w:r>
          </w:p>
        </w:tc>
        <w:tc>
          <w:tcPr>
            <w:tcW w:w="3329"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名称</w:t>
            </w:r>
          </w:p>
        </w:tc>
        <w:tc>
          <w:tcPr>
            <w:tcW w:w="3667"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金额(元)</w:t>
            </w:r>
          </w:p>
        </w:tc>
      </w:tr>
      <w:tr w:rsidR="006E3A73" w:rsidRPr="00DE17CF" w:rsidTr="006E3A73">
        <w:tc>
          <w:tcPr>
            <w:tcW w:w="1182"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1</w:t>
            </w:r>
          </w:p>
        </w:tc>
        <w:tc>
          <w:tcPr>
            <w:tcW w:w="3329"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存出保证金</w:t>
            </w:r>
          </w:p>
        </w:tc>
        <w:tc>
          <w:tcPr>
            <w:tcW w:w="3667"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42,325.17</w:t>
            </w:r>
          </w:p>
        </w:tc>
      </w:tr>
      <w:tr w:rsidR="006E3A73" w:rsidRPr="00DE17CF" w:rsidTr="006E3A73">
        <w:tc>
          <w:tcPr>
            <w:tcW w:w="1182"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2</w:t>
            </w:r>
          </w:p>
        </w:tc>
        <w:tc>
          <w:tcPr>
            <w:tcW w:w="3329"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应收证券清算款</w:t>
            </w:r>
          </w:p>
        </w:tc>
        <w:tc>
          <w:tcPr>
            <w:tcW w:w="3667"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w:t>
            </w:r>
          </w:p>
        </w:tc>
      </w:tr>
      <w:tr w:rsidR="006E3A73" w:rsidRPr="00DE17CF" w:rsidTr="006E3A73">
        <w:tc>
          <w:tcPr>
            <w:tcW w:w="1182"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3</w:t>
            </w:r>
          </w:p>
        </w:tc>
        <w:tc>
          <w:tcPr>
            <w:tcW w:w="3329"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应收股利</w:t>
            </w:r>
          </w:p>
        </w:tc>
        <w:tc>
          <w:tcPr>
            <w:tcW w:w="3667"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w:t>
            </w:r>
          </w:p>
        </w:tc>
      </w:tr>
      <w:tr w:rsidR="006E3A73" w:rsidRPr="00DE17CF" w:rsidTr="006E3A73">
        <w:tc>
          <w:tcPr>
            <w:tcW w:w="1182"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4</w:t>
            </w:r>
          </w:p>
        </w:tc>
        <w:tc>
          <w:tcPr>
            <w:tcW w:w="3329"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应收利息</w:t>
            </w:r>
          </w:p>
        </w:tc>
        <w:tc>
          <w:tcPr>
            <w:tcW w:w="3667"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29,032.81</w:t>
            </w:r>
          </w:p>
        </w:tc>
      </w:tr>
      <w:tr w:rsidR="006E3A73" w:rsidRPr="00DE17CF" w:rsidTr="006E3A73">
        <w:tc>
          <w:tcPr>
            <w:tcW w:w="1182"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lastRenderedPageBreak/>
              <w:t>5</w:t>
            </w:r>
          </w:p>
        </w:tc>
        <w:tc>
          <w:tcPr>
            <w:tcW w:w="3329"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应收申购款</w:t>
            </w:r>
          </w:p>
        </w:tc>
        <w:tc>
          <w:tcPr>
            <w:tcW w:w="3667"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w:t>
            </w:r>
          </w:p>
        </w:tc>
      </w:tr>
      <w:tr w:rsidR="006E3A73" w:rsidRPr="00DE17CF" w:rsidTr="006E3A73">
        <w:tc>
          <w:tcPr>
            <w:tcW w:w="1182"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6</w:t>
            </w:r>
          </w:p>
        </w:tc>
        <w:tc>
          <w:tcPr>
            <w:tcW w:w="3329"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其他应收款</w:t>
            </w:r>
          </w:p>
        </w:tc>
        <w:tc>
          <w:tcPr>
            <w:tcW w:w="3667"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w:t>
            </w:r>
          </w:p>
        </w:tc>
      </w:tr>
      <w:tr w:rsidR="006E3A73" w:rsidRPr="00DE17CF" w:rsidTr="006E3A73">
        <w:tc>
          <w:tcPr>
            <w:tcW w:w="1182"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7</w:t>
            </w:r>
          </w:p>
        </w:tc>
        <w:tc>
          <w:tcPr>
            <w:tcW w:w="3329"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其他</w:t>
            </w:r>
          </w:p>
        </w:tc>
        <w:tc>
          <w:tcPr>
            <w:tcW w:w="3667"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w:t>
            </w:r>
          </w:p>
        </w:tc>
      </w:tr>
      <w:tr w:rsidR="006E3A73" w:rsidRPr="00DE17CF" w:rsidTr="006E3A73">
        <w:tc>
          <w:tcPr>
            <w:tcW w:w="1182"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8</w:t>
            </w:r>
          </w:p>
        </w:tc>
        <w:tc>
          <w:tcPr>
            <w:tcW w:w="3329"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合计</w:t>
            </w:r>
          </w:p>
        </w:tc>
        <w:tc>
          <w:tcPr>
            <w:tcW w:w="3667"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71,357.98</w:t>
            </w:r>
          </w:p>
        </w:tc>
      </w:tr>
    </w:tbl>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（4）报告期末持有的处于转股期的可转换债券明细</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本基金本报告期末未持有处于转股的可转换债券。</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（5）报告</w:t>
      </w:r>
      <w:proofErr w:type="gramStart"/>
      <w:r w:rsidRPr="00DE17CF">
        <w:rPr>
          <w:rFonts w:asciiTheme="minorEastAsia" w:hAnsiTheme="minorEastAsia" w:cs="Arial" w:hint="eastAsia"/>
          <w:sz w:val="24"/>
          <w:szCs w:val="24"/>
        </w:rPr>
        <w:t>期末前</w:t>
      </w:r>
      <w:proofErr w:type="gramEnd"/>
      <w:r w:rsidRPr="00DE17CF">
        <w:rPr>
          <w:rFonts w:asciiTheme="minorEastAsia" w:hAnsiTheme="minorEastAsia" w:cs="Arial" w:hint="eastAsia"/>
          <w:sz w:val="24"/>
          <w:szCs w:val="24"/>
        </w:rPr>
        <w:t>十名股票中存在流通受限情况的说明</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本基金本报告</w:t>
      </w:r>
      <w:proofErr w:type="gramStart"/>
      <w:r w:rsidRPr="00DE17CF">
        <w:rPr>
          <w:rFonts w:asciiTheme="minorEastAsia" w:hAnsiTheme="minorEastAsia" w:cs="Arial" w:hint="eastAsia"/>
          <w:sz w:val="24"/>
          <w:szCs w:val="24"/>
        </w:rPr>
        <w:t>期末前</w:t>
      </w:r>
      <w:proofErr w:type="gramEnd"/>
      <w:r w:rsidRPr="00DE17CF">
        <w:rPr>
          <w:rFonts w:asciiTheme="minorEastAsia" w:hAnsiTheme="minorEastAsia" w:cs="Arial" w:hint="eastAsia"/>
          <w:sz w:val="24"/>
          <w:szCs w:val="24"/>
        </w:rPr>
        <w:t>十名股票中不存在流通受限股票。</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（6）投资组合报告附注的其他文字描述部分</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由于四舍五入原因，分项之和与合计可能有尾差。</w:t>
      </w:r>
    </w:p>
    <w:p w:rsidR="006E3A73" w:rsidRPr="00DE17CF" w:rsidRDefault="000A43D5" w:rsidP="000A43D5">
      <w:pPr>
        <w:autoSpaceDE w:val="0"/>
        <w:autoSpaceDN w:val="0"/>
        <w:adjustRightInd w:val="0"/>
        <w:snapToGrid w:val="0"/>
        <w:spacing w:line="360" w:lineRule="auto"/>
        <w:ind w:firstLineChars="200" w:firstLine="480"/>
        <w:outlineLvl w:val="1"/>
        <w:rPr>
          <w:rFonts w:asciiTheme="minorEastAsia" w:hAnsiTheme="minorEastAsia" w:cs="Arial"/>
          <w:sz w:val="24"/>
          <w:szCs w:val="24"/>
        </w:rPr>
      </w:pPr>
      <w:r>
        <w:rPr>
          <w:rFonts w:asciiTheme="minorEastAsia" w:hAnsiTheme="minorEastAsia" w:cs="Arial" w:hint="eastAsia"/>
          <w:sz w:val="24"/>
          <w:szCs w:val="24"/>
        </w:rPr>
        <w:t>（九）</w:t>
      </w:r>
      <w:r w:rsidR="006E3A73" w:rsidRPr="00DE17CF">
        <w:rPr>
          <w:rFonts w:asciiTheme="minorEastAsia" w:hAnsiTheme="minorEastAsia" w:cs="Arial" w:hint="eastAsia"/>
          <w:sz w:val="24"/>
          <w:szCs w:val="24"/>
        </w:rPr>
        <w:t>基金净值表现</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（1）富荣福</w:t>
      </w:r>
      <w:proofErr w:type="gramStart"/>
      <w:r w:rsidRPr="00DE17CF">
        <w:rPr>
          <w:rFonts w:asciiTheme="minorEastAsia" w:hAnsiTheme="minorEastAsia" w:cs="Arial" w:hint="eastAsia"/>
          <w:sz w:val="24"/>
          <w:szCs w:val="24"/>
        </w:rPr>
        <w:t>鑫</w:t>
      </w:r>
      <w:proofErr w:type="gramEnd"/>
      <w:r w:rsidRPr="00DE17CF">
        <w:rPr>
          <w:rFonts w:asciiTheme="minorEastAsia" w:hAnsiTheme="minorEastAsia" w:cs="Arial" w:hint="eastAsia"/>
          <w:sz w:val="24"/>
          <w:szCs w:val="24"/>
        </w:rPr>
        <w:t>混合A（基金代码：004794）</w:t>
      </w:r>
    </w:p>
    <w:tbl>
      <w:tblPr>
        <w:tblW w:w="8295" w:type="dxa"/>
        <w:jc w:val="center"/>
        <w:tblLayout w:type="fixed"/>
        <w:tblLook w:val="04A0" w:firstRow="1" w:lastRow="0" w:firstColumn="1" w:lastColumn="0" w:noHBand="0" w:noVBand="1"/>
      </w:tblPr>
      <w:tblGrid>
        <w:gridCol w:w="1252"/>
        <w:gridCol w:w="1046"/>
        <w:gridCol w:w="1094"/>
        <w:gridCol w:w="1285"/>
        <w:gridCol w:w="1284"/>
        <w:gridCol w:w="1050"/>
        <w:gridCol w:w="1284"/>
      </w:tblGrid>
      <w:tr w:rsidR="006E3A73" w:rsidRPr="00DE17CF" w:rsidTr="006E3A73">
        <w:trPr>
          <w:jc w:val="center"/>
        </w:trPr>
        <w:tc>
          <w:tcPr>
            <w:tcW w:w="1253"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0970D3">
            <w:pPr>
              <w:autoSpaceDE w:val="0"/>
              <w:autoSpaceDN w:val="0"/>
              <w:adjustRightInd w:val="0"/>
              <w:snapToGrid w:val="0"/>
              <w:spacing w:line="360" w:lineRule="auto"/>
              <w:jc w:val="center"/>
              <w:rPr>
                <w:rFonts w:asciiTheme="minorEastAsia" w:hAnsiTheme="minorEastAsia" w:cs="Arial"/>
                <w:sz w:val="24"/>
                <w:szCs w:val="24"/>
              </w:rPr>
            </w:pPr>
            <w:r w:rsidRPr="00DE17CF">
              <w:rPr>
                <w:rFonts w:asciiTheme="minorEastAsia" w:hAnsiTheme="minorEastAsia" w:cs="Arial" w:hint="eastAsia"/>
                <w:sz w:val="24"/>
                <w:szCs w:val="24"/>
              </w:rPr>
              <w:t>阶段</w:t>
            </w:r>
          </w:p>
        </w:tc>
        <w:tc>
          <w:tcPr>
            <w:tcW w:w="1047"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103259">
            <w:pPr>
              <w:autoSpaceDE w:val="0"/>
              <w:autoSpaceDN w:val="0"/>
              <w:adjustRightInd w:val="0"/>
              <w:snapToGrid w:val="0"/>
              <w:spacing w:line="360" w:lineRule="auto"/>
              <w:rPr>
                <w:rFonts w:asciiTheme="minorEastAsia" w:hAnsiTheme="minorEastAsia" w:cs="Arial"/>
                <w:sz w:val="24"/>
                <w:szCs w:val="24"/>
              </w:rPr>
            </w:pPr>
            <w:r w:rsidRPr="00DE17CF">
              <w:rPr>
                <w:rFonts w:asciiTheme="minorEastAsia" w:hAnsiTheme="minorEastAsia" w:cs="Arial" w:hint="eastAsia"/>
                <w:sz w:val="24"/>
                <w:szCs w:val="24"/>
              </w:rPr>
              <w:t>净值增长率①</w:t>
            </w:r>
          </w:p>
        </w:tc>
        <w:tc>
          <w:tcPr>
            <w:tcW w:w="1095"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103259">
            <w:pPr>
              <w:autoSpaceDE w:val="0"/>
              <w:autoSpaceDN w:val="0"/>
              <w:adjustRightInd w:val="0"/>
              <w:snapToGrid w:val="0"/>
              <w:spacing w:line="360" w:lineRule="auto"/>
              <w:rPr>
                <w:rFonts w:asciiTheme="minorEastAsia" w:hAnsiTheme="minorEastAsia" w:cs="Arial"/>
                <w:sz w:val="24"/>
                <w:szCs w:val="24"/>
              </w:rPr>
            </w:pPr>
            <w:r w:rsidRPr="00DE17CF">
              <w:rPr>
                <w:rFonts w:asciiTheme="minorEastAsia" w:hAnsiTheme="minorEastAsia" w:cs="Arial" w:hint="eastAsia"/>
                <w:sz w:val="24"/>
                <w:szCs w:val="24"/>
              </w:rPr>
              <w:t>净值增长率标准差②</w:t>
            </w:r>
          </w:p>
        </w:tc>
        <w:tc>
          <w:tcPr>
            <w:tcW w:w="1286"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103259">
            <w:pPr>
              <w:autoSpaceDE w:val="0"/>
              <w:autoSpaceDN w:val="0"/>
              <w:adjustRightInd w:val="0"/>
              <w:snapToGrid w:val="0"/>
              <w:spacing w:line="360" w:lineRule="auto"/>
              <w:rPr>
                <w:rFonts w:asciiTheme="minorEastAsia" w:hAnsiTheme="minorEastAsia" w:cs="Arial"/>
                <w:sz w:val="24"/>
                <w:szCs w:val="24"/>
              </w:rPr>
            </w:pPr>
            <w:r w:rsidRPr="00DE17CF">
              <w:rPr>
                <w:rFonts w:asciiTheme="minorEastAsia" w:hAnsiTheme="minorEastAsia" w:cs="Arial" w:hint="eastAsia"/>
                <w:sz w:val="24"/>
                <w:szCs w:val="24"/>
              </w:rPr>
              <w:t>业绩比较基准收益率③</w:t>
            </w:r>
          </w:p>
        </w:tc>
        <w:tc>
          <w:tcPr>
            <w:tcW w:w="1285"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103259">
            <w:pPr>
              <w:autoSpaceDE w:val="0"/>
              <w:autoSpaceDN w:val="0"/>
              <w:adjustRightInd w:val="0"/>
              <w:snapToGrid w:val="0"/>
              <w:spacing w:line="360" w:lineRule="auto"/>
              <w:rPr>
                <w:rFonts w:asciiTheme="minorEastAsia" w:hAnsiTheme="minorEastAsia" w:cs="Arial"/>
                <w:sz w:val="24"/>
                <w:szCs w:val="24"/>
              </w:rPr>
            </w:pPr>
            <w:r w:rsidRPr="00DE17CF">
              <w:rPr>
                <w:rFonts w:asciiTheme="minorEastAsia" w:hAnsiTheme="minorEastAsia" w:cs="Arial" w:hint="eastAsia"/>
                <w:sz w:val="24"/>
                <w:szCs w:val="24"/>
              </w:rPr>
              <w:t>业绩比较基准收益率标准差④</w:t>
            </w:r>
          </w:p>
        </w:tc>
        <w:tc>
          <w:tcPr>
            <w:tcW w:w="1051"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0970D3">
            <w:pPr>
              <w:autoSpaceDE w:val="0"/>
              <w:autoSpaceDN w:val="0"/>
              <w:adjustRightInd w:val="0"/>
              <w:snapToGrid w:val="0"/>
              <w:spacing w:line="360" w:lineRule="auto"/>
              <w:jc w:val="center"/>
              <w:rPr>
                <w:rFonts w:asciiTheme="minorEastAsia" w:hAnsiTheme="minorEastAsia" w:cs="Arial"/>
                <w:sz w:val="24"/>
                <w:szCs w:val="24"/>
              </w:rPr>
            </w:pPr>
            <w:r w:rsidRPr="00DE17CF">
              <w:rPr>
                <w:rFonts w:asciiTheme="minorEastAsia" w:hAnsiTheme="minorEastAsia" w:cs="Arial" w:hint="eastAsia"/>
                <w:sz w:val="24"/>
                <w:szCs w:val="24"/>
              </w:rPr>
              <w:t>①-③</w:t>
            </w:r>
          </w:p>
        </w:tc>
        <w:tc>
          <w:tcPr>
            <w:tcW w:w="1285"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0970D3">
            <w:pPr>
              <w:autoSpaceDE w:val="0"/>
              <w:autoSpaceDN w:val="0"/>
              <w:adjustRightInd w:val="0"/>
              <w:snapToGrid w:val="0"/>
              <w:spacing w:line="360" w:lineRule="auto"/>
              <w:jc w:val="center"/>
              <w:rPr>
                <w:rFonts w:asciiTheme="minorEastAsia" w:hAnsiTheme="minorEastAsia" w:cs="Arial"/>
                <w:sz w:val="24"/>
                <w:szCs w:val="24"/>
              </w:rPr>
            </w:pPr>
            <w:r w:rsidRPr="00DE17CF">
              <w:rPr>
                <w:rFonts w:asciiTheme="minorEastAsia" w:hAnsiTheme="minorEastAsia" w:cs="Arial" w:hint="eastAsia"/>
                <w:sz w:val="24"/>
                <w:szCs w:val="24"/>
              </w:rPr>
              <w:t>②-④</w:t>
            </w:r>
          </w:p>
        </w:tc>
      </w:tr>
      <w:tr w:rsidR="006E3A73" w:rsidRPr="00DE17CF" w:rsidTr="006E3A73">
        <w:trPr>
          <w:trHeight w:val="4"/>
          <w:jc w:val="center"/>
        </w:trPr>
        <w:tc>
          <w:tcPr>
            <w:tcW w:w="1253" w:type="dxa"/>
            <w:tcBorders>
              <w:top w:val="single" w:sz="8" w:space="0" w:color="000000"/>
              <w:left w:val="single" w:sz="8" w:space="0" w:color="000000"/>
              <w:bottom w:val="single" w:sz="8" w:space="0" w:color="000000"/>
              <w:right w:val="single" w:sz="8" w:space="0" w:color="000000"/>
            </w:tcBorders>
            <w:vAlign w:val="center"/>
            <w:hideMark/>
          </w:tcPr>
          <w:p w:rsidR="006E3A73" w:rsidRPr="00DE17CF" w:rsidRDefault="006E3A73" w:rsidP="00103259">
            <w:pPr>
              <w:autoSpaceDE w:val="0"/>
              <w:autoSpaceDN w:val="0"/>
              <w:adjustRightInd w:val="0"/>
              <w:snapToGrid w:val="0"/>
              <w:spacing w:line="360" w:lineRule="auto"/>
              <w:rPr>
                <w:rFonts w:asciiTheme="minorEastAsia" w:hAnsiTheme="minorEastAsia" w:cs="Arial"/>
                <w:sz w:val="24"/>
                <w:szCs w:val="24"/>
              </w:rPr>
            </w:pPr>
            <w:r w:rsidRPr="00DE17CF">
              <w:rPr>
                <w:rFonts w:asciiTheme="minorEastAsia" w:hAnsiTheme="minorEastAsia" w:cs="Arial" w:hint="eastAsia"/>
                <w:sz w:val="24"/>
                <w:szCs w:val="24"/>
              </w:rPr>
              <w:t>2018.10.1~2018.12.31</w:t>
            </w:r>
          </w:p>
        </w:tc>
        <w:tc>
          <w:tcPr>
            <w:tcW w:w="1047" w:type="dxa"/>
            <w:tcBorders>
              <w:top w:val="single" w:sz="8" w:space="0" w:color="000000"/>
              <w:left w:val="single" w:sz="8" w:space="0" w:color="000000"/>
              <w:bottom w:val="single" w:sz="8" w:space="0" w:color="000000"/>
              <w:right w:val="single" w:sz="8" w:space="0" w:color="000000"/>
            </w:tcBorders>
            <w:hideMark/>
          </w:tcPr>
          <w:p w:rsidR="006E3A73" w:rsidRPr="00DE17CF" w:rsidRDefault="006E3A73" w:rsidP="00103259">
            <w:pPr>
              <w:autoSpaceDE w:val="0"/>
              <w:autoSpaceDN w:val="0"/>
              <w:adjustRightInd w:val="0"/>
              <w:snapToGrid w:val="0"/>
              <w:spacing w:line="360" w:lineRule="auto"/>
              <w:rPr>
                <w:rFonts w:asciiTheme="minorEastAsia" w:hAnsiTheme="minorEastAsia" w:cs="Arial"/>
                <w:sz w:val="24"/>
                <w:szCs w:val="24"/>
              </w:rPr>
            </w:pPr>
            <w:r w:rsidRPr="00DE17CF">
              <w:rPr>
                <w:rFonts w:asciiTheme="minorEastAsia" w:hAnsiTheme="minorEastAsia" w:cs="Arial" w:hint="eastAsia"/>
                <w:sz w:val="24"/>
                <w:szCs w:val="24"/>
              </w:rPr>
              <w:t>-1.55%</w:t>
            </w:r>
          </w:p>
        </w:tc>
        <w:tc>
          <w:tcPr>
            <w:tcW w:w="1095" w:type="dxa"/>
            <w:tcBorders>
              <w:top w:val="single" w:sz="8" w:space="0" w:color="000000"/>
              <w:left w:val="single" w:sz="8" w:space="0" w:color="000000"/>
              <w:bottom w:val="single" w:sz="8" w:space="0" w:color="000000"/>
              <w:right w:val="single" w:sz="8" w:space="0" w:color="000000"/>
            </w:tcBorders>
            <w:hideMark/>
          </w:tcPr>
          <w:p w:rsidR="006E3A73" w:rsidRPr="00DE17CF" w:rsidRDefault="006E3A73" w:rsidP="00103259">
            <w:pPr>
              <w:autoSpaceDE w:val="0"/>
              <w:autoSpaceDN w:val="0"/>
              <w:adjustRightInd w:val="0"/>
              <w:snapToGrid w:val="0"/>
              <w:spacing w:line="360" w:lineRule="auto"/>
              <w:rPr>
                <w:rFonts w:asciiTheme="minorEastAsia" w:hAnsiTheme="minorEastAsia" w:cs="Arial"/>
                <w:sz w:val="24"/>
                <w:szCs w:val="24"/>
              </w:rPr>
            </w:pPr>
            <w:r w:rsidRPr="00DE17CF">
              <w:rPr>
                <w:rFonts w:asciiTheme="minorEastAsia" w:hAnsiTheme="minorEastAsia" w:cs="Arial" w:hint="eastAsia"/>
                <w:sz w:val="24"/>
                <w:szCs w:val="24"/>
              </w:rPr>
              <w:t>0.19%</w:t>
            </w:r>
          </w:p>
        </w:tc>
        <w:tc>
          <w:tcPr>
            <w:tcW w:w="1286" w:type="dxa"/>
            <w:tcBorders>
              <w:top w:val="single" w:sz="8" w:space="0" w:color="000000"/>
              <w:left w:val="single" w:sz="8" w:space="0" w:color="000000"/>
              <w:bottom w:val="single" w:sz="8" w:space="0" w:color="000000"/>
              <w:right w:val="single" w:sz="8" w:space="0" w:color="000000"/>
            </w:tcBorders>
            <w:hideMark/>
          </w:tcPr>
          <w:p w:rsidR="006E3A73" w:rsidRPr="00DE17CF" w:rsidRDefault="006E3A73" w:rsidP="00103259">
            <w:pPr>
              <w:autoSpaceDE w:val="0"/>
              <w:autoSpaceDN w:val="0"/>
              <w:adjustRightInd w:val="0"/>
              <w:snapToGrid w:val="0"/>
              <w:spacing w:line="360" w:lineRule="auto"/>
              <w:rPr>
                <w:rFonts w:asciiTheme="minorEastAsia" w:hAnsiTheme="minorEastAsia" w:cs="Arial"/>
                <w:sz w:val="24"/>
                <w:szCs w:val="24"/>
              </w:rPr>
            </w:pPr>
            <w:r w:rsidRPr="00DE17CF">
              <w:rPr>
                <w:rFonts w:asciiTheme="minorEastAsia" w:hAnsiTheme="minorEastAsia" w:cs="Arial" w:hint="eastAsia"/>
                <w:sz w:val="24"/>
                <w:szCs w:val="24"/>
              </w:rPr>
              <w:t>-1.79%</w:t>
            </w:r>
          </w:p>
        </w:tc>
        <w:tc>
          <w:tcPr>
            <w:tcW w:w="1285" w:type="dxa"/>
            <w:tcBorders>
              <w:top w:val="single" w:sz="8" w:space="0" w:color="000000"/>
              <w:left w:val="single" w:sz="8" w:space="0" w:color="000000"/>
              <w:bottom w:val="single" w:sz="8" w:space="0" w:color="000000"/>
              <w:right w:val="single" w:sz="8" w:space="0" w:color="000000"/>
            </w:tcBorders>
            <w:hideMark/>
          </w:tcPr>
          <w:p w:rsidR="006E3A73" w:rsidRPr="00DE17CF" w:rsidRDefault="006E3A73" w:rsidP="00103259">
            <w:pPr>
              <w:autoSpaceDE w:val="0"/>
              <w:autoSpaceDN w:val="0"/>
              <w:adjustRightInd w:val="0"/>
              <w:snapToGrid w:val="0"/>
              <w:spacing w:line="360" w:lineRule="auto"/>
              <w:rPr>
                <w:rFonts w:asciiTheme="minorEastAsia" w:hAnsiTheme="minorEastAsia" w:cs="Arial"/>
                <w:sz w:val="24"/>
                <w:szCs w:val="24"/>
              </w:rPr>
            </w:pPr>
            <w:r w:rsidRPr="00DE17CF">
              <w:rPr>
                <w:rFonts w:asciiTheme="minorEastAsia" w:hAnsiTheme="minorEastAsia" w:cs="Arial" w:hint="eastAsia"/>
                <w:sz w:val="24"/>
                <w:szCs w:val="24"/>
              </w:rPr>
              <w:t>0.49%</w:t>
            </w:r>
          </w:p>
        </w:tc>
        <w:tc>
          <w:tcPr>
            <w:tcW w:w="1051" w:type="dxa"/>
            <w:tcBorders>
              <w:top w:val="single" w:sz="8" w:space="0" w:color="000000"/>
              <w:left w:val="single" w:sz="8" w:space="0" w:color="000000"/>
              <w:bottom w:val="single" w:sz="8" w:space="0" w:color="000000"/>
              <w:right w:val="single" w:sz="8" w:space="0" w:color="000000"/>
            </w:tcBorders>
            <w:hideMark/>
          </w:tcPr>
          <w:p w:rsidR="006E3A73" w:rsidRPr="00DE17CF" w:rsidRDefault="006E3A73" w:rsidP="00103259">
            <w:pPr>
              <w:autoSpaceDE w:val="0"/>
              <w:autoSpaceDN w:val="0"/>
              <w:adjustRightInd w:val="0"/>
              <w:snapToGrid w:val="0"/>
              <w:spacing w:line="360" w:lineRule="auto"/>
              <w:rPr>
                <w:rFonts w:asciiTheme="minorEastAsia" w:hAnsiTheme="minorEastAsia" w:cs="Arial"/>
                <w:sz w:val="24"/>
                <w:szCs w:val="24"/>
              </w:rPr>
            </w:pPr>
            <w:r w:rsidRPr="00DE17CF">
              <w:rPr>
                <w:rFonts w:asciiTheme="minorEastAsia" w:hAnsiTheme="minorEastAsia" w:cs="Arial" w:hint="eastAsia"/>
                <w:sz w:val="24"/>
                <w:szCs w:val="24"/>
              </w:rPr>
              <w:t>0.24%</w:t>
            </w:r>
          </w:p>
        </w:tc>
        <w:tc>
          <w:tcPr>
            <w:tcW w:w="1285" w:type="dxa"/>
            <w:tcBorders>
              <w:top w:val="single" w:sz="8" w:space="0" w:color="000000"/>
              <w:left w:val="single" w:sz="8" w:space="0" w:color="000000"/>
              <w:bottom w:val="single" w:sz="8" w:space="0" w:color="000000"/>
              <w:right w:val="single" w:sz="8" w:space="0" w:color="000000"/>
            </w:tcBorders>
            <w:hideMark/>
          </w:tcPr>
          <w:p w:rsidR="006E3A73" w:rsidRPr="00DE17CF" w:rsidRDefault="006E3A73" w:rsidP="00103259">
            <w:pPr>
              <w:autoSpaceDE w:val="0"/>
              <w:autoSpaceDN w:val="0"/>
              <w:adjustRightInd w:val="0"/>
              <w:snapToGrid w:val="0"/>
              <w:spacing w:line="360" w:lineRule="auto"/>
              <w:rPr>
                <w:rFonts w:asciiTheme="minorEastAsia" w:hAnsiTheme="minorEastAsia" w:cs="Arial"/>
                <w:sz w:val="24"/>
                <w:szCs w:val="24"/>
              </w:rPr>
            </w:pPr>
            <w:r w:rsidRPr="00DE17CF">
              <w:rPr>
                <w:rFonts w:asciiTheme="minorEastAsia" w:hAnsiTheme="minorEastAsia" w:cs="Arial" w:hint="eastAsia"/>
                <w:sz w:val="24"/>
                <w:szCs w:val="24"/>
              </w:rPr>
              <w:t>-0.30%</w:t>
            </w:r>
          </w:p>
        </w:tc>
      </w:tr>
      <w:tr w:rsidR="006E3A73" w:rsidRPr="00DE17CF" w:rsidTr="006E3A73">
        <w:trPr>
          <w:trHeight w:val="4"/>
          <w:jc w:val="center"/>
        </w:trPr>
        <w:tc>
          <w:tcPr>
            <w:tcW w:w="1253"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103259">
            <w:pPr>
              <w:autoSpaceDE w:val="0"/>
              <w:autoSpaceDN w:val="0"/>
              <w:adjustRightInd w:val="0"/>
              <w:snapToGrid w:val="0"/>
              <w:spacing w:line="360" w:lineRule="auto"/>
              <w:rPr>
                <w:rFonts w:asciiTheme="minorEastAsia" w:hAnsiTheme="minorEastAsia" w:cs="Arial"/>
                <w:sz w:val="24"/>
                <w:szCs w:val="24"/>
              </w:rPr>
            </w:pPr>
            <w:r w:rsidRPr="00DE17CF">
              <w:rPr>
                <w:rFonts w:asciiTheme="minorEastAsia" w:hAnsiTheme="minorEastAsia" w:cs="Arial" w:hint="eastAsia"/>
                <w:sz w:val="24"/>
                <w:szCs w:val="24"/>
              </w:rPr>
              <w:t>2018.2.13~2018.12.31</w:t>
            </w:r>
          </w:p>
        </w:tc>
        <w:tc>
          <w:tcPr>
            <w:tcW w:w="1047"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103259">
            <w:pPr>
              <w:autoSpaceDE w:val="0"/>
              <w:autoSpaceDN w:val="0"/>
              <w:adjustRightInd w:val="0"/>
              <w:snapToGrid w:val="0"/>
              <w:spacing w:line="360" w:lineRule="auto"/>
              <w:rPr>
                <w:rFonts w:asciiTheme="minorEastAsia" w:hAnsiTheme="minorEastAsia" w:cs="Arial"/>
                <w:sz w:val="24"/>
                <w:szCs w:val="24"/>
              </w:rPr>
            </w:pPr>
            <w:r w:rsidRPr="00DE17CF">
              <w:rPr>
                <w:rFonts w:asciiTheme="minorEastAsia" w:hAnsiTheme="minorEastAsia" w:cs="Arial" w:hint="eastAsia"/>
                <w:sz w:val="24"/>
                <w:szCs w:val="24"/>
              </w:rPr>
              <w:t>-0.83%</w:t>
            </w:r>
          </w:p>
        </w:tc>
        <w:tc>
          <w:tcPr>
            <w:tcW w:w="1095"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103259">
            <w:pPr>
              <w:autoSpaceDE w:val="0"/>
              <w:autoSpaceDN w:val="0"/>
              <w:adjustRightInd w:val="0"/>
              <w:snapToGrid w:val="0"/>
              <w:spacing w:line="360" w:lineRule="auto"/>
              <w:rPr>
                <w:rFonts w:asciiTheme="minorEastAsia" w:hAnsiTheme="minorEastAsia" w:cs="Arial"/>
                <w:sz w:val="24"/>
                <w:szCs w:val="24"/>
              </w:rPr>
            </w:pPr>
            <w:r w:rsidRPr="00DE17CF">
              <w:rPr>
                <w:rFonts w:asciiTheme="minorEastAsia" w:hAnsiTheme="minorEastAsia" w:cs="Arial" w:hint="eastAsia"/>
                <w:sz w:val="24"/>
                <w:szCs w:val="24"/>
              </w:rPr>
              <w:t>0.26%</w:t>
            </w:r>
          </w:p>
        </w:tc>
        <w:tc>
          <w:tcPr>
            <w:tcW w:w="1286"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103259">
            <w:pPr>
              <w:autoSpaceDE w:val="0"/>
              <w:autoSpaceDN w:val="0"/>
              <w:adjustRightInd w:val="0"/>
              <w:snapToGrid w:val="0"/>
              <w:spacing w:line="360" w:lineRule="auto"/>
              <w:rPr>
                <w:rFonts w:asciiTheme="minorEastAsia" w:hAnsiTheme="minorEastAsia" w:cs="Arial"/>
                <w:sz w:val="24"/>
                <w:szCs w:val="24"/>
              </w:rPr>
            </w:pPr>
            <w:r w:rsidRPr="00DE17CF">
              <w:rPr>
                <w:rFonts w:asciiTheme="minorEastAsia" w:hAnsiTheme="minorEastAsia" w:cs="Arial" w:hint="eastAsia"/>
                <w:sz w:val="24"/>
                <w:szCs w:val="24"/>
              </w:rPr>
              <w:t>-1.77%</w:t>
            </w:r>
          </w:p>
        </w:tc>
        <w:tc>
          <w:tcPr>
            <w:tcW w:w="1285"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103259">
            <w:pPr>
              <w:autoSpaceDE w:val="0"/>
              <w:autoSpaceDN w:val="0"/>
              <w:adjustRightInd w:val="0"/>
              <w:snapToGrid w:val="0"/>
              <w:spacing w:line="360" w:lineRule="auto"/>
              <w:rPr>
                <w:rFonts w:asciiTheme="minorEastAsia" w:hAnsiTheme="minorEastAsia" w:cs="Arial"/>
                <w:sz w:val="24"/>
                <w:szCs w:val="24"/>
              </w:rPr>
            </w:pPr>
            <w:r w:rsidRPr="00DE17CF">
              <w:rPr>
                <w:rFonts w:asciiTheme="minorEastAsia" w:hAnsiTheme="minorEastAsia" w:cs="Arial" w:hint="eastAsia"/>
                <w:sz w:val="24"/>
                <w:szCs w:val="24"/>
              </w:rPr>
              <w:t>0.40%</w:t>
            </w:r>
          </w:p>
        </w:tc>
        <w:tc>
          <w:tcPr>
            <w:tcW w:w="1051"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103259">
            <w:pPr>
              <w:autoSpaceDE w:val="0"/>
              <w:autoSpaceDN w:val="0"/>
              <w:adjustRightInd w:val="0"/>
              <w:snapToGrid w:val="0"/>
              <w:spacing w:line="360" w:lineRule="auto"/>
              <w:rPr>
                <w:rFonts w:asciiTheme="minorEastAsia" w:hAnsiTheme="minorEastAsia" w:cs="Arial"/>
                <w:sz w:val="24"/>
                <w:szCs w:val="24"/>
              </w:rPr>
            </w:pPr>
            <w:r w:rsidRPr="00DE17CF">
              <w:rPr>
                <w:rFonts w:asciiTheme="minorEastAsia" w:hAnsiTheme="minorEastAsia" w:cs="Arial" w:hint="eastAsia"/>
                <w:sz w:val="24"/>
                <w:szCs w:val="24"/>
              </w:rPr>
              <w:t>0.94%</w:t>
            </w:r>
          </w:p>
        </w:tc>
        <w:tc>
          <w:tcPr>
            <w:tcW w:w="1285"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103259">
            <w:pPr>
              <w:autoSpaceDE w:val="0"/>
              <w:autoSpaceDN w:val="0"/>
              <w:adjustRightInd w:val="0"/>
              <w:snapToGrid w:val="0"/>
              <w:spacing w:line="360" w:lineRule="auto"/>
              <w:rPr>
                <w:rFonts w:asciiTheme="minorEastAsia" w:hAnsiTheme="minorEastAsia" w:cs="Arial"/>
                <w:sz w:val="24"/>
                <w:szCs w:val="24"/>
              </w:rPr>
            </w:pPr>
            <w:r w:rsidRPr="00DE17CF">
              <w:rPr>
                <w:rFonts w:asciiTheme="minorEastAsia" w:hAnsiTheme="minorEastAsia" w:cs="Arial" w:hint="eastAsia"/>
                <w:sz w:val="24"/>
                <w:szCs w:val="24"/>
              </w:rPr>
              <w:t>-0.14%</w:t>
            </w:r>
          </w:p>
        </w:tc>
      </w:tr>
    </w:tbl>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注：本基金的业绩比较基准为：中</w:t>
      </w:r>
      <w:proofErr w:type="gramStart"/>
      <w:r w:rsidRPr="00DE17CF">
        <w:rPr>
          <w:rFonts w:asciiTheme="minorEastAsia" w:hAnsiTheme="minorEastAsia" w:cs="Arial" w:hint="eastAsia"/>
          <w:sz w:val="24"/>
          <w:szCs w:val="24"/>
        </w:rPr>
        <w:t>证全债指数</w:t>
      </w:r>
      <w:proofErr w:type="gramEnd"/>
      <w:r w:rsidRPr="00DE17CF">
        <w:rPr>
          <w:rFonts w:asciiTheme="minorEastAsia" w:hAnsiTheme="minorEastAsia" w:cs="Arial" w:hint="eastAsia"/>
          <w:sz w:val="24"/>
          <w:szCs w:val="24"/>
        </w:rPr>
        <w:t xml:space="preserve">收益率×70%+沪深300指数收益率×30%。 </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（2）富荣福</w:t>
      </w:r>
      <w:proofErr w:type="gramStart"/>
      <w:r w:rsidRPr="00DE17CF">
        <w:rPr>
          <w:rFonts w:asciiTheme="minorEastAsia" w:hAnsiTheme="minorEastAsia" w:cs="Arial" w:hint="eastAsia"/>
          <w:sz w:val="24"/>
          <w:szCs w:val="24"/>
        </w:rPr>
        <w:t>鑫</w:t>
      </w:r>
      <w:proofErr w:type="gramEnd"/>
      <w:r w:rsidRPr="00DE17CF">
        <w:rPr>
          <w:rFonts w:asciiTheme="minorEastAsia" w:hAnsiTheme="minorEastAsia" w:cs="Arial" w:hint="eastAsia"/>
          <w:sz w:val="24"/>
          <w:szCs w:val="24"/>
        </w:rPr>
        <w:t>混合C（基金代码：004795）</w:t>
      </w:r>
    </w:p>
    <w:tbl>
      <w:tblPr>
        <w:tblW w:w="8760" w:type="dxa"/>
        <w:jc w:val="center"/>
        <w:tblLayout w:type="fixed"/>
        <w:tblLook w:val="04A0" w:firstRow="1" w:lastRow="0" w:firstColumn="1" w:lastColumn="0" w:noHBand="0" w:noVBand="1"/>
      </w:tblPr>
      <w:tblGrid>
        <w:gridCol w:w="1305"/>
        <w:gridCol w:w="1179"/>
        <w:gridCol w:w="1183"/>
        <w:gridCol w:w="1275"/>
        <w:gridCol w:w="1327"/>
        <w:gridCol w:w="1065"/>
        <w:gridCol w:w="1426"/>
      </w:tblGrid>
      <w:tr w:rsidR="006E3A73" w:rsidRPr="00DE17CF" w:rsidTr="006E3A73">
        <w:trPr>
          <w:trHeight w:val="1112"/>
          <w:jc w:val="center"/>
        </w:trPr>
        <w:tc>
          <w:tcPr>
            <w:tcW w:w="1305"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0970D3">
            <w:pPr>
              <w:autoSpaceDE w:val="0"/>
              <w:autoSpaceDN w:val="0"/>
              <w:adjustRightInd w:val="0"/>
              <w:snapToGrid w:val="0"/>
              <w:spacing w:line="360" w:lineRule="auto"/>
              <w:jc w:val="center"/>
              <w:rPr>
                <w:rFonts w:asciiTheme="minorEastAsia" w:hAnsiTheme="minorEastAsia" w:cs="Arial"/>
                <w:sz w:val="24"/>
                <w:szCs w:val="24"/>
              </w:rPr>
            </w:pPr>
            <w:r w:rsidRPr="00DE17CF">
              <w:rPr>
                <w:rFonts w:asciiTheme="minorEastAsia" w:hAnsiTheme="minorEastAsia" w:cs="Arial" w:hint="eastAsia"/>
                <w:sz w:val="24"/>
                <w:szCs w:val="24"/>
              </w:rPr>
              <w:lastRenderedPageBreak/>
              <w:t>阶段</w:t>
            </w:r>
          </w:p>
        </w:tc>
        <w:tc>
          <w:tcPr>
            <w:tcW w:w="1180"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103259">
            <w:pPr>
              <w:autoSpaceDE w:val="0"/>
              <w:autoSpaceDN w:val="0"/>
              <w:adjustRightInd w:val="0"/>
              <w:snapToGrid w:val="0"/>
              <w:spacing w:line="360" w:lineRule="auto"/>
              <w:rPr>
                <w:rFonts w:asciiTheme="minorEastAsia" w:hAnsiTheme="minorEastAsia" w:cs="Arial"/>
                <w:sz w:val="24"/>
                <w:szCs w:val="24"/>
              </w:rPr>
            </w:pPr>
            <w:r w:rsidRPr="00DE17CF">
              <w:rPr>
                <w:rFonts w:asciiTheme="minorEastAsia" w:hAnsiTheme="minorEastAsia" w:cs="Arial" w:hint="eastAsia"/>
                <w:sz w:val="24"/>
                <w:szCs w:val="24"/>
              </w:rPr>
              <w:t>净值增长率①</w:t>
            </w:r>
          </w:p>
        </w:tc>
        <w:tc>
          <w:tcPr>
            <w:tcW w:w="1184"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103259">
            <w:pPr>
              <w:autoSpaceDE w:val="0"/>
              <w:autoSpaceDN w:val="0"/>
              <w:adjustRightInd w:val="0"/>
              <w:snapToGrid w:val="0"/>
              <w:spacing w:line="360" w:lineRule="auto"/>
              <w:rPr>
                <w:rFonts w:asciiTheme="minorEastAsia" w:hAnsiTheme="minorEastAsia" w:cs="Arial"/>
                <w:sz w:val="24"/>
                <w:szCs w:val="24"/>
              </w:rPr>
            </w:pPr>
            <w:r w:rsidRPr="00DE17CF">
              <w:rPr>
                <w:rFonts w:asciiTheme="minorEastAsia" w:hAnsiTheme="minorEastAsia" w:cs="Arial" w:hint="eastAsia"/>
                <w:sz w:val="24"/>
                <w:szCs w:val="24"/>
              </w:rPr>
              <w:t>净值增长率标准差②</w:t>
            </w:r>
          </w:p>
        </w:tc>
        <w:tc>
          <w:tcPr>
            <w:tcW w:w="1276"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103259">
            <w:pPr>
              <w:autoSpaceDE w:val="0"/>
              <w:autoSpaceDN w:val="0"/>
              <w:adjustRightInd w:val="0"/>
              <w:snapToGrid w:val="0"/>
              <w:spacing w:line="360" w:lineRule="auto"/>
              <w:rPr>
                <w:rFonts w:asciiTheme="minorEastAsia" w:hAnsiTheme="minorEastAsia" w:cs="Arial"/>
                <w:sz w:val="24"/>
                <w:szCs w:val="24"/>
              </w:rPr>
            </w:pPr>
            <w:r w:rsidRPr="00DE17CF">
              <w:rPr>
                <w:rFonts w:asciiTheme="minorEastAsia" w:hAnsiTheme="minorEastAsia" w:cs="Arial" w:hint="eastAsia"/>
                <w:sz w:val="24"/>
                <w:szCs w:val="24"/>
              </w:rPr>
              <w:t>业绩比较基准收益率③</w:t>
            </w:r>
          </w:p>
        </w:tc>
        <w:tc>
          <w:tcPr>
            <w:tcW w:w="1328"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103259">
            <w:pPr>
              <w:autoSpaceDE w:val="0"/>
              <w:autoSpaceDN w:val="0"/>
              <w:adjustRightInd w:val="0"/>
              <w:snapToGrid w:val="0"/>
              <w:spacing w:line="360" w:lineRule="auto"/>
              <w:rPr>
                <w:rFonts w:asciiTheme="minorEastAsia" w:hAnsiTheme="minorEastAsia" w:cs="Arial"/>
                <w:sz w:val="24"/>
                <w:szCs w:val="24"/>
              </w:rPr>
            </w:pPr>
            <w:r w:rsidRPr="00DE17CF">
              <w:rPr>
                <w:rFonts w:asciiTheme="minorEastAsia" w:hAnsiTheme="minorEastAsia" w:cs="Arial" w:hint="eastAsia"/>
                <w:sz w:val="24"/>
                <w:szCs w:val="24"/>
              </w:rPr>
              <w:t>业绩比较基准收益率标准差④</w:t>
            </w:r>
          </w:p>
        </w:tc>
        <w:tc>
          <w:tcPr>
            <w:tcW w:w="1066"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103259">
            <w:pPr>
              <w:autoSpaceDE w:val="0"/>
              <w:autoSpaceDN w:val="0"/>
              <w:adjustRightInd w:val="0"/>
              <w:snapToGrid w:val="0"/>
              <w:spacing w:line="360" w:lineRule="auto"/>
              <w:jc w:val="center"/>
              <w:rPr>
                <w:rFonts w:asciiTheme="minorEastAsia" w:hAnsiTheme="minorEastAsia" w:cs="Arial"/>
                <w:sz w:val="24"/>
                <w:szCs w:val="24"/>
              </w:rPr>
            </w:pPr>
            <w:r w:rsidRPr="00DE17CF">
              <w:rPr>
                <w:rFonts w:asciiTheme="minorEastAsia" w:hAnsiTheme="minorEastAsia" w:cs="Arial" w:hint="eastAsia"/>
                <w:sz w:val="24"/>
                <w:szCs w:val="24"/>
              </w:rPr>
              <w:t>①-③</w:t>
            </w:r>
          </w:p>
        </w:tc>
        <w:tc>
          <w:tcPr>
            <w:tcW w:w="1427"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103259">
            <w:pPr>
              <w:autoSpaceDE w:val="0"/>
              <w:autoSpaceDN w:val="0"/>
              <w:adjustRightInd w:val="0"/>
              <w:snapToGrid w:val="0"/>
              <w:spacing w:line="360" w:lineRule="auto"/>
              <w:jc w:val="center"/>
              <w:rPr>
                <w:rFonts w:asciiTheme="minorEastAsia" w:hAnsiTheme="minorEastAsia" w:cs="Arial"/>
                <w:sz w:val="24"/>
                <w:szCs w:val="24"/>
              </w:rPr>
            </w:pPr>
            <w:r w:rsidRPr="00DE17CF">
              <w:rPr>
                <w:rFonts w:asciiTheme="minorEastAsia" w:hAnsiTheme="minorEastAsia" w:cs="Arial" w:hint="eastAsia"/>
                <w:sz w:val="24"/>
                <w:szCs w:val="24"/>
              </w:rPr>
              <w:t>②-④</w:t>
            </w:r>
          </w:p>
        </w:tc>
      </w:tr>
      <w:tr w:rsidR="006E3A73" w:rsidRPr="00DE17CF" w:rsidTr="006E3A73">
        <w:trPr>
          <w:trHeight w:val="751"/>
          <w:jc w:val="center"/>
        </w:trPr>
        <w:tc>
          <w:tcPr>
            <w:tcW w:w="1305" w:type="dxa"/>
            <w:tcBorders>
              <w:top w:val="single" w:sz="8" w:space="0" w:color="000000"/>
              <w:left w:val="single" w:sz="8" w:space="0" w:color="000000"/>
              <w:bottom w:val="single" w:sz="8" w:space="0" w:color="000000"/>
              <w:right w:val="single" w:sz="8" w:space="0" w:color="000000"/>
            </w:tcBorders>
            <w:vAlign w:val="center"/>
            <w:hideMark/>
          </w:tcPr>
          <w:p w:rsidR="006E3A73" w:rsidRPr="00DE17CF" w:rsidRDefault="006E3A73" w:rsidP="00103259">
            <w:pPr>
              <w:autoSpaceDE w:val="0"/>
              <w:autoSpaceDN w:val="0"/>
              <w:adjustRightInd w:val="0"/>
              <w:snapToGrid w:val="0"/>
              <w:spacing w:line="360" w:lineRule="auto"/>
              <w:rPr>
                <w:rFonts w:asciiTheme="minorEastAsia" w:hAnsiTheme="minorEastAsia" w:cs="Arial"/>
                <w:sz w:val="24"/>
                <w:szCs w:val="24"/>
              </w:rPr>
            </w:pPr>
            <w:r w:rsidRPr="00DE17CF">
              <w:rPr>
                <w:rFonts w:asciiTheme="minorEastAsia" w:hAnsiTheme="minorEastAsia" w:cs="Arial" w:hint="eastAsia"/>
                <w:sz w:val="24"/>
                <w:szCs w:val="24"/>
              </w:rPr>
              <w:t>2018.10.1~2018.12.31</w:t>
            </w:r>
          </w:p>
        </w:tc>
        <w:tc>
          <w:tcPr>
            <w:tcW w:w="1180" w:type="dxa"/>
            <w:tcBorders>
              <w:top w:val="single" w:sz="8" w:space="0" w:color="000000"/>
              <w:left w:val="single" w:sz="8" w:space="0" w:color="000000"/>
              <w:bottom w:val="single" w:sz="8" w:space="0" w:color="000000"/>
              <w:right w:val="single" w:sz="8" w:space="0" w:color="000000"/>
            </w:tcBorders>
            <w:vAlign w:val="center"/>
            <w:hideMark/>
          </w:tcPr>
          <w:p w:rsidR="006E3A73" w:rsidRPr="00DE17CF" w:rsidRDefault="006E3A73" w:rsidP="00103259">
            <w:pPr>
              <w:autoSpaceDE w:val="0"/>
              <w:autoSpaceDN w:val="0"/>
              <w:adjustRightInd w:val="0"/>
              <w:snapToGrid w:val="0"/>
              <w:spacing w:line="360" w:lineRule="auto"/>
              <w:rPr>
                <w:rFonts w:asciiTheme="minorEastAsia" w:hAnsiTheme="minorEastAsia" w:cs="Arial"/>
                <w:sz w:val="24"/>
                <w:szCs w:val="24"/>
              </w:rPr>
            </w:pPr>
            <w:r w:rsidRPr="00DE17CF">
              <w:rPr>
                <w:rFonts w:asciiTheme="minorEastAsia" w:hAnsiTheme="minorEastAsia" w:cs="Arial" w:hint="eastAsia"/>
                <w:sz w:val="24"/>
                <w:szCs w:val="24"/>
              </w:rPr>
              <w:t>-1.58%</w:t>
            </w:r>
          </w:p>
        </w:tc>
        <w:tc>
          <w:tcPr>
            <w:tcW w:w="1184" w:type="dxa"/>
            <w:tcBorders>
              <w:top w:val="single" w:sz="8" w:space="0" w:color="000000"/>
              <w:left w:val="single" w:sz="8" w:space="0" w:color="000000"/>
              <w:bottom w:val="single" w:sz="8" w:space="0" w:color="000000"/>
              <w:right w:val="single" w:sz="8" w:space="0" w:color="000000"/>
            </w:tcBorders>
            <w:vAlign w:val="center"/>
            <w:hideMark/>
          </w:tcPr>
          <w:p w:rsidR="006E3A73" w:rsidRPr="00DE17CF" w:rsidRDefault="006E3A73" w:rsidP="00103259">
            <w:pPr>
              <w:autoSpaceDE w:val="0"/>
              <w:autoSpaceDN w:val="0"/>
              <w:adjustRightInd w:val="0"/>
              <w:snapToGrid w:val="0"/>
              <w:spacing w:line="360" w:lineRule="auto"/>
              <w:rPr>
                <w:rFonts w:asciiTheme="minorEastAsia" w:hAnsiTheme="minorEastAsia" w:cs="Arial"/>
                <w:sz w:val="24"/>
                <w:szCs w:val="24"/>
              </w:rPr>
            </w:pPr>
            <w:r w:rsidRPr="00DE17CF">
              <w:rPr>
                <w:rFonts w:asciiTheme="minorEastAsia" w:hAnsiTheme="minorEastAsia" w:cs="Arial" w:hint="eastAsia"/>
                <w:sz w:val="24"/>
                <w:szCs w:val="24"/>
              </w:rPr>
              <w:t>0.19%</w:t>
            </w:r>
          </w:p>
        </w:tc>
        <w:tc>
          <w:tcPr>
            <w:tcW w:w="1276" w:type="dxa"/>
            <w:tcBorders>
              <w:top w:val="single" w:sz="8" w:space="0" w:color="000000"/>
              <w:left w:val="single" w:sz="8" w:space="0" w:color="000000"/>
              <w:bottom w:val="single" w:sz="8" w:space="0" w:color="000000"/>
              <w:right w:val="single" w:sz="8" w:space="0" w:color="000000"/>
            </w:tcBorders>
            <w:vAlign w:val="center"/>
            <w:hideMark/>
          </w:tcPr>
          <w:p w:rsidR="006E3A73" w:rsidRPr="00DE17CF" w:rsidRDefault="006E3A73" w:rsidP="00103259">
            <w:pPr>
              <w:autoSpaceDE w:val="0"/>
              <w:autoSpaceDN w:val="0"/>
              <w:adjustRightInd w:val="0"/>
              <w:snapToGrid w:val="0"/>
              <w:spacing w:line="360" w:lineRule="auto"/>
              <w:rPr>
                <w:rFonts w:asciiTheme="minorEastAsia" w:hAnsiTheme="minorEastAsia" w:cs="Arial"/>
                <w:sz w:val="24"/>
                <w:szCs w:val="24"/>
              </w:rPr>
            </w:pPr>
            <w:r w:rsidRPr="00DE17CF">
              <w:rPr>
                <w:rFonts w:asciiTheme="minorEastAsia" w:hAnsiTheme="minorEastAsia" w:cs="Arial" w:hint="eastAsia"/>
                <w:sz w:val="24"/>
                <w:szCs w:val="24"/>
              </w:rPr>
              <w:t>-1.79%</w:t>
            </w:r>
          </w:p>
        </w:tc>
        <w:tc>
          <w:tcPr>
            <w:tcW w:w="1328" w:type="dxa"/>
            <w:tcBorders>
              <w:top w:val="single" w:sz="8" w:space="0" w:color="000000"/>
              <w:left w:val="single" w:sz="8" w:space="0" w:color="000000"/>
              <w:bottom w:val="single" w:sz="8" w:space="0" w:color="000000"/>
              <w:right w:val="single" w:sz="8" w:space="0" w:color="000000"/>
            </w:tcBorders>
            <w:vAlign w:val="center"/>
            <w:hideMark/>
          </w:tcPr>
          <w:p w:rsidR="006E3A73" w:rsidRPr="00DE17CF" w:rsidRDefault="006E3A73" w:rsidP="00103259">
            <w:pPr>
              <w:autoSpaceDE w:val="0"/>
              <w:autoSpaceDN w:val="0"/>
              <w:adjustRightInd w:val="0"/>
              <w:snapToGrid w:val="0"/>
              <w:spacing w:line="360" w:lineRule="auto"/>
              <w:rPr>
                <w:rFonts w:asciiTheme="minorEastAsia" w:hAnsiTheme="minorEastAsia" w:cs="Arial"/>
                <w:sz w:val="24"/>
                <w:szCs w:val="24"/>
              </w:rPr>
            </w:pPr>
            <w:r w:rsidRPr="00DE17CF">
              <w:rPr>
                <w:rFonts w:asciiTheme="minorEastAsia" w:hAnsiTheme="minorEastAsia" w:cs="Arial" w:hint="eastAsia"/>
                <w:sz w:val="24"/>
                <w:szCs w:val="24"/>
              </w:rPr>
              <w:t>0.49%</w:t>
            </w:r>
          </w:p>
        </w:tc>
        <w:tc>
          <w:tcPr>
            <w:tcW w:w="1066" w:type="dxa"/>
            <w:tcBorders>
              <w:top w:val="single" w:sz="8" w:space="0" w:color="000000"/>
              <w:left w:val="single" w:sz="8" w:space="0" w:color="000000"/>
              <w:bottom w:val="single" w:sz="8" w:space="0" w:color="000000"/>
              <w:right w:val="single" w:sz="8" w:space="0" w:color="000000"/>
            </w:tcBorders>
            <w:vAlign w:val="center"/>
            <w:hideMark/>
          </w:tcPr>
          <w:p w:rsidR="006E3A73" w:rsidRPr="00DE17CF" w:rsidRDefault="006E3A73" w:rsidP="00103259">
            <w:pPr>
              <w:autoSpaceDE w:val="0"/>
              <w:autoSpaceDN w:val="0"/>
              <w:adjustRightInd w:val="0"/>
              <w:snapToGrid w:val="0"/>
              <w:spacing w:line="360" w:lineRule="auto"/>
              <w:rPr>
                <w:rFonts w:asciiTheme="minorEastAsia" w:hAnsiTheme="minorEastAsia" w:cs="Arial"/>
                <w:sz w:val="24"/>
                <w:szCs w:val="24"/>
              </w:rPr>
            </w:pPr>
            <w:r w:rsidRPr="00DE17CF">
              <w:rPr>
                <w:rFonts w:asciiTheme="minorEastAsia" w:hAnsiTheme="minorEastAsia" w:cs="Arial" w:hint="eastAsia"/>
                <w:sz w:val="24"/>
                <w:szCs w:val="24"/>
              </w:rPr>
              <w:t>0.21%</w:t>
            </w:r>
          </w:p>
        </w:tc>
        <w:tc>
          <w:tcPr>
            <w:tcW w:w="1427" w:type="dxa"/>
            <w:tcBorders>
              <w:top w:val="single" w:sz="8" w:space="0" w:color="000000"/>
              <w:left w:val="single" w:sz="8" w:space="0" w:color="000000"/>
              <w:bottom w:val="single" w:sz="8" w:space="0" w:color="000000"/>
              <w:right w:val="single" w:sz="8" w:space="0" w:color="000000"/>
            </w:tcBorders>
            <w:vAlign w:val="center"/>
            <w:hideMark/>
          </w:tcPr>
          <w:p w:rsidR="006E3A73" w:rsidRPr="00DE17CF" w:rsidRDefault="006E3A73" w:rsidP="00103259">
            <w:pPr>
              <w:autoSpaceDE w:val="0"/>
              <w:autoSpaceDN w:val="0"/>
              <w:adjustRightInd w:val="0"/>
              <w:snapToGrid w:val="0"/>
              <w:spacing w:line="360" w:lineRule="auto"/>
              <w:rPr>
                <w:rFonts w:asciiTheme="minorEastAsia" w:hAnsiTheme="minorEastAsia" w:cs="Arial"/>
                <w:sz w:val="24"/>
                <w:szCs w:val="24"/>
              </w:rPr>
            </w:pPr>
            <w:r w:rsidRPr="00DE17CF">
              <w:rPr>
                <w:rFonts w:asciiTheme="minorEastAsia" w:hAnsiTheme="minorEastAsia" w:cs="Arial" w:hint="eastAsia"/>
                <w:sz w:val="24"/>
                <w:szCs w:val="24"/>
              </w:rPr>
              <w:t>-0.30%</w:t>
            </w:r>
          </w:p>
        </w:tc>
      </w:tr>
      <w:tr w:rsidR="006E3A73" w:rsidRPr="00DE17CF" w:rsidTr="006E3A73">
        <w:trPr>
          <w:trHeight w:val="765"/>
          <w:jc w:val="center"/>
        </w:trPr>
        <w:tc>
          <w:tcPr>
            <w:tcW w:w="1305"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103259">
            <w:pPr>
              <w:autoSpaceDE w:val="0"/>
              <w:autoSpaceDN w:val="0"/>
              <w:adjustRightInd w:val="0"/>
              <w:snapToGrid w:val="0"/>
              <w:spacing w:line="360" w:lineRule="auto"/>
              <w:rPr>
                <w:rFonts w:asciiTheme="minorEastAsia" w:hAnsiTheme="minorEastAsia" w:cs="Arial"/>
                <w:sz w:val="24"/>
                <w:szCs w:val="24"/>
              </w:rPr>
            </w:pPr>
            <w:r w:rsidRPr="00DE17CF">
              <w:rPr>
                <w:rFonts w:asciiTheme="minorEastAsia" w:hAnsiTheme="minorEastAsia" w:cs="Arial" w:hint="eastAsia"/>
                <w:sz w:val="24"/>
                <w:szCs w:val="24"/>
              </w:rPr>
              <w:t>2018.2.13~2018.12.31</w:t>
            </w:r>
          </w:p>
        </w:tc>
        <w:tc>
          <w:tcPr>
            <w:tcW w:w="1180"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103259">
            <w:pPr>
              <w:autoSpaceDE w:val="0"/>
              <w:autoSpaceDN w:val="0"/>
              <w:adjustRightInd w:val="0"/>
              <w:snapToGrid w:val="0"/>
              <w:spacing w:line="360" w:lineRule="auto"/>
              <w:rPr>
                <w:rFonts w:asciiTheme="minorEastAsia" w:hAnsiTheme="minorEastAsia" w:cs="Arial"/>
                <w:sz w:val="24"/>
                <w:szCs w:val="24"/>
              </w:rPr>
            </w:pPr>
            <w:r w:rsidRPr="00DE17CF">
              <w:rPr>
                <w:rFonts w:asciiTheme="minorEastAsia" w:hAnsiTheme="minorEastAsia" w:cs="Arial" w:hint="eastAsia"/>
                <w:sz w:val="24"/>
                <w:szCs w:val="24"/>
              </w:rPr>
              <w:t>-1.04%</w:t>
            </w:r>
          </w:p>
        </w:tc>
        <w:tc>
          <w:tcPr>
            <w:tcW w:w="1184"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103259">
            <w:pPr>
              <w:autoSpaceDE w:val="0"/>
              <w:autoSpaceDN w:val="0"/>
              <w:adjustRightInd w:val="0"/>
              <w:snapToGrid w:val="0"/>
              <w:spacing w:line="360" w:lineRule="auto"/>
              <w:rPr>
                <w:rFonts w:asciiTheme="minorEastAsia" w:hAnsiTheme="minorEastAsia" w:cs="Arial"/>
                <w:sz w:val="24"/>
                <w:szCs w:val="24"/>
              </w:rPr>
            </w:pPr>
            <w:r w:rsidRPr="00DE17CF">
              <w:rPr>
                <w:rFonts w:asciiTheme="minorEastAsia" w:hAnsiTheme="minorEastAsia" w:cs="Arial" w:hint="eastAsia"/>
                <w:sz w:val="24"/>
                <w:szCs w:val="24"/>
              </w:rPr>
              <w:t>0.26%</w:t>
            </w:r>
          </w:p>
        </w:tc>
        <w:tc>
          <w:tcPr>
            <w:tcW w:w="1276"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103259">
            <w:pPr>
              <w:autoSpaceDE w:val="0"/>
              <w:autoSpaceDN w:val="0"/>
              <w:adjustRightInd w:val="0"/>
              <w:snapToGrid w:val="0"/>
              <w:spacing w:line="360" w:lineRule="auto"/>
              <w:rPr>
                <w:rFonts w:asciiTheme="minorEastAsia" w:hAnsiTheme="minorEastAsia" w:cs="Arial"/>
                <w:sz w:val="24"/>
                <w:szCs w:val="24"/>
              </w:rPr>
            </w:pPr>
            <w:r w:rsidRPr="00DE17CF">
              <w:rPr>
                <w:rFonts w:asciiTheme="minorEastAsia" w:hAnsiTheme="minorEastAsia" w:cs="Arial" w:hint="eastAsia"/>
                <w:sz w:val="24"/>
                <w:szCs w:val="24"/>
              </w:rPr>
              <w:t>-1.77%</w:t>
            </w:r>
          </w:p>
        </w:tc>
        <w:tc>
          <w:tcPr>
            <w:tcW w:w="1328"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103259">
            <w:pPr>
              <w:autoSpaceDE w:val="0"/>
              <w:autoSpaceDN w:val="0"/>
              <w:adjustRightInd w:val="0"/>
              <w:snapToGrid w:val="0"/>
              <w:spacing w:line="360" w:lineRule="auto"/>
              <w:rPr>
                <w:rFonts w:asciiTheme="minorEastAsia" w:hAnsiTheme="minorEastAsia" w:cs="Arial"/>
                <w:sz w:val="24"/>
                <w:szCs w:val="24"/>
              </w:rPr>
            </w:pPr>
            <w:r w:rsidRPr="00DE17CF">
              <w:rPr>
                <w:rFonts w:asciiTheme="minorEastAsia" w:hAnsiTheme="minorEastAsia" w:cs="Arial" w:hint="eastAsia"/>
                <w:sz w:val="24"/>
                <w:szCs w:val="24"/>
              </w:rPr>
              <w:t>0.40%</w:t>
            </w:r>
          </w:p>
        </w:tc>
        <w:tc>
          <w:tcPr>
            <w:tcW w:w="1066"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103259">
            <w:pPr>
              <w:autoSpaceDE w:val="0"/>
              <w:autoSpaceDN w:val="0"/>
              <w:adjustRightInd w:val="0"/>
              <w:snapToGrid w:val="0"/>
              <w:spacing w:line="360" w:lineRule="auto"/>
              <w:rPr>
                <w:rFonts w:asciiTheme="minorEastAsia" w:hAnsiTheme="minorEastAsia" w:cs="Arial"/>
                <w:sz w:val="24"/>
                <w:szCs w:val="24"/>
              </w:rPr>
            </w:pPr>
            <w:r w:rsidRPr="00DE17CF">
              <w:rPr>
                <w:rFonts w:asciiTheme="minorEastAsia" w:hAnsiTheme="minorEastAsia" w:cs="Arial" w:hint="eastAsia"/>
                <w:sz w:val="24"/>
                <w:szCs w:val="24"/>
              </w:rPr>
              <w:t>0.73%</w:t>
            </w:r>
          </w:p>
        </w:tc>
        <w:tc>
          <w:tcPr>
            <w:tcW w:w="1427" w:type="dxa"/>
            <w:tcBorders>
              <w:top w:val="single" w:sz="8" w:space="0" w:color="000000"/>
              <w:left w:val="single" w:sz="8" w:space="0" w:color="000000"/>
              <w:bottom w:val="single" w:sz="4" w:space="0" w:color="000000"/>
              <w:right w:val="single" w:sz="8" w:space="0" w:color="000000"/>
            </w:tcBorders>
            <w:vAlign w:val="center"/>
            <w:hideMark/>
          </w:tcPr>
          <w:p w:rsidR="006E3A73" w:rsidRPr="00DE17CF" w:rsidRDefault="006E3A73" w:rsidP="00103259">
            <w:pPr>
              <w:autoSpaceDE w:val="0"/>
              <w:autoSpaceDN w:val="0"/>
              <w:adjustRightInd w:val="0"/>
              <w:snapToGrid w:val="0"/>
              <w:spacing w:line="360" w:lineRule="auto"/>
              <w:rPr>
                <w:rFonts w:asciiTheme="minorEastAsia" w:hAnsiTheme="minorEastAsia" w:cs="Arial"/>
                <w:sz w:val="24"/>
                <w:szCs w:val="24"/>
              </w:rPr>
            </w:pPr>
            <w:r w:rsidRPr="00DE17CF">
              <w:rPr>
                <w:rFonts w:asciiTheme="minorEastAsia" w:hAnsiTheme="minorEastAsia" w:cs="Arial" w:hint="eastAsia"/>
                <w:sz w:val="24"/>
                <w:szCs w:val="24"/>
              </w:rPr>
              <w:t>-0.14%</w:t>
            </w:r>
          </w:p>
        </w:tc>
      </w:tr>
    </w:tbl>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注：本基金的业绩比较基准为：中</w:t>
      </w:r>
      <w:proofErr w:type="gramStart"/>
      <w:r w:rsidRPr="00DE17CF">
        <w:rPr>
          <w:rFonts w:asciiTheme="minorEastAsia" w:hAnsiTheme="minorEastAsia" w:cs="Arial" w:hint="eastAsia"/>
          <w:sz w:val="24"/>
          <w:szCs w:val="24"/>
        </w:rPr>
        <w:t>证全债指数</w:t>
      </w:r>
      <w:proofErr w:type="gramEnd"/>
      <w:r w:rsidRPr="00DE17CF">
        <w:rPr>
          <w:rFonts w:asciiTheme="minorEastAsia" w:hAnsiTheme="minorEastAsia" w:cs="Arial" w:hint="eastAsia"/>
          <w:sz w:val="24"/>
          <w:szCs w:val="24"/>
        </w:rPr>
        <w:t xml:space="preserve">收益率×70%+沪深300指数收益率×30%。 </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（3）自基金合同生效以来基金累计净值增长率变动及其与同期业绩比较基准收益率变动的比较</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noProof/>
          <w:sz w:val="24"/>
          <w:szCs w:val="24"/>
        </w:rPr>
        <w:drawing>
          <wp:inline distT="0" distB="0" distL="0" distR="0" wp14:anchorId="286FCA69" wp14:editId="63B4D464">
            <wp:extent cx="5277485" cy="3429000"/>
            <wp:effectExtent l="0" t="0" r="0" b="0"/>
            <wp:docPr id="3" name="图片 3" descr="说明: 说明: CN_51130000_004794_FB030040_20190001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descr="说明: 说明: CN_51130000_004794_FB030040_20190001_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277485" cy="3429000"/>
                    </a:xfrm>
                    <a:prstGeom prst="rect">
                      <a:avLst/>
                    </a:prstGeom>
                    <a:noFill/>
                    <a:ln>
                      <a:noFill/>
                    </a:ln>
                  </pic:spPr>
                </pic:pic>
              </a:graphicData>
            </a:graphic>
          </wp:inline>
        </w:drawing>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注：①本</w:t>
      </w:r>
      <w:proofErr w:type="gramStart"/>
      <w:r w:rsidRPr="00DE17CF">
        <w:rPr>
          <w:rFonts w:asciiTheme="minorEastAsia" w:hAnsiTheme="minorEastAsia" w:cs="Arial" w:hint="eastAsia"/>
          <w:sz w:val="24"/>
          <w:szCs w:val="24"/>
        </w:rPr>
        <w:t>基金基金</w:t>
      </w:r>
      <w:proofErr w:type="gramEnd"/>
      <w:r w:rsidRPr="00DE17CF">
        <w:rPr>
          <w:rFonts w:asciiTheme="minorEastAsia" w:hAnsiTheme="minorEastAsia" w:cs="Arial" w:hint="eastAsia"/>
          <w:sz w:val="24"/>
          <w:szCs w:val="24"/>
        </w:rPr>
        <w:t>合同于2018年2月13日生效，截止2018年12月31日止，本基金成立未满一年；</w:t>
      </w:r>
      <w:r w:rsidRPr="00DE17CF">
        <w:rPr>
          <w:rFonts w:asciiTheme="minorEastAsia" w:hAnsiTheme="minorEastAsia" w:cs="Arial" w:hint="eastAsia"/>
          <w:sz w:val="24"/>
          <w:szCs w:val="24"/>
        </w:rPr>
        <w:br/>
        <w:t>  ②本基金建仓期为6个月，建仓期结束时各资产配置比例符合合同约定。</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noProof/>
          <w:sz w:val="24"/>
          <w:szCs w:val="24"/>
        </w:rPr>
        <w:lastRenderedPageBreak/>
        <w:drawing>
          <wp:inline distT="0" distB="0" distL="0" distR="0" wp14:anchorId="2B44EDA6" wp14:editId="0E5DD3AC">
            <wp:extent cx="5277485" cy="3429000"/>
            <wp:effectExtent l="0" t="0" r="0" b="0"/>
            <wp:docPr id="2" name="图片 2" descr="说明: 说明: CN_51130000_004794_FB030040_20190001_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说明: 说明: CN_51130000_004794_FB030040_20190001_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277485" cy="3429000"/>
                    </a:xfrm>
                    <a:prstGeom prst="rect">
                      <a:avLst/>
                    </a:prstGeom>
                    <a:noFill/>
                    <a:ln>
                      <a:noFill/>
                    </a:ln>
                  </pic:spPr>
                </pic:pic>
              </a:graphicData>
            </a:graphic>
          </wp:inline>
        </w:drawing>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注：①本</w:t>
      </w:r>
      <w:proofErr w:type="gramStart"/>
      <w:r w:rsidRPr="00DE17CF">
        <w:rPr>
          <w:rFonts w:asciiTheme="minorEastAsia" w:hAnsiTheme="minorEastAsia" w:cs="Arial" w:hint="eastAsia"/>
          <w:sz w:val="24"/>
          <w:szCs w:val="24"/>
        </w:rPr>
        <w:t>基金基金</w:t>
      </w:r>
      <w:proofErr w:type="gramEnd"/>
      <w:r w:rsidRPr="00DE17CF">
        <w:rPr>
          <w:rFonts w:asciiTheme="minorEastAsia" w:hAnsiTheme="minorEastAsia" w:cs="Arial" w:hint="eastAsia"/>
          <w:sz w:val="24"/>
          <w:szCs w:val="24"/>
        </w:rPr>
        <w:t>合同于2018年2月13日生效，截止2018年12月31日止，本基金成立未满一年；</w:t>
      </w:r>
    </w:p>
    <w:p w:rsidR="006E3A73"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 xml:space="preserve">  ②本基金建仓期为6个月，建仓期结束时各资产配置比例符合合同约定。</w:t>
      </w:r>
      <w:r w:rsidRPr="00DE17CF">
        <w:rPr>
          <w:rFonts w:asciiTheme="minorEastAsia" w:hAnsiTheme="minorEastAsia" w:cs="Arial"/>
          <w:sz w:val="24"/>
          <w:szCs w:val="24"/>
        </w:rPr>
        <w:br w:type="page"/>
      </w:r>
    </w:p>
    <w:p w:rsidR="007A36DF" w:rsidRPr="00DE17CF" w:rsidRDefault="003E13F7" w:rsidP="00EF2B86">
      <w:pPr>
        <w:autoSpaceDE w:val="0"/>
        <w:autoSpaceDN w:val="0"/>
        <w:adjustRightInd w:val="0"/>
        <w:snapToGrid w:val="0"/>
        <w:spacing w:line="360" w:lineRule="auto"/>
        <w:ind w:firstLineChars="200" w:firstLine="480"/>
        <w:outlineLvl w:val="0"/>
        <w:rPr>
          <w:rFonts w:asciiTheme="minorEastAsia" w:hAnsiTheme="minorEastAsia" w:cs="Arial"/>
          <w:sz w:val="24"/>
          <w:szCs w:val="24"/>
        </w:rPr>
      </w:pPr>
      <w:bookmarkStart w:id="141" w:name="_Hlt81032199"/>
      <w:bookmarkStart w:id="142" w:name="_Hlt88821694"/>
      <w:bookmarkStart w:id="143" w:name="_Toc256666922"/>
      <w:bookmarkStart w:id="144" w:name="_Toc256666802"/>
      <w:bookmarkStart w:id="145" w:name="_Toc482624802"/>
      <w:bookmarkStart w:id="146" w:name="_Toc225445656"/>
      <w:bookmarkStart w:id="147" w:name="_Toc230166639"/>
      <w:bookmarkStart w:id="148" w:name="_Toc194043650"/>
      <w:bookmarkStart w:id="149" w:name="_Toc225576446"/>
      <w:bookmarkStart w:id="150" w:name="_Toc895"/>
      <w:bookmarkStart w:id="151" w:name="_Toc194043155"/>
      <w:bookmarkEnd w:id="140"/>
      <w:bookmarkEnd w:id="141"/>
      <w:bookmarkEnd w:id="142"/>
      <w:r w:rsidRPr="00DE17CF">
        <w:rPr>
          <w:rFonts w:asciiTheme="minorEastAsia" w:hAnsiTheme="minorEastAsia" w:cs="Arial" w:hint="eastAsia"/>
          <w:sz w:val="24"/>
          <w:szCs w:val="24"/>
        </w:rPr>
        <w:lastRenderedPageBreak/>
        <w:t>七、基金的费用与税收</w:t>
      </w:r>
      <w:bookmarkEnd w:id="143"/>
      <w:bookmarkEnd w:id="144"/>
      <w:bookmarkEnd w:id="145"/>
      <w:bookmarkEnd w:id="146"/>
      <w:bookmarkEnd w:id="147"/>
      <w:bookmarkEnd w:id="148"/>
      <w:bookmarkEnd w:id="149"/>
      <w:bookmarkEnd w:id="150"/>
      <w:bookmarkEnd w:id="151"/>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（一）基金费用的种类</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1、基金管理人的管理费；</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2、基金托管人的托管费；</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3、C类基金份额的销售服务费；</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4、《基金合同》生效后与基金相关的信息披露费用；</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5、《基金合同》生效后与基金相关的会计师费、律师费、诉讼费和仲裁费；</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6、基金份额持有人大会费用；</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7、基金的证券、期货交易费用；</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8、基金的银行汇划费用；</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9、基金的账户开户费用、账户维护费用；</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10、按照国家有关规定和《基金合同》约定，可以在基金财产中列支的其他费用。</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（二）基金费用计提方法、计提标准和支付方式</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 xml:space="preserve">1、基金管理人的管理费 </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本基金的管理费按前一日基金资产净值的0.6%年费率计提。管理费的计算方法如下：</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H＝E×0.6%÷当年天数</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H为每日应计提的基金管理费</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E为前一日的基金资产净值</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基金管理费每日计算，逐日累计至每月月末，按月支付，由基金管理人向基金托管人发送基金管理费划款指令，基金托管人复核后于次月前5个工作日内从基金财产中一次性支付给基金管理人。若遇法定节假日、公休假等，支付日期顺延。</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2、基金托管人的托管费</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本基金的托管费按前一日基金资产净值的0.1%的年费率计提。托管费的计算方法如下：</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H＝E×0.1%÷当年天数</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H为每日应计提的基金托管费</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E为前一日的基金资产净值</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lastRenderedPageBreak/>
        <w:t>基金托管费每日计算，逐日累计至每月月末，按月支付，由基金管理人向基金托管人发送基金托管费划款指令，基金托管人复核后于次月前5个工作日内从基金财产中一次性支取。若遇法定节假日、公休日等，支付日期顺延。</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3、销售服务费</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本基金A类基金份额不收取销售服务费，C类基金份额的销售服务费年费率为0.1%。</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 xml:space="preserve">本基金销售服务费将专门用于本基金的销售与基金份额持有人服务， 销售服务费计提的计算公式如下： </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H=E×0.1%÷当年天数</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H为C类基金份额每日应计提的销售服务费</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E为C类基金份额前一日基金资产净值</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基金销售服务费每日计算，逐日累计至每月月末，按月支付。由基金管理人向基金托管人发送基金销售服务费划付指令，基金托管人复核后于次月前5个工作日内从基金财产中一次性支付给基金管理人。若遇法定节假日、公休假等，支付日期顺延。</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上述“一、基金费用的种类中第4－10项费用”，根据有关法规及相应协议规定，按费用实际支出金额列入当期费用，由基金托管人从基金财产中支付。</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（三）不列入基金费用的项目</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下列费用不列入基金费用：</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1、基金管理人和基金托管人因未履行或未完全履行义务导致的费用支出或基金财产的损失；</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2、基金管理人和基金托管人处理与基金运作无关的事项发生的费用；</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3、《基金合同》生效前的相关费用；</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4、其他根据相关法律法规及中国证监会的有关规定不得列入基金费用的项目。</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（四）基金税收</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本基金运作过程中涉及的各纳税主体，其纳税义务按国家税收法律、法规执行。</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基金财产投资的相关税收，由基金份额持有人承担，基金管理人或者其他扣缴义务人按照国家有关税收征收的规定代扣代缴。</w:t>
      </w:r>
    </w:p>
    <w:p w:rsidR="007A36DF" w:rsidRPr="00DE17CF" w:rsidRDefault="003E13F7" w:rsidP="00EF2B86">
      <w:pPr>
        <w:autoSpaceDE w:val="0"/>
        <w:autoSpaceDN w:val="0"/>
        <w:adjustRightInd w:val="0"/>
        <w:snapToGrid w:val="0"/>
        <w:spacing w:line="360" w:lineRule="auto"/>
        <w:ind w:firstLineChars="200" w:firstLine="480"/>
        <w:outlineLvl w:val="0"/>
        <w:rPr>
          <w:rFonts w:asciiTheme="minorEastAsia" w:hAnsiTheme="minorEastAsia" w:cs="Arial"/>
          <w:sz w:val="24"/>
          <w:szCs w:val="24"/>
        </w:rPr>
      </w:pPr>
      <w:r w:rsidRPr="00DE17CF">
        <w:rPr>
          <w:rFonts w:asciiTheme="minorEastAsia" w:hAnsiTheme="minorEastAsia" w:cs="Arial"/>
          <w:sz w:val="24"/>
          <w:szCs w:val="24"/>
        </w:rPr>
        <w:lastRenderedPageBreak/>
        <w:t>八、对招募说明书更新部分的说明</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本招募说明书依据《中华人民共和国证券投资基金法》、《</w:t>
      </w:r>
      <w:r w:rsidRPr="00DE17CF">
        <w:rPr>
          <w:rFonts w:asciiTheme="minorEastAsia" w:hAnsiTheme="minorEastAsia" w:cs="Arial"/>
          <w:sz w:val="24"/>
          <w:szCs w:val="24"/>
        </w:rPr>
        <w:t>公开募集证券投资基金运作管理办法</w:t>
      </w:r>
      <w:r w:rsidRPr="00DE17CF">
        <w:rPr>
          <w:rFonts w:asciiTheme="minorEastAsia" w:hAnsiTheme="minorEastAsia" w:cs="Arial" w:hint="eastAsia"/>
          <w:sz w:val="24"/>
          <w:szCs w:val="24"/>
        </w:rPr>
        <w:t>》、《证券投资基金销售管理办法》、《证券投资基金信息披露管理办法》及其它有关法律法规的要求，结合本基金管理人对本基金实施的投资管理活动，对本基金管理人原公告的本基金原招募说明书进行了更新，主要更新的内容如下：</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1、对“重要提示”部分内容进行了更新；</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2、对“三、基金管理人”部分内容进行了更新；</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3、对“四、基金托管人”部分内容进行了更新；</w:t>
      </w:r>
    </w:p>
    <w:p w:rsidR="007A36DF" w:rsidRPr="00DE17CF" w:rsidRDefault="003E13F7"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4、对“五、相关服务机构”部分内容进行了更新；</w:t>
      </w:r>
    </w:p>
    <w:p w:rsidR="007A36DF"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5</w:t>
      </w:r>
      <w:r w:rsidR="003E13F7" w:rsidRPr="00DE17CF">
        <w:rPr>
          <w:rFonts w:asciiTheme="minorEastAsia" w:hAnsiTheme="minorEastAsia" w:cs="Arial" w:hint="eastAsia"/>
          <w:sz w:val="24"/>
          <w:szCs w:val="24"/>
        </w:rPr>
        <w:t>、对“九、基金的投资”部分内容进行了更新；</w:t>
      </w:r>
    </w:p>
    <w:p w:rsidR="007A36DF" w:rsidRPr="00DE17CF" w:rsidRDefault="006E3A73" w:rsidP="00DE17CF">
      <w:pPr>
        <w:autoSpaceDE w:val="0"/>
        <w:autoSpaceDN w:val="0"/>
        <w:adjustRightInd w:val="0"/>
        <w:snapToGrid w:val="0"/>
        <w:spacing w:line="360" w:lineRule="auto"/>
        <w:ind w:firstLineChars="200" w:firstLine="480"/>
        <w:rPr>
          <w:rFonts w:asciiTheme="minorEastAsia" w:hAnsiTheme="minorEastAsia" w:cs="Arial"/>
          <w:sz w:val="24"/>
          <w:szCs w:val="24"/>
        </w:rPr>
      </w:pPr>
      <w:r w:rsidRPr="00DE17CF">
        <w:rPr>
          <w:rFonts w:asciiTheme="minorEastAsia" w:hAnsiTheme="minorEastAsia" w:cs="Arial" w:hint="eastAsia"/>
          <w:sz w:val="24"/>
          <w:szCs w:val="24"/>
        </w:rPr>
        <w:t>6</w:t>
      </w:r>
      <w:r w:rsidR="003E13F7" w:rsidRPr="00DE17CF">
        <w:rPr>
          <w:rFonts w:asciiTheme="minorEastAsia" w:hAnsiTheme="minorEastAsia" w:cs="Arial" w:hint="eastAsia"/>
          <w:sz w:val="24"/>
          <w:szCs w:val="24"/>
        </w:rPr>
        <w:t>、对“二十一、其它应披露事项”部分内容进行了更新。</w:t>
      </w:r>
    </w:p>
    <w:p w:rsidR="007A36DF" w:rsidRPr="00DE17CF" w:rsidRDefault="007A36DF" w:rsidP="00DE17CF">
      <w:pPr>
        <w:autoSpaceDE w:val="0"/>
        <w:autoSpaceDN w:val="0"/>
        <w:adjustRightInd w:val="0"/>
        <w:snapToGrid w:val="0"/>
        <w:spacing w:line="360" w:lineRule="auto"/>
        <w:ind w:firstLineChars="200" w:firstLine="480"/>
        <w:rPr>
          <w:rFonts w:asciiTheme="minorEastAsia" w:hAnsiTheme="minorEastAsia" w:cs="Arial"/>
          <w:sz w:val="24"/>
          <w:szCs w:val="24"/>
        </w:rPr>
      </w:pPr>
    </w:p>
    <w:p w:rsidR="007A36DF" w:rsidRPr="00DE17CF" w:rsidRDefault="007A36DF" w:rsidP="00DE17CF">
      <w:pPr>
        <w:autoSpaceDE w:val="0"/>
        <w:autoSpaceDN w:val="0"/>
        <w:adjustRightInd w:val="0"/>
        <w:snapToGrid w:val="0"/>
        <w:spacing w:line="360" w:lineRule="auto"/>
        <w:ind w:firstLineChars="200" w:firstLine="480"/>
        <w:rPr>
          <w:rFonts w:asciiTheme="minorEastAsia" w:hAnsiTheme="minorEastAsia" w:cs="Arial"/>
          <w:sz w:val="24"/>
          <w:szCs w:val="24"/>
        </w:rPr>
      </w:pPr>
    </w:p>
    <w:p w:rsidR="007A36DF" w:rsidRPr="00DE17CF" w:rsidRDefault="007A36DF" w:rsidP="00DE17CF">
      <w:pPr>
        <w:autoSpaceDE w:val="0"/>
        <w:autoSpaceDN w:val="0"/>
        <w:adjustRightInd w:val="0"/>
        <w:snapToGrid w:val="0"/>
        <w:spacing w:line="360" w:lineRule="auto"/>
        <w:ind w:firstLineChars="200" w:firstLine="480"/>
        <w:rPr>
          <w:rFonts w:asciiTheme="minorEastAsia" w:hAnsiTheme="minorEastAsia" w:cs="Arial"/>
          <w:sz w:val="24"/>
          <w:szCs w:val="24"/>
        </w:rPr>
      </w:pPr>
    </w:p>
    <w:p w:rsidR="007A36DF" w:rsidRPr="00DE17CF" w:rsidRDefault="003E13F7" w:rsidP="00DE17CF">
      <w:pPr>
        <w:autoSpaceDE w:val="0"/>
        <w:autoSpaceDN w:val="0"/>
        <w:adjustRightInd w:val="0"/>
        <w:snapToGrid w:val="0"/>
        <w:spacing w:line="360" w:lineRule="auto"/>
        <w:ind w:firstLineChars="200" w:firstLine="480"/>
        <w:jc w:val="right"/>
        <w:rPr>
          <w:rFonts w:asciiTheme="minorEastAsia" w:hAnsiTheme="minorEastAsia" w:cs="Arial"/>
          <w:sz w:val="24"/>
          <w:szCs w:val="24"/>
        </w:rPr>
      </w:pPr>
      <w:r w:rsidRPr="00DE17CF">
        <w:rPr>
          <w:rFonts w:asciiTheme="minorEastAsia" w:hAnsiTheme="minorEastAsia" w:cs="Arial" w:hint="eastAsia"/>
          <w:sz w:val="24"/>
          <w:szCs w:val="24"/>
        </w:rPr>
        <w:t>富荣基金管理有限公司</w:t>
      </w:r>
    </w:p>
    <w:p w:rsidR="007A36DF" w:rsidRPr="00DE17CF" w:rsidRDefault="00705BCF" w:rsidP="00DE17CF">
      <w:pPr>
        <w:autoSpaceDE w:val="0"/>
        <w:autoSpaceDN w:val="0"/>
        <w:adjustRightInd w:val="0"/>
        <w:snapToGrid w:val="0"/>
        <w:spacing w:line="360" w:lineRule="auto"/>
        <w:ind w:firstLineChars="200" w:firstLine="480"/>
        <w:jc w:val="right"/>
        <w:rPr>
          <w:rFonts w:asciiTheme="minorEastAsia" w:hAnsiTheme="minorEastAsia" w:cs="Arial"/>
          <w:sz w:val="24"/>
          <w:szCs w:val="24"/>
        </w:rPr>
      </w:pPr>
      <w:r>
        <w:rPr>
          <w:rFonts w:asciiTheme="minorEastAsia" w:hAnsiTheme="minorEastAsia" w:cs="Arial" w:hint="eastAsia"/>
          <w:sz w:val="24"/>
          <w:szCs w:val="24"/>
        </w:rPr>
        <w:t>二〇一九年三</w:t>
      </w:r>
      <w:r w:rsidR="003E13F7" w:rsidRPr="00DE17CF">
        <w:rPr>
          <w:rFonts w:asciiTheme="minorEastAsia" w:hAnsiTheme="minorEastAsia" w:cs="Arial" w:hint="eastAsia"/>
          <w:sz w:val="24"/>
          <w:szCs w:val="24"/>
        </w:rPr>
        <w:t>月</w:t>
      </w:r>
      <w:r>
        <w:rPr>
          <w:rFonts w:asciiTheme="minorEastAsia" w:hAnsiTheme="minorEastAsia" w:cs="Arial" w:hint="eastAsia"/>
          <w:sz w:val="24"/>
          <w:szCs w:val="24"/>
        </w:rPr>
        <w:t>十三</w:t>
      </w:r>
      <w:r w:rsidR="001E33F2">
        <w:rPr>
          <w:rFonts w:asciiTheme="minorEastAsia" w:hAnsiTheme="minorEastAsia" w:cs="Arial"/>
          <w:sz w:val="24"/>
          <w:szCs w:val="24"/>
        </w:rPr>
        <w:t>日</w:t>
      </w:r>
      <w:r w:rsidR="003E13F7" w:rsidRPr="00DE17CF">
        <w:rPr>
          <w:rFonts w:asciiTheme="minorEastAsia" w:hAnsiTheme="minorEastAsia" w:cs="Arial" w:hint="eastAsia"/>
          <w:sz w:val="24"/>
          <w:szCs w:val="24"/>
        </w:rPr>
        <w:t xml:space="preserve">  </w:t>
      </w:r>
    </w:p>
    <w:p w:rsidR="007A36DF" w:rsidRPr="00DE17CF" w:rsidRDefault="007A36DF" w:rsidP="00DE17CF">
      <w:pPr>
        <w:autoSpaceDE w:val="0"/>
        <w:autoSpaceDN w:val="0"/>
        <w:adjustRightInd w:val="0"/>
        <w:snapToGrid w:val="0"/>
        <w:spacing w:line="360" w:lineRule="auto"/>
        <w:ind w:firstLineChars="200" w:firstLine="480"/>
        <w:jc w:val="right"/>
        <w:rPr>
          <w:rFonts w:asciiTheme="minorEastAsia" w:hAnsiTheme="minorEastAsia" w:cs="Arial"/>
          <w:sz w:val="24"/>
          <w:szCs w:val="24"/>
        </w:rPr>
      </w:pPr>
      <w:bookmarkStart w:id="152" w:name="_GoBack"/>
      <w:bookmarkEnd w:id="152"/>
    </w:p>
    <w:sectPr w:rsidR="007A36DF" w:rsidRPr="00DE17CF">
      <w:footerReference w:type="default" r:id="rId17"/>
      <w:pgSz w:w="11906" w:h="16838"/>
      <w:pgMar w:top="1440" w:right="1800" w:bottom="1440" w:left="1800" w:header="851" w:footer="992" w:gutter="0"/>
      <w:pgNumType w:start="1" w:chapStyle="1"/>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C452C" w:rsidRDefault="008C452C">
      <w:r>
        <w:separator/>
      </w:r>
    </w:p>
  </w:endnote>
  <w:endnote w:type="continuationSeparator" w:id="0">
    <w:p w:rsidR="008C452C" w:rsidRDefault="008C45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Arial Bold">
    <w:altName w:val="Arial"/>
    <w:panose1 w:val="020B0704020202020204"/>
    <w:charset w:val="00"/>
    <w:family w:val="roman"/>
    <w:pitch w:val="default"/>
    <w:sig w:usb0="00000000" w:usb1="00000000" w:usb2="00000000"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20002A87" w:usb1="00000000" w:usb2="00000000" w:usb3="00000000" w:csb0="000001FF"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_GB2312">
    <w:altName w:val="仿宋"/>
    <w:charset w:val="86"/>
    <w:family w:val="auto"/>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 w:name="ˎ̥">
    <w:altName w:val="Times New Roman"/>
    <w:panose1 w:val="00000000000000000000"/>
    <w:charset w:val="00"/>
    <w:family w:val="roman"/>
    <w:notTrueType/>
    <w:pitch w:val="default"/>
  </w:font>
  <w:font w:name="方正仿宋简体">
    <w:altName w:val="微软雅黑"/>
    <w:charset w:val="86"/>
    <w:family w:val="auto"/>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C452C" w:rsidRDefault="008C452C">
    <w:pPr>
      <w:pStyle w:val="ab"/>
      <w:jc w:val="center"/>
    </w:pPr>
  </w:p>
  <w:p w:rsidR="008C452C" w:rsidRDefault="008C452C">
    <w:pPr>
      <w:pStyle w:val="a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00930310"/>
      <w:docPartObj>
        <w:docPartGallery w:val="AutoText"/>
      </w:docPartObj>
    </w:sdtPr>
    <w:sdtEndPr/>
    <w:sdtContent>
      <w:p w:rsidR="008C452C" w:rsidRDefault="008C452C">
        <w:pPr>
          <w:pStyle w:val="ab"/>
          <w:jc w:val="center"/>
        </w:pPr>
        <w:r>
          <w:fldChar w:fldCharType="begin"/>
        </w:r>
        <w:r>
          <w:instrText>PAGE   \* MERGEFORMAT</w:instrText>
        </w:r>
        <w:r>
          <w:fldChar w:fldCharType="separate"/>
        </w:r>
        <w:r w:rsidR="00705BCF" w:rsidRPr="00705BCF">
          <w:rPr>
            <w:noProof/>
            <w:lang w:val="zh-CN"/>
          </w:rPr>
          <w:t>30</w:t>
        </w:r>
        <w:r>
          <w:fldChar w:fldCharType="end"/>
        </w:r>
      </w:p>
    </w:sdtContent>
  </w:sdt>
  <w:p w:rsidR="008C452C" w:rsidRDefault="008C452C">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C452C" w:rsidRDefault="008C452C">
      <w:r>
        <w:separator/>
      </w:r>
    </w:p>
  </w:footnote>
  <w:footnote w:type="continuationSeparator" w:id="0">
    <w:p w:rsidR="008C452C" w:rsidRDefault="008C452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C452C" w:rsidRDefault="008C452C">
    <w:pPr>
      <w:pStyle w:val="ac"/>
      <w:jc w:val="left"/>
    </w:pPr>
    <w:r>
      <w:rPr>
        <w:rFonts w:ascii="Arial" w:hAnsi="Arial" w:cs="Arial" w:hint="eastAsia"/>
        <w:color w:val="000000" w:themeColor="text1"/>
        <w:szCs w:val="21"/>
      </w:rPr>
      <w:t>富荣福</w:t>
    </w:r>
    <w:proofErr w:type="gramStart"/>
    <w:r>
      <w:rPr>
        <w:rFonts w:ascii="Arial" w:hAnsi="Arial" w:cs="Arial" w:hint="eastAsia"/>
        <w:color w:val="000000" w:themeColor="text1"/>
        <w:szCs w:val="21"/>
      </w:rPr>
      <w:t>鑫</w:t>
    </w:r>
    <w:proofErr w:type="gramEnd"/>
    <w:r>
      <w:rPr>
        <w:rFonts w:ascii="Arial" w:hAnsi="Arial" w:cs="Arial" w:hint="eastAsia"/>
        <w:color w:val="000000" w:themeColor="text1"/>
        <w:szCs w:val="21"/>
      </w:rPr>
      <w:t>灵活配置混合型证券投资基金更新</w:t>
    </w:r>
    <w:r>
      <w:rPr>
        <w:rFonts w:ascii="Arial" w:hAnsi="Arial" w:cs="Arial"/>
        <w:color w:val="000000" w:themeColor="text1"/>
        <w:szCs w:val="21"/>
      </w:rPr>
      <w:t>的招募说明书</w:t>
    </w:r>
    <w:r>
      <w:rPr>
        <w:rFonts w:ascii="Arial" w:hAnsi="Arial" w:cs="Arial" w:hint="eastAsia"/>
        <w:color w:val="000000" w:themeColor="text1"/>
        <w:szCs w:val="21"/>
      </w:rPr>
      <w:t>摘要（</w:t>
    </w:r>
    <w:r>
      <w:rPr>
        <w:rFonts w:ascii="Arial" w:hAnsi="Arial" w:cs="Arial" w:hint="eastAsia"/>
        <w:color w:val="000000" w:themeColor="text1"/>
        <w:szCs w:val="21"/>
      </w:rPr>
      <w:t>2019</w:t>
    </w:r>
    <w:r>
      <w:rPr>
        <w:rFonts w:ascii="Arial" w:hAnsi="Arial" w:cs="Arial" w:hint="eastAsia"/>
        <w:color w:val="000000" w:themeColor="text1"/>
        <w:szCs w:val="21"/>
      </w:rPr>
      <w:t>年</w:t>
    </w:r>
    <w:r>
      <w:rPr>
        <w:rFonts w:ascii="Arial" w:hAnsi="Arial" w:cs="Arial"/>
        <w:color w:val="000000" w:themeColor="text1"/>
        <w:szCs w:val="21"/>
      </w:rPr>
      <w:t>第</w:t>
    </w:r>
    <w:r>
      <w:rPr>
        <w:rFonts w:ascii="Arial" w:hAnsi="Arial" w:cs="Arial" w:hint="eastAsia"/>
        <w:color w:val="000000" w:themeColor="text1"/>
        <w:szCs w:val="21"/>
      </w:rPr>
      <w:t>1</w:t>
    </w:r>
    <w:r>
      <w:rPr>
        <w:rFonts w:ascii="Arial" w:hAnsi="Arial" w:cs="Arial" w:hint="eastAsia"/>
        <w:color w:val="000000" w:themeColor="text1"/>
        <w:szCs w:val="21"/>
      </w:rPr>
      <w:t>号）</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abstractNum w:abstractNumId="2">
    <w:nsid w:val="6B1D1232"/>
    <w:multiLevelType w:val="multilevel"/>
    <w:tmpl w:val="6B1D1232"/>
    <w:lvl w:ilvl="0">
      <w:start w:val="1"/>
      <w:numFmt w:val="decimal"/>
      <w:pStyle w:val="Level1"/>
      <w:lvlText w:val="%1"/>
      <w:lvlJc w:val="left"/>
      <w:pPr>
        <w:tabs>
          <w:tab w:val="left" w:pos="680"/>
        </w:tabs>
        <w:ind w:left="680" w:hanging="680"/>
      </w:pPr>
      <w:rPr>
        <w:rFonts w:ascii="Arial Bold" w:eastAsia="宋体" w:hAnsi="Arial Bold" w:hint="default"/>
        <w:b/>
        <w:i w:val="0"/>
        <w:sz w:val="24"/>
      </w:rPr>
    </w:lvl>
    <w:lvl w:ilvl="1">
      <w:start w:val="1"/>
      <w:numFmt w:val="decimal"/>
      <w:pStyle w:val="Level2"/>
      <w:lvlText w:val="%1.%2"/>
      <w:lvlJc w:val="left"/>
      <w:pPr>
        <w:tabs>
          <w:tab w:val="left" w:pos="680"/>
        </w:tabs>
        <w:ind w:left="680" w:hanging="680"/>
      </w:pPr>
      <w:rPr>
        <w:rFonts w:ascii="宋体" w:eastAsia="宋体" w:hint="eastAsia"/>
        <w:b/>
        <w:i w:val="0"/>
        <w:sz w:val="21"/>
      </w:rPr>
    </w:lvl>
    <w:lvl w:ilvl="2">
      <w:start w:val="1"/>
      <w:numFmt w:val="decimal"/>
      <w:pStyle w:val="Level3"/>
      <w:lvlText w:val="%1.%2.%3"/>
      <w:lvlJc w:val="left"/>
      <w:pPr>
        <w:tabs>
          <w:tab w:val="left" w:pos="1361"/>
        </w:tabs>
        <w:ind w:left="1361" w:hanging="681"/>
      </w:pPr>
      <w:rPr>
        <w:rFonts w:hint="default"/>
        <w:b/>
        <w:i w:val="0"/>
        <w:sz w:val="17"/>
      </w:rPr>
    </w:lvl>
    <w:lvl w:ilvl="3">
      <w:start w:val="1"/>
      <w:numFmt w:val="decimal"/>
      <w:lvlText w:val="(%4)"/>
      <w:lvlJc w:val="left"/>
      <w:pPr>
        <w:tabs>
          <w:tab w:val="left" w:pos="681"/>
        </w:tabs>
        <w:ind w:left="681" w:hanging="681"/>
      </w:pPr>
      <w:rPr>
        <w:rFonts w:ascii="Arial" w:hAnsi="Arial" w:hint="default"/>
        <w:b w:val="0"/>
        <w:i w:val="0"/>
        <w:sz w:val="20"/>
      </w:rPr>
    </w:lvl>
    <w:lvl w:ilvl="4">
      <w:start w:val="1"/>
      <w:numFmt w:val="lowerLetter"/>
      <w:pStyle w:val="Level5"/>
      <w:lvlText w:val="(%5)"/>
      <w:lvlJc w:val="left"/>
      <w:pPr>
        <w:tabs>
          <w:tab w:val="left" w:pos="2608"/>
        </w:tabs>
        <w:ind w:left="2608" w:hanging="567"/>
      </w:pPr>
      <w:rPr>
        <w:rFonts w:hint="default"/>
      </w:rPr>
    </w:lvl>
    <w:lvl w:ilvl="5">
      <w:start w:val="1"/>
      <w:numFmt w:val="upperRoman"/>
      <w:pStyle w:val="Level6"/>
      <w:lvlText w:val="(%6)"/>
      <w:lvlJc w:val="left"/>
      <w:pPr>
        <w:tabs>
          <w:tab w:val="left" w:pos="3288"/>
        </w:tabs>
        <w:ind w:left="3288" w:hanging="680"/>
      </w:pPr>
      <w:rPr>
        <w:rFonts w:hint="default"/>
      </w:rPr>
    </w:lvl>
    <w:lvl w:ilvl="6">
      <w:start w:val="1"/>
      <w:numFmt w:val="none"/>
      <w:pStyle w:val="Level7"/>
      <w:lvlText w:val=""/>
      <w:lvlJc w:val="left"/>
      <w:pPr>
        <w:tabs>
          <w:tab w:val="left" w:pos="3288"/>
        </w:tabs>
        <w:ind w:left="3288" w:hanging="680"/>
      </w:pPr>
      <w:rPr>
        <w:rFonts w:hint="default"/>
      </w:rPr>
    </w:lvl>
    <w:lvl w:ilvl="7">
      <w:start w:val="1"/>
      <w:numFmt w:val="none"/>
      <w:pStyle w:val="Level8"/>
      <w:lvlText w:val=""/>
      <w:lvlJc w:val="left"/>
      <w:pPr>
        <w:tabs>
          <w:tab w:val="left" w:pos="3288"/>
        </w:tabs>
        <w:ind w:left="3288" w:hanging="680"/>
      </w:pPr>
      <w:rPr>
        <w:rFonts w:hint="default"/>
      </w:rPr>
    </w:lvl>
    <w:lvl w:ilvl="8">
      <w:start w:val="1"/>
      <w:numFmt w:val="none"/>
      <w:pStyle w:val="Level9"/>
      <w:lvlText w:val=""/>
      <w:lvlJc w:val="left"/>
      <w:pPr>
        <w:tabs>
          <w:tab w:val="left" w:pos="3288"/>
        </w:tabs>
        <w:ind w:left="3288" w:hanging="680"/>
      </w:pPr>
      <w:rPr>
        <w:rFonts w:hint="default"/>
      </w:rPr>
    </w:lvl>
  </w:abstractNum>
  <w:abstractNum w:abstractNumId="3">
    <w:nsid w:val="6FE147B6"/>
    <w:multiLevelType w:val="singleLevel"/>
    <w:tmpl w:val="6FE147B6"/>
    <w:lvl w:ilvl="0">
      <w:start w:val="1"/>
      <w:numFmt w:val="decimal"/>
      <w:pStyle w:val="20"/>
      <w:lvlText w:val="(%1)"/>
      <w:lvlJc w:val="left"/>
      <w:pPr>
        <w:tabs>
          <w:tab w:val="left" w:pos="360"/>
        </w:tabs>
        <w:ind w:left="0" w:firstLine="0"/>
      </w:pPr>
      <w:rPr>
        <w:rFonts w:hint="eastAsia"/>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62CC"/>
    <w:rsid w:val="0000336D"/>
    <w:rsid w:val="00011E0C"/>
    <w:rsid w:val="000134DF"/>
    <w:rsid w:val="000141B3"/>
    <w:rsid w:val="000150A1"/>
    <w:rsid w:val="00016B2F"/>
    <w:rsid w:val="000178C9"/>
    <w:rsid w:val="000201A2"/>
    <w:rsid w:val="00021C6F"/>
    <w:rsid w:val="00026A47"/>
    <w:rsid w:val="00032C15"/>
    <w:rsid w:val="00043AE3"/>
    <w:rsid w:val="000455CE"/>
    <w:rsid w:val="00047A49"/>
    <w:rsid w:val="000507C1"/>
    <w:rsid w:val="00050D60"/>
    <w:rsid w:val="00050E32"/>
    <w:rsid w:val="0005270F"/>
    <w:rsid w:val="00053A28"/>
    <w:rsid w:val="00055889"/>
    <w:rsid w:val="000576F7"/>
    <w:rsid w:val="0006090B"/>
    <w:rsid w:val="00061EFE"/>
    <w:rsid w:val="00062C1B"/>
    <w:rsid w:val="00066597"/>
    <w:rsid w:val="00072066"/>
    <w:rsid w:val="00073EEF"/>
    <w:rsid w:val="00076E9C"/>
    <w:rsid w:val="000770E4"/>
    <w:rsid w:val="00080345"/>
    <w:rsid w:val="000817BB"/>
    <w:rsid w:val="00084A9D"/>
    <w:rsid w:val="00092FE3"/>
    <w:rsid w:val="00093B11"/>
    <w:rsid w:val="0009505B"/>
    <w:rsid w:val="0009610D"/>
    <w:rsid w:val="00096D0E"/>
    <w:rsid w:val="000970D3"/>
    <w:rsid w:val="000A1798"/>
    <w:rsid w:val="000A1FED"/>
    <w:rsid w:val="000A2809"/>
    <w:rsid w:val="000A43D5"/>
    <w:rsid w:val="000B0075"/>
    <w:rsid w:val="000B4DA0"/>
    <w:rsid w:val="000B6836"/>
    <w:rsid w:val="000B720D"/>
    <w:rsid w:val="000B7428"/>
    <w:rsid w:val="000B7622"/>
    <w:rsid w:val="000B7ACE"/>
    <w:rsid w:val="000C3020"/>
    <w:rsid w:val="000C36FD"/>
    <w:rsid w:val="000C4C8F"/>
    <w:rsid w:val="000C5204"/>
    <w:rsid w:val="000D3337"/>
    <w:rsid w:val="000D6FDD"/>
    <w:rsid w:val="000E1E9B"/>
    <w:rsid w:val="000E3D34"/>
    <w:rsid w:val="000E4187"/>
    <w:rsid w:val="000F248B"/>
    <w:rsid w:val="000F4000"/>
    <w:rsid w:val="000F5C40"/>
    <w:rsid w:val="000F63F5"/>
    <w:rsid w:val="00102D5B"/>
    <w:rsid w:val="00103259"/>
    <w:rsid w:val="00112609"/>
    <w:rsid w:val="00112BE2"/>
    <w:rsid w:val="0012019B"/>
    <w:rsid w:val="001240D2"/>
    <w:rsid w:val="00127ED5"/>
    <w:rsid w:val="00132839"/>
    <w:rsid w:val="00133E74"/>
    <w:rsid w:val="001369D9"/>
    <w:rsid w:val="00145063"/>
    <w:rsid w:val="00147C35"/>
    <w:rsid w:val="001533E2"/>
    <w:rsid w:val="001545B6"/>
    <w:rsid w:val="001609F9"/>
    <w:rsid w:val="0016112E"/>
    <w:rsid w:val="001635EE"/>
    <w:rsid w:val="00163E1B"/>
    <w:rsid w:val="001646B3"/>
    <w:rsid w:val="00166406"/>
    <w:rsid w:val="0016706A"/>
    <w:rsid w:val="001745C9"/>
    <w:rsid w:val="00174F6A"/>
    <w:rsid w:val="00181F45"/>
    <w:rsid w:val="001824D3"/>
    <w:rsid w:val="00184AAE"/>
    <w:rsid w:val="00184E9F"/>
    <w:rsid w:val="00185938"/>
    <w:rsid w:val="00185F7E"/>
    <w:rsid w:val="001903DC"/>
    <w:rsid w:val="001A0D71"/>
    <w:rsid w:val="001A0FAD"/>
    <w:rsid w:val="001A1315"/>
    <w:rsid w:val="001A14AE"/>
    <w:rsid w:val="001A3539"/>
    <w:rsid w:val="001A64DD"/>
    <w:rsid w:val="001B101B"/>
    <w:rsid w:val="001B11B3"/>
    <w:rsid w:val="001B1C13"/>
    <w:rsid w:val="001B598D"/>
    <w:rsid w:val="001B716E"/>
    <w:rsid w:val="001C0AE8"/>
    <w:rsid w:val="001C258D"/>
    <w:rsid w:val="001C404F"/>
    <w:rsid w:val="001D0185"/>
    <w:rsid w:val="001D2F48"/>
    <w:rsid w:val="001E05E8"/>
    <w:rsid w:val="001E33F2"/>
    <w:rsid w:val="001F141D"/>
    <w:rsid w:val="001F2A1F"/>
    <w:rsid w:val="001F32BF"/>
    <w:rsid w:val="001F5570"/>
    <w:rsid w:val="001F7512"/>
    <w:rsid w:val="002001D3"/>
    <w:rsid w:val="00201AB5"/>
    <w:rsid w:val="002047D1"/>
    <w:rsid w:val="00205E21"/>
    <w:rsid w:val="002078F3"/>
    <w:rsid w:val="00207CD5"/>
    <w:rsid w:val="00214E5D"/>
    <w:rsid w:val="00217F96"/>
    <w:rsid w:val="00224EE1"/>
    <w:rsid w:val="0022597A"/>
    <w:rsid w:val="00227859"/>
    <w:rsid w:val="0023220C"/>
    <w:rsid w:val="00233D45"/>
    <w:rsid w:val="0023618C"/>
    <w:rsid w:val="00241ACA"/>
    <w:rsid w:val="002430FE"/>
    <w:rsid w:val="002507FE"/>
    <w:rsid w:val="00250CC4"/>
    <w:rsid w:val="0025184A"/>
    <w:rsid w:val="0025398C"/>
    <w:rsid w:val="002601E9"/>
    <w:rsid w:val="00260AE0"/>
    <w:rsid w:val="00263BCA"/>
    <w:rsid w:val="00266A12"/>
    <w:rsid w:val="002701CE"/>
    <w:rsid w:val="002706A4"/>
    <w:rsid w:val="00272F3A"/>
    <w:rsid w:val="00273F62"/>
    <w:rsid w:val="00274D96"/>
    <w:rsid w:val="00277C9D"/>
    <w:rsid w:val="00283A8E"/>
    <w:rsid w:val="00283F15"/>
    <w:rsid w:val="002863C8"/>
    <w:rsid w:val="00291943"/>
    <w:rsid w:val="002966EC"/>
    <w:rsid w:val="002A00BA"/>
    <w:rsid w:val="002A1DD0"/>
    <w:rsid w:val="002A6E10"/>
    <w:rsid w:val="002A7618"/>
    <w:rsid w:val="002B01D8"/>
    <w:rsid w:val="002B64A8"/>
    <w:rsid w:val="002C12F6"/>
    <w:rsid w:val="002C438F"/>
    <w:rsid w:val="002C4E0D"/>
    <w:rsid w:val="002D32E2"/>
    <w:rsid w:val="002E342B"/>
    <w:rsid w:val="002E3582"/>
    <w:rsid w:val="002E7690"/>
    <w:rsid w:val="002F0AEB"/>
    <w:rsid w:val="002F71C2"/>
    <w:rsid w:val="002F7A61"/>
    <w:rsid w:val="00310536"/>
    <w:rsid w:val="0031518F"/>
    <w:rsid w:val="003155E3"/>
    <w:rsid w:val="00315D57"/>
    <w:rsid w:val="00326A72"/>
    <w:rsid w:val="003271BF"/>
    <w:rsid w:val="0032747B"/>
    <w:rsid w:val="00327DF4"/>
    <w:rsid w:val="0033271C"/>
    <w:rsid w:val="0033347C"/>
    <w:rsid w:val="00333E36"/>
    <w:rsid w:val="00334B30"/>
    <w:rsid w:val="00344461"/>
    <w:rsid w:val="003464D5"/>
    <w:rsid w:val="00352C16"/>
    <w:rsid w:val="00353591"/>
    <w:rsid w:val="00354A44"/>
    <w:rsid w:val="00365C58"/>
    <w:rsid w:val="0036697D"/>
    <w:rsid w:val="00370B4F"/>
    <w:rsid w:val="003710F2"/>
    <w:rsid w:val="00371ED5"/>
    <w:rsid w:val="00377542"/>
    <w:rsid w:val="003847E5"/>
    <w:rsid w:val="003854AA"/>
    <w:rsid w:val="00386A86"/>
    <w:rsid w:val="00386C47"/>
    <w:rsid w:val="00390719"/>
    <w:rsid w:val="003928DF"/>
    <w:rsid w:val="003962D5"/>
    <w:rsid w:val="003A1C92"/>
    <w:rsid w:val="003A3022"/>
    <w:rsid w:val="003A6148"/>
    <w:rsid w:val="003A733C"/>
    <w:rsid w:val="003B0808"/>
    <w:rsid w:val="003B2407"/>
    <w:rsid w:val="003B374D"/>
    <w:rsid w:val="003B4F90"/>
    <w:rsid w:val="003B5179"/>
    <w:rsid w:val="003C0A28"/>
    <w:rsid w:val="003C3BD4"/>
    <w:rsid w:val="003C4E68"/>
    <w:rsid w:val="003C51F4"/>
    <w:rsid w:val="003D1CE3"/>
    <w:rsid w:val="003D32C5"/>
    <w:rsid w:val="003D4F54"/>
    <w:rsid w:val="003E13F7"/>
    <w:rsid w:val="003F024E"/>
    <w:rsid w:val="003F0D6B"/>
    <w:rsid w:val="003F1645"/>
    <w:rsid w:val="003F2C03"/>
    <w:rsid w:val="003F3D90"/>
    <w:rsid w:val="003F7179"/>
    <w:rsid w:val="00402349"/>
    <w:rsid w:val="0040420F"/>
    <w:rsid w:val="004052E3"/>
    <w:rsid w:val="0041122C"/>
    <w:rsid w:val="00412850"/>
    <w:rsid w:val="00413B26"/>
    <w:rsid w:val="00415CAA"/>
    <w:rsid w:val="00415FB0"/>
    <w:rsid w:val="00416668"/>
    <w:rsid w:val="00416A03"/>
    <w:rsid w:val="00417728"/>
    <w:rsid w:val="004254CB"/>
    <w:rsid w:val="00427D57"/>
    <w:rsid w:val="00432722"/>
    <w:rsid w:val="004334EC"/>
    <w:rsid w:val="00434ACE"/>
    <w:rsid w:val="00441196"/>
    <w:rsid w:val="004419FB"/>
    <w:rsid w:val="00443B45"/>
    <w:rsid w:val="00443C74"/>
    <w:rsid w:val="00463AC0"/>
    <w:rsid w:val="00463D15"/>
    <w:rsid w:val="004657EA"/>
    <w:rsid w:val="00465DA1"/>
    <w:rsid w:val="00467F0E"/>
    <w:rsid w:val="00470701"/>
    <w:rsid w:val="004822FB"/>
    <w:rsid w:val="0048715E"/>
    <w:rsid w:val="00487357"/>
    <w:rsid w:val="00487BD8"/>
    <w:rsid w:val="00494FA6"/>
    <w:rsid w:val="00495EB6"/>
    <w:rsid w:val="004B5F7E"/>
    <w:rsid w:val="004C1F9B"/>
    <w:rsid w:val="004C27F1"/>
    <w:rsid w:val="004C3863"/>
    <w:rsid w:val="004C4A0F"/>
    <w:rsid w:val="004D2D86"/>
    <w:rsid w:val="004D3208"/>
    <w:rsid w:val="004D73CA"/>
    <w:rsid w:val="004D7A1C"/>
    <w:rsid w:val="004E08FD"/>
    <w:rsid w:val="004F02E3"/>
    <w:rsid w:val="004F04FA"/>
    <w:rsid w:val="004F4E5A"/>
    <w:rsid w:val="004F7007"/>
    <w:rsid w:val="005043F9"/>
    <w:rsid w:val="005046CA"/>
    <w:rsid w:val="00506A9D"/>
    <w:rsid w:val="00517167"/>
    <w:rsid w:val="00520016"/>
    <w:rsid w:val="005266D4"/>
    <w:rsid w:val="00533A47"/>
    <w:rsid w:val="00540285"/>
    <w:rsid w:val="005435FB"/>
    <w:rsid w:val="00552750"/>
    <w:rsid w:val="00555BA2"/>
    <w:rsid w:val="0055734F"/>
    <w:rsid w:val="005622B6"/>
    <w:rsid w:val="005677AD"/>
    <w:rsid w:val="00571308"/>
    <w:rsid w:val="005730A9"/>
    <w:rsid w:val="0057704C"/>
    <w:rsid w:val="005803F4"/>
    <w:rsid w:val="005819A7"/>
    <w:rsid w:val="0058387A"/>
    <w:rsid w:val="00585A88"/>
    <w:rsid w:val="0059102D"/>
    <w:rsid w:val="005916C4"/>
    <w:rsid w:val="005921E3"/>
    <w:rsid w:val="0059486A"/>
    <w:rsid w:val="00596A50"/>
    <w:rsid w:val="00597B85"/>
    <w:rsid w:val="005A1DA0"/>
    <w:rsid w:val="005A3605"/>
    <w:rsid w:val="005A4328"/>
    <w:rsid w:val="005A463E"/>
    <w:rsid w:val="005A7A85"/>
    <w:rsid w:val="005B0297"/>
    <w:rsid w:val="005B766D"/>
    <w:rsid w:val="005C5145"/>
    <w:rsid w:val="005D4BA1"/>
    <w:rsid w:val="005D7E0D"/>
    <w:rsid w:val="005D7E1E"/>
    <w:rsid w:val="005E18B6"/>
    <w:rsid w:val="005F3AD5"/>
    <w:rsid w:val="005F62D9"/>
    <w:rsid w:val="005F6503"/>
    <w:rsid w:val="00600783"/>
    <w:rsid w:val="00601DA1"/>
    <w:rsid w:val="006038C3"/>
    <w:rsid w:val="006059FA"/>
    <w:rsid w:val="00611CEA"/>
    <w:rsid w:val="006132D5"/>
    <w:rsid w:val="006140CC"/>
    <w:rsid w:val="0061438B"/>
    <w:rsid w:val="00616C7B"/>
    <w:rsid w:val="006212EC"/>
    <w:rsid w:val="006259CB"/>
    <w:rsid w:val="00627DBF"/>
    <w:rsid w:val="00632249"/>
    <w:rsid w:val="00635709"/>
    <w:rsid w:val="006367A1"/>
    <w:rsid w:val="00637A2B"/>
    <w:rsid w:val="006424F1"/>
    <w:rsid w:val="0064649E"/>
    <w:rsid w:val="00646533"/>
    <w:rsid w:val="00646DF1"/>
    <w:rsid w:val="00647036"/>
    <w:rsid w:val="00656F9A"/>
    <w:rsid w:val="00660591"/>
    <w:rsid w:val="006620BA"/>
    <w:rsid w:val="00662717"/>
    <w:rsid w:val="00664829"/>
    <w:rsid w:val="006662A1"/>
    <w:rsid w:val="00666C25"/>
    <w:rsid w:val="00671DB5"/>
    <w:rsid w:val="00672383"/>
    <w:rsid w:val="00673746"/>
    <w:rsid w:val="00673BD7"/>
    <w:rsid w:val="006748D6"/>
    <w:rsid w:val="00675885"/>
    <w:rsid w:val="0068156F"/>
    <w:rsid w:val="0068209D"/>
    <w:rsid w:val="006827D6"/>
    <w:rsid w:val="006845DD"/>
    <w:rsid w:val="00685B0F"/>
    <w:rsid w:val="00692BE9"/>
    <w:rsid w:val="006A3AEA"/>
    <w:rsid w:val="006A609D"/>
    <w:rsid w:val="006A62A6"/>
    <w:rsid w:val="006B324A"/>
    <w:rsid w:val="006B5B58"/>
    <w:rsid w:val="006B5E4E"/>
    <w:rsid w:val="006B788D"/>
    <w:rsid w:val="006C2816"/>
    <w:rsid w:val="006C632A"/>
    <w:rsid w:val="006D0194"/>
    <w:rsid w:val="006D11CD"/>
    <w:rsid w:val="006D4512"/>
    <w:rsid w:val="006D6E03"/>
    <w:rsid w:val="006E0CBE"/>
    <w:rsid w:val="006E3A73"/>
    <w:rsid w:val="006E55E8"/>
    <w:rsid w:val="006F36D3"/>
    <w:rsid w:val="006F4638"/>
    <w:rsid w:val="00702DD7"/>
    <w:rsid w:val="00704D7F"/>
    <w:rsid w:val="00705BCF"/>
    <w:rsid w:val="007066B5"/>
    <w:rsid w:val="00710D35"/>
    <w:rsid w:val="00716D3B"/>
    <w:rsid w:val="007204D6"/>
    <w:rsid w:val="00721EED"/>
    <w:rsid w:val="00722704"/>
    <w:rsid w:val="00722FF0"/>
    <w:rsid w:val="00732DA2"/>
    <w:rsid w:val="00736608"/>
    <w:rsid w:val="00740060"/>
    <w:rsid w:val="00740CBA"/>
    <w:rsid w:val="00742372"/>
    <w:rsid w:val="00743C6B"/>
    <w:rsid w:val="0074463C"/>
    <w:rsid w:val="00750314"/>
    <w:rsid w:val="00750772"/>
    <w:rsid w:val="00766DBF"/>
    <w:rsid w:val="00767E9E"/>
    <w:rsid w:val="00771C0C"/>
    <w:rsid w:val="00771D0E"/>
    <w:rsid w:val="00773E87"/>
    <w:rsid w:val="007743FF"/>
    <w:rsid w:val="00780A15"/>
    <w:rsid w:val="0078216F"/>
    <w:rsid w:val="00785310"/>
    <w:rsid w:val="00790FC7"/>
    <w:rsid w:val="007929DD"/>
    <w:rsid w:val="00795893"/>
    <w:rsid w:val="00795A6A"/>
    <w:rsid w:val="007A2BA2"/>
    <w:rsid w:val="007A36DF"/>
    <w:rsid w:val="007A4472"/>
    <w:rsid w:val="007A57BE"/>
    <w:rsid w:val="007A659F"/>
    <w:rsid w:val="007A708A"/>
    <w:rsid w:val="007B0530"/>
    <w:rsid w:val="007B11A4"/>
    <w:rsid w:val="007B1A77"/>
    <w:rsid w:val="007C17DD"/>
    <w:rsid w:val="007C1DE1"/>
    <w:rsid w:val="007C40D7"/>
    <w:rsid w:val="007C5BF3"/>
    <w:rsid w:val="007C7D83"/>
    <w:rsid w:val="007D3B33"/>
    <w:rsid w:val="007D4996"/>
    <w:rsid w:val="007D60CA"/>
    <w:rsid w:val="007E0DDF"/>
    <w:rsid w:val="007E59DF"/>
    <w:rsid w:val="007E6165"/>
    <w:rsid w:val="007E7483"/>
    <w:rsid w:val="007F0F86"/>
    <w:rsid w:val="007F1ED7"/>
    <w:rsid w:val="007F3452"/>
    <w:rsid w:val="007F610C"/>
    <w:rsid w:val="007F72A0"/>
    <w:rsid w:val="008018AF"/>
    <w:rsid w:val="00805BBA"/>
    <w:rsid w:val="008101DA"/>
    <w:rsid w:val="00811640"/>
    <w:rsid w:val="0081243C"/>
    <w:rsid w:val="00814B21"/>
    <w:rsid w:val="00815169"/>
    <w:rsid w:val="00816187"/>
    <w:rsid w:val="008170B0"/>
    <w:rsid w:val="00817FFC"/>
    <w:rsid w:val="0082089D"/>
    <w:rsid w:val="0082147A"/>
    <w:rsid w:val="00824FDE"/>
    <w:rsid w:val="008253FA"/>
    <w:rsid w:val="00826E64"/>
    <w:rsid w:val="00827565"/>
    <w:rsid w:val="008276B4"/>
    <w:rsid w:val="00827F46"/>
    <w:rsid w:val="00831A98"/>
    <w:rsid w:val="00834A50"/>
    <w:rsid w:val="00847C44"/>
    <w:rsid w:val="00853093"/>
    <w:rsid w:val="00856EA5"/>
    <w:rsid w:val="00863DCB"/>
    <w:rsid w:val="00864D27"/>
    <w:rsid w:val="0086578E"/>
    <w:rsid w:val="00865A22"/>
    <w:rsid w:val="008667D3"/>
    <w:rsid w:val="008734F5"/>
    <w:rsid w:val="00883182"/>
    <w:rsid w:val="00886530"/>
    <w:rsid w:val="0088667C"/>
    <w:rsid w:val="00886EAA"/>
    <w:rsid w:val="00890371"/>
    <w:rsid w:val="008929A7"/>
    <w:rsid w:val="0089384B"/>
    <w:rsid w:val="008A154B"/>
    <w:rsid w:val="008A3545"/>
    <w:rsid w:val="008A35AA"/>
    <w:rsid w:val="008A4226"/>
    <w:rsid w:val="008B0E2E"/>
    <w:rsid w:val="008B1C1C"/>
    <w:rsid w:val="008B2FEF"/>
    <w:rsid w:val="008C452C"/>
    <w:rsid w:val="008C72FF"/>
    <w:rsid w:val="008C7AAA"/>
    <w:rsid w:val="008D1644"/>
    <w:rsid w:val="008D2EA1"/>
    <w:rsid w:val="008D4429"/>
    <w:rsid w:val="008D682A"/>
    <w:rsid w:val="008D769B"/>
    <w:rsid w:val="008F6E8B"/>
    <w:rsid w:val="00902224"/>
    <w:rsid w:val="00904611"/>
    <w:rsid w:val="009046B4"/>
    <w:rsid w:val="00904D87"/>
    <w:rsid w:val="00904EB3"/>
    <w:rsid w:val="0090511D"/>
    <w:rsid w:val="00905381"/>
    <w:rsid w:val="00906588"/>
    <w:rsid w:val="00913D49"/>
    <w:rsid w:val="0091583E"/>
    <w:rsid w:val="00916A1B"/>
    <w:rsid w:val="009202B7"/>
    <w:rsid w:val="009277AE"/>
    <w:rsid w:val="00935379"/>
    <w:rsid w:val="00943D86"/>
    <w:rsid w:val="00943E94"/>
    <w:rsid w:val="00945E08"/>
    <w:rsid w:val="0095094F"/>
    <w:rsid w:val="00953446"/>
    <w:rsid w:val="0095481A"/>
    <w:rsid w:val="00961F52"/>
    <w:rsid w:val="00965E53"/>
    <w:rsid w:val="00971061"/>
    <w:rsid w:val="00980EE0"/>
    <w:rsid w:val="00982E09"/>
    <w:rsid w:val="00982F8A"/>
    <w:rsid w:val="00986F18"/>
    <w:rsid w:val="0098753F"/>
    <w:rsid w:val="00990719"/>
    <w:rsid w:val="00991F60"/>
    <w:rsid w:val="00992BC7"/>
    <w:rsid w:val="00993A01"/>
    <w:rsid w:val="009974C2"/>
    <w:rsid w:val="00997664"/>
    <w:rsid w:val="00997906"/>
    <w:rsid w:val="009A1160"/>
    <w:rsid w:val="009A3D58"/>
    <w:rsid w:val="009A479E"/>
    <w:rsid w:val="009A5C6A"/>
    <w:rsid w:val="009A718C"/>
    <w:rsid w:val="009B2161"/>
    <w:rsid w:val="009B33F0"/>
    <w:rsid w:val="009B5534"/>
    <w:rsid w:val="009C494D"/>
    <w:rsid w:val="009C657D"/>
    <w:rsid w:val="009D11EF"/>
    <w:rsid w:val="009E0008"/>
    <w:rsid w:val="009E71B1"/>
    <w:rsid w:val="009F05AC"/>
    <w:rsid w:val="009F0AD2"/>
    <w:rsid w:val="009F11B8"/>
    <w:rsid w:val="009F527B"/>
    <w:rsid w:val="00A0265F"/>
    <w:rsid w:val="00A029B0"/>
    <w:rsid w:val="00A02CF1"/>
    <w:rsid w:val="00A0497F"/>
    <w:rsid w:val="00A06114"/>
    <w:rsid w:val="00A10026"/>
    <w:rsid w:val="00A104AB"/>
    <w:rsid w:val="00A10B82"/>
    <w:rsid w:val="00A12790"/>
    <w:rsid w:val="00A13228"/>
    <w:rsid w:val="00A233EB"/>
    <w:rsid w:val="00A2548F"/>
    <w:rsid w:val="00A25F53"/>
    <w:rsid w:val="00A268F2"/>
    <w:rsid w:val="00A27A58"/>
    <w:rsid w:val="00A354F1"/>
    <w:rsid w:val="00A36D05"/>
    <w:rsid w:val="00A441D8"/>
    <w:rsid w:val="00A519F0"/>
    <w:rsid w:val="00A617C7"/>
    <w:rsid w:val="00A64091"/>
    <w:rsid w:val="00A653ED"/>
    <w:rsid w:val="00A66633"/>
    <w:rsid w:val="00A66927"/>
    <w:rsid w:val="00A70800"/>
    <w:rsid w:val="00A70CD3"/>
    <w:rsid w:val="00A737CD"/>
    <w:rsid w:val="00A7461F"/>
    <w:rsid w:val="00A8081E"/>
    <w:rsid w:val="00A85BF2"/>
    <w:rsid w:val="00A86555"/>
    <w:rsid w:val="00A90C15"/>
    <w:rsid w:val="00A93783"/>
    <w:rsid w:val="00A94EE3"/>
    <w:rsid w:val="00A9733E"/>
    <w:rsid w:val="00AA00C1"/>
    <w:rsid w:val="00AA06B3"/>
    <w:rsid w:val="00AA0914"/>
    <w:rsid w:val="00AA23F2"/>
    <w:rsid w:val="00AA79C8"/>
    <w:rsid w:val="00AB7A62"/>
    <w:rsid w:val="00AC48B9"/>
    <w:rsid w:val="00AC6ACB"/>
    <w:rsid w:val="00AC7FFA"/>
    <w:rsid w:val="00AD2515"/>
    <w:rsid w:val="00AD352B"/>
    <w:rsid w:val="00AD4554"/>
    <w:rsid w:val="00AD4A06"/>
    <w:rsid w:val="00AD4B02"/>
    <w:rsid w:val="00AD6CDD"/>
    <w:rsid w:val="00AE0D8D"/>
    <w:rsid w:val="00AE216B"/>
    <w:rsid w:val="00AE3BBE"/>
    <w:rsid w:val="00AE58E1"/>
    <w:rsid w:val="00AF2EDB"/>
    <w:rsid w:val="00AF666B"/>
    <w:rsid w:val="00AF6EFA"/>
    <w:rsid w:val="00AF7806"/>
    <w:rsid w:val="00B00CB2"/>
    <w:rsid w:val="00B01097"/>
    <w:rsid w:val="00B013D2"/>
    <w:rsid w:val="00B05F2B"/>
    <w:rsid w:val="00B06B61"/>
    <w:rsid w:val="00B11BD0"/>
    <w:rsid w:val="00B203C2"/>
    <w:rsid w:val="00B208BE"/>
    <w:rsid w:val="00B22682"/>
    <w:rsid w:val="00B230AC"/>
    <w:rsid w:val="00B257F8"/>
    <w:rsid w:val="00B26126"/>
    <w:rsid w:val="00B3218B"/>
    <w:rsid w:val="00B378E1"/>
    <w:rsid w:val="00B57A86"/>
    <w:rsid w:val="00B57FB0"/>
    <w:rsid w:val="00B60CAE"/>
    <w:rsid w:val="00B649E3"/>
    <w:rsid w:val="00B6572D"/>
    <w:rsid w:val="00B713F9"/>
    <w:rsid w:val="00B725B9"/>
    <w:rsid w:val="00B731F8"/>
    <w:rsid w:val="00B7394E"/>
    <w:rsid w:val="00B74BBF"/>
    <w:rsid w:val="00B76A24"/>
    <w:rsid w:val="00B8145F"/>
    <w:rsid w:val="00B841A9"/>
    <w:rsid w:val="00B901B4"/>
    <w:rsid w:val="00B90670"/>
    <w:rsid w:val="00BA50DD"/>
    <w:rsid w:val="00BA5E9D"/>
    <w:rsid w:val="00BA64C2"/>
    <w:rsid w:val="00BA6B4D"/>
    <w:rsid w:val="00BD1D02"/>
    <w:rsid w:val="00BE059D"/>
    <w:rsid w:val="00BE31E8"/>
    <w:rsid w:val="00BE37BA"/>
    <w:rsid w:val="00BE52BC"/>
    <w:rsid w:val="00BF303E"/>
    <w:rsid w:val="00BF7B8F"/>
    <w:rsid w:val="00C01DB3"/>
    <w:rsid w:val="00C02B65"/>
    <w:rsid w:val="00C119B3"/>
    <w:rsid w:val="00C136A7"/>
    <w:rsid w:val="00C13C8B"/>
    <w:rsid w:val="00C169CD"/>
    <w:rsid w:val="00C2057F"/>
    <w:rsid w:val="00C214F3"/>
    <w:rsid w:val="00C3180D"/>
    <w:rsid w:val="00C325B9"/>
    <w:rsid w:val="00C32B76"/>
    <w:rsid w:val="00C33B54"/>
    <w:rsid w:val="00C372E8"/>
    <w:rsid w:val="00C43018"/>
    <w:rsid w:val="00C4420B"/>
    <w:rsid w:val="00C45E81"/>
    <w:rsid w:val="00C5197E"/>
    <w:rsid w:val="00C55058"/>
    <w:rsid w:val="00C569CB"/>
    <w:rsid w:val="00C61360"/>
    <w:rsid w:val="00C61A87"/>
    <w:rsid w:val="00C62978"/>
    <w:rsid w:val="00C63530"/>
    <w:rsid w:val="00C71655"/>
    <w:rsid w:val="00C716C4"/>
    <w:rsid w:val="00C71CCE"/>
    <w:rsid w:val="00C74377"/>
    <w:rsid w:val="00C763E9"/>
    <w:rsid w:val="00C7727C"/>
    <w:rsid w:val="00C7780F"/>
    <w:rsid w:val="00C840C4"/>
    <w:rsid w:val="00C8697E"/>
    <w:rsid w:val="00C8745B"/>
    <w:rsid w:val="00C87F34"/>
    <w:rsid w:val="00CA3D1C"/>
    <w:rsid w:val="00CA3FA0"/>
    <w:rsid w:val="00CB483E"/>
    <w:rsid w:val="00CB4F45"/>
    <w:rsid w:val="00CB5CF6"/>
    <w:rsid w:val="00CB7FDF"/>
    <w:rsid w:val="00CC016C"/>
    <w:rsid w:val="00CC1524"/>
    <w:rsid w:val="00CC38BC"/>
    <w:rsid w:val="00CC3FD6"/>
    <w:rsid w:val="00CC4646"/>
    <w:rsid w:val="00CC4BBF"/>
    <w:rsid w:val="00CC50C7"/>
    <w:rsid w:val="00CC6F62"/>
    <w:rsid w:val="00CD4055"/>
    <w:rsid w:val="00CD5B92"/>
    <w:rsid w:val="00CD6407"/>
    <w:rsid w:val="00CF1D50"/>
    <w:rsid w:val="00CF2220"/>
    <w:rsid w:val="00CF48EF"/>
    <w:rsid w:val="00CF6F55"/>
    <w:rsid w:val="00D076A0"/>
    <w:rsid w:val="00D10AEE"/>
    <w:rsid w:val="00D144B9"/>
    <w:rsid w:val="00D153A1"/>
    <w:rsid w:val="00D15D01"/>
    <w:rsid w:val="00D201F4"/>
    <w:rsid w:val="00D20D5E"/>
    <w:rsid w:val="00D21C3E"/>
    <w:rsid w:val="00D30B5E"/>
    <w:rsid w:val="00D31D4F"/>
    <w:rsid w:val="00D32E0A"/>
    <w:rsid w:val="00D3314C"/>
    <w:rsid w:val="00D3382D"/>
    <w:rsid w:val="00D3499F"/>
    <w:rsid w:val="00D35821"/>
    <w:rsid w:val="00D3588A"/>
    <w:rsid w:val="00D36EED"/>
    <w:rsid w:val="00D40F56"/>
    <w:rsid w:val="00D42938"/>
    <w:rsid w:val="00D51F1D"/>
    <w:rsid w:val="00D54704"/>
    <w:rsid w:val="00D56867"/>
    <w:rsid w:val="00D56BEF"/>
    <w:rsid w:val="00D579D9"/>
    <w:rsid w:val="00D60C57"/>
    <w:rsid w:val="00D62D7A"/>
    <w:rsid w:val="00D646EF"/>
    <w:rsid w:val="00D65943"/>
    <w:rsid w:val="00D65C12"/>
    <w:rsid w:val="00D678EB"/>
    <w:rsid w:val="00D67B99"/>
    <w:rsid w:val="00D724F6"/>
    <w:rsid w:val="00D72F9D"/>
    <w:rsid w:val="00D73195"/>
    <w:rsid w:val="00D73D18"/>
    <w:rsid w:val="00D756F0"/>
    <w:rsid w:val="00D75C25"/>
    <w:rsid w:val="00D90250"/>
    <w:rsid w:val="00D9048A"/>
    <w:rsid w:val="00D930F8"/>
    <w:rsid w:val="00D9445F"/>
    <w:rsid w:val="00D944CB"/>
    <w:rsid w:val="00D963EA"/>
    <w:rsid w:val="00DA2C38"/>
    <w:rsid w:val="00DA3702"/>
    <w:rsid w:val="00DA3803"/>
    <w:rsid w:val="00DA53A0"/>
    <w:rsid w:val="00DA672B"/>
    <w:rsid w:val="00DA6765"/>
    <w:rsid w:val="00DB0B27"/>
    <w:rsid w:val="00DB2B1C"/>
    <w:rsid w:val="00DB36A1"/>
    <w:rsid w:val="00DC18B9"/>
    <w:rsid w:val="00DC34EA"/>
    <w:rsid w:val="00DD0A4B"/>
    <w:rsid w:val="00DD27F1"/>
    <w:rsid w:val="00DD4528"/>
    <w:rsid w:val="00DD53A7"/>
    <w:rsid w:val="00DD56A4"/>
    <w:rsid w:val="00DE17CF"/>
    <w:rsid w:val="00DE3476"/>
    <w:rsid w:val="00DE3FEA"/>
    <w:rsid w:val="00DE633F"/>
    <w:rsid w:val="00DF25B5"/>
    <w:rsid w:val="00DF31EF"/>
    <w:rsid w:val="00DF38F8"/>
    <w:rsid w:val="00DF45B1"/>
    <w:rsid w:val="00E02857"/>
    <w:rsid w:val="00E03AA1"/>
    <w:rsid w:val="00E06A86"/>
    <w:rsid w:val="00E14466"/>
    <w:rsid w:val="00E174CD"/>
    <w:rsid w:val="00E222D8"/>
    <w:rsid w:val="00E22517"/>
    <w:rsid w:val="00E240DA"/>
    <w:rsid w:val="00E24BAE"/>
    <w:rsid w:val="00E3056A"/>
    <w:rsid w:val="00E30609"/>
    <w:rsid w:val="00E334FD"/>
    <w:rsid w:val="00E33B1F"/>
    <w:rsid w:val="00E355E6"/>
    <w:rsid w:val="00E362E4"/>
    <w:rsid w:val="00E41248"/>
    <w:rsid w:val="00E4128A"/>
    <w:rsid w:val="00E5173A"/>
    <w:rsid w:val="00E63ED8"/>
    <w:rsid w:val="00E63FD3"/>
    <w:rsid w:val="00E669D9"/>
    <w:rsid w:val="00E67B40"/>
    <w:rsid w:val="00E70940"/>
    <w:rsid w:val="00E717B9"/>
    <w:rsid w:val="00E71AA1"/>
    <w:rsid w:val="00E76519"/>
    <w:rsid w:val="00E80F55"/>
    <w:rsid w:val="00E85501"/>
    <w:rsid w:val="00E94C6B"/>
    <w:rsid w:val="00E94FCE"/>
    <w:rsid w:val="00EA4756"/>
    <w:rsid w:val="00EA5ED4"/>
    <w:rsid w:val="00EB7500"/>
    <w:rsid w:val="00EC127F"/>
    <w:rsid w:val="00ED00EB"/>
    <w:rsid w:val="00ED161A"/>
    <w:rsid w:val="00ED759A"/>
    <w:rsid w:val="00EE2CAD"/>
    <w:rsid w:val="00EE2DDB"/>
    <w:rsid w:val="00EE361C"/>
    <w:rsid w:val="00EE769B"/>
    <w:rsid w:val="00EF005C"/>
    <w:rsid w:val="00EF2B86"/>
    <w:rsid w:val="00EF666F"/>
    <w:rsid w:val="00F0312E"/>
    <w:rsid w:val="00F109AB"/>
    <w:rsid w:val="00F1118A"/>
    <w:rsid w:val="00F13903"/>
    <w:rsid w:val="00F152EA"/>
    <w:rsid w:val="00F16B98"/>
    <w:rsid w:val="00F21671"/>
    <w:rsid w:val="00F32B8F"/>
    <w:rsid w:val="00F37574"/>
    <w:rsid w:val="00F456C8"/>
    <w:rsid w:val="00F47904"/>
    <w:rsid w:val="00F52598"/>
    <w:rsid w:val="00F53671"/>
    <w:rsid w:val="00F536CC"/>
    <w:rsid w:val="00F559B1"/>
    <w:rsid w:val="00F562CC"/>
    <w:rsid w:val="00F5696E"/>
    <w:rsid w:val="00F56E3C"/>
    <w:rsid w:val="00F57BAE"/>
    <w:rsid w:val="00F61F55"/>
    <w:rsid w:val="00F80437"/>
    <w:rsid w:val="00F8118C"/>
    <w:rsid w:val="00F813DA"/>
    <w:rsid w:val="00F8348C"/>
    <w:rsid w:val="00F86352"/>
    <w:rsid w:val="00F919AC"/>
    <w:rsid w:val="00F92CCB"/>
    <w:rsid w:val="00F974D6"/>
    <w:rsid w:val="00FA6603"/>
    <w:rsid w:val="00FB0B07"/>
    <w:rsid w:val="00FB32FE"/>
    <w:rsid w:val="00FB360B"/>
    <w:rsid w:val="00FB389B"/>
    <w:rsid w:val="00FB5917"/>
    <w:rsid w:val="00FB5D4F"/>
    <w:rsid w:val="00FC33A5"/>
    <w:rsid w:val="00FC761C"/>
    <w:rsid w:val="00FD3125"/>
    <w:rsid w:val="00FD40A6"/>
    <w:rsid w:val="00FE011F"/>
    <w:rsid w:val="00FE09BA"/>
    <w:rsid w:val="00FE0E24"/>
    <w:rsid w:val="00FE3CB6"/>
    <w:rsid w:val="00FE6303"/>
    <w:rsid w:val="00FE71D4"/>
    <w:rsid w:val="00FF171F"/>
    <w:rsid w:val="00FF1AC9"/>
    <w:rsid w:val="00FF5B67"/>
    <w:rsid w:val="268016F7"/>
    <w:rsid w:val="7F1900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qFormat="1"/>
    <w:lsdException w:name="heading 3" w:semiHidden="0" w:uiPriority="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uiPriority="0" w:unhideWhenUsed="0" w:qFormat="1"/>
    <w:lsdException w:name="heading 8" w:uiPriority="0" w:unhideWhenUsed="0" w:qFormat="1"/>
    <w:lsdException w:name="heading 9" w:uiPriority="0" w:unhideWhenUsed="0" w:qFormat="1"/>
    <w:lsdException w:name="toc 1" w:uiPriority="39" w:qFormat="1"/>
    <w:lsdException w:name="toc 2" w:uiPriority="39"/>
    <w:lsdException w:name="toc 3" w:uiPriority="0" w:qFormat="1"/>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footnote text" w:uiPriority="0" w:qFormat="1"/>
    <w:lsdException w:name="annotation text" w:qFormat="1"/>
    <w:lsdException w:name="header" w:uiPriority="0" w:qFormat="1"/>
    <w:lsdException w:name="footer" w:qFormat="1"/>
    <w:lsdException w:name="caption" w:uiPriority="35" w:qFormat="1"/>
    <w:lsdException w:name="footnote reference" w:uiPriority="0" w:qFormat="1"/>
    <w:lsdException w:name="annotation reference" w:qFormat="1"/>
    <w:lsdException w:name="page number" w:uiPriority="0" w:unhideWhenUsed="0" w:qFormat="1"/>
    <w:lsdException w:name="Title" w:semiHidden="0" w:uiPriority="0" w:unhideWhenUsed="0" w:qFormat="1"/>
    <w:lsdException w:name="Default Paragraph Font" w:uiPriority="1"/>
    <w:lsdException w:name="Body Text" w:uiPriority="0" w:qFormat="1"/>
    <w:lsdException w:name="Body Text Indent" w:uiPriority="0" w:unhideWhenUsed="0" w:qFormat="1"/>
    <w:lsdException w:name="Subtitle" w:semiHidden="0" w:uiPriority="11" w:unhideWhenUsed="0" w:qFormat="1"/>
    <w:lsdException w:name="Body Text 2" w:uiPriority="0" w:unhideWhenUsed="0" w:qFormat="1"/>
    <w:lsdException w:name="Body Text Indent 2" w:uiPriority="0" w:qFormat="1"/>
    <w:lsdException w:name="Body Text Indent 3" w:uiPriority="0" w:qFormat="1"/>
    <w:lsdException w:name="Hyperlink" w:qFormat="1"/>
    <w:lsdException w:name="FollowedHyperlink" w:uiPriority="0" w:qFormat="1"/>
    <w:lsdException w:name="Strong" w:semiHidden="0" w:uiPriority="22" w:unhideWhenUsed="0" w:qFormat="1"/>
    <w:lsdException w:name="Emphasis" w:semiHidden="0" w:uiPriority="20" w:unhideWhenUsed="0" w:qFormat="1"/>
    <w:lsdException w:name="Document Map" w:uiPriority="0" w:qFormat="1"/>
    <w:lsdException w:name="Plain Text" w:uiPriority="0" w:qFormat="1"/>
    <w:lsdException w:name="Normal (Web)" w:unhideWhenUsed="0" w:qFormat="1"/>
    <w:lsdException w:name="Normal Table" w:qFormat="1"/>
    <w:lsdException w:name="annotation subject" w:uiPriority="0" w:qFormat="1"/>
    <w:lsdException w:name="Balloon Text" w:uiPriority="0"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unhideWhenUsed="0"/>
    <w:lsdException w:name="Intense Quote"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1">
    <w:name w:val="heading 1"/>
    <w:basedOn w:val="a"/>
    <w:next w:val="a"/>
    <w:link w:val="1Char"/>
    <w:uiPriority w:val="9"/>
    <w:qFormat/>
    <w:pPr>
      <w:keepNext/>
      <w:keepLines/>
      <w:spacing w:before="120" w:after="120" w:line="360" w:lineRule="auto"/>
      <w:outlineLvl w:val="0"/>
    </w:pPr>
    <w:rPr>
      <w:rFonts w:ascii="宋体" w:eastAsia="宋体" w:hAnsi="Times New Roman" w:cs="Times New Roman"/>
      <w:b/>
      <w:color w:val="000000"/>
      <w:kern w:val="0"/>
      <w:sz w:val="24"/>
      <w:szCs w:val="20"/>
      <w:lang w:val="zh-CN"/>
    </w:rPr>
  </w:style>
  <w:style w:type="paragraph" w:styleId="2">
    <w:name w:val="heading 2"/>
    <w:basedOn w:val="a"/>
    <w:next w:val="a"/>
    <w:link w:val="2Char"/>
    <w:unhideWhenUsed/>
    <w:qFormat/>
    <w:pPr>
      <w:keepNext/>
      <w:keepLines/>
      <w:numPr>
        <w:numId w:val="1"/>
      </w:numPr>
      <w:spacing w:before="260" w:after="260" w:line="412" w:lineRule="auto"/>
      <w:outlineLvl w:val="1"/>
    </w:pPr>
    <w:rPr>
      <w:rFonts w:ascii="Arial" w:eastAsia="黑体" w:hAnsi="Arial" w:cs="Times New Roman"/>
      <w:b/>
      <w:sz w:val="32"/>
      <w:szCs w:val="20"/>
      <w:lang w:val="zh-CN"/>
    </w:rPr>
  </w:style>
  <w:style w:type="paragraph" w:styleId="3">
    <w:name w:val="heading 3"/>
    <w:basedOn w:val="a"/>
    <w:next w:val="a"/>
    <w:link w:val="3Char"/>
    <w:unhideWhenUsed/>
    <w:qFormat/>
    <w:pPr>
      <w:keepNext/>
      <w:keepLines/>
      <w:spacing w:before="260" w:after="260" w:line="412" w:lineRule="auto"/>
      <w:outlineLvl w:val="2"/>
    </w:pPr>
    <w:rPr>
      <w:rFonts w:ascii="Times New Roman" w:eastAsia="宋体" w:hAnsi="Times New Roman" w:cs="Times New Roman"/>
      <w:b/>
      <w:kern w:val="0"/>
      <w:sz w:val="32"/>
      <w:szCs w:val="20"/>
      <w:lang w:val="zh-CN"/>
    </w:rPr>
  </w:style>
  <w:style w:type="paragraph" w:styleId="4">
    <w:name w:val="heading 4"/>
    <w:basedOn w:val="a"/>
    <w:next w:val="a"/>
    <w:link w:val="4Char"/>
    <w:qFormat/>
    <w:pPr>
      <w:keepNext/>
      <w:keepLines/>
      <w:spacing w:line="360" w:lineRule="auto"/>
      <w:outlineLvl w:val="3"/>
    </w:pPr>
    <w:rPr>
      <w:rFonts w:ascii="Arial" w:eastAsia="宋体" w:hAnsi="Arial" w:cs="Times New Roman"/>
      <w:szCs w:val="20"/>
    </w:rPr>
  </w:style>
  <w:style w:type="paragraph" w:styleId="5">
    <w:name w:val="heading 5"/>
    <w:basedOn w:val="a"/>
    <w:next w:val="a"/>
    <w:link w:val="5Char"/>
    <w:qFormat/>
    <w:pPr>
      <w:keepNext/>
      <w:keepLines/>
      <w:adjustRightInd w:val="0"/>
      <w:snapToGrid w:val="0"/>
      <w:spacing w:line="360" w:lineRule="auto"/>
      <w:outlineLvl w:val="4"/>
    </w:pPr>
    <w:rPr>
      <w:rFonts w:ascii="Times New Roman" w:eastAsia="宋体" w:hAnsi="Times New Roman" w:cs="Times New Roman"/>
      <w:szCs w:val="20"/>
    </w:rPr>
  </w:style>
  <w:style w:type="paragraph" w:styleId="6">
    <w:name w:val="heading 6"/>
    <w:basedOn w:val="a"/>
    <w:next w:val="a"/>
    <w:link w:val="6Char"/>
    <w:qFormat/>
    <w:pPr>
      <w:keepNext/>
      <w:keepLines/>
      <w:spacing w:before="240" w:after="64" w:line="320" w:lineRule="auto"/>
      <w:outlineLvl w:val="5"/>
    </w:pPr>
    <w:rPr>
      <w:rFonts w:ascii="Arial" w:eastAsia="黑体" w:hAnsi="Arial" w:cs="Times New Roman"/>
      <w:b/>
      <w:sz w:val="24"/>
      <w:szCs w:val="20"/>
    </w:rPr>
  </w:style>
  <w:style w:type="paragraph" w:styleId="7">
    <w:name w:val="heading 7"/>
    <w:basedOn w:val="a"/>
    <w:next w:val="a"/>
    <w:link w:val="7Char"/>
    <w:qFormat/>
    <w:pPr>
      <w:keepNext/>
      <w:keepLines/>
      <w:spacing w:before="240" w:after="64" w:line="320" w:lineRule="auto"/>
      <w:outlineLvl w:val="6"/>
    </w:pPr>
    <w:rPr>
      <w:rFonts w:ascii="Times New Roman" w:eastAsia="宋体" w:hAnsi="Times New Roman" w:cs="Times New Roman"/>
      <w:b/>
      <w:sz w:val="24"/>
      <w:szCs w:val="20"/>
    </w:rPr>
  </w:style>
  <w:style w:type="paragraph" w:styleId="8">
    <w:name w:val="heading 8"/>
    <w:basedOn w:val="a"/>
    <w:next w:val="a"/>
    <w:link w:val="8Char"/>
    <w:qFormat/>
    <w:pPr>
      <w:keepNext/>
      <w:keepLines/>
      <w:spacing w:before="240" w:after="64" w:line="320" w:lineRule="auto"/>
      <w:outlineLvl w:val="7"/>
    </w:pPr>
    <w:rPr>
      <w:rFonts w:ascii="Arial" w:eastAsia="黑体" w:hAnsi="Arial" w:cs="Times New Roman"/>
      <w:sz w:val="24"/>
      <w:szCs w:val="20"/>
    </w:rPr>
  </w:style>
  <w:style w:type="paragraph" w:styleId="9">
    <w:name w:val="heading 9"/>
    <w:basedOn w:val="a"/>
    <w:next w:val="a"/>
    <w:link w:val="9Char"/>
    <w:qFormat/>
    <w:pPr>
      <w:keepNext/>
      <w:keepLines/>
      <w:spacing w:before="240" w:after="64" w:line="320" w:lineRule="auto"/>
      <w:outlineLvl w:val="8"/>
    </w:pPr>
    <w:rPr>
      <w:rFonts w:ascii="Arial" w:eastAsia="黑体" w:hAnsi="Arial"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semiHidden/>
    <w:unhideWhenUsed/>
    <w:qFormat/>
    <w:rPr>
      <w:b/>
    </w:rPr>
  </w:style>
  <w:style w:type="paragraph" w:styleId="a4">
    <w:name w:val="annotation text"/>
    <w:basedOn w:val="a"/>
    <w:link w:val="Char1"/>
    <w:uiPriority w:val="99"/>
    <w:unhideWhenUsed/>
    <w:qFormat/>
    <w:pPr>
      <w:jc w:val="left"/>
    </w:pPr>
    <w:rPr>
      <w:rFonts w:ascii="Times New Roman" w:eastAsia="宋体" w:hAnsi="Times New Roman" w:cs="Times New Roman"/>
      <w:szCs w:val="20"/>
    </w:rPr>
  </w:style>
  <w:style w:type="paragraph" w:styleId="a5">
    <w:name w:val="Normal Indent"/>
    <w:basedOn w:val="a"/>
    <w:unhideWhenUsed/>
    <w:qFormat/>
    <w:pPr>
      <w:ind w:firstLineChars="200" w:firstLine="420"/>
    </w:pPr>
    <w:rPr>
      <w:rFonts w:ascii="Times New Roman" w:eastAsia="宋体" w:hAnsi="Times New Roman" w:cs="Times New Roman"/>
      <w:szCs w:val="20"/>
    </w:rPr>
  </w:style>
  <w:style w:type="paragraph" w:styleId="a6">
    <w:name w:val="Document Map"/>
    <w:basedOn w:val="a"/>
    <w:link w:val="Char0"/>
    <w:semiHidden/>
    <w:unhideWhenUsed/>
    <w:qFormat/>
    <w:pPr>
      <w:shd w:val="clear" w:color="auto" w:fill="000080"/>
    </w:pPr>
    <w:rPr>
      <w:rFonts w:ascii="Times New Roman" w:eastAsia="宋体" w:hAnsi="Times New Roman" w:cs="Times New Roman"/>
      <w:szCs w:val="20"/>
    </w:rPr>
  </w:style>
  <w:style w:type="paragraph" w:styleId="a7">
    <w:name w:val="Body Text"/>
    <w:basedOn w:val="a"/>
    <w:link w:val="Char2"/>
    <w:unhideWhenUsed/>
    <w:qFormat/>
    <w:pPr>
      <w:autoSpaceDE w:val="0"/>
      <w:autoSpaceDN w:val="0"/>
      <w:adjustRightInd w:val="0"/>
      <w:spacing w:line="360" w:lineRule="auto"/>
      <w:jc w:val="left"/>
    </w:pPr>
    <w:rPr>
      <w:rFonts w:ascii="宋体" w:eastAsia="宋体" w:hAnsi="Calibri" w:cs="Times New Roman"/>
      <w:kern w:val="0"/>
    </w:rPr>
  </w:style>
  <w:style w:type="paragraph" w:styleId="a8">
    <w:name w:val="Body Text Indent"/>
    <w:basedOn w:val="a"/>
    <w:link w:val="Char3"/>
    <w:qFormat/>
    <w:pPr>
      <w:spacing w:after="120"/>
      <w:ind w:leftChars="200" w:left="420"/>
    </w:pPr>
    <w:rPr>
      <w:rFonts w:ascii="Times New Roman" w:eastAsia="宋体" w:hAnsi="Times New Roman" w:cs="Times New Roman"/>
      <w:szCs w:val="24"/>
    </w:rPr>
  </w:style>
  <w:style w:type="paragraph" w:styleId="30">
    <w:name w:val="toc 3"/>
    <w:basedOn w:val="a"/>
    <w:next w:val="a"/>
    <w:semiHidden/>
    <w:unhideWhenUsed/>
    <w:qFormat/>
    <w:pPr>
      <w:ind w:leftChars="400" w:left="840"/>
    </w:pPr>
    <w:rPr>
      <w:rFonts w:ascii="Times New Roman" w:eastAsia="宋体" w:hAnsi="Times New Roman" w:cs="Times New Roman"/>
      <w:szCs w:val="20"/>
    </w:rPr>
  </w:style>
  <w:style w:type="paragraph" w:styleId="a9">
    <w:name w:val="Plain Text"/>
    <w:basedOn w:val="a"/>
    <w:link w:val="Char4"/>
    <w:unhideWhenUsed/>
    <w:qFormat/>
    <w:pPr>
      <w:adjustRightInd w:val="0"/>
      <w:spacing w:line="312" w:lineRule="atLeast"/>
    </w:pPr>
    <w:rPr>
      <w:rFonts w:ascii="宋体" w:eastAsia="宋体" w:hAnsi="Courier New" w:cs="Times New Roman"/>
      <w:kern w:val="0"/>
      <w:szCs w:val="20"/>
    </w:rPr>
  </w:style>
  <w:style w:type="paragraph" w:styleId="21">
    <w:name w:val="Body Text Indent 2"/>
    <w:basedOn w:val="a"/>
    <w:link w:val="2Char0"/>
    <w:unhideWhenUsed/>
    <w:qFormat/>
    <w:pPr>
      <w:spacing w:line="360" w:lineRule="auto"/>
      <w:ind w:firstLine="425"/>
    </w:pPr>
    <w:rPr>
      <w:rFonts w:ascii="仿宋_GB2312" w:eastAsia="仿宋_GB2312" w:hAnsi="Times New Roman" w:cs="Times New Roman"/>
      <w:sz w:val="28"/>
      <w:szCs w:val="20"/>
    </w:rPr>
  </w:style>
  <w:style w:type="paragraph" w:styleId="aa">
    <w:name w:val="Balloon Text"/>
    <w:basedOn w:val="a"/>
    <w:link w:val="Char5"/>
    <w:semiHidden/>
    <w:unhideWhenUsed/>
    <w:qFormat/>
    <w:rPr>
      <w:rFonts w:ascii="Times New Roman" w:eastAsia="宋体" w:hAnsi="Times New Roman" w:cs="Times New Roman"/>
      <w:sz w:val="18"/>
      <w:szCs w:val="20"/>
    </w:rPr>
  </w:style>
  <w:style w:type="paragraph" w:styleId="ab">
    <w:name w:val="footer"/>
    <w:basedOn w:val="a"/>
    <w:link w:val="Char6"/>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c">
    <w:name w:val="header"/>
    <w:basedOn w:val="a"/>
    <w:link w:val="Char7"/>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10">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d">
    <w:name w:val="footnote text"/>
    <w:basedOn w:val="a"/>
    <w:link w:val="Char8"/>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Char0"/>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22">
    <w:name w:val="Body Text 2"/>
    <w:basedOn w:val="a"/>
    <w:link w:val="2Char1"/>
    <w:qFormat/>
    <w:pPr>
      <w:spacing w:after="120" w:line="480" w:lineRule="auto"/>
    </w:pPr>
    <w:rPr>
      <w:rFonts w:ascii="Times New Roman" w:eastAsia="宋体" w:hAnsi="Times New Roman" w:cs="Times New Roman"/>
      <w:szCs w:val="24"/>
    </w:rPr>
  </w:style>
  <w:style w:type="paragraph" w:styleId="ae">
    <w:name w:val="Normal (Web)"/>
    <w:basedOn w:val="a"/>
    <w:uiPriority w:val="99"/>
    <w:qFormat/>
    <w:pPr>
      <w:widowControl/>
      <w:spacing w:before="100" w:beforeAutospacing="1" w:after="100" w:afterAutospacing="1"/>
      <w:jc w:val="left"/>
    </w:pPr>
    <w:rPr>
      <w:rFonts w:ascii="宋体" w:eastAsia="宋体" w:hAnsi="宋体" w:cs="宋体"/>
      <w:kern w:val="0"/>
      <w:sz w:val="24"/>
      <w:szCs w:val="24"/>
    </w:rPr>
  </w:style>
  <w:style w:type="paragraph" w:styleId="af">
    <w:name w:val="Title"/>
    <w:basedOn w:val="a"/>
    <w:next w:val="a"/>
    <w:link w:val="Char9"/>
    <w:qFormat/>
    <w:pPr>
      <w:spacing w:before="240" w:after="60"/>
      <w:jc w:val="center"/>
      <w:outlineLvl w:val="0"/>
    </w:pPr>
    <w:rPr>
      <w:rFonts w:ascii="Cambria" w:eastAsia="宋体" w:hAnsi="Cambria" w:cs="Times New Roman"/>
      <w:b/>
      <w:sz w:val="32"/>
    </w:rPr>
  </w:style>
  <w:style w:type="character" w:styleId="af0">
    <w:name w:val="Strong"/>
    <w:basedOn w:val="a0"/>
    <w:uiPriority w:val="22"/>
    <w:qFormat/>
    <w:rPr>
      <w:b/>
      <w:bCs/>
    </w:rPr>
  </w:style>
  <w:style w:type="character" w:styleId="af1">
    <w:name w:val="page number"/>
    <w:basedOn w:val="a0"/>
    <w:qFormat/>
  </w:style>
  <w:style w:type="character" w:styleId="af2">
    <w:name w:val="FollowedHyperlink"/>
    <w:basedOn w:val="a0"/>
    <w:unhideWhenUsed/>
    <w:qFormat/>
    <w:rPr>
      <w:color w:val="800080" w:themeColor="followedHyperlink"/>
      <w:u w:val="single"/>
    </w:rPr>
  </w:style>
  <w:style w:type="character" w:styleId="af3">
    <w:name w:val="Hyperlink"/>
    <w:uiPriority w:val="99"/>
    <w:unhideWhenUsed/>
    <w:qFormat/>
    <w:rPr>
      <w:color w:val="0000FF"/>
      <w:u w:val="single"/>
    </w:rPr>
  </w:style>
  <w:style w:type="character" w:styleId="af4">
    <w:name w:val="annotation reference"/>
    <w:uiPriority w:val="99"/>
    <w:unhideWhenUsed/>
    <w:qFormat/>
    <w:rPr>
      <w:sz w:val="21"/>
    </w:rPr>
  </w:style>
  <w:style w:type="character" w:styleId="af5">
    <w:name w:val="footnote reference"/>
    <w:semiHidden/>
    <w:unhideWhenUsed/>
    <w:qFormat/>
    <w:rPr>
      <w:vertAlign w:val="superscript"/>
    </w:rPr>
  </w:style>
  <w:style w:type="table" w:styleId="af6">
    <w:name w:val="Table Grid"/>
    <w:basedOn w:val="a1"/>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Char">
    <w:name w:val="标题 1 Char"/>
    <w:basedOn w:val="a0"/>
    <w:link w:val="1"/>
    <w:uiPriority w:val="9"/>
    <w:qFormat/>
    <w:rPr>
      <w:rFonts w:ascii="宋体" w:eastAsia="宋体" w:hAnsi="Times New Roman" w:cs="Times New Roman"/>
      <w:b/>
      <w:color w:val="000000"/>
      <w:kern w:val="0"/>
      <w:sz w:val="24"/>
      <w:szCs w:val="20"/>
      <w:lang w:val="zh-CN" w:eastAsia="zh-CN"/>
    </w:rPr>
  </w:style>
  <w:style w:type="character" w:customStyle="1" w:styleId="2Char">
    <w:name w:val="标题 2 Char"/>
    <w:basedOn w:val="a0"/>
    <w:link w:val="2"/>
    <w:semiHidden/>
    <w:qFormat/>
    <w:rPr>
      <w:rFonts w:ascii="Arial" w:eastAsia="黑体" w:hAnsi="Arial" w:cs="Times New Roman"/>
      <w:b/>
      <w:sz w:val="32"/>
      <w:szCs w:val="20"/>
      <w:lang w:val="zh-CN" w:eastAsia="zh-CN"/>
    </w:rPr>
  </w:style>
  <w:style w:type="character" w:customStyle="1" w:styleId="3Char">
    <w:name w:val="标题 3 Char"/>
    <w:basedOn w:val="a0"/>
    <w:link w:val="3"/>
    <w:semiHidden/>
    <w:qFormat/>
    <w:rPr>
      <w:rFonts w:ascii="Times New Roman" w:eastAsia="宋体" w:hAnsi="Times New Roman" w:cs="Times New Roman"/>
      <w:b/>
      <w:kern w:val="0"/>
      <w:sz w:val="32"/>
      <w:szCs w:val="20"/>
      <w:lang w:val="zh-CN" w:eastAsia="zh-CN"/>
    </w:rPr>
  </w:style>
  <w:style w:type="character" w:customStyle="1" w:styleId="Char8">
    <w:name w:val="脚注文本 Char"/>
    <w:basedOn w:val="a0"/>
    <w:link w:val="ad"/>
    <w:semiHidden/>
    <w:qFormat/>
    <w:rPr>
      <w:rFonts w:ascii="Times New Roman" w:eastAsia="宋体" w:hAnsi="Times New Roman" w:cs="Times New Roman"/>
      <w:sz w:val="18"/>
      <w:szCs w:val="20"/>
    </w:rPr>
  </w:style>
  <w:style w:type="character" w:customStyle="1" w:styleId="Chara">
    <w:name w:val="批注文字 Char"/>
    <w:basedOn w:val="a0"/>
    <w:semiHidden/>
    <w:qFormat/>
  </w:style>
  <w:style w:type="character" w:customStyle="1" w:styleId="Char7">
    <w:name w:val="页眉 Char"/>
    <w:basedOn w:val="a0"/>
    <w:link w:val="ac"/>
    <w:uiPriority w:val="99"/>
    <w:qFormat/>
    <w:rPr>
      <w:rFonts w:ascii="Times New Roman" w:eastAsia="宋体" w:hAnsi="Times New Roman" w:cs="Times New Roman"/>
      <w:sz w:val="18"/>
      <w:szCs w:val="18"/>
    </w:rPr>
  </w:style>
  <w:style w:type="character" w:customStyle="1" w:styleId="Char6">
    <w:name w:val="页脚 Char"/>
    <w:basedOn w:val="a0"/>
    <w:link w:val="ab"/>
    <w:uiPriority w:val="99"/>
    <w:qFormat/>
    <w:rPr>
      <w:rFonts w:ascii="Times New Roman" w:eastAsia="宋体" w:hAnsi="Times New Roman" w:cs="Times New Roman"/>
      <w:sz w:val="18"/>
      <w:szCs w:val="18"/>
    </w:rPr>
  </w:style>
  <w:style w:type="character" w:customStyle="1" w:styleId="Char9">
    <w:name w:val="标题 Char"/>
    <w:basedOn w:val="a0"/>
    <w:link w:val="af"/>
    <w:qFormat/>
    <w:rPr>
      <w:rFonts w:ascii="Cambria" w:eastAsia="宋体" w:hAnsi="Cambria" w:cs="Times New Roman"/>
      <w:b/>
      <w:sz w:val="32"/>
    </w:rPr>
  </w:style>
  <w:style w:type="character" w:customStyle="1" w:styleId="Char2">
    <w:name w:val="正文文本 Char"/>
    <w:basedOn w:val="a0"/>
    <w:link w:val="a7"/>
    <w:semiHidden/>
    <w:qFormat/>
    <w:rPr>
      <w:rFonts w:ascii="宋体" w:eastAsia="宋体" w:hAnsi="Calibri" w:cs="Times New Roman"/>
      <w:kern w:val="0"/>
    </w:rPr>
  </w:style>
  <w:style w:type="character" w:customStyle="1" w:styleId="2Char0">
    <w:name w:val="正文文本缩进 2 Char"/>
    <w:basedOn w:val="a0"/>
    <w:link w:val="21"/>
    <w:semiHidden/>
    <w:rPr>
      <w:rFonts w:ascii="仿宋_GB2312" w:eastAsia="仿宋_GB2312" w:hAnsi="Times New Roman" w:cs="Times New Roman"/>
      <w:sz w:val="28"/>
      <w:szCs w:val="20"/>
    </w:rPr>
  </w:style>
  <w:style w:type="character" w:customStyle="1" w:styleId="3Char0">
    <w:name w:val="正文文本缩进 3 Char"/>
    <w:basedOn w:val="a0"/>
    <w:link w:val="31"/>
    <w:semiHidden/>
    <w:qFormat/>
    <w:rPr>
      <w:rFonts w:ascii="Times New Roman" w:eastAsia="宋体" w:hAnsi="Times New Roman" w:cs="Times New Roman"/>
      <w:color w:val="0000FF"/>
      <w:szCs w:val="20"/>
    </w:rPr>
  </w:style>
  <w:style w:type="character" w:customStyle="1" w:styleId="Char0">
    <w:name w:val="文档结构图 Char"/>
    <w:basedOn w:val="a0"/>
    <w:link w:val="a6"/>
    <w:semiHidden/>
    <w:qFormat/>
    <w:rPr>
      <w:rFonts w:ascii="Times New Roman" w:eastAsia="宋体" w:hAnsi="Times New Roman" w:cs="Times New Roman"/>
      <w:szCs w:val="20"/>
      <w:shd w:val="clear" w:color="auto" w:fill="000080"/>
    </w:rPr>
  </w:style>
  <w:style w:type="character" w:customStyle="1" w:styleId="Char4">
    <w:name w:val="纯文本 Char"/>
    <w:basedOn w:val="a0"/>
    <w:link w:val="a9"/>
    <w:qFormat/>
    <w:rPr>
      <w:rFonts w:ascii="宋体" w:eastAsia="宋体" w:hAnsi="Courier New" w:cs="Times New Roman"/>
      <w:kern w:val="0"/>
      <w:szCs w:val="20"/>
    </w:rPr>
  </w:style>
  <w:style w:type="character" w:customStyle="1" w:styleId="Char">
    <w:name w:val="批注主题 Char"/>
    <w:basedOn w:val="Chara"/>
    <w:link w:val="a3"/>
    <w:semiHidden/>
    <w:qFormat/>
    <w:rPr>
      <w:rFonts w:ascii="Times New Roman" w:eastAsia="宋体" w:hAnsi="Times New Roman" w:cs="Times New Roman"/>
      <w:b/>
      <w:szCs w:val="20"/>
    </w:rPr>
  </w:style>
  <w:style w:type="character" w:customStyle="1" w:styleId="Char5">
    <w:name w:val="批注框文本 Char"/>
    <w:basedOn w:val="a0"/>
    <w:link w:val="aa"/>
    <w:semiHidden/>
    <w:rPr>
      <w:rFonts w:ascii="Times New Roman" w:eastAsia="宋体" w:hAnsi="Times New Roman" w:cs="Times New Roman"/>
      <w:sz w:val="18"/>
      <w:szCs w:val="20"/>
    </w:rPr>
  </w:style>
  <w:style w:type="paragraph" w:customStyle="1" w:styleId="11">
    <w:name w:val="修订1"/>
    <w:semiHidden/>
    <w:rPr>
      <w:rFonts w:ascii="Times New Roman" w:eastAsia="宋体" w:hAnsi="Times New Roman" w:cs="Times New Roman"/>
      <w:kern w:val="2"/>
      <w:sz w:val="21"/>
    </w:rPr>
  </w:style>
  <w:style w:type="paragraph" w:customStyle="1" w:styleId="Listbullet">
    <w:name w:val="List_bullet"/>
    <w:basedOn w:val="a"/>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rPr>
      <w:rFonts w:ascii="Times New Roman" w:eastAsia="宋体" w:hAnsi="Times New Roman" w:cs="Times New Roman"/>
      <w:szCs w:val="20"/>
    </w:rPr>
  </w:style>
  <w:style w:type="paragraph" w:customStyle="1" w:styleId="af7">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b">
    <w:name w:val="Char"/>
    <w:basedOn w:val="a"/>
    <w:qFormat/>
    <w:rPr>
      <w:rFonts w:ascii="Times New Roman" w:eastAsia="宋体" w:hAnsi="Times New Roman" w:cs="Times New Roman"/>
      <w:szCs w:val="20"/>
    </w:rPr>
  </w:style>
  <w:style w:type="paragraph" w:customStyle="1" w:styleId="unnamed1">
    <w:name w:val="unnamed1"/>
    <w:basedOn w:val="a"/>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7"/>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rFonts w:ascii="Times New Roman" w:eastAsia="宋体" w:hAnsi="Times New Roman" w:cs="Times New Roman"/>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8">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eastAsia="宋体" w:hAnsi="Times New Roman" w:cs="Times New Roman"/>
      <w:color w:val="000000"/>
      <w:sz w:val="24"/>
    </w:rPr>
  </w:style>
  <w:style w:type="character" w:customStyle="1" w:styleId="Char10">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1">
    <w:name w:val="正文文本 Char1"/>
    <w:qFormat/>
    <w:rPr>
      <w:rFonts w:ascii="Times New Roman" w:eastAsia="宋体" w:hAnsi="Times New Roman" w:cs="Times New Roman" w:hint="default"/>
      <w:szCs w:val="20"/>
    </w:rPr>
  </w:style>
  <w:style w:type="character" w:customStyle="1" w:styleId="Char12">
    <w:name w:val="标题 Char1"/>
    <w:qFormat/>
    <w:rPr>
      <w:rFonts w:ascii="Cambria" w:eastAsia="宋体" w:hAnsi="Cambria" w:cs="Times New Roman" w:hint="default"/>
      <w:b/>
      <w:bCs/>
      <w:sz w:val="32"/>
      <w:szCs w:val="32"/>
    </w:rPr>
  </w:style>
  <w:style w:type="character" w:customStyle="1" w:styleId="Char20">
    <w:name w:val="正文文本 Char2"/>
    <w:basedOn w:val="a0"/>
    <w:uiPriority w:val="99"/>
    <w:semiHidden/>
    <w:qFormat/>
    <w:rPr>
      <w:rFonts w:ascii="Times New Roman" w:eastAsia="宋体" w:hAnsi="Times New Roman" w:cs="Times New Roman" w:hint="default"/>
      <w:szCs w:val="20"/>
    </w:rPr>
  </w:style>
  <w:style w:type="character" w:customStyle="1" w:styleId="2Char10">
    <w:name w:val="正文文本缩进 2 Char1"/>
    <w:basedOn w:val="a0"/>
    <w:uiPriority w:val="99"/>
    <w:semiHidden/>
    <w:qFormat/>
    <w:rPr>
      <w:rFonts w:ascii="Times New Roman" w:eastAsia="宋体" w:hAnsi="Times New Roman" w:cs="Times New Roman" w:hint="default"/>
      <w:szCs w:val="20"/>
    </w:rPr>
  </w:style>
  <w:style w:type="character" w:customStyle="1" w:styleId="Char1">
    <w:name w:val="批注文字 Char1"/>
    <w:basedOn w:val="a0"/>
    <w:link w:val="a4"/>
    <w:uiPriority w:val="99"/>
    <w:qFormat/>
    <w:locked/>
    <w:rPr>
      <w:rFonts w:ascii="Times New Roman" w:eastAsia="宋体" w:hAnsi="Times New Roman" w:cs="Times New Roman"/>
      <w:szCs w:val="20"/>
    </w:rPr>
  </w:style>
  <w:style w:type="character" w:customStyle="1" w:styleId="Char13">
    <w:name w:val="批注主题 Char1"/>
    <w:basedOn w:val="Char1"/>
    <w:uiPriority w:val="99"/>
    <w:semiHidden/>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4">
    <w:name w:val="纯文本 Char1"/>
    <w:basedOn w:val="a0"/>
    <w:uiPriority w:val="99"/>
    <w:semiHidden/>
    <w:qFormat/>
    <w:rPr>
      <w:rFonts w:ascii="宋体" w:eastAsia="宋体" w:hAnsi="Courier New" w:cs="Courier New" w:hint="eastAsia"/>
      <w:szCs w:val="21"/>
    </w:rPr>
  </w:style>
  <w:style w:type="character" w:customStyle="1" w:styleId="Char21">
    <w:name w:val="标题 Char2"/>
    <w:basedOn w:val="a0"/>
    <w:uiPriority w:val="10"/>
    <w:qFormat/>
    <w:rPr>
      <w:rFonts w:ascii="Cambria" w:eastAsia="宋体" w:hAnsi="Cambria" w:cs="Times New Roman" w:hint="default"/>
      <w:b/>
      <w:bCs/>
      <w:sz w:val="32"/>
      <w:szCs w:val="32"/>
    </w:rPr>
  </w:style>
  <w:style w:type="character" w:customStyle="1" w:styleId="Char15">
    <w:name w:val="文档结构图 Char1"/>
    <w:basedOn w:val="a0"/>
    <w:uiPriority w:val="99"/>
    <w:semiHidden/>
    <w:qFormat/>
    <w:rPr>
      <w:rFonts w:ascii="宋体" w:eastAsia="宋体" w:hAnsi="Times New Roman" w:cs="Times New Roman" w:hint="eastAsia"/>
      <w:sz w:val="18"/>
      <w:szCs w:val="18"/>
    </w:rPr>
  </w:style>
  <w:style w:type="character" w:customStyle="1" w:styleId="Char16">
    <w:name w:val="批注框文本 Char1"/>
    <w:basedOn w:val="a0"/>
    <w:uiPriority w:val="99"/>
    <w:semiHidden/>
    <w:qFormat/>
    <w:rPr>
      <w:rFonts w:ascii="Times New Roman" w:eastAsia="宋体" w:hAnsi="Times New Roman" w:cs="Times New Roman" w:hint="default"/>
      <w:sz w:val="18"/>
      <w:szCs w:val="18"/>
    </w:rPr>
  </w:style>
  <w:style w:type="character" w:customStyle="1" w:styleId="Char17">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rPr>
      <w:rFonts w:ascii="ˎ̥" w:hAnsi="ˎ̥" w:hint="default"/>
      <w:color w:val="000000"/>
      <w:sz w:val="21"/>
      <w:szCs w:val="21"/>
    </w:rPr>
  </w:style>
  <w:style w:type="paragraph" w:styleId="af9">
    <w:name w:val="List Paragraph"/>
    <w:basedOn w:val="a"/>
    <w:uiPriority w:val="34"/>
    <w:qFormat/>
    <w:pPr>
      <w:ind w:firstLineChars="200" w:firstLine="420"/>
    </w:pPr>
  </w:style>
  <w:style w:type="paragraph" w:customStyle="1" w:styleId="CharCharCharCharCharChar1CharCharChar">
    <w:name w:val="Char Char Char Char Char Char1 Char Char Char"/>
    <w:basedOn w:val="a"/>
    <w:qFormat/>
    <w:pPr>
      <w:autoSpaceDE w:val="0"/>
      <w:autoSpaceDN w:val="0"/>
      <w:adjustRightInd w:val="0"/>
      <w:jc w:val="left"/>
      <w:textAlignment w:val="baseline"/>
    </w:pPr>
    <w:rPr>
      <w:rFonts w:ascii="Times New Roman" w:eastAsia="方正仿宋简体" w:hAnsi="Times New Roman" w:cs="Times New Roman"/>
      <w:sz w:val="32"/>
      <w:szCs w:val="20"/>
    </w:rPr>
  </w:style>
  <w:style w:type="paragraph" w:customStyle="1" w:styleId="zhangjiep">
    <w:name w:val="zhangjie_p"/>
    <w:basedOn w:val="a"/>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dazhangjie">
    <w:name w:val="dazhangjie"/>
    <w:basedOn w:val="a"/>
    <w:qFormat/>
    <w:pPr>
      <w:widowControl/>
      <w:autoSpaceDE w:val="0"/>
      <w:autoSpaceDN w:val="0"/>
      <w:adjustRightInd w:val="0"/>
      <w:spacing w:before="30" w:line="288" w:lineRule="auto"/>
      <w:ind w:left="15"/>
      <w:jc w:val="center"/>
      <w:outlineLvl w:val="0"/>
    </w:pPr>
    <w:rPr>
      <w:rFonts w:ascii="宋体" w:eastAsia="宋体" w:hAnsi="宋体" w:cs="宋体"/>
      <w:kern w:val="0"/>
      <w:sz w:val="24"/>
      <w:szCs w:val="24"/>
    </w:rPr>
  </w:style>
  <w:style w:type="paragraph" w:customStyle="1" w:styleId="zhangjiep2">
    <w:name w:val="zhangjie_p2"/>
    <w:basedOn w:val="a"/>
    <w:qFormat/>
    <w:pPr>
      <w:widowControl/>
      <w:autoSpaceDE w:val="0"/>
      <w:autoSpaceDN w:val="0"/>
      <w:adjustRightInd w:val="0"/>
      <w:spacing w:before="24" w:line="288" w:lineRule="auto"/>
      <w:ind w:left="15"/>
      <w:jc w:val="left"/>
    </w:pPr>
    <w:rPr>
      <w:rFonts w:ascii="宋体" w:eastAsia="宋体" w:hAnsi="宋体" w:cs="宋体"/>
      <w:kern w:val="0"/>
      <w:sz w:val="24"/>
      <w:szCs w:val="24"/>
    </w:rPr>
  </w:style>
  <w:style w:type="paragraph" w:customStyle="1" w:styleId="neirong">
    <w:name w:val="neirong"/>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character" w:customStyle="1" w:styleId="4Char">
    <w:name w:val="标题 4 Char"/>
    <w:basedOn w:val="a0"/>
    <w:link w:val="4"/>
    <w:qFormat/>
    <w:rPr>
      <w:rFonts w:ascii="Arial" w:eastAsia="宋体" w:hAnsi="Arial" w:cs="Times New Roman"/>
      <w:szCs w:val="20"/>
    </w:rPr>
  </w:style>
  <w:style w:type="character" w:customStyle="1" w:styleId="5Char">
    <w:name w:val="标题 5 Char"/>
    <w:basedOn w:val="a0"/>
    <w:link w:val="5"/>
    <w:qFormat/>
    <w:rPr>
      <w:rFonts w:ascii="Times New Roman" w:eastAsia="宋体" w:hAnsi="Times New Roman" w:cs="Times New Roman"/>
      <w:szCs w:val="20"/>
    </w:rPr>
  </w:style>
  <w:style w:type="character" w:customStyle="1" w:styleId="6Char">
    <w:name w:val="标题 6 Char"/>
    <w:basedOn w:val="a0"/>
    <w:link w:val="6"/>
    <w:qFormat/>
    <w:rPr>
      <w:rFonts w:ascii="Arial" w:eastAsia="黑体" w:hAnsi="Arial" w:cs="Times New Roman"/>
      <w:b/>
      <w:sz w:val="24"/>
      <w:szCs w:val="20"/>
    </w:rPr>
  </w:style>
  <w:style w:type="character" w:customStyle="1" w:styleId="7Char">
    <w:name w:val="标题 7 Char"/>
    <w:basedOn w:val="a0"/>
    <w:link w:val="7"/>
    <w:rPr>
      <w:rFonts w:ascii="Times New Roman" w:eastAsia="宋体" w:hAnsi="Times New Roman" w:cs="Times New Roman"/>
      <w:b/>
      <w:sz w:val="24"/>
      <w:szCs w:val="20"/>
    </w:rPr>
  </w:style>
  <w:style w:type="character" w:customStyle="1" w:styleId="8Char">
    <w:name w:val="标题 8 Char"/>
    <w:basedOn w:val="a0"/>
    <w:link w:val="8"/>
    <w:qFormat/>
    <w:rPr>
      <w:rFonts w:ascii="Arial" w:eastAsia="黑体" w:hAnsi="Arial" w:cs="Times New Roman"/>
      <w:sz w:val="24"/>
      <w:szCs w:val="20"/>
    </w:rPr>
  </w:style>
  <w:style w:type="character" w:customStyle="1" w:styleId="9Char">
    <w:name w:val="标题 9 Char"/>
    <w:basedOn w:val="a0"/>
    <w:link w:val="9"/>
    <w:qFormat/>
    <w:rPr>
      <w:rFonts w:ascii="Arial" w:eastAsia="黑体" w:hAnsi="Arial" w:cs="Times New Roman"/>
      <w:szCs w:val="20"/>
    </w:rPr>
  </w:style>
  <w:style w:type="character" w:customStyle="1" w:styleId="Char3">
    <w:name w:val="正文文本缩进 Char"/>
    <w:basedOn w:val="a0"/>
    <w:link w:val="a8"/>
    <w:qFormat/>
    <w:rPr>
      <w:rFonts w:ascii="Times New Roman" w:eastAsia="宋体" w:hAnsi="Times New Roman" w:cs="Times New Roman"/>
      <w:szCs w:val="24"/>
    </w:rPr>
  </w:style>
  <w:style w:type="character" w:customStyle="1" w:styleId="2Char1">
    <w:name w:val="正文文本 2 Char"/>
    <w:basedOn w:val="a0"/>
    <w:link w:val="22"/>
    <w:qFormat/>
    <w:rPr>
      <w:rFonts w:ascii="Times New Roman" w:eastAsia="宋体" w:hAnsi="Times New Roman" w:cs="Times New Roman"/>
      <w:szCs w:val="24"/>
    </w:rPr>
  </w:style>
  <w:style w:type="character" w:customStyle="1" w:styleId="tt11">
    <w:name w:val="tt11"/>
    <w:qFormat/>
    <w:rPr>
      <w:sz w:val="22"/>
      <w:szCs w:val="22"/>
    </w:rPr>
  </w:style>
  <w:style w:type="character" w:customStyle="1" w:styleId="big1">
    <w:name w:val="big1"/>
    <w:qFormat/>
    <w:rPr>
      <w:sz w:val="22"/>
      <w:szCs w:val="22"/>
    </w:rPr>
  </w:style>
  <w:style w:type="paragraph" w:customStyle="1" w:styleId="Level3">
    <w:name w:val="Level 3"/>
    <w:basedOn w:val="a"/>
    <w:qFormat/>
    <w:pPr>
      <w:widowControl/>
      <w:numPr>
        <w:ilvl w:val="2"/>
        <w:numId w:val="3"/>
      </w:numPr>
      <w:spacing w:after="140" w:line="290" w:lineRule="auto"/>
      <w:outlineLvl w:val="2"/>
    </w:pPr>
    <w:rPr>
      <w:rFonts w:ascii="Arial" w:eastAsia="宋体" w:hAnsi="Arial" w:cs="Times New Roman"/>
      <w:kern w:val="20"/>
      <w:sz w:val="20"/>
      <w:szCs w:val="24"/>
      <w:lang w:val="en-GB" w:eastAsia="en-US"/>
    </w:rPr>
  </w:style>
  <w:style w:type="paragraph" w:customStyle="1" w:styleId="ParaCharCharCharCharCharCharChar">
    <w:name w:val="默认段落字体 Para Char Char Char Char Char Char Char"/>
    <w:basedOn w:val="a"/>
    <w:qFormat/>
    <w:pPr>
      <w:widowControl/>
      <w:jc w:val="left"/>
    </w:pPr>
    <w:rPr>
      <w:rFonts w:ascii="Tahoma" w:eastAsia="宋体" w:hAnsi="Tahoma" w:cs="Times New Roman"/>
      <w:color w:val="000000"/>
      <w:kern w:val="0"/>
      <w:sz w:val="24"/>
      <w:szCs w:val="20"/>
    </w:rPr>
  </w:style>
  <w:style w:type="paragraph" w:customStyle="1" w:styleId="Char22">
    <w:name w:val="Char2"/>
    <w:basedOn w:val="a"/>
    <w:qFormat/>
    <w:rPr>
      <w:rFonts w:ascii="Times New Roman" w:eastAsia="宋体" w:hAnsi="Times New Roman" w:cs="Times New Roman"/>
      <w:szCs w:val="24"/>
    </w:rPr>
  </w:style>
  <w:style w:type="paragraph" w:customStyle="1" w:styleId="Level5">
    <w:name w:val="Level 5"/>
    <w:basedOn w:val="a"/>
    <w:qFormat/>
    <w:pPr>
      <w:widowControl/>
      <w:numPr>
        <w:ilvl w:val="4"/>
        <w:numId w:val="3"/>
      </w:numPr>
      <w:spacing w:after="140" w:line="290" w:lineRule="auto"/>
      <w:outlineLvl w:val="4"/>
    </w:pPr>
    <w:rPr>
      <w:rFonts w:ascii="Arial" w:eastAsia="宋体" w:hAnsi="Arial" w:cs="Times New Roman"/>
      <w:kern w:val="20"/>
      <w:sz w:val="20"/>
      <w:szCs w:val="24"/>
      <w:lang w:val="en-GB" w:eastAsia="en-US"/>
    </w:rPr>
  </w:style>
  <w:style w:type="paragraph" w:customStyle="1" w:styleId="Level1">
    <w:name w:val="Level 1"/>
    <w:basedOn w:val="a"/>
    <w:qFormat/>
    <w:pPr>
      <w:widowControl/>
      <w:numPr>
        <w:numId w:val="3"/>
      </w:numPr>
      <w:spacing w:after="140" w:line="290" w:lineRule="auto"/>
      <w:outlineLvl w:val="0"/>
    </w:pPr>
    <w:rPr>
      <w:rFonts w:ascii="Arial" w:eastAsia="宋体" w:hAnsi="Arial" w:cs="Times New Roman"/>
      <w:kern w:val="20"/>
      <w:sz w:val="20"/>
      <w:szCs w:val="24"/>
      <w:lang w:val="en-GB" w:eastAsia="en-US"/>
    </w:rPr>
  </w:style>
  <w:style w:type="paragraph" w:customStyle="1" w:styleId="12">
    <w:name w:val="修订1"/>
    <w:uiPriority w:val="99"/>
    <w:semiHidden/>
    <w:qFormat/>
    <w:rPr>
      <w:rFonts w:ascii="Times New Roman" w:eastAsia="宋体" w:hAnsi="Times New Roman" w:cs="Times New Roman"/>
      <w:kern w:val="2"/>
      <w:sz w:val="21"/>
      <w:szCs w:val="24"/>
    </w:rPr>
  </w:style>
  <w:style w:type="paragraph" w:customStyle="1" w:styleId="Level9">
    <w:name w:val="Level 9"/>
    <w:basedOn w:val="a"/>
    <w:qFormat/>
    <w:pPr>
      <w:widowControl/>
      <w:numPr>
        <w:ilvl w:val="8"/>
        <w:numId w:val="3"/>
      </w:numPr>
      <w:spacing w:after="140" w:line="290" w:lineRule="auto"/>
      <w:outlineLvl w:val="8"/>
    </w:pPr>
    <w:rPr>
      <w:rFonts w:ascii="Arial" w:eastAsia="宋体" w:hAnsi="Arial" w:cs="Times New Roman"/>
      <w:kern w:val="20"/>
      <w:sz w:val="20"/>
      <w:szCs w:val="24"/>
      <w:lang w:val="en-GB" w:eastAsia="en-US"/>
    </w:rPr>
  </w:style>
  <w:style w:type="paragraph" w:customStyle="1" w:styleId="15">
    <w:name w:val="样式 宋体 四号 行距: 1.5 倍行距"/>
    <w:basedOn w:val="a"/>
    <w:qFormat/>
    <w:pPr>
      <w:spacing w:line="360" w:lineRule="auto"/>
    </w:pPr>
    <w:rPr>
      <w:rFonts w:ascii="宋体" w:eastAsia="宋体" w:hAnsi="宋体" w:cs="Times New Roman"/>
      <w:sz w:val="24"/>
      <w:szCs w:val="20"/>
    </w:rPr>
  </w:style>
  <w:style w:type="paragraph" w:customStyle="1" w:styleId="ParaChar">
    <w:name w:val="默认段落字体 Para Char"/>
    <w:basedOn w:val="a"/>
    <w:qFormat/>
    <w:pPr>
      <w:tabs>
        <w:tab w:val="left" w:pos="840"/>
      </w:tabs>
      <w:ind w:left="840" w:hanging="420"/>
    </w:pPr>
    <w:rPr>
      <w:rFonts w:ascii="Times New Roman" w:eastAsia="宋体" w:hAnsi="Times New Roman" w:cs="Times New Roman"/>
      <w:sz w:val="24"/>
      <w:szCs w:val="24"/>
    </w:rPr>
  </w:style>
  <w:style w:type="paragraph" w:customStyle="1" w:styleId="Level7">
    <w:name w:val="Level 7"/>
    <w:basedOn w:val="a"/>
    <w:qFormat/>
    <w:pPr>
      <w:widowControl/>
      <w:numPr>
        <w:ilvl w:val="6"/>
        <w:numId w:val="3"/>
      </w:numPr>
      <w:spacing w:after="140" w:line="290" w:lineRule="auto"/>
      <w:outlineLvl w:val="6"/>
    </w:pPr>
    <w:rPr>
      <w:rFonts w:ascii="Arial" w:eastAsia="宋体" w:hAnsi="Arial" w:cs="Times New Roman"/>
      <w:kern w:val="20"/>
      <w:sz w:val="20"/>
      <w:szCs w:val="24"/>
      <w:lang w:val="en-GB" w:eastAsia="en-US"/>
    </w:rPr>
  </w:style>
  <w:style w:type="paragraph" w:customStyle="1" w:styleId="Level6">
    <w:name w:val="Level 6"/>
    <w:basedOn w:val="a"/>
    <w:qFormat/>
    <w:pPr>
      <w:widowControl/>
      <w:numPr>
        <w:ilvl w:val="5"/>
        <w:numId w:val="3"/>
      </w:numPr>
      <w:spacing w:after="140" w:line="290" w:lineRule="auto"/>
      <w:outlineLvl w:val="5"/>
    </w:pPr>
    <w:rPr>
      <w:rFonts w:ascii="Arial" w:eastAsia="宋体" w:hAnsi="Arial" w:cs="Times New Roman"/>
      <w:kern w:val="20"/>
      <w:sz w:val="20"/>
      <w:szCs w:val="24"/>
      <w:lang w:val="en-GB" w:eastAsia="en-US"/>
    </w:rPr>
  </w:style>
  <w:style w:type="paragraph" w:customStyle="1" w:styleId="20">
    <w:name w:val="列表2"/>
    <w:basedOn w:val="a"/>
    <w:next w:val="af"/>
    <w:qFormat/>
    <w:pPr>
      <w:numPr>
        <w:numId w:val="4"/>
      </w:numPr>
      <w:spacing w:line="360" w:lineRule="auto"/>
    </w:pPr>
    <w:rPr>
      <w:rFonts w:ascii="宋体" w:eastAsia="宋体" w:hAnsi="Times New Roman" w:cs="Times New Roman"/>
      <w:szCs w:val="20"/>
    </w:rPr>
  </w:style>
  <w:style w:type="paragraph" w:customStyle="1" w:styleId="Level2">
    <w:name w:val="Level 2"/>
    <w:basedOn w:val="a"/>
    <w:qFormat/>
    <w:pPr>
      <w:widowControl/>
      <w:numPr>
        <w:ilvl w:val="1"/>
        <w:numId w:val="3"/>
      </w:numPr>
      <w:spacing w:after="140" w:line="290" w:lineRule="auto"/>
      <w:outlineLvl w:val="1"/>
    </w:pPr>
    <w:rPr>
      <w:rFonts w:ascii="Arial" w:eastAsia="宋体" w:hAnsi="Arial" w:cs="Times New Roman"/>
      <w:kern w:val="20"/>
      <w:sz w:val="20"/>
      <w:szCs w:val="24"/>
      <w:lang w:val="en-GB" w:eastAsia="en-US"/>
    </w:rPr>
  </w:style>
  <w:style w:type="paragraph" w:customStyle="1" w:styleId="CharCharCharChar1">
    <w:name w:val="Char Char Char Char1"/>
    <w:basedOn w:val="a"/>
    <w:qFormat/>
    <w:pPr>
      <w:tabs>
        <w:tab w:val="left" w:pos="360"/>
      </w:tabs>
    </w:pPr>
    <w:rPr>
      <w:rFonts w:ascii="Times New Roman" w:eastAsia="宋体" w:hAnsi="Times New Roman" w:cs="Times New Roman"/>
      <w:sz w:val="24"/>
      <w:szCs w:val="24"/>
    </w:rPr>
  </w:style>
  <w:style w:type="paragraph" w:customStyle="1" w:styleId="13">
    <w:name w:val="正文1"/>
    <w:basedOn w:val="a"/>
    <w:qFormat/>
    <w:pPr>
      <w:spacing w:line="360" w:lineRule="auto"/>
      <w:ind w:firstLineChars="200" w:firstLine="200"/>
    </w:pPr>
    <w:rPr>
      <w:rFonts w:ascii="Times New Roman" w:eastAsia="宋体" w:hAnsi="Times New Roman" w:cs="宋体"/>
      <w:szCs w:val="20"/>
    </w:rPr>
  </w:style>
  <w:style w:type="paragraph" w:customStyle="1" w:styleId="ParaCharCharCharCharCharCharCharCharCharCharCharChar">
    <w:name w:val="默认段落字体 Para Char Char Char Char Char Char Char Char Char Char Char Char"/>
    <w:basedOn w:val="a"/>
    <w:qFormat/>
    <w:pPr>
      <w:tabs>
        <w:tab w:val="left" w:pos="840"/>
      </w:tabs>
      <w:ind w:left="840" w:hanging="360"/>
    </w:pPr>
    <w:rPr>
      <w:rFonts w:ascii="Times New Roman" w:eastAsia="宋体" w:hAnsi="Times New Roman" w:cs="Times New Roman"/>
      <w:sz w:val="24"/>
      <w:szCs w:val="24"/>
    </w:rPr>
  </w:style>
  <w:style w:type="paragraph" w:customStyle="1" w:styleId="Level8">
    <w:name w:val="Level 8"/>
    <w:basedOn w:val="a"/>
    <w:qFormat/>
    <w:pPr>
      <w:widowControl/>
      <w:numPr>
        <w:ilvl w:val="7"/>
        <w:numId w:val="3"/>
      </w:numPr>
      <w:spacing w:after="140" w:line="290" w:lineRule="auto"/>
      <w:outlineLvl w:val="7"/>
    </w:pPr>
    <w:rPr>
      <w:rFonts w:ascii="Arial" w:eastAsia="宋体" w:hAnsi="Arial" w:cs="Times New Roman"/>
      <w:kern w:val="20"/>
      <w:sz w:val="20"/>
      <w:szCs w:val="24"/>
      <w:lang w:val="en-GB" w:eastAsia="en-US"/>
    </w:rPr>
  </w:style>
  <w:style w:type="paragraph" w:customStyle="1" w:styleId="xl25">
    <w:name w:val="xl25"/>
    <w:basedOn w:val="a"/>
    <w:qFormat/>
    <w:pPr>
      <w:widowControl/>
      <w:pBdr>
        <w:bottom w:val="single" w:sz="4" w:space="0" w:color="auto"/>
        <w:right w:val="single" w:sz="4" w:space="0" w:color="auto"/>
      </w:pBdr>
      <w:spacing w:before="100" w:beforeAutospacing="1" w:after="100" w:afterAutospacing="1"/>
      <w:jc w:val="center"/>
    </w:pPr>
    <w:rPr>
      <w:rFonts w:ascii="Times New Roman" w:eastAsia="Arial Unicode MS" w:hAnsi="Times New Roman" w:cs="Times New Roman"/>
      <w:kern w:val="0"/>
      <w:szCs w:val="21"/>
    </w:rPr>
  </w:style>
  <w:style w:type="paragraph" w:customStyle="1" w:styleId="080318">
    <w:name w:val="产品方案正文080318"/>
    <w:basedOn w:val="a"/>
    <w:next w:val="a"/>
    <w:qFormat/>
    <w:pPr>
      <w:autoSpaceDE w:val="0"/>
      <w:autoSpaceDN w:val="0"/>
      <w:adjustRightInd w:val="0"/>
      <w:jc w:val="left"/>
    </w:pPr>
    <w:rPr>
      <w:rFonts w:ascii="宋体" w:eastAsia="宋体" w:hAnsi="Times New Roman" w:cs="Times New Roman"/>
      <w:kern w:val="0"/>
      <w:sz w:val="24"/>
      <w:szCs w:val="24"/>
    </w:rPr>
  </w:style>
  <w:style w:type="paragraph" w:customStyle="1" w:styleId="afa">
    <w:name w:val="第三级标题"/>
    <w:basedOn w:val="af8"/>
    <w:next w:val="af8"/>
    <w:qFormat/>
    <w:pPr>
      <w:keepNext/>
      <w:outlineLvl w:val="2"/>
    </w:pPr>
    <w:rPr>
      <w:b/>
      <w:szCs w:val="24"/>
    </w:rPr>
  </w:style>
  <w:style w:type="paragraph" w:customStyle="1" w:styleId="14">
    <w:name w:val="无间隔1"/>
    <w:uiPriority w:val="1"/>
    <w:qFormat/>
    <w:pPr>
      <w:widowControl w:val="0"/>
      <w:jc w:val="both"/>
    </w:pPr>
    <w:rPr>
      <w:rFonts w:ascii="Times New Roman" w:eastAsia="宋体" w:hAnsi="Times New Roman" w:cs="Times New Roman"/>
      <w:kern w:val="2"/>
      <w:sz w:val="21"/>
      <w:szCs w:val="24"/>
    </w:rPr>
  </w:style>
  <w:style w:type="paragraph" w:customStyle="1" w:styleId="16">
    <w:name w:val="列出段落1"/>
    <w:basedOn w:val="a"/>
    <w:uiPriority w:val="99"/>
    <w:qFormat/>
    <w:pPr>
      <w:ind w:firstLineChars="200" w:firstLine="420"/>
    </w:pPr>
    <w:rPr>
      <w:rFonts w:ascii="Times New Roman" w:eastAsia="宋体" w:hAnsi="Times New Roman" w:cs="Times New Roman"/>
      <w:szCs w:val="24"/>
    </w:rPr>
  </w:style>
  <w:style w:type="character" w:customStyle="1" w:styleId="apple-converted-space">
    <w:name w:val="apple-converted-space"/>
    <w:basedOn w:val="a0"/>
    <w:qFormat/>
  </w:style>
  <w:style w:type="character" w:customStyle="1" w:styleId="disabled">
    <w:name w:val="disabled"/>
    <w:basedOn w:val="a0"/>
    <w:rPr>
      <w:color w:val="888888"/>
    </w:rPr>
  </w:style>
  <w:style w:type="character" w:customStyle="1" w:styleId="fttime">
    <w:name w:val="ft_time"/>
    <w:basedOn w:val="a0"/>
    <w:qFormat/>
    <w:rPr>
      <w:color w:val="888888"/>
    </w:rPr>
  </w:style>
  <w:style w:type="paragraph" w:customStyle="1" w:styleId="hide">
    <w:name w:val="hide"/>
    <w:basedOn w:val="a"/>
    <w:pPr>
      <w:widowControl/>
      <w:spacing w:before="100" w:beforeAutospacing="1" w:after="100" w:afterAutospacing="1"/>
      <w:jc w:val="left"/>
    </w:pPr>
    <w:rPr>
      <w:rFonts w:ascii="宋体" w:eastAsia="宋体" w:hAnsi="宋体" w:cs="宋体"/>
      <w:vanish/>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qFormat="1"/>
    <w:lsdException w:name="heading 3" w:semiHidden="0" w:uiPriority="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uiPriority="0" w:unhideWhenUsed="0" w:qFormat="1"/>
    <w:lsdException w:name="heading 8" w:uiPriority="0" w:unhideWhenUsed="0" w:qFormat="1"/>
    <w:lsdException w:name="heading 9" w:uiPriority="0" w:unhideWhenUsed="0" w:qFormat="1"/>
    <w:lsdException w:name="toc 1" w:uiPriority="39" w:qFormat="1"/>
    <w:lsdException w:name="toc 2" w:uiPriority="39"/>
    <w:lsdException w:name="toc 3" w:uiPriority="0" w:qFormat="1"/>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footnote text" w:uiPriority="0" w:qFormat="1"/>
    <w:lsdException w:name="annotation text" w:qFormat="1"/>
    <w:lsdException w:name="header" w:uiPriority="0" w:qFormat="1"/>
    <w:lsdException w:name="footer" w:qFormat="1"/>
    <w:lsdException w:name="caption" w:uiPriority="35" w:qFormat="1"/>
    <w:lsdException w:name="footnote reference" w:uiPriority="0" w:qFormat="1"/>
    <w:lsdException w:name="annotation reference" w:qFormat="1"/>
    <w:lsdException w:name="page number" w:uiPriority="0" w:unhideWhenUsed="0" w:qFormat="1"/>
    <w:lsdException w:name="Title" w:semiHidden="0" w:uiPriority="0" w:unhideWhenUsed="0" w:qFormat="1"/>
    <w:lsdException w:name="Default Paragraph Font" w:uiPriority="1"/>
    <w:lsdException w:name="Body Text" w:uiPriority="0" w:qFormat="1"/>
    <w:lsdException w:name="Body Text Indent" w:uiPriority="0" w:unhideWhenUsed="0" w:qFormat="1"/>
    <w:lsdException w:name="Subtitle" w:semiHidden="0" w:uiPriority="11" w:unhideWhenUsed="0" w:qFormat="1"/>
    <w:lsdException w:name="Body Text 2" w:uiPriority="0" w:unhideWhenUsed="0" w:qFormat="1"/>
    <w:lsdException w:name="Body Text Indent 2" w:uiPriority="0" w:qFormat="1"/>
    <w:lsdException w:name="Body Text Indent 3" w:uiPriority="0" w:qFormat="1"/>
    <w:lsdException w:name="Hyperlink" w:qFormat="1"/>
    <w:lsdException w:name="FollowedHyperlink" w:uiPriority="0" w:qFormat="1"/>
    <w:lsdException w:name="Strong" w:semiHidden="0" w:uiPriority="22" w:unhideWhenUsed="0" w:qFormat="1"/>
    <w:lsdException w:name="Emphasis" w:semiHidden="0" w:uiPriority="20" w:unhideWhenUsed="0" w:qFormat="1"/>
    <w:lsdException w:name="Document Map" w:uiPriority="0" w:qFormat="1"/>
    <w:lsdException w:name="Plain Text" w:uiPriority="0" w:qFormat="1"/>
    <w:lsdException w:name="Normal (Web)" w:unhideWhenUsed="0" w:qFormat="1"/>
    <w:lsdException w:name="Normal Table" w:qFormat="1"/>
    <w:lsdException w:name="annotation subject" w:uiPriority="0" w:qFormat="1"/>
    <w:lsdException w:name="Balloon Text" w:uiPriority="0"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unhideWhenUsed="0"/>
    <w:lsdException w:name="Intense Quote"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1">
    <w:name w:val="heading 1"/>
    <w:basedOn w:val="a"/>
    <w:next w:val="a"/>
    <w:link w:val="1Char"/>
    <w:uiPriority w:val="9"/>
    <w:qFormat/>
    <w:pPr>
      <w:keepNext/>
      <w:keepLines/>
      <w:spacing w:before="120" w:after="120" w:line="360" w:lineRule="auto"/>
      <w:outlineLvl w:val="0"/>
    </w:pPr>
    <w:rPr>
      <w:rFonts w:ascii="宋体" w:eastAsia="宋体" w:hAnsi="Times New Roman" w:cs="Times New Roman"/>
      <w:b/>
      <w:color w:val="000000"/>
      <w:kern w:val="0"/>
      <w:sz w:val="24"/>
      <w:szCs w:val="20"/>
      <w:lang w:val="zh-CN"/>
    </w:rPr>
  </w:style>
  <w:style w:type="paragraph" w:styleId="2">
    <w:name w:val="heading 2"/>
    <w:basedOn w:val="a"/>
    <w:next w:val="a"/>
    <w:link w:val="2Char"/>
    <w:unhideWhenUsed/>
    <w:qFormat/>
    <w:pPr>
      <w:keepNext/>
      <w:keepLines/>
      <w:numPr>
        <w:numId w:val="1"/>
      </w:numPr>
      <w:spacing w:before="260" w:after="260" w:line="412" w:lineRule="auto"/>
      <w:outlineLvl w:val="1"/>
    </w:pPr>
    <w:rPr>
      <w:rFonts w:ascii="Arial" w:eastAsia="黑体" w:hAnsi="Arial" w:cs="Times New Roman"/>
      <w:b/>
      <w:sz w:val="32"/>
      <w:szCs w:val="20"/>
      <w:lang w:val="zh-CN"/>
    </w:rPr>
  </w:style>
  <w:style w:type="paragraph" w:styleId="3">
    <w:name w:val="heading 3"/>
    <w:basedOn w:val="a"/>
    <w:next w:val="a"/>
    <w:link w:val="3Char"/>
    <w:unhideWhenUsed/>
    <w:qFormat/>
    <w:pPr>
      <w:keepNext/>
      <w:keepLines/>
      <w:spacing w:before="260" w:after="260" w:line="412" w:lineRule="auto"/>
      <w:outlineLvl w:val="2"/>
    </w:pPr>
    <w:rPr>
      <w:rFonts w:ascii="Times New Roman" w:eastAsia="宋体" w:hAnsi="Times New Roman" w:cs="Times New Roman"/>
      <w:b/>
      <w:kern w:val="0"/>
      <w:sz w:val="32"/>
      <w:szCs w:val="20"/>
      <w:lang w:val="zh-CN"/>
    </w:rPr>
  </w:style>
  <w:style w:type="paragraph" w:styleId="4">
    <w:name w:val="heading 4"/>
    <w:basedOn w:val="a"/>
    <w:next w:val="a"/>
    <w:link w:val="4Char"/>
    <w:qFormat/>
    <w:pPr>
      <w:keepNext/>
      <w:keepLines/>
      <w:spacing w:line="360" w:lineRule="auto"/>
      <w:outlineLvl w:val="3"/>
    </w:pPr>
    <w:rPr>
      <w:rFonts w:ascii="Arial" w:eastAsia="宋体" w:hAnsi="Arial" w:cs="Times New Roman"/>
      <w:szCs w:val="20"/>
    </w:rPr>
  </w:style>
  <w:style w:type="paragraph" w:styleId="5">
    <w:name w:val="heading 5"/>
    <w:basedOn w:val="a"/>
    <w:next w:val="a"/>
    <w:link w:val="5Char"/>
    <w:qFormat/>
    <w:pPr>
      <w:keepNext/>
      <w:keepLines/>
      <w:adjustRightInd w:val="0"/>
      <w:snapToGrid w:val="0"/>
      <w:spacing w:line="360" w:lineRule="auto"/>
      <w:outlineLvl w:val="4"/>
    </w:pPr>
    <w:rPr>
      <w:rFonts w:ascii="Times New Roman" w:eastAsia="宋体" w:hAnsi="Times New Roman" w:cs="Times New Roman"/>
      <w:szCs w:val="20"/>
    </w:rPr>
  </w:style>
  <w:style w:type="paragraph" w:styleId="6">
    <w:name w:val="heading 6"/>
    <w:basedOn w:val="a"/>
    <w:next w:val="a"/>
    <w:link w:val="6Char"/>
    <w:qFormat/>
    <w:pPr>
      <w:keepNext/>
      <w:keepLines/>
      <w:spacing w:before="240" w:after="64" w:line="320" w:lineRule="auto"/>
      <w:outlineLvl w:val="5"/>
    </w:pPr>
    <w:rPr>
      <w:rFonts w:ascii="Arial" w:eastAsia="黑体" w:hAnsi="Arial" w:cs="Times New Roman"/>
      <w:b/>
      <w:sz w:val="24"/>
      <w:szCs w:val="20"/>
    </w:rPr>
  </w:style>
  <w:style w:type="paragraph" w:styleId="7">
    <w:name w:val="heading 7"/>
    <w:basedOn w:val="a"/>
    <w:next w:val="a"/>
    <w:link w:val="7Char"/>
    <w:qFormat/>
    <w:pPr>
      <w:keepNext/>
      <w:keepLines/>
      <w:spacing w:before="240" w:after="64" w:line="320" w:lineRule="auto"/>
      <w:outlineLvl w:val="6"/>
    </w:pPr>
    <w:rPr>
      <w:rFonts w:ascii="Times New Roman" w:eastAsia="宋体" w:hAnsi="Times New Roman" w:cs="Times New Roman"/>
      <w:b/>
      <w:sz w:val="24"/>
      <w:szCs w:val="20"/>
    </w:rPr>
  </w:style>
  <w:style w:type="paragraph" w:styleId="8">
    <w:name w:val="heading 8"/>
    <w:basedOn w:val="a"/>
    <w:next w:val="a"/>
    <w:link w:val="8Char"/>
    <w:qFormat/>
    <w:pPr>
      <w:keepNext/>
      <w:keepLines/>
      <w:spacing w:before="240" w:after="64" w:line="320" w:lineRule="auto"/>
      <w:outlineLvl w:val="7"/>
    </w:pPr>
    <w:rPr>
      <w:rFonts w:ascii="Arial" w:eastAsia="黑体" w:hAnsi="Arial" w:cs="Times New Roman"/>
      <w:sz w:val="24"/>
      <w:szCs w:val="20"/>
    </w:rPr>
  </w:style>
  <w:style w:type="paragraph" w:styleId="9">
    <w:name w:val="heading 9"/>
    <w:basedOn w:val="a"/>
    <w:next w:val="a"/>
    <w:link w:val="9Char"/>
    <w:qFormat/>
    <w:pPr>
      <w:keepNext/>
      <w:keepLines/>
      <w:spacing w:before="240" w:after="64" w:line="320" w:lineRule="auto"/>
      <w:outlineLvl w:val="8"/>
    </w:pPr>
    <w:rPr>
      <w:rFonts w:ascii="Arial" w:eastAsia="黑体" w:hAnsi="Arial"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semiHidden/>
    <w:unhideWhenUsed/>
    <w:qFormat/>
    <w:rPr>
      <w:b/>
    </w:rPr>
  </w:style>
  <w:style w:type="paragraph" w:styleId="a4">
    <w:name w:val="annotation text"/>
    <w:basedOn w:val="a"/>
    <w:link w:val="Char1"/>
    <w:uiPriority w:val="99"/>
    <w:unhideWhenUsed/>
    <w:qFormat/>
    <w:pPr>
      <w:jc w:val="left"/>
    </w:pPr>
    <w:rPr>
      <w:rFonts w:ascii="Times New Roman" w:eastAsia="宋体" w:hAnsi="Times New Roman" w:cs="Times New Roman"/>
      <w:szCs w:val="20"/>
    </w:rPr>
  </w:style>
  <w:style w:type="paragraph" w:styleId="a5">
    <w:name w:val="Normal Indent"/>
    <w:basedOn w:val="a"/>
    <w:unhideWhenUsed/>
    <w:qFormat/>
    <w:pPr>
      <w:ind w:firstLineChars="200" w:firstLine="420"/>
    </w:pPr>
    <w:rPr>
      <w:rFonts w:ascii="Times New Roman" w:eastAsia="宋体" w:hAnsi="Times New Roman" w:cs="Times New Roman"/>
      <w:szCs w:val="20"/>
    </w:rPr>
  </w:style>
  <w:style w:type="paragraph" w:styleId="a6">
    <w:name w:val="Document Map"/>
    <w:basedOn w:val="a"/>
    <w:link w:val="Char0"/>
    <w:semiHidden/>
    <w:unhideWhenUsed/>
    <w:qFormat/>
    <w:pPr>
      <w:shd w:val="clear" w:color="auto" w:fill="000080"/>
    </w:pPr>
    <w:rPr>
      <w:rFonts w:ascii="Times New Roman" w:eastAsia="宋体" w:hAnsi="Times New Roman" w:cs="Times New Roman"/>
      <w:szCs w:val="20"/>
    </w:rPr>
  </w:style>
  <w:style w:type="paragraph" w:styleId="a7">
    <w:name w:val="Body Text"/>
    <w:basedOn w:val="a"/>
    <w:link w:val="Char2"/>
    <w:unhideWhenUsed/>
    <w:qFormat/>
    <w:pPr>
      <w:autoSpaceDE w:val="0"/>
      <w:autoSpaceDN w:val="0"/>
      <w:adjustRightInd w:val="0"/>
      <w:spacing w:line="360" w:lineRule="auto"/>
      <w:jc w:val="left"/>
    </w:pPr>
    <w:rPr>
      <w:rFonts w:ascii="宋体" w:eastAsia="宋体" w:hAnsi="Calibri" w:cs="Times New Roman"/>
      <w:kern w:val="0"/>
    </w:rPr>
  </w:style>
  <w:style w:type="paragraph" w:styleId="a8">
    <w:name w:val="Body Text Indent"/>
    <w:basedOn w:val="a"/>
    <w:link w:val="Char3"/>
    <w:qFormat/>
    <w:pPr>
      <w:spacing w:after="120"/>
      <w:ind w:leftChars="200" w:left="420"/>
    </w:pPr>
    <w:rPr>
      <w:rFonts w:ascii="Times New Roman" w:eastAsia="宋体" w:hAnsi="Times New Roman" w:cs="Times New Roman"/>
      <w:szCs w:val="24"/>
    </w:rPr>
  </w:style>
  <w:style w:type="paragraph" w:styleId="30">
    <w:name w:val="toc 3"/>
    <w:basedOn w:val="a"/>
    <w:next w:val="a"/>
    <w:semiHidden/>
    <w:unhideWhenUsed/>
    <w:qFormat/>
    <w:pPr>
      <w:ind w:leftChars="400" w:left="840"/>
    </w:pPr>
    <w:rPr>
      <w:rFonts w:ascii="Times New Roman" w:eastAsia="宋体" w:hAnsi="Times New Roman" w:cs="Times New Roman"/>
      <w:szCs w:val="20"/>
    </w:rPr>
  </w:style>
  <w:style w:type="paragraph" w:styleId="a9">
    <w:name w:val="Plain Text"/>
    <w:basedOn w:val="a"/>
    <w:link w:val="Char4"/>
    <w:unhideWhenUsed/>
    <w:qFormat/>
    <w:pPr>
      <w:adjustRightInd w:val="0"/>
      <w:spacing w:line="312" w:lineRule="atLeast"/>
    </w:pPr>
    <w:rPr>
      <w:rFonts w:ascii="宋体" w:eastAsia="宋体" w:hAnsi="Courier New" w:cs="Times New Roman"/>
      <w:kern w:val="0"/>
      <w:szCs w:val="20"/>
    </w:rPr>
  </w:style>
  <w:style w:type="paragraph" w:styleId="21">
    <w:name w:val="Body Text Indent 2"/>
    <w:basedOn w:val="a"/>
    <w:link w:val="2Char0"/>
    <w:unhideWhenUsed/>
    <w:qFormat/>
    <w:pPr>
      <w:spacing w:line="360" w:lineRule="auto"/>
      <w:ind w:firstLine="425"/>
    </w:pPr>
    <w:rPr>
      <w:rFonts w:ascii="仿宋_GB2312" w:eastAsia="仿宋_GB2312" w:hAnsi="Times New Roman" w:cs="Times New Roman"/>
      <w:sz w:val="28"/>
      <w:szCs w:val="20"/>
    </w:rPr>
  </w:style>
  <w:style w:type="paragraph" w:styleId="aa">
    <w:name w:val="Balloon Text"/>
    <w:basedOn w:val="a"/>
    <w:link w:val="Char5"/>
    <w:semiHidden/>
    <w:unhideWhenUsed/>
    <w:qFormat/>
    <w:rPr>
      <w:rFonts w:ascii="Times New Roman" w:eastAsia="宋体" w:hAnsi="Times New Roman" w:cs="Times New Roman"/>
      <w:sz w:val="18"/>
      <w:szCs w:val="20"/>
    </w:rPr>
  </w:style>
  <w:style w:type="paragraph" w:styleId="ab">
    <w:name w:val="footer"/>
    <w:basedOn w:val="a"/>
    <w:link w:val="Char6"/>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c">
    <w:name w:val="header"/>
    <w:basedOn w:val="a"/>
    <w:link w:val="Char7"/>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10">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d">
    <w:name w:val="footnote text"/>
    <w:basedOn w:val="a"/>
    <w:link w:val="Char8"/>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Char0"/>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22">
    <w:name w:val="Body Text 2"/>
    <w:basedOn w:val="a"/>
    <w:link w:val="2Char1"/>
    <w:qFormat/>
    <w:pPr>
      <w:spacing w:after="120" w:line="480" w:lineRule="auto"/>
    </w:pPr>
    <w:rPr>
      <w:rFonts w:ascii="Times New Roman" w:eastAsia="宋体" w:hAnsi="Times New Roman" w:cs="Times New Roman"/>
      <w:szCs w:val="24"/>
    </w:rPr>
  </w:style>
  <w:style w:type="paragraph" w:styleId="ae">
    <w:name w:val="Normal (Web)"/>
    <w:basedOn w:val="a"/>
    <w:uiPriority w:val="99"/>
    <w:qFormat/>
    <w:pPr>
      <w:widowControl/>
      <w:spacing w:before="100" w:beforeAutospacing="1" w:after="100" w:afterAutospacing="1"/>
      <w:jc w:val="left"/>
    </w:pPr>
    <w:rPr>
      <w:rFonts w:ascii="宋体" w:eastAsia="宋体" w:hAnsi="宋体" w:cs="宋体"/>
      <w:kern w:val="0"/>
      <w:sz w:val="24"/>
      <w:szCs w:val="24"/>
    </w:rPr>
  </w:style>
  <w:style w:type="paragraph" w:styleId="af">
    <w:name w:val="Title"/>
    <w:basedOn w:val="a"/>
    <w:next w:val="a"/>
    <w:link w:val="Char9"/>
    <w:qFormat/>
    <w:pPr>
      <w:spacing w:before="240" w:after="60"/>
      <w:jc w:val="center"/>
      <w:outlineLvl w:val="0"/>
    </w:pPr>
    <w:rPr>
      <w:rFonts w:ascii="Cambria" w:eastAsia="宋体" w:hAnsi="Cambria" w:cs="Times New Roman"/>
      <w:b/>
      <w:sz w:val="32"/>
    </w:rPr>
  </w:style>
  <w:style w:type="character" w:styleId="af0">
    <w:name w:val="Strong"/>
    <w:basedOn w:val="a0"/>
    <w:uiPriority w:val="22"/>
    <w:qFormat/>
    <w:rPr>
      <w:b/>
      <w:bCs/>
    </w:rPr>
  </w:style>
  <w:style w:type="character" w:styleId="af1">
    <w:name w:val="page number"/>
    <w:basedOn w:val="a0"/>
    <w:qFormat/>
  </w:style>
  <w:style w:type="character" w:styleId="af2">
    <w:name w:val="FollowedHyperlink"/>
    <w:basedOn w:val="a0"/>
    <w:unhideWhenUsed/>
    <w:qFormat/>
    <w:rPr>
      <w:color w:val="800080" w:themeColor="followedHyperlink"/>
      <w:u w:val="single"/>
    </w:rPr>
  </w:style>
  <w:style w:type="character" w:styleId="af3">
    <w:name w:val="Hyperlink"/>
    <w:uiPriority w:val="99"/>
    <w:unhideWhenUsed/>
    <w:qFormat/>
    <w:rPr>
      <w:color w:val="0000FF"/>
      <w:u w:val="single"/>
    </w:rPr>
  </w:style>
  <w:style w:type="character" w:styleId="af4">
    <w:name w:val="annotation reference"/>
    <w:uiPriority w:val="99"/>
    <w:unhideWhenUsed/>
    <w:qFormat/>
    <w:rPr>
      <w:sz w:val="21"/>
    </w:rPr>
  </w:style>
  <w:style w:type="character" w:styleId="af5">
    <w:name w:val="footnote reference"/>
    <w:semiHidden/>
    <w:unhideWhenUsed/>
    <w:qFormat/>
    <w:rPr>
      <w:vertAlign w:val="superscript"/>
    </w:rPr>
  </w:style>
  <w:style w:type="table" w:styleId="af6">
    <w:name w:val="Table Grid"/>
    <w:basedOn w:val="a1"/>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Char">
    <w:name w:val="标题 1 Char"/>
    <w:basedOn w:val="a0"/>
    <w:link w:val="1"/>
    <w:uiPriority w:val="9"/>
    <w:qFormat/>
    <w:rPr>
      <w:rFonts w:ascii="宋体" w:eastAsia="宋体" w:hAnsi="Times New Roman" w:cs="Times New Roman"/>
      <w:b/>
      <w:color w:val="000000"/>
      <w:kern w:val="0"/>
      <w:sz w:val="24"/>
      <w:szCs w:val="20"/>
      <w:lang w:val="zh-CN" w:eastAsia="zh-CN"/>
    </w:rPr>
  </w:style>
  <w:style w:type="character" w:customStyle="1" w:styleId="2Char">
    <w:name w:val="标题 2 Char"/>
    <w:basedOn w:val="a0"/>
    <w:link w:val="2"/>
    <w:semiHidden/>
    <w:qFormat/>
    <w:rPr>
      <w:rFonts w:ascii="Arial" w:eastAsia="黑体" w:hAnsi="Arial" w:cs="Times New Roman"/>
      <w:b/>
      <w:sz w:val="32"/>
      <w:szCs w:val="20"/>
      <w:lang w:val="zh-CN" w:eastAsia="zh-CN"/>
    </w:rPr>
  </w:style>
  <w:style w:type="character" w:customStyle="1" w:styleId="3Char">
    <w:name w:val="标题 3 Char"/>
    <w:basedOn w:val="a0"/>
    <w:link w:val="3"/>
    <w:semiHidden/>
    <w:qFormat/>
    <w:rPr>
      <w:rFonts w:ascii="Times New Roman" w:eastAsia="宋体" w:hAnsi="Times New Roman" w:cs="Times New Roman"/>
      <w:b/>
      <w:kern w:val="0"/>
      <w:sz w:val="32"/>
      <w:szCs w:val="20"/>
      <w:lang w:val="zh-CN" w:eastAsia="zh-CN"/>
    </w:rPr>
  </w:style>
  <w:style w:type="character" w:customStyle="1" w:styleId="Char8">
    <w:name w:val="脚注文本 Char"/>
    <w:basedOn w:val="a0"/>
    <w:link w:val="ad"/>
    <w:semiHidden/>
    <w:qFormat/>
    <w:rPr>
      <w:rFonts w:ascii="Times New Roman" w:eastAsia="宋体" w:hAnsi="Times New Roman" w:cs="Times New Roman"/>
      <w:sz w:val="18"/>
      <w:szCs w:val="20"/>
    </w:rPr>
  </w:style>
  <w:style w:type="character" w:customStyle="1" w:styleId="Chara">
    <w:name w:val="批注文字 Char"/>
    <w:basedOn w:val="a0"/>
    <w:semiHidden/>
    <w:qFormat/>
  </w:style>
  <w:style w:type="character" w:customStyle="1" w:styleId="Char7">
    <w:name w:val="页眉 Char"/>
    <w:basedOn w:val="a0"/>
    <w:link w:val="ac"/>
    <w:uiPriority w:val="99"/>
    <w:qFormat/>
    <w:rPr>
      <w:rFonts w:ascii="Times New Roman" w:eastAsia="宋体" w:hAnsi="Times New Roman" w:cs="Times New Roman"/>
      <w:sz w:val="18"/>
      <w:szCs w:val="18"/>
    </w:rPr>
  </w:style>
  <w:style w:type="character" w:customStyle="1" w:styleId="Char6">
    <w:name w:val="页脚 Char"/>
    <w:basedOn w:val="a0"/>
    <w:link w:val="ab"/>
    <w:uiPriority w:val="99"/>
    <w:qFormat/>
    <w:rPr>
      <w:rFonts w:ascii="Times New Roman" w:eastAsia="宋体" w:hAnsi="Times New Roman" w:cs="Times New Roman"/>
      <w:sz w:val="18"/>
      <w:szCs w:val="18"/>
    </w:rPr>
  </w:style>
  <w:style w:type="character" w:customStyle="1" w:styleId="Char9">
    <w:name w:val="标题 Char"/>
    <w:basedOn w:val="a0"/>
    <w:link w:val="af"/>
    <w:qFormat/>
    <w:rPr>
      <w:rFonts w:ascii="Cambria" w:eastAsia="宋体" w:hAnsi="Cambria" w:cs="Times New Roman"/>
      <w:b/>
      <w:sz w:val="32"/>
    </w:rPr>
  </w:style>
  <w:style w:type="character" w:customStyle="1" w:styleId="Char2">
    <w:name w:val="正文文本 Char"/>
    <w:basedOn w:val="a0"/>
    <w:link w:val="a7"/>
    <w:semiHidden/>
    <w:qFormat/>
    <w:rPr>
      <w:rFonts w:ascii="宋体" w:eastAsia="宋体" w:hAnsi="Calibri" w:cs="Times New Roman"/>
      <w:kern w:val="0"/>
    </w:rPr>
  </w:style>
  <w:style w:type="character" w:customStyle="1" w:styleId="2Char0">
    <w:name w:val="正文文本缩进 2 Char"/>
    <w:basedOn w:val="a0"/>
    <w:link w:val="21"/>
    <w:semiHidden/>
    <w:rPr>
      <w:rFonts w:ascii="仿宋_GB2312" w:eastAsia="仿宋_GB2312" w:hAnsi="Times New Roman" w:cs="Times New Roman"/>
      <w:sz w:val="28"/>
      <w:szCs w:val="20"/>
    </w:rPr>
  </w:style>
  <w:style w:type="character" w:customStyle="1" w:styleId="3Char0">
    <w:name w:val="正文文本缩进 3 Char"/>
    <w:basedOn w:val="a0"/>
    <w:link w:val="31"/>
    <w:semiHidden/>
    <w:qFormat/>
    <w:rPr>
      <w:rFonts w:ascii="Times New Roman" w:eastAsia="宋体" w:hAnsi="Times New Roman" w:cs="Times New Roman"/>
      <w:color w:val="0000FF"/>
      <w:szCs w:val="20"/>
    </w:rPr>
  </w:style>
  <w:style w:type="character" w:customStyle="1" w:styleId="Char0">
    <w:name w:val="文档结构图 Char"/>
    <w:basedOn w:val="a0"/>
    <w:link w:val="a6"/>
    <w:semiHidden/>
    <w:qFormat/>
    <w:rPr>
      <w:rFonts w:ascii="Times New Roman" w:eastAsia="宋体" w:hAnsi="Times New Roman" w:cs="Times New Roman"/>
      <w:szCs w:val="20"/>
      <w:shd w:val="clear" w:color="auto" w:fill="000080"/>
    </w:rPr>
  </w:style>
  <w:style w:type="character" w:customStyle="1" w:styleId="Char4">
    <w:name w:val="纯文本 Char"/>
    <w:basedOn w:val="a0"/>
    <w:link w:val="a9"/>
    <w:qFormat/>
    <w:rPr>
      <w:rFonts w:ascii="宋体" w:eastAsia="宋体" w:hAnsi="Courier New" w:cs="Times New Roman"/>
      <w:kern w:val="0"/>
      <w:szCs w:val="20"/>
    </w:rPr>
  </w:style>
  <w:style w:type="character" w:customStyle="1" w:styleId="Char">
    <w:name w:val="批注主题 Char"/>
    <w:basedOn w:val="Chara"/>
    <w:link w:val="a3"/>
    <w:semiHidden/>
    <w:qFormat/>
    <w:rPr>
      <w:rFonts w:ascii="Times New Roman" w:eastAsia="宋体" w:hAnsi="Times New Roman" w:cs="Times New Roman"/>
      <w:b/>
      <w:szCs w:val="20"/>
    </w:rPr>
  </w:style>
  <w:style w:type="character" w:customStyle="1" w:styleId="Char5">
    <w:name w:val="批注框文本 Char"/>
    <w:basedOn w:val="a0"/>
    <w:link w:val="aa"/>
    <w:semiHidden/>
    <w:rPr>
      <w:rFonts w:ascii="Times New Roman" w:eastAsia="宋体" w:hAnsi="Times New Roman" w:cs="Times New Roman"/>
      <w:sz w:val="18"/>
      <w:szCs w:val="20"/>
    </w:rPr>
  </w:style>
  <w:style w:type="paragraph" w:customStyle="1" w:styleId="11">
    <w:name w:val="修订1"/>
    <w:semiHidden/>
    <w:rPr>
      <w:rFonts w:ascii="Times New Roman" w:eastAsia="宋体" w:hAnsi="Times New Roman" w:cs="Times New Roman"/>
      <w:kern w:val="2"/>
      <w:sz w:val="21"/>
    </w:rPr>
  </w:style>
  <w:style w:type="paragraph" w:customStyle="1" w:styleId="Listbullet">
    <w:name w:val="List_bullet"/>
    <w:basedOn w:val="a"/>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rPr>
      <w:rFonts w:ascii="Times New Roman" w:eastAsia="宋体" w:hAnsi="Times New Roman" w:cs="Times New Roman"/>
      <w:szCs w:val="20"/>
    </w:rPr>
  </w:style>
  <w:style w:type="paragraph" w:customStyle="1" w:styleId="af7">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b">
    <w:name w:val="Char"/>
    <w:basedOn w:val="a"/>
    <w:qFormat/>
    <w:rPr>
      <w:rFonts w:ascii="Times New Roman" w:eastAsia="宋体" w:hAnsi="Times New Roman" w:cs="Times New Roman"/>
      <w:szCs w:val="20"/>
    </w:rPr>
  </w:style>
  <w:style w:type="paragraph" w:customStyle="1" w:styleId="unnamed1">
    <w:name w:val="unnamed1"/>
    <w:basedOn w:val="a"/>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7"/>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rFonts w:ascii="Times New Roman" w:eastAsia="宋体" w:hAnsi="Times New Roman" w:cs="Times New Roman"/>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8">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eastAsia="宋体" w:hAnsi="Times New Roman" w:cs="Times New Roman"/>
      <w:color w:val="000000"/>
      <w:sz w:val="24"/>
    </w:rPr>
  </w:style>
  <w:style w:type="character" w:customStyle="1" w:styleId="Char10">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1">
    <w:name w:val="正文文本 Char1"/>
    <w:qFormat/>
    <w:rPr>
      <w:rFonts w:ascii="Times New Roman" w:eastAsia="宋体" w:hAnsi="Times New Roman" w:cs="Times New Roman" w:hint="default"/>
      <w:szCs w:val="20"/>
    </w:rPr>
  </w:style>
  <w:style w:type="character" w:customStyle="1" w:styleId="Char12">
    <w:name w:val="标题 Char1"/>
    <w:qFormat/>
    <w:rPr>
      <w:rFonts w:ascii="Cambria" w:eastAsia="宋体" w:hAnsi="Cambria" w:cs="Times New Roman" w:hint="default"/>
      <w:b/>
      <w:bCs/>
      <w:sz w:val="32"/>
      <w:szCs w:val="32"/>
    </w:rPr>
  </w:style>
  <w:style w:type="character" w:customStyle="1" w:styleId="Char20">
    <w:name w:val="正文文本 Char2"/>
    <w:basedOn w:val="a0"/>
    <w:uiPriority w:val="99"/>
    <w:semiHidden/>
    <w:qFormat/>
    <w:rPr>
      <w:rFonts w:ascii="Times New Roman" w:eastAsia="宋体" w:hAnsi="Times New Roman" w:cs="Times New Roman" w:hint="default"/>
      <w:szCs w:val="20"/>
    </w:rPr>
  </w:style>
  <w:style w:type="character" w:customStyle="1" w:styleId="2Char10">
    <w:name w:val="正文文本缩进 2 Char1"/>
    <w:basedOn w:val="a0"/>
    <w:uiPriority w:val="99"/>
    <w:semiHidden/>
    <w:qFormat/>
    <w:rPr>
      <w:rFonts w:ascii="Times New Roman" w:eastAsia="宋体" w:hAnsi="Times New Roman" w:cs="Times New Roman" w:hint="default"/>
      <w:szCs w:val="20"/>
    </w:rPr>
  </w:style>
  <w:style w:type="character" w:customStyle="1" w:styleId="Char1">
    <w:name w:val="批注文字 Char1"/>
    <w:basedOn w:val="a0"/>
    <w:link w:val="a4"/>
    <w:uiPriority w:val="99"/>
    <w:qFormat/>
    <w:locked/>
    <w:rPr>
      <w:rFonts w:ascii="Times New Roman" w:eastAsia="宋体" w:hAnsi="Times New Roman" w:cs="Times New Roman"/>
      <w:szCs w:val="20"/>
    </w:rPr>
  </w:style>
  <w:style w:type="character" w:customStyle="1" w:styleId="Char13">
    <w:name w:val="批注主题 Char1"/>
    <w:basedOn w:val="Char1"/>
    <w:uiPriority w:val="99"/>
    <w:semiHidden/>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4">
    <w:name w:val="纯文本 Char1"/>
    <w:basedOn w:val="a0"/>
    <w:uiPriority w:val="99"/>
    <w:semiHidden/>
    <w:qFormat/>
    <w:rPr>
      <w:rFonts w:ascii="宋体" w:eastAsia="宋体" w:hAnsi="Courier New" w:cs="Courier New" w:hint="eastAsia"/>
      <w:szCs w:val="21"/>
    </w:rPr>
  </w:style>
  <w:style w:type="character" w:customStyle="1" w:styleId="Char21">
    <w:name w:val="标题 Char2"/>
    <w:basedOn w:val="a0"/>
    <w:uiPriority w:val="10"/>
    <w:qFormat/>
    <w:rPr>
      <w:rFonts w:ascii="Cambria" w:eastAsia="宋体" w:hAnsi="Cambria" w:cs="Times New Roman" w:hint="default"/>
      <w:b/>
      <w:bCs/>
      <w:sz w:val="32"/>
      <w:szCs w:val="32"/>
    </w:rPr>
  </w:style>
  <w:style w:type="character" w:customStyle="1" w:styleId="Char15">
    <w:name w:val="文档结构图 Char1"/>
    <w:basedOn w:val="a0"/>
    <w:uiPriority w:val="99"/>
    <w:semiHidden/>
    <w:qFormat/>
    <w:rPr>
      <w:rFonts w:ascii="宋体" w:eastAsia="宋体" w:hAnsi="Times New Roman" w:cs="Times New Roman" w:hint="eastAsia"/>
      <w:sz w:val="18"/>
      <w:szCs w:val="18"/>
    </w:rPr>
  </w:style>
  <w:style w:type="character" w:customStyle="1" w:styleId="Char16">
    <w:name w:val="批注框文本 Char1"/>
    <w:basedOn w:val="a0"/>
    <w:uiPriority w:val="99"/>
    <w:semiHidden/>
    <w:qFormat/>
    <w:rPr>
      <w:rFonts w:ascii="Times New Roman" w:eastAsia="宋体" w:hAnsi="Times New Roman" w:cs="Times New Roman" w:hint="default"/>
      <w:sz w:val="18"/>
      <w:szCs w:val="18"/>
    </w:rPr>
  </w:style>
  <w:style w:type="character" w:customStyle="1" w:styleId="Char17">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rPr>
      <w:rFonts w:ascii="ˎ̥" w:hAnsi="ˎ̥" w:hint="default"/>
      <w:color w:val="000000"/>
      <w:sz w:val="21"/>
      <w:szCs w:val="21"/>
    </w:rPr>
  </w:style>
  <w:style w:type="paragraph" w:styleId="af9">
    <w:name w:val="List Paragraph"/>
    <w:basedOn w:val="a"/>
    <w:uiPriority w:val="34"/>
    <w:qFormat/>
    <w:pPr>
      <w:ind w:firstLineChars="200" w:firstLine="420"/>
    </w:pPr>
  </w:style>
  <w:style w:type="paragraph" w:customStyle="1" w:styleId="CharCharCharCharCharChar1CharCharChar">
    <w:name w:val="Char Char Char Char Char Char1 Char Char Char"/>
    <w:basedOn w:val="a"/>
    <w:qFormat/>
    <w:pPr>
      <w:autoSpaceDE w:val="0"/>
      <w:autoSpaceDN w:val="0"/>
      <w:adjustRightInd w:val="0"/>
      <w:jc w:val="left"/>
      <w:textAlignment w:val="baseline"/>
    </w:pPr>
    <w:rPr>
      <w:rFonts w:ascii="Times New Roman" w:eastAsia="方正仿宋简体" w:hAnsi="Times New Roman" w:cs="Times New Roman"/>
      <w:sz w:val="32"/>
      <w:szCs w:val="20"/>
    </w:rPr>
  </w:style>
  <w:style w:type="paragraph" w:customStyle="1" w:styleId="zhangjiep">
    <w:name w:val="zhangjie_p"/>
    <w:basedOn w:val="a"/>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dazhangjie">
    <w:name w:val="dazhangjie"/>
    <w:basedOn w:val="a"/>
    <w:qFormat/>
    <w:pPr>
      <w:widowControl/>
      <w:autoSpaceDE w:val="0"/>
      <w:autoSpaceDN w:val="0"/>
      <w:adjustRightInd w:val="0"/>
      <w:spacing w:before="30" w:line="288" w:lineRule="auto"/>
      <w:ind w:left="15"/>
      <w:jc w:val="center"/>
      <w:outlineLvl w:val="0"/>
    </w:pPr>
    <w:rPr>
      <w:rFonts w:ascii="宋体" w:eastAsia="宋体" w:hAnsi="宋体" w:cs="宋体"/>
      <w:kern w:val="0"/>
      <w:sz w:val="24"/>
      <w:szCs w:val="24"/>
    </w:rPr>
  </w:style>
  <w:style w:type="paragraph" w:customStyle="1" w:styleId="zhangjiep2">
    <w:name w:val="zhangjie_p2"/>
    <w:basedOn w:val="a"/>
    <w:qFormat/>
    <w:pPr>
      <w:widowControl/>
      <w:autoSpaceDE w:val="0"/>
      <w:autoSpaceDN w:val="0"/>
      <w:adjustRightInd w:val="0"/>
      <w:spacing w:before="24" w:line="288" w:lineRule="auto"/>
      <w:ind w:left="15"/>
      <w:jc w:val="left"/>
    </w:pPr>
    <w:rPr>
      <w:rFonts w:ascii="宋体" w:eastAsia="宋体" w:hAnsi="宋体" w:cs="宋体"/>
      <w:kern w:val="0"/>
      <w:sz w:val="24"/>
      <w:szCs w:val="24"/>
    </w:rPr>
  </w:style>
  <w:style w:type="paragraph" w:customStyle="1" w:styleId="neirong">
    <w:name w:val="neirong"/>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character" w:customStyle="1" w:styleId="4Char">
    <w:name w:val="标题 4 Char"/>
    <w:basedOn w:val="a0"/>
    <w:link w:val="4"/>
    <w:qFormat/>
    <w:rPr>
      <w:rFonts w:ascii="Arial" w:eastAsia="宋体" w:hAnsi="Arial" w:cs="Times New Roman"/>
      <w:szCs w:val="20"/>
    </w:rPr>
  </w:style>
  <w:style w:type="character" w:customStyle="1" w:styleId="5Char">
    <w:name w:val="标题 5 Char"/>
    <w:basedOn w:val="a0"/>
    <w:link w:val="5"/>
    <w:qFormat/>
    <w:rPr>
      <w:rFonts w:ascii="Times New Roman" w:eastAsia="宋体" w:hAnsi="Times New Roman" w:cs="Times New Roman"/>
      <w:szCs w:val="20"/>
    </w:rPr>
  </w:style>
  <w:style w:type="character" w:customStyle="1" w:styleId="6Char">
    <w:name w:val="标题 6 Char"/>
    <w:basedOn w:val="a0"/>
    <w:link w:val="6"/>
    <w:qFormat/>
    <w:rPr>
      <w:rFonts w:ascii="Arial" w:eastAsia="黑体" w:hAnsi="Arial" w:cs="Times New Roman"/>
      <w:b/>
      <w:sz w:val="24"/>
      <w:szCs w:val="20"/>
    </w:rPr>
  </w:style>
  <w:style w:type="character" w:customStyle="1" w:styleId="7Char">
    <w:name w:val="标题 7 Char"/>
    <w:basedOn w:val="a0"/>
    <w:link w:val="7"/>
    <w:rPr>
      <w:rFonts w:ascii="Times New Roman" w:eastAsia="宋体" w:hAnsi="Times New Roman" w:cs="Times New Roman"/>
      <w:b/>
      <w:sz w:val="24"/>
      <w:szCs w:val="20"/>
    </w:rPr>
  </w:style>
  <w:style w:type="character" w:customStyle="1" w:styleId="8Char">
    <w:name w:val="标题 8 Char"/>
    <w:basedOn w:val="a0"/>
    <w:link w:val="8"/>
    <w:qFormat/>
    <w:rPr>
      <w:rFonts w:ascii="Arial" w:eastAsia="黑体" w:hAnsi="Arial" w:cs="Times New Roman"/>
      <w:sz w:val="24"/>
      <w:szCs w:val="20"/>
    </w:rPr>
  </w:style>
  <w:style w:type="character" w:customStyle="1" w:styleId="9Char">
    <w:name w:val="标题 9 Char"/>
    <w:basedOn w:val="a0"/>
    <w:link w:val="9"/>
    <w:qFormat/>
    <w:rPr>
      <w:rFonts w:ascii="Arial" w:eastAsia="黑体" w:hAnsi="Arial" w:cs="Times New Roman"/>
      <w:szCs w:val="20"/>
    </w:rPr>
  </w:style>
  <w:style w:type="character" w:customStyle="1" w:styleId="Char3">
    <w:name w:val="正文文本缩进 Char"/>
    <w:basedOn w:val="a0"/>
    <w:link w:val="a8"/>
    <w:qFormat/>
    <w:rPr>
      <w:rFonts w:ascii="Times New Roman" w:eastAsia="宋体" w:hAnsi="Times New Roman" w:cs="Times New Roman"/>
      <w:szCs w:val="24"/>
    </w:rPr>
  </w:style>
  <w:style w:type="character" w:customStyle="1" w:styleId="2Char1">
    <w:name w:val="正文文本 2 Char"/>
    <w:basedOn w:val="a0"/>
    <w:link w:val="22"/>
    <w:qFormat/>
    <w:rPr>
      <w:rFonts w:ascii="Times New Roman" w:eastAsia="宋体" w:hAnsi="Times New Roman" w:cs="Times New Roman"/>
      <w:szCs w:val="24"/>
    </w:rPr>
  </w:style>
  <w:style w:type="character" w:customStyle="1" w:styleId="tt11">
    <w:name w:val="tt11"/>
    <w:qFormat/>
    <w:rPr>
      <w:sz w:val="22"/>
      <w:szCs w:val="22"/>
    </w:rPr>
  </w:style>
  <w:style w:type="character" w:customStyle="1" w:styleId="big1">
    <w:name w:val="big1"/>
    <w:qFormat/>
    <w:rPr>
      <w:sz w:val="22"/>
      <w:szCs w:val="22"/>
    </w:rPr>
  </w:style>
  <w:style w:type="paragraph" w:customStyle="1" w:styleId="Level3">
    <w:name w:val="Level 3"/>
    <w:basedOn w:val="a"/>
    <w:qFormat/>
    <w:pPr>
      <w:widowControl/>
      <w:numPr>
        <w:ilvl w:val="2"/>
        <w:numId w:val="3"/>
      </w:numPr>
      <w:spacing w:after="140" w:line="290" w:lineRule="auto"/>
      <w:outlineLvl w:val="2"/>
    </w:pPr>
    <w:rPr>
      <w:rFonts w:ascii="Arial" w:eastAsia="宋体" w:hAnsi="Arial" w:cs="Times New Roman"/>
      <w:kern w:val="20"/>
      <w:sz w:val="20"/>
      <w:szCs w:val="24"/>
      <w:lang w:val="en-GB" w:eastAsia="en-US"/>
    </w:rPr>
  </w:style>
  <w:style w:type="paragraph" w:customStyle="1" w:styleId="ParaCharCharCharCharCharCharChar">
    <w:name w:val="默认段落字体 Para Char Char Char Char Char Char Char"/>
    <w:basedOn w:val="a"/>
    <w:qFormat/>
    <w:pPr>
      <w:widowControl/>
      <w:jc w:val="left"/>
    </w:pPr>
    <w:rPr>
      <w:rFonts w:ascii="Tahoma" w:eastAsia="宋体" w:hAnsi="Tahoma" w:cs="Times New Roman"/>
      <w:color w:val="000000"/>
      <w:kern w:val="0"/>
      <w:sz w:val="24"/>
      <w:szCs w:val="20"/>
    </w:rPr>
  </w:style>
  <w:style w:type="paragraph" w:customStyle="1" w:styleId="Char22">
    <w:name w:val="Char2"/>
    <w:basedOn w:val="a"/>
    <w:qFormat/>
    <w:rPr>
      <w:rFonts w:ascii="Times New Roman" w:eastAsia="宋体" w:hAnsi="Times New Roman" w:cs="Times New Roman"/>
      <w:szCs w:val="24"/>
    </w:rPr>
  </w:style>
  <w:style w:type="paragraph" w:customStyle="1" w:styleId="Level5">
    <w:name w:val="Level 5"/>
    <w:basedOn w:val="a"/>
    <w:qFormat/>
    <w:pPr>
      <w:widowControl/>
      <w:numPr>
        <w:ilvl w:val="4"/>
        <w:numId w:val="3"/>
      </w:numPr>
      <w:spacing w:after="140" w:line="290" w:lineRule="auto"/>
      <w:outlineLvl w:val="4"/>
    </w:pPr>
    <w:rPr>
      <w:rFonts w:ascii="Arial" w:eastAsia="宋体" w:hAnsi="Arial" w:cs="Times New Roman"/>
      <w:kern w:val="20"/>
      <w:sz w:val="20"/>
      <w:szCs w:val="24"/>
      <w:lang w:val="en-GB" w:eastAsia="en-US"/>
    </w:rPr>
  </w:style>
  <w:style w:type="paragraph" w:customStyle="1" w:styleId="Level1">
    <w:name w:val="Level 1"/>
    <w:basedOn w:val="a"/>
    <w:qFormat/>
    <w:pPr>
      <w:widowControl/>
      <w:numPr>
        <w:numId w:val="3"/>
      </w:numPr>
      <w:spacing w:after="140" w:line="290" w:lineRule="auto"/>
      <w:outlineLvl w:val="0"/>
    </w:pPr>
    <w:rPr>
      <w:rFonts w:ascii="Arial" w:eastAsia="宋体" w:hAnsi="Arial" w:cs="Times New Roman"/>
      <w:kern w:val="20"/>
      <w:sz w:val="20"/>
      <w:szCs w:val="24"/>
      <w:lang w:val="en-GB" w:eastAsia="en-US"/>
    </w:rPr>
  </w:style>
  <w:style w:type="paragraph" w:customStyle="1" w:styleId="12">
    <w:name w:val="修订1"/>
    <w:uiPriority w:val="99"/>
    <w:semiHidden/>
    <w:qFormat/>
    <w:rPr>
      <w:rFonts w:ascii="Times New Roman" w:eastAsia="宋体" w:hAnsi="Times New Roman" w:cs="Times New Roman"/>
      <w:kern w:val="2"/>
      <w:sz w:val="21"/>
      <w:szCs w:val="24"/>
    </w:rPr>
  </w:style>
  <w:style w:type="paragraph" w:customStyle="1" w:styleId="Level9">
    <w:name w:val="Level 9"/>
    <w:basedOn w:val="a"/>
    <w:qFormat/>
    <w:pPr>
      <w:widowControl/>
      <w:numPr>
        <w:ilvl w:val="8"/>
        <w:numId w:val="3"/>
      </w:numPr>
      <w:spacing w:after="140" w:line="290" w:lineRule="auto"/>
      <w:outlineLvl w:val="8"/>
    </w:pPr>
    <w:rPr>
      <w:rFonts w:ascii="Arial" w:eastAsia="宋体" w:hAnsi="Arial" w:cs="Times New Roman"/>
      <w:kern w:val="20"/>
      <w:sz w:val="20"/>
      <w:szCs w:val="24"/>
      <w:lang w:val="en-GB" w:eastAsia="en-US"/>
    </w:rPr>
  </w:style>
  <w:style w:type="paragraph" w:customStyle="1" w:styleId="15">
    <w:name w:val="样式 宋体 四号 行距: 1.5 倍行距"/>
    <w:basedOn w:val="a"/>
    <w:qFormat/>
    <w:pPr>
      <w:spacing w:line="360" w:lineRule="auto"/>
    </w:pPr>
    <w:rPr>
      <w:rFonts w:ascii="宋体" w:eastAsia="宋体" w:hAnsi="宋体" w:cs="Times New Roman"/>
      <w:sz w:val="24"/>
      <w:szCs w:val="20"/>
    </w:rPr>
  </w:style>
  <w:style w:type="paragraph" w:customStyle="1" w:styleId="ParaChar">
    <w:name w:val="默认段落字体 Para Char"/>
    <w:basedOn w:val="a"/>
    <w:qFormat/>
    <w:pPr>
      <w:tabs>
        <w:tab w:val="left" w:pos="840"/>
      </w:tabs>
      <w:ind w:left="840" w:hanging="420"/>
    </w:pPr>
    <w:rPr>
      <w:rFonts w:ascii="Times New Roman" w:eastAsia="宋体" w:hAnsi="Times New Roman" w:cs="Times New Roman"/>
      <w:sz w:val="24"/>
      <w:szCs w:val="24"/>
    </w:rPr>
  </w:style>
  <w:style w:type="paragraph" w:customStyle="1" w:styleId="Level7">
    <w:name w:val="Level 7"/>
    <w:basedOn w:val="a"/>
    <w:qFormat/>
    <w:pPr>
      <w:widowControl/>
      <w:numPr>
        <w:ilvl w:val="6"/>
        <w:numId w:val="3"/>
      </w:numPr>
      <w:spacing w:after="140" w:line="290" w:lineRule="auto"/>
      <w:outlineLvl w:val="6"/>
    </w:pPr>
    <w:rPr>
      <w:rFonts w:ascii="Arial" w:eastAsia="宋体" w:hAnsi="Arial" w:cs="Times New Roman"/>
      <w:kern w:val="20"/>
      <w:sz w:val="20"/>
      <w:szCs w:val="24"/>
      <w:lang w:val="en-GB" w:eastAsia="en-US"/>
    </w:rPr>
  </w:style>
  <w:style w:type="paragraph" w:customStyle="1" w:styleId="Level6">
    <w:name w:val="Level 6"/>
    <w:basedOn w:val="a"/>
    <w:qFormat/>
    <w:pPr>
      <w:widowControl/>
      <w:numPr>
        <w:ilvl w:val="5"/>
        <w:numId w:val="3"/>
      </w:numPr>
      <w:spacing w:after="140" w:line="290" w:lineRule="auto"/>
      <w:outlineLvl w:val="5"/>
    </w:pPr>
    <w:rPr>
      <w:rFonts w:ascii="Arial" w:eastAsia="宋体" w:hAnsi="Arial" w:cs="Times New Roman"/>
      <w:kern w:val="20"/>
      <w:sz w:val="20"/>
      <w:szCs w:val="24"/>
      <w:lang w:val="en-GB" w:eastAsia="en-US"/>
    </w:rPr>
  </w:style>
  <w:style w:type="paragraph" w:customStyle="1" w:styleId="20">
    <w:name w:val="列表2"/>
    <w:basedOn w:val="a"/>
    <w:next w:val="af"/>
    <w:qFormat/>
    <w:pPr>
      <w:numPr>
        <w:numId w:val="4"/>
      </w:numPr>
      <w:spacing w:line="360" w:lineRule="auto"/>
    </w:pPr>
    <w:rPr>
      <w:rFonts w:ascii="宋体" w:eastAsia="宋体" w:hAnsi="Times New Roman" w:cs="Times New Roman"/>
      <w:szCs w:val="20"/>
    </w:rPr>
  </w:style>
  <w:style w:type="paragraph" w:customStyle="1" w:styleId="Level2">
    <w:name w:val="Level 2"/>
    <w:basedOn w:val="a"/>
    <w:qFormat/>
    <w:pPr>
      <w:widowControl/>
      <w:numPr>
        <w:ilvl w:val="1"/>
        <w:numId w:val="3"/>
      </w:numPr>
      <w:spacing w:after="140" w:line="290" w:lineRule="auto"/>
      <w:outlineLvl w:val="1"/>
    </w:pPr>
    <w:rPr>
      <w:rFonts w:ascii="Arial" w:eastAsia="宋体" w:hAnsi="Arial" w:cs="Times New Roman"/>
      <w:kern w:val="20"/>
      <w:sz w:val="20"/>
      <w:szCs w:val="24"/>
      <w:lang w:val="en-GB" w:eastAsia="en-US"/>
    </w:rPr>
  </w:style>
  <w:style w:type="paragraph" w:customStyle="1" w:styleId="CharCharCharChar1">
    <w:name w:val="Char Char Char Char1"/>
    <w:basedOn w:val="a"/>
    <w:qFormat/>
    <w:pPr>
      <w:tabs>
        <w:tab w:val="left" w:pos="360"/>
      </w:tabs>
    </w:pPr>
    <w:rPr>
      <w:rFonts w:ascii="Times New Roman" w:eastAsia="宋体" w:hAnsi="Times New Roman" w:cs="Times New Roman"/>
      <w:sz w:val="24"/>
      <w:szCs w:val="24"/>
    </w:rPr>
  </w:style>
  <w:style w:type="paragraph" w:customStyle="1" w:styleId="13">
    <w:name w:val="正文1"/>
    <w:basedOn w:val="a"/>
    <w:qFormat/>
    <w:pPr>
      <w:spacing w:line="360" w:lineRule="auto"/>
      <w:ind w:firstLineChars="200" w:firstLine="200"/>
    </w:pPr>
    <w:rPr>
      <w:rFonts w:ascii="Times New Roman" w:eastAsia="宋体" w:hAnsi="Times New Roman" w:cs="宋体"/>
      <w:szCs w:val="20"/>
    </w:rPr>
  </w:style>
  <w:style w:type="paragraph" w:customStyle="1" w:styleId="ParaCharCharCharCharCharCharCharCharCharCharCharChar">
    <w:name w:val="默认段落字体 Para Char Char Char Char Char Char Char Char Char Char Char Char"/>
    <w:basedOn w:val="a"/>
    <w:qFormat/>
    <w:pPr>
      <w:tabs>
        <w:tab w:val="left" w:pos="840"/>
      </w:tabs>
      <w:ind w:left="840" w:hanging="360"/>
    </w:pPr>
    <w:rPr>
      <w:rFonts w:ascii="Times New Roman" w:eastAsia="宋体" w:hAnsi="Times New Roman" w:cs="Times New Roman"/>
      <w:sz w:val="24"/>
      <w:szCs w:val="24"/>
    </w:rPr>
  </w:style>
  <w:style w:type="paragraph" w:customStyle="1" w:styleId="Level8">
    <w:name w:val="Level 8"/>
    <w:basedOn w:val="a"/>
    <w:qFormat/>
    <w:pPr>
      <w:widowControl/>
      <w:numPr>
        <w:ilvl w:val="7"/>
        <w:numId w:val="3"/>
      </w:numPr>
      <w:spacing w:after="140" w:line="290" w:lineRule="auto"/>
      <w:outlineLvl w:val="7"/>
    </w:pPr>
    <w:rPr>
      <w:rFonts w:ascii="Arial" w:eastAsia="宋体" w:hAnsi="Arial" w:cs="Times New Roman"/>
      <w:kern w:val="20"/>
      <w:sz w:val="20"/>
      <w:szCs w:val="24"/>
      <w:lang w:val="en-GB" w:eastAsia="en-US"/>
    </w:rPr>
  </w:style>
  <w:style w:type="paragraph" w:customStyle="1" w:styleId="xl25">
    <w:name w:val="xl25"/>
    <w:basedOn w:val="a"/>
    <w:qFormat/>
    <w:pPr>
      <w:widowControl/>
      <w:pBdr>
        <w:bottom w:val="single" w:sz="4" w:space="0" w:color="auto"/>
        <w:right w:val="single" w:sz="4" w:space="0" w:color="auto"/>
      </w:pBdr>
      <w:spacing w:before="100" w:beforeAutospacing="1" w:after="100" w:afterAutospacing="1"/>
      <w:jc w:val="center"/>
    </w:pPr>
    <w:rPr>
      <w:rFonts w:ascii="Times New Roman" w:eastAsia="Arial Unicode MS" w:hAnsi="Times New Roman" w:cs="Times New Roman"/>
      <w:kern w:val="0"/>
      <w:szCs w:val="21"/>
    </w:rPr>
  </w:style>
  <w:style w:type="paragraph" w:customStyle="1" w:styleId="080318">
    <w:name w:val="产品方案正文080318"/>
    <w:basedOn w:val="a"/>
    <w:next w:val="a"/>
    <w:qFormat/>
    <w:pPr>
      <w:autoSpaceDE w:val="0"/>
      <w:autoSpaceDN w:val="0"/>
      <w:adjustRightInd w:val="0"/>
      <w:jc w:val="left"/>
    </w:pPr>
    <w:rPr>
      <w:rFonts w:ascii="宋体" w:eastAsia="宋体" w:hAnsi="Times New Roman" w:cs="Times New Roman"/>
      <w:kern w:val="0"/>
      <w:sz w:val="24"/>
      <w:szCs w:val="24"/>
    </w:rPr>
  </w:style>
  <w:style w:type="paragraph" w:customStyle="1" w:styleId="afa">
    <w:name w:val="第三级标题"/>
    <w:basedOn w:val="af8"/>
    <w:next w:val="af8"/>
    <w:qFormat/>
    <w:pPr>
      <w:keepNext/>
      <w:outlineLvl w:val="2"/>
    </w:pPr>
    <w:rPr>
      <w:b/>
      <w:szCs w:val="24"/>
    </w:rPr>
  </w:style>
  <w:style w:type="paragraph" w:customStyle="1" w:styleId="14">
    <w:name w:val="无间隔1"/>
    <w:uiPriority w:val="1"/>
    <w:qFormat/>
    <w:pPr>
      <w:widowControl w:val="0"/>
      <w:jc w:val="both"/>
    </w:pPr>
    <w:rPr>
      <w:rFonts w:ascii="Times New Roman" w:eastAsia="宋体" w:hAnsi="Times New Roman" w:cs="Times New Roman"/>
      <w:kern w:val="2"/>
      <w:sz w:val="21"/>
      <w:szCs w:val="24"/>
    </w:rPr>
  </w:style>
  <w:style w:type="paragraph" w:customStyle="1" w:styleId="16">
    <w:name w:val="列出段落1"/>
    <w:basedOn w:val="a"/>
    <w:uiPriority w:val="99"/>
    <w:qFormat/>
    <w:pPr>
      <w:ind w:firstLineChars="200" w:firstLine="420"/>
    </w:pPr>
    <w:rPr>
      <w:rFonts w:ascii="Times New Roman" w:eastAsia="宋体" w:hAnsi="Times New Roman" w:cs="Times New Roman"/>
      <w:szCs w:val="24"/>
    </w:rPr>
  </w:style>
  <w:style w:type="character" w:customStyle="1" w:styleId="apple-converted-space">
    <w:name w:val="apple-converted-space"/>
    <w:basedOn w:val="a0"/>
    <w:qFormat/>
  </w:style>
  <w:style w:type="character" w:customStyle="1" w:styleId="disabled">
    <w:name w:val="disabled"/>
    <w:basedOn w:val="a0"/>
    <w:rPr>
      <w:color w:val="888888"/>
    </w:rPr>
  </w:style>
  <w:style w:type="character" w:customStyle="1" w:styleId="fttime">
    <w:name w:val="ft_time"/>
    <w:basedOn w:val="a0"/>
    <w:qFormat/>
    <w:rPr>
      <w:color w:val="888888"/>
    </w:rPr>
  </w:style>
  <w:style w:type="paragraph" w:customStyle="1" w:styleId="hide">
    <w:name w:val="hide"/>
    <w:basedOn w:val="a"/>
    <w:pPr>
      <w:widowControl/>
      <w:spacing w:before="100" w:beforeAutospacing="1" w:after="100" w:afterAutospacing="1"/>
      <w:jc w:val="left"/>
    </w:pPr>
    <w:rPr>
      <w:rFonts w:ascii="宋体" w:eastAsia="宋体" w:hAnsi="宋体" w:cs="宋体"/>
      <w:vanish/>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3354350">
      <w:bodyDiv w:val="1"/>
      <w:marLeft w:val="0"/>
      <w:marRight w:val="0"/>
      <w:marTop w:val="0"/>
      <w:marBottom w:val="0"/>
      <w:divBdr>
        <w:top w:val="none" w:sz="0" w:space="0" w:color="auto"/>
        <w:left w:val="none" w:sz="0" w:space="0" w:color="auto"/>
        <w:bottom w:val="none" w:sz="0" w:space="0" w:color="auto"/>
        <w:right w:val="none" w:sz="0" w:space="0" w:color="auto"/>
      </w:divBdr>
    </w:div>
    <w:div w:id="779449975">
      <w:bodyDiv w:val="1"/>
      <w:marLeft w:val="0"/>
      <w:marRight w:val="0"/>
      <w:marTop w:val="0"/>
      <w:marBottom w:val="0"/>
      <w:divBdr>
        <w:top w:val="none" w:sz="0" w:space="0" w:color="auto"/>
        <w:left w:val="none" w:sz="0" w:space="0" w:color="auto"/>
        <w:bottom w:val="none" w:sz="0" w:space="0" w:color="auto"/>
        <w:right w:val="none" w:sz="0" w:space="0" w:color="auto"/>
      </w:divBdr>
    </w:div>
    <w:div w:id="131190930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zlfund.cn" TargetMode="Externa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hyperlink" Target="http://www.jianfortune.com"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image" Target="media/image2.jpe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5" Type="http://schemas.openxmlformats.org/officeDocument/2006/relationships/image" Target="media/image1.jpeg"/><Relationship Id="rId10" Type="http://schemas.openxmlformats.org/officeDocument/2006/relationships/header" Target="header1.xm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http://www.jjmmw.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4F1BF10-15C5-480A-9DF9-19273ACB32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31</Pages>
  <Words>2947</Words>
  <Characters>16802</Characters>
  <Application>Microsoft Office Word</Application>
  <DocSecurity>0</DocSecurity>
  <Lines>140</Lines>
  <Paragraphs>39</Paragraphs>
  <ScaleCrop>false</ScaleCrop>
  <Company/>
  <LinksUpToDate>false</LinksUpToDate>
  <CharactersWithSpaces>19710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汤玲</dc:creator>
  <cp:lastModifiedBy>liuzf</cp:lastModifiedBy>
  <cp:revision>142</cp:revision>
  <cp:lastPrinted>2017-04-28T06:20:00Z</cp:lastPrinted>
  <dcterms:created xsi:type="dcterms:W3CDTF">2017-10-23T07:08:00Z</dcterms:created>
  <dcterms:modified xsi:type="dcterms:W3CDTF">2019-03-11T01:20:00Z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