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0C6BFB" w:rsidRDefault="00ED2C40" w:rsidP="000C6BFB">
      <w:pPr>
        <w:spacing w:line="360" w:lineRule="auto"/>
        <w:ind w:firstLineChars="200" w:firstLine="562"/>
        <w:jc w:val="center"/>
        <w:rPr>
          <w:rFonts w:asciiTheme="majorEastAsia" w:eastAsiaTheme="majorEastAsia" w:hAnsiTheme="majorEastAsia"/>
          <w:b/>
          <w:sz w:val="28"/>
          <w:szCs w:val="28"/>
        </w:rPr>
      </w:pPr>
      <w:r w:rsidRPr="000C6BFB">
        <w:rPr>
          <w:rFonts w:asciiTheme="majorEastAsia" w:eastAsiaTheme="majorEastAsia" w:hAnsiTheme="majorEastAsia" w:hint="eastAsia"/>
          <w:b/>
          <w:sz w:val="28"/>
          <w:szCs w:val="28"/>
        </w:rPr>
        <w:t>富荣基金管理有限公司关于提高富荣富</w:t>
      </w:r>
      <w:r w:rsidR="000C6BFB" w:rsidRPr="000C6BFB">
        <w:rPr>
          <w:rFonts w:asciiTheme="majorEastAsia" w:eastAsiaTheme="majorEastAsia" w:hAnsiTheme="majorEastAsia" w:hint="eastAsia"/>
          <w:b/>
          <w:sz w:val="28"/>
          <w:szCs w:val="28"/>
        </w:rPr>
        <w:t>安</w:t>
      </w:r>
      <w:r w:rsidRPr="000C6BFB">
        <w:rPr>
          <w:rFonts w:asciiTheme="majorEastAsia" w:eastAsiaTheme="majorEastAsia" w:hAnsiTheme="majorEastAsia" w:hint="eastAsia"/>
          <w:b/>
          <w:sz w:val="28"/>
          <w:szCs w:val="28"/>
        </w:rPr>
        <w:t>债券型证券投资基金净值精度</w:t>
      </w:r>
      <w:r w:rsidR="003E35B0" w:rsidRPr="000C6BFB">
        <w:rPr>
          <w:rFonts w:asciiTheme="majorEastAsia" w:eastAsiaTheme="majorEastAsia" w:hAnsiTheme="majorEastAsia" w:hint="eastAsia"/>
          <w:b/>
          <w:sz w:val="28"/>
          <w:szCs w:val="28"/>
        </w:rPr>
        <w:t>的公告</w:t>
      </w:r>
    </w:p>
    <w:p w:rsidR="000D7753" w:rsidRPr="000C6BFB" w:rsidRDefault="000D7753" w:rsidP="000C6BFB">
      <w:pPr>
        <w:spacing w:line="360" w:lineRule="auto"/>
        <w:ind w:firstLineChars="200" w:firstLine="482"/>
        <w:jc w:val="center"/>
        <w:rPr>
          <w:rFonts w:asciiTheme="minorEastAsia" w:hAnsiTheme="minorEastAsia"/>
          <w:b/>
          <w:sz w:val="24"/>
          <w:szCs w:val="24"/>
        </w:rPr>
      </w:pPr>
    </w:p>
    <w:p w:rsidR="003E35B0" w:rsidRPr="000C6BFB" w:rsidRDefault="0010440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富荣富</w:t>
      </w:r>
      <w:r w:rsidR="000C6BFB" w:rsidRPr="000C6BFB">
        <w:rPr>
          <w:rFonts w:asciiTheme="minorEastAsia" w:hAnsiTheme="minorEastAsia" w:hint="eastAsia"/>
          <w:sz w:val="24"/>
          <w:szCs w:val="24"/>
        </w:rPr>
        <w:t>安</w:t>
      </w:r>
      <w:r w:rsidRPr="000C6BFB">
        <w:rPr>
          <w:rFonts w:asciiTheme="minorEastAsia" w:hAnsiTheme="minorEastAsia" w:hint="eastAsia"/>
          <w:sz w:val="24"/>
          <w:szCs w:val="24"/>
        </w:rPr>
        <w:t>债券型证券投资基金（以下简称“本基金”）于</w:t>
      </w:r>
      <w:r w:rsidR="000C6BFB" w:rsidRPr="000C6BFB">
        <w:rPr>
          <w:rFonts w:asciiTheme="minorEastAsia" w:hAnsiTheme="minorEastAsia" w:hint="eastAsia"/>
          <w:sz w:val="24"/>
          <w:szCs w:val="24"/>
        </w:rPr>
        <w:t>2019</w:t>
      </w:r>
      <w:r w:rsidRPr="000C6BFB">
        <w:rPr>
          <w:rFonts w:asciiTheme="minorEastAsia" w:hAnsiTheme="minorEastAsia" w:hint="eastAsia"/>
          <w:sz w:val="24"/>
          <w:szCs w:val="24"/>
        </w:rPr>
        <w:t>年</w:t>
      </w:r>
      <w:r w:rsidR="000C6BFB" w:rsidRPr="000C6BFB">
        <w:rPr>
          <w:rFonts w:asciiTheme="minorEastAsia" w:hAnsiTheme="minorEastAsia" w:hint="eastAsia"/>
          <w:sz w:val="24"/>
          <w:szCs w:val="24"/>
        </w:rPr>
        <w:t>4</w:t>
      </w:r>
      <w:r w:rsidRPr="000C6BFB">
        <w:rPr>
          <w:rFonts w:asciiTheme="minorEastAsia" w:hAnsiTheme="minorEastAsia" w:hint="eastAsia"/>
          <w:sz w:val="24"/>
          <w:szCs w:val="24"/>
        </w:rPr>
        <w:t>月</w:t>
      </w:r>
      <w:r w:rsidR="000C6BFB" w:rsidRPr="000C6BFB">
        <w:rPr>
          <w:rFonts w:asciiTheme="minorEastAsia" w:hAnsiTheme="minorEastAsia" w:hint="eastAsia"/>
          <w:sz w:val="24"/>
          <w:szCs w:val="24"/>
        </w:rPr>
        <w:t>18</w:t>
      </w:r>
      <w:r w:rsidRPr="000C6BFB">
        <w:rPr>
          <w:rFonts w:asciiTheme="minorEastAsia" w:hAnsiTheme="minorEastAsia" w:hint="eastAsia"/>
          <w:sz w:val="24"/>
          <w:szCs w:val="24"/>
        </w:rPr>
        <w:t>日发生大额赎回，为确保基金持有人利益不因份额净值的小数点保留精度受到不利影响，经本公司与基金托管人协商一致，决定自201</w:t>
      </w:r>
      <w:r w:rsidR="000C6BFB" w:rsidRPr="000C6BFB">
        <w:rPr>
          <w:rFonts w:asciiTheme="minorEastAsia" w:hAnsiTheme="minorEastAsia" w:hint="eastAsia"/>
          <w:sz w:val="24"/>
          <w:szCs w:val="24"/>
        </w:rPr>
        <w:t>9</w:t>
      </w:r>
      <w:r w:rsidRPr="000C6BFB">
        <w:rPr>
          <w:rFonts w:asciiTheme="minorEastAsia" w:hAnsiTheme="minorEastAsia" w:hint="eastAsia"/>
          <w:sz w:val="24"/>
          <w:szCs w:val="24"/>
        </w:rPr>
        <w:t>年</w:t>
      </w:r>
      <w:r w:rsidR="000C6BFB" w:rsidRPr="000C6BFB">
        <w:rPr>
          <w:rFonts w:asciiTheme="minorEastAsia" w:hAnsiTheme="minorEastAsia" w:hint="eastAsia"/>
          <w:sz w:val="24"/>
          <w:szCs w:val="24"/>
        </w:rPr>
        <w:t>4</w:t>
      </w:r>
      <w:r w:rsidRPr="000C6BFB">
        <w:rPr>
          <w:rFonts w:asciiTheme="minorEastAsia" w:hAnsiTheme="minorEastAsia" w:hint="eastAsia"/>
          <w:sz w:val="24"/>
          <w:szCs w:val="24"/>
        </w:rPr>
        <w:t>月</w:t>
      </w:r>
      <w:r w:rsidR="000C6BFB" w:rsidRPr="000C6BFB">
        <w:rPr>
          <w:rFonts w:asciiTheme="minorEastAsia" w:hAnsiTheme="minorEastAsia" w:hint="eastAsia"/>
          <w:sz w:val="24"/>
          <w:szCs w:val="24"/>
        </w:rPr>
        <w:t>18</w:t>
      </w:r>
      <w:r w:rsidRPr="000C6BFB">
        <w:rPr>
          <w:rFonts w:asciiTheme="minorEastAsia" w:hAnsiTheme="minorEastAsia" w:hint="eastAsia"/>
          <w:sz w:val="24"/>
          <w:szCs w:val="24"/>
        </w:rPr>
        <w:t>日起提高本基金份额净值精度至小数点后八位，小数点后第九位四舍五入，本基金将自大额赎回对基金份额持有人利益不再产生重大影响时，恢复基金合同约定的净值精度，届时不再另行公告</w:t>
      </w:r>
      <w:r w:rsidR="003E35B0" w:rsidRPr="000C6BFB">
        <w:rPr>
          <w:rFonts w:asciiTheme="minorEastAsia" w:hAnsiTheme="minorEastAsia" w:hint="eastAsia"/>
          <w:sz w:val="24"/>
          <w:szCs w:val="24"/>
        </w:rPr>
        <w:t>。</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投资者欲了解本基金的详细情况，请阅读本基金的基金合同、招募说明书。投资者也可通过本公司的客户服务电话400-</w:t>
      </w:r>
      <w:r w:rsidR="000D7753" w:rsidRPr="000C6BFB">
        <w:rPr>
          <w:rFonts w:asciiTheme="minorEastAsia" w:hAnsiTheme="minorEastAsia" w:hint="eastAsia"/>
          <w:sz w:val="24"/>
          <w:szCs w:val="24"/>
        </w:rPr>
        <w:t>68</w:t>
      </w:r>
      <w:r w:rsidRPr="000C6BFB">
        <w:rPr>
          <w:rFonts w:asciiTheme="minorEastAsia" w:hAnsiTheme="minorEastAsia" w:hint="eastAsia"/>
          <w:sz w:val="24"/>
          <w:szCs w:val="24"/>
        </w:rPr>
        <w:t>-</w:t>
      </w:r>
      <w:r w:rsidR="000D7753" w:rsidRPr="000C6BFB">
        <w:rPr>
          <w:rFonts w:asciiTheme="minorEastAsia" w:hAnsiTheme="minorEastAsia" w:hint="eastAsia"/>
          <w:sz w:val="24"/>
          <w:szCs w:val="24"/>
        </w:rPr>
        <w:t>55600</w:t>
      </w:r>
      <w:r w:rsidRPr="000C6BFB">
        <w:rPr>
          <w:rFonts w:asciiTheme="minorEastAsia" w:hAnsiTheme="minorEastAsia" w:hint="eastAsia"/>
          <w:sz w:val="24"/>
          <w:szCs w:val="24"/>
        </w:rPr>
        <w:t>(免长途通话费)或登录本公司网站www.</w:t>
      </w:r>
      <w:r w:rsidR="000D7753" w:rsidRPr="000C6BFB">
        <w:rPr>
          <w:rFonts w:asciiTheme="minorEastAsia" w:hAnsiTheme="minorEastAsia" w:hint="eastAsia"/>
          <w:sz w:val="24"/>
          <w:szCs w:val="24"/>
        </w:rPr>
        <w:t>furamc.com</w:t>
      </w:r>
      <w:r w:rsidRPr="000C6BFB">
        <w:rPr>
          <w:rFonts w:asciiTheme="minorEastAsia" w:hAnsiTheme="minorEastAsia" w:hint="eastAsia"/>
          <w:sz w:val="24"/>
          <w:szCs w:val="24"/>
        </w:rPr>
        <w:t>.cn获取相关信息。</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本公告的解释权归本公司所有。</w:t>
      </w: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特此公告</w:t>
      </w:r>
      <w:bookmarkStart w:id="0" w:name="_GoBack"/>
      <w:bookmarkEnd w:id="0"/>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tabs>
          <w:tab w:val="left" w:pos="5730"/>
        </w:tabs>
        <w:spacing w:line="360" w:lineRule="auto"/>
        <w:rPr>
          <w:rFonts w:asciiTheme="minorEastAsia" w:hAnsiTheme="minorEastAsia"/>
          <w:sz w:val="24"/>
          <w:szCs w:val="24"/>
        </w:rPr>
      </w:pPr>
      <w:r w:rsidRPr="000C6BFB">
        <w:rPr>
          <w:rFonts w:asciiTheme="minorEastAsia" w:hAnsiTheme="minorEastAsia"/>
          <w:sz w:val="24"/>
          <w:szCs w:val="24"/>
        </w:rPr>
        <w:tab/>
      </w:r>
      <w:r w:rsidRPr="000C6BFB">
        <w:rPr>
          <w:rFonts w:asciiTheme="minorEastAsia" w:hAnsiTheme="minorEastAsia" w:hint="eastAsia"/>
          <w:sz w:val="24"/>
          <w:szCs w:val="24"/>
        </w:rPr>
        <w:t>富荣基金管理有限公司</w:t>
      </w:r>
    </w:p>
    <w:p w:rsidR="003E35B0" w:rsidRPr="000C6BFB" w:rsidRDefault="003E35B0" w:rsidP="000C6BFB">
      <w:pPr>
        <w:tabs>
          <w:tab w:val="left" w:pos="5955"/>
        </w:tabs>
        <w:spacing w:line="360" w:lineRule="auto"/>
        <w:rPr>
          <w:rFonts w:asciiTheme="minorEastAsia" w:hAnsiTheme="minorEastAsia"/>
          <w:sz w:val="24"/>
          <w:szCs w:val="24"/>
        </w:rPr>
      </w:pPr>
      <w:r w:rsidRPr="000C6BFB">
        <w:rPr>
          <w:rFonts w:asciiTheme="minorEastAsia" w:hAnsiTheme="minorEastAsia"/>
          <w:sz w:val="24"/>
          <w:szCs w:val="24"/>
        </w:rPr>
        <w:tab/>
      </w:r>
      <w:r w:rsidR="00F31DC9" w:rsidRPr="000C6BFB">
        <w:rPr>
          <w:rFonts w:asciiTheme="minorEastAsia" w:hAnsiTheme="minorEastAsia" w:hint="eastAsia"/>
          <w:sz w:val="24"/>
          <w:szCs w:val="24"/>
        </w:rPr>
        <w:t>201</w:t>
      </w:r>
      <w:r w:rsidR="000C6BFB">
        <w:rPr>
          <w:rFonts w:asciiTheme="minorEastAsia" w:hAnsiTheme="minorEastAsia" w:hint="eastAsia"/>
          <w:sz w:val="24"/>
          <w:szCs w:val="24"/>
        </w:rPr>
        <w:t>9</w:t>
      </w:r>
      <w:r w:rsidR="00F31DC9" w:rsidRPr="000C6BFB">
        <w:rPr>
          <w:rFonts w:asciiTheme="minorEastAsia" w:hAnsiTheme="minorEastAsia" w:hint="eastAsia"/>
          <w:sz w:val="24"/>
          <w:szCs w:val="24"/>
        </w:rPr>
        <w:t>年</w:t>
      </w:r>
      <w:r w:rsidR="000C6BFB">
        <w:rPr>
          <w:rFonts w:asciiTheme="minorEastAsia" w:hAnsiTheme="minorEastAsia" w:hint="eastAsia"/>
          <w:sz w:val="24"/>
          <w:szCs w:val="24"/>
        </w:rPr>
        <w:t>4</w:t>
      </w:r>
      <w:r w:rsidRPr="000C6BFB">
        <w:rPr>
          <w:rFonts w:asciiTheme="minorEastAsia" w:hAnsiTheme="minorEastAsia" w:hint="eastAsia"/>
          <w:sz w:val="24"/>
          <w:szCs w:val="24"/>
        </w:rPr>
        <w:t>月</w:t>
      </w:r>
      <w:r w:rsidR="000C6BFB">
        <w:rPr>
          <w:rFonts w:asciiTheme="minorEastAsia" w:hAnsiTheme="minorEastAsia" w:hint="eastAsia"/>
          <w:sz w:val="24"/>
          <w:szCs w:val="24"/>
        </w:rPr>
        <w:t>1</w:t>
      </w:r>
      <w:r w:rsidR="00106C6B">
        <w:rPr>
          <w:rFonts w:asciiTheme="minorEastAsia" w:hAnsiTheme="minorEastAsia" w:hint="eastAsia"/>
          <w:sz w:val="24"/>
          <w:szCs w:val="24"/>
        </w:rPr>
        <w:t>9</w:t>
      </w:r>
      <w:r w:rsidRPr="000C6BFB">
        <w:rPr>
          <w:rFonts w:asciiTheme="minorEastAsia" w:hAnsiTheme="minorEastAsia" w:hint="eastAsia"/>
          <w:sz w:val="24"/>
          <w:szCs w:val="24"/>
        </w:rPr>
        <w:t>日</w:t>
      </w:r>
    </w:p>
    <w:sectPr w:rsidR="003E35B0" w:rsidRPr="000C6B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577" w:rsidRDefault="001A3577" w:rsidP="003E35B0">
      <w:r>
        <w:separator/>
      </w:r>
    </w:p>
  </w:endnote>
  <w:endnote w:type="continuationSeparator" w:id="0">
    <w:p w:rsidR="001A3577" w:rsidRDefault="001A3577" w:rsidP="003E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577" w:rsidRDefault="001A3577" w:rsidP="003E35B0">
      <w:r>
        <w:separator/>
      </w:r>
    </w:p>
  </w:footnote>
  <w:footnote w:type="continuationSeparator" w:id="0">
    <w:p w:rsidR="001A3577" w:rsidRDefault="001A3577" w:rsidP="003E35B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D84"/>
    <w:rsid w:val="00037A27"/>
    <w:rsid w:val="0005025D"/>
    <w:rsid w:val="00080441"/>
    <w:rsid w:val="000C08FC"/>
    <w:rsid w:val="000C6BFB"/>
    <w:rsid w:val="000D7753"/>
    <w:rsid w:val="00104400"/>
    <w:rsid w:val="00106C6B"/>
    <w:rsid w:val="001A3577"/>
    <w:rsid w:val="001C581F"/>
    <w:rsid w:val="001E6E96"/>
    <w:rsid w:val="002F009A"/>
    <w:rsid w:val="003B1D84"/>
    <w:rsid w:val="003D5427"/>
    <w:rsid w:val="003E35B0"/>
    <w:rsid w:val="00633AB7"/>
    <w:rsid w:val="006E4F9B"/>
    <w:rsid w:val="007F0C16"/>
    <w:rsid w:val="00873349"/>
    <w:rsid w:val="00877EE6"/>
    <w:rsid w:val="008C3DAE"/>
    <w:rsid w:val="008C65A7"/>
    <w:rsid w:val="00941850"/>
    <w:rsid w:val="00973EC7"/>
    <w:rsid w:val="009F6DFA"/>
    <w:rsid w:val="00A16C94"/>
    <w:rsid w:val="00A36C9A"/>
    <w:rsid w:val="00B34356"/>
    <w:rsid w:val="00B56585"/>
    <w:rsid w:val="00BF6051"/>
    <w:rsid w:val="00C1241A"/>
    <w:rsid w:val="00C20A48"/>
    <w:rsid w:val="00D2723D"/>
    <w:rsid w:val="00D7374B"/>
    <w:rsid w:val="00DD63DC"/>
    <w:rsid w:val="00E03C1A"/>
    <w:rsid w:val="00ED2C40"/>
    <w:rsid w:val="00EE7D0D"/>
    <w:rsid w:val="00EF5DB4"/>
    <w:rsid w:val="00F31DC9"/>
    <w:rsid w:val="00F51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Words>
  <Characters>407</Characters>
  <Application>Microsoft Office Word</Application>
  <DocSecurity>0</DocSecurity>
  <Lines>3</Lines>
  <Paragraphs>1</Paragraphs>
  <ScaleCrop>false</ScaleCrop>
  <Company>Microsoft</Company>
  <LinksUpToDate>false</LinksUpToDate>
  <CharactersWithSpaces>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黄桃凤</cp:lastModifiedBy>
  <cp:revision>3</cp:revision>
  <dcterms:created xsi:type="dcterms:W3CDTF">2019-04-18T12:13:00Z</dcterms:created>
  <dcterms:modified xsi:type="dcterms:W3CDTF">2019-04-18T12:38:00Z</dcterms:modified>
</cp:coreProperties>
</file>