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40A3AD6" w14:textId="77777777" w:rsidR="00D04107" w:rsidRDefault="00D04107">
      <w:pPr>
        <w:spacing w:line="360" w:lineRule="auto"/>
        <w:ind w:rightChars="98" w:right="206"/>
        <w:jc w:val="center"/>
        <w:rPr>
          <w:rFonts w:ascii="宋体" w:hAnsi="宋体"/>
          <w:b/>
          <w:color w:val="000000"/>
          <w:sz w:val="24"/>
        </w:rPr>
      </w:pPr>
    </w:p>
    <w:p w14:paraId="077FEA7A" w14:textId="77777777" w:rsidR="00D04107" w:rsidRDefault="00D04107">
      <w:pPr>
        <w:spacing w:line="360" w:lineRule="auto"/>
        <w:jc w:val="center"/>
        <w:rPr>
          <w:rFonts w:ascii="宋体" w:hAnsi="宋体"/>
          <w:b/>
          <w:color w:val="000000"/>
          <w:sz w:val="24"/>
        </w:rPr>
      </w:pPr>
    </w:p>
    <w:p w14:paraId="51530FC7" w14:textId="77777777" w:rsidR="00D04107" w:rsidRDefault="00D04107">
      <w:pPr>
        <w:spacing w:line="360" w:lineRule="auto"/>
        <w:jc w:val="center"/>
        <w:rPr>
          <w:rFonts w:ascii="宋体" w:hAnsi="宋体"/>
          <w:b/>
          <w:color w:val="000000"/>
          <w:sz w:val="24"/>
        </w:rPr>
      </w:pPr>
    </w:p>
    <w:p w14:paraId="7A912DBD" w14:textId="77777777" w:rsidR="00D04107" w:rsidRDefault="00D04107">
      <w:pPr>
        <w:spacing w:line="360" w:lineRule="auto"/>
        <w:jc w:val="center"/>
        <w:rPr>
          <w:rFonts w:ascii="宋体" w:hAnsi="宋体"/>
          <w:b/>
          <w:color w:val="000000"/>
          <w:sz w:val="24"/>
        </w:rPr>
      </w:pPr>
    </w:p>
    <w:p w14:paraId="2E94B3CE" w14:textId="77777777" w:rsidR="00D04107" w:rsidRDefault="00D04107">
      <w:pPr>
        <w:jc w:val="center"/>
        <w:rPr>
          <w:b/>
          <w:sz w:val="52"/>
          <w:szCs w:val="20"/>
        </w:rPr>
      </w:pPr>
    </w:p>
    <w:p w14:paraId="19C2C153" w14:textId="77777777" w:rsidR="00D04107" w:rsidRDefault="000C2DB0" w:rsidP="00165EFD">
      <w:pPr>
        <w:spacing w:beforeLines="50" w:before="156"/>
        <w:ind w:leftChars="-135" w:left="-283" w:rightChars="-91" w:right="-191"/>
        <w:jc w:val="center"/>
        <w:rPr>
          <w:rFonts w:ascii="宋体" w:hAnsi="宋体" w:cs="宋体"/>
          <w:b/>
          <w:sz w:val="52"/>
          <w:szCs w:val="52"/>
        </w:rPr>
      </w:pPr>
      <w:bookmarkStart w:id="0" w:name="_Toc88969212"/>
      <w:r>
        <w:rPr>
          <w:rFonts w:ascii="宋体" w:hAnsi="宋体" w:cs="宋体" w:hint="eastAsia"/>
          <w:b/>
          <w:sz w:val="52"/>
          <w:szCs w:val="52"/>
        </w:rPr>
        <w:t>富荣货币市场基金</w:t>
      </w:r>
    </w:p>
    <w:p w14:paraId="5F7F5EAC" w14:textId="77777777" w:rsidR="00D04107" w:rsidRDefault="000C2DB0" w:rsidP="00165EFD">
      <w:pPr>
        <w:spacing w:beforeLines="50" w:before="156"/>
        <w:jc w:val="center"/>
        <w:rPr>
          <w:rFonts w:ascii="宋体" w:hAnsi="宋体" w:cs="宋体"/>
          <w:b/>
          <w:sz w:val="52"/>
          <w:szCs w:val="52"/>
        </w:rPr>
      </w:pPr>
      <w:r>
        <w:rPr>
          <w:rFonts w:ascii="宋体" w:hAnsi="宋体" w:cs="宋体" w:hint="eastAsia"/>
          <w:b/>
          <w:sz w:val="52"/>
          <w:szCs w:val="52"/>
        </w:rPr>
        <w:t>更新的招募说明书</w:t>
      </w:r>
    </w:p>
    <w:p w14:paraId="345FDE4D" w14:textId="2EFE3129" w:rsidR="00D04107" w:rsidRDefault="000C2DB0" w:rsidP="00165EFD">
      <w:pPr>
        <w:spacing w:beforeLines="50" w:before="156"/>
        <w:jc w:val="center"/>
        <w:rPr>
          <w:rFonts w:ascii="宋体" w:hAnsi="宋体" w:cs="宋体"/>
          <w:b/>
          <w:sz w:val="48"/>
          <w:szCs w:val="48"/>
        </w:rPr>
      </w:pPr>
      <w:r>
        <w:rPr>
          <w:rFonts w:ascii="宋体" w:hAnsi="宋体" w:cs="宋体" w:hint="eastAsia"/>
          <w:b/>
          <w:sz w:val="48"/>
          <w:szCs w:val="48"/>
        </w:rPr>
        <w:t>（201</w:t>
      </w:r>
      <w:r w:rsidR="00F93951">
        <w:rPr>
          <w:rFonts w:ascii="宋体" w:hAnsi="宋体" w:cs="宋体"/>
          <w:b/>
          <w:sz w:val="48"/>
          <w:szCs w:val="48"/>
        </w:rPr>
        <w:t>9</w:t>
      </w:r>
      <w:r>
        <w:rPr>
          <w:rFonts w:ascii="宋体" w:hAnsi="宋体" w:cs="宋体" w:hint="eastAsia"/>
          <w:b/>
          <w:sz w:val="48"/>
          <w:szCs w:val="48"/>
        </w:rPr>
        <w:t>年第</w:t>
      </w:r>
      <w:r w:rsidR="00F93951">
        <w:rPr>
          <w:rFonts w:ascii="宋体" w:hAnsi="宋体" w:cs="宋体"/>
          <w:b/>
          <w:sz w:val="48"/>
          <w:szCs w:val="48"/>
        </w:rPr>
        <w:t>1</w:t>
      </w:r>
      <w:r>
        <w:rPr>
          <w:rFonts w:ascii="宋体" w:hAnsi="宋体" w:cs="宋体" w:hint="eastAsia"/>
          <w:b/>
          <w:sz w:val="48"/>
          <w:szCs w:val="48"/>
        </w:rPr>
        <w:t>号）</w:t>
      </w:r>
    </w:p>
    <w:p w14:paraId="5CE00670" w14:textId="77777777" w:rsidR="00D04107" w:rsidRDefault="00D04107">
      <w:pPr>
        <w:spacing w:line="360" w:lineRule="auto"/>
        <w:jc w:val="center"/>
        <w:rPr>
          <w:rFonts w:ascii="宋体" w:hAnsi="宋体"/>
          <w:b/>
          <w:color w:val="000000"/>
          <w:sz w:val="24"/>
        </w:rPr>
      </w:pPr>
    </w:p>
    <w:bookmarkEnd w:id="0"/>
    <w:p w14:paraId="1963E80F" w14:textId="77777777" w:rsidR="00D04107" w:rsidRDefault="00D04107">
      <w:pPr>
        <w:spacing w:line="360" w:lineRule="auto"/>
        <w:jc w:val="center"/>
        <w:rPr>
          <w:rFonts w:ascii="宋体" w:hAnsi="宋体"/>
          <w:b/>
          <w:color w:val="000000"/>
          <w:sz w:val="24"/>
        </w:rPr>
      </w:pPr>
    </w:p>
    <w:p w14:paraId="28CA341C" w14:textId="77777777" w:rsidR="00D04107" w:rsidRDefault="00D04107">
      <w:pPr>
        <w:spacing w:line="360" w:lineRule="auto"/>
        <w:rPr>
          <w:rFonts w:ascii="宋体" w:hAnsi="宋体"/>
          <w:color w:val="000000"/>
          <w:sz w:val="24"/>
        </w:rPr>
      </w:pPr>
    </w:p>
    <w:p w14:paraId="703DD389" w14:textId="77777777" w:rsidR="00D04107" w:rsidRDefault="00D04107">
      <w:pPr>
        <w:spacing w:line="360" w:lineRule="auto"/>
        <w:rPr>
          <w:rFonts w:ascii="宋体" w:hAnsi="宋体"/>
          <w:b/>
          <w:color w:val="000000"/>
          <w:sz w:val="24"/>
        </w:rPr>
      </w:pPr>
    </w:p>
    <w:p w14:paraId="0EE925E9" w14:textId="77777777" w:rsidR="00D04107" w:rsidRDefault="00D04107">
      <w:pPr>
        <w:spacing w:line="360" w:lineRule="auto"/>
        <w:jc w:val="center"/>
        <w:rPr>
          <w:rFonts w:ascii="宋体" w:hAnsi="宋体"/>
          <w:b/>
          <w:color w:val="000000"/>
          <w:sz w:val="24"/>
        </w:rPr>
      </w:pPr>
    </w:p>
    <w:p w14:paraId="216007EE" w14:textId="77777777" w:rsidR="00D04107" w:rsidRDefault="00D04107">
      <w:pPr>
        <w:spacing w:line="360" w:lineRule="auto"/>
        <w:jc w:val="center"/>
        <w:rPr>
          <w:rFonts w:ascii="宋体" w:hAnsi="宋体"/>
          <w:b/>
          <w:color w:val="000000"/>
          <w:sz w:val="24"/>
        </w:rPr>
      </w:pPr>
    </w:p>
    <w:p w14:paraId="7C1CF658" w14:textId="77777777" w:rsidR="00D04107" w:rsidRDefault="00D04107">
      <w:pPr>
        <w:spacing w:line="360" w:lineRule="auto"/>
        <w:rPr>
          <w:rFonts w:ascii="宋体" w:hAnsi="宋体"/>
          <w:b/>
          <w:color w:val="000000"/>
          <w:sz w:val="24"/>
        </w:rPr>
      </w:pPr>
    </w:p>
    <w:p w14:paraId="7E2399B5" w14:textId="77777777" w:rsidR="00D04107" w:rsidRDefault="00D04107">
      <w:pPr>
        <w:spacing w:line="360" w:lineRule="auto"/>
        <w:jc w:val="center"/>
        <w:rPr>
          <w:rFonts w:ascii="宋体" w:hAnsi="宋体"/>
          <w:b/>
          <w:color w:val="000000"/>
          <w:sz w:val="24"/>
        </w:rPr>
      </w:pPr>
    </w:p>
    <w:p w14:paraId="36CCABD1" w14:textId="77777777" w:rsidR="00D04107" w:rsidRDefault="00D04107">
      <w:pPr>
        <w:spacing w:line="360" w:lineRule="auto"/>
        <w:jc w:val="center"/>
        <w:rPr>
          <w:rFonts w:ascii="宋体" w:hAnsi="宋体"/>
          <w:b/>
          <w:color w:val="000000"/>
          <w:sz w:val="24"/>
        </w:rPr>
      </w:pPr>
    </w:p>
    <w:p w14:paraId="64E83C87" w14:textId="77777777" w:rsidR="00D04107" w:rsidRDefault="00D04107">
      <w:pPr>
        <w:spacing w:line="360" w:lineRule="auto"/>
        <w:jc w:val="center"/>
        <w:rPr>
          <w:rFonts w:ascii="宋体" w:hAnsi="宋体"/>
          <w:b/>
          <w:color w:val="000000"/>
          <w:sz w:val="24"/>
        </w:rPr>
      </w:pPr>
    </w:p>
    <w:p w14:paraId="3C66EB73" w14:textId="77777777" w:rsidR="00D04107" w:rsidRDefault="00D04107">
      <w:pPr>
        <w:spacing w:line="360" w:lineRule="auto"/>
        <w:rPr>
          <w:rFonts w:ascii="宋体" w:hAnsi="宋体"/>
          <w:b/>
          <w:color w:val="000000"/>
          <w:sz w:val="24"/>
        </w:rPr>
      </w:pPr>
    </w:p>
    <w:p w14:paraId="53635D8A" w14:textId="77777777" w:rsidR="00D04107" w:rsidRDefault="00D04107">
      <w:pPr>
        <w:spacing w:line="360" w:lineRule="auto"/>
        <w:rPr>
          <w:rFonts w:ascii="宋体" w:hAnsi="宋体"/>
          <w:b/>
          <w:color w:val="000000"/>
          <w:sz w:val="24"/>
        </w:rPr>
      </w:pPr>
    </w:p>
    <w:p w14:paraId="26084AE8" w14:textId="77777777" w:rsidR="00D04107" w:rsidRDefault="000C2DB0">
      <w:pPr>
        <w:jc w:val="center"/>
        <w:rPr>
          <w:b/>
          <w:sz w:val="36"/>
          <w:szCs w:val="20"/>
        </w:rPr>
      </w:pPr>
      <w:r>
        <w:rPr>
          <w:rFonts w:hint="eastAsia"/>
          <w:b/>
          <w:sz w:val="36"/>
          <w:szCs w:val="20"/>
        </w:rPr>
        <w:t>基金管理人：富荣基金管理有限公司</w:t>
      </w:r>
    </w:p>
    <w:p w14:paraId="272E5C9B" w14:textId="77777777" w:rsidR="00D04107" w:rsidRDefault="000C2DB0">
      <w:pPr>
        <w:jc w:val="center"/>
        <w:rPr>
          <w:b/>
          <w:sz w:val="36"/>
          <w:szCs w:val="20"/>
        </w:rPr>
      </w:pPr>
      <w:r>
        <w:rPr>
          <w:rFonts w:hint="eastAsia"/>
          <w:b/>
          <w:sz w:val="36"/>
          <w:szCs w:val="20"/>
        </w:rPr>
        <w:t>基金托管人：中国光大银行股份有限公司</w:t>
      </w:r>
    </w:p>
    <w:p w14:paraId="38A3743C" w14:textId="77777777" w:rsidR="00D04107" w:rsidRPr="007264CC" w:rsidRDefault="00D04107" w:rsidP="007264CC">
      <w:pPr>
        <w:spacing w:line="360" w:lineRule="auto"/>
        <w:rPr>
          <w:rFonts w:ascii="宋体" w:hAnsi="宋体"/>
          <w:b/>
          <w:color w:val="000000"/>
          <w:sz w:val="24"/>
        </w:rPr>
      </w:pPr>
    </w:p>
    <w:p w14:paraId="71AEF809" w14:textId="77777777" w:rsidR="00D04107" w:rsidRDefault="000C2DB0">
      <w:pPr>
        <w:pStyle w:val="1"/>
        <w:spacing w:line="360" w:lineRule="auto"/>
        <w:jc w:val="center"/>
        <w:rPr>
          <w:rFonts w:hAnsi="宋体"/>
        </w:rPr>
      </w:pPr>
      <w:r>
        <w:rPr>
          <w:rFonts w:ascii="宋体" w:hAnsi="宋体" w:hint="eastAsia"/>
          <w:color w:val="000000"/>
          <w:kern w:val="0"/>
          <w:sz w:val="24"/>
          <w:szCs w:val="24"/>
        </w:rPr>
        <w:lastRenderedPageBreak/>
        <w:t>【重要提示】</w:t>
      </w:r>
    </w:p>
    <w:p w14:paraId="606E7418" w14:textId="77777777" w:rsidR="00D04107" w:rsidRDefault="000C2DB0" w:rsidP="000C2DB0">
      <w:pPr>
        <w:spacing w:line="360" w:lineRule="auto"/>
        <w:ind w:firstLineChars="202" w:firstLine="485"/>
        <w:rPr>
          <w:rFonts w:ascii="宋体" w:hAnsi="宋体"/>
          <w:sz w:val="24"/>
        </w:rPr>
      </w:pPr>
      <w:r>
        <w:rPr>
          <w:rFonts w:ascii="宋体" w:hAnsi="宋体"/>
          <w:sz w:val="24"/>
        </w:rPr>
        <w:t>本基金经中国证券监督管理委员会2016年9月</w:t>
      </w:r>
      <w:r>
        <w:rPr>
          <w:rFonts w:ascii="宋体" w:hAnsi="宋体" w:hint="eastAsia"/>
          <w:sz w:val="24"/>
        </w:rPr>
        <w:t>20</w:t>
      </w:r>
      <w:r>
        <w:rPr>
          <w:rFonts w:ascii="宋体" w:hAnsi="宋体"/>
          <w:sz w:val="24"/>
        </w:rPr>
        <w:t>日证监许可【2016】2153号文注册。</w:t>
      </w:r>
      <w:r>
        <w:rPr>
          <w:rFonts w:ascii="宋体" w:hAnsi="宋体" w:hint="eastAsia"/>
          <w:sz w:val="24"/>
        </w:rPr>
        <w:t>本基金于</w:t>
      </w:r>
      <w:r>
        <w:rPr>
          <w:rFonts w:ascii="宋体" w:hAnsi="宋体"/>
          <w:sz w:val="24"/>
        </w:rPr>
        <w:t>201</w:t>
      </w:r>
      <w:r>
        <w:rPr>
          <w:rFonts w:ascii="宋体" w:hAnsi="宋体" w:hint="eastAsia"/>
          <w:sz w:val="24"/>
        </w:rPr>
        <w:t>6年</w:t>
      </w:r>
      <w:r>
        <w:rPr>
          <w:rFonts w:ascii="宋体" w:hAnsi="宋体"/>
          <w:sz w:val="24"/>
        </w:rPr>
        <w:t>1</w:t>
      </w:r>
      <w:r>
        <w:rPr>
          <w:rFonts w:ascii="宋体" w:hAnsi="宋体" w:hint="eastAsia"/>
          <w:sz w:val="24"/>
        </w:rPr>
        <w:t>2月</w:t>
      </w:r>
      <w:r>
        <w:rPr>
          <w:rFonts w:ascii="宋体" w:hAnsi="宋体"/>
          <w:sz w:val="24"/>
        </w:rPr>
        <w:t>2</w:t>
      </w:r>
      <w:r>
        <w:rPr>
          <w:rFonts w:ascii="宋体" w:hAnsi="宋体" w:hint="eastAsia"/>
          <w:sz w:val="24"/>
        </w:rPr>
        <w:t>6日正式生效。</w:t>
      </w:r>
    </w:p>
    <w:p w14:paraId="08689C4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管理人保证本招募说明书的内容真实、准确、完整。本招募说明书经中国证监会注册，但中国证监会对本基金募集的注册，并不表明其对本基金的价值和收益作出实质性判断或保证，也不表明投资于本基金没有风险。 </w:t>
      </w:r>
    </w:p>
    <w:p w14:paraId="303F33CB"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有风险，投资者认购（或申购）基金份额时应认真阅读本招募说明书，全面认识本基金产品的风险收益特征，应充分考虑投资者自身的风险承受能力，并对认购（或申购）基金的意愿、时机、数量等投资行为作出独立决策。基金管理人提醒投资者基金投资的“买者自负”原则，在投资者作出投资决策后，基金运营状况与基金净值变化导致的投资风险，由投资者自行负担。 </w:t>
      </w:r>
    </w:p>
    <w:p w14:paraId="03B2C5D8" w14:textId="77777777" w:rsidR="00D04107" w:rsidRDefault="000C2DB0" w:rsidP="000C2DB0">
      <w:pPr>
        <w:spacing w:line="360" w:lineRule="auto"/>
        <w:ind w:firstLineChars="202" w:firstLine="485"/>
        <w:rPr>
          <w:rFonts w:ascii="宋体" w:hAnsi="宋体"/>
          <w:sz w:val="24"/>
        </w:rPr>
      </w:pPr>
      <w:r>
        <w:rPr>
          <w:rFonts w:ascii="宋体" w:hAnsi="宋体"/>
          <w:sz w:val="24"/>
        </w:rPr>
        <w:t>本基金主要投资于具有良好流动性的工具，包括</w:t>
      </w:r>
      <w:r>
        <w:rPr>
          <w:rFonts w:ascii="宋体" w:hAnsi="宋体" w:hint="eastAsia"/>
          <w:sz w:val="24"/>
        </w:rPr>
        <w:t>：现金；期限在1年以内（含1年）的银行存款、债券回购、中央银行票据、同业存单；剩余期限在397天以内（含397天）的债券、非金融企业债务融资工具、资产支持证券；中国证监会、中国人民银行认可的其它具有良好流动性的货币市场工具。</w:t>
      </w:r>
    </w:p>
    <w:p w14:paraId="7C5CB3CD" w14:textId="77777777" w:rsidR="00D04107" w:rsidRDefault="000C2DB0" w:rsidP="000C2DB0">
      <w:pPr>
        <w:spacing w:line="360" w:lineRule="auto"/>
        <w:ind w:firstLineChars="202" w:firstLine="485"/>
        <w:rPr>
          <w:rFonts w:ascii="宋体" w:hAnsi="宋体"/>
          <w:sz w:val="24"/>
        </w:rPr>
      </w:pPr>
      <w:r>
        <w:rPr>
          <w:rFonts w:ascii="宋体" w:hAnsi="宋体" w:hint="eastAsia"/>
          <w:sz w:val="24"/>
        </w:rPr>
        <w:t>如法律法规或监管机构以后允许货币市场基金投资其他产品，基金管理人在履行适当的程序后，可以将其纳入投资范围。</w:t>
      </w:r>
    </w:p>
    <w:p w14:paraId="0B6AB27E"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投资者购买货币市场基金并不等于将资金作为存款存放在银行或存款类金融机构，基金管理人不保证基金一定盈利，也不保证最低收益。投资人在投资本基金前，应全面了解本基金的产品特性，理性判断市场，并承担基金投资中出现的各类风险，包括：市场风险、利率风险、信用风险、再投资风险、流动性风险、操作风险、其他风险及本基金特有风险等。 </w:t>
      </w:r>
    </w:p>
    <w:p w14:paraId="174E385C"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本基金为货币市场基金，在所有证券投资基金中，是风险相对较低的基金产品。在一般情况下，其风险与预期收益均低于债券型基金，也低于混合型基金与股票型基金。 </w:t>
      </w:r>
    </w:p>
    <w:p w14:paraId="2ED4D7D2" w14:textId="77777777" w:rsidR="00D04107" w:rsidRDefault="000C2DB0" w:rsidP="000C2DB0">
      <w:pPr>
        <w:spacing w:line="360" w:lineRule="auto"/>
        <w:ind w:firstLineChars="202" w:firstLine="485"/>
        <w:rPr>
          <w:rFonts w:ascii="宋体" w:hAnsi="宋体"/>
          <w:sz w:val="24"/>
        </w:rPr>
      </w:pPr>
      <w:r>
        <w:rPr>
          <w:rFonts w:ascii="宋体" w:hAnsi="宋体"/>
          <w:sz w:val="24"/>
        </w:rPr>
        <w:t xml:space="preserve">基金的过往业绩并不预示其未来表现。 </w:t>
      </w:r>
    </w:p>
    <w:p w14:paraId="3668682F" w14:textId="77777777" w:rsidR="00D04107" w:rsidRDefault="000C2DB0" w:rsidP="000C2DB0">
      <w:pPr>
        <w:spacing w:line="360" w:lineRule="auto"/>
        <w:ind w:firstLineChars="202" w:firstLine="485"/>
        <w:rPr>
          <w:rFonts w:ascii="宋体" w:hAnsi="宋体"/>
          <w:sz w:val="24"/>
        </w:rPr>
      </w:pPr>
      <w:r>
        <w:rPr>
          <w:rFonts w:ascii="宋体" w:hAnsi="宋体"/>
          <w:sz w:val="24"/>
        </w:rPr>
        <w:t>基金管理人管理的其它基金的业绩并不构成对本基金业绩表现的保证。基金管理人依照恪尽职守、诚实信用、谨慎勤勉的原则管理和运用基金财产，但不保证基金一定盈利，也不保证最低收益。</w:t>
      </w:r>
    </w:p>
    <w:p w14:paraId="5E71A532" w14:textId="1A46B55E" w:rsidR="00D04107" w:rsidRDefault="000C2DB0" w:rsidP="000C2DB0">
      <w:pPr>
        <w:spacing w:line="360" w:lineRule="auto"/>
        <w:ind w:firstLineChars="202" w:firstLine="485"/>
        <w:rPr>
          <w:rFonts w:ascii="宋体" w:hAnsi="宋体"/>
          <w:color w:val="000000"/>
          <w:kern w:val="0"/>
          <w:sz w:val="24"/>
        </w:rPr>
      </w:pPr>
      <w:r>
        <w:rPr>
          <w:rFonts w:ascii="宋体" w:hAnsi="宋体" w:hint="eastAsia"/>
          <w:color w:val="000000"/>
          <w:kern w:val="0"/>
          <w:sz w:val="24"/>
        </w:rPr>
        <w:lastRenderedPageBreak/>
        <w:t>本招募说明书所载内容截止日为</w:t>
      </w:r>
      <w:r w:rsidR="00191218">
        <w:rPr>
          <w:rFonts w:ascii="宋体" w:hAnsi="宋体"/>
          <w:color w:val="000000"/>
          <w:kern w:val="0"/>
          <w:sz w:val="24"/>
        </w:rPr>
        <w:t>2019</w:t>
      </w:r>
      <w:r w:rsidR="00812441">
        <w:rPr>
          <w:rFonts w:ascii="宋体" w:hAnsi="宋体" w:hint="eastAsia"/>
          <w:color w:val="000000"/>
          <w:kern w:val="0"/>
          <w:sz w:val="24"/>
        </w:rPr>
        <w:t>年</w:t>
      </w:r>
      <w:r w:rsidR="00890DC3">
        <w:rPr>
          <w:rFonts w:ascii="宋体" w:hAnsi="宋体"/>
          <w:color w:val="000000"/>
          <w:kern w:val="0"/>
          <w:sz w:val="24"/>
        </w:rPr>
        <w:t>6</w:t>
      </w:r>
      <w:r>
        <w:rPr>
          <w:rFonts w:ascii="宋体" w:hAnsi="宋体" w:hint="eastAsia"/>
          <w:color w:val="000000"/>
          <w:kern w:val="0"/>
          <w:sz w:val="24"/>
        </w:rPr>
        <w:t>月</w:t>
      </w:r>
      <w:r w:rsidR="00890DC3">
        <w:rPr>
          <w:rFonts w:ascii="宋体" w:hAnsi="宋体"/>
          <w:color w:val="000000"/>
          <w:kern w:val="0"/>
          <w:sz w:val="24"/>
        </w:rPr>
        <w:t>26</w:t>
      </w:r>
      <w:r>
        <w:rPr>
          <w:rFonts w:ascii="宋体" w:hAnsi="宋体" w:hint="eastAsia"/>
          <w:color w:val="000000"/>
          <w:kern w:val="0"/>
          <w:sz w:val="24"/>
        </w:rPr>
        <w:t>日，有关财务数据截止日为</w:t>
      </w:r>
      <w:r w:rsidR="00191218">
        <w:rPr>
          <w:rFonts w:ascii="宋体" w:hAnsi="宋体"/>
          <w:color w:val="000000"/>
          <w:kern w:val="0"/>
          <w:sz w:val="24"/>
        </w:rPr>
        <w:t>201</w:t>
      </w:r>
      <w:r w:rsidR="00A32F50">
        <w:rPr>
          <w:rFonts w:ascii="宋体" w:hAnsi="宋体" w:hint="eastAsia"/>
          <w:color w:val="000000"/>
          <w:kern w:val="0"/>
          <w:sz w:val="24"/>
        </w:rPr>
        <w:t>9</w:t>
      </w:r>
      <w:r w:rsidR="00191218">
        <w:rPr>
          <w:rFonts w:ascii="宋体" w:hAnsi="宋体" w:hint="eastAsia"/>
          <w:color w:val="000000"/>
          <w:kern w:val="0"/>
          <w:sz w:val="24"/>
        </w:rPr>
        <w:t>年</w:t>
      </w:r>
      <w:r w:rsidR="00A32F50">
        <w:rPr>
          <w:rFonts w:ascii="宋体" w:hAnsi="宋体" w:hint="eastAsia"/>
          <w:color w:val="000000"/>
          <w:kern w:val="0"/>
          <w:sz w:val="24"/>
        </w:rPr>
        <w:t>3</w:t>
      </w:r>
      <w:r>
        <w:rPr>
          <w:rFonts w:ascii="宋体" w:hAnsi="宋体" w:hint="eastAsia"/>
          <w:color w:val="000000"/>
          <w:kern w:val="0"/>
          <w:sz w:val="24"/>
        </w:rPr>
        <w:t>月</w:t>
      </w:r>
      <w:r w:rsidR="00A32F50">
        <w:rPr>
          <w:rFonts w:ascii="宋体" w:hAnsi="宋体" w:hint="eastAsia"/>
          <w:color w:val="000000"/>
          <w:kern w:val="0"/>
          <w:sz w:val="24"/>
        </w:rPr>
        <w:t>3</w:t>
      </w:r>
      <w:r w:rsidR="00191218">
        <w:rPr>
          <w:rFonts w:ascii="宋体" w:hAnsi="宋体"/>
          <w:color w:val="000000"/>
          <w:kern w:val="0"/>
          <w:sz w:val="24"/>
        </w:rPr>
        <w:t>1</w:t>
      </w:r>
      <w:r>
        <w:rPr>
          <w:rFonts w:ascii="宋体" w:hAnsi="宋体" w:hint="eastAsia"/>
          <w:color w:val="000000"/>
          <w:kern w:val="0"/>
          <w:sz w:val="24"/>
        </w:rPr>
        <w:t>日</w:t>
      </w:r>
      <w:r w:rsidR="00B946F9">
        <w:rPr>
          <w:rFonts w:ascii="宋体" w:hAnsi="宋体" w:hint="eastAsia"/>
          <w:color w:val="000000"/>
          <w:kern w:val="0"/>
          <w:sz w:val="24"/>
        </w:rPr>
        <w:t>，净值表现截止日为</w:t>
      </w:r>
      <w:r w:rsidR="00A32F50">
        <w:rPr>
          <w:rFonts w:ascii="宋体" w:hAnsi="宋体" w:hint="eastAsia"/>
          <w:color w:val="000000"/>
          <w:kern w:val="0"/>
          <w:sz w:val="24"/>
        </w:rPr>
        <w:t>2019</w:t>
      </w:r>
      <w:r w:rsidR="00B946F9">
        <w:rPr>
          <w:rFonts w:ascii="宋体" w:hAnsi="宋体" w:hint="eastAsia"/>
          <w:color w:val="000000"/>
          <w:kern w:val="0"/>
          <w:sz w:val="24"/>
        </w:rPr>
        <w:t>年</w:t>
      </w:r>
      <w:r w:rsidR="00A32F50">
        <w:rPr>
          <w:rFonts w:ascii="宋体" w:hAnsi="宋体" w:hint="eastAsia"/>
          <w:color w:val="000000"/>
          <w:kern w:val="0"/>
          <w:sz w:val="24"/>
        </w:rPr>
        <w:t>3</w:t>
      </w:r>
      <w:r w:rsidR="00B946F9">
        <w:rPr>
          <w:rFonts w:ascii="宋体" w:hAnsi="宋体" w:hint="eastAsia"/>
          <w:color w:val="000000"/>
          <w:kern w:val="0"/>
          <w:sz w:val="24"/>
        </w:rPr>
        <w:t>月</w:t>
      </w:r>
      <w:r w:rsidR="00A32F50">
        <w:rPr>
          <w:rFonts w:ascii="宋体" w:hAnsi="宋体" w:hint="eastAsia"/>
          <w:color w:val="000000"/>
          <w:kern w:val="0"/>
          <w:sz w:val="24"/>
        </w:rPr>
        <w:t>31</w:t>
      </w:r>
      <w:r w:rsidR="00B946F9">
        <w:rPr>
          <w:rFonts w:ascii="宋体" w:hAnsi="宋体" w:hint="eastAsia"/>
          <w:color w:val="000000"/>
          <w:kern w:val="0"/>
          <w:sz w:val="24"/>
        </w:rPr>
        <w:t xml:space="preserve"> 日</w:t>
      </w:r>
      <w:r>
        <w:rPr>
          <w:rFonts w:ascii="宋体" w:hAnsi="宋体" w:hint="eastAsia"/>
          <w:color w:val="000000"/>
          <w:kern w:val="0"/>
          <w:sz w:val="24"/>
        </w:rPr>
        <w:t>。（财务数据未经审计）。</w:t>
      </w:r>
    </w:p>
    <w:p w14:paraId="48DB4C00" w14:textId="69542322" w:rsidR="00D04107" w:rsidRDefault="000C2DB0" w:rsidP="000C2DB0">
      <w:pPr>
        <w:spacing w:line="360" w:lineRule="auto"/>
        <w:ind w:firstLineChars="202" w:firstLine="485"/>
        <w:rPr>
          <w:rFonts w:ascii="宋体" w:hAnsi="宋体"/>
          <w:color w:val="000000"/>
          <w:kern w:val="0"/>
          <w:sz w:val="24"/>
        </w:rPr>
      </w:pPr>
      <w:r>
        <w:rPr>
          <w:rFonts w:ascii="宋体" w:hAnsi="宋体"/>
          <w:color w:val="000000"/>
          <w:kern w:val="0"/>
          <w:sz w:val="24"/>
        </w:rPr>
        <w:t>本基金托管人</w:t>
      </w:r>
      <w:r>
        <w:rPr>
          <w:rFonts w:ascii="宋体" w:hAnsi="宋体" w:hint="eastAsia"/>
          <w:color w:val="000000"/>
          <w:kern w:val="0"/>
          <w:sz w:val="24"/>
        </w:rPr>
        <w:t>中国光大</w:t>
      </w:r>
      <w:r>
        <w:rPr>
          <w:rFonts w:ascii="宋体" w:hAnsi="宋体"/>
          <w:color w:val="000000"/>
          <w:kern w:val="0"/>
          <w:sz w:val="24"/>
        </w:rPr>
        <w:t>银行股份有限公司已于</w:t>
      </w:r>
      <w:r w:rsidR="006367FD">
        <w:rPr>
          <w:rFonts w:ascii="宋体" w:hAnsi="宋体" w:hint="eastAsia"/>
          <w:color w:val="000000"/>
          <w:kern w:val="0"/>
          <w:sz w:val="24"/>
        </w:rPr>
        <w:t>2019</w:t>
      </w:r>
      <w:r>
        <w:rPr>
          <w:rFonts w:ascii="宋体" w:hAnsi="宋体"/>
          <w:color w:val="000000"/>
          <w:kern w:val="0"/>
          <w:sz w:val="24"/>
        </w:rPr>
        <w:t>年</w:t>
      </w:r>
      <w:r w:rsidR="0022257E">
        <w:rPr>
          <w:rFonts w:ascii="宋体" w:hAnsi="宋体"/>
          <w:color w:val="000000" w:themeColor="text1"/>
          <w:kern w:val="0"/>
          <w:sz w:val="24"/>
        </w:rPr>
        <w:t>7</w:t>
      </w:r>
      <w:r w:rsidR="000E52DA" w:rsidRPr="005C71EF">
        <w:rPr>
          <w:rFonts w:ascii="宋体" w:hAnsi="宋体"/>
          <w:color w:val="000000" w:themeColor="text1"/>
          <w:kern w:val="0"/>
          <w:sz w:val="24"/>
        </w:rPr>
        <w:t>月</w:t>
      </w:r>
      <w:r w:rsidR="0022257E">
        <w:rPr>
          <w:rFonts w:ascii="宋体" w:hAnsi="宋体"/>
          <w:color w:val="000000" w:themeColor="text1"/>
          <w:kern w:val="0"/>
          <w:sz w:val="24"/>
        </w:rPr>
        <w:t>10</w:t>
      </w:r>
      <w:r w:rsidR="000E52DA" w:rsidRPr="005C71EF">
        <w:rPr>
          <w:rFonts w:ascii="宋体" w:hAnsi="宋体"/>
          <w:color w:val="000000" w:themeColor="text1"/>
          <w:kern w:val="0"/>
          <w:sz w:val="24"/>
        </w:rPr>
        <w:t>日</w:t>
      </w:r>
      <w:r>
        <w:rPr>
          <w:rFonts w:ascii="宋体" w:hAnsi="宋体"/>
          <w:color w:val="000000"/>
          <w:kern w:val="0"/>
          <w:sz w:val="24"/>
        </w:rPr>
        <w:t>复核了本次更新的招募说明书。</w:t>
      </w:r>
    </w:p>
    <w:p w14:paraId="1FFF77DD" w14:textId="77777777" w:rsidR="00D04107" w:rsidRPr="00641F8A" w:rsidRDefault="00D04107" w:rsidP="000C2DB0">
      <w:pPr>
        <w:spacing w:line="360" w:lineRule="auto"/>
        <w:ind w:firstLineChars="202" w:firstLine="485"/>
        <w:rPr>
          <w:rFonts w:ascii="宋体" w:hAnsi="宋体"/>
          <w:color w:val="000000"/>
          <w:kern w:val="0"/>
          <w:sz w:val="24"/>
        </w:rPr>
        <w:sectPr w:rsidR="00D04107" w:rsidRPr="00641F8A">
          <w:headerReference w:type="default" r:id="rId13"/>
          <w:footerReference w:type="default" r:id="rId14"/>
          <w:headerReference w:type="first" r:id="rId15"/>
          <w:footerReference w:type="first" r:id="rId16"/>
          <w:pgSz w:w="11906" w:h="16838"/>
          <w:pgMar w:top="1440" w:right="1797" w:bottom="1440" w:left="1797" w:header="720" w:footer="720" w:gutter="0"/>
          <w:pgNumType w:start="0"/>
          <w:cols w:space="720"/>
          <w:titlePg/>
          <w:docGrid w:type="lines" w:linePitch="312"/>
        </w:sectPr>
      </w:pPr>
    </w:p>
    <w:p w14:paraId="26A6274A" w14:textId="77777777" w:rsidR="00D04107" w:rsidRDefault="000C2DB0" w:rsidP="00165EFD">
      <w:pPr>
        <w:spacing w:beforeLines="150" w:before="360" w:afterLines="50" w:after="120" w:line="360" w:lineRule="exact"/>
        <w:jc w:val="center"/>
        <w:rPr>
          <w:rFonts w:ascii="宋体" w:hAnsi="宋体"/>
          <w:b/>
          <w:color w:val="0D0D0D"/>
          <w:sz w:val="44"/>
          <w:szCs w:val="44"/>
        </w:rPr>
      </w:pPr>
      <w:r>
        <w:rPr>
          <w:rFonts w:ascii="宋体" w:hAnsi="宋体" w:hint="eastAsia"/>
          <w:b/>
          <w:color w:val="0D0D0D"/>
          <w:sz w:val="44"/>
          <w:szCs w:val="44"/>
        </w:rPr>
        <w:lastRenderedPageBreak/>
        <w:t>目  录</w:t>
      </w:r>
    </w:p>
    <w:p w14:paraId="4F3DF8BB" w14:textId="77777777" w:rsidR="00D04107" w:rsidRDefault="00784773">
      <w:pPr>
        <w:pStyle w:val="11"/>
        <w:tabs>
          <w:tab w:val="clear" w:pos="8630"/>
          <w:tab w:val="right" w:leader="dot" w:pos="8640"/>
        </w:tabs>
        <w:rPr>
          <w:noProof/>
        </w:rPr>
      </w:pPr>
      <w:r>
        <w:rPr>
          <w:b w:val="0"/>
          <w:color w:val="0D0D0D"/>
          <w:sz w:val="22"/>
          <w:szCs w:val="22"/>
        </w:rPr>
        <w:fldChar w:fldCharType="begin"/>
      </w:r>
      <w:r w:rsidR="000C2DB0">
        <w:rPr>
          <w:b w:val="0"/>
          <w:color w:val="0D0D0D"/>
          <w:sz w:val="22"/>
          <w:szCs w:val="22"/>
        </w:rPr>
        <w:instrText xml:space="preserve"> TOC \o "1-1" \h \z \u </w:instrText>
      </w:r>
      <w:r>
        <w:rPr>
          <w:b w:val="0"/>
          <w:color w:val="0D0D0D"/>
          <w:sz w:val="22"/>
          <w:szCs w:val="22"/>
        </w:rPr>
        <w:fldChar w:fldCharType="separate"/>
      </w:r>
      <w:bookmarkStart w:id="1" w:name="_Hlt272684354"/>
      <w:bookmarkEnd w:id="1"/>
      <w:r>
        <w:rPr>
          <w:bCs w:val="0"/>
          <w:noProof/>
          <w:color w:val="0D0D0D"/>
          <w:szCs w:val="22"/>
        </w:rPr>
        <w:fldChar w:fldCharType="begin"/>
      </w:r>
      <w:r w:rsidR="000C2DB0">
        <w:rPr>
          <w:bCs w:val="0"/>
          <w:noProof/>
          <w:szCs w:val="22"/>
        </w:rPr>
        <w:instrText xml:space="preserve"> HYPERLINK \l _Toc28809 </w:instrText>
      </w:r>
      <w:r>
        <w:rPr>
          <w:bCs w:val="0"/>
          <w:noProof/>
          <w:szCs w:val="22"/>
        </w:rPr>
        <w:fldChar w:fldCharType="separate"/>
      </w:r>
      <w:r w:rsidR="000C2DB0">
        <w:rPr>
          <w:rFonts w:ascii="宋体" w:hAnsi="宋体" w:hint="eastAsia"/>
          <w:noProof/>
          <w:kern w:val="0"/>
          <w:szCs w:val="24"/>
        </w:rPr>
        <w:t>第一部分  绪言</w:t>
      </w:r>
      <w:r w:rsidR="000C2DB0">
        <w:rPr>
          <w:noProof/>
        </w:rPr>
        <w:tab/>
      </w:r>
      <w:r>
        <w:rPr>
          <w:noProof/>
        </w:rPr>
        <w:fldChar w:fldCharType="begin"/>
      </w:r>
      <w:r w:rsidR="00A829F8">
        <w:rPr>
          <w:noProof/>
        </w:rPr>
        <w:instrText xml:space="preserve"> PAGEREF _Toc28809 </w:instrText>
      </w:r>
      <w:r>
        <w:rPr>
          <w:noProof/>
        </w:rPr>
        <w:fldChar w:fldCharType="separate"/>
      </w:r>
      <w:r w:rsidR="00577ECC">
        <w:rPr>
          <w:noProof/>
        </w:rPr>
        <w:t>2</w:t>
      </w:r>
      <w:r>
        <w:rPr>
          <w:noProof/>
        </w:rPr>
        <w:fldChar w:fldCharType="end"/>
      </w:r>
      <w:r>
        <w:rPr>
          <w:bCs w:val="0"/>
          <w:noProof/>
          <w:color w:val="0D0D0D"/>
          <w:szCs w:val="22"/>
        </w:rPr>
        <w:fldChar w:fldCharType="end"/>
      </w:r>
    </w:p>
    <w:p w14:paraId="177BF647" w14:textId="77777777" w:rsidR="00D04107" w:rsidRDefault="0080003E">
      <w:pPr>
        <w:pStyle w:val="11"/>
        <w:tabs>
          <w:tab w:val="clear" w:pos="8630"/>
          <w:tab w:val="right" w:leader="dot" w:pos="8640"/>
        </w:tabs>
        <w:rPr>
          <w:noProof/>
        </w:rPr>
      </w:pPr>
      <w:hyperlink w:anchor="_Toc28826" w:history="1">
        <w:r w:rsidR="000C2DB0">
          <w:rPr>
            <w:rFonts w:ascii="宋体" w:hAnsi="宋体" w:hint="eastAsia"/>
            <w:noProof/>
            <w:kern w:val="0"/>
            <w:szCs w:val="24"/>
          </w:rPr>
          <w:t>第二部分  释义</w:t>
        </w:r>
        <w:r w:rsidR="000C2DB0">
          <w:rPr>
            <w:noProof/>
          </w:rPr>
          <w:tab/>
        </w:r>
        <w:r w:rsidR="00784773">
          <w:rPr>
            <w:noProof/>
          </w:rPr>
          <w:fldChar w:fldCharType="begin"/>
        </w:r>
        <w:r w:rsidR="00A829F8">
          <w:rPr>
            <w:noProof/>
          </w:rPr>
          <w:instrText xml:space="preserve"> PAGEREF _Toc28826 </w:instrText>
        </w:r>
        <w:r w:rsidR="00784773">
          <w:rPr>
            <w:noProof/>
          </w:rPr>
          <w:fldChar w:fldCharType="separate"/>
        </w:r>
        <w:r w:rsidR="00577ECC">
          <w:rPr>
            <w:noProof/>
          </w:rPr>
          <w:t>3</w:t>
        </w:r>
        <w:r w:rsidR="00784773">
          <w:rPr>
            <w:noProof/>
          </w:rPr>
          <w:fldChar w:fldCharType="end"/>
        </w:r>
      </w:hyperlink>
    </w:p>
    <w:p w14:paraId="09A3BB31" w14:textId="77777777" w:rsidR="00D04107" w:rsidRDefault="0080003E">
      <w:pPr>
        <w:pStyle w:val="11"/>
        <w:tabs>
          <w:tab w:val="clear" w:pos="8630"/>
          <w:tab w:val="right" w:leader="dot" w:pos="8640"/>
        </w:tabs>
        <w:rPr>
          <w:noProof/>
        </w:rPr>
      </w:pPr>
      <w:hyperlink w:anchor="_Toc26120" w:history="1">
        <w:r w:rsidR="000C2DB0">
          <w:rPr>
            <w:rFonts w:ascii="宋体" w:hAnsi="宋体" w:hint="eastAsia"/>
            <w:noProof/>
            <w:kern w:val="0"/>
            <w:szCs w:val="24"/>
          </w:rPr>
          <w:t>第三部分  基金管理人</w:t>
        </w:r>
        <w:r w:rsidR="000C2DB0">
          <w:rPr>
            <w:noProof/>
          </w:rPr>
          <w:tab/>
        </w:r>
        <w:r w:rsidR="00784773">
          <w:rPr>
            <w:noProof/>
          </w:rPr>
          <w:fldChar w:fldCharType="begin"/>
        </w:r>
        <w:r w:rsidR="00A829F8">
          <w:rPr>
            <w:noProof/>
          </w:rPr>
          <w:instrText xml:space="preserve"> PAGEREF _Toc26120 </w:instrText>
        </w:r>
        <w:r w:rsidR="00784773">
          <w:rPr>
            <w:noProof/>
          </w:rPr>
          <w:fldChar w:fldCharType="separate"/>
        </w:r>
        <w:r w:rsidR="00577ECC">
          <w:rPr>
            <w:noProof/>
          </w:rPr>
          <w:t>1</w:t>
        </w:r>
        <w:r w:rsidR="00784773">
          <w:rPr>
            <w:noProof/>
          </w:rPr>
          <w:fldChar w:fldCharType="end"/>
        </w:r>
      </w:hyperlink>
    </w:p>
    <w:p w14:paraId="6950FF85" w14:textId="77777777" w:rsidR="00D04107" w:rsidRDefault="0080003E">
      <w:pPr>
        <w:pStyle w:val="11"/>
        <w:tabs>
          <w:tab w:val="clear" w:pos="8630"/>
          <w:tab w:val="right" w:leader="dot" w:pos="8640"/>
        </w:tabs>
        <w:rPr>
          <w:noProof/>
        </w:rPr>
      </w:pPr>
      <w:hyperlink w:anchor="_Toc20813" w:history="1">
        <w:r w:rsidR="000C2DB0">
          <w:rPr>
            <w:rFonts w:ascii="宋体" w:hAnsi="宋体" w:hint="eastAsia"/>
            <w:noProof/>
            <w:kern w:val="0"/>
            <w:szCs w:val="24"/>
          </w:rPr>
          <w:t>第四部分  基金托管人</w:t>
        </w:r>
        <w:r w:rsidR="000C2DB0">
          <w:rPr>
            <w:noProof/>
          </w:rPr>
          <w:tab/>
        </w:r>
        <w:r w:rsidR="00784773">
          <w:rPr>
            <w:noProof/>
          </w:rPr>
          <w:fldChar w:fldCharType="begin"/>
        </w:r>
        <w:r w:rsidR="00A829F8">
          <w:rPr>
            <w:noProof/>
          </w:rPr>
          <w:instrText xml:space="preserve"> PAGEREF _Toc20813 </w:instrText>
        </w:r>
        <w:r w:rsidR="00784773">
          <w:rPr>
            <w:noProof/>
          </w:rPr>
          <w:fldChar w:fldCharType="separate"/>
        </w:r>
        <w:r w:rsidR="00577ECC">
          <w:rPr>
            <w:noProof/>
          </w:rPr>
          <w:t>12</w:t>
        </w:r>
        <w:r w:rsidR="00784773">
          <w:rPr>
            <w:noProof/>
          </w:rPr>
          <w:fldChar w:fldCharType="end"/>
        </w:r>
      </w:hyperlink>
    </w:p>
    <w:p w14:paraId="63677E69" w14:textId="77777777" w:rsidR="00D04107" w:rsidRDefault="0080003E">
      <w:pPr>
        <w:pStyle w:val="11"/>
        <w:tabs>
          <w:tab w:val="clear" w:pos="8630"/>
          <w:tab w:val="right" w:leader="dot" w:pos="8640"/>
        </w:tabs>
        <w:rPr>
          <w:noProof/>
        </w:rPr>
      </w:pPr>
      <w:hyperlink w:anchor="_Toc26497" w:history="1">
        <w:r w:rsidR="000C2DB0">
          <w:rPr>
            <w:rFonts w:ascii="宋体" w:hAnsi="宋体" w:hint="eastAsia"/>
            <w:noProof/>
            <w:kern w:val="0"/>
            <w:szCs w:val="24"/>
          </w:rPr>
          <w:t>第五部分  相关服务机构</w:t>
        </w:r>
        <w:r w:rsidR="000C2DB0">
          <w:rPr>
            <w:noProof/>
          </w:rPr>
          <w:tab/>
        </w:r>
        <w:r w:rsidR="00784773">
          <w:rPr>
            <w:noProof/>
          </w:rPr>
          <w:fldChar w:fldCharType="begin"/>
        </w:r>
        <w:r w:rsidR="00A829F8">
          <w:rPr>
            <w:noProof/>
          </w:rPr>
          <w:instrText xml:space="preserve"> PAGEREF _Toc26497 </w:instrText>
        </w:r>
        <w:r w:rsidR="00784773">
          <w:rPr>
            <w:noProof/>
          </w:rPr>
          <w:fldChar w:fldCharType="separate"/>
        </w:r>
        <w:r w:rsidR="00577ECC">
          <w:rPr>
            <w:noProof/>
          </w:rPr>
          <w:t>16</w:t>
        </w:r>
        <w:r w:rsidR="00784773">
          <w:rPr>
            <w:noProof/>
          </w:rPr>
          <w:fldChar w:fldCharType="end"/>
        </w:r>
      </w:hyperlink>
    </w:p>
    <w:p w14:paraId="14696DF8" w14:textId="77777777" w:rsidR="00D04107" w:rsidRDefault="0080003E">
      <w:pPr>
        <w:pStyle w:val="11"/>
        <w:tabs>
          <w:tab w:val="clear" w:pos="8630"/>
          <w:tab w:val="right" w:leader="dot" w:pos="8640"/>
        </w:tabs>
        <w:rPr>
          <w:noProof/>
        </w:rPr>
      </w:pPr>
      <w:hyperlink w:anchor="_Toc21861" w:history="1">
        <w:r w:rsidR="000C2DB0">
          <w:rPr>
            <w:rFonts w:ascii="宋体" w:hAnsi="宋体" w:hint="eastAsia"/>
            <w:noProof/>
            <w:kern w:val="0"/>
            <w:szCs w:val="24"/>
          </w:rPr>
          <w:t>第六部分  基金的募集</w:t>
        </w:r>
        <w:r w:rsidR="000C2DB0">
          <w:rPr>
            <w:noProof/>
          </w:rPr>
          <w:tab/>
        </w:r>
        <w:r w:rsidR="00784773">
          <w:rPr>
            <w:noProof/>
          </w:rPr>
          <w:fldChar w:fldCharType="begin"/>
        </w:r>
        <w:r w:rsidR="00A829F8">
          <w:rPr>
            <w:noProof/>
          </w:rPr>
          <w:instrText xml:space="preserve"> PAGEREF _Toc21861 </w:instrText>
        </w:r>
        <w:r w:rsidR="00784773">
          <w:rPr>
            <w:noProof/>
          </w:rPr>
          <w:fldChar w:fldCharType="separate"/>
        </w:r>
        <w:r w:rsidR="00577ECC">
          <w:rPr>
            <w:noProof/>
          </w:rPr>
          <w:t>22</w:t>
        </w:r>
        <w:r w:rsidR="00784773">
          <w:rPr>
            <w:noProof/>
          </w:rPr>
          <w:fldChar w:fldCharType="end"/>
        </w:r>
      </w:hyperlink>
    </w:p>
    <w:p w14:paraId="2BAC852F" w14:textId="77777777" w:rsidR="00D04107" w:rsidRDefault="0080003E">
      <w:pPr>
        <w:pStyle w:val="11"/>
        <w:tabs>
          <w:tab w:val="clear" w:pos="8630"/>
          <w:tab w:val="right" w:leader="dot" w:pos="8640"/>
        </w:tabs>
        <w:rPr>
          <w:noProof/>
        </w:rPr>
      </w:pPr>
      <w:hyperlink w:anchor="_Toc406" w:history="1">
        <w:r w:rsidR="000C2DB0">
          <w:rPr>
            <w:rFonts w:ascii="宋体" w:hAnsi="宋体" w:hint="eastAsia"/>
            <w:noProof/>
            <w:kern w:val="0"/>
            <w:szCs w:val="24"/>
          </w:rPr>
          <w:t>第七部分</w:t>
        </w:r>
        <w:r w:rsidR="000C2DB0">
          <w:rPr>
            <w:rFonts w:ascii="宋体" w:hAnsi="宋体"/>
            <w:noProof/>
            <w:kern w:val="0"/>
            <w:szCs w:val="24"/>
          </w:rPr>
          <w:t xml:space="preserve">  </w:t>
        </w:r>
        <w:r w:rsidR="000C2DB0">
          <w:rPr>
            <w:rFonts w:ascii="宋体" w:hAnsi="宋体" w:hint="eastAsia"/>
            <w:noProof/>
            <w:kern w:val="0"/>
            <w:szCs w:val="24"/>
          </w:rPr>
          <w:t>基金合同的生效</w:t>
        </w:r>
        <w:r w:rsidR="000C2DB0">
          <w:rPr>
            <w:noProof/>
          </w:rPr>
          <w:tab/>
        </w:r>
        <w:r w:rsidR="00784773">
          <w:rPr>
            <w:noProof/>
          </w:rPr>
          <w:fldChar w:fldCharType="begin"/>
        </w:r>
        <w:r w:rsidR="00A829F8">
          <w:rPr>
            <w:noProof/>
          </w:rPr>
          <w:instrText xml:space="preserve"> PAGEREF _Toc406 </w:instrText>
        </w:r>
        <w:r w:rsidR="00784773">
          <w:rPr>
            <w:noProof/>
          </w:rPr>
          <w:fldChar w:fldCharType="separate"/>
        </w:r>
        <w:r w:rsidR="00577ECC">
          <w:rPr>
            <w:noProof/>
          </w:rPr>
          <w:t>23</w:t>
        </w:r>
        <w:r w:rsidR="00784773">
          <w:rPr>
            <w:noProof/>
          </w:rPr>
          <w:fldChar w:fldCharType="end"/>
        </w:r>
      </w:hyperlink>
    </w:p>
    <w:p w14:paraId="147E177F" w14:textId="77777777" w:rsidR="00D04107" w:rsidRDefault="0080003E">
      <w:pPr>
        <w:pStyle w:val="11"/>
        <w:tabs>
          <w:tab w:val="clear" w:pos="8630"/>
          <w:tab w:val="right" w:leader="dot" w:pos="8640"/>
        </w:tabs>
        <w:rPr>
          <w:noProof/>
        </w:rPr>
      </w:pPr>
      <w:hyperlink w:anchor="_Toc7369" w:history="1">
        <w:r w:rsidR="000C2DB0">
          <w:rPr>
            <w:rFonts w:ascii="宋体" w:hAnsi="宋体" w:hint="eastAsia"/>
            <w:noProof/>
            <w:kern w:val="0"/>
            <w:szCs w:val="24"/>
          </w:rPr>
          <w:t>第八部分  基金份额的申购与赎回</w:t>
        </w:r>
        <w:r w:rsidR="000C2DB0">
          <w:rPr>
            <w:noProof/>
          </w:rPr>
          <w:tab/>
        </w:r>
        <w:r w:rsidR="00784773">
          <w:rPr>
            <w:noProof/>
          </w:rPr>
          <w:fldChar w:fldCharType="begin"/>
        </w:r>
        <w:r w:rsidR="00A829F8">
          <w:rPr>
            <w:noProof/>
          </w:rPr>
          <w:instrText xml:space="preserve"> PAGEREF _Toc7369 </w:instrText>
        </w:r>
        <w:r w:rsidR="00784773">
          <w:rPr>
            <w:noProof/>
          </w:rPr>
          <w:fldChar w:fldCharType="separate"/>
        </w:r>
        <w:r w:rsidR="00577ECC">
          <w:rPr>
            <w:noProof/>
          </w:rPr>
          <w:t>24</w:t>
        </w:r>
        <w:r w:rsidR="00784773">
          <w:rPr>
            <w:noProof/>
          </w:rPr>
          <w:fldChar w:fldCharType="end"/>
        </w:r>
      </w:hyperlink>
    </w:p>
    <w:p w14:paraId="44581830" w14:textId="77777777" w:rsidR="00D04107" w:rsidRDefault="0080003E">
      <w:pPr>
        <w:pStyle w:val="11"/>
        <w:tabs>
          <w:tab w:val="clear" w:pos="8630"/>
          <w:tab w:val="right" w:leader="dot" w:pos="8640"/>
        </w:tabs>
        <w:rPr>
          <w:noProof/>
        </w:rPr>
      </w:pPr>
      <w:hyperlink w:anchor="_Toc30413" w:history="1">
        <w:r w:rsidR="000C2DB0">
          <w:rPr>
            <w:rFonts w:ascii="宋体" w:hAnsi="宋体" w:hint="eastAsia"/>
            <w:noProof/>
            <w:kern w:val="0"/>
            <w:szCs w:val="24"/>
          </w:rPr>
          <w:t>第九部分  基金的投资</w:t>
        </w:r>
        <w:r w:rsidR="000C2DB0">
          <w:rPr>
            <w:noProof/>
          </w:rPr>
          <w:tab/>
        </w:r>
        <w:r w:rsidR="00784773">
          <w:rPr>
            <w:noProof/>
          </w:rPr>
          <w:fldChar w:fldCharType="begin"/>
        </w:r>
        <w:r w:rsidR="00A829F8">
          <w:rPr>
            <w:noProof/>
          </w:rPr>
          <w:instrText xml:space="preserve"> PAGEREF _Toc30413 </w:instrText>
        </w:r>
        <w:r w:rsidR="00784773">
          <w:rPr>
            <w:noProof/>
          </w:rPr>
          <w:fldChar w:fldCharType="separate"/>
        </w:r>
        <w:r w:rsidR="00577ECC">
          <w:rPr>
            <w:noProof/>
          </w:rPr>
          <w:t>34</w:t>
        </w:r>
        <w:r w:rsidR="00784773">
          <w:rPr>
            <w:noProof/>
          </w:rPr>
          <w:fldChar w:fldCharType="end"/>
        </w:r>
      </w:hyperlink>
    </w:p>
    <w:p w14:paraId="02A4B3FF" w14:textId="77777777" w:rsidR="00D04107" w:rsidRDefault="0080003E">
      <w:pPr>
        <w:pStyle w:val="11"/>
        <w:tabs>
          <w:tab w:val="clear" w:pos="8630"/>
          <w:tab w:val="right" w:leader="dot" w:pos="8640"/>
        </w:tabs>
        <w:rPr>
          <w:noProof/>
        </w:rPr>
      </w:pPr>
      <w:hyperlink w:anchor="_Toc1303" w:history="1">
        <w:r w:rsidR="000C2DB0">
          <w:rPr>
            <w:rFonts w:ascii="宋体" w:hAnsi="宋体" w:hint="eastAsia"/>
            <w:noProof/>
            <w:kern w:val="0"/>
            <w:szCs w:val="24"/>
          </w:rPr>
          <w:t>第十部分  基金的财产</w:t>
        </w:r>
        <w:r w:rsidR="000C2DB0">
          <w:rPr>
            <w:noProof/>
          </w:rPr>
          <w:tab/>
        </w:r>
        <w:r w:rsidR="00784773">
          <w:rPr>
            <w:noProof/>
          </w:rPr>
          <w:fldChar w:fldCharType="begin"/>
        </w:r>
        <w:r w:rsidR="00A829F8">
          <w:rPr>
            <w:noProof/>
          </w:rPr>
          <w:instrText xml:space="preserve"> PAGEREF _Toc1303 </w:instrText>
        </w:r>
        <w:r w:rsidR="00784773">
          <w:rPr>
            <w:noProof/>
          </w:rPr>
          <w:fldChar w:fldCharType="separate"/>
        </w:r>
        <w:r w:rsidR="00577ECC">
          <w:rPr>
            <w:noProof/>
          </w:rPr>
          <w:t>50</w:t>
        </w:r>
        <w:r w:rsidR="00784773">
          <w:rPr>
            <w:noProof/>
          </w:rPr>
          <w:fldChar w:fldCharType="end"/>
        </w:r>
      </w:hyperlink>
    </w:p>
    <w:p w14:paraId="0399E6DA" w14:textId="77777777" w:rsidR="00D04107" w:rsidRDefault="0080003E">
      <w:pPr>
        <w:pStyle w:val="11"/>
        <w:tabs>
          <w:tab w:val="clear" w:pos="8630"/>
          <w:tab w:val="right" w:leader="dot" w:pos="8640"/>
        </w:tabs>
        <w:rPr>
          <w:noProof/>
        </w:rPr>
      </w:pPr>
      <w:hyperlink w:anchor="_Toc26536" w:history="1">
        <w:r w:rsidR="000C2DB0">
          <w:rPr>
            <w:rFonts w:ascii="宋体" w:hAnsi="宋体" w:hint="eastAsia"/>
            <w:noProof/>
            <w:kern w:val="0"/>
            <w:szCs w:val="24"/>
          </w:rPr>
          <w:t>第十一部分  基金资产的估值</w:t>
        </w:r>
        <w:r w:rsidR="000C2DB0">
          <w:rPr>
            <w:noProof/>
          </w:rPr>
          <w:tab/>
        </w:r>
        <w:r w:rsidR="00784773">
          <w:rPr>
            <w:noProof/>
          </w:rPr>
          <w:fldChar w:fldCharType="begin"/>
        </w:r>
        <w:r w:rsidR="00A829F8">
          <w:rPr>
            <w:noProof/>
          </w:rPr>
          <w:instrText xml:space="preserve"> PAGEREF _Toc26536 </w:instrText>
        </w:r>
        <w:r w:rsidR="00784773">
          <w:rPr>
            <w:noProof/>
          </w:rPr>
          <w:fldChar w:fldCharType="separate"/>
        </w:r>
        <w:r w:rsidR="00577ECC">
          <w:rPr>
            <w:noProof/>
          </w:rPr>
          <w:t>51</w:t>
        </w:r>
        <w:r w:rsidR="00784773">
          <w:rPr>
            <w:noProof/>
          </w:rPr>
          <w:fldChar w:fldCharType="end"/>
        </w:r>
      </w:hyperlink>
    </w:p>
    <w:p w14:paraId="4239E8ED" w14:textId="77777777" w:rsidR="00D04107" w:rsidRDefault="0080003E">
      <w:pPr>
        <w:pStyle w:val="11"/>
        <w:tabs>
          <w:tab w:val="clear" w:pos="8630"/>
          <w:tab w:val="right" w:leader="dot" w:pos="8640"/>
        </w:tabs>
        <w:rPr>
          <w:noProof/>
        </w:rPr>
      </w:pPr>
      <w:hyperlink w:anchor="_Toc12378" w:history="1">
        <w:r w:rsidR="000C2DB0">
          <w:rPr>
            <w:rFonts w:ascii="宋体" w:hAnsi="宋体" w:hint="eastAsia"/>
            <w:noProof/>
            <w:kern w:val="0"/>
            <w:szCs w:val="24"/>
          </w:rPr>
          <w:t>第十二部分  基金的收益与分配</w:t>
        </w:r>
        <w:r w:rsidR="000C2DB0">
          <w:rPr>
            <w:noProof/>
          </w:rPr>
          <w:tab/>
        </w:r>
        <w:r w:rsidR="00784773">
          <w:rPr>
            <w:noProof/>
          </w:rPr>
          <w:fldChar w:fldCharType="begin"/>
        </w:r>
        <w:r w:rsidR="00A829F8">
          <w:rPr>
            <w:noProof/>
          </w:rPr>
          <w:instrText xml:space="preserve"> PAGEREF _Toc12378 </w:instrText>
        </w:r>
        <w:r w:rsidR="00784773">
          <w:rPr>
            <w:noProof/>
          </w:rPr>
          <w:fldChar w:fldCharType="separate"/>
        </w:r>
        <w:r w:rsidR="00577ECC">
          <w:rPr>
            <w:noProof/>
          </w:rPr>
          <w:t>56</w:t>
        </w:r>
        <w:r w:rsidR="00784773">
          <w:rPr>
            <w:noProof/>
          </w:rPr>
          <w:fldChar w:fldCharType="end"/>
        </w:r>
      </w:hyperlink>
    </w:p>
    <w:p w14:paraId="42A9B19E" w14:textId="77777777" w:rsidR="00D04107" w:rsidRDefault="0080003E">
      <w:pPr>
        <w:pStyle w:val="11"/>
        <w:tabs>
          <w:tab w:val="clear" w:pos="8630"/>
          <w:tab w:val="right" w:leader="dot" w:pos="8640"/>
        </w:tabs>
        <w:rPr>
          <w:noProof/>
        </w:rPr>
      </w:pPr>
      <w:hyperlink w:anchor="_Toc31494" w:history="1">
        <w:r w:rsidR="000C2DB0">
          <w:rPr>
            <w:rFonts w:ascii="宋体" w:hAnsi="宋体" w:hint="eastAsia"/>
            <w:noProof/>
            <w:kern w:val="0"/>
            <w:szCs w:val="24"/>
          </w:rPr>
          <w:t>第十三部分</w:t>
        </w:r>
        <w:r w:rsidR="000C2DB0">
          <w:rPr>
            <w:rFonts w:ascii="宋体" w:hAnsi="宋体"/>
            <w:noProof/>
            <w:kern w:val="0"/>
            <w:szCs w:val="24"/>
          </w:rPr>
          <w:t xml:space="preserve">  </w:t>
        </w:r>
        <w:r w:rsidR="000C2DB0">
          <w:rPr>
            <w:rFonts w:ascii="宋体" w:hAnsi="宋体" w:hint="eastAsia"/>
            <w:noProof/>
            <w:kern w:val="0"/>
            <w:szCs w:val="24"/>
          </w:rPr>
          <w:t>基金的费用与税收</w:t>
        </w:r>
        <w:r w:rsidR="000C2DB0">
          <w:rPr>
            <w:noProof/>
          </w:rPr>
          <w:tab/>
        </w:r>
        <w:r w:rsidR="00784773">
          <w:rPr>
            <w:noProof/>
          </w:rPr>
          <w:fldChar w:fldCharType="begin"/>
        </w:r>
        <w:r w:rsidR="00A829F8">
          <w:rPr>
            <w:noProof/>
          </w:rPr>
          <w:instrText xml:space="preserve"> PAGEREF _Toc31494 </w:instrText>
        </w:r>
        <w:r w:rsidR="00784773">
          <w:rPr>
            <w:noProof/>
          </w:rPr>
          <w:fldChar w:fldCharType="separate"/>
        </w:r>
        <w:r w:rsidR="00577ECC">
          <w:rPr>
            <w:noProof/>
          </w:rPr>
          <w:t>58</w:t>
        </w:r>
        <w:r w:rsidR="00784773">
          <w:rPr>
            <w:noProof/>
          </w:rPr>
          <w:fldChar w:fldCharType="end"/>
        </w:r>
      </w:hyperlink>
    </w:p>
    <w:p w14:paraId="030FC9AD" w14:textId="77777777" w:rsidR="00D04107" w:rsidRDefault="0080003E">
      <w:pPr>
        <w:pStyle w:val="11"/>
        <w:tabs>
          <w:tab w:val="clear" w:pos="8630"/>
          <w:tab w:val="right" w:leader="dot" w:pos="8640"/>
        </w:tabs>
        <w:rPr>
          <w:noProof/>
        </w:rPr>
      </w:pPr>
      <w:hyperlink w:anchor="_Toc2796" w:history="1">
        <w:r w:rsidR="000C2DB0">
          <w:rPr>
            <w:rFonts w:ascii="宋体" w:hAnsi="宋体" w:hint="eastAsia"/>
            <w:noProof/>
            <w:kern w:val="0"/>
            <w:szCs w:val="24"/>
          </w:rPr>
          <w:t>第十四部分</w:t>
        </w:r>
        <w:r w:rsidR="000C2DB0">
          <w:rPr>
            <w:rFonts w:ascii="宋体" w:hAnsi="宋体"/>
            <w:noProof/>
            <w:kern w:val="0"/>
            <w:szCs w:val="24"/>
          </w:rPr>
          <w:t xml:space="preserve">  </w:t>
        </w:r>
        <w:r w:rsidR="000C2DB0">
          <w:rPr>
            <w:rFonts w:ascii="宋体" w:hAnsi="宋体" w:hint="eastAsia"/>
            <w:noProof/>
            <w:kern w:val="0"/>
            <w:szCs w:val="24"/>
          </w:rPr>
          <w:t>基金的会计与审计</w:t>
        </w:r>
        <w:r w:rsidR="000C2DB0">
          <w:rPr>
            <w:noProof/>
          </w:rPr>
          <w:tab/>
        </w:r>
        <w:r w:rsidR="00784773">
          <w:rPr>
            <w:noProof/>
          </w:rPr>
          <w:fldChar w:fldCharType="begin"/>
        </w:r>
        <w:r w:rsidR="00A829F8">
          <w:rPr>
            <w:noProof/>
          </w:rPr>
          <w:instrText xml:space="preserve"> PAGEREF _Toc2796 </w:instrText>
        </w:r>
        <w:r w:rsidR="00784773">
          <w:rPr>
            <w:noProof/>
          </w:rPr>
          <w:fldChar w:fldCharType="separate"/>
        </w:r>
        <w:r w:rsidR="00577ECC">
          <w:rPr>
            <w:noProof/>
          </w:rPr>
          <w:t>60</w:t>
        </w:r>
        <w:r w:rsidR="00784773">
          <w:rPr>
            <w:noProof/>
          </w:rPr>
          <w:fldChar w:fldCharType="end"/>
        </w:r>
      </w:hyperlink>
    </w:p>
    <w:p w14:paraId="0FB8AC12" w14:textId="77777777" w:rsidR="00D04107" w:rsidRDefault="0080003E">
      <w:pPr>
        <w:pStyle w:val="11"/>
        <w:tabs>
          <w:tab w:val="clear" w:pos="8630"/>
          <w:tab w:val="right" w:leader="dot" w:pos="8640"/>
        </w:tabs>
        <w:rPr>
          <w:noProof/>
        </w:rPr>
      </w:pPr>
      <w:hyperlink w:anchor="_Toc12523" w:history="1">
        <w:r w:rsidR="000C2DB0">
          <w:rPr>
            <w:rFonts w:ascii="宋体" w:hAnsi="宋体" w:hint="eastAsia"/>
            <w:noProof/>
            <w:kern w:val="0"/>
            <w:szCs w:val="24"/>
          </w:rPr>
          <w:t>第十五部分  基金的信息披露</w:t>
        </w:r>
        <w:r w:rsidR="000C2DB0">
          <w:rPr>
            <w:noProof/>
          </w:rPr>
          <w:tab/>
        </w:r>
        <w:r w:rsidR="00784773">
          <w:rPr>
            <w:noProof/>
          </w:rPr>
          <w:fldChar w:fldCharType="begin"/>
        </w:r>
        <w:r w:rsidR="00A829F8">
          <w:rPr>
            <w:noProof/>
          </w:rPr>
          <w:instrText xml:space="preserve"> PAGEREF _Toc12523 </w:instrText>
        </w:r>
        <w:r w:rsidR="00784773">
          <w:rPr>
            <w:noProof/>
          </w:rPr>
          <w:fldChar w:fldCharType="separate"/>
        </w:r>
        <w:r w:rsidR="00577ECC">
          <w:rPr>
            <w:noProof/>
          </w:rPr>
          <w:t>61</w:t>
        </w:r>
        <w:r w:rsidR="00784773">
          <w:rPr>
            <w:noProof/>
          </w:rPr>
          <w:fldChar w:fldCharType="end"/>
        </w:r>
      </w:hyperlink>
    </w:p>
    <w:p w14:paraId="3AADE730" w14:textId="77777777" w:rsidR="00D04107" w:rsidRDefault="0080003E">
      <w:pPr>
        <w:pStyle w:val="11"/>
        <w:tabs>
          <w:tab w:val="clear" w:pos="8630"/>
          <w:tab w:val="right" w:leader="dot" w:pos="8640"/>
        </w:tabs>
        <w:rPr>
          <w:noProof/>
        </w:rPr>
      </w:pPr>
      <w:hyperlink w:anchor="_Toc3467" w:history="1">
        <w:r w:rsidR="000C2DB0">
          <w:rPr>
            <w:rFonts w:ascii="宋体" w:hAnsi="宋体" w:hint="eastAsia"/>
            <w:noProof/>
            <w:kern w:val="0"/>
            <w:szCs w:val="24"/>
          </w:rPr>
          <w:t>第十六部分  基金的风险揭示</w:t>
        </w:r>
        <w:r w:rsidR="000C2DB0">
          <w:rPr>
            <w:noProof/>
          </w:rPr>
          <w:tab/>
        </w:r>
        <w:r w:rsidR="00784773">
          <w:rPr>
            <w:noProof/>
          </w:rPr>
          <w:fldChar w:fldCharType="begin"/>
        </w:r>
        <w:r w:rsidR="00A829F8">
          <w:rPr>
            <w:noProof/>
          </w:rPr>
          <w:instrText xml:space="preserve"> PAGEREF _Toc3467 </w:instrText>
        </w:r>
        <w:r w:rsidR="00784773">
          <w:rPr>
            <w:noProof/>
          </w:rPr>
          <w:fldChar w:fldCharType="separate"/>
        </w:r>
        <w:r w:rsidR="00577ECC">
          <w:rPr>
            <w:noProof/>
          </w:rPr>
          <w:t>68</w:t>
        </w:r>
        <w:r w:rsidR="00784773">
          <w:rPr>
            <w:noProof/>
          </w:rPr>
          <w:fldChar w:fldCharType="end"/>
        </w:r>
      </w:hyperlink>
    </w:p>
    <w:p w14:paraId="3C8AF334" w14:textId="77777777" w:rsidR="00D04107" w:rsidRDefault="0080003E">
      <w:pPr>
        <w:pStyle w:val="11"/>
        <w:tabs>
          <w:tab w:val="clear" w:pos="8630"/>
          <w:tab w:val="right" w:leader="dot" w:pos="8640"/>
        </w:tabs>
        <w:rPr>
          <w:noProof/>
        </w:rPr>
      </w:pPr>
      <w:hyperlink w:anchor="_Toc23741" w:history="1">
        <w:r w:rsidR="000C2DB0">
          <w:rPr>
            <w:rFonts w:ascii="宋体" w:hAnsi="宋体" w:hint="eastAsia"/>
            <w:noProof/>
            <w:kern w:val="0"/>
            <w:szCs w:val="24"/>
          </w:rPr>
          <w:t>第十七部分  基金合同的变更、终止与基金财产的清算</w:t>
        </w:r>
        <w:r w:rsidR="000C2DB0">
          <w:rPr>
            <w:noProof/>
          </w:rPr>
          <w:tab/>
        </w:r>
        <w:r w:rsidR="00784773">
          <w:rPr>
            <w:noProof/>
          </w:rPr>
          <w:fldChar w:fldCharType="begin"/>
        </w:r>
        <w:r w:rsidR="00A829F8">
          <w:rPr>
            <w:noProof/>
          </w:rPr>
          <w:instrText xml:space="preserve"> PAGEREF _Toc23741 </w:instrText>
        </w:r>
        <w:r w:rsidR="00784773">
          <w:rPr>
            <w:noProof/>
          </w:rPr>
          <w:fldChar w:fldCharType="separate"/>
        </w:r>
        <w:r w:rsidR="00577ECC">
          <w:rPr>
            <w:noProof/>
          </w:rPr>
          <w:t>71</w:t>
        </w:r>
        <w:r w:rsidR="00784773">
          <w:rPr>
            <w:noProof/>
          </w:rPr>
          <w:fldChar w:fldCharType="end"/>
        </w:r>
      </w:hyperlink>
    </w:p>
    <w:p w14:paraId="39A0F8C5" w14:textId="77777777" w:rsidR="00D04107" w:rsidRDefault="0080003E">
      <w:pPr>
        <w:pStyle w:val="11"/>
        <w:tabs>
          <w:tab w:val="clear" w:pos="8630"/>
          <w:tab w:val="right" w:leader="dot" w:pos="8640"/>
        </w:tabs>
        <w:rPr>
          <w:noProof/>
        </w:rPr>
      </w:pPr>
      <w:hyperlink w:anchor="_Toc3364" w:history="1">
        <w:r w:rsidR="000C2DB0">
          <w:rPr>
            <w:rFonts w:ascii="宋体" w:hAnsi="宋体" w:hint="eastAsia"/>
            <w:noProof/>
            <w:kern w:val="0"/>
            <w:szCs w:val="24"/>
          </w:rPr>
          <w:t>第十八部分  基金合同的内容摘要</w:t>
        </w:r>
        <w:r w:rsidR="000C2DB0">
          <w:rPr>
            <w:noProof/>
          </w:rPr>
          <w:tab/>
        </w:r>
        <w:r w:rsidR="00784773">
          <w:rPr>
            <w:noProof/>
          </w:rPr>
          <w:fldChar w:fldCharType="begin"/>
        </w:r>
        <w:r w:rsidR="00A829F8">
          <w:rPr>
            <w:noProof/>
          </w:rPr>
          <w:instrText xml:space="preserve"> PAGEREF _Toc3364 </w:instrText>
        </w:r>
        <w:r w:rsidR="00784773">
          <w:rPr>
            <w:noProof/>
          </w:rPr>
          <w:fldChar w:fldCharType="separate"/>
        </w:r>
        <w:r w:rsidR="00577ECC">
          <w:rPr>
            <w:noProof/>
          </w:rPr>
          <w:t>73</w:t>
        </w:r>
        <w:r w:rsidR="00784773">
          <w:rPr>
            <w:noProof/>
          </w:rPr>
          <w:fldChar w:fldCharType="end"/>
        </w:r>
      </w:hyperlink>
    </w:p>
    <w:p w14:paraId="6F74601A" w14:textId="77777777" w:rsidR="00D04107" w:rsidRDefault="0080003E">
      <w:pPr>
        <w:pStyle w:val="11"/>
        <w:tabs>
          <w:tab w:val="clear" w:pos="8630"/>
          <w:tab w:val="right" w:leader="dot" w:pos="8640"/>
        </w:tabs>
        <w:rPr>
          <w:noProof/>
        </w:rPr>
      </w:pPr>
      <w:hyperlink w:anchor="_Toc31339" w:history="1">
        <w:r w:rsidR="000C2DB0">
          <w:rPr>
            <w:rFonts w:ascii="宋体" w:hAnsi="宋体" w:hint="eastAsia"/>
            <w:noProof/>
            <w:kern w:val="0"/>
            <w:szCs w:val="24"/>
          </w:rPr>
          <w:t>第十九部分  基金托管协议的内容摘要</w:t>
        </w:r>
        <w:r w:rsidR="000C2DB0">
          <w:rPr>
            <w:noProof/>
          </w:rPr>
          <w:tab/>
        </w:r>
        <w:r w:rsidR="00784773">
          <w:rPr>
            <w:noProof/>
          </w:rPr>
          <w:fldChar w:fldCharType="begin"/>
        </w:r>
        <w:r w:rsidR="00A829F8">
          <w:rPr>
            <w:noProof/>
          </w:rPr>
          <w:instrText xml:space="preserve"> PAGEREF _Toc31339 </w:instrText>
        </w:r>
        <w:r w:rsidR="00784773">
          <w:rPr>
            <w:noProof/>
          </w:rPr>
          <w:fldChar w:fldCharType="separate"/>
        </w:r>
        <w:r w:rsidR="00577ECC">
          <w:rPr>
            <w:noProof/>
          </w:rPr>
          <w:t>89</w:t>
        </w:r>
        <w:r w:rsidR="00784773">
          <w:rPr>
            <w:noProof/>
          </w:rPr>
          <w:fldChar w:fldCharType="end"/>
        </w:r>
      </w:hyperlink>
    </w:p>
    <w:p w14:paraId="5E97AAAC" w14:textId="77777777" w:rsidR="00D04107" w:rsidRDefault="0080003E">
      <w:pPr>
        <w:pStyle w:val="11"/>
        <w:tabs>
          <w:tab w:val="clear" w:pos="8630"/>
          <w:tab w:val="right" w:leader="dot" w:pos="8640"/>
        </w:tabs>
        <w:rPr>
          <w:noProof/>
        </w:rPr>
      </w:pPr>
      <w:hyperlink w:anchor="_Toc28110" w:history="1">
        <w:r w:rsidR="000C2DB0">
          <w:rPr>
            <w:rFonts w:ascii="宋体" w:hAnsi="宋体" w:hint="eastAsia"/>
            <w:noProof/>
            <w:kern w:val="0"/>
            <w:szCs w:val="24"/>
          </w:rPr>
          <w:t>第二十部分  对基金份额持有人的服务</w:t>
        </w:r>
        <w:r w:rsidR="000C2DB0">
          <w:rPr>
            <w:noProof/>
          </w:rPr>
          <w:tab/>
        </w:r>
        <w:r w:rsidR="00784773">
          <w:rPr>
            <w:noProof/>
          </w:rPr>
          <w:fldChar w:fldCharType="begin"/>
        </w:r>
        <w:r w:rsidR="00A829F8">
          <w:rPr>
            <w:noProof/>
          </w:rPr>
          <w:instrText xml:space="preserve"> PAGEREF _Toc28110 </w:instrText>
        </w:r>
        <w:r w:rsidR="00784773">
          <w:rPr>
            <w:noProof/>
          </w:rPr>
          <w:fldChar w:fldCharType="separate"/>
        </w:r>
        <w:r w:rsidR="00577ECC">
          <w:rPr>
            <w:noProof/>
          </w:rPr>
          <w:t>107</w:t>
        </w:r>
        <w:r w:rsidR="00784773">
          <w:rPr>
            <w:noProof/>
          </w:rPr>
          <w:fldChar w:fldCharType="end"/>
        </w:r>
      </w:hyperlink>
    </w:p>
    <w:p w14:paraId="7B7B719B" w14:textId="77777777" w:rsidR="00D04107" w:rsidRDefault="0080003E">
      <w:pPr>
        <w:pStyle w:val="11"/>
        <w:tabs>
          <w:tab w:val="clear" w:pos="8630"/>
          <w:tab w:val="right" w:leader="dot" w:pos="8640"/>
        </w:tabs>
        <w:rPr>
          <w:noProof/>
        </w:rPr>
      </w:pPr>
      <w:hyperlink w:anchor="_Toc32243" w:history="1">
        <w:r w:rsidR="000C2DB0">
          <w:rPr>
            <w:rFonts w:ascii="宋体" w:hAnsi="宋体" w:hint="eastAsia"/>
            <w:noProof/>
            <w:kern w:val="0"/>
            <w:szCs w:val="24"/>
          </w:rPr>
          <w:t>第二十一部分  其他应披露事项</w:t>
        </w:r>
        <w:r w:rsidR="000C2DB0">
          <w:rPr>
            <w:noProof/>
          </w:rPr>
          <w:tab/>
        </w:r>
        <w:r w:rsidR="00784773">
          <w:rPr>
            <w:noProof/>
          </w:rPr>
          <w:fldChar w:fldCharType="begin"/>
        </w:r>
        <w:r w:rsidR="00A829F8">
          <w:rPr>
            <w:noProof/>
          </w:rPr>
          <w:instrText xml:space="preserve"> PAGEREF _Toc32243 </w:instrText>
        </w:r>
        <w:r w:rsidR="00784773">
          <w:rPr>
            <w:noProof/>
          </w:rPr>
          <w:fldChar w:fldCharType="separate"/>
        </w:r>
        <w:r w:rsidR="00577ECC">
          <w:rPr>
            <w:noProof/>
          </w:rPr>
          <w:t>109</w:t>
        </w:r>
        <w:r w:rsidR="00784773">
          <w:rPr>
            <w:noProof/>
          </w:rPr>
          <w:fldChar w:fldCharType="end"/>
        </w:r>
      </w:hyperlink>
    </w:p>
    <w:p w14:paraId="49C24171" w14:textId="77777777" w:rsidR="00D04107" w:rsidRDefault="0080003E">
      <w:pPr>
        <w:pStyle w:val="11"/>
        <w:tabs>
          <w:tab w:val="clear" w:pos="8630"/>
          <w:tab w:val="right" w:leader="dot" w:pos="8640"/>
        </w:tabs>
        <w:rPr>
          <w:noProof/>
        </w:rPr>
      </w:pPr>
      <w:hyperlink w:anchor="_Toc31436" w:history="1">
        <w:r w:rsidR="000C2DB0">
          <w:rPr>
            <w:rFonts w:ascii="宋体" w:hAnsi="宋体" w:hint="eastAsia"/>
            <w:noProof/>
            <w:kern w:val="0"/>
            <w:szCs w:val="24"/>
          </w:rPr>
          <w:t>第二十二部分</w:t>
        </w:r>
        <w:r w:rsidR="000C2DB0">
          <w:rPr>
            <w:rFonts w:ascii="宋体" w:hAnsi="宋体"/>
            <w:noProof/>
            <w:kern w:val="0"/>
            <w:szCs w:val="24"/>
          </w:rPr>
          <w:t xml:space="preserve">  </w:t>
        </w:r>
        <w:r w:rsidR="000C2DB0">
          <w:rPr>
            <w:rFonts w:ascii="宋体" w:hAnsi="宋体" w:hint="eastAsia"/>
            <w:noProof/>
            <w:kern w:val="0"/>
            <w:szCs w:val="24"/>
          </w:rPr>
          <w:t>招募说明书存放及查阅方式</w:t>
        </w:r>
        <w:r w:rsidR="000C2DB0">
          <w:rPr>
            <w:noProof/>
          </w:rPr>
          <w:tab/>
        </w:r>
        <w:r w:rsidR="00784773">
          <w:rPr>
            <w:noProof/>
          </w:rPr>
          <w:fldChar w:fldCharType="begin"/>
        </w:r>
        <w:r w:rsidR="00A829F8">
          <w:rPr>
            <w:noProof/>
          </w:rPr>
          <w:instrText xml:space="preserve"> PAGEREF _Toc31436 </w:instrText>
        </w:r>
        <w:r w:rsidR="00784773">
          <w:rPr>
            <w:noProof/>
          </w:rPr>
          <w:fldChar w:fldCharType="separate"/>
        </w:r>
        <w:r w:rsidR="00577ECC">
          <w:rPr>
            <w:noProof/>
          </w:rPr>
          <w:t>111</w:t>
        </w:r>
        <w:r w:rsidR="00784773">
          <w:rPr>
            <w:noProof/>
          </w:rPr>
          <w:fldChar w:fldCharType="end"/>
        </w:r>
      </w:hyperlink>
    </w:p>
    <w:p w14:paraId="3C5568E3" w14:textId="77777777" w:rsidR="00D04107" w:rsidRDefault="0080003E">
      <w:pPr>
        <w:pStyle w:val="11"/>
        <w:tabs>
          <w:tab w:val="clear" w:pos="8630"/>
          <w:tab w:val="right" w:leader="dot" w:pos="8640"/>
        </w:tabs>
        <w:rPr>
          <w:noProof/>
        </w:rPr>
      </w:pPr>
      <w:hyperlink w:anchor="_Toc30681" w:history="1">
        <w:r w:rsidR="000C2DB0">
          <w:rPr>
            <w:rFonts w:ascii="宋体" w:hAnsi="宋体" w:hint="eastAsia"/>
            <w:noProof/>
            <w:kern w:val="0"/>
            <w:szCs w:val="24"/>
          </w:rPr>
          <w:t>第二十三部分</w:t>
        </w:r>
        <w:r w:rsidR="000C2DB0">
          <w:rPr>
            <w:rFonts w:ascii="宋体" w:hAnsi="宋体"/>
            <w:noProof/>
            <w:kern w:val="0"/>
            <w:szCs w:val="24"/>
          </w:rPr>
          <w:t xml:space="preserve">  </w:t>
        </w:r>
        <w:r w:rsidR="000C2DB0">
          <w:rPr>
            <w:rFonts w:ascii="宋体" w:hAnsi="宋体" w:hint="eastAsia"/>
            <w:noProof/>
            <w:kern w:val="0"/>
            <w:szCs w:val="24"/>
          </w:rPr>
          <w:t>备查文件</w:t>
        </w:r>
        <w:r w:rsidR="000C2DB0">
          <w:rPr>
            <w:noProof/>
          </w:rPr>
          <w:tab/>
        </w:r>
        <w:r w:rsidR="00784773">
          <w:rPr>
            <w:noProof/>
          </w:rPr>
          <w:fldChar w:fldCharType="begin"/>
        </w:r>
        <w:r w:rsidR="00A829F8">
          <w:rPr>
            <w:noProof/>
          </w:rPr>
          <w:instrText xml:space="preserve"> PAGEREF _Toc30681 </w:instrText>
        </w:r>
        <w:r w:rsidR="00784773">
          <w:rPr>
            <w:noProof/>
          </w:rPr>
          <w:fldChar w:fldCharType="separate"/>
        </w:r>
        <w:r w:rsidR="00577ECC">
          <w:rPr>
            <w:noProof/>
          </w:rPr>
          <w:t>112</w:t>
        </w:r>
        <w:r w:rsidR="00784773">
          <w:rPr>
            <w:noProof/>
          </w:rPr>
          <w:fldChar w:fldCharType="end"/>
        </w:r>
      </w:hyperlink>
    </w:p>
    <w:p w14:paraId="33A5A854" w14:textId="77777777" w:rsidR="00D04107" w:rsidRDefault="00784773">
      <w:pPr>
        <w:pStyle w:val="1"/>
        <w:spacing w:line="360" w:lineRule="auto"/>
        <w:jc w:val="center"/>
        <w:rPr>
          <w:rFonts w:ascii="宋体" w:hAnsi="宋体"/>
          <w:color w:val="000000"/>
          <w:kern w:val="0"/>
          <w:sz w:val="24"/>
          <w:szCs w:val="24"/>
        </w:rPr>
      </w:pPr>
      <w:r>
        <w:rPr>
          <w:b w:val="0"/>
          <w:bCs w:val="0"/>
          <w:color w:val="0D0D0D"/>
          <w:sz w:val="22"/>
          <w:szCs w:val="22"/>
        </w:rPr>
        <w:fldChar w:fldCharType="end"/>
      </w:r>
      <w:bookmarkStart w:id="2" w:name="_Toc24615"/>
      <w:bookmarkStart w:id="3" w:name="_Toc28809"/>
      <w:r w:rsidR="000C2DB0">
        <w:rPr>
          <w:rFonts w:ascii="宋体" w:hAnsi="宋体"/>
          <w:b w:val="0"/>
          <w:color w:val="000000"/>
          <w:sz w:val="24"/>
        </w:rPr>
        <w:br w:type="page"/>
      </w:r>
      <w:bookmarkStart w:id="4" w:name="_Toc256666910"/>
      <w:bookmarkStart w:id="5" w:name="_Toc482624789"/>
      <w:bookmarkStart w:id="6" w:name="_Toc256666782"/>
      <w:r w:rsidR="000C2DB0">
        <w:rPr>
          <w:rFonts w:ascii="宋体" w:hAnsi="宋体" w:hint="eastAsia"/>
          <w:color w:val="000000"/>
          <w:kern w:val="0"/>
          <w:sz w:val="24"/>
          <w:szCs w:val="24"/>
        </w:rPr>
        <w:lastRenderedPageBreak/>
        <w:t>第一部分  绪言</w:t>
      </w:r>
      <w:bookmarkEnd w:id="2"/>
      <w:bookmarkEnd w:id="3"/>
      <w:bookmarkEnd w:id="4"/>
      <w:bookmarkEnd w:id="5"/>
      <w:bookmarkEnd w:id="6"/>
    </w:p>
    <w:p w14:paraId="75376C8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hint="eastAsia"/>
          <w:bCs/>
          <w:sz w:val="24"/>
        </w:rPr>
        <w:t>富荣货币市场基金</w:t>
      </w:r>
      <w:r>
        <w:rPr>
          <w:rFonts w:ascii="宋体" w:hAnsi="宋体" w:hint="eastAsia"/>
          <w:color w:val="000000"/>
          <w:kern w:val="0"/>
          <w:sz w:val="24"/>
        </w:rPr>
        <w:t>招募说明书》（以下简称“本招募说明书”）依据《中华人民共和国证券投资基金法》（以下简称“《基金法》</w:t>
      </w:r>
      <w:r>
        <w:rPr>
          <w:rFonts w:ascii="宋体" w:hAnsi="宋体"/>
          <w:color w:val="000000"/>
          <w:kern w:val="0"/>
          <w:sz w:val="24"/>
        </w:rPr>
        <w:t>”</w:t>
      </w:r>
      <w:r>
        <w:rPr>
          <w:rFonts w:ascii="宋体" w:hAnsi="宋体" w:hint="eastAsia"/>
          <w:color w:val="000000"/>
          <w:kern w:val="0"/>
          <w:sz w:val="24"/>
        </w:rPr>
        <w:t>）、《公开募集证券投资基金运作管理办法》（以下简称“《运作办法》”）、《证券投资基金销售管理办法》（以下简称“《销售办法》”）、《证券投资基金信息披露管理办法》（以下简称“《信息披露办法》”）、</w:t>
      </w:r>
      <w:r>
        <w:rPr>
          <w:rFonts w:ascii="宋体" w:hAnsi="宋体"/>
          <w:color w:val="000000"/>
          <w:kern w:val="0"/>
          <w:sz w:val="24"/>
        </w:rPr>
        <w:t>《</w:t>
      </w:r>
      <w:r>
        <w:rPr>
          <w:rFonts w:ascii="宋体" w:hAnsi="宋体" w:hint="eastAsia"/>
          <w:color w:val="000000"/>
          <w:kern w:val="0"/>
          <w:sz w:val="24"/>
        </w:rPr>
        <w:t>货币市场</w:t>
      </w:r>
      <w:r>
        <w:rPr>
          <w:rFonts w:ascii="宋体" w:hAnsi="宋体"/>
          <w:color w:val="000000"/>
          <w:kern w:val="0"/>
          <w:sz w:val="24"/>
        </w:rPr>
        <w:t>基金监督管理办法》</w:t>
      </w:r>
      <w:r>
        <w:rPr>
          <w:rFonts w:ascii="宋体" w:hAnsi="宋体" w:hint="eastAsia"/>
          <w:color w:val="000000"/>
          <w:kern w:val="0"/>
          <w:sz w:val="24"/>
        </w:rPr>
        <w:t>、</w:t>
      </w:r>
      <w:r>
        <w:rPr>
          <w:rFonts w:ascii="宋体" w:hAnsi="宋体"/>
          <w:color w:val="000000"/>
          <w:kern w:val="0"/>
          <w:sz w:val="24"/>
        </w:rPr>
        <w:t>《</w:t>
      </w:r>
      <w:r>
        <w:rPr>
          <w:rFonts w:ascii="宋体" w:hAnsi="宋体" w:hint="eastAsia"/>
          <w:color w:val="000000"/>
          <w:kern w:val="0"/>
          <w:sz w:val="24"/>
        </w:rPr>
        <w:t>关于</w:t>
      </w:r>
      <w:r>
        <w:rPr>
          <w:rFonts w:ascii="宋体" w:hAnsi="宋体"/>
          <w:color w:val="000000"/>
          <w:kern w:val="0"/>
          <w:sz w:val="24"/>
        </w:rPr>
        <w:t>实施</w:t>
      </w:r>
      <w:r>
        <w:rPr>
          <w:rFonts w:ascii="宋体" w:hAnsi="宋体" w:hint="eastAsia"/>
          <w:color w:val="000000"/>
          <w:kern w:val="0"/>
          <w:sz w:val="24"/>
        </w:rPr>
        <w:t>&lt;货币</w:t>
      </w:r>
      <w:r>
        <w:rPr>
          <w:rFonts w:ascii="宋体" w:hAnsi="宋体"/>
          <w:color w:val="000000"/>
          <w:kern w:val="0"/>
          <w:sz w:val="24"/>
        </w:rPr>
        <w:t>市场基金监督管理办法</w:t>
      </w:r>
      <w:r>
        <w:rPr>
          <w:rFonts w:ascii="宋体" w:hAnsi="宋体" w:hint="eastAsia"/>
          <w:color w:val="000000"/>
          <w:kern w:val="0"/>
          <w:sz w:val="24"/>
        </w:rPr>
        <w:t>&gt;有关问题</w:t>
      </w:r>
      <w:r>
        <w:rPr>
          <w:rFonts w:ascii="宋体" w:hAnsi="宋体"/>
          <w:color w:val="000000"/>
          <w:kern w:val="0"/>
          <w:sz w:val="24"/>
        </w:rPr>
        <w:t>的规定》</w:t>
      </w:r>
      <w:r>
        <w:rPr>
          <w:rFonts w:ascii="宋体" w:hAnsi="宋体" w:hint="eastAsia"/>
          <w:color w:val="000000"/>
          <w:kern w:val="0"/>
          <w:sz w:val="24"/>
        </w:rPr>
        <w:t>、</w:t>
      </w:r>
      <w:r w:rsidR="006E410B" w:rsidRPr="006E410B">
        <w:rPr>
          <w:rFonts w:hint="eastAsia"/>
          <w:kern w:val="0"/>
          <w:sz w:val="24"/>
        </w:rPr>
        <w:t>《公开募集开放式证券投资基金流动性风险管理规定》</w:t>
      </w:r>
      <w:r w:rsidR="006E410B" w:rsidRPr="006E410B">
        <w:rPr>
          <w:kern w:val="0"/>
          <w:sz w:val="24"/>
        </w:rPr>
        <w:t>(</w:t>
      </w:r>
      <w:r w:rsidR="006E410B" w:rsidRPr="006E410B">
        <w:rPr>
          <w:rFonts w:hint="eastAsia"/>
          <w:kern w:val="0"/>
          <w:sz w:val="24"/>
        </w:rPr>
        <w:t>以下简称“《流动性风险管理规定》</w:t>
      </w:r>
      <w:r w:rsidR="006E410B">
        <w:rPr>
          <w:rFonts w:hint="eastAsia"/>
          <w:kern w:val="0"/>
        </w:rPr>
        <w:t>”</w:t>
      </w:r>
      <w:r w:rsidR="006E410B">
        <w:rPr>
          <w:kern w:val="0"/>
        </w:rPr>
        <w:t>)</w:t>
      </w:r>
      <w:r w:rsidR="006E410B">
        <w:rPr>
          <w:rFonts w:hint="eastAsia"/>
          <w:kern w:val="0"/>
        </w:rPr>
        <w:t>、</w:t>
      </w:r>
      <w:r>
        <w:rPr>
          <w:rFonts w:ascii="宋体" w:hAnsi="宋体"/>
          <w:color w:val="000000"/>
          <w:kern w:val="0"/>
          <w:sz w:val="24"/>
        </w:rPr>
        <w:t>《</w:t>
      </w:r>
      <w:r>
        <w:rPr>
          <w:rFonts w:ascii="宋体" w:hAnsi="宋体" w:hint="eastAsia"/>
          <w:color w:val="000000"/>
          <w:kern w:val="0"/>
          <w:sz w:val="24"/>
        </w:rPr>
        <w:t>证券</w:t>
      </w:r>
      <w:r>
        <w:rPr>
          <w:rFonts w:ascii="宋体" w:hAnsi="宋体"/>
          <w:color w:val="000000"/>
          <w:kern w:val="0"/>
          <w:sz w:val="24"/>
        </w:rPr>
        <w:t>投资基金信息披露编报规则第</w:t>
      </w:r>
      <w:r>
        <w:rPr>
          <w:rFonts w:ascii="宋体" w:hAnsi="宋体" w:hint="eastAsia"/>
          <w:color w:val="000000"/>
          <w:kern w:val="0"/>
          <w:sz w:val="24"/>
        </w:rPr>
        <w:t>5号&lt;货币市场</w:t>
      </w:r>
      <w:r>
        <w:rPr>
          <w:rFonts w:ascii="宋体" w:hAnsi="宋体"/>
          <w:color w:val="000000"/>
          <w:kern w:val="0"/>
          <w:sz w:val="24"/>
        </w:rPr>
        <w:t>基金信息披露特别规定</w:t>
      </w:r>
      <w:r>
        <w:rPr>
          <w:rFonts w:ascii="宋体" w:hAnsi="宋体" w:hint="eastAsia"/>
          <w:color w:val="000000"/>
          <w:kern w:val="0"/>
          <w:sz w:val="24"/>
        </w:rPr>
        <w:t>&gt;</w:t>
      </w:r>
      <w:r>
        <w:rPr>
          <w:rFonts w:ascii="宋体" w:hAnsi="宋体"/>
          <w:color w:val="000000"/>
          <w:kern w:val="0"/>
          <w:sz w:val="24"/>
        </w:rPr>
        <w:t>》</w:t>
      </w:r>
      <w:r>
        <w:rPr>
          <w:rFonts w:ascii="宋体" w:hAnsi="宋体" w:hint="eastAsia"/>
          <w:color w:val="000000"/>
          <w:kern w:val="0"/>
          <w:sz w:val="24"/>
        </w:rPr>
        <w:t>和其他有关法律法规及《</w:t>
      </w:r>
      <w:r>
        <w:rPr>
          <w:rFonts w:hint="eastAsia"/>
          <w:bCs/>
          <w:sz w:val="24"/>
        </w:rPr>
        <w:t>富荣货币市场基金</w:t>
      </w:r>
      <w:r>
        <w:rPr>
          <w:rFonts w:ascii="宋体" w:hAnsi="宋体" w:hint="eastAsia"/>
          <w:color w:val="000000"/>
          <w:kern w:val="0"/>
          <w:sz w:val="24"/>
        </w:rPr>
        <w:t>基金合同》（以下简称“《基金合同》”）编写。</w:t>
      </w:r>
    </w:p>
    <w:p w14:paraId="6A4AE1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本招募说明书阐述了</w:t>
      </w:r>
      <w:r>
        <w:rPr>
          <w:rFonts w:hint="eastAsia"/>
          <w:bCs/>
          <w:sz w:val="24"/>
        </w:rPr>
        <w:t>富荣货币市场基金</w:t>
      </w:r>
      <w:r>
        <w:rPr>
          <w:rFonts w:ascii="宋体" w:hAnsi="宋体" w:hint="eastAsia"/>
          <w:color w:val="000000"/>
          <w:kern w:val="0"/>
          <w:sz w:val="24"/>
        </w:rPr>
        <w:t>的投资目标、策略、风险、费率等与投资者投资决策有关的全部必要事项，投资者在作出投资决策前应仔细阅读本招募说明书。</w:t>
      </w:r>
    </w:p>
    <w:p w14:paraId="55ACE09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本基金管理人承诺本招募说明书不存在任何虚假记载、误导性陈述或重大遗漏，并对其真实性、准确性、完整性承担法律责任。</w:t>
      </w:r>
    </w:p>
    <w:p w14:paraId="64312D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根据本招募说明书所载明资料申请募集。本招募说明书由富荣基金管理有限公司解释。本基金管理人没有委托或授权任何其他人提供未在本招募说明书中载明的信息，或对本招募说明书作出任何解释或者说明。</w:t>
      </w:r>
    </w:p>
    <w:p w14:paraId="4DA541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本招募说明书依据《基金合同》编写，并经中国证券</w:t>
      </w:r>
      <w:r>
        <w:rPr>
          <w:rFonts w:ascii="宋体" w:hAnsi="宋体"/>
          <w:color w:val="000000"/>
          <w:kern w:val="0"/>
          <w:sz w:val="24"/>
        </w:rPr>
        <w:t>监督管理委员会（以下简称“</w:t>
      </w:r>
      <w:r>
        <w:rPr>
          <w:rFonts w:ascii="宋体" w:hAnsi="宋体" w:hint="eastAsia"/>
          <w:color w:val="000000"/>
          <w:kern w:val="0"/>
          <w:sz w:val="24"/>
        </w:rPr>
        <w:t>中国</w:t>
      </w:r>
      <w:r>
        <w:rPr>
          <w:rFonts w:ascii="宋体" w:hAnsi="宋体"/>
          <w:color w:val="000000"/>
          <w:kern w:val="0"/>
          <w:sz w:val="24"/>
        </w:rPr>
        <w:t>证监会”</w:t>
      </w:r>
      <w:r>
        <w:rPr>
          <w:rFonts w:ascii="宋体" w:hAnsi="宋体" w:hint="eastAsia"/>
          <w:color w:val="000000"/>
          <w:kern w:val="0"/>
          <w:sz w:val="24"/>
        </w:rPr>
        <w:t>）</w:t>
      </w:r>
      <w:r>
        <w:rPr>
          <w:rFonts w:ascii="宋体" w:hAnsi="宋体"/>
          <w:color w:val="000000"/>
          <w:kern w:val="0"/>
          <w:sz w:val="24"/>
        </w:rPr>
        <w:t>注册</w:t>
      </w:r>
      <w:r>
        <w:rPr>
          <w:rFonts w:ascii="宋体" w:hAnsi="宋体" w:hint="eastAsia"/>
          <w:color w:val="000000"/>
          <w:kern w:val="0"/>
          <w:sz w:val="24"/>
        </w:rPr>
        <w:t>。《基金合同》是约定《基金合同》当事人之间权利、义务的法律文件。投资者自依《基金合同》取得基金份额，即成为基金份额持有人和《基金合同》的当事人，其持有基金份额的行为本身即表明其对《基金合同》的承认和接受，并按照《基金法》、《基金合同》及其他有关规定享有权利、承担义务，投资者欲了解基金份额持有人的权利和义务，应详细查阅《基金合同》。</w:t>
      </w:r>
    </w:p>
    <w:p w14:paraId="57D5EA08" w14:textId="77777777" w:rsidR="00D04107" w:rsidRDefault="00D04107">
      <w:pPr>
        <w:spacing w:line="360" w:lineRule="auto"/>
        <w:ind w:firstLineChars="200" w:firstLine="480"/>
        <w:rPr>
          <w:rFonts w:ascii="宋体" w:hAnsi="宋体"/>
          <w:color w:val="000000"/>
          <w:kern w:val="0"/>
          <w:sz w:val="24"/>
        </w:rPr>
      </w:pPr>
    </w:p>
    <w:p w14:paraId="448020BA"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7" w:name="_Toc256666911"/>
      <w:bookmarkStart w:id="8" w:name="_Toc28826"/>
      <w:bookmarkStart w:id="9" w:name="_Toc482624790"/>
      <w:bookmarkStart w:id="10" w:name="_Toc20158"/>
      <w:bookmarkStart w:id="11" w:name="_Toc256666783"/>
      <w:r>
        <w:rPr>
          <w:rFonts w:ascii="宋体" w:hAnsi="宋体" w:hint="eastAsia"/>
          <w:color w:val="000000"/>
          <w:kern w:val="0"/>
          <w:sz w:val="24"/>
          <w:szCs w:val="24"/>
        </w:rPr>
        <w:lastRenderedPageBreak/>
        <w:t>第二部分  释义</w:t>
      </w:r>
      <w:bookmarkEnd w:id="7"/>
      <w:bookmarkEnd w:id="8"/>
      <w:bookmarkEnd w:id="9"/>
      <w:bookmarkEnd w:id="10"/>
      <w:bookmarkEnd w:id="11"/>
    </w:p>
    <w:p w14:paraId="027468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本招募说明书中除非文意另有所指，下列词语具有如下含义：</w:t>
      </w:r>
    </w:p>
    <w:p w14:paraId="46C7699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基金或本基金</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p>
    <w:p w14:paraId="6B2AED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基金管理人：指</w:t>
      </w:r>
      <w:r>
        <w:rPr>
          <w:rFonts w:ascii="宋体" w:hAnsi="宋体" w:hint="eastAsia"/>
          <w:color w:val="000000"/>
          <w:kern w:val="0"/>
          <w:sz w:val="24"/>
        </w:rPr>
        <w:t>富荣基金管理有限公司</w:t>
      </w:r>
    </w:p>
    <w:p w14:paraId="68F9313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基金托管人：指</w:t>
      </w:r>
      <w:r>
        <w:rPr>
          <w:rFonts w:ascii="宋体" w:hAnsi="宋体" w:hint="eastAsia"/>
          <w:color w:val="000000"/>
          <w:kern w:val="0"/>
          <w:sz w:val="24"/>
        </w:rPr>
        <w:t>中国光大银行股份有限公司</w:t>
      </w:r>
    </w:p>
    <w:p w14:paraId="3AE111D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基金合同：指《富荣货币市场基金基金合同》及对基金合同的任何有效修订和补充</w:t>
      </w:r>
    </w:p>
    <w:p w14:paraId="67758A2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托管协议</w:t>
      </w:r>
      <w:r>
        <w:rPr>
          <w:rFonts w:ascii="宋体" w:hAnsi="宋体" w:hint="eastAsia"/>
          <w:color w:val="000000"/>
          <w:kern w:val="0"/>
          <w:sz w:val="24"/>
        </w:rPr>
        <w:t>：</w:t>
      </w:r>
      <w:r>
        <w:rPr>
          <w:rFonts w:ascii="宋体" w:hAnsi="宋体"/>
          <w:color w:val="000000"/>
          <w:kern w:val="0"/>
          <w:sz w:val="24"/>
        </w:rPr>
        <w:t>指基金管理人与基金托管人就本基金签订之《</w:t>
      </w:r>
      <w:r>
        <w:rPr>
          <w:rFonts w:hint="eastAsia"/>
          <w:bCs/>
          <w:sz w:val="24"/>
        </w:rPr>
        <w:t>富荣货币市场基金</w:t>
      </w:r>
      <w:r>
        <w:rPr>
          <w:rFonts w:ascii="宋体" w:hAnsi="宋体"/>
          <w:color w:val="000000"/>
          <w:kern w:val="0"/>
          <w:sz w:val="24"/>
        </w:rPr>
        <w:t>托管协议》及对该</w:t>
      </w:r>
      <w:r>
        <w:rPr>
          <w:rFonts w:ascii="宋体" w:hAnsi="宋体" w:hint="eastAsia"/>
          <w:color w:val="000000"/>
          <w:kern w:val="0"/>
          <w:sz w:val="24"/>
        </w:rPr>
        <w:t>托管</w:t>
      </w:r>
      <w:r>
        <w:rPr>
          <w:rFonts w:ascii="宋体" w:hAnsi="宋体"/>
          <w:color w:val="000000"/>
          <w:kern w:val="0"/>
          <w:sz w:val="24"/>
        </w:rPr>
        <w:t>协议的任何有效修订和补充</w:t>
      </w:r>
    </w:p>
    <w:p w14:paraId="234173A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招募说明书</w:t>
      </w:r>
      <w:r>
        <w:rPr>
          <w:rFonts w:ascii="宋体" w:hAnsi="宋体" w:hint="eastAsia"/>
          <w:color w:val="000000"/>
          <w:kern w:val="0"/>
          <w:sz w:val="24"/>
        </w:rPr>
        <w:t>或本招募说明书：</w:t>
      </w:r>
      <w:r>
        <w:rPr>
          <w:rFonts w:ascii="宋体" w:hAnsi="宋体"/>
          <w:color w:val="000000"/>
          <w:kern w:val="0"/>
          <w:sz w:val="24"/>
        </w:rPr>
        <w:t>指《</w:t>
      </w:r>
      <w:r>
        <w:rPr>
          <w:rFonts w:hint="eastAsia"/>
          <w:bCs/>
          <w:sz w:val="24"/>
        </w:rPr>
        <w:t>富荣货币市场基金</w:t>
      </w:r>
      <w:r>
        <w:rPr>
          <w:rFonts w:ascii="宋体" w:hAnsi="宋体"/>
          <w:color w:val="000000"/>
          <w:kern w:val="0"/>
          <w:sz w:val="24"/>
        </w:rPr>
        <w:t>招募说明书》</w:t>
      </w:r>
      <w:r>
        <w:rPr>
          <w:rFonts w:ascii="宋体" w:hAnsi="宋体" w:hint="eastAsia"/>
          <w:color w:val="000000"/>
          <w:kern w:val="0"/>
          <w:sz w:val="24"/>
        </w:rPr>
        <w:t>及其定期的更新</w:t>
      </w:r>
    </w:p>
    <w:p w14:paraId="20FE88B7" w14:textId="77777777" w:rsidR="00D04107" w:rsidRDefault="000C2DB0">
      <w:pPr>
        <w:numPr>
          <w:ilvl w:val="0"/>
          <w:numId w:val="3"/>
        </w:numPr>
        <w:spacing w:line="360" w:lineRule="auto"/>
        <w:ind w:left="0" w:firstLine="426"/>
        <w:rPr>
          <w:rFonts w:ascii="宋体" w:hAnsi="宋体"/>
          <w:color w:val="000000"/>
          <w:kern w:val="0"/>
          <w:sz w:val="24"/>
          <w:shd w:val="clear" w:color="FFFFFF" w:fill="D9D9D9"/>
        </w:rPr>
      </w:pPr>
      <w:r>
        <w:rPr>
          <w:rFonts w:ascii="宋体" w:hAnsi="宋体"/>
          <w:color w:val="000000"/>
          <w:kern w:val="0"/>
          <w:sz w:val="24"/>
        </w:rPr>
        <w:t>基金份额发售公告</w:t>
      </w:r>
      <w:r>
        <w:rPr>
          <w:rFonts w:ascii="宋体" w:hAnsi="宋体" w:hint="eastAsia"/>
          <w:color w:val="000000"/>
          <w:kern w:val="0"/>
          <w:sz w:val="24"/>
        </w:rPr>
        <w:t>：</w:t>
      </w:r>
      <w:r>
        <w:rPr>
          <w:rFonts w:ascii="宋体" w:hAnsi="宋体"/>
          <w:color w:val="000000"/>
          <w:kern w:val="0"/>
          <w:sz w:val="24"/>
        </w:rPr>
        <w:t>指《</w:t>
      </w:r>
      <w:r>
        <w:rPr>
          <w:rFonts w:hint="eastAsia"/>
          <w:bCs/>
          <w:sz w:val="24"/>
        </w:rPr>
        <w:t>富荣货币市场基金</w:t>
      </w:r>
      <w:r>
        <w:rPr>
          <w:rFonts w:ascii="宋体" w:hAnsi="宋体" w:hint="eastAsia"/>
          <w:color w:val="000000"/>
          <w:kern w:val="0"/>
          <w:sz w:val="24"/>
        </w:rPr>
        <w:t>基金</w:t>
      </w:r>
      <w:r>
        <w:rPr>
          <w:rFonts w:ascii="宋体" w:hAnsi="宋体"/>
          <w:color w:val="000000"/>
          <w:kern w:val="0"/>
          <w:sz w:val="24"/>
        </w:rPr>
        <w:t>份额发售公告》</w:t>
      </w:r>
    </w:p>
    <w:p w14:paraId="5FCF8D0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法律法规</w:t>
      </w:r>
      <w:r>
        <w:rPr>
          <w:rFonts w:ascii="宋体" w:hAnsi="宋体" w:hint="eastAsia"/>
          <w:color w:val="000000"/>
          <w:kern w:val="0"/>
          <w:sz w:val="24"/>
        </w:rPr>
        <w:t>：</w:t>
      </w:r>
      <w:r>
        <w:rPr>
          <w:rFonts w:ascii="宋体" w:hAnsi="宋体"/>
          <w:bCs/>
          <w:color w:val="000000"/>
          <w:kern w:val="0"/>
          <w:sz w:val="24"/>
        </w:rPr>
        <w:t>指中国现行有效并公布实施的法律、行政法规、规范性文件、司法解释、行政规章以及其他对基金合同当事人有约束力的决定、决议、通知等</w:t>
      </w:r>
    </w:p>
    <w:p w14:paraId="38630AE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法》：指2003年10月28日第十届全国人民代表大会常务委员会第五次会议通过，经2012年12月28日第十一届全国人民代表大会常务委员会第三十次会议修订，自2013年6月1日起实施并经2015年4月24日第十二届全国人民代表大会常务委员会第十四次会议《全国人民代表大会常务委员会关于修改〈中华人民共和国港口法&gt;等七部法律的决定》修改的《中华人民共和国证券投资基金法》及颁布机关对其不时做出的修订</w:t>
      </w:r>
    </w:p>
    <w:p w14:paraId="4AA54DC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《销售办法》：指中国证监会2013年3月15日颁布，同年6月1日起实施的《证券投资基金销售管理办法》及颁布机关对其不时做出的修订</w:t>
      </w:r>
    </w:p>
    <w:p w14:paraId="42A6992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《信息披露办法》：指</w:t>
      </w:r>
      <w:r>
        <w:rPr>
          <w:rFonts w:ascii="宋体" w:hAnsi="宋体" w:hint="eastAsia"/>
          <w:color w:val="000000"/>
          <w:kern w:val="0"/>
          <w:sz w:val="24"/>
        </w:rPr>
        <w:t>中国证监会2004年6月8日颁布、同年7月1日实施的</w:t>
      </w:r>
      <w:r>
        <w:rPr>
          <w:rFonts w:ascii="宋体" w:hAnsi="宋体"/>
          <w:color w:val="000000"/>
          <w:kern w:val="0"/>
          <w:sz w:val="24"/>
        </w:rPr>
        <w:t>《证券投资基金信息披露管理办法》</w:t>
      </w:r>
      <w:r>
        <w:rPr>
          <w:rFonts w:ascii="宋体" w:hAnsi="宋体" w:hint="eastAsia"/>
          <w:color w:val="000000"/>
          <w:kern w:val="0"/>
          <w:sz w:val="24"/>
        </w:rPr>
        <w:t>及颁布机关对其不时做出的修订</w:t>
      </w:r>
    </w:p>
    <w:p w14:paraId="0C4F1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《运作办法》</w:t>
      </w:r>
      <w:r>
        <w:rPr>
          <w:rFonts w:ascii="宋体" w:hAnsi="宋体" w:hint="eastAsia"/>
          <w:color w:val="000000"/>
          <w:kern w:val="0"/>
          <w:sz w:val="24"/>
        </w:rPr>
        <w:t>：指中国证监会2014年7月7日颁布、同年8月8日实施的《公开募集证券投资基金运作管理办法》及颁布机关对其不时做出的修订</w:t>
      </w:r>
    </w:p>
    <w:p w14:paraId="51048475" w14:textId="77777777" w:rsidR="006E410B" w:rsidRPr="006E410B" w:rsidRDefault="006E410B">
      <w:pPr>
        <w:numPr>
          <w:ilvl w:val="0"/>
          <w:numId w:val="3"/>
        </w:numPr>
        <w:spacing w:line="360" w:lineRule="auto"/>
        <w:ind w:left="0" w:firstLine="426"/>
        <w:rPr>
          <w:rFonts w:ascii="宋体" w:hAnsi="宋体"/>
          <w:color w:val="000000"/>
          <w:kern w:val="0"/>
          <w:sz w:val="24"/>
        </w:rPr>
      </w:pPr>
      <w:r w:rsidRPr="006E410B">
        <w:rPr>
          <w:rFonts w:hint="eastAsia"/>
          <w:kern w:val="0"/>
          <w:sz w:val="24"/>
        </w:rPr>
        <w:t>《流动性风险规定》：指中国证监会</w:t>
      </w:r>
      <w:r w:rsidRPr="006E410B">
        <w:rPr>
          <w:kern w:val="0"/>
          <w:sz w:val="24"/>
        </w:rPr>
        <w:t>2017</w:t>
      </w:r>
      <w:r w:rsidRPr="006E410B">
        <w:rPr>
          <w:rFonts w:hint="eastAsia"/>
          <w:kern w:val="0"/>
          <w:sz w:val="24"/>
        </w:rPr>
        <w:t>年</w:t>
      </w:r>
      <w:r w:rsidRPr="006E410B">
        <w:rPr>
          <w:kern w:val="0"/>
          <w:sz w:val="24"/>
        </w:rPr>
        <w:t>8</w:t>
      </w:r>
      <w:r w:rsidRPr="006E410B">
        <w:rPr>
          <w:rFonts w:hint="eastAsia"/>
          <w:kern w:val="0"/>
          <w:sz w:val="24"/>
        </w:rPr>
        <w:t>月</w:t>
      </w:r>
      <w:r w:rsidRPr="006E410B">
        <w:rPr>
          <w:kern w:val="0"/>
          <w:sz w:val="24"/>
        </w:rPr>
        <w:t>31</w:t>
      </w:r>
      <w:r w:rsidRPr="006E410B">
        <w:rPr>
          <w:rFonts w:hint="eastAsia"/>
          <w:kern w:val="0"/>
          <w:sz w:val="24"/>
        </w:rPr>
        <w:t>日颁布、同年</w:t>
      </w:r>
      <w:r w:rsidRPr="006E410B">
        <w:rPr>
          <w:kern w:val="0"/>
          <w:sz w:val="24"/>
        </w:rPr>
        <w:t>10</w:t>
      </w:r>
      <w:r w:rsidRPr="006E410B">
        <w:rPr>
          <w:rFonts w:hint="eastAsia"/>
          <w:kern w:val="0"/>
          <w:sz w:val="24"/>
        </w:rPr>
        <w:t>月</w:t>
      </w:r>
      <w:r w:rsidRPr="006E410B">
        <w:rPr>
          <w:kern w:val="0"/>
          <w:sz w:val="24"/>
        </w:rPr>
        <w:lastRenderedPageBreak/>
        <w:t>1</w:t>
      </w:r>
      <w:r w:rsidRPr="006E410B">
        <w:rPr>
          <w:rFonts w:hint="eastAsia"/>
          <w:kern w:val="0"/>
          <w:sz w:val="24"/>
        </w:rPr>
        <w:t>日起实施的《公开募集开放式证券投资基金流动性风险管理规定》及颁布机关对其不时做出的修订</w:t>
      </w:r>
    </w:p>
    <w:p w14:paraId="355A69A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中国证监会</w:t>
      </w:r>
      <w:r>
        <w:rPr>
          <w:rFonts w:ascii="宋体" w:hAnsi="宋体" w:hint="eastAsia"/>
          <w:color w:val="000000"/>
          <w:kern w:val="0"/>
          <w:sz w:val="24"/>
        </w:rPr>
        <w:t>：</w:t>
      </w:r>
      <w:r>
        <w:rPr>
          <w:rFonts w:ascii="宋体" w:hAnsi="宋体"/>
          <w:color w:val="000000"/>
          <w:kern w:val="0"/>
          <w:sz w:val="24"/>
        </w:rPr>
        <w:t>指中国证券监督管理委员会</w:t>
      </w:r>
    </w:p>
    <w:p w14:paraId="6894DE46" w14:textId="36914543"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银行业监督管理机构</w:t>
      </w:r>
      <w:r>
        <w:rPr>
          <w:rFonts w:ascii="宋体" w:hAnsi="宋体" w:hint="eastAsia"/>
          <w:color w:val="000000"/>
          <w:kern w:val="0"/>
          <w:sz w:val="24"/>
        </w:rPr>
        <w:t>：</w:t>
      </w:r>
      <w:r>
        <w:rPr>
          <w:rFonts w:ascii="宋体" w:hAnsi="宋体"/>
          <w:color w:val="000000"/>
          <w:kern w:val="0"/>
          <w:sz w:val="24"/>
        </w:rPr>
        <w:t>指中国人民银行和/或</w:t>
      </w:r>
      <w:r w:rsidR="006B50F9">
        <w:rPr>
          <w:rFonts w:ascii="宋体" w:hAnsi="宋体"/>
          <w:color w:val="000000"/>
          <w:kern w:val="0"/>
          <w:sz w:val="24"/>
        </w:rPr>
        <w:t>中国银行</w:t>
      </w:r>
      <w:r w:rsidR="006B50F9">
        <w:rPr>
          <w:rFonts w:ascii="宋体" w:hAnsi="宋体" w:hint="eastAsia"/>
          <w:color w:val="000000"/>
          <w:kern w:val="0"/>
          <w:sz w:val="24"/>
        </w:rPr>
        <w:t>保险</w:t>
      </w:r>
      <w:r w:rsidR="006B50F9">
        <w:rPr>
          <w:rFonts w:ascii="宋体" w:hAnsi="宋体"/>
          <w:color w:val="000000"/>
          <w:kern w:val="0"/>
          <w:sz w:val="24"/>
        </w:rPr>
        <w:t>监督管理委员会</w:t>
      </w:r>
    </w:p>
    <w:p w14:paraId="322007C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基金合同当事人：指受</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约束，根据</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享有权利并承担义务的</w:t>
      </w:r>
      <w:r>
        <w:rPr>
          <w:rFonts w:ascii="宋体" w:hAnsi="宋体" w:hint="eastAsia"/>
          <w:color w:val="000000"/>
          <w:kern w:val="0"/>
          <w:sz w:val="24"/>
        </w:rPr>
        <w:t>法律主体，包括</w:t>
      </w:r>
      <w:r>
        <w:rPr>
          <w:rFonts w:ascii="宋体" w:hAnsi="宋体"/>
          <w:color w:val="000000"/>
          <w:kern w:val="0"/>
          <w:sz w:val="24"/>
        </w:rPr>
        <w:t>基金管理人、基金托管人和基金份额持有人</w:t>
      </w:r>
    </w:p>
    <w:p w14:paraId="11D67FA3"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个人投资者：指依据有关法律法规规定可投资于证券投资基金的自然人</w:t>
      </w:r>
    </w:p>
    <w:p w14:paraId="6CEB41B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机构投资者：指依法可以投资证券投资基金</w:t>
      </w:r>
      <w:r>
        <w:rPr>
          <w:rFonts w:ascii="宋体" w:hAnsi="宋体" w:hint="eastAsia"/>
          <w:color w:val="000000"/>
          <w:kern w:val="0"/>
          <w:sz w:val="24"/>
        </w:rPr>
        <w:t>的</w:t>
      </w:r>
      <w:r>
        <w:rPr>
          <w:rFonts w:ascii="宋体" w:hAnsi="宋体"/>
          <w:color w:val="000000"/>
          <w:kern w:val="0"/>
          <w:sz w:val="24"/>
        </w:rPr>
        <w:t>、在中华人民共和国境内合法登记</w:t>
      </w:r>
      <w:r>
        <w:rPr>
          <w:rFonts w:ascii="宋体" w:hAnsi="宋体" w:hint="eastAsia"/>
          <w:color w:val="000000"/>
          <w:kern w:val="0"/>
          <w:sz w:val="24"/>
        </w:rPr>
        <w:t>并存续</w:t>
      </w:r>
      <w:r>
        <w:rPr>
          <w:rFonts w:ascii="宋体" w:hAnsi="宋体"/>
          <w:color w:val="000000"/>
          <w:kern w:val="0"/>
          <w:sz w:val="24"/>
        </w:rPr>
        <w:t>或经有关政府部门批准设立</w:t>
      </w:r>
      <w:r>
        <w:rPr>
          <w:rFonts w:ascii="宋体" w:hAnsi="宋体" w:hint="eastAsia"/>
          <w:color w:val="000000"/>
          <w:kern w:val="0"/>
          <w:sz w:val="24"/>
        </w:rPr>
        <w:t>并存续</w:t>
      </w:r>
      <w:r>
        <w:rPr>
          <w:rFonts w:ascii="宋体" w:hAnsi="宋体"/>
          <w:color w:val="000000"/>
          <w:kern w:val="0"/>
          <w:sz w:val="24"/>
        </w:rPr>
        <w:t>的企业法人、事业法人、社会团体或其他组织</w:t>
      </w:r>
    </w:p>
    <w:p w14:paraId="1845F25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合格境外机构投资者</w:t>
      </w:r>
      <w:r>
        <w:rPr>
          <w:rFonts w:ascii="宋体" w:hAnsi="宋体" w:hint="eastAsia"/>
          <w:color w:val="000000"/>
          <w:kern w:val="0"/>
          <w:sz w:val="24"/>
        </w:rPr>
        <w:t>：指符合</w:t>
      </w:r>
      <w:r>
        <w:rPr>
          <w:rFonts w:ascii="宋体" w:hAnsi="宋体" w:hint="eastAsia"/>
          <w:bCs/>
          <w:sz w:val="24"/>
        </w:rPr>
        <w:t>《合格境外机构投资者境内证券投资管理办法》及</w:t>
      </w:r>
      <w:r>
        <w:rPr>
          <w:rFonts w:ascii="宋体" w:hAnsi="宋体" w:hint="eastAsia"/>
          <w:color w:val="000000"/>
          <w:kern w:val="0"/>
          <w:sz w:val="24"/>
        </w:rPr>
        <w:t>相关法律法规规定可以投资于在中国境内依法募集的证券投资基金的中国境外的机构投资者</w:t>
      </w:r>
    </w:p>
    <w:p w14:paraId="4E6E9EB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人民币合格境外机构投资者：指符合《人民币合格境外机构投资者境内证券投资试点办法》（包括其不时修订）及相关法律法规规定可以运用来自境外的人民币资金进行境内证券投资的境外机构投资者</w:t>
      </w:r>
    </w:p>
    <w:p w14:paraId="04CAB0C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投资</w:t>
      </w:r>
      <w:r>
        <w:rPr>
          <w:rFonts w:ascii="宋体" w:hAnsi="宋体" w:hint="eastAsia"/>
          <w:color w:val="000000"/>
          <w:kern w:val="0"/>
          <w:sz w:val="24"/>
        </w:rPr>
        <w:t>人、</w:t>
      </w:r>
      <w:r>
        <w:rPr>
          <w:rFonts w:ascii="宋体" w:hAnsi="宋体"/>
          <w:color w:val="000000"/>
          <w:kern w:val="0"/>
          <w:sz w:val="24"/>
        </w:rPr>
        <w:t>投资者：指个人投资者、机构投资者</w:t>
      </w:r>
      <w:r>
        <w:rPr>
          <w:rFonts w:ascii="宋体" w:hAnsi="宋体" w:hint="eastAsia"/>
          <w:color w:val="000000"/>
          <w:kern w:val="0"/>
          <w:sz w:val="24"/>
        </w:rPr>
        <w:t>、</w:t>
      </w:r>
      <w:r>
        <w:rPr>
          <w:rFonts w:ascii="宋体" w:hAnsi="宋体"/>
          <w:color w:val="000000"/>
          <w:kern w:val="0"/>
          <w:sz w:val="24"/>
        </w:rPr>
        <w:t>合格境外机构投资者</w:t>
      </w:r>
      <w:r>
        <w:rPr>
          <w:rFonts w:ascii="宋体" w:hAnsi="宋体" w:hint="eastAsia"/>
          <w:color w:val="000000"/>
          <w:kern w:val="0"/>
          <w:sz w:val="24"/>
        </w:rPr>
        <w:t>和人民币合格境外机构投资者以及法律法规或中国证监会允许购买证券投资基金的其他投资人</w:t>
      </w:r>
      <w:r>
        <w:rPr>
          <w:rFonts w:ascii="宋体" w:hAnsi="宋体"/>
          <w:color w:val="000000"/>
          <w:kern w:val="0"/>
          <w:sz w:val="24"/>
        </w:rPr>
        <w:t>的合称</w:t>
      </w:r>
    </w:p>
    <w:p w14:paraId="6EECE99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基金份额持有人：指依基金合同</w:t>
      </w:r>
      <w:r>
        <w:rPr>
          <w:rFonts w:ascii="宋体" w:hAnsi="宋体" w:hint="eastAsia"/>
          <w:color w:val="000000"/>
          <w:kern w:val="0"/>
          <w:sz w:val="24"/>
        </w:rPr>
        <w:t>和</w:t>
      </w:r>
      <w:r>
        <w:rPr>
          <w:rFonts w:ascii="宋体" w:hAnsi="宋体"/>
          <w:color w:val="000000"/>
          <w:kern w:val="0"/>
          <w:sz w:val="24"/>
        </w:rPr>
        <w:t>招募说明书</w:t>
      </w:r>
      <w:r>
        <w:rPr>
          <w:rFonts w:ascii="宋体" w:hAnsi="宋体" w:hint="eastAsia"/>
          <w:color w:val="000000"/>
          <w:kern w:val="0"/>
          <w:sz w:val="24"/>
        </w:rPr>
        <w:t>合法</w:t>
      </w:r>
      <w:r>
        <w:rPr>
          <w:rFonts w:ascii="宋体" w:hAnsi="宋体"/>
          <w:color w:val="000000"/>
          <w:kern w:val="0"/>
          <w:sz w:val="24"/>
        </w:rPr>
        <w:t>取得基金份额的投资</w:t>
      </w:r>
      <w:r>
        <w:rPr>
          <w:rFonts w:ascii="宋体" w:hAnsi="宋体" w:hint="eastAsia"/>
          <w:color w:val="000000"/>
          <w:kern w:val="0"/>
          <w:sz w:val="24"/>
        </w:rPr>
        <w:t>人</w:t>
      </w:r>
    </w:p>
    <w:p w14:paraId="11CAD04E"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基金销售业务：指</w:t>
      </w:r>
      <w:r>
        <w:rPr>
          <w:rFonts w:ascii="宋体" w:hAnsi="宋体" w:hint="eastAsia"/>
          <w:color w:val="000000"/>
          <w:kern w:val="0"/>
          <w:sz w:val="24"/>
        </w:rPr>
        <w:t>基金管理人或销售机构宣传推介基金，发售基金份额，办理基金份额的</w:t>
      </w:r>
      <w:r>
        <w:rPr>
          <w:rFonts w:ascii="宋体" w:hAnsi="宋体"/>
          <w:color w:val="000000"/>
          <w:kern w:val="0"/>
          <w:sz w:val="24"/>
        </w:rPr>
        <w:t>申购、赎回、转换、转托管及定期定额投资等业务</w:t>
      </w:r>
    </w:p>
    <w:p w14:paraId="2CA5F08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销售机构</w:t>
      </w:r>
      <w:r>
        <w:rPr>
          <w:rFonts w:ascii="宋体" w:hAnsi="宋体" w:hint="eastAsia"/>
          <w:color w:val="000000"/>
          <w:kern w:val="0"/>
          <w:sz w:val="24"/>
        </w:rPr>
        <w:t>：</w:t>
      </w:r>
      <w:r>
        <w:rPr>
          <w:rFonts w:ascii="宋体" w:hAnsi="宋体"/>
          <w:bCs/>
          <w:color w:val="000000"/>
          <w:kern w:val="0"/>
          <w:sz w:val="24"/>
        </w:rPr>
        <w:t>指</w:t>
      </w:r>
      <w:r>
        <w:rPr>
          <w:rFonts w:ascii="宋体" w:hAnsi="宋体" w:hint="eastAsia"/>
          <w:bCs/>
          <w:color w:val="000000"/>
          <w:kern w:val="0"/>
          <w:sz w:val="24"/>
        </w:rPr>
        <w:t>富荣基金管理有限公司</w:t>
      </w:r>
      <w:r>
        <w:rPr>
          <w:rFonts w:ascii="宋体" w:hAnsi="宋体"/>
          <w:bCs/>
          <w:color w:val="000000"/>
          <w:kern w:val="0"/>
          <w:sz w:val="24"/>
        </w:rPr>
        <w:t>以及符合《销售办法》和中国证监会规定的其他条件，取得基金</w:t>
      </w:r>
      <w:r>
        <w:rPr>
          <w:rFonts w:ascii="宋体" w:hAnsi="宋体" w:hint="eastAsia"/>
          <w:bCs/>
          <w:color w:val="000000"/>
          <w:kern w:val="0"/>
          <w:sz w:val="24"/>
        </w:rPr>
        <w:t>销售</w:t>
      </w:r>
      <w:r>
        <w:rPr>
          <w:rFonts w:ascii="宋体" w:hAnsi="宋体"/>
          <w:bCs/>
          <w:color w:val="000000"/>
          <w:kern w:val="0"/>
          <w:sz w:val="24"/>
        </w:rPr>
        <w:t>业务资格并与基金管理人签订了基金销售服务协议，办理基金销售业务的机构</w:t>
      </w:r>
    </w:p>
    <w:p w14:paraId="7508C9E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登记业务：指基金登记、存管、过户、清算和结算业务，具体内容包括投资</w:t>
      </w:r>
      <w:r>
        <w:rPr>
          <w:rFonts w:ascii="宋体" w:hAnsi="宋体" w:hint="eastAsia"/>
          <w:color w:val="000000"/>
          <w:kern w:val="0"/>
          <w:sz w:val="24"/>
        </w:rPr>
        <w:t>人</w:t>
      </w:r>
      <w:r>
        <w:rPr>
          <w:rFonts w:ascii="宋体" w:hAnsi="宋体"/>
          <w:color w:val="000000"/>
          <w:kern w:val="0"/>
          <w:sz w:val="24"/>
        </w:rPr>
        <w:t>基金账户的建立和管理、基金份额登记、基金</w:t>
      </w:r>
      <w:r>
        <w:rPr>
          <w:rFonts w:ascii="宋体" w:hAnsi="宋体" w:hint="eastAsia"/>
          <w:color w:val="000000"/>
          <w:kern w:val="0"/>
          <w:sz w:val="24"/>
        </w:rPr>
        <w:t>销售业务的</w:t>
      </w:r>
      <w:r>
        <w:rPr>
          <w:rFonts w:ascii="宋体" w:hAnsi="宋体"/>
          <w:color w:val="000000"/>
          <w:kern w:val="0"/>
          <w:sz w:val="24"/>
        </w:rPr>
        <w:t>确认、清算和结算、</w:t>
      </w:r>
      <w:r>
        <w:rPr>
          <w:rFonts w:ascii="宋体" w:hAnsi="宋体"/>
          <w:color w:val="000000"/>
          <w:kern w:val="0"/>
          <w:sz w:val="24"/>
        </w:rPr>
        <w:lastRenderedPageBreak/>
        <w:t>代理发放红利、建立并保管基金份额持有人名册</w:t>
      </w:r>
      <w:r>
        <w:rPr>
          <w:rFonts w:hint="eastAsia"/>
          <w:bCs/>
          <w:sz w:val="24"/>
        </w:rPr>
        <w:t>和办理非交易过户</w:t>
      </w:r>
      <w:r>
        <w:rPr>
          <w:rFonts w:ascii="宋体" w:hAnsi="宋体"/>
          <w:color w:val="000000"/>
          <w:kern w:val="0"/>
          <w:sz w:val="24"/>
        </w:rPr>
        <w:t>等</w:t>
      </w:r>
    </w:p>
    <w:p w14:paraId="6D3757F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登记机构：指办理登记业务的机构。</w:t>
      </w:r>
      <w:r>
        <w:rPr>
          <w:rFonts w:ascii="宋体" w:hAnsi="宋体" w:hint="eastAsia"/>
          <w:color w:val="000000"/>
          <w:kern w:val="0"/>
          <w:sz w:val="24"/>
        </w:rPr>
        <w:t>基金的登记机构为富荣基金管理有限公司或接受富荣基金管理有限公司委托代为办理登记业务的机构</w:t>
      </w:r>
    </w:p>
    <w:p w14:paraId="7F37B5D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基金账户</w:t>
      </w:r>
      <w:r>
        <w:rPr>
          <w:rFonts w:ascii="宋体" w:hAnsi="宋体" w:hint="eastAsia"/>
          <w:color w:val="000000"/>
          <w:kern w:val="0"/>
          <w:sz w:val="24"/>
        </w:rPr>
        <w:t>：</w:t>
      </w:r>
      <w:r>
        <w:rPr>
          <w:rFonts w:ascii="宋体" w:hAnsi="宋体"/>
          <w:color w:val="000000"/>
          <w:kern w:val="0"/>
          <w:sz w:val="24"/>
        </w:rPr>
        <w:t>指登记机构为投资</w:t>
      </w:r>
      <w:r>
        <w:rPr>
          <w:rFonts w:ascii="宋体" w:hAnsi="宋体" w:hint="eastAsia"/>
          <w:color w:val="000000"/>
          <w:kern w:val="0"/>
          <w:sz w:val="24"/>
        </w:rPr>
        <w:t>人</w:t>
      </w:r>
      <w:r>
        <w:rPr>
          <w:rFonts w:ascii="宋体" w:hAnsi="宋体"/>
          <w:color w:val="000000"/>
          <w:kern w:val="0"/>
          <w:sz w:val="24"/>
        </w:rPr>
        <w:t>开立的、记录其持有的、基金管理人所管理的基金份额余额及其变动情况的账户</w:t>
      </w:r>
    </w:p>
    <w:p w14:paraId="1746E73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基金交易账户：指销售机构为投资</w:t>
      </w:r>
      <w:r>
        <w:rPr>
          <w:rFonts w:ascii="宋体" w:hAnsi="宋体" w:hint="eastAsia"/>
          <w:color w:val="000000"/>
          <w:kern w:val="0"/>
          <w:sz w:val="24"/>
        </w:rPr>
        <w:t>人</w:t>
      </w:r>
      <w:r>
        <w:rPr>
          <w:rFonts w:ascii="宋体" w:hAnsi="宋体"/>
          <w:color w:val="000000"/>
          <w:kern w:val="0"/>
          <w:sz w:val="24"/>
        </w:rPr>
        <w:t>开立的、</w:t>
      </w:r>
      <w:r>
        <w:rPr>
          <w:bCs/>
          <w:sz w:val="24"/>
        </w:rPr>
        <w:t>记录投资人通过该销售机构</w:t>
      </w:r>
      <w:r>
        <w:rPr>
          <w:rFonts w:hint="eastAsia"/>
          <w:bCs/>
          <w:sz w:val="24"/>
        </w:rPr>
        <w:t>办理认购、申购、赎回、转换、转托管及定期定额投资等业务而引起</w:t>
      </w:r>
      <w:r>
        <w:rPr>
          <w:bCs/>
          <w:sz w:val="24"/>
        </w:rPr>
        <w:t>的基金份额变动及结余情况的账户</w:t>
      </w:r>
    </w:p>
    <w:p w14:paraId="1621368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基金合同生效日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基金募集达到法律法规规定及《基金合同》规定的条件，基金管理人向</w:t>
      </w:r>
      <w:r>
        <w:rPr>
          <w:rFonts w:ascii="宋体" w:hAnsi="宋体"/>
          <w:color w:val="000000"/>
          <w:kern w:val="0"/>
          <w:sz w:val="24"/>
        </w:rPr>
        <w:t>中国证监会</w:t>
      </w:r>
      <w:r>
        <w:rPr>
          <w:rFonts w:ascii="宋体" w:hAnsi="宋体" w:hint="eastAsia"/>
          <w:color w:val="000000"/>
          <w:kern w:val="0"/>
          <w:sz w:val="24"/>
        </w:rPr>
        <w:t>办理基金备案手续完毕，并获得中国证监会书面确认的日期</w:t>
      </w:r>
    </w:p>
    <w:p w14:paraId="13356AB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基金合同终止日：指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规定的</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终止事由出现后</w:t>
      </w:r>
      <w:r>
        <w:rPr>
          <w:rFonts w:ascii="宋体" w:hAnsi="宋体" w:hint="eastAsia"/>
          <w:color w:val="000000"/>
          <w:kern w:val="0"/>
          <w:sz w:val="24"/>
        </w:rPr>
        <w:t>，基金财产清算完毕，清算结果报中国证监会备案并予以公告</w:t>
      </w:r>
      <w:r>
        <w:rPr>
          <w:rFonts w:ascii="宋体" w:hAnsi="宋体"/>
          <w:color w:val="000000"/>
          <w:kern w:val="0"/>
          <w:sz w:val="24"/>
        </w:rPr>
        <w:t>的日期</w:t>
      </w:r>
    </w:p>
    <w:p w14:paraId="034C365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基金募集期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自</w:t>
      </w:r>
      <w:r>
        <w:rPr>
          <w:rFonts w:ascii="宋体" w:hAnsi="宋体"/>
          <w:color w:val="000000"/>
          <w:kern w:val="0"/>
          <w:sz w:val="24"/>
        </w:rPr>
        <w:t>基金份额发售之日起至发售结束之日止的期间，最长不得超过</w:t>
      </w:r>
      <w:r>
        <w:rPr>
          <w:rFonts w:ascii="宋体" w:hAnsi="宋体" w:hint="eastAsia"/>
          <w:color w:val="000000"/>
          <w:kern w:val="0"/>
          <w:sz w:val="24"/>
        </w:rPr>
        <w:t>3</w:t>
      </w:r>
      <w:r>
        <w:rPr>
          <w:rFonts w:ascii="宋体" w:hAnsi="宋体"/>
          <w:color w:val="000000"/>
          <w:kern w:val="0"/>
          <w:sz w:val="24"/>
        </w:rPr>
        <w:t>个月</w:t>
      </w:r>
    </w:p>
    <w:p w14:paraId="1DCC859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存续期</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w:t>
      </w:r>
      <w:r>
        <w:rPr>
          <w:rFonts w:ascii="宋体" w:hAnsi="宋体"/>
          <w:color w:val="000000"/>
          <w:kern w:val="0"/>
          <w:sz w:val="24"/>
        </w:rPr>
        <w:t>生效至终止之间的不定期期限</w:t>
      </w:r>
    </w:p>
    <w:p w14:paraId="4A2E96C1"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工作日</w:t>
      </w:r>
      <w:r>
        <w:rPr>
          <w:rFonts w:ascii="宋体" w:hAnsi="宋体" w:hint="eastAsia"/>
          <w:color w:val="000000"/>
          <w:kern w:val="0"/>
          <w:sz w:val="24"/>
        </w:rPr>
        <w:t>：</w:t>
      </w:r>
      <w:r>
        <w:rPr>
          <w:rFonts w:ascii="宋体" w:hAnsi="宋体"/>
          <w:color w:val="000000"/>
          <w:kern w:val="0"/>
          <w:sz w:val="24"/>
        </w:rPr>
        <w:t>指上海证券交易所、深圳证券交易所的正常交易日</w:t>
      </w:r>
    </w:p>
    <w:p w14:paraId="785A35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T日</w:t>
      </w:r>
      <w:r>
        <w:rPr>
          <w:rFonts w:ascii="宋体" w:hAnsi="宋体" w:hint="eastAsia"/>
          <w:color w:val="000000"/>
          <w:kern w:val="0"/>
          <w:sz w:val="24"/>
        </w:rPr>
        <w:t>：指</w:t>
      </w:r>
      <w:r>
        <w:rPr>
          <w:rFonts w:ascii="宋体" w:hAnsi="宋体"/>
          <w:bCs/>
          <w:sz w:val="24"/>
        </w:rPr>
        <w:t>销售机构在规定时间受理投资人</w:t>
      </w:r>
      <w:r>
        <w:rPr>
          <w:rFonts w:ascii="宋体" w:hAnsi="宋体" w:hint="eastAsia"/>
          <w:color w:val="000000"/>
          <w:kern w:val="0"/>
          <w:sz w:val="24"/>
        </w:rPr>
        <w:t>申购、赎回或其他业务申请的开放日</w:t>
      </w:r>
    </w:p>
    <w:p w14:paraId="37D151A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T+n日</w:t>
      </w:r>
      <w:r>
        <w:rPr>
          <w:rFonts w:ascii="宋体" w:hAnsi="宋体" w:hint="eastAsia"/>
          <w:color w:val="000000"/>
          <w:kern w:val="0"/>
          <w:sz w:val="24"/>
        </w:rPr>
        <w:t>：</w:t>
      </w:r>
      <w:r>
        <w:rPr>
          <w:rFonts w:ascii="宋体" w:hAnsi="宋体"/>
          <w:color w:val="000000"/>
          <w:kern w:val="0"/>
          <w:sz w:val="24"/>
        </w:rPr>
        <w:t>指自T日起第n个工作日</w:t>
      </w:r>
      <w:r>
        <w:rPr>
          <w:rFonts w:ascii="宋体" w:hAnsi="宋体" w:hint="eastAsia"/>
          <w:color w:val="000000"/>
          <w:kern w:val="0"/>
          <w:sz w:val="24"/>
        </w:rPr>
        <w:t>（</w:t>
      </w:r>
      <w:r>
        <w:rPr>
          <w:rFonts w:ascii="宋体" w:hAnsi="宋体"/>
          <w:color w:val="000000"/>
          <w:kern w:val="0"/>
          <w:sz w:val="24"/>
        </w:rPr>
        <w:t>不包含T日</w:t>
      </w:r>
      <w:r>
        <w:rPr>
          <w:rFonts w:ascii="宋体" w:hAnsi="宋体" w:hint="eastAsia"/>
          <w:color w:val="000000"/>
          <w:kern w:val="0"/>
          <w:sz w:val="24"/>
        </w:rPr>
        <w:t>）</w:t>
      </w:r>
    </w:p>
    <w:p w14:paraId="7435482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开放日</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为投资人</w:t>
      </w:r>
      <w:r>
        <w:rPr>
          <w:rFonts w:ascii="宋体" w:hAnsi="宋体"/>
          <w:color w:val="000000"/>
          <w:kern w:val="0"/>
          <w:sz w:val="24"/>
        </w:rPr>
        <w:t>办理基金份额申购、赎回</w:t>
      </w:r>
      <w:r>
        <w:rPr>
          <w:rFonts w:ascii="宋体" w:hAnsi="宋体" w:hint="eastAsia"/>
          <w:color w:val="000000"/>
          <w:kern w:val="0"/>
          <w:sz w:val="24"/>
        </w:rPr>
        <w:t>或其他</w:t>
      </w:r>
      <w:r>
        <w:rPr>
          <w:rFonts w:ascii="宋体" w:hAnsi="宋体"/>
          <w:color w:val="000000"/>
          <w:kern w:val="0"/>
          <w:sz w:val="24"/>
        </w:rPr>
        <w:t>业务的</w:t>
      </w:r>
      <w:r>
        <w:rPr>
          <w:rFonts w:ascii="宋体" w:hAnsi="宋体" w:hint="eastAsia"/>
          <w:color w:val="000000"/>
          <w:kern w:val="0"/>
          <w:sz w:val="24"/>
        </w:rPr>
        <w:t>工作日</w:t>
      </w:r>
    </w:p>
    <w:p w14:paraId="3B1E08F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开放时间：指开放日基金接受申购、赎回或其他交易的时间段</w:t>
      </w:r>
    </w:p>
    <w:p w14:paraId="0A4B9F7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《业务规则》：指《</w:t>
      </w:r>
      <w:r>
        <w:rPr>
          <w:rFonts w:ascii="宋体" w:hAnsi="宋体" w:hint="eastAsia"/>
          <w:bCs/>
          <w:sz w:val="24"/>
        </w:rPr>
        <w:t>富荣基金管理有限公司</w:t>
      </w:r>
      <w:r>
        <w:rPr>
          <w:rFonts w:ascii="宋体" w:hAnsi="宋体"/>
          <w:bCs/>
          <w:sz w:val="24"/>
        </w:rPr>
        <w:t>开放式基金业务规则》，是规范基金管理人所管理的开放式证券投资基金登记方面的业务规则，由基金管理人和投资人共同遵守</w:t>
      </w:r>
    </w:p>
    <w:p w14:paraId="12314BA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认购</w:t>
      </w:r>
      <w:r>
        <w:rPr>
          <w:rFonts w:ascii="宋体" w:hAnsi="宋体" w:hint="eastAsia"/>
          <w:color w:val="000000"/>
          <w:kern w:val="0"/>
          <w:sz w:val="24"/>
        </w:rPr>
        <w:t>：</w:t>
      </w:r>
      <w:r>
        <w:rPr>
          <w:rFonts w:ascii="宋体" w:hAnsi="宋体"/>
          <w:color w:val="000000"/>
          <w:kern w:val="0"/>
          <w:sz w:val="24"/>
        </w:rPr>
        <w:t>指在基金募集期</w:t>
      </w:r>
      <w:r>
        <w:rPr>
          <w:rFonts w:ascii="宋体" w:hAnsi="宋体" w:hint="eastAsia"/>
          <w:color w:val="000000"/>
          <w:kern w:val="0"/>
          <w:sz w:val="24"/>
        </w:rPr>
        <w:t>内</w:t>
      </w:r>
      <w:r>
        <w:rPr>
          <w:rFonts w:ascii="宋体" w:hAnsi="宋体"/>
          <w:color w:val="000000"/>
          <w:kern w:val="0"/>
          <w:sz w:val="24"/>
        </w:rPr>
        <w:t>，</w:t>
      </w:r>
      <w:r>
        <w:rPr>
          <w:bCs/>
          <w:sz w:val="24"/>
        </w:rPr>
        <w:t>投资人</w:t>
      </w:r>
      <w:r>
        <w:rPr>
          <w:rFonts w:hint="eastAsia"/>
          <w:bCs/>
          <w:sz w:val="24"/>
        </w:rPr>
        <w:t>根据基金合同和招募说明书的规定</w:t>
      </w:r>
      <w:r>
        <w:rPr>
          <w:bCs/>
          <w:sz w:val="24"/>
        </w:rPr>
        <w:t>申请购买基金份额的行为</w:t>
      </w:r>
    </w:p>
    <w:p w14:paraId="082F508F"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申购</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，投资</w:t>
      </w:r>
      <w:r>
        <w:rPr>
          <w:rFonts w:ascii="宋体" w:hAnsi="宋体" w:hint="eastAsia"/>
          <w:color w:val="000000"/>
          <w:kern w:val="0"/>
          <w:sz w:val="24"/>
        </w:rPr>
        <w:t>人根据基金合同和招募说明书的规定</w:t>
      </w:r>
      <w:r>
        <w:rPr>
          <w:rFonts w:ascii="宋体" w:hAnsi="宋体"/>
          <w:color w:val="000000"/>
          <w:kern w:val="0"/>
          <w:sz w:val="24"/>
        </w:rPr>
        <w:t>申请</w:t>
      </w:r>
      <w:r>
        <w:rPr>
          <w:rFonts w:ascii="宋体" w:hAnsi="宋体"/>
          <w:color w:val="000000"/>
          <w:kern w:val="0"/>
          <w:sz w:val="24"/>
        </w:rPr>
        <w:lastRenderedPageBreak/>
        <w:t>购买基金份额的行为</w:t>
      </w:r>
    </w:p>
    <w:p w14:paraId="1A32351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赎回</w:t>
      </w:r>
      <w:r>
        <w:rPr>
          <w:rFonts w:ascii="宋体" w:hAnsi="宋体" w:hint="eastAsia"/>
          <w:color w:val="000000"/>
          <w:kern w:val="0"/>
          <w:sz w:val="24"/>
        </w:rPr>
        <w:t>：</w:t>
      </w:r>
      <w:r>
        <w:rPr>
          <w:rFonts w:ascii="宋体" w:hAnsi="宋体"/>
          <w:color w:val="000000"/>
          <w:kern w:val="0"/>
          <w:sz w:val="24"/>
        </w:rPr>
        <w:t>指</w:t>
      </w:r>
      <w:r>
        <w:rPr>
          <w:rFonts w:ascii="宋体" w:hAnsi="宋体" w:hint="eastAsia"/>
          <w:color w:val="000000"/>
          <w:kern w:val="0"/>
          <w:sz w:val="24"/>
        </w:rPr>
        <w:t>基金合同生效后，</w:t>
      </w:r>
      <w:r>
        <w:rPr>
          <w:rFonts w:ascii="宋体" w:hAnsi="宋体"/>
          <w:color w:val="000000"/>
          <w:kern w:val="0"/>
          <w:sz w:val="24"/>
        </w:rPr>
        <w:t>基金份额持有人按基金合同</w:t>
      </w:r>
      <w:r>
        <w:rPr>
          <w:rFonts w:ascii="宋体" w:hAnsi="宋体" w:hint="eastAsia"/>
          <w:color w:val="000000"/>
          <w:kern w:val="0"/>
          <w:sz w:val="24"/>
        </w:rPr>
        <w:t>和招募说明书</w:t>
      </w:r>
      <w:r>
        <w:rPr>
          <w:rFonts w:ascii="宋体" w:hAnsi="宋体"/>
          <w:color w:val="000000"/>
          <w:kern w:val="0"/>
          <w:sz w:val="24"/>
        </w:rPr>
        <w:t>规定的条件要求</w:t>
      </w:r>
      <w:r>
        <w:rPr>
          <w:rFonts w:ascii="宋体" w:hAnsi="宋体" w:hint="eastAsia"/>
          <w:color w:val="000000"/>
          <w:kern w:val="0"/>
          <w:sz w:val="24"/>
        </w:rPr>
        <w:t>将</w:t>
      </w:r>
      <w:r>
        <w:rPr>
          <w:rFonts w:ascii="宋体" w:hAnsi="宋体"/>
          <w:color w:val="000000"/>
          <w:kern w:val="0"/>
          <w:sz w:val="24"/>
        </w:rPr>
        <w:t>基金份额</w:t>
      </w:r>
      <w:r>
        <w:rPr>
          <w:rFonts w:ascii="宋体" w:hAnsi="宋体" w:hint="eastAsia"/>
          <w:color w:val="000000"/>
          <w:kern w:val="0"/>
          <w:sz w:val="24"/>
        </w:rPr>
        <w:t>兑换为现金</w:t>
      </w:r>
      <w:r>
        <w:rPr>
          <w:rFonts w:ascii="宋体" w:hAnsi="宋体"/>
          <w:color w:val="000000"/>
          <w:kern w:val="0"/>
          <w:sz w:val="24"/>
        </w:rPr>
        <w:t>的行为</w:t>
      </w:r>
    </w:p>
    <w:p w14:paraId="132BCDF0" w14:textId="77777777" w:rsidR="00D04107" w:rsidRDefault="000C2DB0">
      <w:pPr>
        <w:numPr>
          <w:ilvl w:val="0"/>
          <w:numId w:val="3"/>
        </w:numPr>
        <w:spacing w:line="360" w:lineRule="auto"/>
        <w:ind w:left="0" w:firstLine="426"/>
        <w:rPr>
          <w:rFonts w:ascii="宋体" w:hAnsi="宋体"/>
          <w:bCs/>
          <w:sz w:val="24"/>
        </w:rPr>
      </w:pPr>
      <w:r>
        <w:rPr>
          <w:rFonts w:ascii="宋体" w:hAnsi="宋体" w:hint="eastAsia"/>
          <w:color w:val="000000"/>
          <w:kern w:val="0"/>
          <w:sz w:val="24"/>
        </w:rPr>
        <w:t>基金转换：指基金份额持有人按照基金合同和基金管理人届时有效公告规定的条件，申请将其持有基金管理人管理的、某一基金的基金份额转换为基金管理人管理的其他基金基金份额的行为</w:t>
      </w:r>
    </w:p>
    <w:p w14:paraId="128819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bCs/>
          <w:sz w:val="24"/>
        </w:rPr>
        <w:t>转托管：指基金份额持有人在本基金的不同销售机构之间实施的变更所持基金份额销售机构的操作</w:t>
      </w:r>
    </w:p>
    <w:p w14:paraId="0A37B4A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定期定额投资计划：指投资人通过有关销售机构提出申请，约定每期申购日、扣款金额及扣款方式，由销售机构于每期约定扣款日在投资人指定银行账户内自动完成扣款及基金申购申请的一种投资方式</w:t>
      </w:r>
    </w:p>
    <w:p w14:paraId="161ABCC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巨额赎回</w:t>
      </w:r>
      <w:r>
        <w:rPr>
          <w:rFonts w:ascii="宋体" w:hAnsi="宋体" w:hint="eastAsia"/>
          <w:color w:val="000000"/>
          <w:kern w:val="0"/>
          <w:sz w:val="24"/>
        </w:rPr>
        <w:t>：指</w:t>
      </w:r>
      <w:r>
        <w:rPr>
          <w:rFonts w:ascii="宋体" w:hAnsi="宋体"/>
          <w:color w:val="000000"/>
          <w:kern w:val="0"/>
          <w:sz w:val="24"/>
        </w:rPr>
        <w:t>本基金单个开放日</w:t>
      </w:r>
      <w:r>
        <w:rPr>
          <w:rFonts w:ascii="宋体" w:hAnsi="宋体" w:hint="eastAsia"/>
          <w:color w:val="000000"/>
          <w:kern w:val="0"/>
          <w:sz w:val="24"/>
        </w:rPr>
        <w:t>，</w:t>
      </w:r>
      <w:r>
        <w:rPr>
          <w:rFonts w:ascii="宋体" w:hAnsi="宋体"/>
          <w:color w:val="000000"/>
          <w:kern w:val="0"/>
          <w:sz w:val="24"/>
        </w:rPr>
        <w:t>基金净赎回申请</w:t>
      </w:r>
      <w:r>
        <w:rPr>
          <w:rFonts w:ascii="宋体" w:hAnsi="宋体" w:hint="eastAsia"/>
          <w:color w:val="000000"/>
          <w:kern w:val="0"/>
          <w:sz w:val="24"/>
        </w:rPr>
        <w:t>（</w:t>
      </w:r>
      <w:r>
        <w:rPr>
          <w:rFonts w:ascii="宋体" w:hAnsi="宋体"/>
          <w:color w:val="000000"/>
          <w:kern w:val="0"/>
          <w:sz w:val="24"/>
        </w:rPr>
        <w:t>赎回申请份额总数加上基金转换中转出申请份额总数后扣除申购申请份额总数及基金转换中转入申请份额总数后的余额</w:t>
      </w:r>
      <w:r>
        <w:rPr>
          <w:rFonts w:ascii="宋体" w:hAnsi="宋体" w:hint="eastAsia"/>
          <w:color w:val="000000"/>
          <w:kern w:val="0"/>
          <w:sz w:val="24"/>
        </w:rPr>
        <w:t>）</w:t>
      </w:r>
      <w:r>
        <w:rPr>
          <w:rFonts w:ascii="宋体" w:hAnsi="宋体"/>
          <w:color w:val="000000"/>
          <w:kern w:val="0"/>
          <w:sz w:val="24"/>
        </w:rPr>
        <w:t>超过上一</w:t>
      </w:r>
      <w:r>
        <w:rPr>
          <w:rFonts w:ascii="宋体" w:hAnsi="宋体" w:hint="eastAsia"/>
          <w:color w:val="000000"/>
          <w:kern w:val="0"/>
          <w:sz w:val="24"/>
        </w:rPr>
        <w:t>开放</w:t>
      </w:r>
      <w:r>
        <w:rPr>
          <w:rFonts w:ascii="宋体" w:hAnsi="宋体"/>
          <w:color w:val="000000"/>
          <w:kern w:val="0"/>
          <w:sz w:val="24"/>
        </w:rPr>
        <w:t>日基金总份额的10%</w:t>
      </w:r>
    </w:p>
    <w:p w14:paraId="1AC8915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元</w:t>
      </w:r>
      <w:r>
        <w:rPr>
          <w:rFonts w:ascii="宋体" w:hAnsi="宋体" w:hint="eastAsia"/>
          <w:color w:val="000000"/>
          <w:kern w:val="0"/>
          <w:sz w:val="24"/>
        </w:rPr>
        <w:t>：</w:t>
      </w:r>
      <w:r>
        <w:rPr>
          <w:rFonts w:ascii="宋体" w:hAnsi="宋体"/>
          <w:color w:val="000000"/>
          <w:kern w:val="0"/>
          <w:sz w:val="24"/>
        </w:rPr>
        <w:t>指人民币元</w:t>
      </w:r>
    </w:p>
    <w:p w14:paraId="1B7C337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基金收益</w:t>
      </w:r>
      <w:r>
        <w:rPr>
          <w:rFonts w:ascii="宋体" w:hAnsi="宋体" w:hint="eastAsia"/>
          <w:color w:val="000000"/>
          <w:kern w:val="0"/>
          <w:sz w:val="24"/>
        </w:rPr>
        <w:t>：</w:t>
      </w:r>
      <w:r>
        <w:rPr>
          <w:rFonts w:hint="eastAsia"/>
          <w:bCs/>
          <w:sz w:val="24"/>
        </w:rPr>
        <w:t>指基金投资所得债券利息、买卖证券价差、银行存款利息、已实现的其他合法收入及因运用基金财产带来的成本和费用的节约</w:t>
      </w:r>
    </w:p>
    <w:p w14:paraId="06CEF795"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摊余成本法</w:t>
      </w:r>
      <w:r>
        <w:rPr>
          <w:rFonts w:ascii="宋体" w:hAnsi="宋体"/>
          <w:color w:val="000000"/>
          <w:kern w:val="0"/>
          <w:sz w:val="24"/>
        </w:rPr>
        <w:t>：指计价对象以</w:t>
      </w:r>
      <w:r>
        <w:rPr>
          <w:rFonts w:ascii="宋体" w:hAnsi="宋体" w:hint="eastAsia"/>
          <w:color w:val="000000"/>
          <w:kern w:val="0"/>
          <w:sz w:val="24"/>
        </w:rPr>
        <w:t>买入</w:t>
      </w:r>
      <w:r>
        <w:rPr>
          <w:rFonts w:ascii="宋体" w:hAnsi="宋体"/>
          <w:color w:val="000000"/>
          <w:kern w:val="0"/>
          <w:sz w:val="24"/>
        </w:rPr>
        <w:t>成本列示，按照票面利率或协议利率并考虑其买入时的溢价与折价，在</w:t>
      </w:r>
      <w:r>
        <w:rPr>
          <w:rFonts w:ascii="宋体" w:hAnsi="宋体" w:hint="eastAsia"/>
          <w:color w:val="000000"/>
          <w:kern w:val="0"/>
          <w:sz w:val="24"/>
        </w:rPr>
        <w:t>剩余存续期内</w:t>
      </w:r>
      <w:r>
        <w:rPr>
          <w:rFonts w:ascii="宋体" w:hAnsi="宋体"/>
          <w:color w:val="000000"/>
          <w:kern w:val="0"/>
          <w:sz w:val="24"/>
        </w:rPr>
        <w:t>按实际利率法摊销，每日计提损益</w:t>
      </w:r>
    </w:p>
    <w:p w14:paraId="4CFCCE11" w14:textId="77777777" w:rsidR="00D04107" w:rsidRDefault="000C2DB0">
      <w:pPr>
        <w:numPr>
          <w:ilvl w:val="0"/>
          <w:numId w:val="3"/>
        </w:numPr>
        <w:spacing w:line="360" w:lineRule="auto"/>
        <w:ind w:left="0" w:firstLine="426"/>
        <w:rPr>
          <w:rFonts w:ascii="宋体" w:hAnsi="宋体"/>
          <w:color w:val="000000"/>
          <w:kern w:val="0"/>
          <w:sz w:val="24"/>
        </w:rPr>
      </w:pPr>
      <w:r>
        <w:rPr>
          <w:rFonts w:hint="eastAsia"/>
          <w:bCs/>
          <w:sz w:val="24"/>
        </w:rPr>
        <w:t>偏离度：指影子定价与摊余成本法确定的基金资产净值的偏离度，等于（</w:t>
      </w:r>
      <w:r>
        <w:rPr>
          <w:bCs/>
          <w:sz w:val="24"/>
        </w:rPr>
        <w:t>NAVs-NAVa</w:t>
      </w:r>
      <w:r>
        <w:rPr>
          <w:rFonts w:hint="eastAsia"/>
          <w:bCs/>
          <w:sz w:val="24"/>
        </w:rPr>
        <w:t>）</w:t>
      </w:r>
      <w:r>
        <w:rPr>
          <w:bCs/>
          <w:sz w:val="24"/>
        </w:rPr>
        <w:t>/NAVa</w:t>
      </w:r>
      <w:r>
        <w:rPr>
          <w:rFonts w:hint="eastAsia"/>
          <w:bCs/>
          <w:sz w:val="24"/>
        </w:rPr>
        <w:t>。其中，</w:t>
      </w:r>
      <w:r>
        <w:rPr>
          <w:bCs/>
          <w:sz w:val="24"/>
        </w:rPr>
        <w:t>NAVs</w:t>
      </w:r>
      <w:r>
        <w:rPr>
          <w:rFonts w:hint="eastAsia"/>
          <w:bCs/>
          <w:sz w:val="24"/>
        </w:rPr>
        <w:t>为影子定价确定的基金资产净值，</w:t>
      </w:r>
      <w:r>
        <w:rPr>
          <w:bCs/>
          <w:sz w:val="24"/>
        </w:rPr>
        <w:t>NAVa</w:t>
      </w:r>
      <w:r>
        <w:rPr>
          <w:rFonts w:hint="eastAsia"/>
          <w:bCs/>
          <w:sz w:val="24"/>
        </w:rPr>
        <w:t>为摊余成本法确定的基金资产净值</w:t>
      </w:r>
    </w:p>
    <w:p w14:paraId="197A523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每万份</w:t>
      </w:r>
      <w:r>
        <w:rPr>
          <w:rFonts w:ascii="宋体" w:hAnsi="宋体"/>
          <w:color w:val="000000"/>
          <w:kern w:val="0"/>
          <w:sz w:val="24"/>
        </w:rPr>
        <w:t>基金已实现收益：指按照相关法规计算的每万份基金份额的日已实现收益</w:t>
      </w:r>
    </w:p>
    <w:p w14:paraId="04B010D9"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7</w:t>
      </w:r>
      <w:r>
        <w:rPr>
          <w:rFonts w:ascii="宋体" w:hAnsi="宋体" w:hint="eastAsia"/>
          <w:color w:val="000000"/>
          <w:kern w:val="0"/>
          <w:sz w:val="24"/>
        </w:rPr>
        <w:t>日</w:t>
      </w:r>
      <w:r>
        <w:rPr>
          <w:rFonts w:ascii="宋体" w:hAnsi="宋体"/>
          <w:color w:val="000000"/>
          <w:kern w:val="0"/>
          <w:sz w:val="24"/>
        </w:rPr>
        <w:t>年化收益率：指以最近</w:t>
      </w:r>
      <w:r>
        <w:rPr>
          <w:rFonts w:ascii="宋体" w:hAnsi="宋体" w:hint="eastAsia"/>
          <w:color w:val="000000"/>
          <w:kern w:val="0"/>
          <w:sz w:val="24"/>
        </w:rPr>
        <w:t>7日</w:t>
      </w:r>
      <w:r>
        <w:rPr>
          <w:rFonts w:ascii="宋体" w:hAnsi="宋体"/>
          <w:color w:val="000000"/>
          <w:kern w:val="0"/>
          <w:sz w:val="24"/>
        </w:rPr>
        <w:t>（</w:t>
      </w:r>
      <w:r>
        <w:rPr>
          <w:rFonts w:ascii="宋体" w:hAnsi="宋体" w:hint="eastAsia"/>
          <w:color w:val="000000"/>
          <w:kern w:val="0"/>
          <w:sz w:val="24"/>
        </w:rPr>
        <w:t>含</w:t>
      </w:r>
      <w:r>
        <w:rPr>
          <w:rFonts w:ascii="宋体" w:hAnsi="宋体"/>
          <w:color w:val="000000"/>
          <w:kern w:val="0"/>
          <w:sz w:val="24"/>
        </w:rPr>
        <w:t>节假日）</w:t>
      </w:r>
      <w:r>
        <w:rPr>
          <w:rFonts w:ascii="宋体" w:hAnsi="宋体" w:hint="eastAsia"/>
          <w:color w:val="000000"/>
          <w:kern w:val="0"/>
          <w:sz w:val="24"/>
        </w:rPr>
        <w:t>收益</w:t>
      </w:r>
      <w:r>
        <w:rPr>
          <w:rFonts w:ascii="宋体" w:hAnsi="宋体"/>
          <w:color w:val="000000"/>
          <w:kern w:val="0"/>
          <w:sz w:val="24"/>
        </w:rPr>
        <w:t>所折算的年资产收益率</w:t>
      </w:r>
    </w:p>
    <w:p w14:paraId="71830FA6"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销售服务费：指本基金用于持续销售和服务基金份额持有人的费用，该笔费用从基金财产中扣除，属于基金的营运费用</w:t>
      </w:r>
    </w:p>
    <w:p w14:paraId="4BFC43B2"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基金份额分类：本基金分设两类基金份额：A 类基金份额和 B 类基金份</w:t>
      </w:r>
      <w:r>
        <w:rPr>
          <w:rFonts w:ascii="宋体" w:hAnsi="宋体" w:hint="eastAsia"/>
          <w:color w:val="000000"/>
          <w:kern w:val="0"/>
          <w:sz w:val="24"/>
        </w:rPr>
        <w:lastRenderedPageBreak/>
        <w:t>额。两类基金份额分设不同的基金代码，收取不同的销售服务费并分别公布每万份基金已实现收益和 7 日年化收益率</w:t>
      </w:r>
    </w:p>
    <w:p w14:paraId="27BDEF30"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A 类基金份额：指按照 0.25%年费率计提销售服务费的基金份额类别</w:t>
      </w:r>
    </w:p>
    <w:p w14:paraId="3C8DD104"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B 类基金份额：指按照 0.01%年费率计提销售服务费的基金份额类别</w:t>
      </w:r>
    </w:p>
    <w:p w14:paraId="2798525B"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升级：指当投资人在单个基金账户保留的 A 类基金份额达到 B 类基金份额的最低份额要求时，基金的注册登记机构自动将投资人在该基金账户保留的 A 类基金份额全部升级为 B 类基金份额</w:t>
      </w:r>
    </w:p>
    <w:p w14:paraId="199C46F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降级：指当投资人在单个基金账户保留的 B 类基金份额不能满足该类基金份额的最低份额要求时，基金的注册登记机构自动将投资人在该基金账户保留的 B 类基金份额全部降级为 A 类基金份额</w:t>
      </w:r>
    </w:p>
    <w:p w14:paraId="1B5B971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基金资产总值：指基金拥有的各类有价证券、银行存款本息、基金应收</w:t>
      </w:r>
      <w:r>
        <w:rPr>
          <w:rFonts w:ascii="宋体" w:hAnsi="宋体" w:hint="eastAsia"/>
          <w:color w:val="000000"/>
          <w:kern w:val="0"/>
          <w:sz w:val="24"/>
        </w:rPr>
        <w:t>申购</w:t>
      </w:r>
      <w:r>
        <w:rPr>
          <w:rFonts w:ascii="宋体" w:hAnsi="宋体"/>
          <w:color w:val="000000"/>
          <w:kern w:val="0"/>
          <w:sz w:val="24"/>
        </w:rPr>
        <w:t>款及其他资产的价值总和</w:t>
      </w:r>
    </w:p>
    <w:p w14:paraId="23C06F5A"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基金资产净值</w:t>
      </w:r>
      <w:r>
        <w:rPr>
          <w:rFonts w:ascii="宋体" w:hAnsi="宋体" w:hint="eastAsia"/>
          <w:color w:val="000000"/>
          <w:kern w:val="0"/>
          <w:sz w:val="24"/>
        </w:rPr>
        <w:t>：</w:t>
      </w:r>
      <w:r>
        <w:rPr>
          <w:rFonts w:ascii="宋体" w:hAnsi="宋体"/>
          <w:color w:val="000000"/>
          <w:kern w:val="0"/>
          <w:sz w:val="24"/>
        </w:rPr>
        <w:t>指基金资产总值减去基金负债后的价值</w:t>
      </w:r>
    </w:p>
    <w:p w14:paraId="287C9E4C"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hint="eastAsia"/>
          <w:color w:val="000000"/>
          <w:kern w:val="0"/>
          <w:sz w:val="24"/>
        </w:rPr>
        <w:t>基金份额净值：指计算日某类基金份额基金资产净值除以计算日该类基金份额总数。本基金通过每日计算基金收益并分配的方式，使基金份额的基金份额净值保持在人民币1.00 元</w:t>
      </w:r>
    </w:p>
    <w:p w14:paraId="4FD191D7"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基金资产估值：指计算评估基金</w:t>
      </w:r>
      <w:r>
        <w:rPr>
          <w:rFonts w:ascii="宋体" w:hAnsi="宋体" w:hint="eastAsia"/>
          <w:color w:val="000000"/>
          <w:kern w:val="0"/>
          <w:sz w:val="24"/>
        </w:rPr>
        <w:t>资产</w:t>
      </w:r>
      <w:r>
        <w:rPr>
          <w:rFonts w:ascii="宋体" w:hAnsi="宋体"/>
          <w:color w:val="000000"/>
          <w:kern w:val="0"/>
          <w:sz w:val="24"/>
        </w:rPr>
        <w:t>和负债的价值，以确定基金资产净值、各类基金份额的每万份基金已实现收益和7日年化收益率的过程</w:t>
      </w:r>
    </w:p>
    <w:p w14:paraId="35D4C2D7" w14:textId="77777777" w:rsidR="00090961" w:rsidRPr="004567E9" w:rsidRDefault="00090961">
      <w:pPr>
        <w:numPr>
          <w:ilvl w:val="0"/>
          <w:numId w:val="3"/>
        </w:numPr>
        <w:spacing w:line="360" w:lineRule="auto"/>
        <w:ind w:left="0" w:firstLine="426"/>
        <w:rPr>
          <w:rFonts w:ascii="宋体" w:hAnsi="宋体"/>
          <w:color w:val="000000"/>
          <w:kern w:val="0"/>
          <w:sz w:val="24"/>
        </w:rPr>
      </w:pPr>
      <w:r w:rsidRPr="004567E9">
        <w:rPr>
          <w:rFonts w:ascii="宋体" w:hAnsi="宋体" w:hint="eastAsia"/>
          <w:kern w:val="0"/>
          <w:sz w:val="24"/>
        </w:rPr>
        <w:t>流动性受限资产：指由于法律法规、监管、合同或操作障碍等原因无法以合理价格予以变现的资产，包括但不限于到期日在</w:t>
      </w:r>
      <w:r w:rsidRPr="004567E9">
        <w:rPr>
          <w:rFonts w:ascii="宋体" w:hAnsi="宋体"/>
          <w:kern w:val="0"/>
          <w:sz w:val="24"/>
        </w:rPr>
        <w:t>10</w:t>
      </w:r>
      <w:r w:rsidRPr="004567E9">
        <w:rPr>
          <w:rFonts w:ascii="宋体" w:hAnsi="宋体" w:hint="eastAsia"/>
          <w:kern w:val="0"/>
          <w:sz w:val="24"/>
        </w:rPr>
        <w:t>个交易日以上的逆回购与银行定期存款（含协议约定有条件提前支取的银行存款）、资产支持证券、因发行人债务违约无法进行转让或交易的债券等</w:t>
      </w:r>
    </w:p>
    <w:p w14:paraId="3E4394DD" w14:textId="77777777" w:rsidR="00D04107" w:rsidRDefault="000C2DB0">
      <w:pPr>
        <w:numPr>
          <w:ilvl w:val="0"/>
          <w:numId w:val="3"/>
        </w:numPr>
        <w:spacing w:line="360" w:lineRule="auto"/>
        <w:ind w:left="0" w:firstLine="426"/>
        <w:rPr>
          <w:rFonts w:ascii="宋体" w:hAnsi="宋体"/>
          <w:color w:val="000000"/>
          <w:kern w:val="0"/>
          <w:sz w:val="24"/>
        </w:rPr>
      </w:pPr>
      <w:r>
        <w:rPr>
          <w:rFonts w:ascii="宋体" w:hAnsi="宋体"/>
          <w:color w:val="000000"/>
          <w:kern w:val="0"/>
          <w:sz w:val="24"/>
        </w:rPr>
        <w:t>指定媒介</w:t>
      </w:r>
      <w:r>
        <w:rPr>
          <w:rFonts w:ascii="宋体" w:hAnsi="宋体" w:hint="eastAsia"/>
          <w:color w:val="000000"/>
          <w:kern w:val="0"/>
          <w:sz w:val="24"/>
        </w:rPr>
        <w:t>：</w:t>
      </w:r>
      <w:r>
        <w:rPr>
          <w:rFonts w:ascii="宋体" w:hAnsi="宋体"/>
          <w:color w:val="000000"/>
          <w:kern w:val="0"/>
          <w:sz w:val="24"/>
        </w:rPr>
        <w:t>指中国证监会指定的用以进行信息披露的报刊、互联网网站及其他媒介</w:t>
      </w:r>
    </w:p>
    <w:p w14:paraId="41B2A532" w14:textId="77777777" w:rsidR="000C2DB0" w:rsidRDefault="000C2DB0">
      <w:pPr>
        <w:numPr>
          <w:ilvl w:val="0"/>
          <w:numId w:val="3"/>
        </w:numPr>
        <w:spacing w:line="360" w:lineRule="auto"/>
        <w:ind w:left="0" w:firstLine="426"/>
        <w:rPr>
          <w:bCs/>
          <w:sz w:val="24"/>
        </w:rPr>
        <w:sectPr w:rsidR="000C2DB0">
          <w:footerReference w:type="default" r:id="rId17"/>
          <w:pgSz w:w="12240" w:h="15840"/>
          <w:pgMar w:top="1276" w:right="1800" w:bottom="1440" w:left="1800" w:header="720" w:footer="720" w:gutter="0"/>
          <w:pgNumType w:start="1"/>
          <w:cols w:space="720"/>
          <w:docGrid w:linePitch="286"/>
        </w:sectPr>
      </w:pPr>
      <w:r>
        <w:rPr>
          <w:rFonts w:ascii="宋体" w:hAnsi="宋体"/>
          <w:bCs/>
          <w:color w:val="000000"/>
          <w:kern w:val="0"/>
          <w:sz w:val="24"/>
        </w:rPr>
        <w:t>不可抗力</w:t>
      </w:r>
      <w:r>
        <w:rPr>
          <w:rFonts w:ascii="宋体" w:hAnsi="宋体" w:hint="eastAsia"/>
          <w:bCs/>
          <w:color w:val="000000"/>
          <w:kern w:val="0"/>
          <w:sz w:val="24"/>
        </w:rPr>
        <w:t>：</w:t>
      </w:r>
      <w:r>
        <w:rPr>
          <w:bCs/>
          <w:sz w:val="24"/>
        </w:rPr>
        <w:t>指</w:t>
      </w:r>
      <w:r>
        <w:rPr>
          <w:rFonts w:hint="eastAsia"/>
          <w:bCs/>
          <w:sz w:val="24"/>
        </w:rPr>
        <w:t>基金</w:t>
      </w:r>
      <w:r>
        <w:rPr>
          <w:bCs/>
          <w:sz w:val="24"/>
        </w:rPr>
        <w:t>合同当事人不能预见、不能避免且不能克服的客观事件</w:t>
      </w:r>
    </w:p>
    <w:p w14:paraId="7D7850DE" w14:textId="77777777" w:rsidR="00D04107" w:rsidRDefault="00D04107" w:rsidP="00997F76">
      <w:pPr>
        <w:spacing w:line="360" w:lineRule="auto"/>
        <w:rPr>
          <w:rFonts w:ascii="宋体" w:hAnsi="宋体"/>
          <w:color w:val="000000"/>
          <w:kern w:val="0"/>
          <w:sz w:val="24"/>
        </w:rPr>
      </w:pPr>
    </w:p>
    <w:p w14:paraId="0BC34F76" w14:textId="77777777" w:rsidR="00D04107" w:rsidRDefault="000C2DB0">
      <w:pPr>
        <w:pStyle w:val="1"/>
        <w:keepNext w:val="0"/>
        <w:keepLines w:val="0"/>
        <w:spacing w:line="360" w:lineRule="auto"/>
        <w:jc w:val="center"/>
        <w:rPr>
          <w:rFonts w:ascii="宋体" w:hAnsi="宋体"/>
          <w:color w:val="000000"/>
          <w:kern w:val="0"/>
          <w:sz w:val="24"/>
          <w:szCs w:val="24"/>
        </w:rPr>
      </w:pPr>
      <w:bookmarkStart w:id="12" w:name="_Toc256666912"/>
      <w:bookmarkStart w:id="13" w:name="_Toc482624791"/>
      <w:bookmarkStart w:id="14" w:name="_Toc9504"/>
      <w:bookmarkStart w:id="15" w:name="_Toc256666784"/>
      <w:bookmarkStart w:id="16" w:name="_Toc26120"/>
      <w:r>
        <w:rPr>
          <w:rFonts w:ascii="宋体" w:hAnsi="宋体" w:hint="eastAsia"/>
          <w:color w:val="000000"/>
          <w:kern w:val="0"/>
          <w:sz w:val="24"/>
          <w:szCs w:val="24"/>
        </w:rPr>
        <w:t>第三部分  基金管理人</w:t>
      </w:r>
      <w:bookmarkEnd w:id="12"/>
      <w:bookmarkEnd w:id="13"/>
      <w:bookmarkEnd w:id="14"/>
      <w:bookmarkEnd w:id="15"/>
      <w:bookmarkEnd w:id="16"/>
    </w:p>
    <w:p w14:paraId="5ECC0A41" w14:textId="77777777" w:rsidR="00D04107" w:rsidRDefault="000C2DB0">
      <w:pPr>
        <w:spacing w:line="360" w:lineRule="auto"/>
        <w:ind w:firstLineChars="200" w:firstLine="480"/>
        <w:rPr>
          <w:rFonts w:ascii="宋体" w:hAnsi="宋体"/>
          <w:color w:val="000000"/>
          <w:kern w:val="0"/>
          <w:sz w:val="24"/>
        </w:rPr>
      </w:pPr>
      <w:bookmarkStart w:id="17" w:name="_Toc88969216"/>
      <w:r>
        <w:rPr>
          <w:rFonts w:ascii="宋体" w:hAnsi="宋体" w:hint="eastAsia"/>
          <w:color w:val="000000"/>
          <w:kern w:val="0"/>
          <w:sz w:val="24"/>
        </w:rPr>
        <w:t>（一）基金管理人概况</w:t>
      </w:r>
    </w:p>
    <w:p w14:paraId="54B235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名称：富荣基金管理有限公司</w:t>
      </w:r>
    </w:p>
    <w:p w14:paraId="53C60F2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w:t>
      </w:r>
      <w:r>
        <w:rPr>
          <w:rFonts w:ascii="宋体" w:hAnsi="宋体"/>
          <w:color w:val="000000"/>
          <w:kern w:val="0"/>
          <w:sz w:val="24"/>
        </w:rPr>
        <w:t>地址</w:t>
      </w:r>
      <w:r>
        <w:rPr>
          <w:rFonts w:ascii="宋体" w:hAnsi="宋体" w:hint="eastAsia"/>
          <w:color w:val="000000"/>
          <w:kern w:val="0"/>
          <w:sz w:val="24"/>
        </w:rPr>
        <w:t xml:space="preserve">：广州市南沙区海滨路171号南沙金融大厦11楼1101之一J20室 </w:t>
      </w:r>
    </w:p>
    <w:p w14:paraId="704008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638BA0EE" w14:textId="7E1ADF4C"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7EA9A96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设立日期：2016年1月25日</w:t>
      </w:r>
    </w:p>
    <w:p w14:paraId="4DD466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批准设立机关：中国证监会 </w:t>
      </w:r>
    </w:p>
    <w:p w14:paraId="687A87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批准设立文号：证监许可【2015】3118号 </w:t>
      </w:r>
    </w:p>
    <w:p w14:paraId="3F9BA6A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5154756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注册资本：2亿元人民币</w:t>
      </w:r>
    </w:p>
    <w:p w14:paraId="302A025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存续期限：永续经营</w:t>
      </w:r>
    </w:p>
    <w:p w14:paraId="56A85D01" w14:textId="67F55D25"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w:t>
      </w:r>
      <w:r w:rsidR="00C432A4">
        <w:rPr>
          <w:rFonts w:ascii="宋体" w:hAnsi="宋体" w:hint="eastAsia"/>
          <w:color w:val="000000"/>
          <w:kern w:val="0"/>
          <w:sz w:val="24"/>
        </w:rPr>
        <w:t>罗艳</w:t>
      </w:r>
    </w:p>
    <w:p w14:paraId="1404DF4F" w14:textId="4B033C11"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联系电话：0755-</w:t>
      </w:r>
      <w:r w:rsidR="00A50C5B">
        <w:rPr>
          <w:rFonts w:ascii="宋体" w:hAnsi="宋体" w:hint="eastAsia"/>
          <w:color w:val="000000"/>
          <w:kern w:val="0"/>
          <w:sz w:val="24"/>
        </w:rPr>
        <w:t>8435663</w:t>
      </w:r>
      <w:r w:rsidR="00C432A4">
        <w:rPr>
          <w:rFonts w:ascii="宋体" w:hAnsi="宋体"/>
          <w:color w:val="000000"/>
          <w:kern w:val="0"/>
          <w:sz w:val="24"/>
        </w:rPr>
        <w:t>7</w:t>
      </w:r>
    </w:p>
    <w:p w14:paraId="19F79B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    真：0755-83230787</w:t>
      </w:r>
    </w:p>
    <w:p w14:paraId="4B11F0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股权结构：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D04107" w14:paraId="4CBB838B" w14:textId="77777777">
        <w:trPr>
          <w:jc w:val="center"/>
        </w:trPr>
        <w:tc>
          <w:tcPr>
            <w:tcW w:w="4250" w:type="dxa"/>
            <w:vAlign w:val="center"/>
          </w:tcPr>
          <w:p w14:paraId="0A42356F"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股东名称</w:t>
            </w:r>
          </w:p>
        </w:tc>
        <w:tc>
          <w:tcPr>
            <w:tcW w:w="1275" w:type="dxa"/>
            <w:vAlign w:val="center"/>
          </w:tcPr>
          <w:p w14:paraId="2908AC02" w14:textId="77777777" w:rsidR="00D04107" w:rsidRDefault="000C2DB0">
            <w:pPr>
              <w:spacing w:line="360" w:lineRule="auto"/>
              <w:jc w:val="center"/>
              <w:rPr>
                <w:rFonts w:ascii="宋体" w:hAnsi="宋体"/>
                <w:b/>
                <w:color w:val="000000"/>
                <w:kern w:val="0"/>
                <w:sz w:val="24"/>
              </w:rPr>
            </w:pPr>
            <w:r>
              <w:rPr>
                <w:rFonts w:ascii="宋体" w:hAnsi="宋体" w:hint="eastAsia"/>
                <w:b/>
                <w:color w:val="000000"/>
                <w:kern w:val="0"/>
                <w:sz w:val="24"/>
              </w:rPr>
              <w:t>出资比例</w:t>
            </w:r>
          </w:p>
        </w:tc>
      </w:tr>
      <w:tr w:rsidR="00D04107" w14:paraId="60F1FC7C" w14:textId="77777777">
        <w:trPr>
          <w:jc w:val="center"/>
        </w:trPr>
        <w:tc>
          <w:tcPr>
            <w:tcW w:w="4250" w:type="dxa"/>
            <w:vAlign w:val="center"/>
          </w:tcPr>
          <w:p w14:paraId="50B25BE3"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广州科技金融创新投资控股有限公司</w:t>
            </w:r>
          </w:p>
        </w:tc>
        <w:tc>
          <w:tcPr>
            <w:tcW w:w="1275" w:type="dxa"/>
            <w:vAlign w:val="center"/>
          </w:tcPr>
          <w:p w14:paraId="657BFEFC"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50%</w:t>
            </w:r>
          </w:p>
        </w:tc>
      </w:tr>
      <w:tr w:rsidR="00D04107" w14:paraId="1401F877" w14:textId="77777777">
        <w:trPr>
          <w:jc w:val="center"/>
        </w:trPr>
        <w:tc>
          <w:tcPr>
            <w:tcW w:w="4250" w:type="dxa"/>
            <w:vAlign w:val="center"/>
          </w:tcPr>
          <w:p w14:paraId="3E70135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深圳嘉年实业股份有限公司</w:t>
            </w:r>
          </w:p>
        </w:tc>
        <w:tc>
          <w:tcPr>
            <w:tcW w:w="1275" w:type="dxa"/>
            <w:vAlign w:val="center"/>
          </w:tcPr>
          <w:p w14:paraId="6CA1BDF9"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45.1%</w:t>
            </w:r>
          </w:p>
        </w:tc>
      </w:tr>
      <w:tr w:rsidR="00D04107" w14:paraId="310F8A8C" w14:textId="77777777">
        <w:trPr>
          <w:jc w:val="center"/>
        </w:trPr>
        <w:tc>
          <w:tcPr>
            <w:tcW w:w="4250" w:type="dxa"/>
            <w:vAlign w:val="center"/>
          </w:tcPr>
          <w:p w14:paraId="2AA59C36"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湖南典勤投资开发有限公司</w:t>
            </w:r>
          </w:p>
        </w:tc>
        <w:tc>
          <w:tcPr>
            <w:tcW w:w="1275" w:type="dxa"/>
            <w:vAlign w:val="center"/>
          </w:tcPr>
          <w:p w14:paraId="2E669930" w14:textId="77777777" w:rsidR="00D04107" w:rsidRDefault="000C2DB0">
            <w:pPr>
              <w:spacing w:line="360" w:lineRule="auto"/>
              <w:jc w:val="center"/>
              <w:rPr>
                <w:rFonts w:ascii="宋体" w:hAnsi="宋体"/>
                <w:color w:val="000000"/>
                <w:kern w:val="0"/>
                <w:sz w:val="24"/>
              </w:rPr>
            </w:pPr>
            <w:r>
              <w:rPr>
                <w:rFonts w:ascii="宋体" w:hAnsi="宋体" w:hint="eastAsia"/>
                <w:color w:val="000000"/>
                <w:kern w:val="0"/>
                <w:sz w:val="24"/>
              </w:rPr>
              <w:t>4.9%</w:t>
            </w:r>
          </w:p>
        </w:tc>
      </w:tr>
    </w:tbl>
    <w:p w14:paraId="3C42FAF8" w14:textId="77777777" w:rsidR="00D04107" w:rsidRDefault="00D04107">
      <w:pPr>
        <w:spacing w:line="360" w:lineRule="auto"/>
        <w:rPr>
          <w:rFonts w:ascii="宋体" w:hAnsi="宋体"/>
          <w:color w:val="000000"/>
          <w:kern w:val="0"/>
          <w:sz w:val="24"/>
        </w:rPr>
      </w:pPr>
    </w:p>
    <w:p w14:paraId="70A2DB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（二）主要人员情况</w:t>
      </w:r>
    </w:p>
    <w:p w14:paraId="32C4FA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1、董事会成员</w:t>
      </w:r>
    </w:p>
    <w:p w14:paraId="49BEC0CE" w14:textId="46D32749" w:rsidR="00D04107" w:rsidRDefault="00AA215E">
      <w:pPr>
        <w:spacing w:line="360" w:lineRule="auto"/>
        <w:ind w:firstLineChars="200" w:firstLine="480"/>
        <w:rPr>
          <w:rFonts w:ascii="宋体" w:hAnsi="宋体"/>
          <w:color w:val="000000"/>
          <w:kern w:val="0"/>
          <w:sz w:val="24"/>
        </w:rPr>
      </w:pPr>
      <w:r w:rsidRPr="00AA215E">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w:t>
      </w:r>
      <w:r w:rsidRPr="00AA215E">
        <w:rPr>
          <w:rFonts w:ascii="宋体" w:hAnsi="宋体" w:hint="eastAsia"/>
          <w:color w:val="000000"/>
          <w:kern w:val="0"/>
          <w:sz w:val="24"/>
        </w:rPr>
        <w:lastRenderedPageBreak/>
        <w:t>长、广发银行沈阳直属支行行长助理、副行长、行长兼党委书记、广发银行沈阳分行行长兼党委书记、广发银行深圳分行行长兼党委书记。</w:t>
      </w:r>
    </w:p>
    <w:p w14:paraId="35F76F9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7081862A"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罗劲先生，董事，湖南大学工商管理硕士。曾任广州农村商业银行股份有限公司华夏支行集团客户事业部副总经理。现任广州汇垠澳丰股权投资基金管理有限公司常务副总经理、</w:t>
      </w:r>
      <w:r w:rsidRPr="00EF1C4A">
        <w:rPr>
          <w:rFonts w:ascii="宋体" w:hAnsi="宋体" w:hint="eastAsia"/>
          <w:color w:val="000000"/>
          <w:kern w:val="0"/>
          <w:sz w:val="24"/>
        </w:rPr>
        <w:t>四川汇源光通信股份有限公司</w:t>
      </w:r>
      <w:r>
        <w:rPr>
          <w:rFonts w:ascii="宋体" w:hAnsi="宋体" w:hint="eastAsia"/>
          <w:color w:val="000000"/>
          <w:kern w:val="0"/>
          <w:sz w:val="24"/>
        </w:rPr>
        <w:t>董事长、富荣基金管理有限公司董事。</w:t>
      </w:r>
    </w:p>
    <w:p w14:paraId="3404F8F0"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郭涛先生，董事，上海高级金融学院研究生（在读）。现任深圳市益德置业有限公司总经理、深圳福元德租赁有限公司董事长兼总经理、深圳融博融资租赁有限公司董事长兼总经理、深圳市天汇鑫达担保有限公司总经理、深圳市亿尔德投资有限公司法人、嘉年实业股份有限公司董事、富荣基金管理有限公司董事。</w:t>
      </w:r>
    </w:p>
    <w:p w14:paraId="3DCED6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李峰先生，独立董事，芝加哥大学会计学博士。现任职美国密歇根大学Ross商学院终身教授、上海交通大学上海金融学院访问教授、上海宏力达信息技术股份有限公司独立董事、银科投资控股有限公司独立董事、富荣基金管理有限公司独立董事。</w:t>
      </w:r>
    </w:p>
    <w:p w14:paraId="4305A34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林斌先生，独立董事，厦门大学经济学博士。现任中山大学管理学院会计学系教授、富荣基金管理有限公司独立董事。</w:t>
      </w:r>
    </w:p>
    <w:p w14:paraId="4A56197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余关健先生，独立董事，西南财经大学工业经济硕士研究生。曾任中国银行深圳分行信贷处处长、中国银行深圳分行风险管理处处长、深圳赛格、深圳特发集团董事、邦信资产管理公司董事总经理、对外贸易集团股份有限公司董事长、东方资产管理公司办事处总经理，现任东银实业（深圳）有限公司董事、深圳金田股份有限公司独立董事、富荣基金管理有限公司独立董事。</w:t>
      </w:r>
    </w:p>
    <w:p w14:paraId="641C8E73"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2、监事会成员</w:t>
      </w:r>
    </w:p>
    <w:p w14:paraId="3691BAE7"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基金管理人不设监事会，设监事两名，其中一名为职工监事。</w:t>
      </w:r>
    </w:p>
    <w:p w14:paraId="0FBC03B1" w14:textId="77777777" w:rsidR="00F668EB" w:rsidRDefault="00F668EB" w:rsidP="00F668EB">
      <w:pPr>
        <w:spacing w:line="360" w:lineRule="auto"/>
        <w:ind w:firstLineChars="200" w:firstLine="480"/>
        <w:rPr>
          <w:rFonts w:ascii="宋体" w:hAnsi="宋体"/>
          <w:color w:val="000000"/>
          <w:kern w:val="0"/>
          <w:sz w:val="24"/>
        </w:rPr>
      </w:pPr>
      <w:r>
        <w:rPr>
          <w:rFonts w:ascii="宋体" w:hAnsi="宋体" w:hint="eastAsia"/>
          <w:color w:val="000000"/>
          <w:kern w:val="0"/>
          <w:sz w:val="24"/>
        </w:rPr>
        <w:t>卢伟女士，监事，大专。在盈投控股有限公司任职，现任富荣基金管理有限公司监事。</w:t>
      </w:r>
    </w:p>
    <w:p w14:paraId="3AE653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毛志华先生，职工监事，本科。现任富荣基金管理有限公司监事。</w:t>
      </w:r>
    </w:p>
    <w:p w14:paraId="3122EF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3、高级管理人员</w:t>
      </w:r>
    </w:p>
    <w:p w14:paraId="24399BF8" w14:textId="6BBAC472" w:rsidR="00D04107" w:rsidRDefault="00AA215E">
      <w:pPr>
        <w:spacing w:line="360" w:lineRule="auto"/>
        <w:ind w:firstLineChars="200" w:firstLine="480"/>
        <w:rPr>
          <w:rFonts w:ascii="宋体" w:hAnsi="宋体"/>
          <w:color w:val="000000"/>
          <w:kern w:val="0"/>
          <w:sz w:val="24"/>
        </w:rPr>
      </w:pPr>
      <w:r w:rsidRPr="00AA215E">
        <w:rPr>
          <w:rFonts w:ascii="宋体" w:hAnsi="宋体" w:hint="eastAsia"/>
          <w:color w:val="000000"/>
          <w:kern w:val="0"/>
          <w:sz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51212F3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011C4A30" w14:textId="77777777" w:rsidR="000E245B" w:rsidRDefault="000E245B" w:rsidP="000E245B">
      <w:pPr>
        <w:spacing w:line="360" w:lineRule="auto"/>
        <w:ind w:firstLineChars="200" w:firstLine="480"/>
        <w:rPr>
          <w:rFonts w:ascii="宋体" w:hAnsi="宋体"/>
          <w:color w:val="000000"/>
          <w:kern w:val="0"/>
          <w:sz w:val="24"/>
        </w:rPr>
      </w:pPr>
      <w:r w:rsidRPr="000E245B">
        <w:rPr>
          <w:rFonts w:ascii="宋体" w:hAnsi="宋体" w:hint="eastAsia"/>
          <w:color w:val="000000"/>
          <w:kern w:val="0"/>
          <w:sz w:val="24"/>
        </w:rPr>
        <w:t>苏春华先生,副总经理、首席投资官，中山大学硕士研究生，曾任广州期货贸易有限公司期货研究员、君安证券广州营业部高级分析员、光大银行广州证券部副经理兼研究室主任、广州银行资金营运中心总经理兼首席交易员，历任广东华兴银行金融市场部总经理、金融市场条线业务总监、总行副行长，现任富荣基金管理有限公司副总经理、首席投资官。</w:t>
      </w:r>
    </w:p>
    <w:p w14:paraId="3556CFAE" w14:textId="0BDFC0E0" w:rsidR="00325265" w:rsidRDefault="00325265" w:rsidP="000E245B">
      <w:pPr>
        <w:spacing w:line="360" w:lineRule="auto"/>
        <w:ind w:firstLineChars="200" w:firstLine="480"/>
        <w:rPr>
          <w:rFonts w:ascii="宋体" w:hAnsi="宋体"/>
          <w:color w:val="000000"/>
          <w:kern w:val="0"/>
          <w:sz w:val="24"/>
        </w:rPr>
      </w:pPr>
      <w:r>
        <w:rPr>
          <w:rFonts w:ascii="宋体" w:hAnsi="宋体" w:hint="eastAsia"/>
          <w:color w:val="000000"/>
          <w:kern w:val="0"/>
          <w:sz w:val="24"/>
        </w:rPr>
        <w:t>林峰先生</w:t>
      </w:r>
      <w:r>
        <w:rPr>
          <w:rFonts w:ascii="宋体" w:hAnsi="宋体"/>
          <w:color w:val="000000"/>
          <w:kern w:val="0"/>
          <w:sz w:val="24"/>
        </w:rPr>
        <w:t>，</w:t>
      </w:r>
      <w:r w:rsidR="0074594E" w:rsidRPr="0074594E">
        <w:rPr>
          <w:rFonts w:ascii="宋体" w:hAnsi="宋体" w:hint="eastAsia"/>
          <w:color w:val="000000"/>
          <w:kern w:val="0"/>
          <w:sz w:val="24"/>
        </w:rPr>
        <w:t>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21F6F74A" w14:textId="24737C03" w:rsidR="00C432A4" w:rsidRDefault="00C432A4" w:rsidP="000E245B">
      <w:pPr>
        <w:spacing w:line="360" w:lineRule="auto"/>
        <w:ind w:firstLineChars="200" w:firstLine="480"/>
        <w:rPr>
          <w:rFonts w:ascii="宋体" w:hAnsi="宋体"/>
          <w:color w:val="000000"/>
          <w:kern w:val="0"/>
          <w:sz w:val="24"/>
        </w:rPr>
      </w:pPr>
      <w:r w:rsidRPr="00C432A4">
        <w:rPr>
          <w:rFonts w:ascii="宋体" w:hAnsi="宋体" w:hint="eastAsia"/>
          <w:color w:val="000000"/>
          <w:kern w:val="0"/>
          <w:sz w:val="24"/>
        </w:rPr>
        <w:t>李东育先生，副总经理，中山大学岭南学院EMBA硕士，曾任银河基金管理有限公司华南地区渠道销售销售总监，泰达宏利基金管理有限公司华南区总经理，金信基金管理有限公司总经理助理，华润元大基金管理有限公司总经理助理。现任富荣基金管理有限公司副总经理，分管市场、信息技术、基金事务管理等板块工作。</w:t>
      </w:r>
    </w:p>
    <w:p w14:paraId="5E6A21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滕大江先生，督察长，中南大学工学学士，先后供职于平安证券、平安大华基金管理有限公司、前海开源基金管理有限公司监察稽核部门。现任富荣基金管理有限公司督察长。</w:t>
      </w:r>
    </w:p>
    <w:p w14:paraId="2895ED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4、本基金基金经理</w:t>
      </w:r>
    </w:p>
    <w:p w14:paraId="1ABDD202" w14:textId="77777777" w:rsidR="000C2DB0" w:rsidRPr="005A702F" w:rsidRDefault="000C2DB0" w:rsidP="00997F76">
      <w:pPr>
        <w:adjustRightInd w:val="0"/>
        <w:snapToGrid w:val="0"/>
        <w:spacing w:line="360" w:lineRule="auto"/>
        <w:ind w:firstLineChars="200" w:firstLine="480"/>
        <w:rPr>
          <w:color w:val="000000"/>
          <w:sz w:val="24"/>
          <w:shd w:val="clear" w:color="auto" w:fill="FFFFFF"/>
        </w:rPr>
      </w:pPr>
      <w:r w:rsidRPr="00997F76">
        <w:rPr>
          <w:rFonts w:hint="eastAsia"/>
          <w:color w:val="000000"/>
          <w:sz w:val="24"/>
          <w:shd w:val="clear" w:color="auto" w:fill="FFFFFF"/>
        </w:rPr>
        <w:t>吕晓蓉女士</w:t>
      </w:r>
      <w:r w:rsidRPr="005A702F">
        <w:rPr>
          <w:rFonts w:ascii="Arial Unicode MS" w:hAnsi="Arial Unicode MS" w:hint="eastAsia"/>
          <w:kern w:val="0"/>
          <w:sz w:val="24"/>
        </w:rPr>
        <w:t>，</w:t>
      </w:r>
      <w:r w:rsidRPr="005A702F">
        <w:rPr>
          <w:rFonts w:hint="eastAsia"/>
          <w:color w:val="000000"/>
          <w:sz w:val="24"/>
          <w:shd w:val="clear" w:color="auto" w:fill="FFFFFF"/>
        </w:rPr>
        <w:t>清华大学工商管理硕士，曾任普华永道中天会计师事务所审计师、嘉实基金管理有限公司组合头寸管理、新股、信用债、转债研究员</w:t>
      </w:r>
      <w:r w:rsidR="00BC3D40">
        <w:rPr>
          <w:rFonts w:hint="eastAsia"/>
          <w:color w:val="000000"/>
          <w:sz w:val="24"/>
          <w:shd w:val="clear" w:color="auto" w:fill="FFFFFF"/>
        </w:rPr>
        <w:t>。</w:t>
      </w:r>
      <w:r w:rsidRPr="00997F76">
        <w:rPr>
          <w:rFonts w:hint="eastAsia"/>
          <w:color w:val="000000"/>
          <w:sz w:val="24"/>
          <w:shd w:val="clear" w:color="auto" w:fill="FFFFFF"/>
        </w:rPr>
        <w:t>现任富荣基金</w:t>
      </w:r>
      <w:r w:rsidRPr="00997F76">
        <w:rPr>
          <w:rFonts w:hint="eastAsia"/>
          <w:color w:val="000000"/>
          <w:sz w:val="24"/>
          <w:shd w:val="clear" w:color="auto" w:fill="FFFFFF"/>
        </w:rPr>
        <w:lastRenderedPageBreak/>
        <w:t>管理有限公司基金经理。</w:t>
      </w:r>
    </w:p>
    <w:p w14:paraId="7F2E56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5、投资决策委员会成员的姓名、职务</w:t>
      </w:r>
    </w:p>
    <w:p w14:paraId="2FAD69DF"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郭容辰女士，投资决策委员会主任委员、总经理。</w:t>
      </w:r>
    </w:p>
    <w:p w14:paraId="2AC3625C"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苏春华先生，投资决策委员会副主任委员、副总经理、首席投资官。</w:t>
      </w:r>
    </w:p>
    <w:p w14:paraId="24A12ECD"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林峰先生，投资决策委员会委员、副总经理。</w:t>
      </w:r>
    </w:p>
    <w:p w14:paraId="568D3DF8"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吕晓蓉女士，投资决策委员会委员、基金经理。</w:t>
      </w:r>
    </w:p>
    <w:p w14:paraId="038F4896" w14:textId="77777777" w:rsidR="0074594E" w:rsidRPr="0074594E" w:rsidRDefault="0074594E" w:rsidP="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邓宇翔先生，投资决策委员会委员、权益投资部总监、研究部总监、基金经理。</w:t>
      </w:r>
    </w:p>
    <w:p w14:paraId="2AE04EC7" w14:textId="77777777" w:rsidR="00222FFB" w:rsidRDefault="0074594E">
      <w:pPr>
        <w:spacing w:line="360" w:lineRule="auto"/>
        <w:ind w:firstLineChars="200" w:firstLine="480"/>
        <w:rPr>
          <w:rFonts w:ascii="宋体" w:hAnsi="宋体"/>
          <w:color w:val="000000"/>
          <w:kern w:val="0"/>
          <w:sz w:val="24"/>
        </w:rPr>
      </w:pPr>
      <w:r w:rsidRPr="0074594E">
        <w:rPr>
          <w:rFonts w:ascii="宋体" w:hAnsi="宋体" w:hint="eastAsia"/>
          <w:color w:val="000000"/>
          <w:kern w:val="0"/>
          <w:sz w:val="24"/>
        </w:rPr>
        <w:t>万方毅女士，投资决策委员会委员、固定收益部</w:t>
      </w:r>
      <w:r w:rsidR="002E06DC">
        <w:rPr>
          <w:rFonts w:ascii="宋体" w:hAnsi="宋体" w:hint="eastAsia"/>
          <w:color w:val="000000"/>
          <w:kern w:val="0"/>
          <w:sz w:val="24"/>
        </w:rPr>
        <w:t>副</w:t>
      </w:r>
      <w:r w:rsidRPr="0074594E">
        <w:rPr>
          <w:rFonts w:ascii="宋体" w:hAnsi="宋体" w:hint="eastAsia"/>
          <w:color w:val="000000"/>
          <w:kern w:val="0"/>
          <w:sz w:val="24"/>
        </w:rPr>
        <w:t>总监。</w:t>
      </w:r>
    </w:p>
    <w:p w14:paraId="7A3AE9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6、上述人员之间不存在近亲属关系。</w:t>
      </w:r>
    </w:p>
    <w:p w14:paraId="41106F17" w14:textId="77777777" w:rsidR="00D04107" w:rsidRDefault="000C2DB0">
      <w:pPr>
        <w:spacing w:line="360" w:lineRule="auto"/>
        <w:ind w:firstLineChars="200" w:firstLine="480"/>
        <w:rPr>
          <w:rFonts w:ascii="宋体" w:hAnsi="宋体"/>
          <w:color w:val="000000"/>
          <w:kern w:val="0"/>
          <w:sz w:val="24"/>
        </w:rPr>
      </w:pPr>
      <w:bookmarkStart w:id="18" w:name="_Toc88969222"/>
      <w:bookmarkEnd w:id="17"/>
      <w:r>
        <w:rPr>
          <w:rFonts w:ascii="宋体" w:hAnsi="宋体" w:hint="eastAsia"/>
          <w:color w:val="000000"/>
          <w:kern w:val="0"/>
          <w:sz w:val="24"/>
        </w:rPr>
        <w:t>（三）基金管理人的职责</w:t>
      </w:r>
    </w:p>
    <w:p w14:paraId="2E8296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依法募集</w:t>
      </w:r>
      <w:r>
        <w:rPr>
          <w:rFonts w:ascii="宋体" w:hAnsi="宋体" w:hint="eastAsia"/>
          <w:color w:val="000000"/>
          <w:kern w:val="0"/>
          <w:sz w:val="24"/>
        </w:rPr>
        <w:t>资</w:t>
      </w:r>
      <w:r>
        <w:rPr>
          <w:rFonts w:ascii="宋体" w:hAnsi="宋体"/>
          <w:color w:val="000000"/>
          <w:kern w:val="0"/>
          <w:sz w:val="24"/>
        </w:rPr>
        <w:t>金，办理基金份额的发售和登记事宜；</w:t>
      </w:r>
    </w:p>
    <w:p w14:paraId="62C362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color w:val="000000"/>
          <w:kern w:val="0"/>
          <w:sz w:val="24"/>
        </w:rPr>
        <w:t>办理基金备案手续；</w:t>
      </w:r>
    </w:p>
    <w:p w14:paraId="7CAAFE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w:t>
      </w:r>
      <w:r>
        <w:rPr>
          <w:rFonts w:ascii="宋体" w:hAnsi="宋体"/>
          <w:color w:val="000000"/>
          <w:kern w:val="0"/>
          <w:sz w:val="24"/>
        </w:rPr>
        <w:t>对所管理的不同基金</w:t>
      </w:r>
      <w:r>
        <w:rPr>
          <w:rFonts w:ascii="宋体" w:hAnsi="宋体" w:hint="eastAsia"/>
          <w:color w:val="000000"/>
          <w:kern w:val="0"/>
          <w:sz w:val="24"/>
        </w:rPr>
        <w:t>财</w:t>
      </w:r>
      <w:r>
        <w:rPr>
          <w:rFonts w:ascii="宋体" w:hAnsi="宋体"/>
          <w:color w:val="000000"/>
          <w:kern w:val="0"/>
          <w:sz w:val="24"/>
        </w:rPr>
        <w:t>产分别管理、分别记账，进行证券投资；</w:t>
      </w:r>
    </w:p>
    <w:p w14:paraId="46F12E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w:t>
      </w:r>
      <w:r>
        <w:rPr>
          <w:rFonts w:ascii="宋体" w:hAnsi="宋体"/>
          <w:color w:val="000000"/>
          <w:kern w:val="0"/>
          <w:sz w:val="24"/>
        </w:rPr>
        <w:t>按照</w:t>
      </w:r>
      <w:r>
        <w:rPr>
          <w:rFonts w:ascii="宋体" w:hAnsi="宋体" w:hint="eastAsia"/>
          <w:color w:val="000000"/>
          <w:kern w:val="0"/>
          <w:sz w:val="24"/>
        </w:rPr>
        <w:t>《</w:t>
      </w:r>
      <w:r>
        <w:rPr>
          <w:rFonts w:ascii="宋体" w:hAnsi="宋体"/>
          <w:color w:val="000000"/>
          <w:kern w:val="0"/>
          <w:sz w:val="24"/>
        </w:rPr>
        <w:t>基金合同</w:t>
      </w:r>
      <w:r>
        <w:rPr>
          <w:rFonts w:ascii="宋体" w:hAnsi="宋体" w:hint="eastAsia"/>
          <w:color w:val="000000"/>
          <w:kern w:val="0"/>
          <w:sz w:val="24"/>
        </w:rPr>
        <w:t>》及有关法律法规的规定确定</w:t>
      </w:r>
      <w:r>
        <w:rPr>
          <w:rFonts w:ascii="宋体" w:hAnsi="宋体"/>
          <w:color w:val="000000"/>
          <w:kern w:val="0"/>
          <w:sz w:val="24"/>
        </w:rPr>
        <w:t>基金收益分配方案，及时向基金份额持有人分配收益；</w:t>
      </w:r>
    </w:p>
    <w:p w14:paraId="2D9EC1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w:t>
      </w:r>
      <w:r>
        <w:rPr>
          <w:rFonts w:ascii="宋体" w:hAnsi="宋体"/>
          <w:color w:val="000000"/>
          <w:kern w:val="0"/>
          <w:sz w:val="24"/>
        </w:rPr>
        <w:t>进行基金会计核算并编制基金财务会计报告；</w:t>
      </w:r>
    </w:p>
    <w:p w14:paraId="3E77EB7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6、编制季报、半年报和年度基金报告；</w:t>
      </w:r>
    </w:p>
    <w:p w14:paraId="199075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w:t>
      </w:r>
      <w:r>
        <w:rPr>
          <w:rFonts w:ascii="宋体" w:hAnsi="宋体"/>
          <w:color w:val="000000"/>
          <w:kern w:val="0"/>
          <w:sz w:val="24"/>
        </w:rPr>
        <w:t>、</w:t>
      </w:r>
      <w:r>
        <w:rPr>
          <w:rFonts w:ascii="宋体" w:hAnsi="宋体" w:hint="eastAsia"/>
          <w:color w:val="000000"/>
          <w:kern w:val="0"/>
          <w:sz w:val="24"/>
        </w:rPr>
        <w:t>采取适当</w:t>
      </w:r>
      <w:r>
        <w:rPr>
          <w:rFonts w:ascii="宋体" w:hAnsi="宋体"/>
          <w:color w:val="000000"/>
          <w:kern w:val="0"/>
          <w:sz w:val="24"/>
        </w:rPr>
        <w:t>合理的措施</w:t>
      </w:r>
      <w:r>
        <w:rPr>
          <w:rFonts w:ascii="宋体" w:hAnsi="宋体" w:hint="eastAsia"/>
          <w:color w:val="000000"/>
          <w:kern w:val="0"/>
          <w:sz w:val="24"/>
        </w:rPr>
        <w:t>使</w:t>
      </w:r>
      <w:r>
        <w:rPr>
          <w:rFonts w:ascii="宋体" w:hAnsi="宋体"/>
          <w:color w:val="000000"/>
          <w:kern w:val="0"/>
          <w:sz w:val="24"/>
        </w:rPr>
        <w:t>计算基金份额认购、申购、赎回和注销价格的方法符合《</w:t>
      </w:r>
      <w:r>
        <w:rPr>
          <w:rFonts w:ascii="宋体" w:hAnsi="宋体" w:hint="eastAsia"/>
          <w:color w:val="000000"/>
          <w:kern w:val="0"/>
          <w:sz w:val="24"/>
        </w:rPr>
        <w:t>基金</w:t>
      </w:r>
      <w:r>
        <w:rPr>
          <w:rFonts w:ascii="宋体" w:hAnsi="宋体"/>
          <w:color w:val="000000"/>
          <w:kern w:val="0"/>
          <w:sz w:val="24"/>
        </w:rPr>
        <w:t>合同》</w:t>
      </w:r>
      <w:r>
        <w:rPr>
          <w:rFonts w:ascii="宋体" w:hAnsi="宋体" w:hint="eastAsia"/>
          <w:color w:val="000000"/>
          <w:kern w:val="0"/>
          <w:sz w:val="24"/>
        </w:rPr>
        <w:t>等</w:t>
      </w:r>
      <w:r>
        <w:rPr>
          <w:rFonts w:ascii="宋体" w:hAnsi="宋体"/>
          <w:color w:val="000000"/>
          <w:kern w:val="0"/>
          <w:sz w:val="24"/>
        </w:rPr>
        <w:t>法律文件的规定，按有关规定计算并公告</w:t>
      </w:r>
      <w:r>
        <w:rPr>
          <w:rFonts w:ascii="宋体" w:hAnsi="宋体" w:hint="eastAsia"/>
          <w:color w:val="000000"/>
          <w:kern w:val="0"/>
          <w:sz w:val="24"/>
        </w:rPr>
        <w:t>基金资产净值、各类基金份额的每万份基金已实现收益和7日年化收益率</w:t>
      </w:r>
      <w:r>
        <w:rPr>
          <w:rFonts w:ascii="宋体" w:hAnsi="宋体"/>
          <w:color w:val="000000"/>
          <w:kern w:val="0"/>
          <w:sz w:val="24"/>
        </w:rPr>
        <w:t>；</w:t>
      </w:r>
    </w:p>
    <w:p w14:paraId="55E7E24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w:t>
      </w:r>
      <w:r>
        <w:rPr>
          <w:rFonts w:ascii="宋体" w:hAnsi="宋体"/>
          <w:color w:val="000000"/>
          <w:kern w:val="0"/>
          <w:sz w:val="24"/>
        </w:rPr>
        <w:t>、办理与基金</w:t>
      </w:r>
      <w:r>
        <w:rPr>
          <w:rFonts w:ascii="宋体" w:hAnsi="宋体" w:hint="eastAsia"/>
          <w:color w:val="000000"/>
          <w:kern w:val="0"/>
          <w:sz w:val="24"/>
        </w:rPr>
        <w:t>财</w:t>
      </w:r>
      <w:r>
        <w:rPr>
          <w:rFonts w:ascii="宋体" w:hAnsi="宋体"/>
          <w:color w:val="000000"/>
          <w:kern w:val="0"/>
          <w:sz w:val="24"/>
        </w:rPr>
        <w:t>产管理业务活动有关的信息披露事项；</w:t>
      </w:r>
    </w:p>
    <w:p w14:paraId="3BE1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w:t>
      </w:r>
      <w:r>
        <w:rPr>
          <w:rFonts w:ascii="宋体" w:hAnsi="宋体"/>
          <w:color w:val="000000"/>
          <w:kern w:val="0"/>
          <w:sz w:val="24"/>
        </w:rPr>
        <w:t>、</w:t>
      </w:r>
      <w:r>
        <w:rPr>
          <w:rFonts w:ascii="宋体" w:hAnsi="宋体" w:hint="eastAsia"/>
          <w:color w:val="000000"/>
          <w:kern w:val="0"/>
          <w:sz w:val="24"/>
        </w:rPr>
        <w:t>按照规定</w:t>
      </w:r>
      <w:r>
        <w:rPr>
          <w:rFonts w:ascii="宋体" w:hAnsi="宋体"/>
          <w:color w:val="000000"/>
          <w:kern w:val="0"/>
          <w:sz w:val="24"/>
        </w:rPr>
        <w:t>召集基金份额持有人大会；</w:t>
      </w:r>
    </w:p>
    <w:p w14:paraId="4B1ED3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Pr>
          <w:rFonts w:ascii="宋体" w:hAnsi="宋体"/>
          <w:color w:val="000000"/>
          <w:kern w:val="0"/>
          <w:sz w:val="24"/>
        </w:rPr>
        <w:t>、保存基金</w:t>
      </w:r>
      <w:r>
        <w:rPr>
          <w:rFonts w:ascii="宋体" w:hAnsi="宋体" w:hint="eastAsia"/>
          <w:color w:val="000000"/>
          <w:kern w:val="0"/>
          <w:sz w:val="24"/>
        </w:rPr>
        <w:t>财</w:t>
      </w:r>
      <w:r>
        <w:rPr>
          <w:rFonts w:ascii="宋体" w:hAnsi="宋体"/>
          <w:color w:val="000000"/>
          <w:kern w:val="0"/>
          <w:sz w:val="24"/>
        </w:rPr>
        <w:t>产管理业务活动的记录、账册、报表和其他相关资料；</w:t>
      </w:r>
    </w:p>
    <w:p w14:paraId="78B421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w:t>
      </w:r>
      <w:r>
        <w:rPr>
          <w:rFonts w:ascii="宋体" w:hAnsi="宋体"/>
          <w:color w:val="000000"/>
          <w:kern w:val="0"/>
          <w:sz w:val="24"/>
        </w:rPr>
        <w:t>、以基金管理人名义，代表基金份额持有人利益行使诉讼权利或者实施其他法律行为；</w:t>
      </w:r>
    </w:p>
    <w:p w14:paraId="31858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w:t>
      </w:r>
      <w:r>
        <w:rPr>
          <w:rFonts w:ascii="宋体" w:hAnsi="宋体"/>
          <w:color w:val="000000"/>
          <w:kern w:val="0"/>
          <w:sz w:val="24"/>
        </w:rPr>
        <w:t>、中国证监会规定的其他职责。</w:t>
      </w:r>
    </w:p>
    <w:p w14:paraId="6A414C9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（四）基金管理人承诺</w:t>
      </w:r>
    </w:p>
    <w:p w14:paraId="66248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1、本基金管理人将根据基金合同的规定，按照招募说明书列明的投资目标、策</w:t>
      </w:r>
      <w:r>
        <w:rPr>
          <w:rFonts w:ascii="宋体" w:hAnsi="宋体" w:hint="eastAsia"/>
          <w:color w:val="000000"/>
          <w:kern w:val="0"/>
          <w:sz w:val="24"/>
        </w:rPr>
        <w:lastRenderedPageBreak/>
        <w:t xml:space="preserve">略及限制等全权处理本基金的投资。 </w:t>
      </w:r>
    </w:p>
    <w:p w14:paraId="2364CE9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2、本基金管理人不从事违反《中华人民共和国证券法》的行为，并建立健全内部控制制度，采取有效措施，防止违反《中华人民共和国证券法》行为的发生。 </w:t>
      </w:r>
    </w:p>
    <w:p w14:paraId="6D55E0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3、本基金管理人不从事违反《基金法》的行为，并建立健全内部控制制度，采取有效措施，保证基金财产不用于下列投资或者活动：</w:t>
      </w:r>
    </w:p>
    <w:p w14:paraId="12992FA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（1）承销证券； </w:t>
      </w:r>
    </w:p>
    <w:p w14:paraId="19C6F02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（2）违反规定向他人贷款或者提供担保； </w:t>
      </w:r>
    </w:p>
    <w:p w14:paraId="7FF85FCF"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（3）从事承担无限责任的投资； </w:t>
      </w:r>
    </w:p>
    <w:p w14:paraId="76807F42"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（4）买卖其他基金份额，但是中国证监会另有规定的除外； </w:t>
      </w:r>
    </w:p>
    <w:p w14:paraId="3A9EF8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（5）向其基金管理人、基金托管人出资</w:t>
      </w:r>
      <w:r>
        <w:rPr>
          <w:rFonts w:ascii="宋体" w:hAnsi="宋体" w:hint="eastAsia"/>
          <w:color w:val="000000"/>
          <w:kern w:val="0"/>
          <w:sz w:val="24"/>
        </w:rPr>
        <w:t>；</w:t>
      </w:r>
    </w:p>
    <w:p w14:paraId="7FC11A07"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（6）从事内幕交易、操纵证券交易价格及其他不正当的证券交易活动； </w:t>
      </w:r>
    </w:p>
    <w:p w14:paraId="2E106EA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（7）法律、行政法规和中国证监会规定禁止的其他活动</w:t>
      </w:r>
      <w:r>
        <w:rPr>
          <w:rFonts w:ascii="宋体" w:hAnsi="宋体" w:hint="eastAsia"/>
          <w:color w:val="000000"/>
          <w:kern w:val="0"/>
          <w:sz w:val="24"/>
        </w:rPr>
        <w:t>。</w:t>
      </w:r>
    </w:p>
    <w:p w14:paraId="477132DD"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基金管理人运用基金财产买卖基金管理人、基金托管人及其控股股东、实际控制人或者与其有重大利害关系的公司发行的证券或者承销期内承销的证券，或者从事其他重大关联交易的，应当符合本基金的投资目标和投资策略，遵循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基金管理人董事会应至少每半年对关联交易事项进行审查。 </w:t>
      </w:r>
    </w:p>
    <w:p w14:paraId="5CB9255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法律、行政法规或监管部门取消或变更上述限制，如适用于本基金，基金管理人在履行适当程序后，则本基金投资不再受相关限制，或以变更后的规定为准，不需要经基金份额持有人大会审议，但须提前公告。 </w:t>
      </w:r>
    </w:p>
    <w:p w14:paraId="45DA91B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4、本基金管理人将加强人员管理，强化职业操守，督促和约束员工遵守国家有关法律、法规及行业规范，诚实信用、勤勉尽责，不从事以下行为： </w:t>
      </w:r>
    </w:p>
    <w:p w14:paraId="6D15C14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（1）将其固有财产或者他人财产混同于基金财产从事证券投资； </w:t>
      </w:r>
    </w:p>
    <w:p w14:paraId="76A55EF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（2）不公平地对待其管理的不同基金财产； </w:t>
      </w:r>
    </w:p>
    <w:p w14:paraId="413837C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（3）利用基金财产或职务之便为基金份额持有人以外的第三人牟取利益； </w:t>
      </w:r>
    </w:p>
    <w:p w14:paraId="24C0298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（4）向基金份额持有人违规承诺收益或者承担损失； </w:t>
      </w:r>
    </w:p>
    <w:p w14:paraId="7B06EDC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lastRenderedPageBreak/>
        <w:t xml:space="preserve">（5）侵占、挪用基金财产； </w:t>
      </w:r>
    </w:p>
    <w:p w14:paraId="53DC9FD1"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（6）泄露因职务便利获取的未公开信息、利用该信息从事或者明示、暗示他人从事相关的交易活动； </w:t>
      </w:r>
    </w:p>
    <w:p w14:paraId="51EBFB80"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（7）玩忽职守，不按照规定履行职责； </w:t>
      </w:r>
    </w:p>
    <w:p w14:paraId="651C50E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（8）其它法律法规以及国务院证券监督管理机构禁止的行为。 </w:t>
      </w:r>
    </w:p>
    <w:p w14:paraId="0A580A2E"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 xml:space="preserve">5、基金经理承诺 </w:t>
      </w:r>
    </w:p>
    <w:p w14:paraId="6E8B47E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（1）依照有关法律、法规和基金合同的规定，本着谨慎的原则为基金份额持有人谋取利益</w:t>
      </w:r>
      <w:r>
        <w:rPr>
          <w:rFonts w:ascii="宋体" w:hAnsi="宋体" w:hint="eastAsia"/>
          <w:color w:val="000000"/>
          <w:kern w:val="0"/>
          <w:sz w:val="24"/>
        </w:rPr>
        <w:t>；</w:t>
      </w:r>
    </w:p>
    <w:p w14:paraId="70521D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（2）不利用职务之便为自己、被代理人、被代表人、受雇人或任何其他第三人谋取不当利益</w:t>
      </w:r>
      <w:r>
        <w:rPr>
          <w:rFonts w:ascii="宋体" w:hAnsi="宋体" w:hint="eastAsia"/>
          <w:color w:val="000000"/>
          <w:kern w:val="0"/>
          <w:sz w:val="24"/>
        </w:rPr>
        <w:t>；</w:t>
      </w:r>
    </w:p>
    <w:p w14:paraId="19405EA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（3）不泄漏在任职期间知悉的有关证券、基金的商业秘密以及尚未依法公开的基金投资内容、基金投资计划等信息</w:t>
      </w:r>
      <w:r>
        <w:rPr>
          <w:rFonts w:ascii="宋体" w:hAnsi="宋体" w:hint="eastAsia"/>
          <w:color w:val="000000"/>
          <w:kern w:val="0"/>
          <w:sz w:val="24"/>
        </w:rPr>
        <w:t>；</w:t>
      </w:r>
    </w:p>
    <w:p w14:paraId="557B1397" w14:textId="77777777" w:rsidR="00D04107" w:rsidRDefault="000C2DB0" w:rsidP="000C2DB0">
      <w:pPr>
        <w:spacing w:line="360" w:lineRule="auto"/>
        <w:ind w:firstLineChars="177" w:firstLine="425"/>
        <w:rPr>
          <w:rFonts w:ascii="宋体" w:hAnsi="宋体"/>
          <w:color w:val="000000"/>
          <w:kern w:val="0"/>
          <w:sz w:val="24"/>
        </w:rPr>
      </w:pPr>
      <w:r>
        <w:rPr>
          <w:rFonts w:ascii="宋体" w:hAnsi="宋体"/>
          <w:color w:val="000000"/>
          <w:kern w:val="0"/>
          <w:sz w:val="24"/>
        </w:rPr>
        <w:t xml:space="preserve">（4）不以任何形式为除基金管理人以外的其他组织或个人进行证券交易。 </w:t>
      </w:r>
    </w:p>
    <w:p w14:paraId="6DAB5E2C"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（五）基金经理承诺</w:t>
      </w:r>
    </w:p>
    <w:p w14:paraId="6248A16A"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1、维护基金份额持有人的利益。在基金份额持有人的利益与公司、股东及与股东有关联关系的机构和个人等的利益发生冲突时，坚持基金份额持有人利益优先的原则；</w:t>
      </w:r>
    </w:p>
    <w:p w14:paraId="17653AD9"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严格遵守法律、行政法规、中国证监会及《基金合同》的规定，执行行业自律规范和公司各项规章制度，不为了基金业绩排名等实施拉抬尾市、打压股价等损害证券市场秩序的行为，或者进行其他违反规定的操作；</w:t>
      </w:r>
    </w:p>
    <w:p w14:paraId="218F5A6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3、独立、客观地履行职责，在作出投资建议或者进行投资活动时，不受他人干预，在授权范围内就投资、研究等事项作出客观、公正的独立判断；</w:t>
      </w:r>
    </w:p>
    <w:p w14:paraId="138C8E92"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4、严格遵守公司信息管理的有关规定以及聘用合同中的保密条款，不得利用未公开信息为自己或者他人谋取利益，不得违反有关规定向公司股东、与公司有业务联系的机构、公司其他部门和员工传递与投资活动有关的未公开信息；</w:t>
      </w:r>
    </w:p>
    <w:p w14:paraId="12462666"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5、不利用基金财产或利用管理基金财产之便向任何机构和个人进行利益输送，不从事或者配合他人从事损害基金份额持有人利益的活动。</w:t>
      </w:r>
    </w:p>
    <w:p w14:paraId="283BC2BD"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lastRenderedPageBreak/>
        <w:t>（六）基金管理人的内部控制制度</w:t>
      </w:r>
    </w:p>
    <w:p w14:paraId="17AAA28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1、风险控制目标</w:t>
      </w:r>
    </w:p>
    <w:p w14:paraId="0829F508"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（1）在有效控制风险的前提下，实现基金份额持有人利益最大化；</w:t>
      </w:r>
    </w:p>
    <w:p w14:paraId="4CA9DB2B" w14:textId="77777777" w:rsidR="00D04107" w:rsidRDefault="000C2DB0">
      <w:pPr>
        <w:adjustRightInd w:val="0"/>
        <w:snapToGrid w:val="0"/>
        <w:spacing w:line="372" w:lineRule="auto"/>
        <w:ind w:firstLineChars="200" w:firstLine="480"/>
        <w:rPr>
          <w:rFonts w:ascii="宋体" w:hAnsi="宋体"/>
          <w:color w:val="000000"/>
          <w:kern w:val="0"/>
          <w:sz w:val="24"/>
        </w:rPr>
      </w:pPr>
      <w:r>
        <w:rPr>
          <w:rFonts w:ascii="宋体" w:hAnsi="宋体" w:hint="eastAsia"/>
          <w:color w:val="000000"/>
          <w:kern w:val="0"/>
          <w:sz w:val="24"/>
        </w:rPr>
        <w:t>（2）确保国家有关法律法规、行业规章和公司各项规章制度的贯彻执行；</w:t>
      </w:r>
    </w:p>
    <w:p w14:paraId="2B49E1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（3）建立符合现代企业制度要求的法人治理结构，形成科学合理的决策机制、执行机制和监督机制；</w:t>
      </w:r>
    </w:p>
    <w:p w14:paraId="4C5726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（4）将各种风险控制在合理的范围内，保障公司发展战略和经营目标的全面实施，维护基金份额持有人、公司及公司股东的合法权益；</w:t>
      </w:r>
    </w:p>
    <w:p w14:paraId="46723F7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（5）建立行之有效的风险控制系统，保障业务稳健运行，减轻或规避各种风险对公司发展战略和经营目标的干扰。</w:t>
      </w:r>
    </w:p>
    <w:p w14:paraId="27F982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2、建立风险控制制度应遵循的原则</w:t>
      </w:r>
    </w:p>
    <w:p w14:paraId="2A1288FC"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（1）全面性原则：风险控制制度应覆盖公司的各项业务、各个部门和各级人员，并渗透到决策、执行、监督、反馈等各个经营环节；</w:t>
      </w:r>
    </w:p>
    <w:p w14:paraId="241DE7A4"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（2）审慎性原则：内部风险控制的核心是有效防范各种风险，公司组织体系的构成、内部管理制度的建立都要以防范风险、审慎经营为出发点；</w:t>
      </w:r>
    </w:p>
    <w:p w14:paraId="2A4C4BFB"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3）独立性原则：公司风险控制的检查、评价部门应当独立于风险控制的建立和执行部门；风险控制委员会、督察长和监察稽核部应保持高度的独立性和权威性，负责对公司各部门风险控制工作进行评价和检查；</w:t>
      </w:r>
    </w:p>
    <w:p w14:paraId="4C0BA803"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76394E0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（5）适时性原则：内部风险控制应随着公司经营战略、经营方针、经营理念等内部环境的变化和国家法律、法规、政策制度等外部环境的改变及时进行相应的修改和完善；</w:t>
      </w:r>
    </w:p>
    <w:p w14:paraId="0F738C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3、风险控制体系</w:t>
      </w:r>
    </w:p>
    <w:p w14:paraId="5ECFE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（1）风险控制制度体系</w:t>
      </w:r>
    </w:p>
    <w:p w14:paraId="6868C1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公司风险控制制度体系由三个不同层次的制度构成：第一个层次是公司章程、内部控制大纲；第二个层次是基本管理制度；第三个层次是部门管理制度及各项业</w:t>
      </w:r>
      <w:r>
        <w:rPr>
          <w:rFonts w:ascii="宋体" w:hAnsi="宋体" w:hint="eastAsia"/>
          <w:color w:val="000000"/>
          <w:kern w:val="0"/>
          <w:sz w:val="24"/>
        </w:rPr>
        <w:lastRenderedPageBreak/>
        <w:t>务规则。</w:t>
      </w:r>
    </w:p>
    <w:p w14:paraId="15CDD4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（2）风险控制组织体系</w:t>
      </w:r>
    </w:p>
    <w:p w14:paraId="146AF25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风险控制组织体系包括两个层次：</w:t>
      </w:r>
    </w:p>
    <w:p w14:paraId="65E0540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第一层次：公司董事会层面对公司经营管理过程中的各类风险进行预防和控制的组织，主要是通过董事会下设的风险控制委员会和督察长来实现的。</w:t>
      </w:r>
    </w:p>
    <w:p w14:paraId="6A03F7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3546E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督察长履行的职责包括对基金运作、内部管理、制度执行及遵规守法情况进行内部监察、稽核；就以上监察、稽核中发现的问题向公司经营管理层通报并提出整改和处理意见；定期向风险控制委员会提交工作报告；发现公司的违规行为，应立即向董事长和中国证监会报告。</w:t>
      </w:r>
    </w:p>
    <w:p w14:paraId="7C65FA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第二层次：公司经营管理层包括风险管理委员会、监察稽核部及各职能部门对经营风险的预防和控制。</w:t>
      </w:r>
    </w:p>
    <w:p w14:paraId="6F5AD97B" w14:textId="77777777" w:rsidR="00D04107" w:rsidRDefault="000C2DB0">
      <w:pPr>
        <w:numPr>
          <w:ilvl w:val="0"/>
          <w:numId w:val="4"/>
        </w:numPr>
        <w:spacing w:line="360" w:lineRule="auto"/>
        <w:ind w:left="0" w:firstLine="426"/>
        <w:rPr>
          <w:rFonts w:ascii="宋体" w:hAnsi="宋体"/>
          <w:color w:val="000000"/>
          <w:kern w:val="0"/>
          <w:sz w:val="24"/>
        </w:rPr>
      </w:pPr>
      <w:r>
        <w:rPr>
          <w:rFonts w:ascii="宋体" w:hAnsi="宋体" w:hint="eastAsia"/>
          <w:color w:val="000000"/>
          <w:kern w:val="0"/>
          <w:sz w:val="24"/>
        </w:rPr>
        <w:t>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规风险、市场风险和操作风险等重大风险，确保公司各项业务符合法律法规、监管要求、公司制度及受托资产合同的规定；审批基金投资的关联方证券名单和关联交易；风险管理委员会认为其他需关注的事项。</w:t>
      </w:r>
    </w:p>
    <w:p w14:paraId="0B5643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②监察稽核部的主要职责是在督察长的领导下，组织和协调公司内部控制制度的编写、修订工作，确保公司内部控制制度合规、完善；检查公司内部控制制度和业务流程的执行情况，出具监察稽核报告；负责信息披露事务的管理；调查基金及其他类型产品的异常投资和交易以及对违规行为的调查；负责公司的法律事务、合规咨询、合规培训、离任审查等工作。</w:t>
      </w:r>
    </w:p>
    <w:p w14:paraId="076BAD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③公司各职能部门的主要职责是对自身工作中潜在风险的自我检查和控制，各</w:t>
      </w:r>
      <w:r>
        <w:rPr>
          <w:rFonts w:ascii="宋体" w:hAnsi="宋体" w:hint="eastAsia"/>
          <w:color w:val="000000"/>
          <w:kern w:val="0"/>
          <w:sz w:val="24"/>
        </w:rPr>
        <w:lastRenderedPageBreak/>
        <w:t>业务部门作为公司风险控制的具体实施单位，应在公司各项基本管理制度的基础上，根据具体情况制订本部门的业务管理规定、操作流程及内部控制规定并严格执行。</w:t>
      </w:r>
    </w:p>
    <w:p w14:paraId="48F4A96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4、关于授权、研究、投资、交易等方面的控制点</w:t>
      </w:r>
    </w:p>
    <w:p w14:paraId="6D1410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（1）授权制度</w:t>
      </w:r>
    </w:p>
    <w:p w14:paraId="35BB02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62654D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（2）研究业务</w:t>
      </w:r>
    </w:p>
    <w:p w14:paraId="636A5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024CD8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（3）基金投资业务</w:t>
      </w:r>
    </w:p>
    <w:p w14:paraId="591A13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投资应确立科学的投资理念，根据决策的风险防范原则和效率性原则制定合理的决策程序；在进行投资时应有明确的投资授权制度，并应建立与所授权限相应的约束制度和考核制度；建立严格的投资禁止和投资限制制度，保证基金投资的合法合规性；建立投资风险评估与管理制度，将重点投资限制在一定的风险权限额度内；对于投资结果建立科学的投资管理业绩评价体系。</w:t>
      </w:r>
    </w:p>
    <w:p w14:paraId="587AF66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（4）交易业务</w:t>
      </w:r>
    </w:p>
    <w:p w14:paraId="004C1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02C3D8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（5）基金会计核算</w:t>
      </w:r>
    </w:p>
    <w:p w14:paraId="2E49BC3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5DC6B88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（6）信息披露</w:t>
      </w:r>
    </w:p>
    <w:p w14:paraId="2BA2DB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21D3DF9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（7）监察稽核</w:t>
      </w:r>
    </w:p>
    <w:p w14:paraId="58354AB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公司设立督察长。督察长由董事会聘任或解聘，报中国证监会或</w:t>
      </w:r>
      <w:r>
        <w:rPr>
          <w:rFonts w:ascii="宋体" w:hAnsi="宋体"/>
          <w:color w:val="000000"/>
          <w:kern w:val="0"/>
          <w:sz w:val="24"/>
        </w:rPr>
        <w:t>其</w:t>
      </w:r>
      <w:r>
        <w:rPr>
          <w:rFonts w:ascii="宋体" w:hAnsi="宋体" w:hint="eastAsia"/>
          <w:color w:val="000000"/>
          <w:kern w:val="0"/>
          <w:sz w:val="24"/>
        </w:rPr>
        <w:t>指定</w:t>
      </w:r>
      <w:r>
        <w:rPr>
          <w:rFonts w:ascii="宋体" w:hAnsi="宋体"/>
          <w:color w:val="000000"/>
          <w:kern w:val="0"/>
          <w:sz w:val="24"/>
        </w:rPr>
        <w:t>的机构备案</w:t>
      </w:r>
      <w:r>
        <w:rPr>
          <w:rFonts w:ascii="宋体" w:hAnsi="宋体" w:hint="eastAsia"/>
          <w:color w:val="000000"/>
          <w:kern w:val="0"/>
          <w:sz w:val="24"/>
        </w:rPr>
        <w:t>，并向董事会负责。督察长依据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0F813F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6C65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5、风险管理和内部控制的措施</w:t>
      </w:r>
    </w:p>
    <w:p w14:paraId="086CB6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1</w:t>
      </w:r>
      <w:r>
        <w:rPr>
          <w:rFonts w:ascii="宋体" w:hAnsi="宋体" w:hint="eastAsia"/>
          <w:color w:val="000000"/>
          <w:kern w:val="0"/>
          <w:sz w:val="24"/>
        </w:rPr>
        <w:t>）建立内控结构，完善内控制度：公司建立、健全了内控结构，高管人员具有明确的内控分工，确保各项业务活动有恰当的组织和授权，确保监察活动的独立进行，并得到高管人员的支持。</w:t>
      </w:r>
    </w:p>
    <w:p w14:paraId="4D96781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2</w:t>
      </w:r>
      <w:r>
        <w:rPr>
          <w:rFonts w:ascii="宋体" w:hAnsi="宋体" w:hint="eastAsia"/>
          <w:color w:val="000000"/>
          <w:kern w:val="0"/>
          <w:sz w:val="24"/>
        </w:rPr>
        <w:t>）建立相互分离、相互制衡的内控机制：建立、健全了各项制度，做到基金经理、投资经理分开，研究、决策分开，基金交易集中，形成不同部门、不同岗位之间的制衡机制，从制度上减少和防范风险。</w:t>
      </w:r>
    </w:p>
    <w:p w14:paraId="208A52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w:t>
      </w:r>
      <w:r>
        <w:rPr>
          <w:rFonts w:ascii="宋体" w:hAnsi="宋体"/>
          <w:color w:val="000000"/>
          <w:kern w:val="0"/>
          <w:sz w:val="24"/>
        </w:rPr>
        <w:t>3</w:t>
      </w:r>
      <w:r>
        <w:rPr>
          <w:rFonts w:ascii="宋体" w:hAnsi="宋体" w:hint="eastAsia"/>
          <w:color w:val="000000"/>
          <w:kern w:val="0"/>
          <w:sz w:val="24"/>
        </w:rPr>
        <w:t>）建立、健全岗位责任制：建立、健全了岗位责任制，使每个员工都明确自己的任务、职责，并及时将各自工作领域中的风险隐患上报，以防范和减少风险。</w:t>
      </w:r>
    </w:p>
    <w:p w14:paraId="758885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4</w:t>
      </w:r>
      <w:r>
        <w:rPr>
          <w:rFonts w:ascii="宋体" w:hAnsi="宋体" w:hint="eastAsia"/>
          <w:color w:val="000000"/>
          <w:kern w:val="0"/>
          <w:sz w:val="24"/>
        </w:rPr>
        <w:t>）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117A17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5</w:t>
      </w:r>
      <w:r>
        <w:rPr>
          <w:rFonts w:ascii="宋体" w:hAnsi="宋体" w:hint="eastAsia"/>
          <w:color w:val="000000"/>
          <w:kern w:val="0"/>
          <w:sz w:val="24"/>
        </w:rPr>
        <w:t>）建立有效的内部监控系统：建立了足够、有效的内部监控系统，如计算机预警系统、投资监控系统，能对可能出现的各种风险进行全面和实时的监控。</w:t>
      </w:r>
    </w:p>
    <w:p w14:paraId="13DC9A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）使用数量化的风险管理手段：采取数量化、技术化的风险控制手段，建立数量化的风险管理模型，用以提示市场风险，以便公司及时采取有效的措施，对风险进行分散、控制和规避，尽可能地减少损失。</w:t>
      </w:r>
    </w:p>
    <w:p w14:paraId="112D41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7</w:t>
      </w:r>
      <w:r>
        <w:rPr>
          <w:rFonts w:ascii="宋体" w:hAnsi="宋体" w:hint="eastAsia"/>
          <w:color w:val="000000"/>
          <w:kern w:val="0"/>
          <w:sz w:val="24"/>
        </w:rPr>
        <w:t>）提供足够的培训：制定了完整的培训计划，为所有员工提供足够和适当的培训，使员工明确其职责所在，控制风险。</w:t>
      </w:r>
    </w:p>
    <w:p w14:paraId="102F62A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6、基金管理人承诺上述关于内部控制的披露真实、准确，并承诺将根据市场环境的变化及公司的发展不断完善合规控制。</w:t>
      </w:r>
      <w:bookmarkEnd w:id="18"/>
    </w:p>
    <w:p w14:paraId="04E91457" w14:textId="77777777" w:rsidR="00D04107" w:rsidRDefault="00D04107">
      <w:pPr>
        <w:spacing w:line="360" w:lineRule="auto"/>
        <w:ind w:firstLineChars="200" w:firstLine="480"/>
        <w:rPr>
          <w:rFonts w:ascii="宋体" w:hAnsi="宋体"/>
          <w:color w:val="000000"/>
          <w:kern w:val="0"/>
          <w:sz w:val="24"/>
        </w:rPr>
      </w:pPr>
    </w:p>
    <w:p w14:paraId="7CBDF564" w14:textId="77777777" w:rsidR="00D04107" w:rsidRDefault="00D04107">
      <w:pPr>
        <w:pStyle w:val="1"/>
        <w:spacing w:beforeLines="50" w:before="120" w:afterLines="50" w:after="120" w:line="360" w:lineRule="auto"/>
        <w:ind w:firstLineChars="100" w:firstLine="241"/>
        <w:jc w:val="center"/>
        <w:rPr>
          <w:rFonts w:ascii="宋体" w:hAnsi="宋体"/>
          <w:color w:val="000000"/>
          <w:kern w:val="0"/>
          <w:sz w:val="24"/>
          <w:szCs w:val="24"/>
        </w:rPr>
        <w:sectPr w:rsidR="00D04107">
          <w:pgSz w:w="12240" w:h="15840"/>
          <w:pgMar w:top="1276" w:right="1800" w:bottom="1440" w:left="1800" w:header="720" w:footer="720" w:gutter="0"/>
          <w:pgNumType w:start="1"/>
          <w:cols w:space="720"/>
          <w:docGrid w:linePitch="286"/>
        </w:sectPr>
      </w:pPr>
    </w:p>
    <w:p w14:paraId="1E7BE87A" w14:textId="77777777" w:rsidR="00D04107" w:rsidRDefault="000C2DB0">
      <w:pPr>
        <w:pStyle w:val="1"/>
        <w:spacing w:line="360" w:lineRule="auto"/>
        <w:jc w:val="center"/>
        <w:rPr>
          <w:rFonts w:ascii="宋体" w:hAnsi="宋体"/>
          <w:color w:val="000000"/>
          <w:kern w:val="0"/>
          <w:sz w:val="24"/>
          <w:szCs w:val="24"/>
        </w:rPr>
      </w:pPr>
      <w:bookmarkStart w:id="19" w:name="_Toc20813"/>
      <w:bookmarkStart w:id="20" w:name="_Toc26099"/>
      <w:bookmarkStart w:id="21" w:name="_Toc482624792"/>
      <w:r>
        <w:rPr>
          <w:rFonts w:ascii="宋体" w:hAnsi="宋体" w:hint="eastAsia"/>
          <w:color w:val="000000"/>
          <w:kern w:val="0"/>
          <w:sz w:val="24"/>
          <w:szCs w:val="24"/>
        </w:rPr>
        <w:lastRenderedPageBreak/>
        <w:t>第四部分  基金托管人</w:t>
      </w:r>
      <w:bookmarkEnd w:id="19"/>
      <w:bookmarkEnd w:id="20"/>
      <w:bookmarkEnd w:id="21"/>
    </w:p>
    <w:p w14:paraId="12926092" w14:textId="77777777" w:rsidR="00D14240" w:rsidRPr="00EB6EE2" w:rsidRDefault="00D14240" w:rsidP="00EB6EE2">
      <w:pPr>
        <w:tabs>
          <w:tab w:val="left" w:pos="2160"/>
        </w:tabs>
        <w:adjustRightInd w:val="0"/>
        <w:snapToGrid w:val="0"/>
        <w:spacing w:line="360" w:lineRule="auto"/>
        <w:ind w:firstLineChars="200" w:firstLine="480"/>
        <w:rPr>
          <w:rFonts w:ascii="宋体" w:hAnsi="宋体" w:cs="宋体"/>
          <w:bCs/>
          <w:color w:val="000000"/>
          <w:sz w:val="24"/>
        </w:rPr>
      </w:pPr>
      <w:r w:rsidRPr="00EB6EE2">
        <w:rPr>
          <w:rFonts w:ascii="宋体" w:hAnsi="宋体" w:cs="宋体" w:hint="eastAsia"/>
          <w:bCs/>
          <w:color w:val="000000"/>
          <w:sz w:val="24"/>
        </w:rPr>
        <w:t>（一）基本情况</w:t>
      </w:r>
    </w:p>
    <w:p w14:paraId="148F892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名称：中国光大银行股份有限公司</w:t>
      </w:r>
    </w:p>
    <w:p w14:paraId="618C3A0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住所及办公地址：北京市西城区太平桥大街25 号、甲25 号中国光大中心</w:t>
      </w:r>
    </w:p>
    <w:p w14:paraId="5B9C3C72"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成立日期：1992年6月18日</w:t>
      </w:r>
    </w:p>
    <w:p w14:paraId="13C7C9F1"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批准设立机关和批准设立文号：国务院、国函[1992]7号</w:t>
      </w:r>
    </w:p>
    <w:p w14:paraId="729AE4EF"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组织形式：股份有限公司</w:t>
      </w:r>
    </w:p>
    <w:p w14:paraId="3B4DA27B"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注册资本：466.79095亿元人民币</w:t>
      </w:r>
    </w:p>
    <w:p w14:paraId="2C5F13B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法定代表人：</w:t>
      </w:r>
      <w:r w:rsidR="005053D8">
        <w:rPr>
          <w:rFonts w:ascii="宋体" w:hAnsi="宋体" w:cs="宋体" w:hint="eastAsia"/>
          <w:sz w:val="24"/>
        </w:rPr>
        <w:t>李晓鹏</w:t>
      </w:r>
    </w:p>
    <w:p w14:paraId="568319F5"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基金托管业务批准文号：中国证监会证监基字【2002】75号</w:t>
      </w:r>
    </w:p>
    <w:p w14:paraId="7E87AFBB"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投资与托管部总经理：</w:t>
      </w:r>
      <w:r w:rsidR="005053D8">
        <w:rPr>
          <w:rFonts w:ascii="宋体" w:hAnsi="宋体" w:cs="宋体" w:hint="eastAsia"/>
          <w:sz w:val="24"/>
        </w:rPr>
        <w:t>张博</w:t>
      </w:r>
    </w:p>
    <w:p w14:paraId="366D9012"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电话：（010） 63636363</w:t>
      </w:r>
    </w:p>
    <w:p w14:paraId="243CD530"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传真：（010） 63639132</w:t>
      </w:r>
    </w:p>
    <w:p w14:paraId="4CCB5353" w14:textId="77777777" w:rsidR="00D04107" w:rsidRDefault="000C2DB0">
      <w:pPr>
        <w:spacing w:line="360" w:lineRule="auto"/>
        <w:ind w:firstLine="420"/>
        <w:rPr>
          <w:rFonts w:ascii="宋体" w:hAnsi="宋体"/>
          <w:color w:val="000000"/>
          <w:kern w:val="0"/>
          <w:sz w:val="24"/>
        </w:rPr>
      </w:pPr>
      <w:r>
        <w:rPr>
          <w:rFonts w:ascii="宋体" w:hAnsi="宋体" w:hint="eastAsia"/>
          <w:color w:val="000000"/>
          <w:kern w:val="0"/>
          <w:sz w:val="24"/>
        </w:rPr>
        <w:t>网址：www.cebbank.com</w:t>
      </w:r>
    </w:p>
    <w:p w14:paraId="2F487C88" w14:textId="77777777" w:rsidR="00D04107" w:rsidRDefault="00D04107">
      <w:pPr>
        <w:spacing w:line="360" w:lineRule="auto"/>
        <w:ind w:firstLine="420"/>
        <w:rPr>
          <w:rFonts w:ascii="宋体" w:hAnsi="宋体"/>
          <w:color w:val="000000"/>
          <w:kern w:val="0"/>
          <w:sz w:val="24"/>
        </w:rPr>
      </w:pPr>
    </w:p>
    <w:p w14:paraId="0ADE3E08" w14:textId="77777777" w:rsidR="00D04107" w:rsidRPr="00EB6EE2" w:rsidRDefault="00D14240">
      <w:pPr>
        <w:spacing w:line="360" w:lineRule="auto"/>
        <w:ind w:firstLine="420"/>
        <w:rPr>
          <w:rFonts w:ascii="宋体" w:hAnsi="宋体"/>
          <w:color w:val="000000"/>
          <w:kern w:val="0"/>
          <w:sz w:val="24"/>
        </w:rPr>
      </w:pPr>
      <w:r w:rsidRPr="00EB6EE2">
        <w:rPr>
          <w:rFonts w:ascii="宋体" w:hAnsi="宋体" w:cs="宋体" w:hint="eastAsia"/>
          <w:bCs/>
          <w:color w:val="000000"/>
          <w:sz w:val="24"/>
        </w:rPr>
        <w:t>（二）</w:t>
      </w:r>
      <w:r w:rsidR="005053D8" w:rsidRPr="00EB6EE2">
        <w:rPr>
          <w:rFonts w:ascii="宋体" w:hAnsi="宋体" w:cs="宋体" w:hint="eastAsia"/>
          <w:bCs/>
          <w:color w:val="000000"/>
          <w:sz w:val="24"/>
        </w:rPr>
        <w:t>投资与托管业务部部门及主要人员情况</w:t>
      </w:r>
    </w:p>
    <w:p w14:paraId="0AFE7D78" w14:textId="77777777" w:rsidR="00E5281B" w:rsidRDefault="000C2DB0" w:rsidP="00F434F4">
      <w:pPr>
        <w:spacing w:line="360" w:lineRule="auto"/>
        <w:ind w:firstLine="420"/>
        <w:rPr>
          <w:rFonts w:ascii="宋体" w:hAnsi="宋体" w:cs="宋体"/>
          <w:sz w:val="24"/>
        </w:rPr>
      </w:pPr>
      <w:r>
        <w:rPr>
          <w:rFonts w:ascii="宋体" w:hAnsi="宋体" w:hint="eastAsia"/>
          <w:color w:val="000000"/>
          <w:kern w:val="0"/>
          <w:sz w:val="24"/>
          <w:lang w:val="zh-CN"/>
        </w:rPr>
        <w:t>法定代表人</w:t>
      </w:r>
      <w:r w:rsidR="00E5281B" w:rsidRPr="00191F03">
        <w:rPr>
          <w:rFonts w:ascii="宋体" w:hAnsi="宋体" w:cs="宋体" w:hint="eastAsia"/>
          <w:sz w:val="24"/>
        </w:rPr>
        <w:t>李晓鹏</w:t>
      </w:r>
      <w:r>
        <w:rPr>
          <w:rFonts w:ascii="宋体" w:hAnsi="宋体" w:hint="eastAsia"/>
          <w:color w:val="000000"/>
          <w:kern w:val="0"/>
          <w:sz w:val="24"/>
          <w:lang w:val="zh-CN"/>
        </w:rPr>
        <w:t>先生</w:t>
      </w:r>
      <w:r w:rsidR="00E5281B" w:rsidRPr="00191F03">
        <w:rPr>
          <w:rFonts w:ascii="宋体" w:hAnsi="宋体" w:cs="宋体" w:hint="eastAsia"/>
          <w:sz w:val="24"/>
        </w:rPr>
        <w:t>曾任中国工商银行河南省分行党组成员、副行长，中国工商银行总行营业部总经理，中国工商银行四川省分行党委书记、行长，中国华融资产管理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工银瑞信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w:t>
      </w:r>
      <w:r w:rsidR="00E5281B" w:rsidRPr="006F4B09">
        <w:rPr>
          <w:rFonts w:ascii="宋体" w:hAnsi="宋体" w:cs="宋体" w:hint="eastAsia"/>
          <w:sz w:val="24"/>
        </w:rPr>
        <w:t>现任中国光大集</w:t>
      </w:r>
      <w:r w:rsidR="00E5281B" w:rsidRPr="006F4B09">
        <w:rPr>
          <w:rFonts w:ascii="宋体" w:hAnsi="宋体" w:cs="宋体" w:hint="eastAsia"/>
          <w:sz w:val="24"/>
        </w:rPr>
        <w:lastRenderedPageBreak/>
        <w:t>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60201FC9" w14:textId="77777777" w:rsidR="009600E3" w:rsidRDefault="009600E3" w:rsidP="009600E3">
      <w:pPr>
        <w:spacing w:line="360" w:lineRule="auto"/>
        <w:ind w:firstLineChars="200" w:firstLine="480"/>
        <w:rPr>
          <w:rFonts w:ascii="宋体" w:hAnsi="宋体"/>
          <w:color w:val="000000"/>
          <w:kern w:val="0"/>
          <w:sz w:val="24"/>
          <w:lang w:val="zh-CN"/>
        </w:rPr>
      </w:pPr>
      <w:r w:rsidRPr="009600E3">
        <w:rPr>
          <w:rFonts w:ascii="宋体" w:hAnsi="宋体" w:hint="eastAsia"/>
          <w:color w:val="000000"/>
          <w:kern w:val="0"/>
          <w:sz w:val="24"/>
          <w:lang w:val="zh-CN"/>
        </w:rPr>
        <w:t>行长葛海蛟先生，曾任中国农业银行辽宁省分行国际业务部总经理助理、副总经理、总经理，中国农业银行辽宁省辽阳市分行党委书记、行长，中国农业银行大连市分行党委委员、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文旅健康事业部总经理。现任中国光大银行股份有限公司党委副书记、行长，中国光大集团股份公司党委委员。南京农业大学农业经济管理专业博士研究生，管理学博士，高级经济师。</w:t>
      </w:r>
    </w:p>
    <w:p w14:paraId="4B704EE4" w14:textId="77777777" w:rsidR="00D04107" w:rsidRDefault="00E5281B" w:rsidP="00F434F4">
      <w:pPr>
        <w:spacing w:line="360" w:lineRule="auto"/>
        <w:ind w:firstLineChars="200" w:firstLine="480"/>
        <w:rPr>
          <w:rFonts w:ascii="宋体" w:hAnsi="宋体"/>
          <w:color w:val="000000"/>
          <w:kern w:val="0"/>
          <w:sz w:val="24"/>
        </w:rPr>
      </w:pPr>
      <w:r w:rsidRPr="00A25E94">
        <w:rPr>
          <w:rFonts w:ascii="宋体" w:hAnsi="宋体" w:cs="宋体" w:hint="eastAsia"/>
          <w:sz w:val="24"/>
          <w:lang w:val="zh-CN"/>
        </w:rPr>
        <w:t>张博先生，曾任中国光大银行厦门分行副行长，西安分行行长，乌鲁木齐分行筹备组组长、分行行长，青岛分行行长，光大消费金融公司筹备组组长。曾兼任</w:t>
      </w:r>
      <w:r>
        <w:rPr>
          <w:rFonts w:ascii="宋体" w:hAnsi="宋体" w:cs="宋体" w:hint="eastAsia"/>
          <w:sz w:val="24"/>
          <w:lang w:val="zh-CN"/>
        </w:rPr>
        <w:t>中国光大银行</w:t>
      </w:r>
      <w:r w:rsidRPr="00A25E94">
        <w:rPr>
          <w:rFonts w:ascii="宋体" w:hAnsi="宋体" w:cs="宋体" w:hint="eastAsia"/>
          <w:sz w:val="24"/>
          <w:lang w:val="zh-CN"/>
        </w:rPr>
        <w:t>电子银行部副总经理（总经理级），负责普惠贷款团队业务。现任中国光大银行投资与托管业务部总经理。</w:t>
      </w:r>
    </w:p>
    <w:p w14:paraId="2E8F57BF" w14:textId="77777777" w:rsidR="00D04107" w:rsidRPr="00EB6EE2" w:rsidRDefault="00D14240">
      <w:pPr>
        <w:spacing w:line="360" w:lineRule="auto"/>
        <w:ind w:firstLine="420"/>
        <w:rPr>
          <w:rFonts w:ascii="宋体" w:hAnsi="宋体"/>
          <w:color w:val="000000"/>
          <w:kern w:val="0"/>
          <w:sz w:val="24"/>
        </w:rPr>
      </w:pPr>
      <w:r w:rsidRPr="00EB6EE2">
        <w:rPr>
          <w:rFonts w:ascii="宋体" w:hint="eastAsia"/>
          <w:color w:val="000000"/>
          <w:sz w:val="24"/>
        </w:rPr>
        <w:t>（</w:t>
      </w:r>
      <w:r w:rsidRPr="00EB6EE2">
        <w:rPr>
          <w:rFonts w:ascii="宋体" w:hAnsi="宋体" w:cs="宋体" w:hint="eastAsia"/>
          <w:bCs/>
          <w:color w:val="000000"/>
          <w:sz w:val="24"/>
        </w:rPr>
        <w:t>三）</w:t>
      </w:r>
      <w:r w:rsidR="00E5281B" w:rsidRPr="00EB6EE2">
        <w:rPr>
          <w:rFonts w:ascii="宋体" w:hAnsi="宋体" w:cs="宋体" w:hint="eastAsia"/>
          <w:bCs/>
          <w:color w:val="000000"/>
          <w:sz w:val="24"/>
        </w:rPr>
        <w:t>证券投资基金托管情况</w:t>
      </w:r>
    </w:p>
    <w:p w14:paraId="4C2608D6" w14:textId="19D63D18" w:rsidR="009600E3" w:rsidRDefault="00637EA3">
      <w:pPr>
        <w:spacing w:line="360" w:lineRule="auto"/>
        <w:ind w:firstLine="420"/>
        <w:rPr>
          <w:rFonts w:ascii="宋体" w:hAnsi="宋体"/>
          <w:color w:val="000000"/>
          <w:kern w:val="0"/>
          <w:sz w:val="24"/>
          <w:lang w:val="zh-CN"/>
        </w:rPr>
      </w:pPr>
      <w:r w:rsidRPr="00637EA3">
        <w:rPr>
          <w:rFonts w:ascii="宋体" w:hAnsi="宋体" w:hint="eastAsia"/>
          <w:color w:val="000000"/>
          <w:kern w:val="0"/>
          <w:sz w:val="24"/>
          <w:lang w:val="zh-CN"/>
        </w:rPr>
        <w:t>截至2019年3月31日，中国光大银行股份有限公司托管华夏睿磐泰利六个月定期开放混合型证券投资基金、天弘尊享定期开放债券型发起式证券投资基金、汇安多策略灵活配置混合型证券投资基金等共138只证券投资基金，托管基金资产规模3324.34亿元。同时，开展了证券公司资产管理计划、专户理财、企业年金基金、QDII、银行理财、保险债权投资计划等资产的托管及信托公司资金信托计划、产业投资基金、股权基金等产品的保管业务。</w:t>
      </w:r>
    </w:p>
    <w:p w14:paraId="6A2DDA66" w14:textId="77777777" w:rsidR="00D04107" w:rsidRPr="00EB6EE2" w:rsidRDefault="00D14240" w:rsidP="00EB6EE2">
      <w:pPr>
        <w:spacing w:line="360" w:lineRule="auto"/>
        <w:ind w:firstLineChars="200" w:firstLine="480"/>
        <w:rPr>
          <w:rFonts w:ascii="宋体" w:hAnsi="宋体"/>
          <w:color w:val="000000"/>
          <w:kern w:val="0"/>
          <w:sz w:val="24"/>
        </w:rPr>
      </w:pPr>
      <w:r w:rsidRPr="00EB6EE2">
        <w:rPr>
          <w:rFonts w:ascii="宋体" w:hAnsi="宋体" w:cs="宋体" w:hint="eastAsia"/>
          <w:bCs/>
          <w:color w:val="000000"/>
          <w:sz w:val="24"/>
        </w:rPr>
        <w:t>（四）</w:t>
      </w:r>
      <w:r w:rsidR="000C2DB0" w:rsidRPr="00EB6EE2">
        <w:rPr>
          <w:rFonts w:ascii="宋体" w:hAnsi="宋体" w:hint="eastAsia"/>
          <w:color w:val="000000"/>
          <w:kern w:val="0"/>
          <w:sz w:val="24"/>
        </w:rPr>
        <w:t>托管业务的内部控制制度</w:t>
      </w:r>
    </w:p>
    <w:p w14:paraId="7C206107"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1、内部控制目标</w:t>
      </w:r>
    </w:p>
    <w:p w14:paraId="013751EB"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确保有关法律法规在基金托管业务中得到全面严格的贯彻执行；确保基金托管人有关基金托管的各项管理制度和业务操作规程在基金托管业务中得到全面严格的贯彻执行；确保基金财产安全；保证基金托管业务稳健运行；保护基金份额持有人、</w:t>
      </w:r>
      <w:r>
        <w:rPr>
          <w:rFonts w:ascii="宋体" w:hAnsi="宋体" w:hint="eastAsia"/>
          <w:color w:val="000000"/>
          <w:kern w:val="0"/>
          <w:sz w:val="24"/>
          <w:lang w:val="zh-CN"/>
        </w:rPr>
        <w:lastRenderedPageBreak/>
        <w:t>基金管理公司及基金托管人的合法权益。</w:t>
      </w:r>
    </w:p>
    <w:p w14:paraId="424E47F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2、内部控制的原则</w:t>
      </w:r>
    </w:p>
    <w:p w14:paraId="502B8CEC"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（1）全面性原则。内部控制必须渗透到基金托管业务的各个操作环节，覆盖所有的岗位，不留任何死角。</w:t>
      </w:r>
    </w:p>
    <w:p w14:paraId="31CA15E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（2）预防性原则。树立“预防为主”的管理理念，从风险发生的源头加强内部控制，防患于未然，尽量避免业务操作中各种问题的产生。</w:t>
      </w:r>
    </w:p>
    <w:p w14:paraId="30B6DC11"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（3）及时性原则。建立健全各项规章制度，采取有效措施加强内部控制。发现问题，及时处理，堵塞漏洞。</w:t>
      </w:r>
    </w:p>
    <w:p w14:paraId="722544E6"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（4）独立性原则。基金托管业务内部控制机构独立于基金托管业务执行机构，业务操作人员和内控人员分开，以保证内控机构的工作不受干扰。</w:t>
      </w:r>
    </w:p>
    <w:p w14:paraId="1AD12BC2"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3、内部控制组织结构</w:t>
      </w:r>
    </w:p>
    <w:p w14:paraId="65888339"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中国光大银行股份有限公司董事会下设风险管理委员会、审计委员会，委员会委员由相关部门的负责人担任，工作重点是对总行各部门、各类业务的风险和内控进行监督、管理和协调，建立横向的内控管理制约体制。各部门负责分管系统内的内部控制的组织实施，建立纵向的内控管理制约体制。</w:t>
      </w:r>
      <w:r w:rsidR="00AF246B" w:rsidRPr="00DE552C">
        <w:rPr>
          <w:rFonts w:ascii="宋体" w:hAnsi="宋体" w:cs="宋体" w:hint="eastAsia"/>
          <w:sz w:val="24"/>
          <w:lang w:val="zh-CN"/>
        </w:rPr>
        <w:t>投资与托管业务部</w:t>
      </w:r>
      <w:r>
        <w:rPr>
          <w:rFonts w:ascii="宋体" w:hAnsi="宋体" w:hint="eastAsia"/>
          <w:color w:val="000000"/>
          <w:kern w:val="0"/>
          <w:sz w:val="24"/>
          <w:lang w:val="zh-CN"/>
        </w:rPr>
        <w:t>建立了严密的内控督察体系，设立了风险管理处，负责证券投资基金托管业务的风险管理。</w:t>
      </w:r>
    </w:p>
    <w:p w14:paraId="411F0211"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4、内部控制制度</w:t>
      </w:r>
    </w:p>
    <w:p w14:paraId="5D9F104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lang w:val="zh-CN"/>
        </w:rPr>
        <w:t>中国光大银行股份有限公司</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自成立以来严格遵照《基金法》、《中华人民共和国商业银行法》、《信息披露办法》、《运作办法》、《销售办法》等法律、法规的要求，并根据相关法律法规制订、完善了《中国光大银行证券投资基金托管业务内部控制规定》、《</w:t>
      </w:r>
      <w:r w:rsidR="00BA132C" w:rsidRPr="00DE552C">
        <w:rPr>
          <w:rFonts w:ascii="宋体" w:hAnsi="宋体" w:cs="宋体" w:hint="eastAsia"/>
          <w:sz w:val="24"/>
          <w:lang w:val="zh-CN"/>
        </w:rPr>
        <w:t>中国光大银行投资与托管业务部保密规定</w:t>
      </w:r>
      <w:r>
        <w:rPr>
          <w:rFonts w:ascii="宋体" w:hAnsi="宋体" w:hint="eastAsia"/>
          <w:color w:val="000000"/>
          <w:kern w:val="0"/>
          <w:sz w:val="24"/>
          <w:lang w:val="zh-CN"/>
        </w:rPr>
        <w:t>》等十余项规章制度和实施细则，将风险控制落实到每一个工作环节。中国光大银行</w:t>
      </w:r>
      <w:r w:rsidR="00BA132C" w:rsidRPr="00DE552C">
        <w:rPr>
          <w:rFonts w:ascii="宋体" w:hAnsi="宋体" w:cs="宋体" w:hint="eastAsia"/>
          <w:sz w:val="24"/>
          <w:lang w:val="zh-CN"/>
        </w:rPr>
        <w:t>投资与托管业务部</w:t>
      </w:r>
      <w:r>
        <w:rPr>
          <w:rFonts w:ascii="宋体" w:hAnsi="宋体" w:hint="eastAsia"/>
          <w:color w:val="000000"/>
          <w:kern w:val="0"/>
          <w:sz w:val="24"/>
          <w:lang w:val="zh-CN"/>
        </w:rPr>
        <w:t>以控制和防范基金托管业务风险为主线，在重要岗位（基金清算、基金核算、监督稽核）还建立了安全保密区，安装了录象监视系统和录音监听系统，以保障基金信息的安全。</w:t>
      </w:r>
    </w:p>
    <w:p w14:paraId="3A406649" w14:textId="77777777" w:rsidR="00F434F4" w:rsidRPr="00EB6EE2" w:rsidRDefault="00FD6108" w:rsidP="00F434F4">
      <w:pPr>
        <w:spacing w:line="360" w:lineRule="auto"/>
        <w:ind w:firstLine="482"/>
        <w:rPr>
          <w:rFonts w:ascii="宋体" w:hAnsi="宋体"/>
          <w:color w:val="000000"/>
          <w:kern w:val="0"/>
          <w:sz w:val="24"/>
          <w:lang w:val="zh-CN"/>
        </w:rPr>
      </w:pPr>
      <w:r w:rsidRPr="00EB6EE2">
        <w:rPr>
          <w:rFonts w:ascii="宋体" w:hAnsi="宋体" w:cs="宋体" w:hint="eastAsia"/>
          <w:bCs/>
          <w:color w:val="000000"/>
          <w:sz w:val="24"/>
        </w:rPr>
        <w:t>（五）</w:t>
      </w:r>
      <w:r w:rsidR="00BA132C" w:rsidRPr="00EB6EE2">
        <w:rPr>
          <w:rFonts w:ascii="宋体" w:hAnsi="宋体" w:cs="宋体" w:hint="eastAsia"/>
          <w:bCs/>
          <w:color w:val="000000"/>
          <w:sz w:val="24"/>
        </w:rPr>
        <w:t>托管人对管理人运作基金进行监督的方法和程序</w:t>
      </w:r>
    </w:p>
    <w:p w14:paraId="53A0C6F9" w14:textId="77777777" w:rsidR="00D04107" w:rsidRDefault="000C2DB0" w:rsidP="00F434F4">
      <w:pPr>
        <w:spacing w:line="360" w:lineRule="auto"/>
        <w:ind w:firstLine="482"/>
        <w:rPr>
          <w:rFonts w:ascii="宋体" w:hAnsi="宋体"/>
          <w:color w:val="000000"/>
          <w:kern w:val="0"/>
          <w:sz w:val="24"/>
          <w:lang w:val="zh-CN"/>
        </w:rPr>
      </w:pPr>
      <w:r>
        <w:rPr>
          <w:rFonts w:ascii="宋体" w:hAnsi="宋体" w:hint="eastAsia"/>
          <w:color w:val="000000"/>
          <w:kern w:val="0"/>
          <w:sz w:val="24"/>
          <w:lang w:val="zh-CN"/>
        </w:rPr>
        <w:t>根据法律、法规和基金合同等的要求，基金托管人主要通过定性和定量相结合、事前监督和事后控制相结合、技术与人工监督相结合等方式方法，对基金投资品种、</w:t>
      </w:r>
      <w:r>
        <w:rPr>
          <w:rFonts w:ascii="宋体" w:hAnsi="宋体" w:hint="eastAsia"/>
          <w:color w:val="000000"/>
          <w:kern w:val="0"/>
          <w:sz w:val="24"/>
          <w:lang w:val="zh-CN"/>
        </w:rPr>
        <w:lastRenderedPageBreak/>
        <w:t>投资组合比例每日进行监督；同时，对基金管理人就基金资产净值的计算、基金管理人和基金托管人报酬的计提和支付、基金收益分配、基金费用支付等行为的合法性、合规性进行监督和核查。</w:t>
      </w:r>
    </w:p>
    <w:p w14:paraId="59FE3119"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基金托管人发现基金管理人的违反法律、法规和基金合同等规定的行为，及时以书面或电话形式通知基金管理人限期纠正，基金管理人收到通知后应及时核对确认并以书面形式对基金托管人发出回函。在限期内，基金托管人有权随时对通知事项进行复查，督促基金管理人改正。基金管理人对基金托管人通知的违规事项未能在限期内纠正的，基金托管人应报告中国证监会。</w:t>
      </w:r>
    </w:p>
    <w:p w14:paraId="07AE627A" w14:textId="77777777" w:rsidR="00D04107" w:rsidRDefault="00D04107">
      <w:pPr>
        <w:spacing w:line="360" w:lineRule="auto"/>
        <w:ind w:firstLineChars="200" w:firstLine="480"/>
        <w:rPr>
          <w:rFonts w:ascii="宋体" w:hAnsi="宋体"/>
          <w:color w:val="000000"/>
          <w:kern w:val="0"/>
          <w:sz w:val="24"/>
        </w:rPr>
      </w:pPr>
    </w:p>
    <w:p w14:paraId="4804A65B" w14:textId="77777777" w:rsidR="00D04107" w:rsidRDefault="00D04107">
      <w:pPr>
        <w:spacing w:line="360" w:lineRule="auto"/>
        <w:ind w:firstLineChars="200" w:firstLine="480"/>
        <w:rPr>
          <w:rFonts w:ascii="宋体" w:hAnsi="宋体"/>
          <w:color w:val="000000"/>
          <w:kern w:val="0"/>
          <w:sz w:val="24"/>
        </w:rPr>
      </w:pPr>
    </w:p>
    <w:p w14:paraId="756EC832"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22" w:name="_Toc26497"/>
      <w:bookmarkStart w:id="23" w:name="_Toc256666786"/>
      <w:bookmarkStart w:id="24" w:name="_Toc482624793"/>
      <w:bookmarkStart w:id="25" w:name="_Toc256666914"/>
      <w:bookmarkStart w:id="26" w:name="_Toc6210"/>
      <w:r>
        <w:rPr>
          <w:rFonts w:ascii="宋体" w:hAnsi="宋体" w:hint="eastAsia"/>
          <w:color w:val="000000"/>
          <w:kern w:val="0"/>
          <w:sz w:val="24"/>
          <w:szCs w:val="24"/>
        </w:rPr>
        <w:lastRenderedPageBreak/>
        <w:t>第五部分  相关服务机构</w:t>
      </w:r>
      <w:bookmarkEnd w:id="22"/>
      <w:bookmarkEnd w:id="23"/>
      <w:bookmarkEnd w:id="24"/>
      <w:bookmarkEnd w:id="25"/>
      <w:bookmarkEnd w:id="26"/>
    </w:p>
    <w:p w14:paraId="36032FE2" w14:textId="77777777" w:rsidR="00D04107" w:rsidRDefault="000C2DB0">
      <w:pPr>
        <w:spacing w:line="360" w:lineRule="auto"/>
        <w:ind w:firstLineChars="200" w:firstLine="480"/>
        <w:rPr>
          <w:rFonts w:ascii="宋体" w:hAnsi="宋体"/>
          <w:color w:val="000000"/>
          <w:kern w:val="0"/>
          <w:sz w:val="24"/>
        </w:rPr>
      </w:pPr>
      <w:bookmarkStart w:id="27" w:name="_Toc88969234"/>
      <w:r>
        <w:rPr>
          <w:rFonts w:ascii="宋体" w:hAnsi="宋体" w:hint="eastAsia"/>
          <w:color w:val="000000"/>
          <w:kern w:val="0"/>
          <w:sz w:val="24"/>
        </w:rPr>
        <w:t>（一）基金份额发售机构</w:t>
      </w:r>
      <w:bookmarkEnd w:id="27"/>
    </w:p>
    <w:p w14:paraId="3350C5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1、直销机构：富荣基金管理有限公司直销中心</w:t>
      </w:r>
    </w:p>
    <w:p w14:paraId="3CB75A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注册地址</w:t>
      </w:r>
      <w:r>
        <w:rPr>
          <w:rFonts w:ascii="宋体" w:hAnsi="宋体" w:hint="eastAsia"/>
          <w:color w:val="000000"/>
          <w:kern w:val="0"/>
          <w:sz w:val="24"/>
        </w:rPr>
        <w:t xml:space="preserve">：广州市南沙区海滨路171号南沙金融大厦11楼1101之一J20室 </w:t>
      </w:r>
    </w:p>
    <w:p w14:paraId="611908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1879EBB6" w14:textId="4AF27292"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法定代表人： </w:t>
      </w:r>
      <w:r w:rsidR="00F93951">
        <w:rPr>
          <w:rFonts w:ascii="宋体" w:hAnsi="宋体" w:hint="eastAsia"/>
          <w:color w:val="000000"/>
          <w:kern w:val="0"/>
          <w:sz w:val="24"/>
        </w:rPr>
        <w:t>杨小舟</w:t>
      </w:r>
    </w:p>
    <w:p w14:paraId="185461E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电话：0755-84356633</w:t>
      </w:r>
    </w:p>
    <w:p w14:paraId="783C00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传真：0755-83230787</w:t>
      </w:r>
    </w:p>
    <w:p w14:paraId="30F99EA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客服电话：4006855600</w:t>
      </w:r>
    </w:p>
    <w:p w14:paraId="73488F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网站：www.furamc.com.cn</w:t>
      </w:r>
    </w:p>
    <w:p w14:paraId="41C0FC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2、其他销售机构：</w:t>
      </w:r>
    </w:p>
    <w:tbl>
      <w:tblPr>
        <w:tblStyle w:val="af8"/>
        <w:tblW w:w="8613" w:type="dxa"/>
        <w:tblLayout w:type="fixed"/>
        <w:tblLook w:val="04A0" w:firstRow="1" w:lastRow="0" w:firstColumn="1" w:lastColumn="0" w:noHBand="0" w:noVBand="1"/>
      </w:tblPr>
      <w:tblGrid>
        <w:gridCol w:w="1526"/>
        <w:gridCol w:w="2527"/>
        <w:gridCol w:w="4560"/>
      </w:tblGrid>
      <w:tr w:rsidR="007E10F1" w14:paraId="30144DDB" w14:textId="77777777" w:rsidTr="007E10F1">
        <w:trPr>
          <w:trHeight w:val="510"/>
        </w:trPr>
        <w:tc>
          <w:tcPr>
            <w:tcW w:w="1526" w:type="dxa"/>
          </w:tcPr>
          <w:p w14:paraId="23A06C04" w14:textId="77777777" w:rsidR="007E10F1" w:rsidRDefault="007E10F1" w:rsidP="006B50F9">
            <w:pPr>
              <w:spacing w:line="360" w:lineRule="auto"/>
              <w:jc w:val="center"/>
              <w:rPr>
                <w:rFonts w:ascii="宋体" w:hAnsi="宋体"/>
                <w:color w:val="000000"/>
                <w:kern w:val="0"/>
                <w:sz w:val="24"/>
              </w:rPr>
            </w:pPr>
            <w:r>
              <w:rPr>
                <w:rFonts w:ascii="宋体" w:hAnsi="宋体" w:hint="eastAsia"/>
                <w:b/>
                <w:color w:val="000000"/>
                <w:kern w:val="0"/>
                <w:sz w:val="24"/>
              </w:rPr>
              <w:t>序号</w:t>
            </w:r>
          </w:p>
        </w:tc>
        <w:tc>
          <w:tcPr>
            <w:tcW w:w="2527" w:type="dxa"/>
          </w:tcPr>
          <w:p w14:paraId="5C5C9271" w14:textId="77777777" w:rsidR="007E10F1" w:rsidRDefault="007E10F1" w:rsidP="006B50F9">
            <w:pPr>
              <w:spacing w:line="360" w:lineRule="auto"/>
              <w:jc w:val="center"/>
              <w:rPr>
                <w:rFonts w:ascii="宋体" w:hAnsi="宋体"/>
                <w:color w:val="000000"/>
                <w:kern w:val="0"/>
                <w:sz w:val="24"/>
              </w:rPr>
            </w:pPr>
            <w:r>
              <w:rPr>
                <w:rFonts w:ascii="宋体" w:hAnsi="宋体" w:hint="eastAsia"/>
                <w:b/>
                <w:color w:val="000000"/>
                <w:kern w:val="0"/>
                <w:sz w:val="24"/>
              </w:rPr>
              <w:t>代销机构名称</w:t>
            </w:r>
          </w:p>
        </w:tc>
        <w:tc>
          <w:tcPr>
            <w:tcW w:w="4560" w:type="dxa"/>
          </w:tcPr>
          <w:p w14:paraId="666AF3B5" w14:textId="77777777" w:rsidR="007E10F1" w:rsidRDefault="007E10F1" w:rsidP="006B50F9">
            <w:pPr>
              <w:spacing w:line="360" w:lineRule="auto"/>
              <w:rPr>
                <w:rFonts w:ascii="宋体" w:hAnsi="宋体"/>
                <w:color w:val="000000"/>
                <w:kern w:val="0"/>
                <w:sz w:val="24"/>
              </w:rPr>
            </w:pPr>
            <w:r>
              <w:rPr>
                <w:rFonts w:ascii="宋体" w:hAnsi="宋体" w:hint="eastAsia"/>
                <w:b/>
                <w:color w:val="000000"/>
                <w:kern w:val="0"/>
                <w:sz w:val="24"/>
              </w:rPr>
              <w:t>代销机构信息</w:t>
            </w:r>
          </w:p>
        </w:tc>
      </w:tr>
      <w:tr w:rsidR="007E10F1" w14:paraId="3B0F1B2E" w14:textId="77777777" w:rsidTr="007E10F1">
        <w:trPr>
          <w:trHeight w:val="510"/>
        </w:trPr>
        <w:tc>
          <w:tcPr>
            <w:tcW w:w="1526" w:type="dxa"/>
          </w:tcPr>
          <w:p w14:paraId="15FBA201"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w:t>
            </w:r>
          </w:p>
        </w:tc>
        <w:tc>
          <w:tcPr>
            <w:tcW w:w="2527" w:type="dxa"/>
          </w:tcPr>
          <w:p w14:paraId="7182B2DD"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中国光大银行股份有限公司</w:t>
            </w:r>
          </w:p>
        </w:tc>
        <w:tc>
          <w:tcPr>
            <w:tcW w:w="4560" w:type="dxa"/>
          </w:tcPr>
          <w:p w14:paraId="3E14B276"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办公地址：北京市西城区太平桥大街25</w:t>
            </w:r>
            <w:r w:rsidRPr="00560D75">
              <w:rPr>
                <w:rFonts w:ascii="宋体" w:hAnsi="宋体" w:hint="eastAsia"/>
                <w:color w:val="000000"/>
                <w:kern w:val="0"/>
                <w:sz w:val="24"/>
              </w:rPr>
              <w:t>号中国光大中心</w:t>
            </w:r>
            <w:r>
              <w:rPr>
                <w:rFonts w:ascii="宋体" w:hAnsi="宋体" w:hint="eastAsia"/>
                <w:color w:val="000000"/>
                <w:kern w:val="0"/>
                <w:sz w:val="24"/>
              </w:rPr>
              <w:br/>
              <w:t>客服电话： 95595</w:t>
            </w:r>
            <w:r>
              <w:rPr>
                <w:rFonts w:ascii="宋体" w:hAnsi="宋体" w:hint="eastAsia"/>
                <w:color w:val="000000"/>
                <w:kern w:val="0"/>
                <w:sz w:val="24"/>
              </w:rPr>
              <w:br/>
              <w:t>公司网址：www.cebbank.com</w:t>
            </w:r>
          </w:p>
        </w:tc>
      </w:tr>
      <w:tr w:rsidR="007E10F1" w14:paraId="66175B6B" w14:textId="77777777" w:rsidTr="007E10F1">
        <w:trPr>
          <w:trHeight w:val="510"/>
        </w:trPr>
        <w:tc>
          <w:tcPr>
            <w:tcW w:w="1526" w:type="dxa"/>
          </w:tcPr>
          <w:p w14:paraId="4D928409"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w:t>
            </w:r>
          </w:p>
        </w:tc>
        <w:tc>
          <w:tcPr>
            <w:tcW w:w="2527" w:type="dxa"/>
          </w:tcPr>
          <w:p w14:paraId="08E01C53" w14:textId="77777777" w:rsidR="007E10F1" w:rsidRDefault="007E10F1" w:rsidP="006B50F9">
            <w:pPr>
              <w:spacing w:line="360" w:lineRule="auto"/>
              <w:jc w:val="center"/>
              <w:rPr>
                <w:rFonts w:ascii="宋体" w:hAnsi="宋体"/>
                <w:color w:val="000000"/>
                <w:kern w:val="0"/>
                <w:sz w:val="24"/>
              </w:rPr>
            </w:pPr>
            <w:r w:rsidRPr="00D91282">
              <w:rPr>
                <w:rFonts w:ascii="Arial" w:hAnsi="Arial" w:cs="Arial" w:hint="eastAsia"/>
                <w:szCs w:val="21"/>
              </w:rPr>
              <w:t>包商银行股份有限公司</w:t>
            </w:r>
          </w:p>
        </w:tc>
        <w:tc>
          <w:tcPr>
            <w:tcW w:w="4560" w:type="dxa"/>
          </w:tcPr>
          <w:p w14:paraId="18AB4178" w14:textId="77777777" w:rsidR="007E10F1" w:rsidRPr="00D91282" w:rsidRDefault="007E10F1" w:rsidP="006B50F9">
            <w:pPr>
              <w:spacing w:line="400" w:lineRule="exact"/>
              <w:jc w:val="left"/>
              <w:rPr>
                <w:rFonts w:ascii="Arial" w:hAnsi="Arial" w:cs="Arial"/>
                <w:szCs w:val="21"/>
              </w:rPr>
            </w:pPr>
            <w:r w:rsidRPr="00D91282">
              <w:rPr>
                <w:rFonts w:ascii="Arial" w:hAnsi="Arial" w:cs="Arial" w:hint="eastAsia"/>
                <w:szCs w:val="21"/>
              </w:rPr>
              <w:t>注册（办公）地址：内蒙古包头市钢铁大街</w:t>
            </w:r>
            <w:r w:rsidRPr="00D91282">
              <w:rPr>
                <w:rFonts w:ascii="Arial" w:hAnsi="Arial" w:cs="Arial" w:hint="eastAsia"/>
                <w:szCs w:val="21"/>
              </w:rPr>
              <w:t>6</w:t>
            </w:r>
            <w:r w:rsidRPr="00D91282">
              <w:rPr>
                <w:rFonts w:ascii="Arial" w:hAnsi="Arial" w:cs="Arial" w:hint="eastAsia"/>
                <w:szCs w:val="21"/>
              </w:rPr>
              <w:t>号</w:t>
            </w:r>
          </w:p>
          <w:p w14:paraId="7CFB5D99" w14:textId="77777777" w:rsidR="007E10F1" w:rsidRPr="00D91282" w:rsidRDefault="007E10F1" w:rsidP="006B50F9">
            <w:pPr>
              <w:spacing w:line="400" w:lineRule="exact"/>
              <w:jc w:val="left"/>
              <w:rPr>
                <w:rFonts w:ascii="Arial" w:hAnsi="Arial" w:cs="Arial"/>
                <w:szCs w:val="21"/>
              </w:rPr>
            </w:pPr>
            <w:r w:rsidRPr="00D91282">
              <w:rPr>
                <w:rFonts w:ascii="Arial" w:hAnsi="Arial" w:cs="Arial" w:hint="eastAsia"/>
                <w:szCs w:val="21"/>
              </w:rPr>
              <w:t>客服电话：</w:t>
            </w:r>
            <w:r>
              <w:rPr>
                <w:rFonts w:ascii="Arial" w:hAnsi="Arial" w:cs="Arial"/>
                <w:color w:val="000000"/>
                <w:szCs w:val="21"/>
              </w:rPr>
              <w:t xml:space="preserve"> 95352</w:t>
            </w:r>
          </w:p>
          <w:p w14:paraId="5242C1F3" w14:textId="77777777" w:rsidR="007E10F1" w:rsidRDefault="007E10F1" w:rsidP="006B50F9">
            <w:pPr>
              <w:spacing w:line="360" w:lineRule="auto"/>
              <w:rPr>
                <w:rFonts w:ascii="宋体" w:hAnsi="宋体"/>
                <w:color w:val="000000"/>
                <w:kern w:val="0"/>
                <w:sz w:val="24"/>
              </w:rPr>
            </w:pPr>
            <w:r w:rsidRPr="00D91282">
              <w:rPr>
                <w:rFonts w:ascii="Arial" w:hAnsi="Arial" w:cs="Arial" w:hint="eastAsia"/>
                <w:szCs w:val="21"/>
              </w:rPr>
              <w:t>网站：</w:t>
            </w:r>
            <w:hyperlink r:id="rId18" w:history="1">
              <w:r w:rsidRPr="00E328D2">
                <w:rPr>
                  <w:rFonts w:ascii="Arial" w:hAnsi="Arial" w:cs="Arial" w:hint="eastAsia"/>
                  <w:szCs w:val="21"/>
                </w:rPr>
                <w:t>www.bsb.com.cn</w:t>
              </w:r>
            </w:hyperlink>
          </w:p>
        </w:tc>
      </w:tr>
      <w:tr w:rsidR="007E10F1" w:rsidRPr="005207EF" w14:paraId="7570D895" w14:textId="77777777" w:rsidTr="007E10F1">
        <w:trPr>
          <w:trHeight w:val="510"/>
        </w:trPr>
        <w:tc>
          <w:tcPr>
            <w:tcW w:w="1526" w:type="dxa"/>
          </w:tcPr>
          <w:p w14:paraId="291B1767"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w:t>
            </w:r>
          </w:p>
        </w:tc>
        <w:tc>
          <w:tcPr>
            <w:tcW w:w="2527" w:type="dxa"/>
          </w:tcPr>
          <w:p w14:paraId="0F5D83BE" w14:textId="77777777" w:rsidR="007E10F1" w:rsidRDefault="007E10F1" w:rsidP="006B50F9">
            <w:pPr>
              <w:spacing w:line="360" w:lineRule="auto"/>
              <w:jc w:val="center"/>
              <w:rPr>
                <w:rFonts w:ascii="宋体" w:hAnsi="宋体"/>
                <w:color w:val="000000"/>
                <w:kern w:val="0"/>
                <w:sz w:val="24"/>
              </w:rPr>
            </w:pPr>
            <w:r w:rsidRPr="006D4863">
              <w:rPr>
                <w:rFonts w:ascii="Arial" w:hAnsi="Arial" w:cs="Arial"/>
                <w:szCs w:val="21"/>
              </w:rPr>
              <w:t>平安银行股份有限公司</w:t>
            </w:r>
          </w:p>
        </w:tc>
        <w:tc>
          <w:tcPr>
            <w:tcW w:w="4560" w:type="dxa"/>
          </w:tcPr>
          <w:p w14:paraId="1193C1C7" w14:textId="77777777" w:rsidR="007E10F1" w:rsidRPr="009D38FF" w:rsidRDefault="007E10F1" w:rsidP="006B50F9">
            <w:pPr>
              <w:spacing w:line="400" w:lineRule="exact"/>
              <w:jc w:val="left"/>
              <w:rPr>
                <w:rFonts w:ascii="Arial" w:hAnsi="Arial" w:cs="Arial"/>
                <w:szCs w:val="21"/>
              </w:rPr>
            </w:pPr>
            <w:r w:rsidRPr="009D38FF">
              <w:rPr>
                <w:rFonts w:ascii="Arial" w:hAnsi="Arial" w:cs="Arial" w:hint="eastAsia"/>
                <w:szCs w:val="21"/>
              </w:rPr>
              <w:t>注册（办公）地址：深圳市深南东路</w:t>
            </w:r>
            <w:r w:rsidRPr="009D38FF">
              <w:rPr>
                <w:rFonts w:ascii="Arial" w:hAnsi="Arial" w:cs="Arial" w:hint="eastAsia"/>
                <w:szCs w:val="21"/>
              </w:rPr>
              <w:t>5047</w:t>
            </w:r>
            <w:r w:rsidRPr="009D38FF">
              <w:rPr>
                <w:rFonts w:ascii="Arial" w:hAnsi="Arial" w:cs="Arial" w:hint="eastAsia"/>
                <w:szCs w:val="21"/>
              </w:rPr>
              <w:t>号深圳发展银行大厦</w:t>
            </w:r>
          </w:p>
          <w:p w14:paraId="6C7DBA25" w14:textId="77777777" w:rsidR="007E10F1" w:rsidRPr="009D38FF" w:rsidRDefault="007E10F1" w:rsidP="006B50F9">
            <w:pPr>
              <w:spacing w:line="400" w:lineRule="exact"/>
              <w:jc w:val="left"/>
              <w:rPr>
                <w:rFonts w:ascii="Arial" w:hAnsi="Arial" w:cs="Arial"/>
                <w:szCs w:val="21"/>
              </w:rPr>
            </w:pPr>
            <w:r w:rsidRPr="009D38FF">
              <w:rPr>
                <w:rFonts w:ascii="Arial" w:hAnsi="Arial" w:cs="Arial" w:hint="eastAsia"/>
                <w:szCs w:val="21"/>
              </w:rPr>
              <w:t>客户服务电话：</w:t>
            </w:r>
            <w:r w:rsidRPr="009D38FF">
              <w:rPr>
                <w:rFonts w:ascii="Arial" w:hAnsi="Arial" w:cs="Arial" w:hint="eastAsia"/>
                <w:szCs w:val="21"/>
              </w:rPr>
              <w:t>95511</w:t>
            </w:r>
            <w:r w:rsidRPr="009D38FF">
              <w:rPr>
                <w:rFonts w:ascii="Arial" w:hAnsi="Arial" w:cs="Arial" w:hint="eastAsia"/>
                <w:szCs w:val="21"/>
              </w:rPr>
              <w:t>－</w:t>
            </w:r>
            <w:r w:rsidRPr="009D38FF">
              <w:rPr>
                <w:rFonts w:ascii="Arial" w:hAnsi="Arial" w:cs="Arial" w:hint="eastAsia"/>
                <w:szCs w:val="21"/>
              </w:rPr>
              <w:t>3</w:t>
            </w:r>
          </w:p>
          <w:p w14:paraId="2E5B08E4" w14:textId="77777777" w:rsidR="007E10F1" w:rsidRPr="005207EF" w:rsidRDefault="007E10F1" w:rsidP="006B50F9">
            <w:pPr>
              <w:spacing w:line="400" w:lineRule="exact"/>
              <w:jc w:val="left"/>
              <w:rPr>
                <w:rFonts w:ascii="Arial" w:hAnsi="Arial" w:cs="Arial"/>
                <w:szCs w:val="21"/>
              </w:rPr>
            </w:pPr>
            <w:r w:rsidRPr="009D38FF">
              <w:rPr>
                <w:rFonts w:ascii="Arial" w:hAnsi="Arial" w:cs="Arial" w:hint="eastAsia"/>
                <w:szCs w:val="21"/>
              </w:rPr>
              <w:t>网址：</w:t>
            </w:r>
            <w:hyperlink r:id="rId19" w:history="1">
              <w:r w:rsidRPr="00E328D2">
                <w:rPr>
                  <w:rFonts w:ascii="Arial" w:hAnsi="Arial" w:cs="Arial" w:hint="eastAsia"/>
                  <w:szCs w:val="21"/>
                </w:rPr>
                <w:t>www.bank.pingan.com</w:t>
              </w:r>
            </w:hyperlink>
          </w:p>
        </w:tc>
      </w:tr>
      <w:tr w:rsidR="007E10F1" w14:paraId="4FC9B031" w14:textId="77777777" w:rsidTr="007E10F1">
        <w:trPr>
          <w:trHeight w:val="510"/>
        </w:trPr>
        <w:tc>
          <w:tcPr>
            <w:tcW w:w="1526" w:type="dxa"/>
          </w:tcPr>
          <w:p w14:paraId="0531D075"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4</w:t>
            </w:r>
          </w:p>
        </w:tc>
        <w:tc>
          <w:tcPr>
            <w:tcW w:w="2527" w:type="dxa"/>
          </w:tcPr>
          <w:p w14:paraId="6316C396" w14:textId="77777777" w:rsidR="007E10F1" w:rsidRDefault="007E10F1" w:rsidP="006B50F9">
            <w:pPr>
              <w:spacing w:line="360" w:lineRule="auto"/>
              <w:jc w:val="center"/>
              <w:rPr>
                <w:rFonts w:ascii="宋体" w:hAnsi="宋体"/>
                <w:color w:val="000000"/>
                <w:kern w:val="0"/>
                <w:sz w:val="24"/>
              </w:rPr>
            </w:pPr>
            <w:r w:rsidRPr="00DC3EF6">
              <w:rPr>
                <w:rFonts w:ascii="宋体" w:hAnsi="宋体" w:hint="eastAsia"/>
                <w:color w:val="000000"/>
                <w:kern w:val="0"/>
                <w:sz w:val="24"/>
              </w:rPr>
              <w:t>珠海华润银行股份有限公司</w:t>
            </w:r>
          </w:p>
        </w:tc>
        <w:tc>
          <w:tcPr>
            <w:tcW w:w="4560" w:type="dxa"/>
          </w:tcPr>
          <w:p w14:paraId="7B5A3C56"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w:t>
            </w:r>
            <w:r w:rsidRPr="00DC3EF6">
              <w:rPr>
                <w:rFonts w:ascii="宋体" w:hAnsi="宋体" w:hint="eastAsia"/>
                <w:color w:val="000000"/>
                <w:kern w:val="0"/>
                <w:sz w:val="24"/>
              </w:rPr>
              <w:t>广东省珠海市吉大九州大道东1346号</w:t>
            </w:r>
            <w:r>
              <w:rPr>
                <w:rFonts w:ascii="宋体" w:hAnsi="宋体" w:hint="eastAsia"/>
                <w:color w:val="000000"/>
                <w:kern w:val="0"/>
                <w:sz w:val="24"/>
              </w:rPr>
              <w:br/>
              <w:t xml:space="preserve">客服电话：96588 </w:t>
            </w:r>
            <w:r>
              <w:rPr>
                <w:rFonts w:ascii="宋体" w:hAnsi="宋体" w:hint="eastAsia"/>
                <w:color w:val="000000"/>
                <w:kern w:val="0"/>
                <w:sz w:val="24"/>
              </w:rPr>
              <w:br/>
              <w:t>公司网址：</w:t>
            </w:r>
            <w:r w:rsidRPr="00DC3EF6">
              <w:rPr>
                <w:rFonts w:ascii="宋体" w:hAnsi="宋体"/>
                <w:color w:val="000000"/>
                <w:kern w:val="0"/>
                <w:sz w:val="24"/>
              </w:rPr>
              <w:t>www.crbank.com.cn</w:t>
            </w:r>
          </w:p>
        </w:tc>
      </w:tr>
      <w:tr w:rsidR="007E10F1" w14:paraId="6A874E92" w14:textId="77777777" w:rsidTr="007E10F1">
        <w:trPr>
          <w:trHeight w:val="510"/>
        </w:trPr>
        <w:tc>
          <w:tcPr>
            <w:tcW w:w="1526" w:type="dxa"/>
          </w:tcPr>
          <w:p w14:paraId="077938D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lastRenderedPageBreak/>
              <w:t>5</w:t>
            </w:r>
          </w:p>
        </w:tc>
        <w:tc>
          <w:tcPr>
            <w:tcW w:w="2527" w:type="dxa"/>
          </w:tcPr>
          <w:p w14:paraId="50877A29" w14:textId="77777777" w:rsidR="007E10F1" w:rsidRDefault="007E10F1" w:rsidP="006B50F9">
            <w:pPr>
              <w:spacing w:line="360" w:lineRule="auto"/>
              <w:jc w:val="center"/>
              <w:rPr>
                <w:rFonts w:ascii="宋体" w:hAnsi="宋体"/>
                <w:color w:val="000000"/>
                <w:kern w:val="0"/>
                <w:sz w:val="24"/>
              </w:rPr>
            </w:pPr>
            <w:r w:rsidRPr="00A70BB6">
              <w:rPr>
                <w:rFonts w:ascii="Arial" w:hAnsi="Arial" w:cs="Arial" w:hint="eastAsia"/>
                <w:szCs w:val="21"/>
              </w:rPr>
              <w:t>平安证券股份有限公司</w:t>
            </w:r>
          </w:p>
        </w:tc>
        <w:tc>
          <w:tcPr>
            <w:tcW w:w="4560" w:type="dxa"/>
          </w:tcPr>
          <w:p w14:paraId="786644BE" w14:textId="77777777" w:rsidR="007E10F1" w:rsidRPr="009C2B2E" w:rsidRDefault="007E10F1" w:rsidP="006B50F9">
            <w:pPr>
              <w:spacing w:line="400" w:lineRule="exact"/>
              <w:jc w:val="left"/>
              <w:rPr>
                <w:rFonts w:ascii="Arial" w:hAnsi="Arial" w:cs="Arial"/>
                <w:szCs w:val="21"/>
              </w:rPr>
            </w:pPr>
            <w:r w:rsidRPr="009C2B2E">
              <w:rPr>
                <w:rFonts w:ascii="Arial" w:hAnsi="Arial" w:cs="Arial" w:hint="eastAsia"/>
                <w:szCs w:val="21"/>
              </w:rPr>
              <w:t>注册（办公）地址：深圳市福田中心区金田路</w:t>
            </w:r>
            <w:r w:rsidRPr="009C2B2E">
              <w:rPr>
                <w:rFonts w:ascii="Arial" w:hAnsi="Arial" w:cs="Arial" w:hint="eastAsia"/>
                <w:szCs w:val="21"/>
              </w:rPr>
              <w:t>4036</w:t>
            </w:r>
            <w:r w:rsidRPr="009C2B2E">
              <w:rPr>
                <w:rFonts w:ascii="Arial" w:hAnsi="Arial" w:cs="Arial" w:hint="eastAsia"/>
                <w:szCs w:val="21"/>
              </w:rPr>
              <w:t>号荣超大厦</w:t>
            </w:r>
            <w:r w:rsidRPr="009C2B2E">
              <w:rPr>
                <w:rFonts w:ascii="Arial" w:hAnsi="Arial" w:cs="Arial" w:hint="eastAsia"/>
                <w:szCs w:val="21"/>
              </w:rPr>
              <w:t>16-20</w:t>
            </w:r>
            <w:r w:rsidRPr="009C2B2E">
              <w:rPr>
                <w:rFonts w:ascii="Arial" w:hAnsi="Arial" w:cs="Arial" w:hint="eastAsia"/>
                <w:szCs w:val="21"/>
              </w:rPr>
              <w:t>层</w:t>
            </w:r>
            <w:r w:rsidRPr="009C2B2E">
              <w:rPr>
                <w:rFonts w:ascii="Arial" w:hAnsi="Arial" w:cs="Arial" w:hint="eastAsia"/>
                <w:szCs w:val="21"/>
              </w:rPr>
              <w:t xml:space="preserve"> </w:t>
            </w:r>
          </w:p>
          <w:p w14:paraId="066822AA" w14:textId="77777777" w:rsidR="007E10F1" w:rsidRPr="009C2B2E" w:rsidRDefault="007E10F1" w:rsidP="006B50F9">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 xml:space="preserve">95511-8 </w:t>
            </w:r>
          </w:p>
          <w:p w14:paraId="64068E20" w14:textId="77777777" w:rsidR="007E10F1" w:rsidRDefault="007E10F1" w:rsidP="006B50F9">
            <w:pPr>
              <w:spacing w:line="360" w:lineRule="auto"/>
              <w:jc w:val="left"/>
              <w:rPr>
                <w:rFonts w:ascii="宋体" w:hAnsi="宋体"/>
                <w:color w:val="000000"/>
                <w:kern w:val="0"/>
                <w:sz w:val="24"/>
              </w:rPr>
            </w:pPr>
            <w:r w:rsidRPr="009C2B2E">
              <w:rPr>
                <w:rFonts w:ascii="Arial" w:hAnsi="Arial" w:cs="Arial" w:hint="eastAsia"/>
                <w:szCs w:val="21"/>
              </w:rPr>
              <w:t>网址：</w:t>
            </w:r>
            <w:r w:rsidRPr="009C2B2E">
              <w:rPr>
                <w:rFonts w:ascii="Arial" w:hAnsi="Arial" w:cs="Arial"/>
                <w:szCs w:val="21"/>
              </w:rPr>
              <w:t>stock.pingan.com</w:t>
            </w:r>
          </w:p>
        </w:tc>
      </w:tr>
      <w:tr w:rsidR="007E10F1" w14:paraId="45DCAE12" w14:textId="77777777" w:rsidTr="007E10F1">
        <w:trPr>
          <w:trHeight w:val="510"/>
        </w:trPr>
        <w:tc>
          <w:tcPr>
            <w:tcW w:w="1526" w:type="dxa"/>
          </w:tcPr>
          <w:p w14:paraId="63DE14E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6</w:t>
            </w:r>
          </w:p>
        </w:tc>
        <w:tc>
          <w:tcPr>
            <w:tcW w:w="2527" w:type="dxa"/>
          </w:tcPr>
          <w:p w14:paraId="59D5926D"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联讯证券股份有限公司</w:t>
            </w:r>
          </w:p>
        </w:tc>
        <w:tc>
          <w:tcPr>
            <w:tcW w:w="4560" w:type="dxa"/>
          </w:tcPr>
          <w:p w14:paraId="715F40A1" w14:textId="77777777" w:rsidR="007E10F1" w:rsidRDefault="007E10F1" w:rsidP="006B50F9">
            <w:pPr>
              <w:spacing w:line="360" w:lineRule="auto"/>
              <w:jc w:val="left"/>
              <w:rPr>
                <w:rFonts w:ascii="宋体" w:hAnsi="宋体"/>
                <w:color w:val="000000"/>
                <w:kern w:val="0"/>
                <w:sz w:val="24"/>
              </w:rPr>
            </w:pPr>
            <w:r w:rsidRPr="00F12817">
              <w:rPr>
                <w:rFonts w:ascii="宋体" w:hAnsi="宋体" w:hint="eastAsia"/>
                <w:color w:val="000000"/>
                <w:kern w:val="0"/>
                <w:sz w:val="24"/>
              </w:rPr>
              <w:t>办公</w:t>
            </w:r>
            <w:r w:rsidRPr="009C2B2E">
              <w:rPr>
                <w:rFonts w:ascii="Arial" w:hAnsi="Arial" w:cs="Arial" w:hint="eastAsia"/>
                <w:szCs w:val="21"/>
              </w:rPr>
              <w:t>地址</w:t>
            </w:r>
            <w:r w:rsidRPr="00F12817">
              <w:rPr>
                <w:rFonts w:ascii="宋体" w:hAnsi="宋体" w:hint="eastAsia"/>
                <w:color w:val="000000"/>
                <w:kern w:val="0"/>
                <w:sz w:val="24"/>
              </w:rPr>
              <w:t>：深圳市福田区深南中路2002号中广核大厦北楼10层</w:t>
            </w:r>
          </w:p>
          <w:p w14:paraId="6E3F42F1" w14:textId="77777777" w:rsidR="007E10F1" w:rsidRPr="009C2B2E" w:rsidRDefault="007E10F1" w:rsidP="006B50F9">
            <w:pPr>
              <w:spacing w:line="400" w:lineRule="exact"/>
              <w:jc w:val="left"/>
              <w:rPr>
                <w:rFonts w:ascii="Arial" w:hAnsi="Arial" w:cs="Arial"/>
                <w:szCs w:val="21"/>
              </w:rPr>
            </w:pPr>
            <w:r w:rsidRPr="009C2B2E">
              <w:rPr>
                <w:rFonts w:ascii="Arial" w:hAnsi="Arial" w:cs="Arial" w:hint="eastAsia"/>
                <w:szCs w:val="21"/>
              </w:rPr>
              <w:t>客户服务电话：</w:t>
            </w:r>
            <w:r w:rsidRPr="009C2B2E">
              <w:rPr>
                <w:rFonts w:ascii="Arial" w:hAnsi="Arial" w:cs="Arial"/>
                <w:szCs w:val="21"/>
              </w:rPr>
              <w:t>955</w:t>
            </w:r>
            <w:r>
              <w:rPr>
                <w:rFonts w:ascii="Arial" w:hAnsi="Arial" w:cs="Arial" w:hint="eastAsia"/>
                <w:szCs w:val="21"/>
              </w:rPr>
              <w:t>64</w:t>
            </w:r>
          </w:p>
          <w:p w14:paraId="0BF80B78" w14:textId="77777777" w:rsidR="007E10F1" w:rsidRDefault="007E10F1" w:rsidP="006B50F9">
            <w:pPr>
              <w:spacing w:line="360" w:lineRule="auto"/>
              <w:jc w:val="left"/>
              <w:rPr>
                <w:rFonts w:ascii="宋体" w:hAnsi="宋体"/>
                <w:color w:val="000000"/>
                <w:kern w:val="0"/>
                <w:sz w:val="24"/>
              </w:rPr>
            </w:pPr>
            <w:r w:rsidRPr="009C2B2E">
              <w:rPr>
                <w:rFonts w:ascii="Arial" w:hAnsi="Arial" w:cs="Arial" w:hint="eastAsia"/>
                <w:szCs w:val="21"/>
              </w:rPr>
              <w:t>网址：</w:t>
            </w:r>
            <w:r w:rsidRPr="00F12817">
              <w:rPr>
                <w:rFonts w:ascii="Arial" w:hAnsi="Arial" w:cs="Arial"/>
                <w:szCs w:val="21"/>
              </w:rPr>
              <w:t>www.lxzq.com.cn</w:t>
            </w:r>
          </w:p>
        </w:tc>
      </w:tr>
      <w:tr w:rsidR="007E10F1" w14:paraId="132B87F4" w14:textId="77777777" w:rsidTr="007E10F1">
        <w:trPr>
          <w:trHeight w:val="510"/>
        </w:trPr>
        <w:tc>
          <w:tcPr>
            <w:tcW w:w="1526" w:type="dxa"/>
          </w:tcPr>
          <w:p w14:paraId="3E0EBA36"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7</w:t>
            </w:r>
          </w:p>
        </w:tc>
        <w:tc>
          <w:tcPr>
            <w:tcW w:w="2527" w:type="dxa"/>
          </w:tcPr>
          <w:p w14:paraId="560A8301" w14:textId="77777777" w:rsidR="007E10F1" w:rsidRDefault="007E10F1" w:rsidP="006B50F9">
            <w:pPr>
              <w:spacing w:line="360" w:lineRule="auto"/>
              <w:jc w:val="center"/>
              <w:rPr>
                <w:rFonts w:ascii="宋体" w:hAnsi="宋体"/>
                <w:color w:val="000000"/>
                <w:kern w:val="0"/>
                <w:sz w:val="24"/>
              </w:rPr>
            </w:pPr>
            <w:r>
              <w:rPr>
                <w:rFonts w:ascii="Arial" w:hAnsi="Arial" w:cs="Arial" w:hint="eastAsia"/>
                <w:color w:val="000000"/>
                <w:kern w:val="0"/>
                <w:szCs w:val="21"/>
              </w:rPr>
              <w:t>世纪证券有限责任公司</w:t>
            </w:r>
          </w:p>
        </w:tc>
        <w:tc>
          <w:tcPr>
            <w:tcW w:w="4560" w:type="dxa"/>
          </w:tcPr>
          <w:p w14:paraId="6C50B1F3" w14:textId="77777777" w:rsidR="007E10F1" w:rsidRPr="00E60846" w:rsidRDefault="007E10F1" w:rsidP="006B50F9">
            <w:pPr>
              <w:widowControl/>
              <w:shd w:val="clear" w:color="auto" w:fill="FFFFFF"/>
              <w:spacing w:line="360" w:lineRule="auto"/>
              <w:jc w:val="left"/>
              <w:rPr>
                <w:rFonts w:ascii="宋体" w:hAnsi="宋体" w:cs="Calibri"/>
                <w:color w:val="000000"/>
                <w:kern w:val="0"/>
                <w:szCs w:val="21"/>
              </w:rPr>
            </w:pPr>
            <w:r w:rsidRPr="00E60846">
              <w:rPr>
                <w:rFonts w:ascii="宋体" w:hAnsi="宋体" w:cs="Calibri" w:hint="eastAsia"/>
                <w:color w:val="000000"/>
                <w:kern w:val="0"/>
                <w:szCs w:val="21"/>
              </w:rPr>
              <w:t>注册（办公）地址：</w:t>
            </w:r>
            <w:r w:rsidRPr="00EB2382">
              <w:rPr>
                <w:rFonts w:hint="eastAsia"/>
                <w:szCs w:val="21"/>
              </w:rPr>
              <w:t>深圳市福田区深南大道招商银行大厦</w:t>
            </w:r>
            <w:r w:rsidRPr="00EB2382">
              <w:rPr>
                <w:rFonts w:hint="eastAsia"/>
                <w:szCs w:val="21"/>
              </w:rPr>
              <w:t>40</w:t>
            </w:r>
            <w:r>
              <w:rPr>
                <w:szCs w:val="21"/>
              </w:rPr>
              <w:t>-</w:t>
            </w:r>
            <w:r w:rsidRPr="00EB2382">
              <w:rPr>
                <w:szCs w:val="21"/>
              </w:rPr>
              <w:t>42</w:t>
            </w:r>
            <w:r w:rsidRPr="00EB2382">
              <w:rPr>
                <w:rFonts w:hint="eastAsia"/>
                <w:szCs w:val="21"/>
              </w:rPr>
              <w:t>层</w:t>
            </w:r>
          </w:p>
          <w:p w14:paraId="6EC7A964" w14:textId="77777777" w:rsidR="007E10F1" w:rsidRPr="00A50CA4" w:rsidRDefault="007E10F1" w:rsidP="006B50F9">
            <w:pPr>
              <w:spacing w:line="360" w:lineRule="auto"/>
              <w:rPr>
                <w:szCs w:val="21"/>
              </w:rPr>
            </w:pPr>
            <w:r w:rsidRPr="00E60846">
              <w:rPr>
                <w:rFonts w:ascii="宋体" w:hAnsi="宋体" w:cs="Calibri" w:hint="eastAsia"/>
                <w:color w:val="000000"/>
                <w:kern w:val="0"/>
                <w:szCs w:val="21"/>
              </w:rPr>
              <w:t>客服电话：</w:t>
            </w:r>
            <w:r w:rsidRPr="00EB2382">
              <w:rPr>
                <w:rFonts w:hint="eastAsia"/>
                <w:szCs w:val="21"/>
              </w:rPr>
              <w:t>4008323000</w:t>
            </w:r>
          </w:p>
          <w:p w14:paraId="7CBA53BE" w14:textId="77777777" w:rsidR="007E10F1" w:rsidRDefault="007E10F1" w:rsidP="006B50F9">
            <w:pPr>
              <w:spacing w:line="360" w:lineRule="auto"/>
              <w:jc w:val="left"/>
              <w:rPr>
                <w:rFonts w:ascii="宋体" w:hAnsi="宋体"/>
                <w:color w:val="000000"/>
                <w:kern w:val="0"/>
                <w:sz w:val="24"/>
              </w:rPr>
            </w:pPr>
            <w:r w:rsidRPr="00E60846">
              <w:rPr>
                <w:rFonts w:ascii="宋体" w:hAnsi="宋体" w:cs="Calibri" w:hint="eastAsia"/>
                <w:color w:val="000000"/>
                <w:kern w:val="0"/>
                <w:szCs w:val="21"/>
              </w:rPr>
              <w:t>网站：</w:t>
            </w:r>
            <w:r w:rsidDel="009A50FB">
              <w:t xml:space="preserve"> </w:t>
            </w:r>
            <w:r w:rsidRPr="00EB2382">
              <w:rPr>
                <w:szCs w:val="21"/>
              </w:rPr>
              <w:t>http://www.csco.com.cn</w:t>
            </w:r>
          </w:p>
        </w:tc>
      </w:tr>
      <w:tr w:rsidR="007E10F1" w:rsidRPr="008339E7" w14:paraId="7589DEC5" w14:textId="77777777" w:rsidTr="007E10F1">
        <w:trPr>
          <w:trHeight w:val="510"/>
        </w:trPr>
        <w:tc>
          <w:tcPr>
            <w:tcW w:w="1526" w:type="dxa"/>
          </w:tcPr>
          <w:p w14:paraId="080B4CB9"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8</w:t>
            </w:r>
          </w:p>
        </w:tc>
        <w:tc>
          <w:tcPr>
            <w:tcW w:w="2527" w:type="dxa"/>
          </w:tcPr>
          <w:p w14:paraId="348B07B6" w14:textId="77777777" w:rsidR="007E10F1" w:rsidRDefault="007E10F1" w:rsidP="006B50F9">
            <w:pPr>
              <w:spacing w:line="360" w:lineRule="auto"/>
              <w:jc w:val="center"/>
              <w:rPr>
                <w:rFonts w:ascii="Arial" w:hAnsi="Arial" w:cs="Arial"/>
                <w:color w:val="000000"/>
                <w:kern w:val="0"/>
                <w:szCs w:val="21"/>
              </w:rPr>
            </w:pPr>
            <w:r w:rsidRPr="008339E7">
              <w:rPr>
                <w:rFonts w:ascii="Arial" w:hAnsi="Arial" w:cs="Arial" w:hint="eastAsia"/>
                <w:color w:val="000000"/>
                <w:kern w:val="0"/>
                <w:szCs w:val="21"/>
              </w:rPr>
              <w:t>华鑫证券有限责任公司</w:t>
            </w:r>
          </w:p>
        </w:tc>
        <w:tc>
          <w:tcPr>
            <w:tcW w:w="4560" w:type="dxa"/>
          </w:tcPr>
          <w:p w14:paraId="54B394ED"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46293D">
              <w:rPr>
                <w:rFonts w:ascii="宋体" w:hAnsi="宋体" w:cs="Calibri" w:hint="eastAsia"/>
                <w:color w:val="000000"/>
                <w:kern w:val="0"/>
                <w:szCs w:val="21"/>
              </w:rPr>
              <w:t>深圳市福田区金田路4018号安联大厦28层A01、B01（b）单元</w:t>
            </w:r>
          </w:p>
          <w:p w14:paraId="086530B4"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宋体" w:hAnsi="宋体" w:cs="Calibri" w:hint="eastAsia"/>
                <w:color w:val="000000"/>
                <w:kern w:val="0"/>
                <w:szCs w:val="21"/>
              </w:rPr>
              <w:t>95323</w:t>
            </w:r>
          </w:p>
          <w:p w14:paraId="2D0A0C62" w14:textId="77777777" w:rsidR="007E10F1" w:rsidRPr="008339E7"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Pr>
                <w:rFonts w:ascii="宋体" w:hAnsi="宋体" w:cs="Calibri" w:hint="eastAsia"/>
                <w:color w:val="000000"/>
                <w:kern w:val="0"/>
                <w:szCs w:val="21"/>
              </w:rPr>
              <w:t>www.cfsc.com.cn</w:t>
            </w:r>
          </w:p>
        </w:tc>
      </w:tr>
      <w:tr w:rsidR="007E10F1" w:rsidRPr="00E60846" w14:paraId="2CD549E8" w14:textId="77777777" w:rsidTr="007E10F1">
        <w:trPr>
          <w:trHeight w:val="510"/>
        </w:trPr>
        <w:tc>
          <w:tcPr>
            <w:tcW w:w="1526" w:type="dxa"/>
          </w:tcPr>
          <w:p w14:paraId="45341D3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9</w:t>
            </w:r>
          </w:p>
        </w:tc>
        <w:tc>
          <w:tcPr>
            <w:tcW w:w="2527" w:type="dxa"/>
          </w:tcPr>
          <w:p w14:paraId="7B524F66" w14:textId="77777777" w:rsidR="007E10F1" w:rsidRDefault="007E10F1" w:rsidP="006B50F9">
            <w:pPr>
              <w:spacing w:line="360" w:lineRule="auto"/>
              <w:jc w:val="center"/>
              <w:rPr>
                <w:rFonts w:ascii="Arial" w:hAnsi="Arial" w:cs="Arial"/>
                <w:color w:val="000000"/>
                <w:kern w:val="0"/>
                <w:szCs w:val="21"/>
              </w:rPr>
            </w:pPr>
            <w:r w:rsidRPr="008339E7">
              <w:rPr>
                <w:rFonts w:ascii="Arial" w:hAnsi="Arial" w:cs="Arial" w:hint="eastAsia"/>
                <w:color w:val="000000"/>
                <w:kern w:val="0"/>
                <w:szCs w:val="21"/>
              </w:rPr>
              <w:t>长城证券股份有限公司</w:t>
            </w:r>
          </w:p>
        </w:tc>
        <w:tc>
          <w:tcPr>
            <w:tcW w:w="4560" w:type="dxa"/>
          </w:tcPr>
          <w:p w14:paraId="1FBCFCA2" w14:textId="77777777" w:rsidR="007E10F1" w:rsidRDefault="007E10F1" w:rsidP="006B50F9">
            <w:pPr>
              <w:widowControl/>
              <w:shd w:val="clear" w:color="auto" w:fill="FFFFFF"/>
              <w:spacing w:line="360" w:lineRule="auto"/>
              <w:jc w:val="left"/>
              <w:rPr>
                <w:rFonts w:ascii="Arial" w:hAnsi="Arial" w:cs="Arial"/>
                <w:szCs w:val="21"/>
              </w:rPr>
            </w:pPr>
            <w:r w:rsidRPr="00EB0E7D">
              <w:rPr>
                <w:rFonts w:ascii="Arial" w:hAnsi="Arial" w:cs="Arial"/>
                <w:szCs w:val="21"/>
              </w:rPr>
              <w:t>注册（办公）地址：深圳市福田区深南大道</w:t>
            </w:r>
            <w:r w:rsidRPr="00EB0E7D">
              <w:rPr>
                <w:rFonts w:ascii="Arial" w:hAnsi="Arial" w:cs="Arial"/>
                <w:szCs w:val="21"/>
              </w:rPr>
              <w:t>6008</w:t>
            </w:r>
            <w:r w:rsidRPr="00EB0E7D">
              <w:rPr>
                <w:rFonts w:ascii="Arial" w:hAnsi="Arial" w:cs="Arial"/>
                <w:szCs w:val="21"/>
              </w:rPr>
              <w:t>号特区报业大厦</w:t>
            </w:r>
            <w:r w:rsidRPr="00EB0E7D">
              <w:rPr>
                <w:rFonts w:ascii="Arial" w:hAnsi="Arial" w:cs="Arial"/>
                <w:szCs w:val="21"/>
              </w:rPr>
              <w:t>14</w:t>
            </w:r>
            <w:r w:rsidRPr="00EB0E7D">
              <w:rPr>
                <w:rFonts w:ascii="Arial" w:hAnsi="Arial" w:cs="Arial"/>
                <w:szCs w:val="21"/>
              </w:rPr>
              <w:t>、</w:t>
            </w:r>
            <w:r w:rsidRPr="00EB0E7D">
              <w:rPr>
                <w:rFonts w:ascii="Arial" w:hAnsi="Arial" w:cs="Arial"/>
                <w:szCs w:val="21"/>
              </w:rPr>
              <w:t>16</w:t>
            </w:r>
            <w:r w:rsidRPr="00EB0E7D">
              <w:rPr>
                <w:rFonts w:ascii="Arial" w:hAnsi="Arial" w:cs="Arial"/>
                <w:szCs w:val="21"/>
              </w:rPr>
              <w:t>、</w:t>
            </w:r>
            <w:r w:rsidRPr="00EB0E7D">
              <w:rPr>
                <w:rFonts w:ascii="Arial" w:hAnsi="Arial" w:cs="Arial"/>
                <w:szCs w:val="21"/>
              </w:rPr>
              <w:t>17</w:t>
            </w:r>
            <w:r w:rsidRPr="00EB0E7D">
              <w:rPr>
                <w:rFonts w:ascii="Arial" w:hAnsi="Arial" w:cs="Arial"/>
                <w:szCs w:val="21"/>
              </w:rPr>
              <w:t>层</w:t>
            </w:r>
          </w:p>
          <w:p w14:paraId="3034A101" w14:textId="77777777" w:rsidR="007E10F1" w:rsidRPr="00EB0E7D" w:rsidRDefault="007E10F1" w:rsidP="006B50F9">
            <w:pPr>
              <w:spacing w:line="400" w:lineRule="exact"/>
              <w:jc w:val="left"/>
              <w:rPr>
                <w:rFonts w:ascii="Arial" w:hAnsi="Arial" w:cs="Arial"/>
                <w:szCs w:val="21"/>
              </w:rPr>
            </w:pPr>
            <w:r w:rsidRPr="00EB0E7D">
              <w:rPr>
                <w:rFonts w:ascii="Arial" w:hAnsi="Arial" w:cs="Arial"/>
                <w:szCs w:val="21"/>
              </w:rPr>
              <w:t>客户服务热线：</w:t>
            </w:r>
            <w:r w:rsidRPr="00EB0E7D">
              <w:rPr>
                <w:rFonts w:ascii="Arial" w:hAnsi="Arial" w:cs="Arial"/>
                <w:szCs w:val="21"/>
              </w:rPr>
              <w:t>0755-33680000</w:t>
            </w:r>
            <w:r w:rsidRPr="00EB0E7D">
              <w:rPr>
                <w:rFonts w:ascii="Arial" w:hAnsi="Arial" w:cs="Arial"/>
                <w:szCs w:val="21"/>
              </w:rPr>
              <w:t>、</w:t>
            </w:r>
            <w:r w:rsidRPr="00EB0E7D">
              <w:rPr>
                <w:rFonts w:ascii="Arial" w:hAnsi="Arial" w:cs="Arial"/>
                <w:szCs w:val="21"/>
              </w:rPr>
              <w:t>400 6666 888</w:t>
            </w:r>
          </w:p>
          <w:p w14:paraId="6E116825" w14:textId="77777777" w:rsidR="007E10F1" w:rsidRPr="00E60846" w:rsidRDefault="007E10F1" w:rsidP="006B50F9">
            <w:pPr>
              <w:widowControl/>
              <w:shd w:val="clear" w:color="auto" w:fill="FFFFFF"/>
              <w:spacing w:line="360" w:lineRule="auto"/>
              <w:jc w:val="left"/>
              <w:rPr>
                <w:rFonts w:ascii="宋体" w:hAnsi="宋体" w:cs="Calibri"/>
                <w:color w:val="000000"/>
                <w:kern w:val="0"/>
                <w:szCs w:val="21"/>
              </w:rPr>
            </w:pPr>
            <w:r w:rsidRPr="00EB0E7D">
              <w:rPr>
                <w:rFonts w:ascii="Arial" w:hAnsi="Arial" w:cs="Arial"/>
                <w:szCs w:val="21"/>
              </w:rPr>
              <w:t>网址：</w:t>
            </w:r>
            <w:r w:rsidRPr="00EB0E7D">
              <w:rPr>
                <w:rFonts w:ascii="Arial" w:hAnsi="Arial" w:cs="Arial"/>
                <w:szCs w:val="21"/>
              </w:rPr>
              <w:t>www.cgws.com</w:t>
            </w:r>
          </w:p>
        </w:tc>
      </w:tr>
      <w:tr w:rsidR="007E10F1" w14:paraId="1933F243" w14:textId="77777777" w:rsidTr="007E10F1">
        <w:trPr>
          <w:trHeight w:val="510"/>
        </w:trPr>
        <w:tc>
          <w:tcPr>
            <w:tcW w:w="1526" w:type="dxa"/>
          </w:tcPr>
          <w:p w14:paraId="0D810381"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10</w:t>
            </w:r>
          </w:p>
        </w:tc>
        <w:tc>
          <w:tcPr>
            <w:tcW w:w="2527" w:type="dxa"/>
          </w:tcPr>
          <w:p w14:paraId="29702483"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江苏金百临投资咨询股份有限公司</w:t>
            </w:r>
          </w:p>
        </w:tc>
        <w:tc>
          <w:tcPr>
            <w:tcW w:w="4560" w:type="dxa"/>
          </w:tcPr>
          <w:p w14:paraId="4E35755A"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办公地址：无锡市太湖新城锦溪道楝泽路9号楼</w:t>
            </w:r>
          </w:p>
          <w:p w14:paraId="73E3EDA3"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客服电话：0510-9688988</w:t>
            </w:r>
          </w:p>
          <w:p w14:paraId="0A206E4B"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公司网址：www.jsjbl.com</w:t>
            </w:r>
          </w:p>
        </w:tc>
      </w:tr>
      <w:tr w:rsidR="007E10F1" w14:paraId="253FC84E" w14:textId="77777777" w:rsidTr="007E10F1">
        <w:trPr>
          <w:trHeight w:val="510"/>
        </w:trPr>
        <w:tc>
          <w:tcPr>
            <w:tcW w:w="1526" w:type="dxa"/>
          </w:tcPr>
          <w:p w14:paraId="78E1C4F6"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11</w:t>
            </w:r>
          </w:p>
        </w:tc>
        <w:tc>
          <w:tcPr>
            <w:tcW w:w="2527" w:type="dxa"/>
          </w:tcPr>
          <w:p w14:paraId="084DFC4B"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上海基煜基金销售有限公司</w:t>
            </w:r>
          </w:p>
        </w:tc>
        <w:tc>
          <w:tcPr>
            <w:tcW w:w="4560" w:type="dxa"/>
          </w:tcPr>
          <w:p w14:paraId="32D48484"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办公地址：上海市崇明县长兴镇潘园公路1800号2号楼6153室</w:t>
            </w:r>
          </w:p>
          <w:p w14:paraId="1DEC896E"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400-820-5369</w:t>
            </w:r>
          </w:p>
          <w:p w14:paraId="166113C2"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hyperlink r:id="rId20" w:tgtFrame="_blank" w:history="1">
              <w:r>
                <w:rPr>
                  <w:rFonts w:ascii="宋体" w:hAnsi="宋体"/>
                  <w:color w:val="000000"/>
                  <w:kern w:val="0"/>
                  <w:sz w:val="24"/>
                </w:rPr>
                <w:t>www.jiyufund.com.cn</w:t>
              </w:r>
            </w:hyperlink>
          </w:p>
        </w:tc>
      </w:tr>
      <w:tr w:rsidR="007E10F1" w14:paraId="52EB2FF4" w14:textId="77777777" w:rsidTr="007E10F1">
        <w:trPr>
          <w:trHeight w:val="510"/>
        </w:trPr>
        <w:tc>
          <w:tcPr>
            <w:tcW w:w="1526" w:type="dxa"/>
          </w:tcPr>
          <w:p w14:paraId="1AF40F1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12</w:t>
            </w:r>
          </w:p>
        </w:tc>
        <w:tc>
          <w:tcPr>
            <w:tcW w:w="2527" w:type="dxa"/>
          </w:tcPr>
          <w:p w14:paraId="1FF4768C"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上海好买基金销售有</w:t>
            </w:r>
            <w:r w:rsidRPr="00F12817">
              <w:rPr>
                <w:rFonts w:ascii="宋体" w:hAnsi="宋体" w:hint="eastAsia"/>
                <w:color w:val="000000"/>
                <w:kern w:val="0"/>
                <w:sz w:val="24"/>
              </w:rPr>
              <w:lastRenderedPageBreak/>
              <w:t>限公司</w:t>
            </w:r>
          </w:p>
        </w:tc>
        <w:tc>
          <w:tcPr>
            <w:tcW w:w="4560" w:type="dxa"/>
          </w:tcPr>
          <w:p w14:paraId="00749661"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lastRenderedPageBreak/>
              <w:t>办公地址：上海市浦东新区浦东南路1118</w:t>
            </w:r>
            <w:r>
              <w:rPr>
                <w:rFonts w:ascii="宋体" w:hAnsi="宋体" w:hint="eastAsia"/>
                <w:color w:val="000000"/>
                <w:kern w:val="0"/>
                <w:sz w:val="24"/>
              </w:rPr>
              <w:lastRenderedPageBreak/>
              <w:t>号鄂尔多斯大厦9楼</w:t>
            </w:r>
          </w:p>
          <w:p w14:paraId="13B9BF96"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客服电话：400-700-9665</w:t>
            </w:r>
          </w:p>
          <w:p w14:paraId="57F7A7BF"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公司网址：www.ehowbuy.com</w:t>
            </w:r>
          </w:p>
        </w:tc>
      </w:tr>
      <w:tr w:rsidR="007E10F1" w14:paraId="765708A0" w14:textId="77777777" w:rsidTr="007E10F1">
        <w:trPr>
          <w:trHeight w:val="510"/>
        </w:trPr>
        <w:tc>
          <w:tcPr>
            <w:tcW w:w="1526" w:type="dxa"/>
          </w:tcPr>
          <w:p w14:paraId="239B7278"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lastRenderedPageBreak/>
              <w:t>13</w:t>
            </w:r>
          </w:p>
        </w:tc>
        <w:tc>
          <w:tcPr>
            <w:tcW w:w="2527" w:type="dxa"/>
          </w:tcPr>
          <w:p w14:paraId="1D831C5E"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北京肯特瑞财富投资管理有限公司</w:t>
            </w:r>
          </w:p>
        </w:tc>
        <w:tc>
          <w:tcPr>
            <w:tcW w:w="4560" w:type="dxa"/>
          </w:tcPr>
          <w:p w14:paraId="49E41385"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办公地址：北京市亦庄经济开发区科创十一街18号A座</w:t>
            </w:r>
          </w:p>
          <w:p w14:paraId="4DCDB932"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w:t>
            </w:r>
            <w:r>
              <w:rPr>
                <w:rFonts w:ascii="宋体" w:hAnsi="宋体"/>
                <w:color w:val="000000"/>
                <w:kern w:val="0"/>
                <w:sz w:val="24"/>
              </w:rPr>
              <w:t>95118</w:t>
            </w:r>
          </w:p>
          <w:p w14:paraId="684691DF"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公司网址：www.fund.jd.com</w:t>
            </w:r>
          </w:p>
        </w:tc>
      </w:tr>
      <w:tr w:rsidR="007E10F1" w14:paraId="72F9A43A" w14:textId="77777777" w:rsidTr="007E10F1">
        <w:trPr>
          <w:trHeight w:val="510"/>
        </w:trPr>
        <w:tc>
          <w:tcPr>
            <w:tcW w:w="1526" w:type="dxa"/>
          </w:tcPr>
          <w:p w14:paraId="03F2E28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14</w:t>
            </w:r>
          </w:p>
        </w:tc>
        <w:tc>
          <w:tcPr>
            <w:tcW w:w="2527" w:type="dxa"/>
          </w:tcPr>
          <w:p w14:paraId="17EA21F4"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北京虹点基金销售有限公司</w:t>
            </w:r>
          </w:p>
        </w:tc>
        <w:tc>
          <w:tcPr>
            <w:tcW w:w="4560" w:type="dxa"/>
          </w:tcPr>
          <w:p w14:paraId="0C25423E"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办公地址：北京市朝阳区工人体育场北路甲2号裙房2层222单元</w:t>
            </w:r>
          </w:p>
          <w:p w14:paraId="0C6B0BA2"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客服电话：4000681176</w:t>
            </w:r>
          </w:p>
          <w:p w14:paraId="01AA07CB"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w:t>
            </w:r>
            <w:r w:rsidRPr="00560D75">
              <w:rPr>
                <w:rFonts w:ascii="宋体" w:hAnsi="宋体"/>
                <w:color w:val="000000"/>
                <w:kern w:val="0"/>
                <w:sz w:val="24"/>
              </w:rPr>
              <w:t>hongdianfund.com</w:t>
            </w:r>
          </w:p>
        </w:tc>
      </w:tr>
      <w:tr w:rsidR="007E10F1" w14:paraId="25B1CA8F" w14:textId="77777777" w:rsidTr="007E10F1">
        <w:trPr>
          <w:trHeight w:val="510"/>
        </w:trPr>
        <w:tc>
          <w:tcPr>
            <w:tcW w:w="1526" w:type="dxa"/>
          </w:tcPr>
          <w:p w14:paraId="6E1E28B9"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15</w:t>
            </w:r>
          </w:p>
        </w:tc>
        <w:tc>
          <w:tcPr>
            <w:tcW w:w="2527" w:type="dxa"/>
          </w:tcPr>
          <w:p w14:paraId="160D3CEB"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北京钱景基金销售有限公司</w:t>
            </w:r>
          </w:p>
        </w:tc>
        <w:tc>
          <w:tcPr>
            <w:tcW w:w="4560" w:type="dxa"/>
          </w:tcPr>
          <w:p w14:paraId="14E6B2A7"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办公地址：北京市海淀区丹棱街6号1幢9层1008-1012</w:t>
            </w:r>
          </w:p>
          <w:p w14:paraId="71607BBE"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客服电话：4008936885</w:t>
            </w:r>
          </w:p>
          <w:p w14:paraId="1D782861"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www.qianjing.com</w:t>
            </w:r>
          </w:p>
        </w:tc>
      </w:tr>
      <w:tr w:rsidR="007E10F1" w14:paraId="51697A2A" w14:textId="77777777" w:rsidTr="007E10F1">
        <w:trPr>
          <w:trHeight w:val="510"/>
        </w:trPr>
        <w:tc>
          <w:tcPr>
            <w:tcW w:w="1526" w:type="dxa"/>
          </w:tcPr>
          <w:p w14:paraId="30B4A811"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16</w:t>
            </w:r>
          </w:p>
        </w:tc>
        <w:tc>
          <w:tcPr>
            <w:tcW w:w="2527" w:type="dxa"/>
          </w:tcPr>
          <w:p w14:paraId="1DA05F08" w14:textId="77777777" w:rsidR="007E10F1" w:rsidRDefault="007E10F1" w:rsidP="006B50F9">
            <w:pPr>
              <w:spacing w:line="360" w:lineRule="auto"/>
              <w:jc w:val="center"/>
              <w:rPr>
                <w:rFonts w:ascii="宋体" w:hAnsi="宋体"/>
                <w:color w:val="000000"/>
                <w:kern w:val="0"/>
                <w:sz w:val="24"/>
              </w:rPr>
            </w:pPr>
            <w:r w:rsidRPr="00F12817">
              <w:rPr>
                <w:rFonts w:ascii="宋体" w:hAnsi="宋体" w:hint="eastAsia"/>
                <w:color w:val="000000"/>
                <w:kern w:val="0"/>
                <w:sz w:val="24"/>
              </w:rPr>
              <w:t>蚂蚁（杭州）基金销售有限公司</w:t>
            </w:r>
          </w:p>
        </w:tc>
        <w:tc>
          <w:tcPr>
            <w:tcW w:w="4560" w:type="dxa"/>
          </w:tcPr>
          <w:p w14:paraId="2C6A7AFE" w14:textId="77777777" w:rsidR="007E10F1" w:rsidRPr="005B733E" w:rsidRDefault="007E10F1" w:rsidP="006B50F9">
            <w:pPr>
              <w:jc w:val="left"/>
              <w:rPr>
                <w:rFonts w:ascii="宋体" w:hAnsi="宋体"/>
                <w:bCs/>
                <w:iCs/>
                <w:color w:val="000000" w:themeColor="text1"/>
              </w:rPr>
            </w:pPr>
            <w:r w:rsidRPr="005B733E">
              <w:rPr>
                <w:rFonts w:ascii="宋体" w:hAnsi="宋体" w:hint="eastAsia"/>
                <w:bCs/>
                <w:iCs/>
              </w:rPr>
              <w:t>办公地址：</w:t>
            </w:r>
            <w:r w:rsidRPr="005B733E">
              <w:rPr>
                <w:rFonts w:ascii="宋体" w:hAnsi="宋体" w:hint="eastAsia"/>
                <w:color w:val="000000" w:themeColor="text1"/>
                <w:szCs w:val="21"/>
                <w:shd w:val="clear" w:color="auto" w:fill="FFFFFF"/>
              </w:rPr>
              <w:t>浙江省杭州市西湖区万塘路18号黄龙时代广场B座6F </w:t>
            </w:r>
          </w:p>
          <w:p w14:paraId="0BFD27E3" w14:textId="77777777" w:rsidR="007E10F1" w:rsidRPr="005B733E" w:rsidRDefault="007E10F1" w:rsidP="006B50F9">
            <w:pPr>
              <w:jc w:val="left"/>
              <w:rPr>
                <w:rFonts w:ascii="宋体" w:hAnsi="宋体"/>
                <w:bCs/>
                <w:iCs/>
              </w:rPr>
            </w:pPr>
            <w:r w:rsidRPr="005B733E">
              <w:rPr>
                <w:rFonts w:ascii="宋体" w:hAnsi="宋体" w:hint="eastAsia"/>
                <w:bCs/>
                <w:iCs/>
              </w:rPr>
              <w:t>客服电话：</w:t>
            </w:r>
            <w:r w:rsidRPr="005B733E">
              <w:rPr>
                <w:rFonts w:ascii="宋体" w:hAnsi="宋体" w:hint="eastAsia"/>
                <w:color w:val="000000" w:themeColor="text1"/>
                <w:szCs w:val="21"/>
              </w:rPr>
              <w:t>4000766123</w:t>
            </w:r>
          </w:p>
          <w:p w14:paraId="09EFD921" w14:textId="77777777" w:rsidR="007E10F1"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www.fund123.cn</w:t>
            </w:r>
          </w:p>
        </w:tc>
      </w:tr>
      <w:tr w:rsidR="007E10F1" w14:paraId="5A20AD3F" w14:textId="77777777" w:rsidTr="007E10F1">
        <w:trPr>
          <w:trHeight w:val="510"/>
        </w:trPr>
        <w:tc>
          <w:tcPr>
            <w:tcW w:w="1526" w:type="dxa"/>
          </w:tcPr>
          <w:p w14:paraId="5680796B"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17</w:t>
            </w:r>
          </w:p>
        </w:tc>
        <w:tc>
          <w:tcPr>
            <w:tcW w:w="2527" w:type="dxa"/>
          </w:tcPr>
          <w:p w14:paraId="19BEE7B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上海陆金所资产管理有限公司</w:t>
            </w:r>
          </w:p>
        </w:tc>
        <w:tc>
          <w:tcPr>
            <w:tcW w:w="4560" w:type="dxa"/>
          </w:tcPr>
          <w:p w14:paraId="4BCD571D"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办公地址：中国（上海）自由贸易试验区陆家嘴环路1333号14楼09单元</w:t>
            </w:r>
          </w:p>
          <w:p w14:paraId="1F93CD60"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客服电话：4008219031</w:t>
            </w:r>
          </w:p>
          <w:p w14:paraId="043AAD8D"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www.lufunds.com</w:t>
            </w:r>
          </w:p>
        </w:tc>
      </w:tr>
      <w:tr w:rsidR="007E10F1" w14:paraId="05A7EDCE" w14:textId="77777777" w:rsidTr="007E10F1">
        <w:trPr>
          <w:trHeight w:val="510"/>
        </w:trPr>
        <w:tc>
          <w:tcPr>
            <w:tcW w:w="1526" w:type="dxa"/>
          </w:tcPr>
          <w:p w14:paraId="32A33E7A"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18</w:t>
            </w:r>
          </w:p>
        </w:tc>
        <w:tc>
          <w:tcPr>
            <w:tcW w:w="2527" w:type="dxa"/>
          </w:tcPr>
          <w:p w14:paraId="3BA09A13"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上海联泰资产管理有限公司</w:t>
            </w:r>
          </w:p>
        </w:tc>
        <w:tc>
          <w:tcPr>
            <w:tcW w:w="4560" w:type="dxa"/>
          </w:tcPr>
          <w:p w14:paraId="1B4396E2"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办公地址：中国（上海）自由贸易试验区富特北路277号3层310室</w:t>
            </w:r>
          </w:p>
          <w:p w14:paraId="0B0016A0"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客服电话：4000466788</w:t>
            </w:r>
          </w:p>
          <w:p w14:paraId="1D70A649"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www.66zichan.com</w:t>
            </w:r>
          </w:p>
        </w:tc>
      </w:tr>
      <w:tr w:rsidR="007E10F1" w14:paraId="2EC9D180" w14:textId="77777777" w:rsidTr="007E10F1">
        <w:trPr>
          <w:trHeight w:val="510"/>
        </w:trPr>
        <w:tc>
          <w:tcPr>
            <w:tcW w:w="1526" w:type="dxa"/>
          </w:tcPr>
          <w:p w14:paraId="165A9C8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19</w:t>
            </w:r>
          </w:p>
        </w:tc>
        <w:tc>
          <w:tcPr>
            <w:tcW w:w="2527" w:type="dxa"/>
          </w:tcPr>
          <w:p w14:paraId="2D34A737"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深圳金斧子投资咨询</w:t>
            </w:r>
            <w:r>
              <w:rPr>
                <w:rFonts w:ascii="宋体" w:hAnsi="宋体" w:hint="eastAsia"/>
                <w:color w:val="000000"/>
                <w:kern w:val="0"/>
                <w:sz w:val="24"/>
              </w:rPr>
              <w:lastRenderedPageBreak/>
              <w:t>有限公司</w:t>
            </w:r>
          </w:p>
        </w:tc>
        <w:tc>
          <w:tcPr>
            <w:tcW w:w="4560" w:type="dxa"/>
          </w:tcPr>
          <w:p w14:paraId="57FFA239"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lastRenderedPageBreak/>
              <w:t>办公地址：深圳市南山区粤海街道科苑路</w:t>
            </w:r>
            <w:r>
              <w:rPr>
                <w:rFonts w:ascii="宋体" w:hAnsi="宋体" w:hint="eastAsia"/>
                <w:color w:val="000000"/>
                <w:kern w:val="0"/>
                <w:sz w:val="24"/>
              </w:rPr>
              <w:lastRenderedPageBreak/>
              <w:t>16号东方科技大厦18楼</w:t>
            </w:r>
          </w:p>
          <w:p w14:paraId="04FF5C39"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客服电话：400-9500-888</w:t>
            </w:r>
          </w:p>
          <w:p w14:paraId="53819F51"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公司网址：www.jfzinv.com</w:t>
            </w:r>
          </w:p>
        </w:tc>
      </w:tr>
      <w:tr w:rsidR="007E10F1" w14:paraId="51B9925B" w14:textId="77777777" w:rsidTr="007E10F1">
        <w:trPr>
          <w:trHeight w:val="510"/>
        </w:trPr>
        <w:tc>
          <w:tcPr>
            <w:tcW w:w="1526" w:type="dxa"/>
          </w:tcPr>
          <w:p w14:paraId="0F76E4A2"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lastRenderedPageBreak/>
              <w:t>20</w:t>
            </w:r>
          </w:p>
        </w:tc>
        <w:tc>
          <w:tcPr>
            <w:tcW w:w="2527" w:type="dxa"/>
          </w:tcPr>
          <w:p w14:paraId="5F2DD91E" w14:textId="77777777" w:rsidR="007E10F1" w:rsidRDefault="007E10F1" w:rsidP="006B50F9">
            <w:pPr>
              <w:spacing w:line="360" w:lineRule="auto"/>
              <w:jc w:val="center"/>
              <w:rPr>
                <w:rFonts w:ascii="宋体" w:hAnsi="宋体"/>
                <w:color w:val="000000"/>
                <w:kern w:val="0"/>
                <w:sz w:val="24"/>
              </w:rPr>
            </w:pPr>
            <w:r w:rsidRPr="00D5758C">
              <w:rPr>
                <w:rFonts w:ascii="宋体" w:hAnsi="宋体" w:hint="eastAsia"/>
                <w:color w:val="000000"/>
                <w:kern w:val="0"/>
                <w:sz w:val="24"/>
              </w:rPr>
              <w:t>上海天天基金销售有限公司</w:t>
            </w:r>
          </w:p>
        </w:tc>
        <w:tc>
          <w:tcPr>
            <w:tcW w:w="4560" w:type="dxa"/>
          </w:tcPr>
          <w:p w14:paraId="7CEF2B90"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办公地址：上海市徐汇区龙田路190号2号楼二层</w:t>
            </w:r>
          </w:p>
          <w:p w14:paraId="7E672114" w14:textId="77777777" w:rsidR="007E10F1" w:rsidRDefault="007E10F1" w:rsidP="006B50F9">
            <w:pPr>
              <w:spacing w:line="360" w:lineRule="auto"/>
              <w:rPr>
                <w:rFonts w:ascii="宋体" w:hAnsi="宋体"/>
                <w:color w:val="000000"/>
                <w:kern w:val="0"/>
                <w:sz w:val="24"/>
              </w:rPr>
            </w:pPr>
            <w:r>
              <w:rPr>
                <w:rFonts w:ascii="宋体" w:hAnsi="宋体" w:hint="eastAsia"/>
                <w:color w:val="000000"/>
                <w:kern w:val="0"/>
                <w:sz w:val="24"/>
              </w:rPr>
              <w:t>客服电话：4001818188</w:t>
            </w:r>
          </w:p>
          <w:p w14:paraId="556D0083"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Pr>
                <w:rFonts w:ascii="宋体" w:hAnsi="宋体"/>
                <w:color w:val="000000"/>
                <w:kern w:val="0"/>
                <w:sz w:val="24"/>
              </w:rPr>
              <w:t xml:space="preserve"> fund.eastmoney.com</w:t>
            </w:r>
          </w:p>
        </w:tc>
      </w:tr>
      <w:tr w:rsidR="007E10F1" w14:paraId="1EB9F909" w14:textId="77777777" w:rsidTr="007E10F1">
        <w:trPr>
          <w:trHeight w:val="510"/>
        </w:trPr>
        <w:tc>
          <w:tcPr>
            <w:tcW w:w="1526" w:type="dxa"/>
          </w:tcPr>
          <w:p w14:paraId="5730950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21</w:t>
            </w:r>
          </w:p>
        </w:tc>
        <w:tc>
          <w:tcPr>
            <w:tcW w:w="2527" w:type="dxa"/>
          </w:tcPr>
          <w:p w14:paraId="7DD33EC8" w14:textId="77777777" w:rsidR="007E10F1" w:rsidRDefault="007E10F1" w:rsidP="006B50F9">
            <w:pPr>
              <w:spacing w:line="360" w:lineRule="auto"/>
              <w:jc w:val="center"/>
              <w:rPr>
                <w:rFonts w:ascii="宋体" w:hAnsi="宋体"/>
                <w:color w:val="000000"/>
                <w:kern w:val="0"/>
                <w:sz w:val="24"/>
              </w:rPr>
            </w:pPr>
            <w:r w:rsidRPr="00340848">
              <w:rPr>
                <w:rFonts w:ascii="宋体" w:hAnsi="宋体" w:hint="eastAsia"/>
                <w:color w:val="000000"/>
                <w:kern w:val="0"/>
                <w:sz w:val="24"/>
              </w:rPr>
              <w:t>珠海盈米财富管理有限公司</w:t>
            </w:r>
          </w:p>
        </w:tc>
        <w:tc>
          <w:tcPr>
            <w:tcW w:w="4560" w:type="dxa"/>
          </w:tcPr>
          <w:p w14:paraId="2C1C72CC"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办公地址：</w:t>
            </w:r>
            <w:r w:rsidRPr="009C5D43">
              <w:rPr>
                <w:rFonts w:ascii="宋体" w:hAnsi="宋体" w:hint="eastAsia"/>
                <w:color w:val="000000"/>
                <w:kern w:val="0"/>
                <w:sz w:val="24"/>
              </w:rPr>
              <w:t>珠海市横琴新区宝华路6号105室-3491</w:t>
            </w:r>
            <w:r w:rsidRPr="009C5D43">
              <w:rPr>
                <w:rFonts w:ascii="宋体" w:hAnsi="宋体"/>
                <w:color w:val="000000"/>
                <w:kern w:val="0"/>
                <w:sz w:val="24"/>
              </w:rPr>
              <w:t xml:space="preserve"> </w:t>
            </w:r>
          </w:p>
          <w:p w14:paraId="5A6CC490"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020-89629066</w:t>
            </w:r>
          </w:p>
          <w:p w14:paraId="19BDBAF5"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sidRPr="009C5D43">
              <w:rPr>
                <w:rFonts w:ascii="宋体" w:hAnsi="宋体"/>
                <w:color w:val="000000"/>
                <w:kern w:val="0"/>
                <w:sz w:val="24"/>
              </w:rPr>
              <w:t>www.yingmi.cn</w:t>
            </w:r>
          </w:p>
        </w:tc>
      </w:tr>
      <w:tr w:rsidR="007E10F1" w14:paraId="5B4D3027" w14:textId="77777777" w:rsidTr="007E10F1">
        <w:trPr>
          <w:trHeight w:val="510"/>
        </w:trPr>
        <w:tc>
          <w:tcPr>
            <w:tcW w:w="1526" w:type="dxa"/>
          </w:tcPr>
          <w:p w14:paraId="5F93924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22</w:t>
            </w:r>
          </w:p>
        </w:tc>
        <w:tc>
          <w:tcPr>
            <w:tcW w:w="2527" w:type="dxa"/>
          </w:tcPr>
          <w:p w14:paraId="3B60917A" w14:textId="77777777" w:rsidR="007E10F1" w:rsidRDefault="007E10F1" w:rsidP="006B50F9">
            <w:pPr>
              <w:spacing w:line="360" w:lineRule="auto"/>
              <w:jc w:val="center"/>
              <w:rPr>
                <w:rFonts w:ascii="宋体" w:hAnsi="宋体"/>
                <w:color w:val="000000"/>
                <w:kern w:val="0"/>
                <w:sz w:val="24"/>
              </w:rPr>
            </w:pPr>
            <w:r w:rsidRPr="00340848">
              <w:rPr>
                <w:rFonts w:ascii="宋体" w:hAnsi="宋体" w:hint="eastAsia"/>
                <w:color w:val="000000"/>
                <w:kern w:val="0"/>
                <w:sz w:val="24"/>
              </w:rPr>
              <w:t>河南和信证券投资顾问股份有限公司</w:t>
            </w:r>
          </w:p>
        </w:tc>
        <w:tc>
          <w:tcPr>
            <w:tcW w:w="4560" w:type="dxa"/>
          </w:tcPr>
          <w:p w14:paraId="02B9D8AE"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办公</w:t>
            </w:r>
            <w:r w:rsidRPr="00717428">
              <w:rPr>
                <w:rFonts w:ascii="宋体" w:hAnsi="宋体" w:hint="eastAsia"/>
                <w:color w:val="000000"/>
                <w:kern w:val="0"/>
                <w:sz w:val="24"/>
              </w:rPr>
              <w:t>地址：郑州市郑东新区金水东路南、农业东路西1号楼美盛中心24层2405</w:t>
            </w:r>
            <w:r w:rsidRPr="00717428">
              <w:rPr>
                <w:rFonts w:ascii="宋体" w:hAnsi="宋体"/>
                <w:color w:val="000000"/>
                <w:kern w:val="0"/>
                <w:sz w:val="24"/>
              </w:rPr>
              <w:t xml:space="preserve"> </w:t>
            </w:r>
          </w:p>
          <w:p w14:paraId="2EBA3925"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客服电话：</w:t>
            </w:r>
            <w:r w:rsidRPr="00340848">
              <w:rPr>
                <w:rFonts w:ascii="宋体" w:hAnsi="宋体"/>
                <w:color w:val="000000"/>
                <w:kern w:val="0"/>
                <w:sz w:val="24"/>
              </w:rPr>
              <w:t>0371-61777500</w:t>
            </w:r>
          </w:p>
          <w:p w14:paraId="392F012F" w14:textId="77777777" w:rsidR="007E10F1" w:rsidRDefault="007E10F1" w:rsidP="006B50F9">
            <w:pPr>
              <w:spacing w:line="360" w:lineRule="auto"/>
              <w:jc w:val="left"/>
              <w:rPr>
                <w:rFonts w:ascii="宋体" w:hAnsi="宋体"/>
                <w:color w:val="000000"/>
                <w:kern w:val="0"/>
                <w:sz w:val="24"/>
              </w:rPr>
            </w:pPr>
            <w:r>
              <w:rPr>
                <w:rFonts w:ascii="宋体" w:hAnsi="宋体" w:hint="eastAsia"/>
                <w:color w:val="000000"/>
                <w:kern w:val="0"/>
                <w:sz w:val="24"/>
              </w:rPr>
              <w:t>公司网址：</w:t>
            </w:r>
            <w:r w:rsidRPr="00717428">
              <w:rPr>
                <w:rFonts w:ascii="宋体" w:hAnsi="宋体"/>
                <w:color w:val="000000"/>
                <w:kern w:val="0"/>
                <w:sz w:val="24"/>
              </w:rPr>
              <w:t>www.hexinsec.com</w:t>
            </w:r>
          </w:p>
        </w:tc>
      </w:tr>
      <w:tr w:rsidR="007E10F1" w:rsidRPr="005B733E" w14:paraId="2048B37E" w14:textId="77777777" w:rsidTr="007E10F1">
        <w:tc>
          <w:tcPr>
            <w:tcW w:w="1526" w:type="dxa"/>
          </w:tcPr>
          <w:p w14:paraId="3B3D3E55"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23</w:t>
            </w:r>
          </w:p>
        </w:tc>
        <w:tc>
          <w:tcPr>
            <w:tcW w:w="2527" w:type="dxa"/>
          </w:tcPr>
          <w:p w14:paraId="378D0784"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上海长量基金销售投资顾问有限公司</w:t>
            </w:r>
          </w:p>
        </w:tc>
        <w:tc>
          <w:tcPr>
            <w:tcW w:w="4560" w:type="dxa"/>
          </w:tcPr>
          <w:p w14:paraId="3866151E"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办公地址：</w:t>
            </w:r>
            <w:r w:rsidRPr="00F90FFB">
              <w:rPr>
                <w:rFonts w:ascii="Arial" w:hAnsi="Arial" w:cs="Arial" w:hint="eastAsia"/>
                <w:szCs w:val="21"/>
              </w:rPr>
              <w:t>上海市浦东新区东方路</w:t>
            </w:r>
            <w:r w:rsidRPr="00F90FFB">
              <w:rPr>
                <w:rFonts w:ascii="Arial" w:hAnsi="Arial" w:cs="Arial" w:hint="eastAsia"/>
                <w:szCs w:val="21"/>
              </w:rPr>
              <w:t>1267</w:t>
            </w:r>
            <w:r w:rsidRPr="00F90FFB">
              <w:rPr>
                <w:rFonts w:ascii="Arial" w:hAnsi="Arial" w:cs="Arial" w:hint="eastAsia"/>
                <w:szCs w:val="21"/>
              </w:rPr>
              <w:t>号</w:t>
            </w:r>
            <w:r w:rsidRPr="00F90FFB">
              <w:rPr>
                <w:rFonts w:ascii="Arial" w:hAnsi="Arial" w:cs="Arial" w:hint="eastAsia"/>
                <w:szCs w:val="21"/>
              </w:rPr>
              <w:t>11</w:t>
            </w:r>
            <w:r w:rsidRPr="00F90FFB">
              <w:rPr>
                <w:rFonts w:ascii="Arial" w:hAnsi="Arial" w:cs="Arial" w:hint="eastAsia"/>
                <w:szCs w:val="21"/>
              </w:rPr>
              <w:t>层</w:t>
            </w:r>
          </w:p>
          <w:p w14:paraId="3F44E249"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客服电话：</w:t>
            </w:r>
            <w:r w:rsidRPr="00931222">
              <w:rPr>
                <w:rFonts w:ascii="Arial" w:hAnsi="Arial" w:cs="Arial" w:hint="eastAsia"/>
                <w:szCs w:val="21"/>
              </w:rPr>
              <w:t>400-820-2899</w:t>
            </w:r>
          </w:p>
          <w:p w14:paraId="50A9E1CF" w14:textId="77777777" w:rsidR="007E10F1" w:rsidRPr="005B733E" w:rsidRDefault="007E10F1" w:rsidP="006B50F9">
            <w:pPr>
              <w:jc w:val="left"/>
              <w:rPr>
                <w:rFonts w:ascii="宋体" w:hAnsi="宋体"/>
                <w:bCs/>
                <w:iCs/>
              </w:rPr>
            </w:pPr>
            <w:r w:rsidRPr="008635FB">
              <w:rPr>
                <w:rFonts w:ascii="Arial" w:hAnsi="Arial" w:cs="Arial" w:hint="eastAsia"/>
                <w:szCs w:val="21"/>
              </w:rPr>
              <w:t>公司网站：</w:t>
            </w:r>
            <w:r w:rsidRPr="008635FB">
              <w:rPr>
                <w:rFonts w:ascii="Arial" w:hAnsi="Arial" w:cs="Arial" w:hint="eastAsia"/>
                <w:szCs w:val="21"/>
              </w:rPr>
              <w:t xml:space="preserve"> www.erichfund.com</w:t>
            </w:r>
          </w:p>
        </w:tc>
      </w:tr>
      <w:tr w:rsidR="007E10F1" w:rsidRPr="005B733E" w14:paraId="57435591" w14:textId="77777777" w:rsidTr="007E10F1">
        <w:tc>
          <w:tcPr>
            <w:tcW w:w="1526" w:type="dxa"/>
          </w:tcPr>
          <w:p w14:paraId="201AB4D4" w14:textId="77777777" w:rsidR="007E10F1" w:rsidRPr="005B733E"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24</w:t>
            </w:r>
          </w:p>
        </w:tc>
        <w:tc>
          <w:tcPr>
            <w:tcW w:w="2527" w:type="dxa"/>
          </w:tcPr>
          <w:p w14:paraId="3B97EA81" w14:textId="77777777" w:rsidR="007E10F1" w:rsidRPr="005B733E" w:rsidRDefault="007E10F1" w:rsidP="006B50F9">
            <w:pPr>
              <w:spacing w:line="360" w:lineRule="auto"/>
              <w:jc w:val="center"/>
              <w:rPr>
                <w:rFonts w:ascii="宋体" w:hAnsi="宋体"/>
                <w:color w:val="000000"/>
                <w:kern w:val="0"/>
                <w:sz w:val="24"/>
              </w:rPr>
            </w:pPr>
            <w:r w:rsidRPr="005B733E">
              <w:rPr>
                <w:rFonts w:ascii="宋体" w:hAnsi="宋体" w:hint="eastAsia"/>
                <w:color w:val="000000" w:themeColor="text1"/>
                <w:szCs w:val="21"/>
              </w:rPr>
              <w:t>北京植信基金销售有限公司</w:t>
            </w:r>
          </w:p>
        </w:tc>
        <w:tc>
          <w:tcPr>
            <w:tcW w:w="4560" w:type="dxa"/>
          </w:tcPr>
          <w:p w14:paraId="4E0C2743" w14:textId="77777777" w:rsidR="007E10F1" w:rsidRPr="005B733E" w:rsidRDefault="007E10F1" w:rsidP="006B50F9">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北京市朝阳区惠河南路盛世龙源10号</w:t>
            </w:r>
          </w:p>
          <w:p w14:paraId="434B0B5C" w14:textId="77777777" w:rsidR="007E10F1" w:rsidRPr="005B733E" w:rsidRDefault="007E10F1" w:rsidP="006B50F9">
            <w:pPr>
              <w:jc w:val="left"/>
              <w:rPr>
                <w:rFonts w:ascii="宋体" w:hAnsi="宋体"/>
                <w:color w:val="000000" w:themeColor="text1"/>
                <w:szCs w:val="21"/>
              </w:rPr>
            </w:pPr>
            <w:r w:rsidRPr="005B733E">
              <w:rPr>
                <w:rFonts w:ascii="宋体" w:hAnsi="宋体" w:hint="eastAsia"/>
                <w:bCs/>
                <w:iCs/>
              </w:rPr>
              <w:t>客服电话：</w:t>
            </w:r>
            <w:r w:rsidRPr="005B733E">
              <w:rPr>
                <w:rFonts w:ascii="宋体" w:hAnsi="宋体" w:hint="eastAsia"/>
                <w:color w:val="000000" w:themeColor="text1"/>
                <w:szCs w:val="21"/>
              </w:rPr>
              <w:t>4006802123</w:t>
            </w:r>
          </w:p>
          <w:p w14:paraId="30FF8FFB" w14:textId="77777777" w:rsidR="007E10F1" w:rsidRPr="005B733E"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Cs w:val="21"/>
              </w:rPr>
              <w:t>www.zhixin-inv.com</w:t>
            </w:r>
          </w:p>
        </w:tc>
      </w:tr>
      <w:tr w:rsidR="007E10F1" w:rsidRPr="005B733E" w14:paraId="138A58AB" w14:textId="77777777" w:rsidTr="007E10F1">
        <w:tc>
          <w:tcPr>
            <w:tcW w:w="1526" w:type="dxa"/>
          </w:tcPr>
          <w:p w14:paraId="4D367D28" w14:textId="77777777" w:rsidR="007E10F1" w:rsidRPr="005B733E"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25</w:t>
            </w:r>
          </w:p>
        </w:tc>
        <w:tc>
          <w:tcPr>
            <w:tcW w:w="2527" w:type="dxa"/>
          </w:tcPr>
          <w:p w14:paraId="3E6C4D6F" w14:textId="77777777" w:rsidR="007E10F1" w:rsidRPr="005B733E" w:rsidRDefault="007E10F1" w:rsidP="006B50F9">
            <w:pPr>
              <w:spacing w:line="360" w:lineRule="auto"/>
              <w:jc w:val="center"/>
              <w:rPr>
                <w:rFonts w:ascii="宋体" w:hAnsi="宋体"/>
                <w:color w:val="000000"/>
                <w:kern w:val="0"/>
                <w:sz w:val="24"/>
              </w:rPr>
            </w:pPr>
            <w:r w:rsidRPr="005B733E">
              <w:rPr>
                <w:rFonts w:ascii="宋体" w:hAnsi="宋体" w:hint="eastAsia"/>
                <w:color w:val="000000" w:themeColor="text1"/>
                <w:szCs w:val="21"/>
              </w:rPr>
              <w:t>北京汇成基金销售有限公司</w:t>
            </w:r>
          </w:p>
        </w:tc>
        <w:tc>
          <w:tcPr>
            <w:tcW w:w="4560" w:type="dxa"/>
          </w:tcPr>
          <w:p w14:paraId="5BE3765C" w14:textId="77777777" w:rsidR="007E10F1" w:rsidRPr="005B733E" w:rsidRDefault="007E10F1" w:rsidP="006B50F9">
            <w:pPr>
              <w:jc w:val="left"/>
              <w:rPr>
                <w:rFonts w:ascii="宋体" w:hAnsi="宋体"/>
                <w:bCs/>
                <w:iCs/>
              </w:rPr>
            </w:pPr>
            <w:r w:rsidRPr="005B733E">
              <w:rPr>
                <w:rFonts w:ascii="宋体" w:hAnsi="宋体" w:hint="eastAsia"/>
                <w:bCs/>
                <w:iCs/>
              </w:rPr>
              <w:t>办公地址：</w:t>
            </w:r>
            <w:r w:rsidRPr="005B733E">
              <w:rPr>
                <w:rFonts w:ascii="宋体" w:hAnsi="宋体" w:hint="eastAsia"/>
                <w:color w:val="000000"/>
                <w:szCs w:val="21"/>
                <w:shd w:val="clear" w:color="auto" w:fill="FFFFFF"/>
              </w:rPr>
              <w:t>北京市海淀区中关村大街11号11层1108号</w:t>
            </w:r>
            <w:r w:rsidRPr="005B733E">
              <w:rPr>
                <w:rFonts w:ascii="宋体" w:hAnsi="宋体"/>
                <w:bCs/>
                <w:iCs/>
              </w:rPr>
              <w:t xml:space="preserve"> </w:t>
            </w:r>
          </w:p>
          <w:p w14:paraId="40409BDC" w14:textId="77777777" w:rsidR="007E10F1" w:rsidRPr="005B733E" w:rsidRDefault="007E10F1" w:rsidP="006B50F9">
            <w:pPr>
              <w:jc w:val="left"/>
              <w:rPr>
                <w:rFonts w:ascii="宋体" w:hAnsi="宋体"/>
                <w:bCs/>
                <w:iCs/>
              </w:rPr>
            </w:pPr>
            <w:r w:rsidRPr="005B733E">
              <w:rPr>
                <w:rFonts w:ascii="宋体" w:hAnsi="宋体" w:hint="eastAsia"/>
                <w:bCs/>
                <w:iCs/>
              </w:rPr>
              <w:t>客服电话：</w:t>
            </w:r>
            <w:r w:rsidRPr="005B733E">
              <w:rPr>
                <w:rFonts w:ascii="宋体" w:hAnsi="宋体" w:hint="eastAsia"/>
                <w:color w:val="666666"/>
                <w:szCs w:val="21"/>
              </w:rPr>
              <w:t xml:space="preserve"> </w:t>
            </w:r>
            <w:r w:rsidRPr="005B733E">
              <w:rPr>
                <w:rFonts w:ascii="宋体" w:hAnsi="宋体" w:hint="eastAsia"/>
                <w:color w:val="000000" w:themeColor="text1"/>
                <w:szCs w:val="21"/>
              </w:rPr>
              <w:t>4006199059</w:t>
            </w:r>
          </w:p>
          <w:p w14:paraId="09A82B1B" w14:textId="77777777" w:rsidR="007E10F1" w:rsidRPr="005B733E"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sz w:val="28"/>
                <w:szCs w:val="28"/>
              </w:rPr>
              <w:t xml:space="preserve"> </w:t>
            </w:r>
            <w:r w:rsidRPr="005B733E">
              <w:rPr>
                <w:rFonts w:ascii="宋体" w:hAnsi="宋体"/>
                <w:szCs w:val="21"/>
              </w:rPr>
              <w:t>www.hcjijin.com</w:t>
            </w:r>
          </w:p>
        </w:tc>
      </w:tr>
      <w:tr w:rsidR="007E10F1" w:rsidRPr="005B733E" w14:paraId="19CA41CB" w14:textId="77777777" w:rsidTr="007E10F1">
        <w:tc>
          <w:tcPr>
            <w:tcW w:w="1526" w:type="dxa"/>
          </w:tcPr>
          <w:p w14:paraId="3D7851E4" w14:textId="77777777" w:rsidR="007E10F1" w:rsidRPr="005B733E"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26</w:t>
            </w:r>
          </w:p>
        </w:tc>
        <w:tc>
          <w:tcPr>
            <w:tcW w:w="2527" w:type="dxa"/>
          </w:tcPr>
          <w:p w14:paraId="4BEA7364" w14:textId="77777777" w:rsidR="007E10F1" w:rsidRPr="005B733E" w:rsidRDefault="007E10F1" w:rsidP="006B50F9">
            <w:pPr>
              <w:spacing w:line="360" w:lineRule="auto"/>
              <w:jc w:val="center"/>
              <w:rPr>
                <w:rFonts w:ascii="宋体" w:hAnsi="宋体"/>
                <w:color w:val="000000"/>
                <w:kern w:val="0"/>
                <w:sz w:val="24"/>
              </w:rPr>
            </w:pPr>
            <w:r w:rsidRPr="005B733E">
              <w:rPr>
                <w:rFonts w:ascii="宋体" w:hAnsi="宋体" w:hint="eastAsia"/>
                <w:color w:val="000000" w:themeColor="text1"/>
                <w:szCs w:val="21"/>
              </w:rPr>
              <w:t>深圳市新兰德证券投资咨询有限公司</w:t>
            </w:r>
          </w:p>
        </w:tc>
        <w:tc>
          <w:tcPr>
            <w:tcW w:w="4560" w:type="dxa"/>
          </w:tcPr>
          <w:p w14:paraId="7C599BD1" w14:textId="77777777" w:rsidR="007E10F1" w:rsidRPr="005B733E" w:rsidRDefault="007E10F1" w:rsidP="006B50F9">
            <w:pPr>
              <w:jc w:val="left"/>
              <w:rPr>
                <w:rFonts w:ascii="宋体" w:hAnsi="宋体"/>
                <w:bCs/>
                <w:iCs/>
              </w:rPr>
            </w:pPr>
            <w:r w:rsidRPr="005B733E">
              <w:rPr>
                <w:rFonts w:ascii="宋体" w:hAnsi="宋体" w:hint="eastAsia"/>
                <w:bCs/>
                <w:iCs/>
              </w:rPr>
              <w:t>办公地址：</w:t>
            </w:r>
            <w:r w:rsidRPr="005B733E">
              <w:rPr>
                <w:rFonts w:ascii="宋体" w:hAnsi="宋体" w:cs="Calibri" w:hint="eastAsia"/>
                <w:color w:val="000000"/>
                <w:kern w:val="0"/>
                <w:szCs w:val="21"/>
              </w:rPr>
              <w:t>北京市西城区宣武门外大街28号富卓大厦16层</w:t>
            </w:r>
            <w:r w:rsidRPr="005B733E" w:rsidDel="00AF7088">
              <w:rPr>
                <w:rFonts w:ascii="宋体" w:hAnsi="宋体" w:cs="Calibri" w:hint="eastAsia"/>
                <w:color w:val="000000"/>
                <w:kern w:val="0"/>
                <w:szCs w:val="21"/>
              </w:rPr>
              <w:t xml:space="preserve"> </w:t>
            </w:r>
            <w:r w:rsidRPr="005B733E">
              <w:rPr>
                <w:rFonts w:ascii="宋体" w:hAnsi="宋体"/>
                <w:bCs/>
                <w:iCs/>
              </w:rPr>
              <w:t xml:space="preserve"> </w:t>
            </w:r>
          </w:p>
          <w:p w14:paraId="14BB8EA0" w14:textId="77777777" w:rsidR="007E10F1" w:rsidRPr="005B733E" w:rsidRDefault="007E10F1" w:rsidP="006B50F9">
            <w:pPr>
              <w:jc w:val="left"/>
              <w:rPr>
                <w:rFonts w:ascii="宋体" w:hAnsi="宋体"/>
                <w:bCs/>
                <w:iCs/>
              </w:rPr>
            </w:pPr>
            <w:r w:rsidRPr="005B733E">
              <w:rPr>
                <w:rFonts w:ascii="宋体" w:hAnsi="宋体" w:hint="eastAsia"/>
                <w:bCs/>
                <w:iCs/>
              </w:rPr>
              <w:t>客服电话：</w:t>
            </w:r>
            <w:r w:rsidRPr="005B733E">
              <w:rPr>
                <w:rFonts w:ascii="宋体" w:hAnsi="宋体" w:hint="eastAsia"/>
                <w:color w:val="000000"/>
                <w:szCs w:val="21"/>
              </w:rPr>
              <w:t>40081661188</w:t>
            </w:r>
          </w:p>
          <w:p w14:paraId="7A5B409A" w14:textId="77777777" w:rsidR="007E10F1" w:rsidRPr="005B733E" w:rsidRDefault="007E10F1" w:rsidP="006B50F9">
            <w:pPr>
              <w:spacing w:line="360" w:lineRule="auto"/>
              <w:jc w:val="left"/>
              <w:rPr>
                <w:rFonts w:ascii="宋体" w:hAnsi="宋体"/>
                <w:color w:val="000000"/>
                <w:kern w:val="0"/>
                <w:sz w:val="24"/>
              </w:rPr>
            </w:pPr>
            <w:r w:rsidRPr="005B733E">
              <w:rPr>
                <w:rFonts w:ascii="宋体" w:hAnsi="宋体" w:hint="eastAsia"/>
                <w:bCs/>
                <w:iCs/>
              </w:rPr>
              <w:t>公司网址：</w:t>
            </w:r>
            <w:r w:rsidRPr="005B733E">
              <w:rPr>
                <w:rFonts w:ascii="宋体" w:hAnsi="宋体" w:hint="eastAsia"/>
                <w:color w:val="666666"/>
                <w:szCs w:val="21"/>
              </w:rPr>
              <w:t xml:space="preserve"> </w:t>
            </w:r>
            <w:r w:rsidRPr="005B733E">
              <w:rPr>
                <w:rFonts w:ascii="宋体" w:hAnsi="宋体" w:cs="Calibri" w:hint="eastAsia"/>
                <w:color w:val="000000"/>
                <w:kern w:val="0"/>
                <w:szCs w:val="21"/>
              </w:rPr>
              <w:t>8.jrj.com.cn/</w:t>
            </w:r>
          </w:p>
        </w:tc>
      </w:tr>
      <w:tr w:rsidR="007E10F1" w:rsidRPr="005207EF" w14:paraId="4F81CA5F" w14:textId="77777777" w:rsidTr="007E10F1">
        <w:tc>
          <w:tcPr>
            <w:tcW w:w="1526" w:type="dxa"/>
          </w:tcPr>
          <w:p w14:paraId="7F4AC74F"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27</w:t>
            </w:r>
          </w:p>
        </w:tc>
        <w:tc>
          <w:tcPr>
            <w:tcW w:w="2527" w:type="dxa"/>
          </w:tcPr>
          <w:p w14:paraId="72CD153C"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泰诚财富基金销售（大连）</w:t>
            </w:r>
            <w:r w:rsidRPr="00D5758C">
              <w:rPr>
                <w:rFonts w:ascii="宋体" w:hAnsi="宋体" w:hint="eastAsia"/>
                <w:color w:val="000000" w:themeColor="text1"/>
                <w:szCs w:val="21"/>
              </w:rPr>
              <w:lastRenderedPageBreak/>
              <w:t>有限公司</w:t>
            </w:r>
          </w:p>
        </w:tc>
        <w:tc>
          <w:tcPr>
            <w:tcW w:w="4560" w:type="dxa"/>
          </w:tcPr>
          <w:p w14:paraId="40B4A299" w14:textId="77777777" w:rsidR="007E10F1" w:rsidRPr="00571641" w:rsidRDefault="007E10F1" w:rsidP="006B50F9">
            <w:pPr>
              <w:spacing w:line="400" w:lineRule="exact"/>
              <w:jc w:val="left"/>
              <w:rPr>
                <w:color w:val="000000"/>
              </w:rPr>
            </w:pPr>
            <w:r w:rsidRPr="00571641">
              <w:rPr>
                <w:rFonts w:hint="eastAsia"/>
                <w:color w:val="000000"/>
              </w:rPr>
              <w:lastRenderedPageBreak/>
              <w:t>注册（办公）地址：辽宁省大连市沙河口区星海</w:t>
            </w:r>
            <w:r w:rsidRPr="00571641">
              <w:rPr>
                <w:rFonts w:hint="eastAsia"/>
                <w:color w:val="000000"/>
              </w:rPr>
              <w:lastRenderedPageBreak/>
              <w:t>中龙园</w:t>
            </w:r>
            <w:r w:rsidRPr="00571641">
              <w:rPr>
                <w:rFonts w:hint="eastAsia"/>
                <w:color w:val="000000"/>
              </w:rPr>
              <w:t>3</w:t>
            </w:r>
            <w:r w:rsidRPr="00571641">
              <w:rPr>
                <w:rFonts w:hint="eastAsia"/>
                <w:color w:val="000000"/>
              </w:rPr>
              <w:t>号</w:t>
            </w:r>
          </w:p>
          <w:p w14:paraId="6CCE8E89" w14:textId="77777777" w:rsidR="007E10F1" w:rsidRPr="00571641" w:rsidRDefault="007E10F1" w:rsidP="006B50F9">
            <w:pPr>
              <w:spacing w:line="400" w:lineRule="exact"/>
              <w:jc w:val="left"/>
              <w:rPr>
                <w:color w:val="000000"/>
              </w:rPr>
            </w:pPr>
            <w:r w:rsidRPr="00571641">
              <w:rPr>
                <w:rFonts w:hint="eastAsia"/>
                <w:color w:val="000000"/>
              </w:rPr>
              <w:t>客户服务电话：</w:t>
            </w:r>
            <w:r w:rsidRPr="00571641">
              <w:rPr>
                <w:rFonts w:hint="eastAsia"/>
                <w:color w:val="000000"/>
              </w:rPr>
              <w:t>4006411999</w:t>
            </w:r>
          </w:p>
          <w:p w14:paraId="4B3F1E7F" w14:textId="77777777" w:rsidR="007E10F1" w:rsidRPr="005207EF" w:rsidRDefault="007E10F1" w:rsidP="006B50F9">
            <w:pPr>
              <w:spacing w:line="400" w:lineRule="exact"/>
              <w:jc w:val="left"/>
              <w:rPr>
                <w:color w:val="000000"/>
              </w:rPr>
            </w:pPr>
            <w:r w:rsidRPr="00571641">
              <w:rPr>
                <w:rFonts w:hint="eastAsia"/>
                <w:color w:val="000000"/>
              </w:rPr>
              <w:t>网址：</w:t>
            </w:r>
            <w:hyperlink r:id="rId21" w:history="1">
              <w:r w:rsidRPr="00571641">
                <w:rPr>
                  <w:rFonts w:ascii="Arial" w:hAnsi="Arial" w:cs="Arial" w:hint="eastAsia"/>
                  <w:szCs w:val="21"/>
                </w:rPr>
                <w:t>www.taichengcaifu.com</w:t>
              </w:r>
            </w:hyperlink>
          </w:p>
        </w:tc>
      </w:tr>
      <w:tr w:rsidR="007E10F1" w:rsidRPr="005207EF" w14:paraId="6174B49A" w14:textId="77777777" w:rsidTr="007E10F1">
        <w:tc>
          <w:tcPr>
            <w:tcW w:w="1526" w:type="dxa"/>
          </w:tcPr>
          <w:p w14:paraId="413D8F5B"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lastRenderedPageBreak/>
              <w:t>28</w:t>
            </w:r>
          </w:p>
        </w:tc>
        <w:tc>
          <w:tcPr>
            <w:tcW w:w="2527" w:type="dxa"/>
          </w:tcPr>
          <w:p w14:paraId="71B15EA9"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济安财富（北京）基金销售有限公司</w:t>
            </w:r>
          </w:p>
        </w:tc>
        <w:tc>
          <w:tcPr>
            <w:tcW w:w="4560" w:type="dxa"/>
          </w:tcPr>
          <w:p w14:paraId="3C8979F9"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办公地址：</w:t>
            </w:r>
            <w:r w:rsidRPr="009756CF">
              <w:rPr>
                <w:rFonts w:ascii="Arial" w:hAnsi="Arial" w:cs="Arial" w:hint="eastAsia"/>
                <w:color w:val="000000"/>
                <w:kern w:val="0"/>
                <w:szCs w:val="21"/>
              </w:rPr>
              <w:t>北京市朝阳区东三环中路</w:t>
            </w:r>
            <w:r w:rsidRPr="009756CF">
              <w:rPr>
                <w:rFonts w:ascii="Arial" w:hAnsi="Arial" w:cs="Arial" w:hint="eastAsia"/>
                <w:color w:val="000000"/>
                <w:kern w:val="0"/>
                <w:szCs w:val="21"/>
              </w:rPr>
              <w:t>7</w:t>
            </w:r>
            <w:r w:rsidRPr="009756CF">
              <w:rPr>
                <w:rFonts w:ascii="Arial" w:hAnsi="Arial" w:cs="Arial" w:hint="eastAsia"/>
                <w:color w:val="000000"/>
                <w:kern w:val="0"/>
                <w:szCs w:val="21"/>
              </w:rPr>
              <w:t>号北京财富中心</w:t>
            </w:r>
            <w:r w:rsidRPr="009756CF">
              <w:rPr>
                <w:rFonts w:ascii="Arial" w:hAnsi="Arial" w:cs="Arial" w:hint="eastAsia"/>
                <w:color w:val="000000"/>
                <w:kern w:val="0"/>
                <w:szCs w:val="21"/>
              </w:rPr>
              <w:t>A</w:t>
            </w:r>
            <w:r w:rsidRPr="009756CF">
              <w:rPr>
                <w:rFonts w:ascii="Arial" w:hAnsi="Arial" w:cs="Arial" w:hint="eastAsia"/>
                <w:color w:val="000000"/>
                <w:kern w:val="0"/>
                <w:szCs w:val="21"/>
              </w:rPr>
              <w:t>座</w:t>
            </w:r>
            <w:r w:rsidRPr="009756CF">
              <w:rPr>
                <w:rFonts w:ascii="Arial" w:hAnsi="Arial" w:cs="Arial" w:hint="eastAsia"/>
                <w:color w:val="000000"/>
                <w:kern w:val="0"/>
                <w:szCs w:val="21"/>
              </w:rPr>
              <w:t>46</w:t>
            </w:r>
            <w:r w:rsidRPr="009756CF">
              <w:rPr>
                <w:rFonts w:ascii="Arial" w:hAnsi="Arial" w:cs="Arial" w:hint="eastAsia"/>
                <w:color w:val="000000"/>
                <w:kern w:val="0"/>
                <w:szCs w:val="21"/>
              </w:rPr>
              <w:t>层</w:t>
            </w:r>
            <w:r w:rsidRPr="001D2CB0" w:rsidDel="00E15C1D">
              <w:rPr>
                <w:rFonts w:ascii="Arial" w:hAnsi="Arial" w:cs="Arial" w:hint="eastAsia"/>
                <w:color w:val="000000"/>
                <w:kern w:val="0"/>
                <w:szCs w:val="21"/>
              </w:rPr>
              <w:t xml:space="preserve"> </w:t>
            </w:r>
          </w:p>
          <w:p w14:paraId="0119139D"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sidRPr="009756CF">
              <w:rPr>
                <w:rFonts w:ascii="Arial" w:hAnsi="Arial" w:cs="Arial"/>
                <w:color w:val="000000"/>
                <w:kern w:val="0"/>
                <w:szCs w:val="21"/>
              </w:rPr>
              <w:t>400-673-7010</w:t>
            </w:r>
          </w:p>
          <w:p w14:paraId="3A120C75"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hyperlink r:id="rId22" w:history="1">
              <w:r w:rsidRPr="00D40D1B">
                <w:rPr>
                  <w:rStyle w:val="af6"/>
                  <w:rFonts w:ascii="Arial" w:hAnsi="Arial" w:cs="Arial"/>
                  <w:kern w:val="0"/>
                  <w:szCs w:val="21"/>
                </w:rPr>
                <w:t>www.jianfortune.com</w:t>
              </w:r>
            </w:hyperlink>
          </w:p>
        </w:tc>
      </w:tr>
      <w:tr w:rsidR="007E10F1" w:rsidRPr="005207EF" w14:paraId="532D8785" w14:textId="77777777" w:rsidTr="007E10F1">
        <w:tc>
          <w:tcPr>
            <w:tcW w:w="1526" w:type="dxa"/>
          </w:tcPr>
          <w:p w14:paraId="554163EA"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29</w:t>
            </w:r>
          </w:p>
        </w:tc>
        <w:tc>
          <w:tcPr>
            <w:tcW w:w="2527" w:type="dxa"/>
          </w:tcPr>
          <w:p w14:paraId="48A2FE65"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金惠家保险代理有限公司</w:t>
            </w:r>
          </w:p>
        </w:tc>
        <w:tc>
          <w:tcPr>
            <w:tcW w:w="4560" w:type="dxa"/>
          </w:tcPr>
          <w:p w14:paraId="3006423B"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Pr>
                <w:rFonts w:ascii="Arial" w:hAnsi="Arial" w:cs="Arial" w:hint="eastAsia"/>
                <w:color w:val="000000"/>
                <w:kern w:val="0"/>
                <w:szCs w:val="21"/>
              </w:rPr>
              <w:t xml:space="preserve"> </w:t>
            </w:r>
            <w:r>
              <w:rPr>
                <w:rFonts w:ascii="Arial" w:hAnsi="Arial" w:cs="Arial" w:hint="eastAsia"/>
                <w:color w:val="000000"/>
                <w:kern w:val="0"/>
                <w:szCs w:val="21"/>
              </w:rPr>
              <w:t>北京市西城区阜成门外大街</w:t>
            </w:r>
            <w:r>
              <w:rPr>
                <w:rFonts w:ascii="Arial" w:hAnsi="Arial" w:cs="Arial" w:hint="eastAsia"/>
                <w:color w:val="000000"/>
                <w:kern w:val="0"/>
                <w:szCs w:val="21"/>
              </w:rPr>
              <w:t>2</w:t>
            </w:r>
            <w:r>
              <w:rPr>
                <w:rFonts w:ascii="Arial" w:hAnsi="Arial" w:cs="Arial" w:hint="eastAsia"/>
                <w:color w:val="000000"/>
                <w:kern w:val="0"/>
                <w:szCs w:val="21"/>
              </w:rPr>
              <w:t>号</w:t>
            </w:r>
            <w:r>
              <w:rPr>
                <w:rFonts w:ascii="Arial" w:hAnsi="Arial" w:cs="Arial" w:hint="eastAsia"/>
                <w:color w:val="000000"/>
                <w:kern w:val="0"/>
                <w:szCs w:val="21"/>
              </w:rPr>
              <w:t>19</w:t>
            </w:r>
            <w:r>
              <w:rPr>
                <w:rFonts w:ascii="Arial" w:hAnsi="Arial" w:cs="Arial" w:hint="eastAsia"/>
                <w:color w:val="000000"/>
                <w:kern w:val="0"/>
                <w:szCs w:val="21"/>
              </w:rPr>
              <w:t>层</w:t>
            </w:r>
            <w:r>
              <w:rPr>
                <w:rFonts w:ascii="Arial" w:hAnsi="Arial" w:cs="Arial" w:hint="eastAsia"/>
                <w:color w:val="000000"/>
                <w:kern w:val="0"/>
                <w:szCs w:val="21"/>
              </w:rPr>
              <w:t>A2017</w:t>
            </w:r>
          </w:p>
          <w:p w14:paraId="7B27AD98"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400-1060101</w:t>
            </w:r>
          </w:p>
          <w:p w14:paraId="3C3B8A18"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t xml:space="preserve"> </w:t>
            </w:r>
            <w:r>
              <w:rPr>
                <w:rFonts w:hint="eastAsia"/>
              </w:rPr>
              <w:t>www.jhjfund.com</w:t>
            </w:r>
          </w:p>
        </w:tc>
      </w:tr>
      <w:tr w:rsidR="007E10F1" w:rsidRPr="005207EF" w14:paraId="2ABAD2FD" w14:textId="77777777" w:rsidTr="007E10F1">
        <w:tc>
          <w:tcPr>
            <w:tcW w:w="1526" w:type="dxa"/>
          </w:tcPr>
          <w:p w14:paraId="14B4DA20"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30</w:t>
            </w:r>
          </w:p>
        </w:tc>
        <w:tc>
          <w:tcPr>
            <w:tcW w:w="2527" w:type="dxa"/>
          </w:tcPr>
          <w:p w14:paraId="7920CB2C"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民商基金销售（上海）有限公司</w:t>
            </w:r>
          </w:p>
        </w:tc>
        <w:tc>
          <w:tcPr>
            <w:tcW w:w="4560" w:type="dxa"/>
          </w:tcPr>
          <w:p w14:paraId="7A1F571C"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地址：上海黄浦区北京东路</w:t>
            </w:r>
            <w:r>
              <w:rPr>
                <w:rFonts w:ascii="Arial" w:hAnsi="Arial" w:cs="Arial" w:hint="eastAsia"/>
                <w:color w:val="000000"/>
                <w:kern w:val="0"/>
                <w:szCs w:val="21"/>
              </w:rPr>
              <w:t>666</w:t>
            </w:r>
            <w:r>
              <w:rPr>
                <w:rFonts w:ascii="Arial" w:hAnsi="Arial" w:cs="Arial" w:hint="eastAsia"/>
                <w:color w:val="000000"/>
                <w:kern w:val="0"/>
                <w:szCs w:val="21"/>
              </w:rPr>
              <w:t>号</w:t>
            </w:r>
            <w:r>
              <w:rPr>
                <w:rFonts w:ascii="Arial" w:hAnsi="Arial" w:cs="Arial" w:hint="eastAsia"/>
                <w:color w:val="000000"/>
                <w:kern w:val="0"/>
                <w:szCs w:val="21"/>
              </w:rPr>
              <w:t>H</w:t>
            </w:r>
            <w:r>
              <w:rPr>
                <w:rFonts w:ascii="Arial" w:hAnsi="Arial" w:cs="Arial" w:hint="eastAsia"/>
                <w:color w:val="000000"/>
                <w:kern w:val="0"/>
                <w:szCs w:val="21"/>
              </w:rPr>
              <w:t>区（东座）</w:t>
            </w:r>
            <w:r>
              <w:rPr>
                <w:rFonts w:ascii="Arial" w:hAnsi="Arial" w:cs="Arial" w:hint="eastAsia"/>
                <w:color w:val="000000"/>
                <w:kern w:val="0"/>
                <w:szCs w:val="21"/>
              </w:rPr>
              <w:t>6</w:t>
            </w:r>
            <w:r>
              <w:rPr>
                <w:rFonts w:ascii="Arial" w:hAnsi="Arial" w:cs="Arial" w:hint="eastAsia"/>
                <w:color w:val="000000"/>
                <w:kern w:val="0"/>
                <w:szCs w:val="21"/>
              </w:rPr>
              <w:t>楼</w:t>
            </w:r>
            <w:r>
              <w:rPr>
                <w:rFonts w:ascii="Arial" w:hAnsi="Arial" w:cs="Arial" w:hint="eastAsia"/>
                <w:color w:val="000000"/>
                <w:kern w:val="0"/>
                <w:szCs w:val="21"/>
              </w:rPr>
              <w:t>A31</w:t>
            </w:r>
            <w:r>
              <w:rPr>
                <w:rFonts w:ascii="Arial" w:hAnsi="Arial" w:cs="Arial" w:hint="eastAsia"/>
                <w:color w:val="000000"/>
                <w:kern w:val="0"/>
                <w:szCs w:val="21"/>
              </w:rPr>
              <w:t>室</w:t>
            </w:r>
            <w:r>
              <w:rPr>
                <w:rFonts w:ascii="Arial" w:hAnsi="Arial" w:cs="Arial" w:hint="eastAsia"/>
                <w:color w:val="000000"/>
                <w:kern w:val="0"/>
                <w:szCs w:val="21"/>
              </w:rPr>
              <w:t xml:space="preserve"> </w:t>
            </w:r>
          </w:p>
          <w:p w14:paraId="1F5DBE64"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021-50206003</w:t>
            </w:r>
          </w:p>
          <w:p w14:paraId="6A5DC77C"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http://www.msftec.com</w:t>
            </w:r>
            <w:r>
              <w:t xml:space="preserve"> </w:t>
            </w:r>
          </w:p>
        </w:tc>
      </w:tr>
      <w:tr w:rsidR="007E10F1" w:rsidRPr="005207EF" w14:paraId="162E1329" w14:textId="77777777" w:rsidTr="007E10F1">
        <w:tc>
          <w:tcPr>
            <w:tcW w:w="1526" w:type="dxa"/>
          </w:tcPr>
          <w:p w14:paraId="5C3CFFD0"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31</w:t>
            </w:r>
          </w:p>
        </w:tc>
        <w:tc>
          <w:tcPr>
            <w:tcW w:w="2527" w:type="dxa"/>
          </w:tcPr>
          <w:p w14:paraId="2B2EA87A"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大连网金基金销售有限公司</w:t>
            </w:r>
          </w:p>
        </w:tc>
        <w:tc>
          <w:tcPr>
            <w:tcW w:w="4560" w:type="dxa"/>
          </w:tcPr>
          <w:p w14:paraId="380228F6"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w:t>
            </w:r>
            <w:r w:rsidRPr="00053447">
              <w:rPr>
                <w:rFonts w:ascii="Arial" w:hAnsi="Arial" w:cs="Arial" w:hint="eastAsia"/>
                <w:color w:val="000000"/>
                <w:kern w:val="0"/>
                <w:szCs w:val="21"/>
              </w:rPr>
              <w:t>大连市沙河口区体坛路</w:t>
            </w:r>
            <w:r w:rsidRPr="00053447">
              <w:rPr>
                <w:rFonts w:ascii="Arial" w:hAnsi="Arial" w:cs="Arial" w:hint="eastAsia"/>
                <w:color w:val="000000"/>
                <w:kern w:val="0"/>
                <w:szCs w:val="21"/>
              </w:rPr>
              <w:t>22</w:t>
            </w:r>
            <w:r w:rsidRPr="00053447">
              <w:rPr>
                <w:rFonts w:ascii="Arial" w:hAnsi="Arial" w:cs="Arial" w:hint="eastAsia"/>
                <w:color w:val="000000"/>
                <w:kern w:val="0"/>
                <w:szCs w:val="21"/>
              </w:rPr>
              <w:t>号诺德大厦</w:t>
            </w:r>
            <w:r w:rsidRPr="00053447">
              <w:rPr>
                <w:rFonts w:ascii="Arial" w:hAnsi="Arial" w:cs="Arial" w:hint="eastAsia"/>
                <w:color w:val="000000"/>
                <w:kern w:val="0"/>
                <w:szCs w:val="21"/>
              </w:rPr>
              <w:t>2</w:t>
            </w:r>
            <w:r w:rsidRPr="00053447">
              <w:rPr>
                <w:rFonts w:ascii="Arial" w:hAnsi="Arial" w:cs="Arial" w:hint="eastAsia"/>
                <w:color w:val="000000"/>
                <w:kern w:val="0"/>
                <w:szCs w:val="21"/>
              </w:rPr>
              <w:t>层</w:t>
            </w:r>
          </w:p>
          <w:p w14:paraId="45EA3AA3"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color w:val="000000"/>
                <w:kern w:val="0"/>
                <w:szCs w:val="21"/>
              </w:rPr>
              <w:t>4000-899-100</w:t>
            </w:r>
          </w:p>
          <w:p w14:paraId="45D84DD1"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sidRPr="00053447">
              <w:rPr>
                <w:rFonts w:ascii="Arial" w:hAnsi="Arial" w:cs="Arial"/>
                <w:color w:val="000000"/>
                <w:kern w:val="0"/>
                <w:szCs w:val="21"/>
              </w:rPr>
              <w:t xml:space="preserve"> http://www.yibaijin.com/</w:t>
            </w:r>
          </w:p>
        </w:tc>
      </w:tr>
      <w:tr w:rsidR="007E10F1" w:rsidRPr="005207EF" w14:paraId="0A10C45D" w14:textId="77777777" w:rsidTr="007E10F1">
        <w:tc>
          <w:tcPr>
            <w:tcW w:w="1526" w:type="dxa"/>
          </w:tcPr>
          <w:p w14:paraId="00A1C345"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32</w:t>
            </w:r>
          </w:p>
        </w:tc>
        <w:tc>
          <w:tcPr>
            <w:tcW w:w="2527" w:type="dxa"/>
          </w:tcPr>
          <w:p w14:paraId="58CCEA75" w14:textId="77777777" w:rsidR="007E10F1" w:rsidRPr="005B733E" w:rsidRDefault="007E10F1" w:rsidP="006B50F9">
            <w:pPr>
              <w:spacing w:line="360" w:lineRule="auto"/>
              <w:jc w:val="center"/>
              <w:rPr>
                <w:rFonts w:ascii="宋体" w:hAnsi="宋体"/>
                <w:color w:val="000000" w:themeColor="text1"/>
                <w:szCs w:val="21"/>
              </w:rPr>
            </w:pPr>
            <w:r w:rsidRPr="00D5758C">
              <w:rPr>
                <w:rFonts w:ascii="宋体" w:hAnsi="宋体" w:hint="eastAsia"/>
                <w:color w:val="000000" w:themeColor="text1"/>
                <w:szCs w:val="21"/>
              </w:rPr>
              <w:t>扬州国信嘉利基金销售有限公司</w:t>
            </w:r>
          </w:p>
        </w:tc>
        <w:tc>
          <w:tcPr>
            <w:tcW w:w="4560" w:type="dxa"/>
          </w:tcPr>
          <w:p w14:paraId="484B73C7"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注册</w:t>
            </w:r>
            <w:r>
              <w:rPr>
                <w:rFonts w:ascii="Arial" w:hAnsi="Arial" w:cs="Arial" w:hint="eastAsia"/>
                <w:color w:val="000000"/>
                <w:kern w:val="0"/>
                <w:szCs w:val="21"/>
              </w:rPr>
              <w:t>(</w:t>
            </w:r>
            <w:r>
              <w:rPr>
                <w:rFonts w:ascii="Arial" w:hAnsi="Arial" w:cs="Arial" w:hint="eastAsia"/>
                <w:color w:val="000000"/>
                <w:kern w:val="0"/>
                <w:szCs w:val="21"/>
              </w:rPr>
              <w:t>办公</w:t>
            </w:r>
            <w:r>
              <w:rPr>
                <w:rFonts w:ascii="Arial" w:hAnsi="Arial" w:cs="Arial" w:hint="eastAsia"/>
                <w:color w:val="000000"/>
                <w:kern w:val="0"/>
                <w:szCs w:val="21"/>
              </w:rPr>
              <w:t>)</w:t>
            </w:r>
            <w:r>
              <w:rPr>
                <w:rFonts w:ascii="Arial" w:hAnsi="Arial" w:cs="Arial" w:hint="eastAsia"/>
                <w:color w:val="000000"/>
                <w:kern w:val="0"/>
                <w:szCs w:val="21"/>
              </w:rPr>
              <w:t>地址：扬州市广陵新城信息产业基地</w:t>
            </w:r>
            <w:r>
              <w:rPr>
                <w:rFonts w:ascii="Arial" w:hAnsi="Arial" w:cs="Arial" w:hint="eastAsia"/>
                <w:color w:val="000000"/>
                <w:kern w:val="0"/>
                <w:szCs w:val="21"/>
              </w:rPr>
              <w:t>3</w:t>
            </w:r>
            <w:r>
              <w:rPr>
                <w:rFonts w:ascii="Arial" w:hAnsi="Arial" w:cs="Arial" w:hint="eastAsia"/>
                <w:color w:val="000000"/>
                <w:kern w:val="0"/>
                <w:szCs w:val="21"/>
              </w:rPr>
              <w:t>期</w:t>
            </w:r>
            <w:r>
              <w:rPr>
                <w:rFonts w:ascii="Arial" w:hAnsi="Arial" w:cs="Arial" w:hint="eastAsia"/>
                <w:color w:val="000000"/>
                <w:kern w:val="0"/>
                <w:szCs w:val="21"/>
              </w:rPr>
              <w:t>20B</w:t>
            </w:r>
            <w:r>
              <w:rPr>
                <w:rFonts w:ascii="Arial" w:hAnsi="Arial" w:cs="Arial" w:hint="eastAsia"/>
                <w:color w:val="000000"/>
                <w:kern w:val="0"/>
                <w:szCs w:val="21"/>
              </w:rPr>
              <w:t>栋</w:t>
            </w:r>
            <w:r>
              <w:rPr>
                <w:rFonts w:ascii="Arial" w:hAnsi="Arial" w:cs="Arial" w:hint="eastAsia"/>
                <w:color w:val="000000"/>
                <w:kern w:val="0"/>
                <w:szCs w:val="21"/>
              </w:rPr>
              <w:t xml:space="preserve"> </w:t>
            </w:r>
          </w:p>
          <w:p w14:paraId="11A58677" w14:textId="77777777" w:rsidR="007E10F1"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客户服务电话：</w:t>
            </w:r>
            <w:r>
              <w:rPr>
                <w:rFonts w:ascii="Arial" w:hAnsi="Arial" w:cs="Arial" w:hint="eastAsia"/>
                <w:color w:val="000000"/>
                <w:kern w:val="0"/>
                <w:szCs w:val="21"/>
              </w:rPr>
              <w:t>400 021 6088</w:t>
            </w:r>
          </w:p>
          <w:p w14:paraId="16244FA9" w14:textId="77777777" w:rsidR="007E10F1" w:rsidRPr="005207EF" w:rsidRDefault="007E10F1" w:rsidP="006B50F9">
            <w:pPr>
              <w:widowControl/>
              <w:spacing w:line="360" w:lineRule="auto"/>
              <w:jc w:val="left"/>
              <w:rPr>
                <w:rFonts w:ascii="Arial" w:hAnsi="Arial" w:cs="Arial"/>
                <w:color w:val="000000"/>
                <w:kern w:val="0"/>
                <w:szCs w:val="21"/>
              </w:rPr>
            </w:pPr>
            <w:r>
              <w:rPr>
                <w:rFonts w:ascii="Arial" w:hAnsi="Arial" w:cs="Arial" w:hint="eastAsia"/>
                <w:color w:val="000000"/>
                <w:kern w:val="0"/>
                <w:szCs w:val="21"/>
              </w:rPr>
              <w:t>网址：</w:t>
            </w:r>
            <w:r>
              <w:rPr>
                <w:rFonts w:ascii="Arial" w:hAnsi="Arial" w:cs="Arial" w:hint="eastAsia"/>
                <w:color w:val="000000"/>
                <w:kern w:val="0"/>
                <w:szCs w:val="21"/>
              </w:rPr>
              <w:t>www.gxjlcn.com</w:t>
            </w:r>
            <w:r>
              <w:rPr>
                <w:rFonts w:ascii="Arial" w:hAnsi="Arial" w:cs="Arial"/>
                <w:color w:val="000000"/>
                <w:kern w:val="0"/>
                <w:szCs w:val="21"/>
              </w:rPr>
              <w:t xml:space="preserve"> </w:t>
            </w:r>
          </w:p>
        </w:tc>
      </w:tr>
      <w:tr w:rsidR="007E10F1" w:rsidRPr="008339E7" w14:paraId="09BDCEF0" w14:textId="77777777" w:rsidTr="007E10F1">
        <w:tc>
          <w:tcPr>
            <w:tcW w:w="1526" w:type="dxa"/>
          </w:tcPr>
          <w:p w14:paraId="4049DF94"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33</w:t>
            </w:r>
          </w:p>
        </w:tc>
        <w:tc>
          <w:tcPr>
            <w:tcW w:w="2527" w:type="dxa"/>
          </w:tcPr>
          <w:p w14:paraId="6D1308A7" w14:textId="77777777" w:rsidR="007E10F1" w:rsidRPr="00D5758C"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深圳众禄基金销售股份有限公司</w:t>
            </w:r>
          </w:p>
        </w:tc>
        <w:tc>
          <w:tcPr>
            <w:tcW w:w="4560" w:type="dxa"/>
          </w:tcPr>
          <w:p w14:paraId="0E3FF159" w14:textId="77777777" w:rsidR="007E10F1" w:rsidRDefault="007E10F1" w:rsidP="006B50F9">
            <w:pPr>
              <w:spacing w:line="400" w:lineRule="exact"/>
              <w:jc w:val="left"/>
              <w:rPr>
                <w:rFonts w:ascii="Arial" w:hAnsi="Arial" w:cs="Arial"/>
              </w:rPr>
            </w:pPr>
            <w:r>
              <w:rPr>
                <w:rFonts w:ascii="宋体" w:hAnsi="宋体" w:hint="eastAsia"/>
              </w:rPr>
              <w:t>注册（办公）地址：深圳市罗湖区梨园路物资控股置地大厦8楼</w:t>
            </w:r>
          </w:p>
          <w:p w14:paraId="461A8E6A" w14:textId="77777777" w:rsidR="007E10F1" w:rsidRDefault="007E10F1" w:rsidP="006B50F9">
            <w:pPr>
              <w:spacing w:line="400" w:lineRule="exact"/>
              <w:jc w:val="left"/>
              <w:rPr>
                <w:rFonts w:ascii="Arial" w:hAnsi="Arial" w:cs="Arial"/>
              </w:rPr>
            </w:pPr>
            <w:r>
              <w:rPr>
                <w:rFonts w:ascii="宋体" w:hAnsi="宋体" w:hint="eastAsia"/>
              </w:rPr>
              <w:t>客户服务电话：</w:t>
            </w:r>
            <w:r>
              <w:rPr>
                <w:rFonts w:ascii="Arial" w:hAnsi="Arial" w:cs="Arial"/>
              </w:rPr>
              <w:t>4006-788-887</w:t>
            </w:r>
          </w:p>
          <w:p w14:paraId="03D6635C" w14:textId="77777777" w:rsidR="007E10F1" w:rsidRDefault="007E10F1" w:rsidP="006B50F9">
            <w:pPr>
              <w:spacing w:line="400" w:lineRule="exact"/>
              <w:jc w:val="left"/>
              <w:rPr>
                <w:rFonts w:ascii="Arial" w:hAnsi="Arial" w:cs="Arial"/>
              </w:rPr>
            </w:pPr>
            <w:r>
              <w:rPr>
                <w:rFonts w:ascii="宋体" w:hAnsi="宋体" w:hint="eastAsia"/>
              </w:rPr>
              <w:t>网址：众禄基金网</w:t>
            </w:r>
            <w:r>
              <w:rPr>
                <w:rFonts w:ascii="Arial" w:hAnsi="Arial" w:cs="Arial"/>
              </w:rPr>
              <w:t xml:space="preserve"> </w:t>
            </w:r>
            <w:hyperlink r:id="rId23" w:history="1">
              <w:r w:rsidRPr="0047542B">
                <w:rPr>
                  <w:rFonts w:ascii="Arial" w:hAnsi="Arial" w:cs="Arial"/>
                  <w:szCs w:val="21"/>
                </w:rPr>
                <w:t>www.zlfund.cn</w:t>
              </w:r>
            </w:hyperlink>
          </w:p>
          <w:p w14:paraId="52AE74A5" w14:textId="77777777" w:rsidR="007E10F1" w:rsidRPr="008339E7" w:rsidRDefault="007E10F1" w:rsidP="006B50F9">
            <w:pPr>
              <w:widowControl/>
              <w:spacing w:line="360" w:lineRule="auto"/>
              <w:jc w:val="left"/>
              <w:rPr>
                <w:rFonts w:ascii="Arial" w:hAnsi="Arial" w:cs="Arial"/>
                <w:color w:val="000000"/>
                <w:kern w:val="0"/>
                <w:szCs w:val="21"/>
              </w:rPr>
            </w:pPr>
            <w:r>
              <w:rPr>
                <w:rFonts w:ascii="宋体" w:hAnsi="宋体" w:hint="eastAsia"/>
              </w:rPr>
              <w:t>基金买卖网</w:t>
            </w:r>
            <w:r w:rsidRPr="0047542B">
              <w:rPr>
                <w:rFonts w:ascii="Arial" w:hAnsi="Arial" w:cs="Arial"/>
                <w:szCs w:val="21"/>
              </w:rPr>
              <w:t xml:space="preserve"> </w:t>
            </w:r>
            <w:hyperlink r:id="rId24" w:history="1">
              <w:r w:rsidRPr="0047542B">
                <w:rPr>
                  <w:rFonts w:ascii="Arial" w:hAnsi="Arial" w:cs="Arial"/>
                  <w:szCs w:val="21"/>
                </w:rPr>
                <w:t>www.jjmmw.com</w:t>
              </w:r>
            </w:hyperlink>
          </w:p>
        </w:tc>
      </w:tr>
      <w:tr w:rsidR="007E10F1" w:rsidRPr="008339E7" w14:paraId="3822B20D" w14:textId="77777777" w:rsidTr="007E10F1">
        <w:tc>
          <w:tcPr>
            <w:tcW w:w="1526" w:type="dxa"/>
          </w:tcPr>
          <w:p w14:paraId="51B87D5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34</w:t>
            </w:r>
          </w:p>
        </w:tc>
        <w:tc>
          <w:tcPr>
            <w:tcW w:w="2527" w:type="dxa"/>
          </w:tcPr>
          <w:p w14:paraId="2DAE511F"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北京蛋卷基金销售有限公司</w:t>
            </w:r>
          </w:p>
        </w:tc>
        <w:tc>
          <w:tcPr>
            <w:tcW w:w="4560" w:type="dxa"/>
          </w:tcPr>
          <w:p w14:paraId="136AE12A" w14:textId="77777777" w:rsidR="007E10F1" w:rsidRDefault="007E10F1" w:rsidP="006B50F9">
            <w:pPr>
              <w:spacing w:before="100" w:beforeAutospacing="1" w:after="100" w:afterAutospacing="1"/>
            </w:pPr>
            <w:r w:rsidRPr="00DF7912">
              <w:rPr>
                <w:rFonts w:hint="eastAsia"/>
              </w:rPr>
              <w:t>注册</w:t>
            </w:r>
            <w:r>
              <w:rPr>
                <w:rFonts w:hint="eastAsia"/>
              </w:rPr>
              <w:t>（办公）</w:t>
            </w:r>
            <w:r w:rsidRPr="00DF7912">
              <w:rPr>
                <w:rFonts w:hint="eastAsia"/>
              </w:rPr>
              <w:t>地址：北京市朝阳区阜通东大街</w:t>
            </w:r>
            <w:r w:rsidRPr="00DF7912">
              <w:t>1</w:t>
            </w:r>
            <w:r w:rsidRPr="00DF7912">
              <w:rPr>
                <w:rFonts w:hint="eastAsia"/>
              </w:rPr>
              <w:t>号院</w:t>
            </w:r>
            <w:r w:rsidRPr="00DF7912">
              <w:t>6</w:t>
            </w:r>
            <w:r w:rsidRPr="00DF7912">
              <w:rPr>
                <w:rFonts w:hint="eastAsia"/>
              </w:rPr>
              <w:t>号楼</w:t>
            </w:r>
            <w:r w:rsidRPr="00DF7912">
              <w:t>2</w:t>
            </w:r>
            <w:r w:rsidRPr="00DF7912">
              <w:rPr>
                <w:rFonts w:hint="eastAsia"/>
              </w:rPr>
              <w:t>单元</w:t>
            </w:r>
            <w:r w:rsidRPr="00DF7912">
              <w:t>21</w:t>
            </w:r>
            <w:r w:rsidRPr="00DF7912">
              <w:rPr>
                <w:rFonts w:hint="eastAsia"/>
              </w:rPr>
              <w:t>层</w:t>
            </w:r>
            <w:r w:rsidRPr="00DF7912">
              <w:t>222507</w:t>
            </w:r>
          </w:p>
          <w:p w14:paraId="064CC601" w14:textId="77777777" w:rsidR="007E10F1" w:rsidRPr="00DF7912" w:rsidRDefault="007E10F1" w:rsidP="006B50F9">
            <w:pPr>
              <w:spacing w:before="100" w:beforeAutospacing="1" w:after="100" w:afterAutospacing="1" w:line="240" w:lineRule="exact"/>
            </w:pPr>
            <w:r w:rsidRPr="00DF7912">
              <w:rPr>
                <w:rFonts w:hint="eastAsia"/>
              </w:rPr>
              <w:t>客户服务电话：</w:t>
            </w:r>
            <w:r w:rsidRPr="00DF7912">
              <w:t>400</w:t>
            </w:r>
            <w:r>
              <w:rPr>
                <w:rFonts w:hint="eastAsia"/>
              </w:rPr>
              <w:t xml:space="preserve"> </w:t>
            </w:r>
            <w:r w:rsidRPr="00DF7912">
              <w:t>0618</w:t>
            </w:r>
            <w:r>
              <w:rPr>
                <w:rFonts w:hint="eastAsia"/>
              </w:rPr>
              <w:t xml:space="preserve"> </w:t>
            </w:r>
            <w:r w:rsidRPr="00DF7912">
              <w:t>518</w:t>
            </w:r>
          </w:p>
          <w:p w14:paraId="4A54BB40" w14:textId="77777777" w:rsidR="007E10F1" w:rsidRPr="00DF7912" w:rsidRDefault="007E10F1" w:rsidP="006B50F9">
            <w:pPr>
              <w:spacing w:before="100" w:beforeAutospacing="1" w:after="100" w:afterAutospacing="1"/>
            </w:pPr>
            <w:r w:rsidRPr="00DF7912">
              <w:rPr>
                <w:rFonts w:hint="eastAsia"/>
              </w:rPr>
              <w:lastRenderedPageBreak/>
              <w:t>网址：</w:t>
            </w:r>
            <w:hyperlink r:id="rId25" w:history="1">
              <w:r w:rsidRPr="00DF7912">
                <w:t>http://danjuanapp.com/</w:t>
              </w:r>
            </w:hyperlink>
          </w:p>
          <w:p w14:paraId="2FA06A81" w14:textId="77777777" w:rsidR="007E10F1" w:rsidRPr="008339E7" w:rsidRDefault="007E10F1" w:rsidP="006B50F9">
            <w:pPr>
              <w:widowControl/>
              <w:spacing w:line="360" w:lineRule="auto"/>
              <w:jc w:val="left"/>
              <w:rPr>
                <w:rFonts w:ascii="Arial" w:hAnsi="Arial" w:cs="Arial"/>
                <w:color w:val="000000"/>
                <w:kern w:val="0"/>
                <w:szCs w:val="21"/>
              </w:rPr>
            </w:pPr>
          </w:p>
        </w:tc>
      </w:tr>
      <w:tr w:rsidR="007E10F1" w14:paraId="1E6A60CA" w14:textId="77777777" w:rsidTr="007E10F1">
        <w:tc>
          <w:tcPr>
            <w:tcW w:w="1526" w:type="dxa"/>
          </w:tcPr>
          <w:p w14:paraId="261578BD"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lastRenderedPageBreak/>
              <w:t>35</w:t>
            </w:r>
          </w:p>
        </w:tc>
        <w:tc>
          <w:tcPr>
            <w:tcW w:w="2527" w:type="dxa"/>
          </w:tcPr>
          <w:p w14:paraId="20C5A03C"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北京恒天明泽基金销售有限公司</w:t>
            </w:r>
          </w:p>
        </w:tc>
        <w:tc>
          <w:tcPr>
            <w:tcW w:w="4560" w:type="dxa"/>
          </w:tcPr>
          <w:p w14:paraId="58A0F2C4" w14:textId="77777777" w:rsidR="007E10F1" w:rsidRPr="00571641" w:rsidRDefault="007E10F1" w:rsidP="006B50F9">
            <w:pPr>
              <w:spacing w:line="400" w:lineRule="exact"/>
              <w:jc w:val="left"/>
              <w:rPr>
                <w:rFonts w:ascii="Arial" w:hAnsi="Arial" w:cs="Arial"/>
                <w:szCs w:val="21"/>
              </w:rPr>
            </w:pPr>
            <w:r w:rsidRPr="00571641">
              <w:rPr>
                <w:rFonts w:ascii="Arial" w:hAnsi="Arial" w:cs="Arial" w:hint="eastAsia"/>
                <w:szCs w:val="21"/>
              </w:rPr>
              <w:t>注册地址：北京市经济技术开发区宏达北路</w:t>
            </w:r>
            <w:r w:rsidRPr="00571641">
              <w:rPr>
                <w:rFonts w:ascii="Arial" w:hAnsi="Arial" w:cs="Arial" w:hint="eastAsia"/>
                <w:szCs w:val="21"/>
              </w:rPr>
              <w:t>10</w:t>
            </w:r>
            <w:r w:rsidRPr="00571641">
              <w:rPr>
                <w:rFonts w:ascii="Arial" w:hAnsi="Arial" w:cs="Arial" w:hint="eastAsia"/>
                <w:szCs w:val="21"/>
              </w:rPr>
              <w:t>号五层</w:t>
            </w:r>
            <w:r w:rsidRPr="00571641">
              <w:rPr>
                <w:rFonts w:ascii="Arial" w:hAnsi="Arial" w:cs="Arial" w:hint="eastAsia"/>
                <w:szCs w:val="21"/>
              </w:rPr>
              <w:t>5122</w:t>
            </w:r>
            <w:r w:rsidRPr="00571641">
              <w:rPr>
                <w:rFonts w:ascii="Arial" w:hAnsi="Arial" w:cs="Arial" w:hint="eastAsia"/>
                <w:szCs w:val="21"/>
              </w:rPr>
              <w:t>室</w:t>
            </w:r>
          </w:p>
          <w:p w14:paraId="318E224B" w14:textId="77777777" w:rsidR="007E10F1" w:rsidRDefault="007E10F1" w:rsidP="006B50F9">
            <w:pPr>
              <w:widowControl/>
              <w:spacing w:line="360" w:lineRule="auto"/>
              <w:jc w:val="left"/>
              <w:rPr>
                <w:rFonts w:ascii="Arial" w:hAnsi="Arial" w:cs="Arial"/>
                <w:szCs w:val="21"/>
              </w:rPr>
            </w:pPr>
            <w:r w:rsidRPr="00571641">
              <w:rPr>
                <w:rFonts w:ascii="Arial" w:hAnsi="Arial" w:cs="Arial" w:hint="eastAsia"/>
                <w:szCs w:val="21"/>
              </w:rPr>
              <w:t>办公地址：北京市朝阳区东三环中路</w:t>
            </w:r>
            <w:r w:rsidRPr="00571641">
              <w:rPr>
                <w:rFonts w:ascii="Arial" w:hAnsi="Arial" w:cs="Arial" w:hint="eastAsia"/>
                <w:szCs w:val="21"/>
              </w:rPr>
              <w:t>20</w:t>
            </w:r>
            <w:r w:rsidRPr="00571641">
              <w:rPr>
                <w:rFonts w:ascii="Arial" w:hAnsi="Arial" w:cs="Arial" w:hint="eastAsia"/>
                <w:szCs w:val="21"/>
              </w:rPr>
              <w:t>号乐成中心</w:t>
            </w:r>
            <w:r w:rsidRPr="00571641">
              <w:rPr>
                <w:rFonts w:ascii="Arial" w:hAnsi="Arial" w:cs="Arial" w:hint="eastAsia"/>
                <w:szCs w:val="21"/>
              </w:rPr>
              <w:t>A</w:t>
            </w:r>
            <w:r w:rsidRPr="00571641">
              <w:rPr>
                <w:rFonts w:ascii="Arial" w:hAnsi="Arial" w:cs="Arial" w:hint="eastAsia"/>
                <w:szCs w:val="21"/>
              </w:rPr>
              <w:t>座</w:t>
            </w:r>
            <w:r w:rsidRPr="00571641">
              <w:rPr>
                <w:rFonts w:ascii="Arial" w:hAnsi="Arial" w:cs="Arial" w:hint="eastAsia"/>
                <w:szCs w:val="21"/>
              </w:rPr>
              <w:t>23</w:t>
            </w:r>
            <w:r w:rsidRPr="00571641">
              <w:rPr>
                <w:rFonts w:ascii="Arial" w:hAnsi="Arial" w:cs="Arial" w:hint="eastAsia"/>
                <w:szCs w:val="21"/>
              </w:rPr>
              <w:t>层</w:t>
            </w:r>
            <w:r w:rsidRPr="00571641">
              <w:rPr>
                <w:rFonts w:ascii="Arial" w:hAnsi="Arial" w:cs="Arial" w:hint="eastAsia"/>
                <w:szCs w:val="21"/>
              </w:rPr>
              <w:t> </w:t>
            </w:r>
          </w:p>
          <w:p w14:paraId="34C66FF6" w14:textId="77777777" w:rsidR="007E10F1" w:rsidRPr="00571641" w:rsidRDefault="007E10F1" w:rsidP="006B50F9">
            <w:pPr>
              <w:spacing w:line="400" w:lineRule="exact"/>
              <w:jc w:val="left"/>
              <w:rPr>
                <w:rFonts w:ascii="Arial" w:hAnsi="Arial" w:cs="Arial"/>
                <w:szCs w:val="21"/>
              </w:rPr>
            </w:pPr>
            <w:r w:rsidRPr="00571641">
              <w:rPr>
                <w:rFonts w:ascii="Arial" w:hAnsi="Arial" w:cs="Arial" w:hint="eastAsia"/>
                <w:szCs w:val="21"/>
              </w:rPr>
              <w:t>客户服务电话：</w:t>
            </w:r>
            <w:r w:rsidRPr="00571641">
              <w:rPr>
                <w:rFonts w:ascii="Arial" w:hAnsi="Arial" w:cs="Arial" w:hint="eastAsia"/>
                <w:szCs w:val="21"/>
              </w:rPr>
              <w:t>400-786-8868-5</w:t>
            </w:r>
          </w:p>
          <w:p w14:paraId="3BC20C9B" w14:textId="77777777" w:rsidR="007E10F1" w:rsidRDefault="007E10F1" w:rsidP="006B50F9">
            <w:pPr>
              <w:widowControl/>
              <w:spacing w:line="360" w:lineRule="auto"/>
              <w:jc w:val="left"/>
              <w:rPr>
                <w:rFonts w:ascii="Arial" w:hAnsi="Arial" w:cs="Arial"/>
                <w:color w:val="000000"/>
                <w:kern w:val="0"/>
                <w:szCs w:val="21"/>
              </w:rPr>
            </w:pPr>
            <w:r w:rsidRPr="00571641">
              <w:rPr>
                <w:rFonts w:ascii="Arial" w:hAnsi="Arial" w:cs="Arial" w:hint="eastAsia"/>
                <w:szCs w:val="21"/>
              </w:rPr>
              <w:t>网址</w:t>
            </w:r>
            <w:r w:rsidRPr="00571641">
              <w:rPr>
                <w:rFonts w:ascii="Arial" w:hAnsi="Arial" w:cs="Arial" w:hint="eastAsia"/>
                <w:szCs w:val="21"/>
              </w:rPr>
              <w:t>:www.chtfund.com</w:t>
            </w:r>
          </w:p>
        </w:tc>
      </w:tr>
      <w:tr w:rsidR="007E10F1" w:rsidRPr="002D62B6" w14:paraId="1B76FC4C" w14:textId="77777777" w:rsidTr="007E10F1">
        <w:tc>
          <w:tcPr>
            <w:tcW w:w="1526" w:type="dxa"/>
          </w:tcPr>
          <w:p w14:paraId="720FEDFC"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36</w:t>
            </w:r>
          </w:p>
        </w:tc>
        <w:tc>
          <w:tcPr>
            <w:tcW w:w="2527" w:type="dxa"/>
          </w:tcPr>
          <w:p w14:paraId="6829DD1F"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深圳前海财厚基金销售有限公司</w:t>
            </w:r>
          </w:p>
        </w:tc>
        <w:tc>
          <w:tcPr>
            <w:tcW w:w="4560" w:type="dxa"/>
          </w:tcPr>
          <w:p w14:paraId="2914E2C7" w14:textId="77777777" w:rsidR="007E10F1" w:rsidRPr="00A918A5" w:rsidRDefault="007E10F1" w:rsidP="006B50F9">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办公地址：广东省深圳市南山区高新南十道 深圳湾科技生态园三区11栋A座3608室</w:t>
            </w:r>
          </w:p>
          <w:p w14:paraId="214CB114" w14:textId="77777777" w:rsidR="007E10F1" w:rsidRPr="00A918A5" w:rsidRDefault="007E10F1" w:rsidP="006B50F9">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客户服务电话：400-128-6800</w:t>
            </w:r>
          </w:p>
          <w:p w14:paraId="16321C5E" w14:textId="77777777" w:rsidR="007E10F1" w:rsidRPr="002D62B6" w:rsidRDefault="007E10F1" w:rsidP="006B50F9">
            <w:pPr>
              <w:widowControl/>
              <w:spacing w:line="360" w:lineRule="auto"/>
              <w:jc w:val="left"/>
              <w:rPr>
                <w:rFonts w:ascii="宋体" w:hAnsi="宋体" w:cs="Calibri"/>
                <w:color w:val="000000"/>
                <w:kern w:val="0"/>
                <w:szCs w:val="21"/>
              </w:rPr>
            </w:pPr>
            <w:r w:rsidRPr="00A918A5">
              <w:rPr>
                <w:rFonts w:ascii="宋体" w:hAnsi="宋体" w:cs="Calibri" w:hint="eastAsia"/>
                <w:color w:val="000000"/>
                <w:kern w:val="0"/>
                <w:szCs w:val="21"/>
              </w:rPr>
              <w:t>网址：</w:t>
            </w:r>
            <w:r w:rsidRPr="00A918A5">
              <w:rPr>
                <w:rFonts w:ascii="宋体" w:hAnsi="宋体" w:cs="Calibri"/>
                <w:color w:val="000000"/>
                <w:kern w:val="0"/>
                <w:szCs w:val="21"/>
              </w:rPr>
              <w:t>caiho.cn</w:t>
            </w:r>
          </w:p>
        </w:tc>
      </w:tr>
      <w:tr w:rsidR="007E10F1" w:rsidRPr="002D62B6" w14:paraId="56A03C82" w14:textId="77777777" w:rsidTr="007E10F1">
        <w:tc>
          <w:tcPr>
            <w:tcW w:w="1526" w:type="dxa"/>
          </w:tcPr>
          <w:p w14:paraId="3EB9A14A"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37</w:t>
            </w:r>
          </w:p>
        </w:tc>
        <w:tc>
          <w:tcPr>
            <w:tcW w:w="2527" w:type="dxa"/>
          </w:tcPr>
          <w:p w14:paraId="726D57C4"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深圳盈信基金销售有限公司</w:t>
            </w:r>
          </w:p>
        </w:tc>
        <w:tc>
          <w:tcPr>
            <w:tcW w:w="4560" w:type="dxa"/>
          </w:tcPr>
          <w:p w14:paraId="67CCE9C5"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3A65B9">
              <w:rPr>
                <w:rFonts w:ascii="宋体" w:hAnsi="宋体" w:cs="Calibri" w:hint="eastAsia"/>
                <w:color w:val="000000"/>
                <w:kern w:val="0"/>
                <w:szCs w:val="21"/>
              </w:rPr>
              <w:t>深圳市福田区莲花街道商报东路英龙商务大厦8楼A-1（811-812）</w:t>
            </w:r>
          </w:p>
          <w:p w14:paraId="3B31163D"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3A65B9">
              <w:rPr>
                <w:rFonts w:ascii="宋体" w:hAnsi="宋体" w:cs="Calibri"/>
                <w:color w:val="000000"/>
                <w:kern w:val="0"/>
                <w:szCs w:val="21"/>
              </w:rPr>
              <w:t>4007-903-688</w:t>
            </w:r>
          </w:p>
          <w:p w14:paraId="652EFCAC" w14:textId="77777777" w:rsidR="007E10F1" w:rsidRPr="002D62B6"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EA291B" w:rsidDel="00EA291B">
              <w:rPr>
                <w:rFonts w:ascii="宋体" w:hAnsi="宋体" w:cs="Calibri"/>
                <w:color w:val="000000"/>
                <w:kern w:val="0"/>
                <w:szCs w:val="21"/>
              </w:rPr>
              <w:t xml:space="preserve"> </w:t>
            </w:r>
            <w:r w:rsidRPr="003A65B9">
              <w:rPr>
                <w:rFonts w:ascii="宋体" w:hAnsi="宋体" w:cs="Calibri"/>
                <w:color w:val="000000"/>
                <w:kern w:val="0"/>
                <w:szCs w:val="21"/>
              </w:rPr>
              <w:t>http://www.fundying.com/</w:t>
            </w:r>
          </w:p>
        </w:tc>
      </w:tr>
      <w:tr w:rsidR="007E10F1" w:rsidRPr="002D62B6" w14:paraId="4A1BEDB7" w14:textId="77777777" w:rsidTr="007E10F1">
        <w:tc>
          <w:tcPr>
            <w:tcW w:w="1526" w:type="dxa"/>
          </w:tcPr>
          <w:p w14:paraId="5C3E21E3"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38</w:t>
            </w:r>
          </w:p>
        </w:tc>
        <w:tc>
          <w:tcPr>
            <w:tcW w:w="2527" w:type="dxa"/>
          </w:tcPr>
          <w:p w14:paraId="56A6F96D"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上海挖财基金销售有限公司</w:t>
            </w:r>
          </w:p>
        </w:tc>
        <w:tc>
          <w:tcPr>
            <w:tcW w:w="4560" w:type="dxa"/>
          </w:tcPr>
          <w:p w14:paraId="5EBB9D04"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Pr>
                <w:rFonts w:hint="eastAsia"/>
                <w:color w:val="000000"/>
                <w:szCs w:val="21"/>
                <w:shd w:val="clear" w:color="auto" w:fill="FFFFFF"/>
              </w:rPr>
              <w:t>中国（上海）自由贸易试验区扬高南路</w:t>
            </w:r>
            <w:r>
              <w:rPr>
                <w:rFonts w:hint="eastAsia"/>
                <w:color w:val="000000"/>
                <w:szCs w:val="21"/>
                <w:shd w:val="clear" w:color="auto" w:fill="FFFFFF"/>
              </w:rPr>
              <w:t>799</w:t>
            </w:r>
            <w:r>
              <w:rPr>
                <w:rFonts w:hint="eastAsia"/>
                <w:color w:val="000000"/>
                <w:szCs w:val="21"/>
                <w:shd w:val="clear" w:color="auto" w:fill="FFFFFF"/>
              </w:rPr>
              <w:t>号</w:t>
            </w:r>
            <w:r>
              <w:rPr>
                <w:rFonts w:hint="eastAsia"/>
                <w:color w:val="000000"/>
                <w:szCs w:val="21"/>
                <w:shd w:val="clear" w:color="auto" w:fill="FFFFFF"/>
              </w:rPr>
              <w:t>5</w:t>
            </w:r>
            <w:r>
              <w:rPr>
                <w:rFonts w:hint="eastAsia"/>
                <w:color w:val="000000"/>
                <w:szCs w:val="21"/>
                <w:shd w:val="clear" w:color="auto" w:fill="FFFFFF"/>
              </w:rPr>
              <w:t>楼</w:t>
            </w:r>
            <w:r>
              <w:rPr>
                <w:rFonts w:hint="eastAsia"/>
                <w:color w:val="000000"/>
                <w:szCs w:val="21"/>
                <w:shd w:val="clear" w:color="auto" w:fill="FFFFFF"/>
              </w:rPr>
              <w:t>01</w:t>
            </w:r>
            <w:r>
              <w:rPr>
                <w:rFonts w:hint="eastAsia"/>
                <w:color w:val="000000"/>
                <w:szCs w:val="21"/>
                <w:shd w:val="clear" w:color="auto" w:fill="FFFFFF"/>
              </w:rPr>
              <w:t>、</w:t>
            </w:r>
            <w:r>
              <w:rPr>
                <w:rFonts w:hint="eastAsia"/>
                <w:color w:val="000000"/>
                <w:szCs w:val="21"/>
                <w:shd w:val="clear" w:color="auto" w:fill="FFFFFF"/>
              </w:rPr>
              <w:t>02</w:t>
            </w:r>
            <w:r>
              <w:rPr>
                <w:rFonts w:hint="eastAsia"/>
                <w:color w:val="000000"/>
                <w:szCs w:val="21"/>
                <w:shd w:val="clear" w:color="auto" w:fill="FFFFFF"/>
              </w:rPr>
              <w:t>、</w:t>
            </w:r>
            <w:r>
              <w:rPr>
                <w:rFonts w:hint="eastAsia"/>
                <w:color w:val="000000"/>
                <w:szCs w:val="21"/>
                <w:shd w:val="clear" w:color="auto" w:fill="FFFFFF"/>
              </w:rPr>
              <w:t>03</w:t>
            </w:r>
            <w:r>
              <w:rPr>
                <w:rFonts w:hint="eastAsia"/>
                <w:color w:val="000000"/>
                <w:szCs w:val="21"/>
                <w:shd w:val="clear" w:color="auto" w:fill="FFFFFF"/>
              </w:rPr>
              <w:t>室</w:t>
            </w:r>
          </w:p>
          <w:p w14:paraId="5E839B29"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Pr>
                <w:rFonts w:ascii="Arial" w:hAnsi="Arial" w:cs="Arial"/>
                <w:color w:val="000000"/>
                <w:shd w:val="clear" w:color="auto" w:fill="FFFFFF"/>
              </w:rPr>
              <w:t>400-711-8718</w:t>
            </w:r>
          </w:p>
          <w:p w14:paraId="79E465A2" w14:textId="77777777" w:rsidR="007E10F1" w:rsidRPr="002D62B6"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Pr>
                <w:rFonts w:ascii="Arial" w:hAnsi="Arial" w:cs="Arial"/>
                <w:color w:val="000000"/>
              </w:rPr>
              <w:t> </w:t>
            </w:r>
            <w:hyperlink r:id="rId26" w:history="1">
              <w:r>
                <w:rPr>
                  <w:rStyle w:val="af6"/>
                  <w:rFonts w:ascii="Arial" w:eastAsia="微软雅黑" w:hAnsi="Arial" w:cs="Arial"/>
                  <w:color w:val="0563C1"/>
                </w:rPr>
                <w:t>www.wacaijijin.com</w:t>
              </w:r>
            </w:hyperlink>
          </w:p>
        </w:tc>
      </w:tr>
      <w:tr w:rsidR="007E10F1" w:rsidRPr="008339E7" w14:paraId="59696152" w14:textId="77777777" w:rsidTr="007E10F1">
        <w:tc>
          <w:tcPr>
            <w:tcW w:w="1526" w:type="dxa"/>
          </w:tcPr>
          <w:p w14:paraId="2C7B54AE"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39</w:t>
            </w:r>
          </w:p>
        </w:tc>
        <w:tc>
          <w:tcPr>
            <w:tcW w:w="2527" w:type="dxa"/>
          </w:tcPr>
          <w:p w14:paraId="126C70D4"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诺亚正行基金销售有限公司</w:t>
            </w:r>
          </w:p>
        </w:tc>
        <w:tc>
          <w:tcPr>
            <w:tcW w:w="4560" w:type="dxa"/>
          </w:tcPr>
          <w:p w14:paraId="653131C8"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注册地址：上海市</w:t>
            </w:r>
            <w:r>
              <w:rPr>
                <w:rFonts w:ascii="Arial" w:hAnsi="Arial" w:cs="Arial" w:hint="eastAsia"/>
                <w:szCs w:val="21"/>
              </w:rPr>
              <w:t>虹口</w:t>
            </w:r>
            <w:r w:rsidRPr="008635FB">
              <w:rPr>
                <w:rFonts w:ascii="Arial" w:hAnsi="Arial" w:cs="Arial" w:hint="eastAsia"/>
                <w:szCs w:val="21"/>
              </w:rPr>
              <w:t>区</w:t>
            </w:r>
            <w:r>
              <w:rPr>
                <w:rFonts w:ascii="Arial" w:hAnsi="Arial" w:cs="Arial" w:hint="eastAsia"/>
                <w:szCs w:val="21"/>
              </w:rPr>
              <w:t>飞虹路</w:t>
            </w:r>
            <w:r>
              <w:rPr>
                <w:rFonts w:ascii="Arial" w:hAnsi="Arial" w:cs="Arial" w:hint="eastAsia"/>
                <w:szCs w:val="21"/>
              </w:rPr>
              <w:t>360</w:t>
            </w:r>
            <w:r>
              <w:rPr>
                <w:rFonts w:ascii="Arial" w:hAnsi="Arial" w:cs="Arial" w:hint="eastAsia"/>
                <w:szCs w:val="21"/>
              </w:rPr>
              <w:t>弄</w:t>
            </w:r>
            <w:r>
              <w:rPr>
                <w:rFonts w:ascii="Arial" w:hAnsi="Arial" w:cs="Arial" w:hint="eastAsia"/>
                <w:szCs w:val="21"/>
              </w:rPr>
              <w:t>9</w:t>
            </w:r>
            <w:r>
              <w:rPr>
                <w:rFonts w:ascii="Arial" w:hAnsi="Arial" w:cs="Arial" w:hint="eastAsia"/>
                <w:szCs w:val="21"/>
              </w:rPr>
              <w:t>号</w:t>
            </w:r>
            <w:r>
              <w:rPr>
                <w:rFonts w:ascii="Arial" w:hAnsi="Arial" w:cs="Arial" w:hint="eastAsia"/>
                <w:szCs w:val="21"/>
              </w:rPr>
              <w:t>3724</w:t>
            </w:r>
            <w:r>
              <w:rPr>
                <w:rFonts w:ascii="Arial" w:hAnsi="Arial" w:cs="Arial" w:hint="eastAsia"/>
                <w:szCs w:val="21"/>
              </w:rPr>
              <w:t>室</w:t>
            </w:r>
          </w:p>
          <w:p w14:paraId="2B4FAB69"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办公地址：</w:t>
            </w:r>
            <w:r w:rsidRPr="008F7283">
              <w:rPr>
                <w:rFonts w:ascii="Arial" w:hAnsi="Arial" w:cs="Arial" w:hint="eastAsia"/>
                <w:szCs w:val="21"/>
              </w:rPr>
              <w:t>上海市杨浦区秦皇岛路</w:t>
            </w:r>
            <w:r w:rsidRPr="008F7283">
              <w:rPr>
                <w:rFonts w:ascii="Arial" w:hAnsi="Arial" w:cs="Arial" w:hint="eastAsia"/>
                <w:szCs w:val="21"/>
              </w:rPr>
              <w:t>32</w:t>
            </w:r>
            <w:r w:rsidRPr="008F7283">
              <w:rPr>
                <w:rFonts w:ascii="Arial" w:hAnsi="Arial" w:cs="Arial" w:hint="eastAsia"/>
                <w:szCs w:val="21"/>
              </w:rPr>
              <w:t>号东码头园区</w:t>
            </w:r>
            <w:r w:rsidRPr="008F7283">
              <w:rPr>
                <w:rFonts w:ascii="Arial" w:hAnsi="Arial" w:cs="Arial" w:hint="eastAsia"/>
                <w:szCs w:val="21"/>
              </w:rPr>
              <w:t>C</w:t>
            </w:r>
            <w:r w:rsidRPr="008F7283">
              <w:rPr>
                <w:rFonts w:ascii="Arial" w:hAnsi="Arial" w:cs="Arial" w:hint="eastAsia"/>
                <w:szCs w:val="21"/>
              </w:rPr>
              <w:t>栋</w:t>
            </w:r>
          </w:p>
          <w:p w14:paraId="2A6FA83F" w14:textId="77777777" w:rsidR="007E10F1" w:rsidRPr="008635FB" w:rsidRDefault="007E10F1" w:rsidP="006B50F9">
            <w:pPr>
              <w:spacing w:line="400" w:lineRule="exact"/>
              <w:jc w:val="left"/>
              <w:rPr>
                <w:rFonts w:ascii="Arial" w:hAnsi="Arial" w:cs="Arial"/>
                <w:szCs w:val="21"/>
              </w:rPr>
            </w:pPr>
            <w:r w:rsidRPr="008635FB">
              <w:rPr>
                <w:rFonts w:ascii="Arial" w:hAnsi="Arial" w:cs="Arial" w:hint="eastAsia"/>
                <w:szCs w:val="21"/>
              </w:rPr>
              <w:t>客户服务电话：</w:t>
            </w:r>
            <w:r w:rsidRPr="008635FB">
              <w:rPr>
                <w:rFonts w:ascii="Arial" w:hAnsi="Arial" w:cs="Arial" w:hint="eastAsia"/>
                <w:szCs w:val="21"/>
              </w:rPr>
              <w:t>400</w:t>
            </w:r>
            <w:r w:rsidRPr="008635FB">
              <w:rPr>
                <w:rFonts w:ascii="Arial" w:hAnsi="Arial" w:cs="Arial" w:hint="eastAsia"/>
                <w:szCs w:val="21"/>
              </w:rPr>
              <w:t>－</w:t>
            </w:r>
            <w:r w:rsidRPr="008635FB">
              <w:rPr>
                <w:rFonts w:ascii="Arial" w:hAnsi="Arial" w:cs="Arial" w:hint="eastAsia"/>
                <w:szCs w:val="21"/>
              </w:rPr>
              <w:t>821</w:t>
            </w:r>
            <w:r w:rsidRPr="008635FB">
              <w:rPr>
                <w:rFonts w:ascii="Arial" w:hAnsi="Arial" w:cs="Arial" w:hint="eastAsia"/>
                <w:szCs w:val="21"/>
              </w:rPr>
              <w:t>－</w:t>
            </w:r>
            <w:r w:rsidRPr="008635FB">
              <w:rPr>
                <w:rFonts w:ascii="Arial" w:hAnsi="Arial" w:cs="Arial" w:hint="eastAsia"/>
                <w:szCs w:val="21"/>
              </w:rPr>
              <w:t xml:space="preserve">5399 </w:t>
            </w:r>
          </w:p>
          <w:p w14:paraId="18964F35" w14:textId="77777777" w:rsidR="007E10F1" w:rsidRPr="008339E7" w:rsidRDefault="007E10F1" w:rsidP="006B50F9">
            <w:pPr>
              <w:widowControl/>
              <w:spacing w:line="360" w:lineRule="auto"/>
              <w:jc w:val="left"/>
              <w:rPr>
                <w:rFonts w:ascii="Arial" w:hAnsi="Arial" w:cs="Arial"/>
                <w:color w:val="000000"/>
                <w:kern w:val="0"/>
                <w:szCs w:val="21"/>
              </w:rPr>
            </w:pPr>
            <w:r w:rsidRPr="008635FB">
              <w:rPr>
                <w:rFonts w:ascii="Arial" w:hAnsi="Arial" w:cs="Arial" w:hint="eastAsia"/>
                <w:szCs w:val="21"/>
              </w:rPr>
              <w:t>网址：</w:t>
            </w:r>
            <w:r w:rsidRPr="008635FB">
              <w:rPr>
                <w:rFonts w:ascii="Arial" w:hAnsi="Arial" w:cs="Arial" w:hint="eastAsia"/>
                <w:szCs w:val="21"/>
              </w:rPr>
              <w:t>www.noah-fund.com</w:t>
            </w:r>
          </w:p>
        </w:tc>
      </w:tr>
      <w:tr w:rsidR="007E10F1" w14:paraId="09FD8AE8" w14:textId="77777777" w:rsidTr="007E10F1">
        <w:tc>
          <w:tcPr>
            <w:tcW w:w="1526" w:type="dxa"/>
          </w:tcPr>
          <w:p w14:paraId="3AC7620D"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t>40</w:t>
            </w:r>
          </w:p>
        </w:tc>
        <w:tc>
          <w:tcPr>
            <w:tcW w:w="2527" w:type="dxa"/>
          </w:tcPr>
          <w:p w14:paraId="0E096FB5"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上海凯石财富基金销售有限公司</w:t>
            </w:r>
          </w:p>
        </w:tc>
        <w:tc>
          <w:tcPr>
            <w:tcW w:w="4560" w:type="dxa"/>
          </w:tcPr>
          <w:p w14:paraId="1B0F2436" w14:textId="77777777" w:rsidR="007E10F1" w:rsidRPr="002E41B3" w:rsidRDefault="007E10F1" w:rsidP="006B50F9">
            <w:pPr>
              <w:spacing w:before="100" w:beforeAutospacing="1" w:after="100" w:afterAutospacing="1" w:line="240" w:lineRule="exact"/>
              <w:rPr>
                <w:color w:val="000000"/>
              </w:rPr>
            </w:pPr>
            <w:r w:rsidRPr="002E41B3">
              <w:rPr>
                <w:rFonts w:ascii="宋体" w:hAnsi="宋体" w:hint="eastAsia"/>
                <w:color w:val="000000"/>
              </w:rPr>
              <w:t>注册地址：</w:t>
            </w:r>
            <w:r w:rsidRPr="002E41B3">
              <w:rPr>
                <w:rFonts w:hint="eastAsia"/>
                <w:color w:val="000000"/>
              </w:rPr>
              <w:t>上海市黄浦区西藏南路</w:t>
            </w:r>
            <w:r w:rsidRPr="002E41B3">
              <w:rPr>
                <w:color w:val="000000"/>
              </w:rPr>
              <w:t>765</w:t>
            </w:r>
            <w:r w:rsidRPr="002E41B3">
              <w:rPr>
                <w:rFonts w:hint="eastAsia"/>
                <w:color w:val="000000"/>
              </w:rPr>
              <w:t>号</w:t>
            </w:r>
            <w:r w:rsidRPr="002E41B3">
              <w:rPr>
                <w:color w:val="000000"/>
              </w:rPr>
              <w:t>602-115</w:t>
            </w:r>
            <w:r w:rsidRPr="002E41B3">
              <w:rPr>
                <w:rFonts w:hint="eastAsia"/>
                <w:color w:val="000000"/>
              </w:rPr>
              <w:t>室</w:t>
            </w:r>
          </w:p>
          <w:p w14:paraId="2EECDA99" w14:textId="77777777" w:rsidR="007E10F1" w:rsidRDefault="007E10F1" w:rsidP="006B50F9">
            <w:pPr>
              <w:widowControl/>
              <w:spacing w:line="360" w:lineRule="auto"/>
              <w:jc w:val="left"/>
              <w:rPr>
                <w:color w:val="000000"/>
              </w:rPr>
            </w:pPr>
            <w:r w:rsidRPr="002E41B3">
              <w:rPr>
                <w:rFonts w:ascii="宋体" w:hAnsi="宋体" w:hint="eastAsia"/>
                <w:color w:val="000000"/>
              </w:rPr>
              <w:t>办公地址：</w:t>
            </w:r>
            <w:r w:rsidRPr="002E41B3">
              <w:rPr>
                <w:rFonts w:hint="eastAsia"/>
                <w:color w:val="000000"/>
              </w:rPr>
              <w:t>上海市黄浦区延安东路</w:t>
            </w:r>
            <w:r w:rsidRPr="002E41B3">
              <w:rPr>
                <w:color w:val="000000"/>
              </w:rPr>
              <w:t>1</w:t>
            </w:r>
            <w:r w:rsidRPr="002E41B3">
              <w:rPr>
                <w:rFonts w:hint="eastAsia"/>
                <w:color w:val="000000"/>
              </w:rPr>
              <w:t>号凯石大厦</w:t>
            </w:r>
            <w:r w:rsidRPr="002E41B3">
              <w:rPr>
                <w:color w:val="000000"/>
              </w:rPr>
              <w:t>4</w:t>
            </w:r>
            <w:r w:rsidRPr="002E41B3">
              <w:rPr>
                <w:rFonts w:hint="eastAsia"/>
                <w:color w:val="000000"/>
              </w:rPr>
              <w:t>楼</w:t>
            </w:r>
          </w:p>
          <w:p w14:paraId="4F8AF526" w14:textId="77777777" w:rsidR="007E10F1" w:rsidRPr="002E41B3" w:rsidRDefault="007E10F1" w:rsidP="006B50F9">
            <w:pPr>
              <w:spacing w:before="100" w:beforeAutospacing="1" w:after="100" w:afterAutospacing="1" w:line="240" w:lineRule="exact"/>
              <w:rPr>
                <w:color w:val="000000"/>
              </w:rPr>
            </w:pPr>
            <w:r w:rsidRPr="002E41B3">
              <w:rPr>
                <w:rFonts w:ascii="宋体" w:hAnsi="宋体" w:hint="eastAsia"/>
                <w:color w:val="000000"/>
              </w:rPr>
              <w:lastRenderedPageBreak/>
              <w:t>客户服务电话：</w:t>
            </w:r>
            <w:r w:rsidRPr="002E41B3">
              <w:rPr>
                <w:color w:val="000000"/>
              </w:rPr>
              <w:t>400</w:t>
            </w:r>
            <w:r>
              <w:rPr>
                <w:rFonts w:hint="eastAsia"/>
                <w:color w:val="000000"/>
              </w:rPr>
              <w:t>6433389</w:t>
            </w:r>
          </w:p>
          <w:p w14:paraId="20EB9D48" w14:textId="77777777" w:rsidR="007E10F1" w:rsidRDefault="007E10F1" w:rsidP="006B50F9">
            <w:pPr>
              <w:widowControl/>
              <w:spacing w:line="360" w:lineRule="auto"/>
              <w:jc w:val="left"/>
              <w:rPr>
                <w:rFonts w:ascii="Arial" w:hAnsi="Arial" w:cs="Arial"/>
                <w:color w:val="000000"/>
                <w:kern w:val="0"/>
                <w:szCs w:val="21"/>
              </w:rPr>
            </w:pPr>
            <w:r w:rsidRPr="002E41B3">
              <w:rPr>
                <w:rFonts w:ascii="宋体" w:hAnsi="宋体" w:hint="eastAsia"/>
                <w:color w:val="000000"/>
              </w:rPr>
              <w:t>网址：</w:t>
            </w:r>
            <w:hyperlink r:id="rId27" w:history="1">
              <w:r>
                <w:rPr>
                  <w:rStyle w:val="af6"/>
                  <w:rFonts w:ascii="微软雅黑" w:eastAsia="微软雅黑" w:hAnsi="微软雅黑" w:hint="eastAsia"/>
                  <w:szCs w:val="21"/>
                </w:rPr>
                <w:t>www.vstonewealth.com</w:t>
              </w:r>
            </w:hyperlink>
          </w:p>
        </w:tc>
      </w:tr>
      <w:tr w:rsidR="007E10F1" w:rsidRPr="002D62B6" w14:paraId="14C196DF" w14:textId="77777777" w:rsidTr="007E10F1">
        <w:tc>
          <w:tcPr>
            <w:tcW w:w="1526" w:type="dxa"/>
          </w:tcPr>
          <w:p w14:paraId="5EC69F26" w14:textId="77777777" w:rsidR="007E10F1" w:rsidRDefault="007E10F1" w:rsidP="006B50F9">
            <w:pPr>
              <w:spacing w:line="360" w:lineRule="auto"/>
              <w:jc w:val="center"/>
              <w:rPr>
                <w:rFonts w:ascii="宋体" w:hAnsi="宋体"/>
                <w:color w:val="000000"/>
                <w:kern w:val="0"/>
                <w:sz w:val="24"/>
              </w:rPr>
            </w:pPr>
            <w:r>
              <w:rPr>
                <w:rFonts w:ascii="宋体" w:hAnsi="宋体" w:hint="eastAsia"/>
                <w:color w:val="000000"/>
                <w:kern w:val="0"/>
                <w:sz w:val="24"/>
              </w:rPr>
              <w:lastRenderedPageBreak/>
              <w:t>41</w:t>
            </w:r>
          </w:p>
        </w:tc>
        <w:tc>
          <w:tcPr>
            <w:tcW w:w="2527" w:type="dxa"/>
          </w:tcPr>
          <w:p w14:paraId="04D46FD7" w14:textId="77777777" w:rsidR="007E10F1" w:rsidRPr="008339E7" w:rsidRDefault="007E10F1" w:rsidP="006B50F9">
            <w:pPr>
              <w:spacing w:line="360" w:lineRule="auto"/>
              <w:jc w:val="center"/>
              <w:rPr>
                <w:rFonts w:ascii="宋体" w:hAnsi="宋体"/>
                <w:color w:val="000000" w:themeColor="text1"/>
                <w:szCs w:val="21"/>
              </w:rPr>
            </w:pPr>
            <w:r w:rsidRPr="008339E7">
              <w:rPr>
                <w:rFonts w:ascii="宋体" w:hAnsi="宋体" w:hint="eastAsia"/>
                <w:color w:val="000000" w:themeColor="text1"/>
                <w:szCs w:val="21"/>
              </w:rPr>
              <w:t>泰信财富基金销售有限公司</w:t>
            </w:r>
          </w:p>
        </w:tc>
        <w:tc>
          <w:tcPr>
            <w:tcW w:w="4560" w:type="dxa"/>
          </w:tcPr>
          <w:p w14:paraId="64D34852" w14:textId="77777777" w:rsidR="007E10F1"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注册(办公)地址：</w:t>
            </w:r>
            <w:r w:rsidRPr="00BA2C2B" w:rsidDel="00BA2C2B">
              <w:rPr>
                <w:rFonts w:ascii="宋体" w:hAnsi="宋体" w:cs="Calibri" w:hint="eastAsia"/>
                <w:color w:val="000000"/>
                <w:kern w:val="0"/>
                <w:szCs w:val="21"/>
              </w:rPr>
              <w:t xml:space="preserve"> </w:t>
            </w:r>
            <w:r w:rsidRPr="00C66D14">
              <w:rPr>
                <w:rFonts w:ascii="宋体" w:hAnsi="宋体" w:cs="Calibri" w:hint="eastAsia"/>
                <w:color w:val="000000"/>
                <w:kern w:val="0"/>
                <w:szCs w:val="21"/>
              </w:rPr>
              <w:t>北京市朝阳区建国路甲92号世贸大厦C座18层</w:t>
            </w:r>
          </w:p>
          <w:p w14:paraId="188A5AFE" w14:textId="77777777" w:rsidR="007E10F1" w:rsidRPr="00EA291B"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客户服务电话：</w:t>
            </w:r>
            <w:r w:rsidRPr="00CF34E7">
              <w:rPr>
                <w:rFonts w:ascii="宋体" w:hAnsi="宋体" w:cs="Calibri"/>
                <w:color w:val="000000"/>
                <w:kern w:val="0"/>
                <w:szCs w:val="21"/>
              </w:rPr>
              <w:t>400-004-8821</w:t>
            </w:r>
          </w:p>
          <w:p w14:paraId="0ED176A7" w14:textId="77777777" w:rsidR="007E10F1" w:rsidRPr="002D62B6" w:rsidRDefault="007E10F1" w:rsidP="006B50F9">
            <w:pPr>
              <w:widowControl/>
              <w:spacing w:line="360" w:lineRule="auto"/>
              <w:jc w:val="left"/>
              <w:rPr>
                <w:rFonts w:ascii="宋体" w:hAnsi="宋体" w:cs="Calibri"/>
                <w:color w:val="000000"/>
                <w:kern w:val="0"/>
                <w:szCs w:val="21"/>
              </w:rPr>
            </w:pPr>
            <w:r w:rsidRPr="00EA291B">
              <w:rPr>
                <w:rFonts w:ascii="宋体" w:hAnsi="宋体" w:cs="Calibri" w:hint="eastAsia"/>
                <w:color w:val="000000"/>
                <w:kern w:val="0"/>
                <w:szCs w:val="21"/>
              </w:rPr>
              <w:t>网址：</w:t>
            </w:r>
            <w:r w:rsidRPr="00BA2C2B" w:rsidDel="00BA2C2B">
              <w:rPr>
                <w:rFonts w:ascii="宋体" w:hAnsi="宋体" w:cs="Calibri"/>
                <w:color w:val="000000"/>
                <w:kern w:val="0"/>
                <w:szCs w:val="21"/>
              </w:rPr>
              <w:t xml:space="preserve"> </w:t>
            </w:r>
            <w:r w:rsidRPr="00CF34E7">
              <w:rPr>
                <w:rFonts w:ascii="宋体" w:hAnsi="宋体" w:cs="Calibri"/>
                <w:color w:val="000000"/>
                <w:kern w:val="0"/>
                <w:szCs w:val="21"/>
              </w:rPr>
              <w:t>www.hxlc.com</w:t>
            </w:r>
          </w:p>
        </w:tc>
      </w:tr>
    </w:tbl>
    <w:p w14:paraId="0047B62D" w14:textId="77777777" w:rsidR="007E10F1" w:rsidRPr="00D5758C" w:rsidRDefault="007E10F1">
      <w:pPr>
        <w:spacing w:line="360" w:lineRule="auto"/>
        <w:rPr>
          <w:rFonts w:ascii="宋体" w:hAnsi="宋体"/>
          <w:color w:val="000000"/>
          <w:kern w:val="0"/>
          <w:sz w:val="24"/>
        </w:rPr>
      </w:pPr>
    </w:p>
    <w:p w14:paraId="5A248808" w14:textId="77777777" w:rsidR="00D04107" w:rsidRDefault="000C2DB0">
      <w:pPr>
        <w:spacing w:line="360" w:lineRule="auto"/>
        <w:ind w:firstLineChars="200" w:firstLine="480"/>
        <w:rPr>
          <w:rFonts w:ascii="宋体" w:hAnsi="宋体"/>
          <w:color w:val="000000"/>
          <w:kern w:val="0"/>
          <w:sz w:val="24"/>
        </w:rPr>
      </w:pPr>
      <w:bookmarkStart w:id="28" w:name="_Toc88969235"/>
      <w:r>
        <w:rPr>
          <w:rFonts w:ascii="宋体" w:hAnsi="宋体" w:hint="eastAsia"/>
          <w:color w:val="000000"/>
          <w:kern w:val="0"/>
          <w:sz w:val="24"/>
        </w:rPr>
        <w:t>（二）</w:t>
      </w:r>
      <w:bookmarkEnd w:id="28"/>
      <w:r>
        <w:rPr>
          <w:rFonts w:ascii="宋体" w:hAnsi="宋体" w:hint="eastAsia"/>
          <w:color w:val="000000"/>
          <w:kern w:val="0"/>
          <w:sz w:val="24"/>
        </w:rPr>
        <w:t>登记机构</w:t>
      </w:r>
    </w:p>
    <w:p w14:paraId="468370C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名称：富荣基金管理有限公司 </w:t>
      </w:r>
    </w:p>
    <w:p w14:paraId="3B8A4A4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住所：广东省广州市南沙区海滨路171号南沙金融大厦11楼1101之一J20 </w:t>
      </w:r>
    </w:p>
    <w:p w14:paraId="435134C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1D638B98" w14:textId="29D99433"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w:t>
      </w:r>
      <w:r w:rsidR="00F93951">
        <w:rPr>
          <w:rFonts w:ascii="宋体" w:hAnsi="宋体" w:hint="eastAsia"/>
          <w:color w:val="000000"/>
          <w:kern w:val="0"/>
          <w:sz w:val="24"/>
        </w:rPr>
        <w:t>杨小舟</w:t>
      </w:r>
      <w:r>
        <w:rPr>
          <w:rFonts w:ascii="宋体" w:hAnsi="宋体" w:hint="eastAsia"/>
          <w:color w:val="000000"/>
          <w:kern w:val="0"/>
          <w:sz w:val="24"/>
        </w:rPr>
        <w:t xml:space="preserve"> </w:t>
      </w:r>
    </w:p>
    <w:p w14:paraId="0EEF08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联系人：黄文飞</w:t>
      </w:r>
    </w:p>
    <w:p w14:paraId="0312FA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 0755-843566</w:t>
      </w:r>
      <w:r>
        <w:rPr>
          <w:rFonts w:ascii="宋体" w:hAnsi="宋体"/>
          <w:color w:val="000000"/>
          <w:kern w:val="0"/>
          <w:sz w:val="24"/>
        </w:rPr>
        <w:t>04</w:t>
      </w:r>
    </w:p>
    <w:p w14:paraId="0A2604C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 0755-83230787</w:t>
      </w:r>
    </w:p>
    <w:p w14:paraId="6F9102CE" w14:textId="77777777" w:rsidR="00D04107" w:rsidRDefault="000C2DB0">
      <w:pPr>
        <w:spacing w:line="360" w:lineRule="auto"/>
        <w:ind w:firstLineChars="200" w:firstLine="480"/>
        <w:rPr>
          <w:rFonts w:ascii="宋体" w:hAnsi="宋体"/>
          <w:color w:val="000000"/>
          <w:kern w:val="0"/>
          <w:sz w:val="24"/>
        </w:rPr>
      </w:pPr>
      <w:bookmarkStart w:id="29" w:name="_Toc88969236"/>
      <w:r>
        <w:rPr>
          <w:rFonts w:ascii="宋体" w:hAnsi="宋体" w:hint="eastAsia"/>
          <w:color w:val="000000"/>
          <w:kern w:val="0"/>
          <w:sz w:val="24"/>
        </w:rPr>
        <w:t>（三）出具法律意见书的律师事务所</w:t>
      </w:r>
      <w:bookmarkEnd w:id="29"/>
    </w:p>
    <w:p w14:paraId="29258D7E" w14:textId="77777777" w:rsidR="00D04107" w:rsidRDefault="000C2DB0">
      <w:pPr>
        <w:spacing w:line="360" w:lineRule="auto"/>
        <w:ind w:firstLineChars="200" w:firstLine="480"/>
        <w:rPr>
          <w:rFonts w:ascii="宋体" w:hAnsi="宋体"/>
          <w:color w:val="000000"/>
          <w:kern w:val="0"/>
          <w:sz w:val="24"/>
        </w:rPr>
      </w:pPr>
      <w:bookmarkStart w:id="30" w:name="_Toc88969237"/>
      <w:r>
        <w:rPr>
          <w:rFonts w:ascii="宋体" w:hAnsi="宋体" w:hint="eastAsia"/>
          <w:color w:val="000000"/>
          <w:kern w:val="0"/>
          <w:sz w:val="24"/>
        </w:rPr>
        <w:t>名称：上海市通力律师事务所</w:t>
      </w:r>
    </w:p>
    <w:p w14:paraId="20B1DE4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住所：上海市银城中路68号时代金融中心19楼</w:t>
      </w:r>
    </w:p>
    <w:p w14:paraId="62A96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办公地址：上海市银城中路68号时代金融中心19楼</w:t>
      </w:r>
    </w:p>
    <w:p w14:paraId="175141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负责人：俞卫锋</w:t>
      </w:r>
    </w:p>
    <w:p w14:paraId="23534E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电话：021-31358666</w:t>
      </w:r>
    </w:p>
    <w:p w14:paraId="4DED79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传真：021-31358600</w:t>
      </w:r>
    </w:p>
    <w:p w14:paraId="2A6AD4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经办律师：安冬 陆奇</w:t>
      </w:r>
    </w:p>
    <w:p w14:paraId="5F5CCD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联系人： 安冬</w:t>
      </w:r>
    </w:p>
    <w:p w14:paraId="06466634" w14:textId="77777777" w:rsidR="00D04107" w:rsidRDefault="000C2DB0">
      <w:pPr>
        <w:adjustRightInd w:val="0"/>
        <w:snapToGrid w:val="0"/>
        <w:spacing w:line="360" w:lineRule="auto"/>
        <w:ind w:firstLineChars="200" w:firstLine="480"/>
        <w:rPr>
          <w:rFonts w:ascii="宋体" w:hAnsi="宋体"/>
          <w:color w:val="000000"/>
          <w:kern w:val="0"/>
          <w:sz w:val="24"/>
        </w:rPr>
      </w:pPr>
      <w:r>
        <w:rPr>
          <w:rFonts w:ascii="宋体" w:hAnsi="宋体" w:hint="eastAsia"/>
          <w:color w:val="000000"/>
          <w:kern w:val="0"/>
          <w:sz w:val="24"/>
        </w:rPr>
        <w:t>（四）会计师事务所和经办注册会计师</w:t>
      </w:r>
      <w:bookmarkEnd w:id="30"/>
    </w:p>
    <w:p w14:paraId="55CB9369" w14:textId="77777777" w:rsidR="00D04107" w:rsidRDefault="000C2DB0">
      <w:pPr>
        <w:adjustRightInd w:val="0"/>
        <w:snapToGrid w:val="0"/>
        <w:spacing w:line="360" w:lineRule="auto"/>
        <w:rPr>
          <w:rFonts w:ascii="宋体" w:hAnsi="宋体"/>
          <w:color w:val="000000"/>
          <w:sz w:val="24"/>
        </w:rPr>
      </w:pPr>
      <w:r>
        <w:rPr>
          <w:rFonts w:ascii="宋体" w:hAnsi="宋体" w:hint="eastAsia"/>
          <w:color w:val="000000"/>
          <w:sz w:val="24"/>
        </w:rPr>
        <w:t xml:space="preserve">    名称：</w:t>
      </w:r>
      <w:r w:rsidR="00352B71" w:rsidRPr="00352B71">
        <w:rPr>
          <w:rFonts w:ascii="宋体" w:hAnsi="宋体" w:hint="eastAsia"/>
          <w:color w:val="000000"/>
          <w:sz w:val="24"/>
        </w:rPr>
        <w:t>安永华明会计师事务所</w:t>
      </w:r>
      <w:r>
        <w:rPr>
          <w:rFonts w:ascii="宋体" w:hAnsi="宋体" w:hint="eastAsia"/>
          <w:color w:val="000000"/>
          <w:sz w:val="24"/>
        </w:rPr>
        <w:t>（特殊普通合伙）</w:t>
      </w:r>
    </w:p>
    <w:p w14:paraId="7DE2F7A9"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住所：</w:t>
      </w:r>
      <w:r w:rsidR="006913C4" w:rsidRPr="006913C4">
        <w:rPr>
          <w:rFonts w:ascii="宋体" w:hAnsi="宋体" w:hint="eastAsia"/>
          <w:color w:val="000000"/>
          <w:sz w:val="24"/>
        </w:rPr>
        <w:t>中国北京市东城区东长安街1号东方广场安永大楼16层</w:t>
      </w:r>
    </w:p>
    <w:p w14:paraId="07440A68"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lastRenderedPageBreak/>
        <w:t>办公地址：</w:t>
      </w:r>
      <w:r w:rsidR="006913C4" w:rsidRPr="006913C4">
        <w:rPr>
          <w:rFonts w:ascii="宋体" w:hAnsi="宋体" w:hint="eastAsia"/>
          <w:color w:val="000000"/>
          <w:sz w:val="24"/>
        </w:rPr>
        <w:t>中国北京市东城区东长安街1号东方广场安永大楼16层</w:t>
      </w:r>
    </w:p>
    <w:p w14:paraId="584FDC92"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法定代表人：</w:t>
      </w:r>
      <w:r w:rsidR="006913C4" w:rsidRPr="006913C4">
        <w:rPr>
          <w:rFonts w:ascii="宋体" w:hAnsi="宋体" w:hint="eastAsia"/>
          <w:color w:val="000000"/>
          <w:sz w:val="24"/>
        </w:rPr>
        <w:t>毛鞍宁</w:t>
      </w:r>
    </w:p>
    <w:p w14:paraId="0ACDAE00"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电话：</w:t>
      </w:r>
      <w:r w:rsidR="006913C4" w:rsidRPr="006913C4">
        <w:rPr>
          <w:rFonts w:ascii="宋体" w:hAnsi="宋体"/>
          <w:color w:val="000000"/>
          <w:sz w:val="24"/>
        </w:rPr>
        <w:t>+86 10 58153000</w:t>
      </w:r>
    </w:p>
    <w:p w14:paraId="0F98EB21"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传真：</w:t>
      </w:r>
      <w:r w:rsidR="006913C4" w:rsidRPr="006913C4">
        <w:rPr>
          <w:rFonts w:ascii="宋体" w:hAnsi="宋体"/>
          <w:color w:val="000000"/>
          <w:sz w:val="24"/>
        </w:rPr>
        <w:t>+86 10 85188298</w:t>
      </w:r>
    </w:p>
    <w:p w14:paraId="7880FC25"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签字注册会计师：</w:t>
      </w:r>
      <w:r w:rsidR="006913C4" w:rsidRPr="006913C4">
        <w:rPr>
          <w:rFonts w:ascii="宋体" w:hAnsi="宋体" w:hint="eastAsia"/>
          <w:color w:val="000000"/>
          <w:sz w:val="24"/>
        </w:rPr>
        <w:t>吴翠蓉  高鹤</w:t>
      </w:r>
    </w:p>
    <w:p w14:paraId="07560943" w14:textId="77777777" w:rsidR="00D04107" w:rsidRDefault="000C2DB0" w:rsidP="000C2DB0">
      <w:pPr>
        <w:adjustRightInd w:val="0"/>
        <w:snapToGrid w:val="0"/>
        <w:spacing w:line="360" w:lineRule="auto"/>
        <w:ind w:firstLineChars="177" w:firstLine="425"/>
        <w:rPr>
          <w:rFonts w:ascii="宋体" w:hAnsi="宋体"/>
          <w:color w:val="000000"/>
          <w:sz w:val="24"/>
        </w:rPr>
      </w:pPr>
      <w:r>
        <w:rPr>
          <w:rFonts w:ascii="宋体" w:hAnsi="宋体" w:hint="eastAsia"/>
          <w:color w:val="000000"/>
          <w:sz w:val="24"/>
        </w:rPr>
        <w:t>联系人：</w:t>
      </w:r>
      <w:r w:rsidR="006913C4" w:rsidRPr="006913C4">
        <w:rPr>
          <w:rFonts w:ascii="宋体" w:hAnsi="宋体" w:hint="eastAsia"/>
          <w:color w:val="000000"/>
          <w:sz w:val="24"/>
        </w:rPr>
        <w:t>吴翠蓉</w:t>
      </w:r>
    </w:p>
    <w:p w14:paraId="0AADFF86" w14:textId="77777777" w:rsidR="00D04107" w:rsidRDefault="00D04107">
      <w:pPr>
        <w:adjustRightInd w:val="0"/>
        <w:snapToGrid w:val="0"/>
        <w:spacing w:line="360" w:lineRule="auto"/>
        <w:rPr>
          <w:rFonts w:ascii="宋体" w:hAnsi="宋体"/>
          <w:bCs/>
          <w:color w:val="000000"/>
          <w:sz w:val="24"/>
          <w:szCs w:val="20"/>
        </w:rPr>
      </w:pPr>
    </w:p>
    <w:p w14:paraId="5030634A" w14:textId="77777777" w:rsidR="00D04107" w:rsidRDefault="000C2DB0" w:rsidP="00C63E23">
      <w:pPr>
        <w:pStyle w:val="1"/>
        <w:spacing w:line="360" w:lineRule="auto"/>
        <w:jc w:val="center"/>
        <w:rPr>
          <w:rFonts w:ascii="宋体" w:hAnsi="宋体"/>
          <w:color w:val="000000"/>
          <w:kern w:val="0"/>
          <w:sz w:val="24"/>
          <w:szCs w:val="24"/>
        </w:rPr>
      </w:pPr>
      <w:r>
        <w:rPr>
          <w:rFonts w:cs="Arial"/>
        </w:rPr>
        <w:br w:type="page"/>
      </w:r>
      <w:bookmarkStart w:id="31" w:name="_Toc482624795"/>
      <w:bookmarkStart w:id="32" w:name="_Toc21861"/>
      <w:bookmarkStart w:id="33" w:name="_Toc28223"/>
      <w:bookmarkStart w:id="34" w:name="_Toc256666795"/>
      <w:bookmarkStart w:id="35" w:name="_Toc256666915"/>
      <w:r>
        <w:rPr>
          <w:rFonts w:ascii="宋体" w:hAnsi="宋体" w:hint="eastAsia"/>
          <w:color w:val="000000"/>
          <w:kern w:val="0"/>
          <w:sz w:val="24"/>
          <w:szCs w:val="24"/>
        </w:rPr>
        <w:lastRenderedPageBreak/>
        <w:t>第六部分  基金的募集</w:t>
      </w:r>
      <w:bookmarkStart w:id="36" w:name="_Toc88969239"/>
      <w:bookmarkEnd w:id="31"/>
      <w:bookmarkEnd w:id="32"/>
      <w:bookmarkEnd w:id="33"/>
      <w:bookmarkEnd w:id="34"/>
      <w:bookmarkEnd w:id="35"/>
    </w:p>
    <w:bookmarkEnd w:id="36"/>
    <w:p w14:paraId="6B5DDC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本基金由基金管理人依照《基金法》、《运作办法》、《销售办法》、《信息披露办法》、《基金合同》及其它法律法规的有关规定，经201</w:t>
      </w:r>
      <w:r>
        <w:rPr>
          <w:rFonts w:ascii="宋体" w:hAnsi="宋体"/>
          <w:color w:val="000000"/>
          <w:kern w:val="0"/>
          <w:sz w:val="24"/>
        </w:rPr>
        <w:t>6</w:t>
      </w:r>
      <w:r>
        <w:rPr>
          <w:rFonts w:ascii="宋体" w:hAnsi="宋体" w:hint="eastAsia"/>
          <w:color w:val="000000"/>
          <w:kern w:val="0"/>
          <w:sz w:val="24"/>
        </w:rPr>
        <w:t>年</w:t>
      </w:r>
      <w:r>
        <w:rPr>
          <w:rFonts w:ascii="宋体" w:hAnsi="宋体"/>
          <w:color w:val="000000"/>
          <w:kern w:val="0"/>
          <w:sz w:val="24"/>
        </w:rPr>
        <w:t>9</w:t>
      </w:r>
      <w:r>
        <w:rPr>
          <w:rFonts w:ascii="宋体" w:hAnsi="宋体" w:hint="eastAsia"/>
          <w:color w:val="000000"/>
          <w:kern w:val="0"/>
          <w:sz w:val="24"/>
        </w:rPr>
        <w:t>月</w:t>
      </w:r>
      <w:r>
        <w:rPr>
          <w:rFonts w:ascii="宋体" w:hAnsi="宋体"/>
          <w:color w:val="000000"/>
          <w:kern w:val="0"/>
          <w:sz w:val="24"/>
        </w:rPr>
        <w:t>20</w:t>
      </w:r>
      <w:r>
        <w:rPr>
          <w:rFonts w:ascii="宋体" w:hAnsi="宋体" w:hint="eastAsia"/>
          <w:color w:val="000000"/>
          <w:kern w:val="0"/>
          <w:sz w:val="24"/>
        </w:rPr>
        <w:t>日中国证监会证监许可【201</w:t>
      </w:r>
      <w:r>
        <w:rPr>
          <w:rFonts w:ascii="宋体" w:hAnsi="宋体"/>
          <w:color w:val="000000"/>
          <w:kern w:val="0"/>
          <w:sz w:val="24"/>
        </w:rPr>
        <w:t>6</w:t>
      </w:r>
      <w:r>
        <w:rPr>
          <w:rFonts w:ascii="宋体" w:hAnsi="宋体" w:hint="eastAsia"/>
          <w:color w:val="000000"/>
          <w:kern w:val="0"/>
          <w:sz w:val="24"/>
        </w:rPr>
        <w:t>】</w:t>
      </w:r>
      <w:r>
        <w:rPr>
          <w:rFonts w:ascii="宋体" w:hAnsi="宋体"/>
          <w:color w:val="000000"/>
          <w:kern w:val="0"/>
          <w:sz w:val="24"/>
        </w:rPr>
        <w:t>2153</w:t>
      </w:r>
      <w:r>
        <w:rPr>
          <w:rFonts w:ascii="宋体" w:hAnsi="宋体" w:hint="eastAsia"/>
          <w:color w:val="000000"/>
          <w:kern w:val="0"/>
          <w:sz w:val="24"/>
        </w:rPr>
        <w:t>号文准予募集。 于</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2月1日起通过各销售机构向社会公开募集，截至</w:t>
      </w:r>
      <w:r>
        <w:rPr>
          <w:rFonts w:ascii="宋体" w:hAnsi="宋体"/>
          <w:color w:val="000000"/>
          <w:kern w:val="0"/>
          <w:sz w:val="24"/>
        </w:rPr>
        <w:t>201</w:t>
      </w:r>
      <w:r>
        <w:rPr>
          <w:rFonts w:ascii="宋体" w:hAnsi="宋体" w:hint="eastAsia"/>
          <w:color w:val="000000"/>
          <w:kern w:val="0"/>
          <w:sz w:val="24"/>
        </w:rPr>
        <w:t>6年</w:t>
      </w:r>
      <w:r>
        <w:rPr>
          <w:rFonts w:ascii="宋体" w:hAnsi="宋体"/>
          <w:color w:val="000000"/>
          <w:kern w:val="0"/>
          <w:sz w:val="24"/>
        </w:rPr>
        <w:t>1</w:t>
      </w:r>
      <w:r>
        <w:rPr>
          <w:rFonts w:ascii="宋体" w:hAnsi="宋体" w:hint="eastAsia"/>
          <w:color w:val="000000"/>
          <w:kern w:val="0"/>
          <w:sz w:val="24"/>
        </w:rPr>
        <w:t>2月21日，基金募集工作已顺利结束。</w:t>
      </w:r>
    </w:p>
    <w:p w14:paraId="0AEBC8C4" w14:textId="77777777" w:rsidR="00D04107" w:rsidRDefault="00D04107">
      <w:pPr>
        <w:spacing w:line="360" w:lineRule="auto"/>
        <w:ind w:firstLineChars="200" w:firstLine="480"/>
        <w:rPr>
          <w:rFonts w:ascii="宋体" w:hAnsi="宋体"/>
          <w:color w:val="000000"/>
          <w:kern w:val="0"/>
          <w:sz w:val="24"/>
        </w:rPr>
      </w:pPr>
    </w:p>
    <w:p w14:paraId="1281AE18" w14:textId="77777777" w:rsidR="00D04107" w:rsidRDefault="00D04107" w:rsidP="000C2DB0">
      <w:pPr>
        <w:spacing w:line="360" w:lineRule="auto"/>
        <w:ind w:firstLineChars="177" w:firstLine="425"/>
        <w:rPr>
          <w:rFonts w:ascii="宋体" w:hAnsi="宋体"/>
          <w:color w:val="000000"/>
          <w:kern w:val="0"/>
          <w:sz w:val="24"/>
        </w:rPr>
      </w:pPr>
    </w:p>
    <w:p w14:paraId="14008C9D" w14:textId="77777777" w:rsidR="00D04107" w:rsidRDefault="000C2DB0">
      <w:pPr>
        <w:pStyle w:val="1"/>
        <w:spacing w:line="360" w:lineRule="auto"/>
        <w:jc w:val="center"/>
        <w:rPr>
          <w:rFonts w:ascii="宋体" w:hAnsi="宋体"/>
          <w:color w:val="000000"/>
          <w:kern w:val="0"/>
          <w:sz w:val="24"/>
          <w:szCs w:val="24"/>
        </w:rPr>
      </w:pPr>
      <w:bookmarkStart w:id="37" w:name="_Toc256666916"/>
      <w:bookmarkStart w:id="38" w:name="_Toc194043642"/>
      <w:bookmarkStart w:id="39" w:name="_Toc221612260"/>
      <w:bookmarkStart w:id="40" w:name="_Toc221612040"/>
      <w:bookmarkStart w:id="41" w:name="_Toc256666796"/>
      <w:r>
        <w:br w:type="page"/>
      </w:r>
      <w:bookmarkStart w:id="42" w:name="_Toc406"/>
      <w:bookmarkStart w:id="43" w:name="_Toc15792"/>
      <w:bookmarkStart w:id="44" w:name="_Toc482624796"/>
      <w:r>
        <w:rPr>
          <w:rFonts w:ascii="宋体" w:hAnsi="宋体" w:hint="eastAsia"/>
          <w:color w:val="000000"/>
          <w:kern w:val="0"/>
          <w:sz w:val="24"/>
          <w:szCs w:val="24"/>
        </w:rPr>
        <w:lastRenderedPageBreak/>
        <w:t>第七部分</w:t>
      </w:r>
      <w:r>
        <w:rPr>
          <w:rFonts w:ascii="宋体" w:hAnsi="宋体"/>
          <w:color w:val="000000"/>
          <w:kern w:val="0"/>
          <w:sz w:val="24"/>
          <w:szCs w:val="24"/>
        </w:rPr>
        <w:t xml:space="preserve">  </w:t>
      </w:r>
      <w:r>
        <w:rPr>
          <w:rFonts w:ascii="宋体" w:hAnsi="宋体" w:hint="eastAsia"/>
          <w:color w:val="000000"/>
          <w:kern w:val="0"/>
          <w:sz w:val="24"/>
          <w:szCs w:val="24"/>
        </w:rPr>
        <w:t>基金合同的生效</w:t>
      </w:r>
      <w:bookmarkEnd w:id="37"/>
      <w:bookmarkEnd w:id="38"/>
      <w:bookmarkEnd w:id="39"/>
      <w:bookmarkEnd w:id="40"/>
      <w:bookmarkEnd w:id="41"/>
      <w:bookmarkEnd w:id="42"/>
      <w:bookmarkEnd w:id="43"/>
      <w:bookmarkEnd w:id="44"/>
    </w:p>
    <w:p w14:paraId="741F17DB" w14:textId="77777777" w:rsidR="00D04107" w:rsidRDefault="000C2DB0">
      <w:pPr>
        <w:spacing w:line="360" w:lineRule="auto"/>
        <w:ind w:firstLineChars="200" w:firstLine="480"/>
        <w:rPr>
          <w:rFonts w:ascii="宋体" w:hAnsi="宋体"/>
          <w:color w:val="000000"/>
          <w:kern w:val="0"/>
          <w:sz w:val="24"/>
        </w:rPr>
      </w:pPr>
      <w:bookmarkStart w:id="45" w:name="_Toc15118260"/>
      <w:bookmarkStart w:id="46" w:name="_Toc79392603"/>
      <w:bookmarkStart w:id="47" w:name="_Toc88969251"/>
      <w:bookmarkStart w:id="48" w:name="_Toc57530272"/>
      <w:r>
        <w:rPr>
          <w:rFonts w:ascii="宋体" w:hAnsi="宋体" w:hint="eastAsia"/>
          <w:color w:val="000000"/>
          <w:kern w:val="0"/>
          <w:sz w:val="24"/>
        </w:rPr>
        <w:t>根据《基金法》、《运作办法》以及基金合同、招募说明书、基金份额发售公告的有关规定，本基金募集结果符合有关条件，本基金管理人于2016年12月26日向中国证监会办理完毕基金备案手续并已获书面确认，基金合同自该日期正式生效。自基金合同生效之日起，本基金管理人正式开始管理本基金。</w:t>
      </w:r>
    </w:p>
    <w:p w14:paraId="67E32EE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连续20个工作日出现基金份额持有人数量不满200人或者基金资产净值低于5000万元的，基金管理人应当在定期报告中予以披露；连续60个工作日出现前述情形的，基金管理人应当向中国证监会报告并提出解决方案，如转换运作方式、与其他基金合并或者终止基金合同等，并召开基金份额持有人大会进行表决。</w:t>
      </w:r>
    </w:p>
    <w:p w14:paraId="118C62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法律法规另有规定时，从其规定。</w:t>
      </w:r>
    </w:p>
    <w:p w14:paraId="51B5A7CF" w14:textId="77777777" w:rsidR="00D04107" w:rsidRDefault="00D04107">
      <w:pPr>
        <w:spacing w:line="360" w:lineRule="auto"/>
        <w:ind w:firstLineChars="200" w:firstLine="420"/>
        <w:rPr>
          <w:kern w:val="0"/>
        </w:rPr>
      </w:pPr>
      <w:bookmarkStart w:id="49" w:name="_Hlt88901063"/>
      <w:bookmarkStart w:id="50" w:name="_Hlt88829107"/>
      <w:bookmarkStart w:id="51" w:name="_Hlt88821597"/>
      <w:bookmarkStart w:id="52" w:name="_Toc240112314"/>
      <w:bookmarkStart w:id="53" w:name="_Toc256666797"/>
      <w:bookmarkStart w:id="54" w:name="_Toc256666917"/>
      <w:bookmarkEnd w:id="45"/>
      <w:bookmarkEnd w:id="46"/>
      <w:bookmarkEnd w:id="47"/>
      <w:bookmarkEnd w:id="48"/>
      <w:bookmarkEnd w:id="49"/>
      <w:bookmarkEnd w:id="50"/>
      <w:bookmarkEnd w:id="51"/>
    </w:p>
    <w:bookmarkEnd w:id="52"/>
    <w:p w14:paraId="40F3894A" w14:textId="77777777" w:rsidR="00D04107" w:rsidRDefault="00D04107">
      <w:pPr>
        <w:pStyle w:val="1"/>
        <w:spacing w:beforeLines="50" w:before="120" w:afterLines="50" w:after="120" w:line="360" w:lineRule="auto"/>
        <w:ind w:firstLine="420"/>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59E6B499" w14:textId="77777777" w:rsidR="00D04107" w:rsidRDefault="000C2DB0">
      <w:pPr>
        <w:pStyle w:val="1"/>
        <w:spacing w:line="360" w:lineRule="auto"/>
        <w:jc w:val="center"/>
        <w:rPr>
          <w:rFonts w:ascii="宋体" w:hAnsi="宋体"/>
          <w:color w:val="000000"/>
          <w:kern w:val="0"/>
          <w:sz w:val="24"/>
          <w:szCs w:val="24"/>
        </w:rPr>
      </w:pPr>
      <w:bookmarkStart w:id="55" w:name="_Toc8447"/>
      <w:bookmarkStart w:id="56" w:name="_Toc7369"/>
      <w:bookmarkStart w:id="57" w:name="_Toc482624797"/>
      <w:r>
        <w:rPr>
          <w:rFonts w:ascii="宋体" w:hAnsi="宋体" w:hint="eastAsia"/>
          <w:color w:val="000000"/>
          <w:kern w:val="0"/>
          <w:sz w:val="24"/>
          <w:szCs w:val="24"/>
        </w:rPr>
        <w:lastRenderedPageBreak/>
        <w:t>第八部分  基金份额的申购与赎回</w:t>
      </w:r>
      <w:bookmarkEnd w:id="53"/>
      <w:bookmarkEnd w:id="54"/>
      <w:bookmarkEnd w:id="55"/>
      <w:bookmarkEnd w:id="56"/>
      <w:bookmarkEnd w:id="57"/>
    </w:p>
    <w:p w14:paraId="02AB2DD3" w14:textId="77777777" w:rsidR="00D04107" w:rsidRDefault="000C2DB0">
      <w:pPr>
        <w:spacing w:line="360" w:lineRule="auto"/>
        <w:ind w:firstLineChars="200" w:firstLine="480"/>
        <w:rPr>
          <w:rFonts w:ascii="宋体" w:hAnsi="宋体"/>
          <w:color w:val="000000"/>
          <w:kern w:val="0"/>
          <w:sz w:val="24"/>
        </w:rPr>
      </w:pPr>
      <w:bookmarkStart w:id="58" w:name="_Toc88969257"/>
      <w:r>
        <w:rPr>
          <w:rFonts w:ascii="宋体" w:hAnsi="宋体"/>
          <w:color w:val="000000"/>
          <w:kern w:val="0"/>
          <w:sz w:val="24"/>
        </w:rPr>
        <w:t>（</w:t>
      </w:r>
      <w:r>
        <w:rPr>
          <w:rFonts w:ascii="宋体" w:hAnsi="宋体" w:hint="eastAsia"/>
          <w:color w:val="000000"/>
          <w:kern w:val="0"/>
          <w:sz w:val="24"/>
        </w:rPr>
        <w:t>一</w:t>
      </w:r>
      <w:r>
        <w:rPr>
          <w:rFonts w:ascii="宋体" w:hAnsi="宋体"/>
          <w:color w:val="000000"/>
          <w:kern w:val="0"/>
          <w:sz w:val="24"/>
        </w:rPr>
        <w:t xml:space="preserve">） </w:t>
      </w:r>
      <w:r>
        <w:rPr>
          <w:rFonts w:ascii="宋体" w:hAnsi="宋体" w:hint="eastAsia"/>
          <w:color w:val="000000"/>
          <w:kern w:val="0"/>
          <w:sz w:val="24"/>
        </w:rPr>
        <w:t>申购与赎回场所</w:t>
      </w:r>
    </w:p>
    <w:p w14:paraId="7C099BC4" w14:textId="77777777" w:rsidR="00D04107" w:rsidRDefault="000C2DB0">
      <w:pPr>
        <w:spacing w:line="360" w:lineRule="auto"/>
        <w:ind w:firstLineChars="200" w:firstLine="480"/>
        <w:rPr>
          <w:bCs/>
          <w:sz w:val="24"/>
        </w:rPr>
      </w:pPr>
      <w:r>
        <w:rPr>
          <w:rFonts w:ascii="宋体" w:hAnsi="宋体" w:hint="eastAsia"/>
          <w:color w:val="000000"/>
          <w:kern w:val="0"/>
          <w:sz w:val="24"/>
        </w:rPr>
        <w:t>本基金的申购与赎回将通过销售机构进行。具体的销售网点将由基金管理人在相关公告中列明。基金管理人可根据情况变更或增减销售机构，并予以公告。</w:t>
      </w:r>
      <w:r>
        <w:rPr>
          <w:bCs/>
          <w:sz w:val="24"/>
        </w:rPr>
        <w:t>基金投资</w:t>
      </w:r>
      <w:r>
        <w:rPr>
          <w:rFonts w:hint="eastAsia"/>
          <w:bCs/>
          <w:sz w:val="24"/>
        </w:rPr>
        <w:t>人</w:t>
      </w:r>
      <w:r>
        <w:rPr>
          <w:bCs/>
          <w:sz w:val="24"/>
        </w:rPr>
        <w:t>应当</w:t>
      </w:r>
      <w:r>
        <w:rPr>
          <w:rFonts w:hint="eastAsia"/>
          <w:bCs/>
          <w:sz w:val="24"/>
        </w:rPr>
        <w:t>在</w:t>
      </w:r>
      <w:r>
        <w:rPr>
          <w:bCs/>
          <w:sz w:val="24"/>
        </w:rPr>
        <w:t>销售机构办理基金销售业务的营业场所或按销售机构提供的其他方式办理基金份额的申购与赎回。</w:t>
      </w:r>
    </w:p>
    <w:p w14:paraId="17A99D2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若基金管理人或其指定的销售机构开通电话、传真或网上等交易方式，投资人可以通过上述方式进行申购与赎回，具体办法由基金管理人另行公告。</w:t>
      </w:r>
    </w:p>
    <w:p w14:paraId="60FF923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（二）申购与赎回的开放日及时间</w:t>
      </w:r>
    </w:p>
    <w:p w14:paraId="479899F9"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1、</w:t>
      </w:r>
      <w:r>
        <w:rPr>
          <w:rFonts w:ascii="宋体" w:hAnsi="宋体" w:hint="eastAsia"/>
          <w:color w:val="000000"/>
          <w:kern w:val="0"/>
          <w:sz w:val="24"/>
        </w:rPr>
        <w:t>开放日及开放时间</w:t>
      </w:r>
    </w:p>
    <w:p w14:paraId="4457D16E" w14:textId="77777777" w:rsidR="00D04107" w:rsidRDefault="000C2DB0">
      <w:pPr>
        <w:spacing w:line="360" w:lineRule="auto"/>
        <w:ind w:firstLineChars="200" w:firstLine="480"/>
        <w:rPr>
          <w:rFonts w:ascii="宋体" w:hAnsi="宋体"/>
          <w:color w:val="000000"/>
          <w:kern w:val="0"/>
          <w:sz w:val="24"/>
        </w:rPr>
      </w:pPr>
      <w:r>
        <w:rPr>
          <w:rFonts w:ascii="宋体" w:hAnsi="宋体"/>
          <w:bCs/>
          <w:sz w:val="24"/>
        </w:rPr>
        <w:t>投资人在开放日办理基金份额的申购和赎回，具体办理时间为上海证券交易所、深圳证券交易所的正常交易日的交易时间</w:t>
      </w:r>
      <w:r>
        <w:rPr>
          <w:rFonts w:ascii="宋体" w:hAnsi="宋体" w:hint="eastAsia"/>
          <w:bCs/>
          <w:sz w:val="24"/>
        </w:rPr>
        <w:t>。</w:t>
      </w:r>
      <w:r>
        <w:rPr>
          <w:rFonts w:ascii="宋体" w:hAnsi="宋体" w:hint="eastAsia"/>
          <w:color w:val="000000"/>
          <w:kern w:val="0"/>
          <w:sz w:val="24"/>
        </w:rPr>
        <w:t>但基金管理人根据法律法规、中国证监会的要求或基金合同的规定公告暂停申购、赎回时除外。具体业务办理时间以销售机构公布的时间为准。</w:t>
      </w:r>
    </w:p>
    <w:p w14:paraId="780A38F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基金合同生效后，若出现新的证券交易市场、证券交易所交易时间变更或其他特殊情况，基金管理人将视情况对前述开放日及开放时间进行相应的调整，但应</w:t>
      </w:r>
      <w:r>
        <w:rPr>
          <w:rFonts w:ascii="宋体" w:hAnsi="宋体"/>
          <w:bCs/>
          <w:sz w:val="24"/>
        </w:rPr>
        <w:t>在实施日前依照《信息披露办法》的有关规定在指定媒介上</w:t>
      </w:r>
      <w:r>
        <w:rPr>
          <w:rFonts w:ascii="宋体" w:hAnsi="宋体" w:hint="eastAsia"/>
          <w:color w:val="000000"/>
          <w:kern w:val="0"/>
          <w:sz w:val="24"/>
        </w:rPr>
        <w:t>公告。</w:t>
      </w:r>
    </w:p>
    <w:p w14:paraId="3B38F516"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申购、赎回开始日及业务办理时间</w:t>
      </w:r>
    </w:p>
    <w:p w14:paraId="131F29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本基金已于2017年1月5日开始办理申购、赎回业务。</w:t>
      </w:r>
    </w:p>
    <w:p w14:paraId="2D7D86EA"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基金管理人不得在基金合同约定之外的日期或者时间办理基金份额的申购、赎回或者转换。投资</w:t>
      </w:r>
      <w:r>
        <w:rPr>
          <w:rFonts w:ascii="宋体" w:hAnsi="宋体" w:hint="eastAsia"/>
          <w:color w:val="000000"/>
          <w:kern w:val="0"/>
          <w:sz w:val="24"/>
        </w:rPr>
        <w:t>人</w:t>
      </w:r>
      <w:r>
        <w:rPr>
          <w:rFonts w:ascii="宋体" w:hAnsi="宋体"/>
          <w:color w:val="000000"/>
          <w:kern w:val="0"/>
          <w:sz w:val="24"/>
        </w:rPr>
        <w:t>在基金合同约定之外的日期和时间提出申购、赎回或转换申请</w:t>
      </w:r>
      <w:r>
        <w:rPr>
          <w:rFonts w:ascii="宋体" w:hAnsi="宋体" w:hint="eastAsia"/>
          <w:color w:val="000000"/>
          <w:kern w:val="0"/>
          <w:sz w:val="24"/>
        </w:rPr>
        <w:t>且登记机构确认接受</w:t>
      </w:r>
      <w:r>
        <w:rPr>
          <w:rFonts w:ascii="宋体" w:hAnsi="宋体"/>
          <w:color w:val="000000"/>
          <w:kern w:val="0"/>
          <w:sz w:val="24"/>
        </w:rPr>
        <w:t>的，</w:t>
      </w:r>
      <w:r>
        <w:rPr>
          <w:rFonts w:ascii="宋体" w:hAnsi="宋体" w:hint="eastAsia"/>
          <w:color w:val="000000"/>
          <w:kern w:val="0"/>
          <w:sz w:val="24"/>
        </w:rPr>
        <w:t>视为下一开放日的申购、赎回或转换申请</w:t>
      </w:r>
      <w:r>
        <w:rPr>
          <w:rFonts w:ascii="宋体" w:hAnsi="宋体"/>
          <w:color w:val="000000"/>
          <w:kern w:val="0"/>
          <w:sz w:val="24"/>
        </w:rPr>
        <w:t>。</w:t>
      </w:r>
    </w:p>
    <w:p w14:paraId="43AD879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（三）申购与赎回的原则</w:t>
      </w:r>
    </w:p>
    <w:p w14:paraId="73386C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1、“确定价”原则，即申购、赎回价格以</w:t>
      </w:r>
      <w:r>
        <w:rPr>
          <w:rFonts w:ascii="宋体" w:hAnsi="宋体"/>
          <w:color w:val="000000"/>
          <w:kern w:val="0"/>
          <w:sz w:val="24"/>
        </w:rPr>
        <w:t>每份基金份额净值</w:t>
      </w:r>
      <w:r>
        <w:rPr>
          <w:rFonts w:ascii="宋体" w:hAnsi="宋体" w:hint="eastAsia"/>
          <w:color w:val="000000"/>
          <w:kern w:val="0"/>
          <w:sz w:val="24"/>
        </w:rPr>
        <w:t>为1.00元的</w:t>
      </w:r>
      <w:r>
        <w:rPr>
          <w:rFonts w:ascii="宋体" w:hAnsi="宋体"/>
          <w:color w:val="000000"/>
          <w:kern w:val="0"/>
          <w:sz w:val="24"/>
        </w:rPr>
        <w:t>基准进行计算</w:t>
      </w:r>
      <w:r>
        <w:rPr>
          <w:rFonts w:ascii="宋体" w:hAnsi="宋体" w:hint="eastAsia"/>
          <w:color w:val="000000"/>
          <w:kern w:val="0"/>
          <w:sz w:val="24"/>
        </w:rPr>
        <w:t>；</w:t>
      </w:r>
    </w:p>
    <w:p w14:paraId="569DA1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2、“金额申购、份额赎回”原则，即申购以金额申请，赎回以份额申请；</w:t>
      </w:r>
    </w:p>
    <w:p w14:paraId="7845B1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赎回遵循“先进先出”原则，即按照投资人认购、申购的先后次序进行顺序赎回；</w:t>
      </w:r>
    </w:p>
    <w:p w14:paraId="24AEC7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4、当日的申购与赎回申请可以在管理人规定</w:t>
      </w:r>
      <w:r>
        <w:rPr>
          <w:rFonts w:ascii="宋体" w:hAnsi="宋体"/>
          <w:color w:val="000000"/>
          <w:kern w:val="0"/>
          <w:sz w:val="24"/>
        </w:rPr>
        <w:t>的时间</w:t>
      </w:r>
      <w:r>
        <w:rPr>
          <w:rFonts w:ascii="宋体" w:hAnsi="宋体" w:hint="eastAsia"/>
          <w:color w:val="000000"/>
          <w:kern w:val="0"/>
          <w:sz w:val="24"/>
        </w:rPr>
        <w:t>以内</w:t>
      </w:r>
      <w:r>
        <w:rPr>
          <w:rFonts w:ascii="宋体" w:hAnsi="宋体"/>
          <w:color w:val="000000"/>
          <w:kern w:val="0"/>
          <w:sz w:val="24"/>
        </w:rPr>
        <w:t>撤销</w:t>
      </w:r>
      <w:r>
        <w:rPr>
          <w:rFonts w:ascii="宋体" w:hAnsi="宋体" w:hint="eastAsia"/>
          <w:color w:val="000000"/>
          <w:kern w:val="0"/>
          <w:sz w:val="24"/>
        </w:rPr>
        <w:t>；</w:t>
      </w:r>
    </w:p>
    <w:p w14:paraId="60361F75"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5</w:t>
      </w:r>
      <w:r>
        <w:rPr>
          <w:rFonts w:ascii="宋体" w:hAnsi="宋体" w:hint="eastAsia"/>
          <w:color w:val="000000"/>
          <w:kern w:val="0"/>
          <w:sz w:val="24"/>
        </w:rPr>
        <w:t>、</w:t>
      </w:r>
      <w:r>
        <w:rPr>
          <w:rFonts w:ascii="宋体" w:hAnsi="宋体"/>
          <w:color w:val="000000"/>
          <w:kern w:val="0"/>
          <w:sz w:val="24"/>
        </w:rPr>
        <w:t>基金管理人有权决定本基金的总规模限额</w:t>
      </w:r>
      <w:r>
        <w:rPr>
          <w:rFonts w:ascii="宋体" w:hAnsi="宋体" w:hint="eastAsia"/>
          <w:color w:val="000000"/>
          <w:kern w:val="0"/>
          <w:sz w:val="24"/>
        </w:rPr>
        <w:t>，</w:t>
      </w:r>
      <w:r>
        <w:rPr>
          <w:rFonts w:ascii="宋体" w:hAnsi="宋体"/>
          <w:color w:val="000000"/>
          <w:kern w:val="0"/>
          <w:sz w:val="24"/>
        </w:rPr>
        <w:t>但应最迟在新的限额实施前依照《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w:t>
      </w:r>
      <w:r>
        <w:rPr>
          <w:rFonts w:ascii="宋体" w:hAnsi="宋体" w:hint="eastAsia"/>
          <w:color w:val="000000"/>
          <w:kern w:val="0"/>
          <w:sz w:val="24"/>
        </w:rPr>
        <w:t>媒介</w:t>
      </w:r>
      <w:r>
        <w:rPr>
          <w:rFonts w:ascii="宋体" w:hAnsi="宋体"/>
          <w:color w:val="000000"/>
          <w:kern w:val="0"/>
          <w:sz w:val="24"/>
        </w:rPr>
        <w:t>上公告</w:t>
      </w:r>
      <w:r>
        <w:rPr>
          <w:rFonts w:ascii="宋体" w:hAnsi="宋体" w:hint="eastAsia"/>
          <w:color w:val="000000"/>
          <w:kern w:val="0"/>
          <w:sz w:val="24"/>
        </w:rPr>
        <w:t>。</w:t>
      </w:r>
    </w:p>
    <w:p w14:paraId="1761B1DC" w14:textId="77777777" w:rsidR="00D04107" w:rsidRDefault="000C2DB0">
      <w:pPr>
        <w:spacing w:line="360" w:lineRule="auto"/>
        <w:ind w:firstLineChars="200" w:firstLine="480"/>
        <w:rPr>
          <w:rFonts w:ascii="宋体" w:hAnsi="宋体"/>
          <w:color w:val="000000"/>
          <w:kern w:val="0"/>
          <w:sz w:val="24"/>
        </w:rPr>
      </w:pPr>
      <w:r>
        <w:rPr>
          <w:bCs/>
          <w:sz w:val="24"/>
        </w:rPr>
        <w:t>基金管理人可在法律法规允许的情况下，对上述原则进行调整。基金管理人必须在新规则开始实施前依照《信息披露办法》的有关规定在指定媒介上公告。</w:t>
      </w:r>
    </w:p>
    <w:p w14:paraId="19F0FD0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（四）申购与赎回的程序</w:t>
      </w:r>
    </w:p>
    <w:p w14:paraId="4D286AB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1、申购和赎回的申请方式</w:t>
      </w:r>
    </w:p>
    <w:p w14:paraId="2292882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投资人必须根据销售机构规定的程序，在开放日的具体业务办理时间内提出申购或赎回的申请。</w:t>
      </w:r>
    </w:p>
    <w:p w14:paraId="6A7F32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2、申购和赎回的款项支付</w:t>
      </w:r>
    </w:p>
    <w:p w14:paraId="2CB44CDA" w14:textId="77777777" w:rsidR="00D04107" w:rsidRDefault="000C2DB0">
      <w:pPr>
        <w:spacing w:line="360" w:lineRule="auto"/>
        <w:ind w:firstLineChars="200" w:firstLine="480"/>
        <w:rPr>
          <w:rFonts w:ascii="宋体" w:hAnsi="宋体"/>
          <w:color w:val="000000"/>
          <w:kern w:val="0"/>
          <w:sz w:val="24"/>
          <w:lang w:val="zh-CN"/>
        </w:rPr>
      </w:pPr>
      <w:r>
        <w:rPr>
          <w:rFonts w:ascii="宋体" w:hAnsi="宋体" w:hint="eastAsia"/>
          <w:color w:val="000000"/>
          <w:kern w:val="0"/>
          <w:sz w:val="24"/>
          <w:lang w:val="zh-CN"/>
        </w:rPr>
        <w:t>投资人申购基金份额时，必须全额交付申购款项，投资人交付申购款项，申购成立；</w:t>
      </w:r>
      <w:r>
        <w:rPr>
          <w:rFonts w:ascii="宋体" w:hAnsi="宋体"/>
          <w:color w:val="000000"/>
          <w:kern w:val="0"/>
          <w:sz w:val="24"/>
          <w:lang w:val="zh-CN"/>
        </w:rPr>
        <w:t>登记机构确认基金份额时，申购生效</w:t>
      </w:r>
      <w:r>
        <w:rPr>
          <w:rFonts w:ascii="宋体" w:hAnsi="宋体" w:hint="eastAsia"/>
          <w:color w:val="000000"/>
          <w:kern w:val="0"/>
          <w:sz w:val="24"/>
          <w:lang w:val="zh-CN"/>
        </w:rPr>
        <w:t>。</w:t>
      </w:r>
    </w:p>
    <w:p w14:paraId="1BF507A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基金份额持有人递交赎回申请，赎回成立；登记机构确认赎回时，赎回生效。基金份额持有人赎回申请成功后，基金管理人将在T＋</w:t>
      </w:r>
      <w:r>
        <w:rPr>
          <w:rFonts w:ascii="宋体" w:hAnsi="宋体"/>
          <w:color w:val="000000"/>
          <w:kern w:val="0"/>
          <w:sz w:val="24"/>
        </w:rPr>
        <w:t>3</w:t>
      </w:r>
      <w:r>
        <w:rPr>
          <w:rFonts w:ascii="宋体" w:hAnsi="宋体" w:hint="eastAsia"/>
          <w:color w:val="000000"/>
          <w:kern w:val="0"/>
          <w:sz w:val="24"/>
        </w:rPr>
        <w:t>日(包括该日)内支付赎回款项。遇证券交易所或交易市场数据传输延迟、通讯系统故障、银行数据交换系统故障或其它非基金管理人及基金托管人所能控制的因素影响业务处理流程，则赎回款在该等故障消除后及时划往基金份额持有人银行账户。在发生巨额赎回时，款项的支付办法参照基金合同有关条款处理。</w:t>
      </w:r>
    </w:p>
    <w:p w14:paraId="2232B3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3、申购和赎回申请的确认</w:t>
      </w:r>
    </w:p>
    <w:p w14:paraId="0E27E90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基金管理人应以交易时间结束前受理有效申购和赎回申请的当天作为申购或赎回申请日(T日)，在正常情况下，本基金登记机构在T+1日内对该交易的有效性进行确认。T日提交的有效申请，投资人应在T+2日后(包括该日)及时到销售网点柜台或以销售机构规定的其他方式查询申请的确认情况。若申购不成功或无效，则申购款项本金退还给投资人。 </w:t>
      </w:r>
    </w:p>
    <w:p w14:paraId="2C22B4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销售机构对申购、赎回申请的受理并不代表申请一定成功，而仅代表销售机构确实接收到申请。申购、赎回的确认以登记机构的确认结果为准。对于申请的确认</w:t>
      </w:r>
      <w:r>
        <w:rPr>
          <w:rFonts w:ascii="宋体" w:hAnsi="宋体" w:hint="eastAsia"/>
          <w:color w:val="000000"/>
          <w:kern w:val="0"/>
          <w:sz w:val="24"/>
        </w:rPr>
        <w:lastRenderedPageBreak/>
        <w:t>情况，投资者应及时查询并</w:t>
      </w:r>
      <w:r>
        <w:rPr>
          <w:rFonts w:ascii="宋体" w:hAnsi="宋体"/>
          <w:color w:val="000000"/>
          <w:kern w:val="0"/>
          <w:sz w:val="24"/>
        </w:rPr>
        <w:t>妥善行使合法权利</w:t>
      </w:r>
      <w:r>
        <w:rPr>
          <w:rFonts w:ascii="宋体" w:hAnsi="宋体" w:hint="eastAsia"/>
          <w:color w:val="000000"/>
          <w:kern w:val="0"/>
          <w:sz w:val="24"/>
        </w:rPr>
        <w:t>。</w:t>
      </w:r>
    </w:p>
    <w:p w14:paraId="4A61B3F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基金管理人在法律法规允许的范围内，本基金登记机构可根据相关业务规则，对上述业务办理时间进行调整，本基金管理人必须在新规则</w:t>
      </w:r>
      <w:r>
        <w:rPr>
          <w:rFonts w:ascii="宋体" w:hAnsi="宋体"/>
          <w:color w:val="000000"/>
          <w:kern w:val="0"/>
          <w:sz w:val="24"/>
        </w:rPr>
        <w:t>开始实施前依照</w:t>
      </w:r>
      <w:r>
        <w:rPr>
          <w:rFonts w:ascii="宋体" w:hAnsi="宋体" w:hint="eastAsia"/>
          <w:color w:val="000000"/>
          <w:kern w:val="0"/>
          <w:sz w:val="24"/>
        </w:rPr>
        <w:t>《信息</w:t>
      </w:r>
      <w:r>
        <w:rPr>
          <w:rFonts w:ascii="宋体" w:hAnsi="宋体"/>
          <w:color w:val="000000"/>
          <w:kern w:val="0"/>
          <w:sz w:val="24"/>
        </w:rPr>
        <w:t>披露办法》</w:t>
      </w:r>
      <w:r>
        <w:rPr>
          <w:rFonts w:ascii="宋体" w:hAnsi="宋体" w:hint="eastAsia"/>
          <w:color w:val="000000"/>
          <w:kern w:val="0"/>
          <w:sz w:val="24"/>
        </w:rPr>
        <w:t>的</w:t>
      </w:r>
      <w:r>
        <w:rPr>
          <w:rFonts w:ascii="宋体" w:hAnsi="宋体"/>
          <w:color w:val="000000"/>
          <w:kern w:val="0"/>
          <w:sz w:val="24"/>
        </w:rPr>
        <w:t>有关规定在制定媒介上公告并报中国证监会备案</w:t>
      </w:r>
      <w:r>
        <w:rPr>
          <w:rFonts w:ascii="宋体" w:hAnsi="宋体" w:hint="eastAsia"/>
          <w:color w:val="000000"/>
          <w:kern w:val="0"/>
          <w:sz w:val="24"/>
        </w:rPr>
        <w:t>。</w:t>
      </w:r>
    </w:p>
    <w:p w14:paraId="21418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（五）申购和赎回的数额限制</w:t>
      </w:r>
    </w:p>
    <w:p w14:paraId="6ACD1DC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1、投资者通过直销机构以外的其他销售机构申购本基金基金份额的，单个基金账户的首次申购A类基金份额最低申购金额为1.00元人民币，首次申购B类基金份额最低金额为5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，追加申购A类基金份额/B类基金份额单笔最低金额为1.00元人民币，具体申购限额以销售机构的规定为准。</w:t>
      </w:r>
    </w:p>
    <w:p w14:paraId="59FBAD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通过本基金管理人网上交易系统申购，单个基金账户的首次申购A类基金份额每笔最低金额为1.00元人民币，申购B类基金份额最低金额为5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2730D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通过本基金管理人直销机构申购，单个基金账户的首次申购A类基金份额最低申购金额为1.00元人民币，申购B类基金份额最低金额为5</w:t>
      </w:r>
      <w:r>
        <w:rPr>
          <w:rFonts w:ascii="宋体" w:hAnsi="宋体"/>
          <w:color w:val="000000"/>
          <w:kern w:val="0"/>
          <w:sz w:val="24"/>
        </w:rPr>
        <w:t>,</w:t>
      </w:r>
      <w:r>
        <w:rPr>
          <w:rFonts w:ascii="宋体" w:hAnsi="宋体" w:hint="eastAsia"/>
          <w:color w:val="000000"/>
          <w:kern w:val="0"/>
          <w:sz w:val="24"/>
        </w:rPr>
        <w:t>000,000.00元</w:t>
      </w:r>
      <w:r>
        <w:rPr>
          <w:rFonts w:ascii="宋体" w:hAnsi="宋体"/>
          <w:color w:val="000000"/>
          <w:kern w:val="0"/>
          <w:sz w:val="24"/>
        </w:rPr>
        <w:t>人民币</w:t>
      </w:r>
      <w:r>
        <w:rPr>
          <w:rFonts w:ascii="宋体" w:hAnsi="宋体" w:hint="eastAsia"/>
          <w:color w:val="000000"/>
          <w:kern w:val="0"/>
          <w:sz w:val="24"/>
        </w:rPr>
        <w:t>，追加申购A类基金份额/B类基金份额单笔最低金额为1.00元</w:t>
      </w:r>
      <w:r>
        <w:rPr>
          <w:rFonts w:ascii="宋体" w:hAnsi="宋体"/>
          <w:color w:val="000000"/>
          <w:kern w:val="0"/>
          <w:sz w:val="24"/>
        </w:rPr>
        <w:t>人民币</w:t>
      </w:r>
      <w:r>
        <w:rPr>
          <w:rFonts w:ascii="宋体" w:hAnsi="宋体" w:hint="eastAsia"/>
          <w:color w:val="000000"/>
          <w:kern w:val="0"/>
          <w:sz w:val="24"/>
        </w:rPr>
        <w:t>。</w:t>
      </w:r>
    </w:p>
    <w:p w14:paraId="1782E8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对单笔最低赎回份额进行限制，投资人可申请将其持有的部分或全部基金份额赎回。若某笔赎回将导致投资人在销售机构托管的本基金基金份额余额不足1份时，该笔赎回业务应包括账户内全部基金份额，否则，基金管理人有权将剩余部分的基金份额强制赎回。</w:t>
      </w:r>
    </w:p>
    <w:p w14:paraId="1428EF5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3、基金管理人对单个投资人累计持有的基金份额暂不设上限限制。 </w:t>
      </w:r>
    </w:p>
    <w:p w14:paraId="0172964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4、基金管理人可以依照相关法律法规以及基金合同的约定，在特定市场条件下暂停或者拒绝接受一定金额以上的资金申购，具体以基金管理人的公告为准。 </w:t>
      </w:r>
    </w:p>
    <w:p w14:paraId="23FCDC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可在法律法规允许的情况下，根据本基金运作情况、法律法规或登记机构的业务规则，调整上述规定申购金额和赎回份额等数量限制。基金管理人必须在调整实施前依照《信息披露办法》的有关规定在指定媒介上公告并报中国证监会备案。</w:t>
      </w:r>
    </w:p>
    <w:p w14:paraId="36A6834A" w14:textId="77777777" w:rsidR="00E74520" w:rsidRPr="00DD20DC" w:rsidRDefault="00E74520">
      <w:pPr>
        <w:spacing w:line="360" w:lineRule="auto"/>
        <w:ind w:firstLineChars="200" w:firstLine="480"/>
        <w:rPr>
          <w:rFonts w:ascii="宋体" w:hAnsi="宋体"/>
          <w:color w:val="000000"/>
          <w:kern w:val="0"/>
          <w:sz w:val="24"/>
        </w:rPr>
      </w:pPr>
      <w:r w:rsidRPr="00DD20DC">
        <w:rPr>
          <w:rFonts w:ascii="宋体" w:hAnsi="宋体" w:hint="eastAsia"/>
          <w:color w:val="000000"/>
          <w:kern w:val="0"/>
          <w:sz w:val="24"/>
        </w:rPr>
        <w:t>6、</w:t>
      </w:r>
      <w:r w:rsidRPr="00DD20DC">
        <w:rPr>
          <w:rFonts w:hint="eastAsia"/>
          <w:kern w:val="0"/>
          <w:sz w:val="24"/>
        </w:rPr>
        <w:t>当接受申购申请对存量基金份额持有人利益构成潜在重大不利影响时，基金管理人应当采取设定单一投资者申购金额上限或基金单日净申购比例上限、拒绝大</w:t>
      </w:r>
      <w:r w:rsidRPr="00DD20DC">
        <w:rPr>
          <w:rFonts w:hint="eastAsia"/>
          <w:kern w:val="0"/>
          <w:sz w:val="24"/>
        </w:rPr>
        <w:lastRenderedPageBreak/>
        <w:t>额申购、暂停基金申购等措施，切实保护存量基金份额持有人的合法权益</w:t>
      </w:r>
      <w:r w:rsidRPr="00DD20DC">
        <w:rPr>
          <w:kern w:val="0"/>
          <w:sz w:val="24"/>
        </w:rPr>
        <w:t xml:space="preserve">, </w:t>
      </w:r>
      <w:r w:rsidRPr="00DD20DC">
        <w:rPr>
          <w:rFonts w:hint="eastAsia"/>
          <w:kern w:val="0"/>
          <w:sz w:val="24"/>
        </w:rPr>
        <w:t>具体请参见相关公告。</w:t>
      </w:r>
    </w:p>
    <w:p w14:paraId="2D07805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（六）申购</w:t>
      </w:r>
      <w:r>
        <w:rPr>
          <w:rFonts w:ascii="宋体" w:hAnsi="宋体"/>
          <w:color w:val="000000"/>
          <w:kern w:val="0"/>
          <w:sz w:val="24"/>
        </w:rPr>
        <w:t>份额与赎回金额的计算方式</w:t>
      </w:r>
    </w:p>
    <w:p w14:paraId="13D372A8" w14:textId="77777777" w:rsidR="00D04107" w:rsidRDefault="000C2DB0">
      <w:pPr>
        <w:numPr>
          <w:ilvl w:val="0"/>
          <w:numId w:val="5"/>
        </w:numPr>
        <w:spacing w:line="360" w:lineRule="auto"/>
        <w:ind w:left="0" w:firstLine="426"/>
        <w:rPr>
          <w:rFonts w:ascii="宋体" w:hAnsi="宋体"/>
          <w:sz w:val="24"/>
        </w:rPr>
      </w:pPr>
      <w:r>
        <w:rPr>
          <w:rFonts w:ascii="宋体" w:hAnsi="宋体" w:hint="eastAsia"/>
          <w:sz w:val="24"/>
        </w:rPr>
        <w:t>本基金不收取</w:t>
      </w:r>
      <w:r>
        <w:rPr>
          <w:rFonts w:ascii="宋体" w:hAnsi="宋体"/>
          <w:sz w:val="24"/>
        </w:rPr>
        <w:t>申购费用和赎回费用，但基金合同约定的征收强制赎回费情形除外。</w:t>
      </w:r>
    </w:p>
    <w:p w14:paraId="31E263D5" w14:textId="77777777" w:rsidR="00D04107" w:rsidRDefault="000C2DB0">
      <w:pPr>
        <w:numPr>
          <w:ilvl w:val="0"/>
          <w:numId w:val="5"/>
        </w:numPr>
        <w:spacing w:line="360" w:lineRule="auto"/>
        <w:ind w:left="0" w:firstLine="426"/>
        <w:rPr>
          <w:rFonts w:ascii="宋体" w:hAnsi="宋体"/>
          <w:sz w:val="24"/>
        </w:rPr>
      </w:pPr>
      <w:r>
        <w:rPr>
          <w:rFonts w:ascii="宋体" w:hAnsi="宋体" w:hint="eastAsia"/>
          <w:bCs/>
          <w:sz w:val="24"/>
        </w:rPr>
        <w:t>在满足相关流动性风险管理要求的前提下，当本基金持有的现金、国债、中央银行票据、政策性金融债券以及5个交易日内到期的其他金融工具占基金资产净值的比例合计低于5%</w:t>
      </w:r>
      <w:r w:rsidR="0016407E">
        <w:rPr>
          <w:rFonts w:ascii="宋体" w:hAnsi="宋体" w:hint="eastAsia"/>
          <w:bCs/>
          <w:sz w:val="24"/>
        </w:rPr>
        <w:t>且偏离度为负时；</w:t>
      </w:r>
      <w:r w:rsidR="0016407E" w:rsidRPr="00BA5CFA">
        <w:rPr>
          <w:rFonts w:hint="eastAsia"/>
          <w:kern w:val="0"/>
          <w:sz w:val="24"/>
        </w:rPr>
        <w:t>当本基金前</w:t>
      </w:r>
      <w:r w:rsidR="0016407E" w:rsidRPr="00BA5CFA">
        <w:rPr>
          <w:kern w:val="0"/>
          <w:sz w:val="24"/>
        </w:rPr>
        <w:t>10</w:t>
      </w:r>
      <w:r w:rsidR="0016407E" w:rsidRPr="00BA5CFA">
        <w:rPr>
          <w:rFonts w:hint="eastAsia"/>
          <w:kern w:val="0"/>
          <w:sz w:val="24"/>
        </w:rPr>
        <w:t>名基金份额持有人的持有份额合计超过基金总份额的</w:t>
      </w:r>
      <w:r w:rsidR="0016407E" w:rsidRPr="00BA5CFA">
        <w:rPr>
          <w:kern w:val="0"/>
          <w:sz w:val="24"/>
        </w:rPr>
        <w:t>50%</w:t>
      </w:r>
      <w:r w:rsidR="0016407E" w:rsidRPr="00BA5CFA">
        <w:rPr>
          <w:rFonts w:hint="eastAsia"/>
          <w:kern w:val="0"/>
          <w:sz w:val="24"/>
        </w:rPr>
        <w:t>，且本基金投资组合中现金、国债、中央银行票据、政策性金融债券以及</w:t>
      </w:r>
      <w:r w:rsidR="0016407E" w:rsidRPr="00BA5CFA">
        <w:rPr>
          <w:kern w:val="0"/>
          <w:sz w:val="24"/>
        </w:rPr>
        <w:t>5</w:t>
      </w:r>
      <w:r w:rsidR="0016407E" w:rsidRPr="00BA5CFA">
        <w:rPr>
          <w:rFonts w:hint="eastAsia"/>
          <w:kern w:val="0"/>
          <w:sz w:val="24"/>
        </w:rPr>
        <w:t>个交易日内到期的其他金融工具占基金资产净值的比例合计低于</w:t>
      </w:r>
      <w:r w:rsidR="0016407E" w:rsidRPr="00BA5CFA">
        <w:rPr>
          <w:kern w:val="0"/>
          <w:sz w:val="24"/>
        </w:rPr>
        <w:t>10%</w:t>
      </w:r>
      <w:r w:rsidR="0016407E" w:rsidRPr="00BA5CFA">
        <w:rPr>
          <w:rFonts w:hint="eastAsia"/>
          <w:kern w:val="0"/>
          <w:sz w:val="24"/>
        </w:rPr>
        <w:t>且偏离度为负时，</w:t>
      </w:r>
      <w:r>
        <w:rPr>
          <w:rFonts w:ascii="宋体" w:hAnsi="宋体" w:hint="eastAsia"/>
          <w:bCs/>
          <w:sz w:val="24"/>
        </w:rPr>
        <w:t>为确保基金平稳运作，避免诱发系统性风险，基金管理人将对当日单个基金份额持有人申请赎回基金份额超过基金总份额1%以上的赎回申请征收1%的强制赎回费用，并将上述赎回费用全额计入基金财产。</w:t>
      </w:r>
      <w:r>
        <w:rPr>
          <w:rFonts w:ascii="宋体" w:hAnsi="宋体" w:hint="eastAsia"/>
          <w:sz w:val="24"/>
        </w:rPr>
        <w:t>基金管理人与基金托管人协商确认上述做法无益于基金利益最大化的情形除外。</w:t>
      </w:r>
    </w:p>
    <w:p w14:paraId="551CC32F" w14:textId="77777777" w:rsidR="00D04107" w:rsidRDefault="000C2DB0">
      <w:pPr>
        <w:numPr>
          <w:ilvl w:val="0"/>
          <w:numId w:val="5"/>
        </w:numPr>
        <w:spacing w:line="360" w:lineRule="auto"/>
        <w:ind w:left="0" w:firstLine="426"/>
        <w:rPr>
          <w:rFonts w:ascii="宋体" w:hAnsi="宋体"/>
          <w:sz w:val="24"/>
        </w:rPr>
      </w:pPr>
      <w:r>
        <w:rPr>
          <w:rFonts w:ascii="宋体" w:hAnsi="宋体" w:hint="eastAsia"/>
          <w:sz w:val="24"/>
        </w:rPr>
        <w:t>本基金各类</w:t>
      </w:r>
      <w:r>
        <w:rPr>
          <w:rFonts w:ascii="宋体" w:hAnsi="宋体"/>
          <w:sz w:val="24"/>
        </w:rPr>
        <w:t>基金份额的申购、赎回价格为每份基金单位</w:t>
      </w:r>
      <w:r>
        <w:rPr>
          <w:rFonts w:ascii="宋体" w:hAnsi="宋体" w:hint="eastAsia"/>
          <w:sz w:val="24"/>
        </w:rPr>
        <w:t>1.00元</w:t>
      </w:r>
      <w:r>
        <w:rPr>
          <w:rFonts w:ascii="宋体" w:hAnsi="宋体"/>
          <w:sz w:val="24"/>
        </w:rPr>
        <w:t>。</w:t>
      </w:r>
    </w:p>
    <w:p w14:paraId="4B78D5FD" w14:textId="77777777" w:rsidR="00D04107" w:rsidRDefault="000C2DB0">
      <w:pPr>
        <w:numPr>
          <w:ilvl w:val="0"/>
          <w:numId w:val="5"/>
        </w:numPr>
        <w:spacing w:line="360" w:lineRule="auto"/>
        <w:ind w:left="0" w:firstLine="426"/>
        <w:rPr>
          <w:rFonts w:ascii="宋体" w:hAnsi="宋体"/>
          <w:sz w:val="24"/>
        </w:rPr>
      </w:pPr>
      <w:r>
        <w:rPr>
          <w:rFonts w:ascii="宋体" w:hAnsi="宋体" w:hint="eastAsia"/>
          <w:sz w:val="24"/>
        </w:rPr>
        <w:t>申购份额和赎回份额的计算及余额的处理方式</w:t>
      </w:r>
    </w:p>
    <w:p w14:paraId="75B624AC" w14:textId="77777777" w:rsidR="00D04107" w:rsidRDefault="000C2DB0">
      <w:pPr>
        <w:spacing w:line="360" w:lineRule="auto"/>
        <w:ind w:firstLineChars="200" w:firstLine="480"/>
        <w:rPr>
          <w:rFonts w:ascii="宋体" w:hAnsi="宋体"/>
          <w:sz w:val="24"/>
        </w:rPr>
      </w:pPr>
      <w:r>
        <w:rPr>
          <w:rFonts w:ascii="宋体" w:hAnsi="宋体" w:hint="eastAsia"/>
          <w:sz w:val="24"/>
        </w:rPr>
        <w:t>本基金通过每日计算收益并分配的方式，使基金份额净值保持在1.00元。该基金份额净值是计算基金申购与赎回价格的基础。</w:t>
      </w:r>
    </w:p>
    <w:p w14:paraId="67A9CB8D"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（1）</w:t>
      </w:r>
      <w:r>
        <w:rPr>
          <w:rFonts w:hAnsi="宋体" w:cs="Times New Roman"/>
        </w:rPr>
        <w:t>本基金申购份额的计算</w:t>
      </w:r>
    </w:p>
    <w:p w14:paraId="77F2BDCE"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采用“金额申购”方式，申购价格为每份基金份额净值1.00元，计算公式如下：</w:t>
      </w:r>
    </w:p>
    <w:p w14:paraId="36688305"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申购份额＝申购金额</w:t>
      </w:r>
      <w:r>
        <w:rPr>
          <w:rFonts w:hAnsi="宋体" w:cs="Times New Roman"/>
        </w:rPr>
        <w:t xml:space="preserve">/1.00 </w:t>
      </w:r>
    </w:p>
    <w:p w14:paraId="627721F8"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申购的有效份额按实际确认的申购金额除以1.00元确定，申购份额计算结果保留到小数点后</w:t>
      </w:r>
      <w:r>
        <w:rPr>
          <w:rFonts w:hAnsi="宋体" w:cs="Times New Roman"/>
        </w:rPr>
        <w:t>2</w:t>
      </w:r>
      <w:r>
        <w:rPr>
          <w:rFonts w:hAnsi="宋体" w:cs="Times New Roman" w:hint="eastAsia"/>
        </w:rPr>
        <w:t>位，小数点</w:t>
      </w:r>
      <w:r>
        <w:rPr>
          <w:rFonts w:hAnsi="宋体" w:cs="Times New Roman"/>
        </w:rPr>
        <w:t>2</w:t>
      </w:r>
      <w:r>
        <w:rPr>
          <w:rFonts w:hAnsi="宋体" w:cs="Times New Roman" w:hint="eastAsia"/>
        </w:rPr>
        <w:t>位以后的部分四舍五入，由此产生的收益或</w:t>
      </w:r>
      <w:r>
        <w:rPr>
          <w:rFonts w:hAnsi="宋体" w:cs="Times New Roman"/>
        </w:rPr>
        <w:t>损失</w:t>
      </w:r>
      <w:r>
        <w:rPr>
          <w:rFonts w:hAnsi="宋体" w:cs="Times New Roman" w:hint="eastAsia"/>
        </w:rPr>
        <w:t>由</w:t>
      </w:r>
      <w:r>
        <w:rPr>
          <w:rFonts w:hAnsi="宋体" w:cs="Times New Roman"/>
        </w:rPr>
        <w:t>基金财产承担</w:t>
      </w:r>
      <w:r>
        <w:rPr>
          <w:rFonts w:hAnsi="宋体" w:cs="Times New Roman" w:hint="eastAsia"/>
        </w:rPr>
        <w:t>。</w:t>
      </w:r>
    </w:p>
    <w:p w14:paraId="0F5F080E"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例：投资人投资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，则其可得到的</w:t>
      </w:r>
      <w:r>
        <w:rPr>
          <w:rFonts w:hAnsi="宋体" w:hint="eastAsia"/>
        </w:rPr>
        <w:t>A类</w:t>
      </w:r>
      <w:r>
        <w:rPr>
          <w:rFonts w:hAnsi="宋体"/>
        </w:rPr>
        <w:t>基金份额</w:t>
      </w:r>
      <w:r>
        <w:rPr>
          <w:rFonts w:hAnsi="宋体" w:cs="Times New Roman" w:hint="eastAsia"/>
        </w:rPr>
        <w:t>为：</w:t>
      </w:r>
    </w:p>
    <w:p w14:paraId="4BC4B636"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申购份额＝</w:t>
      </w:r>
      <w:r>
        <w:rPr>
          <w:rFonts w:hAnsi="宋体" w:cs="Times New Roman"/>
        </w:rPr>
        <w:t>100,000.00/1.00=100,000.00.00</w:t>
      </w:r>
      <w:r>
        <w:rPr>
          <w:rFonts w:hAnsi="宋体" w:cs="Times New Roman" w:hint="eastAsia"/>
        </w:rPr>
        <w:t>份</w:t>
      </w:r>
    </w:p>
    <w:p w14:paraId="548F0723"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即：投资者投资</w:t>
      </w:r>
      <w:r>
        <w:rPr>
          <w:rFonts w:hAnsi="宋体" w:cs="Times New Roman"/>
        </w:rPr>
        <w:t>100,000.00</w:t>
      </w:r>
      <w:r>
        <w:rPr>
          <w:rFonts w:hAnsi="宋体" w:cs="Times New Roman" w:hint="eastAsia"/>
        </w:rPr>
        <w:t>元申购本基金</w:t>
      </w:r>
      <w:r>
        <w:rPr>
          <w:rFonts w:hAnsi="宋体" w:hint="eastAsia"/>
        </w:rPr>
        <w:t>A类</w:t>
      </w:r>
      <w:r>
        <w:rPr>
          <w:rFonts w:hAnsi="宋体"/>
        </w:rPr>
        <w:t>基金份额</w:t>
      </w:r>
      <w:r>
        <w:rPr>
          <w:rFonts w:hAnsi="宋体" w:cs="Times New Roman" w:hint="eastAsia"/>
        </w:rPr>
        <w:t>，则其可获得</w:t>
      </w:r>
      <w:r>
        <w:rPr>
          <w:rFonts w:hAnsi="宋体" w:cs="Times New Roman"/>
        </w:rPr>
        <w:t>100,000.00</w:t>
      </w:r>
      <w:r>
        <w:rPr>
          <w:rFonts w:hAnsi="宋体" w:cs="Times New Roman" w:hint="eastAsia"/>
        </w:rPr>
        <w:lastRenderedPageBreak/>
        <w:t>份</w:t>
      </w:r>
      <w:r>
        <w:rPr>
          <w:rFonts w:hAnsi="宋体" w:hint="eastAsia"/>
        </w:rPr>
        <w:t>A类</w:t>
      </w:r>
      <w:r>
        <w:rPr>
          <w:rFonts w:hAnsi="宋体"/>
        </w:rPr>
        <w:t>基金份额</w:t>
      </w:r>
      <w:r>
        <w:rPr>
          <w:rFonts w:hAnsi="宋体" w:cs="Times New Roman" w:hint="eastAsia"/>
        </w:rPr>
        <w:t>。</w:t>
      </w:r>
    </w:p>
    <w:p w14:paraId="0E11BB89"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（2）本基金</w:t>
      </w:r>
      <w:r>
        <w:rPr>
          <w:rFonts w:hAnsi="宋体" w:cs="Times New Roman"/>
        </w:rPr>
        <w:t>赎回金额的计算</w:t>
      </w:r>
    </w:p>
    <w:p w14:paraId="595426DF" w14:textId="77777777" w:rsidR="00D04107" w:rsidRDefault="000C2DB0" w:rsidP="000C2DB0">
      <w:pPr>
        <w:spacing w:line="360" w:lineRule="auto"/>
        <w:ind w:firstLineChars="177" w:firstLine="425"/>
        <w:rPr>
          <w:rFonts w:ascii="宋体" w:hAnsi="宋体"/>
          <w:sz w:val="24"/>
        </w:rPr>
      </w:pPr>
      <w:r>
        <w:rPr>
          <w:rFonts w:ascii="宋体" w:hAnsi="宋体"/>
          <w:sz w:val="24"/>
        </w:rPr>
        <w:t>采用“份额赎回”方式，赎回价格为每份基金份额净值1.00元。</w:t>
      </w:r>
      <w:r>
        <w:rPr>
          <w:rFonts w:ascii="宋体" w:hAnsi="宋体" w:hint="eastAsia"/>
          <w:sz w:val="24"/>
        </w:rPr>
        <w:t>赎回</w:t>
      </w:r>
      <w:r>
        <w:rPr>
          <w:rFonts w:ascii="宋体" w:hAnsi="宋体"/>
          <w:sz w:val="24"/>
        </w:rPr>
        <w:t>金额的确定</w:t>
      </w:r>
      <w:r>
        <w:rPr>
          <w:rFonts w:ascii="宋体" w:hAnsi="宋体" w:hint="eastAsia"/>
          <w:sz w:val="24"/>
        </w:rPr>
        <w:t>分</w:t>
      </w:r>
      <w:r>
        <w:rPr>
          <w:rFonts w:ascii="宋体" w:hAnsi="宋体"/>
          <w:sz w:val="24"/>
        </w:rPr>
        <w:t>两种情况处理：</w:t>
      </w:r>
    </w:p>
    <w:p w14:paraId="0C642A62" w14:textId="77777777" w:rsidR="00D04107" w:rsidRDefault="00784773" w:rsidP="000C2DB0">
      <w:pPr>
        <w:spacing w:line="360" w:lineRule="auto"/>
        <w:ind w:firstLineChars="177" w:firstLine="425"/>
        <w:rPr>
          <w:rFonts w:ascii="宋体" w:hAnsi="宋体"/>
          <w:sz w:val="24"/>
        </w:rPr>
      </w:pPr>
      <w:r>
        <w:rPr>
          <w:rFonts w:ascii="宋体" w:hAnsi="宋体"/>
          <w:sz w:val="24"/>
        </w:rPr>
        <w:fldChar w:fldCharType="begin"/>
      </w:r>
      <w:r w:rsidR="000C2DB0">
        <w:rPr>
          <w:rFonts w:ascii="宋体" w:hAnsi="宋体" w:hint="eastAsia"/>
          <w:sz w:val="24"/>
        </w:rPr>
        <w:instrText>= 1 \* GB3</w:instrText>
      </w:r>
      <w:r>
        <w:rPr>
          <w:rFonts w:ascii="宋体" w:hAnsi="宋体"/>
          <w:sz w:val="24"/>
        </w:rPr>
        <w:fldChar w:fldCharType="separate"/>
      </w:r>
      <w:r w:rsidR="000C2DB0">
        <w:rPr>
          <w:rFonts w:ascii="宋体" w:hAnsi="宋体" w:hint="eastAsia"/>
          <w:sz w:val="24"/>
        </w:rPr>
        <w:t>①</w:t>
      </w:r>
      <w:r>
        <w:rPr>
          <w:rFonts w:ascii="宋体" w:hAnsi="宋体"/>
          <w:sz w:val="24"/>
        </w:rPr>
        <w:fldChar w:fldCharType="end"/>
      </w:r>
      <w:r w:rsidR="000C2DB0">
        <w:rPr>
          <w:rFonts w:ascii="宋体" w:hAnsi="宋体"/>
          <w:sz w:val="24"/>
        </w:rPr>
        <w:t>部分赎回时</w:t>
      </w:r>
    </w:p>
    <w:p w14:paraId="79BA9E4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基金份额持有人部分赎回其持有的基金份额时，当该基金份额的未付收益为正时，该笔赎回将予以全部确认并支付；当该基金份额未付收益为负时，其赎回后剩余的基金份额需足以弥补其当前未付收益为负时的损益，否则将自动按比例结转未付收益为负的部分，再进行赎回款项结算。通常情况下赎回金额计算方法如下：</w:t>
      </w:r>
    </w:p>
    <w:p w14:paraId="07562DB6" w14:textId="77777777"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赎回金额＝赎回份额×1.00 </w:t>
      </w:r>
    </w:p>
    <w:p w14:paraId="1024499B" w14:textId="77777777"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赎回金额计算结果均按四舍五入方法，保留到小数点后2位，由此产生的收益或损失由基金财产承担。 </w:t>
      </w:r>
    </w:p>
    <w:p w14:paraId="5B287269" w14:textId="77777777" w:rsidR="00D04107" w:rsidRDefault="000C2DB0" w:rsidP="000C2DB0">
      <w:pPr>
        <w:pStyle w:val="Default"/>
        <w:spacing w:line="360" w:lineRule="auto"/>
        <w:ind w:firstLineChars="177" w:firstLine="425"/>
        <w:rPr>
          <w:rFonts w:hAnsi="宋体" w:cs="Times New Roman"/>
        </w:rPr>
      </w:pPr>
      <w:r>
        <w:rPr>
          <w:rFonts w:hAnsi="宋体" w:cs="Times New Roman"/>
        </w:rPr>
        <w:t>例：假定某投资者在T日赎回10,000.00份</w:t>
      </w:r>
      <w:r>
        <w:rPr>
          <w:rFonts w:hAnsi="宋体" w:hint="eastAsia"/>
        </w:rPr>
        <w:t>A类</w:t>
      </w:r>
      <w:r>
        <w:rPr>
          <w:rFonts w:hAnsi="宋体"/>
        </w:rPr>
        <w:t>基金份额</w:t>
      </w:r>
      <w:r>
        <w:rPr>
          <w:rFonts w:hAnsi="宋体" w:cs="Times New Roman"/>
        </w:rPr>
        <w:t>（当日单个基金份额持有人申请赎回</w:t>
      </w:r>
      <w:r>
        <w:rPr>
          <w:rFonts w:hAnsi="宋体" w:hint="eastAsia"/>
        </w:rPr>
        <w:t>A类</w:t>
      </w:r>
      <w:r>
        <w:rPr>
          <w:rFonts w:hAnsi="宋体"/>
        </w:rPr>
        <w:t>基金份额</w:t>
      </w:r>
      <w:r>
        <w:rPr>
          <w:rFonts w:hAnsi="宋体" w:cs="Times New Roman"/>
        </w:rPr>
        <w:t>未超过基金总份额1%以上），则赎回金额的计算如下：</w:t>
      </w:r>
    </w:p>
    <w:p w14:paraId="39B9FB57" w14:textId="77777777" w:rsidR="00D04107" w:rsidRDefault="000C2DB0" w:rsidP="000C2DB0">
      <w:pPr>
        <w:pStyle w:val="Default"/>
        <w:spacing w:line="360" w:lineRule="auto"/>
        <w:ind w:firstLineChars="177" w:firstLine="425"/>
        <w:rPr>
          <w:rFonts w:hAnsi="宋体" w:cs="Times New Roman"/>
        </w:rPr>
      </w:pPr>
      <w:r>
        <w:rPr>
          <w:rFonts w:hAnsi="宋体" w:cs="Times New Roman"/>
        </w:rPr>
        <w:t xml:space="preserve">赎回金额=10,000.00×1.00=10,000.00元 </w:t>
      </w:r>
    </w:p>
    <w:p w14:paraId="2EEC003D" w14:textId="77777777" w:rsidR="00D04107" w:rsidRDefault="000C2DB0" w:rsidP="000C2DB0">
      <w:pPr>
        <w:pStyle w:val="Default"/>
        <w:spacing w:line="360" w:lineRule="auto"/>
        <w:ind w:firstLineChars="177" w:firstLine="425"/>
        <w:rPr>
          <w:rFonts w:hAnsi="宋体" w:cs="Times New Roman"/>
        </w:rPr>
      </w:pPr>
      <w:r>
        <w:rPr>
          <w:rFonts w:hAnsi="宋体" w:cs="Times New Roman"/>
        </w:rPr>
        <w:t>即投资者赎回10,000.00份</w:t>
      </w:r>
      <w:r>
        <w:rPr>
          <w:rFonts w:hAnsi="宋体" w:hint="eastAsia"/>
        </w:rPr>
        <w:t>A类</w:t>
      </w:r>
      <w:r>
        <w:rPr>
          <w:rFonts w:hAnsi="宋体"/>
        </w:rPr>
        <w:t>基金份额</w:t>
      </w:r>
      <w:r>
        <w:rPr>
          <w:rFonts w:hAnsi="宋体" w:cs="Times New Roman"/>
        </w:rPr>
        <w:t>，则投资人可得到赎回金额</w:t>
      </w:r>
      <w:r>
        <w:rPr>
          <w:rFonts w:hAnsi="宋体" w:cs="Times New Roman" w:hint="eastAsia"/>
        </w:rPr>
        <w:t>为</w:t>
      </w:r>
      <w:r>
        <w:rPr>
          <w:rFonts w:hAnsi="宋体" w:cs="Times New Roman"/>
        </w:rPr>
        <w:t>10,000.00元。</w:t>
      </w:r>
    </w:p>
    <w:p w14:paraId="2ED1F083" w14:textId="77777777" w:rsidR="00D04107" w:rsidRDefault="00784773" w:rsidP="000C2DB0">
      <w:pPr>
        <w:pStyle w:val="Default"/>
        <w:spacing w:line="360" w:lineRule="auto"/>
        <w:ind w:firstLineChars="177" w:firstLine="425"/>
        <w:rPr>
          <w:rFonts w:hAnsi="宋体" w:cs="Times New Roman"/>
        </w:rPr>
      </w:pPr>
      <w:r>
        <w:rPr>
          <w:rFonts w:hAnsi="宋体" w:cs="Times New Roman"/>
        </w:rPr>
        <w:fldChar w:fldCharType="begin"/>
      </w:r>
      <w:r w:rsidR="000C2DB0">
        <w:rPr>
          <w:rFonts w:hAnsi="宋体" w:cs="Times New Roman" w:hint="eastAsia"/>
        </w:rPr>
        <w:instrText>= 2 \* GB3</w:instrText>
      </w:r>
      <w:r>
        <w:rPr>
          <w:rFonts w:hAnsi="宋体" w:cs="Times New Roman"/>
        </w:rPr>
        <w:fldChar w:fldCharType="separate"/>
      </w:r>
      <w:r w:rsidR="000C2DB0">
        <w:rPr>
          <w:rFonts w:hAnsi="宋体" w:cs="Times New Roman" w:hint="eastAsia"/>
        </w:rPr>
        <w:t>②</w:t>
      </w:r>
      <w:r>
        <w:rPr>
          <w:rFonts w:hAnsi="宋体" w:cs="Times New Roman"/>
        </w:rPr>
        <w:fldChar w:fldCharType="end"/>
      </w:r>
      <w:r w:rsidR="000C2DB0">
        <w:rPr>
          <w:rFonts w:hAnsi="宋体" w:cs="Times New Roman" w:hint="eastAsia"/>
        </w:rPr>
        <w:t>全部</w:t>
      </w:r>
      <w:r w:rsidR="000C2DB0">
        <w:rPr>
          <w:rFonts w:hAnsi="宋体" w:cs="Times New Roman"/>
        </w:rPr>
        <w:t>赎回</w:t>
      </w:r>
    </w:p>
    <w:p w14:paraId="4704AEF3"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 xml:space="preserve">基金份额持有人在全部赎回其持有的本基金基金份额余额时，基金管理人自动将该基金份额持有人的基金份额未付收益一并结算并与赎回款一起支付给该基金份额持有人。赎回金额计算方法如下： </w:t>
      </w:r>
    </w:p>
    <w:p w14:paraId="19B8868F"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赎回金额=赎回份额×1.00 + 赎回份额对应的未付收益</w:t>
      </w:r>
    </w:p>
    <w:p w14:paraId="570ECD1A"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赎回金额计算结果保留到小数点后两位，小数点后两位以后的部分四舍五入，由此产生的收益或损失由基金财产承担。</w:t>
      </w:r>
    </w:p>
    <w:p w14:paraId="6DDF3E47"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例：假定某投资者在T日所持有的</w:t>
      </w:r>
      <w:r>
        <w:rPr>
          <w:rFonts w:hAnsi="宋体" w:hint="eastAsia"/>
        </w:rPr>
        <w:t>A类</w:t>
      </w:r>
      <w:r>
        <w:rPr>
          <w:rFonts w:hAnsi="宋体"/>
        </w:rPr>
        <w:t>基金份额</w:t>
      </w:r>
      <w:r>
        <w:rPr>
          <w:rFonts w:hAnsi="宋体" w:cs="Times New Roman" w:hint="eastAsia"/>
        </w:rPr>
        <w:t>为100,000份</w:t>
      </w:r>
      <w:r>
        <w:rPr>
          <w:rFonts w:hAnsi="宋体" w:hint="eastAsia"/>
        </w:rPr>
        <w:t>A类</w:t>
      </w:r>
      <w:r>
        <w:rPr>
          <w:rFonts w:hAnsi="宋体"/>
        </w:rPr>
        <w:t>基金份额</w:t>
      </w:r>
      <w:r>
        <w:rPr>
          <w:rFonts w:hAnsi="宋体" w:cs="Times New Roman" w:hint="eastAsia"/>
        </w:rPr>
        <w:t>，对应的未付收益为100 元，该投资者申请全部赎回持有的</w:t>
      </w:r>
      <w:r>
        <w:rPr>
          <w:rFonts w:hAnsi="宋体" w:hint="eastAsia"/>
        </w:rPr>
        <w:t>A类</w:t>
      </w:r>
      <w:r>
        <w:rPr>
          <w:rFonts w:hAnsi="宋体"/>
        </w:rPr>
        <w:t>基金份额</w:t>
      </w:r>
      <w:r>
        <w:rPr>
          <w:rFonts w:hAnsi="宋体" w:cs="Times New Roman" w:hint="eastAsia"/>
        </w:rPr>
        <w:t>，则其可得到的赎回金额为：</w:t>
      </w:r>
    </w:p>
    <w:p w14:paraId="28650FD9" w14:textId="77777777" w:rsidR="00D04107" w:rsidRDefault="000C2DB0" w:rsidP="000C2DB0">
      <w:pPr>
        <w:pStyle w:val="Default"/>
        <w:spacing w:line="360" w:lineRule="auto"/>
        <w:ind w:firstLineChars="177" w:firstLine="425"/>
        <w:rPr>
          <w:rFonts w:hAnsi="宋体" w:cs="Times New Roman"/>
        </w:rPr>
      </w:pPr>
      <w:r>
        <w:rPr>
          <w:rFonts w:hAnsi="宋体" w:cs="Times New Roman" w:hint="eastAsia"/>
        </w:rPr>
        <w:t>赎回金额=100,000×1.00 + 100.00=100,100.00元</w:t>
      </w:r>
    </w:p>
    <w:p w14:paraId="481DBA98" w14:textId="77777777" w:rsidR="00D04107" w:rsidRDefault="000C2DB0" w:rsidP="000C2DB0">
      <w:pPr>
        <w:pStyle w:val="Default"/>
        <w:spacing w:line="360" w:lineRule="auto"/>
        <w:ind w:firstLineChars="177" w:firstLine="425"/>
      </w:pPr>
      <w:r>
        <w:rPr>
          <w:rFonts w:hAnsi="宋体" w:cs="Times New Roman" w:hint="eastAsia"/>
        </w:rPr>
        <w:lastRenderedPageBreak/>
        <w:t>即该投资者赎回100,000份本基金</w:t>
      </w:r>
      <w:r>
        <w:rPr>
          <w:rFonts w:hAnsi="宋体" w:hint="eastAsia"/>
        </w:rPr>
        <w:t>A类</w:t>
      </w:r>
      <w:r>
        <w:rPr>
          <w:rFonts w:hAnsi="宋体"/>
        </w:rPr>
        <w:t>基金份额</w:t>
      </w:r>
      <w:r>
        <w:rPr>
          <w:rFonts w:hAnsi="宋体" w:cs="Times New Roman" w:hint="eastAsia"/>
        </w:rPr>
        <w:t>，则其可得到的赎回金额为100,100元。</w:t>
      </w:r>
    </w:p>
    <w:p w14:paraId="378C2CFD" w14:textId="77777777" w:rsidR="00D04107" w:rsidRDefault="000C2DB0" w:rsidP="000C2DB0">
      <w:pPr>
        <w:spacing w:line="360" w:lineRule="auto"/>
        <w:ind w:firstLineChars="177" w:firstLine="425"/>
        <w:rPr>
          <w:rFonts w:ascii="宋体" w:hAnsi="宋体"/>
          <w:color w:val="000000"/>
          <w:kern w:val="0"/>
          <w:sz w:val="24"/>
        </w:rPr>
      </w:pPr>
      <w:bookmarkStart w:id="59" w:name="_Toc79392614"/>
      <w:r>
        <w:rPr>
          <w:rFonts w:ascii="宋体" w:hAnsi="宋体" w:hint="eastAsia"/>
          <w:color w:val="000000"/>
          <w:kern w:val="0"/>
          <w:sz w:val="24"/>
        </w:rPr>
        <w:t>（七）</w:t>
      </w:r>
      <w:bookmarkEnd w:id="59"/>
      <w:r>
        <w:rPr>
          <w:rFonts w:ascii="宋体" w:hAnsi="宋体" w:hint="eastAsia"/>
          <w:color w:val="000000"/>
          <w:kern w:val="0"/>
          <w:sz w:val="24"/>
        </w:rPr>
        <w:t>拒绝或暂停申购的情形</w:t>
      </w:r>
    </w:p>
    <w:p w14:paraId="17A6C29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发生下列情况时，基金管理人可拒绝或暂停接受投资人的申购申请：</w:t>
      </w:r>
    </w:p>
    <w:p w14:paraId="7384358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1、因不可抗力导致基金无法正常运作；</w:t>
      </w:r>
    </w:p>
    <w:p w14:paraId="320592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2、发生基金合同规定的暂停基金资产估值情况时，基金管理人可暂停接受投资人的申购申请；</w:t>
      </w:r>
    </w:p>
    <w:p w14:paraId="1AD0E2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5A7FF257"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4、本基金出现当日已实现收益或累计未分配已实现收益小于零的情形，为保护持有人的利益，基金管理人将暂停本基金的申购；</w:t>
      </w:r>
    </w:p>
    <w:p w14:paraId="7980D216"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 xml:space="preserve">5、申购达到基金管理人设定的数额限制； </w:t>
      </w:r>
    </w:p>
    <w:p w14:paraId="5E089811"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t>6、某笔申购超过基金管理人公告的单笔申购上限；</w:t>
      </w:r>
    </w:p>
    <w:p w14:paraId="0ABEAA9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7、接受某笔或某些申购申请可能会影响或损害现有基金份额持有人利益时；</w:t>
      </w:r>
    </w:p>
    <w:p w14:paraId="4FA3BB6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8、基金资产规模过大，使基金管理人无法找到合适的投资品种，或其他可能对基金业绩产生负面影响，或发生其他损害现有基金份额持有人利益的情形；</w:t>
      </w:r>
    </w:p>
    <w:p w14:paraId="57590F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9、销售机构、登记机构因异常情况无法正常办理申购业务；</w:t>
      </w:r>
    </w:p>
    <w:p w14:paraId="0EBA13BF" w14:textId="77777777" w:rsidR="000234E3" w:rsidRDefault="00251D43" w:rsidP="000234E3">
      <w:pPr>
        <w:spacing w:line="360" w:lineRule="auto"/>
        <w:ind w:firstLineChars="200" w:firstLine="480"/>
        <w:rPr>
          <w:rFonts w:ascii="宋体" w:hAnsi="宋体"/>
          <w:color w:val="000000"/>
          <w:kern w:val="0"/>
          <w:sz w:val="24"/>
        </w:rPr>
      </w:pPr>
      <w:r>
        <w:rPr>
          <w:rFonts w:ascii="宋体" w:hAnsi="宋体" w:hint="eastAsia"/>
          <w:color w:val="000000"/>
          <w:kern w:val="0"/>
          <w:sz w:val="24"/>
        </w:rPr>
        <w:t>10</w:t>
      </w:r>
      <w:r w:rsidR="000C2DB0">
        <w:rPr>
          <w:rFonts w:ascii="宋体" w:hAnsi="宋体" w:hint="eastAsia"/>
          <w:color w:val="000000"/>
          <w:kern w:val="0"/>
          <w:sz w:val="24"/>
        </w:rPr>
        <w:t>、当影子定价确定的基金资产净值与摊余成本法计算的基金资产净值的正偏离度绝对值达到0.5%时；</w:t>
      </w:r>
    </w:p>
    <w:p w14:paraId="139441F5" w14:textId="77777777" w:rsidR="000234E3" w:rsidRPr="000234E3" w:rsidRDefault="000234E3">
      <w:pPr>
        <w:spacing w:line="360" w:lineRule="auto"/>
        <w:ind w:firstLineChars="200" w:firstLine="480"/>
        <w:rPr>
          <w:kern w:val="0"/>
          <w:sz w:val="24"/>
        </w:rPr>
      </w:pPr>
      <w:r w:rsidRPr="000234E3">
        <w:rPr>
          <w:rFonts w:ascii="宋体" w:hAnsi="宋体" w:hint="eastAsia"/>
          <w:color w:val="000000"/>
          <w:kern w:val="0"/>
          <w:sz w:val="24"/>
        </w:rPr>
        <w:t>1</w:t>
      </w:r>
      <w:r w:rsidR="006040F8">
        <w:rPr>
          <w:rFonts w:ascii="宋体" w:hAnsi="宋体" w:hint="eastAsia"/>
          <w:color w:val="000000"/>
          <w:kern w:val="0"/>
          <w:sz w:val="24"/>
        </w:rPr>
        <w:t>1</w:t>
      </w:r>
      <w:r w:rsidRPr="000234E3">
        <w:rPr>
          <w:rFonts w:ascii="宋体" w:hAnsi="宋体" w:hint="eastAsia"/>
          <w:color w:val="000000"/>
          <w:kern w:val="0"/>
          <w:sz w:val="24"/>
        </w:rPr>
        <w:t>、</w:t>
      </w:r>
      <w:r w:rsidRPr="000234E3">
        <w:rPr>
          <w:rFonts w:hint="eastAsia"/>
          <w:kern w:val="0"/>
          <w:sz w:val="24"/>
        </w:rPr>
        <w:t>基金管理人接受某笔或者某些申购申请有可能导致单一投资者持有基金份额的比例达到或者超过</w:t>
      </w:r>
      <w:r w:rsidRPr="000234E3">
        <w:rPr>
          <w:kern w:val="0"/>
          <w:sz w:val="24"/>
        </w:rPr>
        <w:t>50%</w:t>
      </w:r>
      <w:r w:rsidRPr="000234E3">
        <w:rPr>
          <w:rFonts w:hint="eastAsia"/>
          <w:kern w:val="0"/>
          <w:sz w:val="24"/>
        </w:rPr>
        <w:t>，或者变相规避</w:t>
      </w:r>
      <w:r w:rsidRPr="000234E3">
        <w:rPr>
          <w:kern w:val="0"/>
          <w:sz w:val="24"/>
        </w:rPr>
        <w:t>50%</w:t>
      </w:r>
      <w:r w:rsidRPr="000234E3">
        <w:rPr>
          <w:rFonts w:hint="eastAsia"/>
          <w:kern w:val="0"/>
          <w:sz w:val="24"/>
        </w:rPr>
        <w:t>集中度的情形时。</w:t>
      </w:r>
    </w:p>
    <w:p w14:paraId="39B316FE" w14:textId="77777777" w:rsidR="000234E3" w:rsidRDefault="000234E3" w:rsidP="000234E3">
      <w:pPr>
        <w:spacing w:line="360" w:lineRule="auto"/>
        <w:ind w:firstLineChars="200" w:firstLine="480"/>
        <w:rPr>
          <w:rFonts w:ascii="宋体" w:hAnsi="宋体"/>
          <w:kern w:val="0"/>
          <w:sz w:val="24"/>
        </w:rPr>
      </w:pPr>
      <w:r w:rsidRPr="004E263D">
        <w:rPr>
          <w:rFonts w:ascii="宋体" w:hAnsi="宋体" w:hint="eastAsia"/>
          <w:kern w:val="0"/>
          <w:sz w:val="24"/>
        </w:rPr>
        <w:t>1</w:t>
      </w:r>
      <w:r w:rsidR="006040F8">
        <w:rPr>
          <w:rFonts w:ascii="宋体" w:hAnsi="宋体" w:hint="eastAsia"/>
          <w:kern w:val="0"/>
          <w:sz w:val="24"/>
        </w:rPr>
        <w:t>2</w:t>
      </w:r>
      <w:r w:rsidRPr="004E263D">
        <w:rPr>
          <w:rFonts w:ascii="宋体" w:hAnsi="宋体" w:hint="eastAsia"/>
          <w:kern w:val="0"/>
          <w:sz w:val="24"/>
        </w:rPr>
        <w:t>、当前一估值日基金资产净值</w:t>
      </w:r>
      <w:r w:rsidRPr="004E263D">
        <w:rPr>
          <w:rFonts w:ascii="宋体" w:hAnsi="宋体"/>
          <w:kern w:val="0"/>
          <w:sz w:val="24"/>
        </w:rPr>
        <w:t>50%</w:t>
      </w:r>
      <w:r w:rsidRPr="004E263D">
        <w:rPr>
          <w:rFonts w:ascii="宋体" w:hAnsi="宋体" w:hint="eastAsia"/>
          <w:kern w:val="0"/>
          <w:sz w:val="24"/>
        </w:rPr>
        <w:t>以上的资产出现无可参考的活跃市场价格且采用估值技术仍导致公允价值存在重大不确定性时，经与基金托管人协商确认后，基金管理人应当暂停基金估值并采取暂停接受基金申购申请的措施。</w:t>
      </w:r>
    </w:p>
    <w:p w14:paraId="2685D096" w14:textId="77777777" w:rsidR="006040F8" w:rsidRPr="006040F8" w:rsidRDefault="006040F8" w:rsidP="004C48A0">
      <w:pPr>
        <w:spacing w:line="360" w:lineRule="auto"/>
        <w:ind w:firstLineChars="200" w:firstLine="480"/>
        <w:rPr>
          <w:rFonts w:ascii="宋体" w:hAnsi="宋体"/>
          <w:color w:val="000000"/>
          <w:kern w:val="0"/>
          <w:sz w:val="24"/>
        </w:rPr>
      </w:pPr>
      <w:r>
        <w:rPr>
          <w:rFonts w:ascii="宋体" w:hAnsi="宋体" w:hint="eastAsia"/>
          <w:color w:val="000000"/>
          <w:kern w:val="0"/>
          <w:sz w:val="24"/>
        </w:rPr>
        <w:t>13、法律法规规定或中国证监会认定的其他情形。</w:t>
      </w:r>
    </w:p>
    <w:p w14:paraId="769FDAD0" w14:textId="77777777" w:rsidR="00B1032E" w:rsidRPr="004E263D" w:rsidRDefault="00B1032E" w:rsidP="004E263D">
      <w:pPr>
        <w:spacing w:line="360" w:lineRule="auto"/>
        <w:ind w:firstLineChars="200" w:firstLine="480"/>
        <w:rPr>
          <w:rFonts w:ascii="宋体" w:hAnsi="宋体"/>
          <w:kern w:val="0"/>
          <w:sz w:val="24"/>
        </w:rPr>
      </w:pPr>
      <w:r w:rsidRPr="004E263D">
        <w:rPr>
          <w:rFonts w:ascii="宋体" w:hAnsi="宋体" w:hint="eastAsia"/>
          <w:kern w:val="0"/>
          <w:sz w:val="24"/>
        </w:rPr>
        <w:t>发生上述第</w:t>
      </w:r>
      <w:r w:rsidRPr="004E263D">
        <w:rPr>
          <w:rFonts w:ascii="宋体" w:hAnsi="宋体"/>
          <w:kern w:val="0"/>
          <w:sz w:val="24"/>
        </w:rPr>
        <w:t>1</w:t>
      </w:r>
      <w:r w:rsidRPr="004E263D">
        <w:rPr>
          <w:rFonts w:ascii="宋体" w:hAnsi="宋体" w:hint="eastAsia"/>
          <w:kern w:val="0"/>
          <w:sz w:val="24"/>
        </w:rPr>
        <w:t>、</w:t>
      </w:r>
      <w:r w:rsidRPr="004E263D">
        <w:rPr>
          <w:rFonts w:ascii="宋体" w:hAnsi="宋体"/>
          <w:kern w:val="0"/>
          <w:sz w:val="24"/>
        </w:rPr>
        <w:t>2</w:t>
      </w:r>
      <w:r w:rsidRPr="004E263D">
        <w:rPr>
          <w:rFonts w:ascii="宋体" w:hAnsi="宋体" w:hint="eastAsia"/>
          <w:kern w:val="0"/>
          <w:sz w:val="24"/>
        </w:rPr>
        <w:t>、</w:t>
      </w:r>
      <w:r w:rsidRPr="004E263D">
        <w:rPr>
          <w:rFonts w:ascii="宋体" w:hAnsi="宋体"/>
          <w:kern w:val="0"/>
          <w:sz w:val="24"/>
        </w:rPr>
        <w:t>3</w:t>
      </w:r>
      <w:r w:rsidRPr="004E263D">
        <w:rPr>
          <w:rFonts w:ascii="宋体" w:hAnsi="宋体" w:hint="eastAsia"/>
          <w:kern w:val="0"/>
          <w:sz w:val="24"/>
        </w:rPr>
        <w:t>、</w:t>
      </w:r>
      <w:r w:rsidRPr="004E263D">
        <w:rPr>
          <w:rFonts w:ascii="宋体" w:hAnsi="宋体"/>
          <w:kern w:val="0"/>
          <w:sz w:val="24"/>
        </w:rPr>
        <w:t>4</w:t>
      </w:r>
      <w:r w:rsidRPr="004E263D">
        <w:rPr>
          <w:rFonts w:ascii="宋体" w:hAnsi="宋体" w:hint="eastAsia"/>
          <w:kern w:val="0"/>
          <w:sz w:val="24"/>
        </w:rPr>
        <w:t>、</w:t>
      </w:r>
      <w:r w:rsidRPr="004E263D">
        <w:rPr>
          <w:rFonts w:ascii="宋体" w:hAnsi="宋体"/>
          <w:kern w:val="0"/>
          <w:sz w:val="24"/>
        </w:rPr>
        <w:t>8</w:t>
      </w:r>
      <w:r w:rsidRPr="004E263D">
        <w:rPr>
          <w:rFonts w:ascii="宋体" w:hAnsi="宋体" w:hint="eastAsia"/>
          <w:kern w:val="0"/>
          <w:sz w:val="24"/>
        </w:rPr>
        <w:t>、</w:t>
      </w:r>
      <w:r w:rsidRPr="004E263D">
        <w:rPr>
          <w:rFonts w:ascii="宋体" w:hAnsi="宋体"/>
          <w:kern w:val="0"/>
          <w:sz w:val="24"/>
        </w:rPr>
        <w:t>9</w:t>
      </w:r>
      <w:r w:rsidRPr="004E263D">
        <w:rPr>
          <w:rFonts w:ascii="宋体" w:hAnsi="宋体" w:hint="eastAsia"/>
          <w:kern w:val="0"/>
          <w:sz w:val="24"/>
        </w:rPr>
        <w:t>、</w:t>
      </w:r>
      <w:r w:rsidRPr="004E263D">
        <w:rPr>
          <w:rFonts w:ascii="宋体" w:hAnsi="宋体"/>
          <w:kern w:val="0"/>
          <w:sz w:val="24"/>
        </w:rPr>
        <w:t>10</w:t>
      </w:r>
      <w:r w:rsidRPr="004E263D">
        <w:rPr>
          <w:rFonts w:ascii="宋体" w:hAnsi="宋体" w:hint="eastAsia"/>
          <w:kern w:val="0"/>
          <w:sz w:val="24"/>
        </w:rPr>
        <w:t>、</w:t>
      </w:r>
      <w:r w:rsidRPr="004E263D">
        <w:rPr>
          <w:rFonts w:ascii="宋体" w:hAnsi="宋体"/>
          <w:kern w:val="0"/>
          <w:sz w:val="24"/>
        </w:rPr>
        <w:t>12</w:t>
      </w:r>
      <w:r w:rsidRPr="004E263D">
        <w:rPr>
          <w:rFonts w:ascii="宋体" w:hAnsi="宋体" w:hint="eastAsia"/>
          <w:kern w:val="0"/>
          <w:sz w:val="24"/>
        </w:rPr>
        <w:t>、</w:t>
      </w:r>
      <w:r w:rsidRPr="004E263D">
        <w:rPr>
          <w:rFonts w:ascii="宋体" w:hAnsi="宋体"/>
          <w:kern w:val="0"/>
          <w:sz w:val="24"/>
        </w:rPr>
        <w:t>13</w:t>
      </w:r>
      <w:r w:rsidRPr="004E263D">
        <w:rPr>
          <w:rFonts w:ascii="宋体" w:hAnsi="宋体" w:hint="eastAsia"/>
          <w:kern w:val="0"/>
          <w:sz w:val="24"/>
        </w:rPr>
        <w:t>项暂停申购情形之一且基金管理人决定暂停申购时，基金管理人应当根据有关规定在指定媒介上刊登暂停申购公告。如果投资人的申购申请被拒绝，被拒绝的申购款项将退还给投资人。在暂停申购的</w:t>
      </w:r>
      <w:r w:rsidRPr="004E263D">
        <w:rPr>
          <w:rFonts w:ascii="宋体" w:hAnsi="宋体" w:hint="eastAsia"/>
          <w:kern w:val="0"/>
          <w:sz w:val="24"/>
        </w:rPr>
        <w:lastRenderedPageBreak/>
        <w:t>情况消除时，基金管理人应及时恢复申购业务的办理。</w:t>
      </w:r>
    </w:p>
    <w:p w14:paraId="6D9A52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（八）暂停赎回或延缓支付赎回款项的情形</w:t>
      </w:r>
    </w:p>
    <w:p w14:paraId="546E0C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发生下列情形时，基金管理人可暂停接受投资人的赎回申请或延缓支付赎回款项：</w:t>
      </w:r>
    </w:p>
    <w:p w14:paraId="1CE52F7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1、因不可抗力导致基金管理人无法支付赎回款项；</w:t>
      </w:r>
    </w:p>
    <w:p w14:paraId="1F5A5CF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2、发生基金合同规定的暂停基金资产估值情况；</w:t>
      </w:r>
    </w:p>
    <w:p w14:paraId="68AE4CA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3、证券交易所交易时间非正常停市，导致基金管理人无法计算当日基金资产净值；</w:t>
      </w:r>
    </w:p>
    <w:p w14:paraId="01C0388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4、连续两个或两个以上开放日发生巨额赎回；</w:t>
      </w:r>
    </w:p>
    <w:p w14:paraId="464474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5、继续接受赎回可能会影响或损害基金份额持有人利益的情形时</w:t>
      </w:r>
      <w:r>
        <w:rPr>
          <w:rFonts w:ascii="宋体" w:hAnsi="宋体"/>
          <w:color w:val="000000"/>
          <w:kern w:val="0"/>
          <w:sz w:val="24"/>
        </w:rPr>
        <w:t>；</w:t>
      </w:r>
    </w:p>
    <w:p w14:paraId="4B33189F" w14:textId="77777777" w:rsidR="00D04107" w:rsidRDefault="000C2DB0" w:rsidP="000C2DB0">
      <w:pPr>
        <w:spacing w:line="360" w:lineRule="auto"/>
        <w:ind w:firstLineChars="177" w:firstLine="425"/>
        <w:rPr>
          <w:rFonts w:ascii="宋体" w:hAnsi="宋体"/>
          <w:bCs/>
          <w:color w:val="000000"/>
          <w:kern w:val="0"/>
          <w:sz w:val="24"/>
        </w:rPr>
      </w:pPr>
      <w:r>
        <w:rPr>
          <w:rFonts w:ascii="宋体" w:hAnsi="宋体" w:hint="eastAsia"/>
          <w:bCs/>
          <w:color w:val="000000"/>
          <w:kern w:val="0"/>
          <w:sz w:val="24"/>
        </w:rPr>
        <w:t>6、本基金出现当日已实现收益或累计未分配已实现收益小于零的情形，为保护基金份额持有人的利益，基金管理人可暂停本基金的赎回；</w:t>
      </w:r>
    </w:p>
    <w:p w14:paraId="02445DE3" w14:textId="77777777" w:rsidR="00D04107" w:rsidRDefault="000C2DB0" w:rsidP="000C2DB0">
      <w:pPr>
        <w:spacing w:line="360" w:lineRule="auto"/>
        <w:ind w:firstLineChars="177" w:firstLine="425"/>
        <w:rPr>
          <w:rFonts w:ascii="宋体" w:hAnsi="宋体"/>
          <w:bCs/>
          <w:color w:val="000000"/>
          <w:kern w:val="0"/>
          <w:sz w:val="24"/>
        </w:rPr>
      </w:pPr>
      <w:r>
        <w:rPr>
          <w:rFonts w:ascii="宋体" w:hAnsi="宋体"/>
          <w:bCs/>
          <w:color w:val="000000"/>
          <w:kern w:val="0"/>
          <w:sz w:val="24"/>
        </w:rPr>
        <w:t>7</w:t>
      </w:r>
      <w:r>
        <w:rPr>
          <w:rFonts w:ascii="宋体" w:hAnsi="宋体" w:hint="eastAsia"/>
          <w:bCs/>
          <w:color w:val="000000"/>
          <w:kern w:val="0"/>
          <w:sz w:val="24"/>
        </w:rPr>
        <w:t xml:space="preserve">、当日赎回申请达到基金管理人设定的数额限制； </w:t>
      </w:r>
    </w:p>
    <w:p w14:paraId="13D283F1" w14:textId="77777777" w:rsidR="00D04107" w:rsidRDefault="000C2DB0" w:rsidP="000C2DB0">
      <w:pPr>
        <w:spacing w:line="360" w:lineRule="auto"/>
        <w:ind w:firstLineChars="177" w:firstLine="425"/>
        <w:rPr>
          <w:rFonts w:ascii="宋体" w:hAnsi="宋体"/>
          <w:bCs/>
          <w:color w:val="000000"/>
          <w:kern w:val="0"/>
          <w:sz w:val="24"/>
        </w:rPr>
      </w:pPr>
      <w:r>
        <w:rPr>
          <w:rFonts w:ascii="宋体" w:hAnsi="宋体"/>
          <w:bCs/>
          <w:color w:val="000000"/>
          <w:kern w:val="0"/>
          <w:sz w:val="24"/>
        </w:rPr>
        <w:t>8</w:t>
      </w:r>
      <w:r>
        <w:rPr>
          <w:rFonts w:ascii="宋体" w:hAnsi="宋体" w:hint="eastAsia"/>
          <w:bCs/>
          <w:color w:val="000000"/>
          <w:kern w:val="0"/>
          <w:sz w:val="24"/>
        </w:rPr>
        <w:t>、当影子定价确定的基金资产净值与摊余成本法计算的基金资产净值的负偏离度绝对值连续两个交易日超过0.5%时，基金管理人决定履行适当程序终止基金合同的；</w:t>
      </w:r>
    </w:p>
    <w:p w14:paraId="0E1C6A0E" w14:textId="77777777" w:rsidR="00520725" w:rsidRPr="00520725" w:rsidRDefault="00520725" w:rsidP="000C2DB0">
      <w:pPr>
        <w:spacing w:line="360" w:lineRule="auto"/>
        <w:ind w:firstLineChars="177" w:firstLine="425"/>
        <w:rPr>
          <w:rFonts w:ascii="宋体" w:hAnsi="宋体"/>
          <w:bCs/>
          <w:color w:val="000000"/>
          <w:kern w:val="0"/>
          <w:sz w:val="24"/>
        </w:rPr>
      </w:pPr>
      <w:r w:rsidRPr="00520725">
        <w:rPr>
          <w:rFonts w:ascii="宋体" w:hAnsi="宋体" w:hint="eastAsia"/>
          <w:bCs/>
          <w:color w:val="000000"/>
          <w:kern w:val="0"/>
          <w:sz w:val="24"/>
        </w:rPr>
        <w:t>9、</w:t>
      </w:r>
      <w:r w:rsidRPr="00520725">
        <w:rPr>
          <w:rFonts w:hint="eastAsia"/>
          <w:kern w:val="0"/>
          <w:sz w:val="24"/>
        </w:rPr>
        <w:t>当前一估值日基金资产净值</w:t>
      </w:r>
      <w:r w:rsidRPr="00520725">
        <w:rPr>
          <w:kern w:val="0"/>
          <w:sz w:val="24"/>
        </w:rPr>
        <w:t>50%</w:t>
      </w:r>
      <w:r w:rsidRPr="00520725">
        <w:rPr>
          <w:rFonts w:hint="eastAsia"/>
          <w:kern w:val="0"/>
          <w:sz w:val="24"/>
        </w:rPr>
        <w:t>以上的资产出现无可参考的活跃市场价格且采用估值技术仍导致公允价值存在重大不确定性时，经与基金托管人协商确认后，基金管理人应当暂停基金估值并采取延缓支付赎回款项或暂停接受基金赎回申请的措施。</w:t>
      </w:r>
    </w:p>
    <w:p w14:paraId="731D59B9" w14:textId="77777777" w:rsidR="00D04107" w:rsidRDefault="00520725"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10</w:t>
      </w:r>
      <w:r w:rsidR="000C2DB0">
        <w:rPr>
          <w:rFonts w:ascii="宋体" w:hAnsi="宋体" w:hint="eastAsia"/>
          <w:color w:val="000000"/>
          <w:kern w:val="0"/>
          <w:sz w:val="24"/>
        </w:rPr>
        <w:t>、法律法规规定或中国证监会认定的其他情形。</w:t>
      </w:r>
    </w:p>
    <w:p w14:paraId="480808B7" w14:textId="77777777" w:rsidR="00D04107" w:rsidRDefault="000C2DB0" w:rsidP="000C2DB0">
      <w:pPr>
        <w:spacing w:line="360" w:lineRule="auto"/>
        <w:ind w:firstLineChars="177" w:firstLine="425"/>
        <w:rPr>
          <w:bCs/>
          <w:sz w:val="24"/>
        </w:rPr>
      </w:pPr>
      <w:r>
        <w:rPr>
          <w:rFonts w:hint="eastAsia"/>
          <w:bCs/>
          <w:sz w:val="24"/>
        </w:rPr>
        <w:t>发生上述情形之一且基金管理人决定暂停或拒绝接受基金份额持有人赎回申请时，基金管理人应在当日报中国证监会备案，已确认的赎回申请，基金管理人应足额支付；如暂时不能足额支付，应将可支付部分按单个账户申请量占申请总量的比例分配给赎回申请人，未支付部分可延期支付。若出现上述第</w:t>
      </w:r>
      <w:r>
        <w:rPr>
          <w:rFonts w:hint="eastAsia"/>
          <w:bCs/>
          <w:sz w:val="24"/>
        </w:rPr>
        <w:t>4</w:t>
      </w:r>
      <w:r>
        <w:rPr>
          <w:rFonts w:hint="eastAsia"/>
          <w:bCs/>
          <w:sz w:val="24"/>
        </w:rPr>
        <w:t>项所述情形，按基金合同的相关条款处理。基金份额持有人在申请赎回时可事先选择将当日可能未获受理部分予以撤销。在暂停赎回的情况消除时，基金管理人应及时恢复赎回业务的办理并公告。</w:t>
      </w:r>
    </w:p>
    <w:p w14:paraId="77432DB8" w14:textId="77777777" w:rsidR="00D04107" w:rsidRDefault="000C2DB0">
      <w:pPr>
        <w:spacing w:line="360" w:lineRule="auto"/>
        <w:ind w:firstLineChars="200" w:firstLine="480"/>
        <w:rPr>
          <w:rFonts w:ascii="宋体" w:hAnsi="宋体"/>
          <w:bCs/>
          <w:color w:val="000000"/>
          <w:kern w:val="0"/>
          <w:sz w:val="24"/>
        </w:rPr>
      </w:pPr>
      <w:r>
        <w:rPr>
          <w:rFonts w:ascii="宋体" w:hAnsi="宋体" w:hint="eastAsia"/>
          <w:bCs/>
          <w:color w:val="000000"/>
          <w:kern w:val="0"/>
          <w:sz w:val="24"/>
        </w:rPr>
        <w:lastRenderedPageBreak/>
        <w:t>为公平对待不同类别基金份额持有人的合法权益，单个基金份额持有人在单个开放日申请赎回基金份额超过基金总份额10%的，基金管理人可以采取延期办理部分赎回申请或者延缓支付赎回款项的措施。</w:t>
      </w:r>
    </w:p>
    <w:p w14:paraId="673DD2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（九）巨额赎回的情形及处理方式</w:t>
      </w:r>
    </w:p>
    <w:p w14:paraId="49C126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1、巨额赎回的认定</w:t>
      </w:r>
    </w:p>
    <w:p w14:paraId="11E67153" w14:textId="77777777" w:rsidR="00D04107" w:rsidRDefault="000C2DB0">
      <w:pPr>
        <w:spacing w:line="360" w:lineRule="auto"/>
        <w:ind w:firstLineChars="200" w:firstLine="480"/>
        <w:rPr>
          <w:rFonts w:ascii="宋体" w:hAnsi="宋体"/>
          <w:bCs/>
          <w:sz w:val="24"/>
        </w:rPr>
      </w:pPr>
      <w:r>
        <w:rPr>
          <w:rFonts w:ascii="宋体" w:hAnsi="宋体" w:hint="eastAsia"/>
          <w:bCs/>
          <w:sz w:val="24"/>
        </w:rPr>
        <w:t>若本基金</w:t>
      </w:r>
      <w:r>
        <w:rPr>
          <w:rFonts w:ascii="宋体" w:hAnsi="宋体"/>
          <w:bCs/>
          <w:sz w:val="24"/>
        </w:rPr>
        <w:t>单个开放日内，</w:t>
      </w:r>
      <w:r>
        <w:rPr>
          <w:rFonts w:ascii="宋体" w:hAnsi="宋体" w:hint="eastAsia"/>
          <w:bCs/>
          <w:sz w:val="24"/>
        </w:rPr>
        <w:t>各类</w:t>
      </w:r>
      <w:r>
        <w:rPr>
          <w:rFonts w:ascii="宋体" w:hAnsi="宋体"/>
          <w:bCs/>
          <w:sz w:val="24"/>
        </w:rPr>
        <w:t>基金份额净赎回申请（赎回申请份额总数加上基金转换中转出申请份额</w:t>
      </w:r>
      <w:r>
        <w:rPr>
          <w:rFonts w:ascii="宋体" w:hAnsi="宋体" w:hint="eastAsia"/>
          <w:bCs/>
          <w:sz w:val="24"/>
        </w:rPr>
        <w:t>总数</w:t>
      </w:r>
      <w:r>
        <w:rPr>
          <w:rFonts w:ascii="宋体" w:hAnsi="宋体"/>
          <w:bCs/>
          <w:sz w:val="24"/>
        </w:rPr>
        <w:t>后扣除</w:t>
      </w:r>
      <w:r>
        <w:rPr>
          <w:rFonts w:ascii="宋体" w:hAnsi="宋体" w:hint="eastAsia"/>
          <w:bCs/>
          <w:sz w:val="24"/>
        </w:rPr>
        <w:t>申购</w:t>
      </w:r>
      <w:r>
        <w:rPr>
          <w:rFonts w:ascii="宋体" w:hAnsi="宋体"/>
          <w:bCs/>
          <w:sz w:val="24"/>
        </w:rPr>
        <w:t>申请</w:t>
      </w:r>
      <w:r>
        <w:rPr>
          <w:rFonts w:ascii="宋体" w:hAnsi="宋体" w:hint="eastAsia"/>
          <w:bCs/>
          <w:sz w:val="24"/>
        </w:rPr>
        <w:t>份额</w:t>
      </w:r>
      <w:r>
        <w:rPr>
          <w:rFonts w:ascii="宋体" w:hAnsi="宋体"/>
          <w:bCs/>
          <w:sz w:val="24"/>
        </w:rPr>
        <w:t>总数及基金转换中转入申请份额总数后的</w:t>
      </w:r>
      <w:r>
        <w:rPr>
          <w:rFonts w:ascii="宋体" w:hAnsi="宋体" w:hint="eastAsia"/>
          <w:bCs/>
          <w:sz w:val="24"/>
        </w:rPr>
        <w:t>余额</w:t>
      </w:r>
      <w:r>
        <w:rPr>
          <w:rFonts w:ascii="宋体" w:hAnsi="宋体"/>
          <w:bCs/>
          <w:sz w:val="24"/>
        </w:rPr>
        <w:t>）超过前一开放日的基金总份额的</w:t>
      </w:r>
      <w:r>
        <w:rPr>
          <w:rFonts w:ascii="宋体" w:hAnsi="宋体" w:hint="eastAsia"/>
          <w:bCs/>
          <w:sz w:val="24"/>
        </w:rPr>
        <w:t>10</w:t>
      </w:r>
      <w:r>
        <w:rPr>
          <w:rFonts w:ascii="宋体" w:hAnsi="宋体"/>
          <w:bCs/>
          <w:sz w:val="24"/>
        </w:rPr>
        <w:t>%，即认为</w:t>
      </w:r>
      <w:r>
        <w:rPr>
          <w:rFonts w:ascii="宋体" w:hAnsi="宋体" w:hint="eastAsia"/>
          <w:bCs/>
          <w:sz w:val="24"/>
        </w:rPr>
        <w:t>各类</w:t>
      </w:r>
      <w:r>
        <w:rPr>
          <w:rFonts w:ascii="宋体" w:hAnsi="宋体"/>
          <w:bCs/>
          <w:sz w:val="24"/>
        </w:rPr>
        <w:t>基金份额发生了</w:t>
      </w:r>
      <w:r>
        <w:rPr>
          <w:rFonts w:ascii="宋体" w:hAnsi="宋体" w:hint="eastAsia"/>
          <w:bCs/>
          <w:sz w:val="24"/>
        </w:rPr>
        <w:t>巨额</w:t>
      </w:r>
      <w:r>
        <w:rPr>
          <w:rFonts w:ascii="宋体" w:hAnsi="宋体"/>
          <w:bCs/>
          <w:sz w:val="24"/>
        </w:rPr>
        <w:t>赎回。</w:t>
      </w:r>
    </w:p>
    <w:p w14:paraId="509636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w:t>
      </w:r>
      <w:r>
        <w:rPr>
          <w:rFonts w:ascii="宋体" w:hAnsi="宋体" w:hint="eastAsia"/>
          <w:bCs/>
          <w:sz w:val="24"/>
        </w:rPr>
        <w:t>各类</w:t>
      </w:r>
      <w:r>
        <w:rPr>
          <w:rFonts w:ascii="宋体" w:hAnsi="宋体"/>
          <w:bCs/>
          <w:sz w:val="24"/>
        </w:rPr>
        <w:t>基金份额</w:t>
      </w:r>
      <w:r>
        <w:rPr>
          <w:rFonts w:ascii="宋体" w:hAnsi="宋体" w:hint="eastAsia"/>
          <w:color w:val="000000"/>
          <w:kern w:val="0"/>
          <w:sz w:val="24"/>
        </w:rPr>
        <w:t>巨额赎回的处理方式</w:t>
      </w:r>
    </w:p>
    <w:p w14:paraId="2DB49813" w14:textId="77777777" w:rsidR="00D04107" w:rsidRDefault="000C2DB0">
      <w:pPr>
        <w:spacing w:line="360" w:lineRule="auto"/>
        <w:ind w:firstLineChars="200" w:firstLine="480"/>
        <w:rPr>
          <w:bCs/>
          <w:sz w:val="24"/>
          <w:szCs w:val="20"/>
        </w:rPr>
      </w:pPr>
      <w:r>
        <w:rPr>
          <w:bCs/>
          <w:sz w:val="24"/>
          <w:szCs w:val="20"/>
        </w:rPr>
        <w:t>当</w:t>
      </w:r>
      <w:r>
        <w:rPr>
          <w:rFonts w:ascii="宋体" w:hAnsi="宋体" w:hint="eastAsia"/>
          <w:bCs/>
          <w:sz w:val="24"/>
        </w:rPr>
        <w:t>各类</w:t>
      </w:r>
      <w:r>
        <w:rPr>
          <w:bCs/>
          <w:sz w:val="24"/>
          <w:szCs w:val="20"/>
        </w:rPr>
        <w:t>基金</w:t>
      </w:r>
      <w:r>
        <w:rPr>
          <w:rFonts w:hint="eastAsia"/>
          <w:bCs/>
          <w:sz w:val="24"/>
          <w:szCs w:val="20"/>
        </w:rPr>
        <w:t>份额</w:t>
      </w:r>
      <w:r>
        <w:rPr>
          <w:bCs/>
          <w:sz w:val="24"/>
          <w:szCs w:val="20"/>
        </w:rPr>
        <w:t>出现巨额赎回时，基金管理人可以根据基金当时的资产组合状况决定全额赎回或部分延期赎回。</w:t>
      </w:r>
    </w:p>
    <w:p w14:paraId="043ADB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（1）全额赎回：当基金管理人认为有能力支付投资人的全部</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赎回申请时，按正常赎回程序执行。</w:t>
      </w:r>
    </w:p>
    <w:p w14:paraId="610D668F" w14:textId="77777777" w:rsidR="00737200" w:rsidRPr="00737200" w:rsidRDefault="000C2DB0">
      <w:pPr>
        <w:spacing w:line="360" w:lineRule="auto"/>
        <w:ind w:firstLineChars="200" w:firstLine="480"/>
        <w:rPr>
          <w:rFonts w:asciiTheme="minorEastAsia" w:eastAsiaTheme="minorEastAsia" w:hAnsiTheme="minorEastAsia"/>
          <w:kern w:val="0"/>
          <w:sz w:val="24"/>
        </w:rPr>
      </w:pPr>
      <w:r w:rsidRPr="00737200">
        <w:rPr>
          <w:rFonts w:asciiTheme="minorEastAsia" w:eastAsiaTheme="minorEastAsia" w:hAnsiTheme="minorEastAsia" w:hint="eastAsia"/>
          <w:color w:val="000000"/>
          <w:kern w:val="0"/>
          <w:sz w:val="24"/>
        </w:rPr>
        <w:t>（2）部分延期赎回：当基金管理人认为支付投资人的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赎回申请有困难或认为因支付投资人的</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赎回申请而进行的财产变现可能会对基金资产净值造成较大波动时，基金管理人在当日接受</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赎回比例不低于上一开放日基金总份额的10%的前提下，可对其余</w:t>
      </w:r>
      <w:r w:rsidRPr="00737200">
        <w:rPr>
          <w:rFonts w:asciiTheme="minorEastAsia" w:eastAsiaTheme="minorEastAsia" w:hAnsiTheme="minorEastAsia" w:hint="eastAsia"/>
          <w:bCs/>
          <w:sz w:val="24"/>
        </w:rPr>
        <w:t>各类</w:t>
      </w:r>
      <w:r w:rsidRPr="00737200">
        <w:rPr>
          <w:rFonts w:asciiTheme="minorEastAsia" w:eastAsiaTheme="minorEastAsia" w:hAnsiTheme="minorEastAsia"/>
          <w:bCs/>
          <w:sz w:val="24"/>
        </w:rPr>
        <w:t>基金份额</w:t>
      </w:r>
      <w:r w:rsidRPr="00737200">
        <w:rPr>
          <w:rFonts w:asciiTheme="minorEastAsia" w:eastAsiaTheme="minorEastAsia" w:hAnsiTheme="minorEastAsia" w:hint="eastAsia"/>
          <w:color w:val="000000"/>
          <w:kern w:val="0"/>
          <w:sz w:val="24"/>
        </w:rPr>
        <w:t>赎回申请延期办理。</w:t>
      </w:r>
      <w:r w:rsidR="00737200" w:rsidRPr="00737200">
        <w:rPr>
          <w:rFonts w:asciiTheme="minorEastAsia" w:eastAsiaTheme="minorEastAsia" w:hAnsiTheme="minorEastAsia" w:hint="eastAsia"/>
          <w:kern w:val="0"/>
          <w:sz w:val="24"/>
        </w:rPr>
        <w:t>当发生巨额赎回时，对于单个基金份额持有人当日赎回申请超过上一开放日基金总份额</w:t>
      </w:r>
      <w:r w:rsidR="00737200" w:rsidRPr="00737200">
        <w:rPr>
          <w:rFonts w:asciiTheme="minorEastAsia" w:eastAsiaTheme="minorEastAsia" w:hAnsiTheme="minorEastAsia"/>
          <w:kern w:val="0"/>
          <w:sz w:val="24"/>
        </w:rPr>
        <w:t>50%</w:t>
      </w:r>
      <w:r w:rsidR="00737200" w:rsidRPr="00737200">
        <w:rPr>
          <w:rFonts w:asciiTheme="minorEastAsia" w:eastAsiaTheme="minorEastAsia" w:hAnsiTheme="minorEastAsia" w:hint="eastAsia"/>
          <w:kern w:val="0"/>
          <w:sz w:val="24"/>
        </w:rPr>
        <w:t>以上的部分，基金管理人应当进行延期办理。对于其余当日非自动延期办理的赎回申请，应当按单个账户非自动延期办理的赎回申请量占非自动延期办理的赎回申请总量的比例，确定当日受理的赎回份额；对于各类基金份额未能赎回部分，投资人在提交各类基金份额赎回申请时可以选择延期赎回或取消赎回。选择延期赎回的，将自动转入下一个开放日继续赎回，直到全部赎回为止；选择取消赎回的，当日未获受理的部分各类基金份额赎回申请将被撤销。延期的各类基金份额赎回申请与下一开放日赎回申请一并处理，无优先权，以此类推，直到全部赎回为止。如投资人在提交各类基金份额赎回申请时未作明确选择，投资人未能赎回部分作自动延期赎回处理。</w:t>
      </w:r>
    </w:p>
    <w:p w14:paraId="5A2467EB" w14:textId="77777777" w:rsidR="00D04107" w:rsidRDefault="000C2DB0" w:rsidP="0073720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（3）</w:t>
      </w:r>
      <w:r>
        <w:rPr>
          <w:rFonts w:ascii="宋体" w:hAnsi="宋体"/>
          <w:bCs/>
          <w:color w:val="000000"/>
          <w:kern w:val="0"/>
          <w:sz w:val="24"/>
        </w:rPr>
        <w:t>暂停赎回：</w:t>
      </w:r>
      <w:r>
        <w:rPr>
          <w:rFonts w:ascii="宋体" w:hAnsi="宋体" w:hint="eastAsia"/>
          <w:color w:val="000000"/>
          <w:kern w:val="0"/>
          <w:sz w:val="24"/>
        </w:rPr>
        <w:t>连续2个开放日以上（含本数）</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发生巨额赎回，如基金管理人认为有必要，可暂停接受</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的赎回申请；已经接受的</w:t>
      </w:r>
      <w:r>
        <w:rPr>
          <w:rFonts w:ascii="宋体" w:hAnsi="宋体" w:hint="eastAsia"/>
          <w:bCs/>
          <w:sz w:val="24"/>
        </w:rPr>
        <w:t>各类</w:t>
      </w:r>
      <w:r>
        <w:rPr>
          <w:rFonts w:ascii="宋体" w:hAnsi="宋体"/>
          <w:color w:val="000000"/>
          <w:kern w:val="0"/>
          <w:sz w:val="24"/>
        </w:rPr>
        <w:t>基金份额</w:t>
      </w:r>
      <w:r>
        <w:rPr>
          <w:rFonts w:ascii="宋体" w:hAnsi="宋体" w:hint="eastAsia"/>
          <w:color w:val="000000"/>
          <w:kern w:val="0"/>
          <w:sz w:val="24"/>
        </w:rPr>
        <w:t>赎回申请可以延缓支付赎回款项，但不得超过20个工作日，并应当在指定媒介上进行公告。</w:t>
      </w:r>
    </w:p>
    <w:p w14:paraId="41B398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3、巨额赎回的公告</w:t>
      </w:r>
    </w:p>
    <w:p w14:paraId="21F824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当发生上述延期赎回并延期办理时，基金管理人应当通过邮寄、传真或者招募说明书规定的其他方式在3个交易日内通知基金份额持有人，说明有关处理方法，同时在指定媒介上刊登公告。</w:t>
      </w:r>
    </w:p>
    <w:p w14:paraId="478A899D" w14:textId="77777777" w:rsidR="00D04107" w:rsidRDefault="000C2DB0">
      <w:pPr>
        <w:spacing w:line="360" w:lineRule="auto"/>
        <w:ind w:firstLineChars="200" w:firstLine="480"/>
        <w:rPr>
          <w:rFonts w:ascii="宋体" w:hAnsi="宋体"/>
          <w:color w:val="000000"/>
          <w:kern w:val="0"/>
          <w:sz w:val="24"/>
        </w:rPr>
      </w:pPr>
      <w:bookmarkStart w:id="60" w:name="_Toc79392617"/>
      <w:r>
        <w:rPr>
          <w:rFonts w:ascii="宋体" w:hAnsi="宋体" w:hint="eastAsia"/>
          <w:color w:val="000000"/>
          <w:kern w:val="0"/>
          <w:sz w:val="24"/>
        </w:rPr>
        <w:t>（十）暂停申购或赎回的公告和重新开放申购或赎回的公告</w:t>
      </w:r>
      <w:bookmarkEnd w:id="60"/>
    </w:p>
    <w:p w14:paraId="28CE35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1、发生上述暂停申购或赎回情况的，基金管理人当日应立即向中国证监会备案，并在规定期限内在指定媒介上刊登暂停公告。</w:t>
      </w:r>
    </w:p>
    <w:p w14:paraId="09F6F86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2、如发生暂停的时间为1日，基金管理人应于重新开放日，在指定媒介上刊登基金重新开放申购或赎回公告，并公布最近1 个开放日的每万份基金已实现收益和7 日年化收益率。 </w:t>
      </w:r>
    </w:p>
    <w:p w14:paraId="62A32E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3、如发生暂停的时间超过1 日，基金管理人自行确定公告增加次数，并根据《信息披露办法》的规定在指定媒介刊登公告。</w:t>
      </w:r>
    </w:p>
    <w:p w14:paraId="2936045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一</w:t>
      </w:r>
      <w:r>
        <w:rPr>
          <w:rFonts w:ascii="宋体" w:hAnsi="宋体" w:hint="eastAsia"/>
          <w:color w:val="000000"/>
          <w:kern w:val="0"/>
          <w:sz w:val="24"/>
        </w:rPr>
        <w:t>）基金转换</w:t>
      </w:r>
    </w:p>
    <w:p w14:paraId="185263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w:t>
      </w:r>
      <w:r>
        <w:rPr>
          <w:bCs/>
          <w:sz w:val="24"/>
        </w:rPr>
        <w:t>，并提前告知基金托管人与相关机构</w:t>
      </w:r>
      <w:r>
        <w:rPr>
          <w:rFonts w:ascii="宋体" w:hAnsi="宋体" w:hint="eastAsia"/>
          <w:color w:val="000000"/>
          <w:kern w:val="0"/>
          <w:sz w:val="24"/>
        </w:rPr>
        <w:t>。</w:t>
      </w:r>
    </w:p>
    <w:p w14:paraId="2BC173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十</w:t>
      </w:r>
      <w:r w:rsidR="00251D43">
        <w:rPr>
          <w:rFonts w:ascii="宋体" w:hAnsi="宋体" w:hint="eastAsia"/>
          <w:color w:val="000000"/>
          <w:kern w:val="0"/>
          <w:sz w:val="24"/>
        </w:rPr>
        <w:t>二</w:t>
      </w:r>
      <w:r>
        <w:rPr>
          <w:rFonts w:ascii="宋体" w:hAnsi="宋体"/>
          <w:color w:val="000000"/>
          <w:kern w:val="0"/>
          <w:sz w:val="24"/>
        </w:rPr>
        <w:t>）</w:t>
      </w:r>
      <w:r>
        <w:rPr>
          <w:rFonts w:ascii="宋体" w:hAnsi="宋体" w:hint="eastAsia"/>
          <w:color w:val="000000"/>
          <w:kern w:val="0"/>
          <w:sz w:val="24"/>
        </w:rPr>
        <w:t>基金的非交易过户</w:t>
      </w:r>
    </w:p>
    <w:p w14:paraId="37735C2D" w14:textId="77777777" w:rsidR="00D04107" w:rsidRDefault="000C2DB0">
      <w:pPr>
        <w:pStyle w:val="22"/>
        <w:adjustRightInd w:val="0"/>
        <w:snapToGrid w:val="0"/>
        <w:spacing w:after="0" w:line="360" w:lineRule="auto"/>
        <w:ind w:firstLineChars="200" w:firstLine="480"/>
        <w:rPr>
          <w:sz w:val="24"/>
        </w:rPr>
      </w:pPr>
      <w:r>
        <w:rPr>
          <w:rFonts w:hint="eastAsia"/>
          <w:sz w:val="24"/>
        </w:rPr>
        <w:t>基金的非交易过户是指基金登记机构受理继承、捐赠和司法强制执行等情形而产生的非交易过户以及登记机构认可、符合法律法规的其它非交易过户。无论在上述何种情况下，接受划转的主体必须是依法可以持有本基金基金份额的投资人。</w:t>
      </w:r>
    </w:p>
    <w:p w14:paraId="5FA3F653" w14:textId="77777777" w:rsidR="00D04107" w:rsidRDefault="000C2DB0">
      <w:pPr>
        <w:pStyle w:val="22"/>
        <w:adjustRightInd w:val="0"/>
        <w:snapToGrid w:val="0"/>
        <w:spacing w:after="0" w:line="360" w:lineRule="auto"/>
        <w:ind w:firstLineChars="200" w:firstLine="480"/>
        <w:rPr>
          <w:sz w:val="24"/>
        </w:rPr>
      </w:pPr>
      <w:r>
        <w:rPr>
          <w:rFonts w:hint="eastAsia"/>
          <w:sz w:val="24"/>
        </w:rPr>
        <w:t>继承是指基金份额持有人死亡，其持有的基金份额由其合法的继承人继承；捐赠指基金份额持有人将其合法持有的基金份额捐赠给福利性质的基金会或社会团体；司法强制执行是指司法机构依据生效司法文书将基金份额持有人持有的基金份</w:t>
      </w:r>
      <w:r>
        <w:rPr>
          <w:rFonts w:hint="eastAsia"/>
          <w:sz w:val="24"/>
        </w:rPr>
        <w:lastRenderedPageBreak/>
        <w:t>额强制划转给其他自然人、法人或其他组织。办理非交易过户必须提供登记机构要求提供的相关资料，对于符合条件的非交易过户申请按登记机构的规定办理，并按登记机构规定的标准收费。</w:t>
      </w:r>
    </w:p>
    <w:p w14:paraId="302DAF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三</w:t>
      </w:r>
      <w:r>
        <w:rPr>
          <w:rFonts w:ascii="宋体" w:hAnsi="宋体" w:hint="eastAsia"/>
          <w:color w:val="000000"/>
          <w:kern w:val="0"/>
          <w:sz w:val="24"/>
        </w:rPr>
        <w:t>）基金的转托管</w:t>
      </w:r>
    </w:p>
    <w:p w14:paraId="63A0C0C9" w14:textId="77777777" w:rsidR="00D04107" w:rsidRDefault="000C2DB0">
      <w:pPr>
        <w:pStyle w:val="22"/>
        <w:adjustRightInd w:val="0"/>
        <w:snapToGrid w:val="0"/>
        <w:spacing w:after="0" w:line="360" w:lineRule="auto"/>
        <w:ind w:firstLineChars="200" w:firstLine="480"/>
        <w:rPr>
          <w:sz w:val="24"/>
        </w:rPr>
      </w:pPr>
      <w:r>
        <w:rPr>
          <w:rFonts w:hint="eastAsia"/>
          <w:sz w:val="24"/>
        </w:rPr>
        <w:t>基金份额持有人可办理已持有基金份额在不同销售机构之间的转托管，基金销售机构可以按照规定的标准收取转托管费。</w:t>
      </w:r>
    </w:p>
    <w:p w14:paraId="2910DB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四</w:t>
      </w:r>
      <w:r>
        <w:rPr>
          <w:rFonts w:ascii="宋体" w:hAnsi="宋体" w:hint="eastAsia"/>
          <w:color w:val="000000"/>
          <w:kern w:val="0"/>
          <w:sz w:val="24"/>
        </w:rPr>
        <w:t>）定期定额投资计划</w:t>
      </w:r>
    </w:p>
    <w:p w14:paraId="06AF66A0" w14:textId="77777777" w:rsidR="00D04107" w:rsidRDefault="000C2DB0">
      <w:pPr>
        <w:spacing w:line="360" w:lineRule="auto"/>
        <w:ind w:firstLineChars="200" w:firstLine="480"/>
        <w:rPr>
          <w:bCs/>
          <w:sz w:val="24"/>
        </w:rPr>
      </w:pPr>
      <w:r>
        <w:rPr>
          <w:bCs/>
          <w:sz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1200BBC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（十</w:t>
      </w:r>
      <w:r w:rsidR="00251D43">
        <w:rPr>
          <w:rFonts w:ascii="宋体" w:hAnsi="宋体" w:hint="eastAsia"/>
          <w:color w:val="000000"/>
          <w:kern w:val="0"/>
          <w:sz w:val="24"/>
        </w:rPr>
        <w:t>五</w:t>
      </w:r>
      <w:r>
        <w:rPr>
          <w:rFonts w:ascii="宋体" w:hAnsi="宋体" w:hint="eastAsia"/>
          <w:color w:val="000000"/>
          <w:kern w:val="0"/>
          <w:sz w:val="24"/>
        </w:rPr>
        <w:t>）基金份额的冻结和解冻</w:t>
      </w:r>
    </w:p>
    <w:p w14:paraId="412F945C" w14:textId="77777777" w:rsidR="00D04107" w:rsidRDefault="000C2DB0">
      <w:pPr>
        <w:spacing w:line="360" w:lineRule="auto"/>
        <w:ind w:firstLineChars="200" w:firstLine="480"/>
        <w:rPr>
          <w:sz w:val="24"/>
        </w:rPr>
      </w:pPr>
      <w:r>
        <w:rPr>
          <w:rFonts w:hint="eastAsia"/>
          <w:sz w:val="24"/>
        </w:rPr>
        <w:t>基金登记机构只受理国家有权机关依法要求的基金份额的冻结与解冻，以及登记机构认可、符合法律法规的其他情况下的冻结与解冻。</w:t>
      </w:r>
    </w:p>
    <w:p w14:paraId="595B5E91"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（十</w:t>
      </w:r>
      <w:r w:rsidR="00251D43">
        <w:rPr>
          <w:rFonts w:hint="eastAsia"/>
          <w:sz w:val="24"/>
        </w:rPr>
        <w:t>六</w:t>
      </w:r>
      <w:r>
        <w:rPr>
          <w:sz w:val="24"/>
        </w:rPr>
        <w:t>）</w:t>
      </w:r>
      <w:r>
        <w:rPr>
          <w:rFonts w:hint="eastAsia"/>
          <w:sz w:val="24"/>
        </w:rPr>
        <w:t>基金份额的转让</w:t>
      </w:r>
    </w:p>
    <w:p w14:paraId="2147D604"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公告，基金份额持有人应根据基金管理人公告的业务规则办理基金份额转让业务。</w:t>
      </w:r>
    </w:p>
    <w:p w14:paraId="5BEA1C29"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（十</w:t>
      </w:r>
      <w:r w:rsidR="00251D43">
        <w:rPr>
          <w:rFonts w:hint="eastAsia"/>
          <w:sz w:val="24"/>
        </w:rPr>
        <w:t>七</w:t>
      </w:r>
      <w:r>
        <w:rPr>
          <w:rFonts w:hint="eastAsia"/>
          <w:sz w:val="24"/>
        </w:rPr>
        <w:t>）未来条件许可情况下的基金模式</w:t>
      </w:r>
    </w:p>
    <w:p w14:paraId="3F474063" w14:textId="77777777" w:rsidR="00D04107" w:rsidRDefault="000C2DB0">
      <w:pPr>
        <w:pStyle w:val="22"/>
        <w:adjustRightInd w:val="0"/>
        <w:snapToGrid w:val="0"/>
        <w:spacing w:after="0" w:line="360" w:lineRule="auto"/>
        <w:ind w:firstLineChars="200" w:firstLine="480"/>
        <w:jc w:val="left"/>
        <w:rPr>
          <w:sz w:val="24"/>
        </w:rPr>
      </w:pPr>
      <w:r>
        <w:rPr>
          <w:rFonts w:hint="eastAsia"/>
          <w:sz w:val="24"/>
        </w:rPr>
        <w:t>本基金管理人可在条件成熟时，在对基金份额持有人利益无实质不利影响的情况下，按照法律法规规定和基金合同约定的方式办理基金份额质押等相关业务，届时无须召开基金份额持有人大会审议但须报中国证监会核准或备案并提前公告。</w:t>
      </w:r>
      <w:r>
        <w:rPr>
          <w:sz w:val="24"/>
        </w:rPr>
        <w:br w:type="page"/>
      </w:r>
      <w:bookmarkStart w:id="61" w:name="_Toc55791176"/>
      <w:bookmarkStart w:id="62" w:name="_Toc88969266"/>
      <w:bookmarkStart w:id="63" w:name="_Toc256666918"/>
      <w:bookmarkStart w:id="64" w:name="_Toc256666798"/>
      <w:bookmarkEnd w:id="58"/>
    </w:p>
    <w:p w14:paraId="2B7DFA98" w14:textId="77777777" w:rsidR="00D04107" w:rsidRDefault="000C2DB0">
      <w:pPr>
        <w:pStyle w:val="1"/>
        <w:spacing w:line="360" w:lineRule="auto"/>
        <w:jc w:val="center"/>
        <w:rPr>
          <w:rFonts w:ascii="宋体" w:hAnsi="宋体"/>
          <w:color w:val="000000"/>
          <w:kern w:val="0"/>
          <w:sz w:val="24"/>
          <w:szCs w:val="24"/>
        </w:rPr>
      </w:pPr>
      <w:bookmarkStart w:id="65" w:name="_Toc23324"/>
      <w:bookmarkStart w:id="66" w:name="_Toc30413"/>
      <w:bookmarkStart w:id="67" w:name="_Toc482624798"/>
      <w:r>
        <w:rPr>
          <w:rFonts w:ascii="宋体" w:hAnsi="宋体" w:hint="eastAsia"/>
          <w:color w:val="000000"/>
          <w:kern w:val="0"/>
          <w:sz w:val="24"/>
          <w:szCs w:val="24"/>
        </w:rPr>
        <w:lastRenderedPageBreak/>
        <w:t>第九部分  基金的投资</w:t>
      </w:r>
      <w:bookmarkEnd w:id="65"/>
      <w:bookmarkEnd w:id="66"/>
      <w:bookmarkEnd w:id="67"/>
    </w:p>
    <w:p w14:paraId="1B0370E3" w14:textId="77777777" w:rsidR="00D04107" w:rsidRDefault="000C2DB0">
      <w:pPr>
        <w:spacing w:line="360" w:lineRule="auto"/>
        <w:ind w:firstLineChars="200" w:firstLine="480"/>
        <w:rPr>
          <w:rFonts w:ascii="宋体" w:hAnsi="宋体"/>
          <w:color w:val="000000"/>
          <w:kern w:val="0"/>
          <w:sz w:val="24"/>
        </w:rPr>
      </w:pPr>
      <w:bookmarkStart w:id="68" w:name="_Toc88969271"/>
      <w:bookmarkEnd w:id="61"/>
      <w:bookmarkEnd w:id="62"/>
      <w:bookmarkEnd w:id="63"/>
      <w:bookmarkEnd w:id="64"/>
      <w:r>
        <w:rPr>
          <w:rFonts w:ascii="宋体" w:hAnsi="宋体" w:hint="eastAsia"/>
          <w:color w:val="000000"/>
          <w:kern w:val="0"/>
          <w:sz w:val="24"/>
        </w:rPr>
        <w:t>（一）</w:t>
      </w:r>
      <w:r>
        <w:rPr>
          <w:rFonts w:ascii="宋体" w:hAnsi="宋体"/>
          <w:color w:val="000000"/>
          <w:kern w:val="0"/>
          <w:sz w:val="24"/>
        </w:rPr>
        <w:t>投资目标</w:t>
      </w:r>
    </w:p>
    <w:p w14:paraId="6E0E7BD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在保持本金安全和资产流动性基础上追求较高的当期收益。</w:t>
      </w:r>
    </w:p>
    <w:p w14:paraId="3CB2F7D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（二）投资范围</w:t>
      </w:r>
    </w:p>
    <w:p w14:paraId="38DA1D03" w14:textId="77777777" w:rsidR="00D04107" w:rsidRDefault="000C2DB0" w:rsidP="000C2DB0">
      <w:pPr>
        <w:spacing w:line="360" w:lineRule="auto"/>
        <w:ind w:firstLineChars="177" w:firstLine="425"/>
        <w:rPr>
          <w:rFonts w:ascii="宋体" w:hAnsi="宋体"/>
          <w:color w:val="000000"/>
          <w:kern w:val="0"/>
          <w:sz w:val="24"/>
        </w:rPr>
      </w:pPr>
      <w:bookmarkStart w:id="69" w:name="OLE_LINK4"/>
      <w:r>
        <w:rPr>
          <w:rFonts w:ascii="宋体" w:hAnsi="宋体" w:hint="eastAsia"/>
          <w:color w:val="000000"/>
          <w:kern w:val="0"/>
          <w:sz w:val="24"/>
        </w:rPr>
        <w:t>1、现金；</w:t>
      </w:r>
    </w:p>
    <w:p w14:paraId="2297E13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2、期限在1年以内（含1年）的银行存款、债券回购、中央银行票据、同业存单；</w:t>
      </w:r>
    </w:p>
    <w:p w14:paraId="37A8E99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3、剩余期限在397天以内（含397天）的债券、非金融企业债务融资工具、资产支持证券；</w:t>
      </w:r>
    </w:p>
    <w:p w14:paraId="6616B03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4、中国证监会、中国人民银行认可的其它具有良好流动性的货币市场工具。</w:t>
      </w:r>
    </w:p>
    <w:p w14:paraId="0F73A7D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r>
        <w:rPr>
          <w:rFonts w:ascii="宋体" w:hAnsi="宋体" w:cs="Arial" w:hint="eastAsia"/>
          <w:bCs/>
          <w:sz w:val="24"/>
        </w:rPr>
        <w:t>。</w:t>
      </w:r>
    </w:p>
    <w:bookmarkEnd w:id="69"/>
    <w:p w14:paraId="62FBC0B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w:t>
      </w:r>
      <w:r>
        <w:rPr>
          <w:rFonts w:ascii="宋体" w:hAnsi="宋体"/>
          <w:color w:val="000000"/>
          <w:kern w:val="0"/>
          <w:sz w:val="24"/>
        </w:rPr>
        <w:t>投资策略</w:t>
      </w:r>
    </w:p>
    <w:p w14:paraId="6F1D413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宏观经济运行状况，货币政策、财政政策等政府宏观经济状况及政策，分析资本市场资金供给状况的变动趋势，预测市场利率水平变动趋势。在此基础上，综合考虑各类投资品种的流动性、收益性以及信用风险状况，进行积极的投资组合管理。</w:t>
      </w:r>
    </w:p>
    <w:p w14:paraId="505BA3C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1、类属配置策略</w:t>
      </w:r>
    </w:p>
    <w:p w14:paraId="66A82B5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类属配置指组合在央行票据、债券回购、短期债券以及现金等投资品种之间的配置比例。本基金通过分析各类货币市场工具的市场规模、信用等级、流动性、市场供求、票息及付息频率等确定不同类别资产的具体配置比例，寻找具有投资价值的投资品种，并通过控制存款的比例、保留充足的可变现资产和平均安排回购到期期限，保证组合的充分流动性。</w:t>
      </w:r>
    </w:p>
    <w:p w14:paraId="5C92AA9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2、久期策略</w:t>
      </w:r>
    </w:p>
    <w:p w14:paraId="01A6B5A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结合宏观经济运行态势及利率预测分析，本基金将动态确定并调整基金组合平均剩余期限。预测利率将进入下降通道时，适当延长投资品种的平均期限；预测市场利率将进入上升通道时，适当缩短投资品种的平均期限。</w:t>
      </w:r>
    </w:p>
    <w:p w14:paraId="7394736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lastRenderedPageBreak/>
        <w:t>3、套利策略</w:t>
      </w:r>
    </w:p>
    <w:p w14:paraId="211B3FA9"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根据对货币市场变动趋势、各市场和品种之间的风险收益差异的充分研究和论证，贯彻谨慎投资的原则，加强对前沿的研究，充分把握市场无风险套利机会，通过跨市场套利和跨期限套利等策略，提高基金投资收益。</w:t>
      </w:r>
    </w:p>
    <w:p w14:paraId="2D65F94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4、现金流管理策略</w:t>
      </w:r>
    </w:p>
    <w:p w14:paraId="3C1A07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作为现金管理工具，具有较高的流动性要求，基金管理人将对基金的申购赎回情况、季节性资金流动情况和日历效应等因素进行跟踪，通过留存现金、持有高流动性债券、降低组合久期等方式动态调整并有效分配基金的现金流，在保持充分流动性的基础上争取较高收益。</w:t>
      </w:r>
    </w:p>
    <w:p w14:paraId="4D8D0571"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5、债券回购投资策略</w:t>
      </w:r>
    </w:p>
    <w:p w14:paraId="36168EBA"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基于对资金面走势的判断，选择回购品种和期限。若资产配置中有逆回购，则在判断资金面趋于宽松的情况下，优先进行相对较长期限逆回购配置；反之，则进行相对较短期限逆回购操作。在组合进行杠杆操作时，根据资金面的松紧，决定正回购的操作期限。</w:t>
      </w:r>
    </w:p>
    <w:p w14:paraId="1A6E44C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6、利率债的投资策略</w:t>
      </w:r>
    </w:p>
    <w:p w14:paraId="1351132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在对国内外经济趋势的分析和预测的基础上，通过对利率期限结构变化趋势和债券市场供求关系变化进行分析和预测，决定国债、央行票据、政策性金融债等利率债品种的投资比例和期限结构配置，在合理控制风险的前提下，综合考虑组合的流动性，决定利率债投资品种和期限。</w:t>
      </w:r>
    </w:p>
    <w:p w14:paraId="2859AED8"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7、信用债的投资策略</w:t>
      </w:r>
    </w:p>
    <w:p w14:paraId="139553D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为了保障基金资产的安全，本基金将按照相关法规仅投资于具有满足信用等级要求的债券。基金管理人通过对市场公开发行的短期融资券、中期票据、企业债、公司债等信用债品种进行研究和筛选，形成信用债券投资备选库。在信用债券投资备选库基础上，结合本基金的投资与配置需要，通过分析比较剩余期限、到期收益率、流动性等特征，挑选适当的信用债个券进行投资。</w:t>
      </w:r>
    </w:p>
    <w:p w14:paraId="62BEEC0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8、资产支持证券的投资策略</w:t>
      </w:r>
    </w:p>
    <w:p w14:paraId="5171787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本基金将综合运用战略资产配置和战术资产配置进行资产支持证券的投资组合管理，并根据信用风险、利率风险和流动性风险变化积极调整投资策略，严格遵守</w:t>
      </w:r>
      <w:r>
        <w:rPr>
          <w:rFonts w:ascii="宋体" w:hAnsi="宋体" w:hint="eastAsia"/>
          <w:color w:val="000000"/>
          <w:kern w:val="0"/>
          <w:sz w:val="24"/>
        </w:rPr>
        <w:lastRenderedPageBreak/>
        <w:t>法律法规和基金合同的约定，在保证本金安全和基金资产流动性的基础上获得稳定收益。</w:t>
      </w:r>
    </w:p>
    <w:p w14:paraId="09288392"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四）</w:t>
      </w:r>
      <w:bookmarkStart w:id="70" w:name="_Toc257033993"/>
      <w:r>
        <w:rPr>
          <w:rFonts w:ascii="宋体" w:hAnsi="宋体" w:hint="eastAsia"/>
          <w:color w:val="000000"/>
          <w:kern w:val="0"/>
          <w:sz w:val="24"/>
        </w:rPr>
        <w:t>投资</w:t>
      </w:r>
      <w:r>
        <w:rPr>
          <w:rFonts w:ascii="宋体" w:hAnsi="宋体"/>
          <w:color w:val="000000"/>
          <w:kern w:val="0"/>
          <w:sz w:val="24"/>
        </w:rPr>
        <w:t>限制</w:t>
      </w:r>
    </w:p>
    <w:p w14:paraId="724C2C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w:t>
      </w:r>
      <w:r>
        <w:rPr>
          <w:rFonts w:ascii="宋体" w:hAnsi="宋体"/>
          <w:color w:val="000000"/>
          <w:kern w:val="0"/>
          <w:sz w:val="24"/>
        </w:rPr>
        <w:t>组合</w:t>
      </w:r>
      <w:r>
        <w:rPr>
          <w:rFonts w:ascii="宋体" w:hAnsi="宋体" w:hint="eastAsia"/>
          <w:color w:val="000000"/>
          <w:kern w:val="0"/>
          <w:sz w:val="24"/>
        </w:rPr>
        <w:t>限制</w:t>
      </w:r>
    </w:p>
    <w:p w14:paraId="6F64D62A" w14:textId="77777777" w:rsidR="00D04107" w:rsidRDefault="000C2DB0" w:rsidP="000C2DB0">
      <w:pPr>
        <w:pStyle w:val="13"/>
        <w:adjustRightInd w:val="0"/>
        <w:snapToGrid w:val="0"/>
        <w:ind w:firstLineChars="177" w:firstLine="425"/>
        <w:rPr>
          <w:rFonts w:ascii="宋体"/>
          <w:color w:val="000000"/>
          <w:kern w:val="0"/>
          <w:sz w:val="24"/>
          <w:szCs w:val="24"/>
        </w:rPr>
      </w:pPr>
      <w:r>
        <w:rPr>
          <w:rFonts w:ascii="宋体" w:hAnsi="宋体" w:cs="Arial"/>
          <w:bCs/>
          <w:sz w:val="24"/>
        </w:rPr>
        <w:t>基金的投资组合应遵循以下限制：</w:t>
      </w:r>
    </w:p>
    <w:p w14:paraId="0A790784"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（1</w:t>
      </w:r>
      <w:r>
        <w:rPr>
          <w:rFonts w:ascii="宋体" w:hAnsi="宋体" w:cs="Arial" w:hint="eastAsia"/>
          <w:bCs/>
          <w:sz w:val="24"/>
        </w:rPr>
        <w:t>）本基金投资组合的平均剩余期限在每个交易日均不得超过</w:t>
      </w:r>
      <w:r>
        <w:rPr>
          <w:rFonts w:ascii="宋体" w:hAnsi="宋体" w:cs="Arial"/>
          <w:bCs/>
          <w:sz w:val="24"/>
        </w:rPr>
        <w:t>120</w:t>
      </w:r>
      <w:r>
        <w:rPr>
          <w:rFonts w:ascii="宋体" w:hAnsi="宋体" w:cs="Arial" w:hint="eastAsia"/>
          <w:bCs/>
          <w:sz w:val="24"/>
        </w:rPr>
        <w:t>天，平均剩余存续期不得超过</w:t>
      </w:r>
      <w:r>
        <w:rPr>
          <w:rFonts w:ascii="宋体" w:hAnsi="宋体" w:cs="Arial"/>
          <w:bCs/>
          <w:sz w:val="24"/>
        </w:rPr>
        <w:t xml:space="preserve">240 </w:t>
      </w:r>
      <w:r>
        <w:rPr>
          <w:rFonts w:ascii="宋体" w:hAnsi="宋体" w:cs="Arial" w:hint="eastAsia"/>
          <w:bCs/>
          <w:sz w:val="24"/>
        </w:rPr>
        <w:t>天；</w:t>
      </w:r>
    </w:p>
    <w:p w14:paraId="602208F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）本基金与由基金管理人管理的其他基金持有一家公司发行的证券，不得超过该证券的</w:t>
      </w:r>
      <w:r>
        <w:rPr>
          <w:rFonts w:ascii="宋体" w:hAnsi="宋体" w:cs="Arial"/>
          <w:bCs/>
          <w:sz w:val="24"/>
        </w:rPr>
        <w:t>10%</w:t>
      </w:r>
      <w:r>
        <w:rPr>
          <w:rFonts w:ascii="宋体" w:hAnsi="宋体" w:cs="Arial" w:hint="eastAsia"/>
          <w:bCs/>
          <w:sz w:val="24"/>
        </w:rPr>
        <w:t>；</w:t>
      </w:r>
    </w:p>
    <w:p w14:paraId="14BF373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）本基金投资于固定期限银行存款的比例不得超过基金资产净值的</w:t>
      </w:r>
      <w:r>
        <w:rPr>
          <w:rFonts w:ascii="宋体" w:hAnsi="宋体" w:cs="Arial"/>
          <w:bCs/>
          <w:sz w:val="24"/>
        </w:rPr>
        <w:t>30%</w:t>
      </w:r>
      <w:r>
        <w:rPr>
          <w:rFonts w:ascii="宋体" w:hAnsi="宋体" w:cs="Arial" w:hint="eastAsia"/>
          <w:bCs/>
          <w:sz w:val="24"/>
        </w:rPr>
        <w:t>，但根据协议可提前支取的银行存款，不受此限制；</w:t>
      </w:r>
    </w:p>
    <w:p w14:paraId="06B6DF87" w14:textId="77777777" w:rsidR="00D04107" w:rsidRDefault="000C2DB0">
      <w:pPr>
        <w:autoSpaceDE w:val="0"/>
        <w:autoSpaceDN w:val="0"/>
        <w:adjustRightInd w:val="0"/>
        <w:spacing w:line="360" w:lineRule="auto"/>
        <w:ind w:firstLineChars="200" w:firstLine="480"/>
        <w:jc w:val="left"/>
      </w:pPr>
      <w:r>
        <w:rPr>
          <w:rFonts w:ascii="宋体" w:hAnsi="宋体" w:cs="Arial" w:hint="eastAsia"/>
          <w:bCs/>
          <w:sz w:val="24"/>
        </w:rPr>
        <w:t>（4）本基金投资于具有基金托管人资格的同一商业银行的银行存款、同业存单占基金资产净值的比例合计不得超过</w:t>
      </w:r>
      <w:r>
        <w:rPr>
          <w:rFonts w:ascii="宋体" w:hAnsi="宋体" w:cs="Arial"/>
          <w:bCs/>
          <w:sz w:val="24"/>
        </w:rPr>
        <w:t>20%</w:t>
      </w:r>
      <w:r>
        <w:rPr>
          <w:rFonts w:ascii="宋体" w:hAnsi="宋体" w:cs="Arial" w:hint="eastAsia"/>
          <w:bCs/>
          <w:sz w:val="24"/>
        </w:rPr>
        <w:t>，投资于不具有基金托管人资格的同一商业银行的银行存款、同业存单占基金资产净值的比例合计不得超过</w:t>
      </w:r>
      <w:r>
        <w:rPr>
          <w:rFonts w:ascii="宋体" w:hAnsi="宋体" w:cs="Arial"/>
          <w:bCs/>
          <w:sz w:val="24"/>
        </w:rPr>
        <w:t>5%</w:t>
      </w:r>
      <w:r>
        <w:rPr>
          <w:rFonts w:ascii="宋体" w:hAnsi="宋体" w:cs="Arial" w:hint="eastAsia"/>
          <w:bCs/>
          <w:sz w:val="24"/>
        </w:rPr>
        <w:t>；</w:t>
      </w:r>
    </w:p>
    <w:p w14:paraId="30A9F2A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（5）本基金持有一家公司发行的证券，其市值不超过基金资产净值的</w:t>
      </w:r>
      <w:r>
        <w:rPr>
          <w:rFonts w:ascii="宋体" w:hAnsi="宋体" w:cs="Arial"/>
          <w:bCs/>
          <w:sz w:val="24"/>
        </w:rPr>
        <w:t>10</w:t>
      </w:r>
      <w:r>
        <w:rPr>
          <w:rFonts w:ascii="宋体" w:hAnsi="宋体" w:cs="Arial" w:hint="eastAsia"/>
          <w:bCs/>
          <w:sz w:val="24"/>
        </w:rPr>
        <w:t>％；</w:t>
      </w:r>
    </w:p>
    <w:p w14:paraId="02CE6B0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（6）本基金持有的全部资产支持证券，其市值不得超过基金资产净值的</w:t>
      </w:r>
      <w:r>
        <w:rPr>
          <w:rFonts w:ascii="宋体" w:hAnsi="宋体" w:cs="Arial"/>
          <w:bCs/>
          <w:sz w:val="24"/>
        </w:rPr>
        <w:t>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；本基金投资于同一原始权益人的各类资产支持证券的比例，不得超过基金资产净值的</w:t>
      </w:r>
      <w:r>
        <w:rPr>
          <w:rFonts w:ascii="宋体" w:hAnsi="宋体" w:cs="Arial"/>
          <w:bCs/>
          <w:sz w:val="24"/>
        </w:rPr>
        <w:t>10%</w:t>
      </w:r>
      <w:r>
        <w:rPr>
          <w:rFonts w:ascii="宋体" w:hAnsi="宋体" w:cs="Arial" w:hint="eastAsia"/>
          <w:bCs/>
          <w:sz w:val="24"/>
        </w:rPr>
        <w:t>；</w:t>
      </w:r>
    </w:p>
    <w:p w14:paraId="43ED93A9"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本基金管理人管理的全部基金投资于同一原始权益人的各类资产支持证券，不得超过其</w:t>
      </w:r>
      <w:r>
        <w:rPr>
          <w:rFonts w:ascii="宋体" w:hAnsi="宋体" w:cs="Arial"/>
          <w:bCs/>
          <w:sz w:val="24"/>
        </w:rPr>
        <w:t>各类资产支持证券合计规模的10%</w:t>
      </w:r>
      <w:r>
        <w:rPr>
          <w:rFonts w:ascii="宋体" w:hAnsi="宋体" w:cs="Arial" w:hint="eastAsia"/>
          <w:bCs/>
          <w:sz w:val="24"/>
        </w:rPr>
        <w:t>；</w:t>
      </w:r>
    </w:p>
    <w:p w14:paraId="0C468E3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（7）除发生巨额赎回、连续</w:t>
      </w:r>
      <w:r>
        <w:rPr>
          <w:rFonts w:ascii="宋体" w:hAnsi="宋体" w:cs="Arial"/>
          <w:bCs/>
          <w:sz w:val="24"/>
        </w:rPr>
        <w:t xml:space="preserve">3 </w:t>
      </w:r>
      <w:r>
        <w:rPr>
          <w:rFonts w:ascii="宋体" w:hAnsi="宋体" w:cs="Arial" w:hint="eastAsia"/>
          <w:bCs/>
          <w:sz w:val="24"/>
        </w:rPr>
        <w:t>个交易日累计赎回</w:t>
      </w:r>
      <w:r>
        <w:rPr>
          <w:rFonts w:ascii="宋体" w:hAnsi="宋体" w:cs="Arial"/>
          <w:bCs/>
          <w:sz w:val="24"/>
        </w:rPr>
        <w:t>20%</w:t>
      </w:r>
      <w:r>
        <w:rPr>
          <w:rFonts w:ascii="宋体" w:hAnsi="宋体" w:cs="Arial" w:hint="eastAsia"/>
          <w:bCs/>
          <w:sz w:val="24"/>
        </w:rPr>
        <w:t>以上或者连续</w:t>
      </w:r>
      <w:r>
        <w:rPr>
          <w:rFonts w:ascii="宋体" w:hAnsi="宋体" w:cs="Arial"/>
          <w:bCs/>
          <w:sz w:val="24"/>
        </w:rPr>
        <w:t xml:space="preserve">5 </w:t>
      </w:r>
      <w:r>
        <w:rPr>
          <w:rFonts w:ascii="宋体" w:hAnsi="宋体" w:cs="Arial" w:hint="eastAsia"/>
          <w:bCs/>
          <w:sz w:val="24"/>
        </w:rPr>
        <w:t>个交易日累计赎回</w:t>
      </w:r>
      <w:r>
        <w:rPr>
          <w:rFonts w:ascii="宋体" w:hAnsi="宋体" w:cs="Arial"/>
          <w:bCs/>
          <w:sz w:val="24"/>
        </w:rPr>
        <w:t>30%</w:t>
      </w:r>
      <w:r>
        <w:rPr>
          <w:rFonts w:ascii="宋体" w:hAnsi="宋体" w:cs="Arial" w:hint="eastAsia"/>
          <w:bCs/>
          <w:sz w:val="24"/>
        </w:rPr>
        <w:t>以上的情形外，本基金债券正回购的资金余额在每个交易日均不得超过基金资产净值的</w:t>
      </w:r>
      <w:r>
        <w:rPr>
          <w:rFonts w:ascii="宋体" w:hAnsi="宋体" w:cs="Arial"/>
          <w:bCs/>
          <w:sz w:val="24"/>
        </w:rPr>
        <w:t>20%</w:t>
      </w:r>
      <w:r>
        <w:rPr>
          <w:rFonts w:ascii="宋体" w:hAnsi="宋体" w:cs="Arial" w:hint="eastAsia"/>
          <w:bCs/>
          <w:sz w:val="24"/>
        </w:rPr>
        <w:t>；</w:t>
      </w:r>
    </w:p>
    <w:p w14:paraId="09CBB4D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（8）本基金的基金资产总值不得超过基金资产净值的</w:t>
      </w:r>
      <w:r>
        <w:rPr>
          <w:rFonts w:ascii="宋体" w:hAnsi="宋体" w:cs="Arial"/>
          <w:bCs/>
          <w:sz w:val="24"/>
        </w:rPr>
        <w:t>140%</w:t>
      </w:r>
      <w:r>
        <w:rPr>
          <w:rFonts w:ascii="宋体" w:hAnsi="宋体" w:cs="Arial" w:hint="eastAsia"/>
          <w:bCs/>
          <w:sz w:val="24"/>
        </w:rPr>
        <w:t>；</w:t>
      </w:r>
    </w:p>
    <w:p w14:paraId="66E49D0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（9）同一机构发行的债券、非金融企业债务融资工具及其作为原始权益人的资产支持证券占基金资产净值的比例合计不得超过</w:t>
      </w:r>
      <w:r>
        <w:rPr>
          <w:rFonts w:ascii="宋体" w:hAnsi="宋体" w:cs="Arial"/>
          <w:bCs/>
          <w:sz w:val="24"/>
        </w:rPr>
        <w:t>10%</w:t>
      </w:r>
      <w:r>
        <w:rPr>
          <w:rFonts w:ascii="宋体" w:hAnsi="宋体" w:cs="Arial" w:hint="eastAsia"/>
          <w:bCs/>
          <w:sz w:val="24"/>
        </w:rPr>
        <w:t>，国债、中央银行票据、政策性金融债券除外；</w:t>
      </w:r>
    </w:p>
    <w:p w14:paraId="6B68ECFB"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lastRenderedPageBreak/>
        <w:t>（10）现金、国债、中央银行票据、政策性金融债券占基金资产净值的比例合计不得低于</w:t>
      </w:r>
      <w:r>
        <w:rPr>
          <w:rFonts w:ascii="宋体" w:hAnsi="宋体" w:cs="Arial"/>
          <w:bCs/>
          <w:sz w:val="24"/>
        </w:rPr>
        <w:t>5%</w:t>
      </w:r>
      <w:r>
        <w:rPr>
          <w:rFonts w:ascii="宋体" w:hAnsi="宋体" w:cs="Arial" w:hint="eastAsia"/>
          <w:bCs/>
          <w:sz w:val="24"/>
        </w:rPr>
        <w:t>；</w:t>
      </w:r>
    </w:p>
    <w:p w14:paraId="3358586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（11）现金、国债、中央银行票据、政策性金融债券以及五个交易日内到期的其他金融工具占基金资产净值的比例合计不得低于</w:t>
      </w:r>
      <w:r>
        <w:rPr>
          <w:rFonts w:ascii="宋体" w:hAnsi="宋体" w:cs="Arial"/>
          <w:bCs/>
          <w:sz w:val="24"/>
        </w:rPr>
        <w:t>10%</w:t>
      </w:r>
      <w:r>
        <w:rPr>
          <w:rFonts w:ascii="宋体" w:hAnsi="宋体" w:cs="Arial" w:hint="eastAsia"/>
          <w:bCs/>
          <w:sz w:val="24"/>
        </w:rPr>
        <w:t>；</w:t>
      </w:r>
    </w:p>
    <w:p w14:paraId="5F449E7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（12）到期日在</w:t>
      </w:r>
      <w:r>
        <w:rPr>
          <w:rFonts w:ascii="宋体" w:hAnsi="宋体" w:cs="Arial"/>
          <w:bCs/>
          <w:sz w:val="24"/>
        </w:rPr>
        <w:t xml:space="preserve">10 </w:t>
      </w:r>
      <w:r>
        <w:rPr>
          <w:rFonts w:ascii="宋体" w:hAnsi="宋体" w:cs="Arial" w:hint="eastAsia"/>
          <w:bCs/>
          <w:sz w:val="24"/>
        </w:rPr>
        <w:t>个交易日以上的逆回购、银行定期存款等流动性受限资产投资占基金资产净值的比例合计不得超过</w:t>
      </w:r>
      <w:r>
        <w:rPr>
          <w:rFonts w:ascii="宋体" w:hAnsi="宋体" w:cs="Arial"/>
          <w:bCs/>
          <w:sz w:val="24"/>
        </w:rPr>
        <w:t>30%</w:t>
      </w:r>
      <w:r>
        <w:rPr>
          <w:rFonts w:ascii="宋体" w:hAnsi="宋体" w:cs="Arial" w:hint="eastAsia"/>
          <w:bCs/>
          <w:sz w:val="24"/>
        </w:rPr>
        <w:t>；</w:t>
      </w:r>
    </w:p>
    <w:p w14:paraId="668031C4" w14:textId="77777777" w:rsidR="00D04107" w:rsidRDefault="000C2DB0">
      <w:pPr>
        <w:pStyle w:val="13"/>
        <w:adjustRightInd w:val="0"/>
        <w:snapToGrid w:val="0"/>
        <w:ind w:firstLine="480"/>
        <w:rPr>
          <w:bCs/>
          <w:sz w:val="24"/>
        </w:rPr>
      </w:pPr>
      <w:r>
        <w:rPr>
          <w:rFonts w:ascii="宋体" w:hAnsi="宋体" w:cs="Arial" w:hint="eastAsia"/>
          <w:bCs/>
          <w:sz w:val="24"/>
        </w:rPr>
        <w:t>（</w:t>
      </w:r>
      <w:r>
        <w:rPr>
          <w:rFonts w:ascii="宋体" w:hAnsi="宋体" w:cs="Arial"/>
          <w:bCs/>
          <w:sz w:val="24"/>
        </w:rPr>
        <w:t>13</w:t>
      </w:r>
      <w:r>
        <w:rPr>
          <w:rFonts w:ascii="宋体" w:hAnsi="宋体" w:cs="Arial" w:hint="eastAsia"/>
          <w:bCs/>
          <w:sz w:val="24"/>
        </w:rPr>
        <w:t>）</w:t>
      </w:r>
      <w:r>
        <w:rPr>
          <w:rFonts w:ascii="宋体" w:hAnsi="宋体" w:hint="eastAsia"/>
          <w:bCs/>
          <w:sz w:val="24"/>
        </w:rPr>
        <w:t>在全国银行间债券市场债券回购的资金余额不得超过基金资产净值的</w:t>
      </w:r>
      <w:r>
        <w:rPr>
          <w:rFonts w:ascii="宋体" w:hAnsi="宋体"/>
          <w:bCs/>
          <w:sz w:val="24"/>
        </w:rPr>
        <w:t>40%</w:t>
      </w:r>
      <w:r>
        <w:rPr>
          <w:rFonts w:ascii="宋体" w:hAnsi="宋体" w:hint="eastAsia"/>
          <w:bCs/>
          <w:sz w:val="24"/>
        </w:rPr>
        <w:t>；</w:t>
      </w:r>
      <w:r>
        <w:rPr>
          <w:rFonts w:hint="eastAsia"/>
          <w:bCs/>
          <w:sz w:val="24"/>
        </w:rPr>
        <w:t>债券回购最长期限为</w:t>
      </w:r>
      <w:r>
        <w:rPr>
          <w:rFonts w:hint="eastAsia"/>
          <w:bCs/>
          <w:sz w:val="24"/>
        </w:rPr>
        <w:t>1</w:t>
      </w:r>
      <w:r>
        <w:rPr>
          <w:rFonts w:hint="eastAsia"/>
          <w:bCs/>
          <w:sz w:val="24"/>
        </w:rPr>
        <w:t>年，债券回购到期后不得展期；</w:t>
      </w:r>
    </w:p>
    <w:p w14:paraId="5F0213A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14</w:t>
      </w:r>
      <w:r>
        <w:rPr>
          <w:rFonts w:ascii="宋体" w:hAnsi="宋体" w:cs="Arial" w:hint="eastAsia"/>
          <w:bCs/>
          <w:sz w:val="24"/>
        </w:rPr>
        <w:t>）本基金投资的资产支持证券须具有评级资质的资信评级机构进行持续信用评级，且其信用评级应不低于国内信用评级机构评定的</w:t>
      </w:r>
      <w:r>
        <w:rPr>
          <w:rFonts w:ascii="宋体" w:hAnsi="宋体" w:cs="Arial"/>
          <w:bCs/>
          <w:sz w:val="24"/>
        </w:rPr>
        <w:t>AAA</w:t>
      </w:r>
      <w:r>
        <w:rPr>
          <w:rFonts w:ascii="宋体" w:hAnsi="宋体" w:cs="Arial" w:hint="eastAsia"/>
          <w:bCs/>
          <w:sz w:val="24"/>
        </w:rPr>
        <w:t>级或相当于</w:t>
      </w:r>
      <w:r>
        <w:rPr>
          <w:rFonts w:ascii="宋体" w:hAnsi="宋体" w:cs="Arial"/>
          <w:bCs/>
          <w:sz w:val="24"/>
        </w:rPr>
        <w:t>AAA</w:t>
      </w:r>
      <w:r>
        <w:rPr>
          <w:rFonts w:ascii="宋体" w:hAnsi="宋体" w:cs="Arial" w:hint="eastAsia"/>
          <w:bCs/>
          <w:sz w:val="24"/>
        </w:rPr>
        <w:t>级的信用级别。本基金持有的资产支持证券信用等级下降、不再符合投资标准的，基金管理人应在评级报告发布之日起</w:t>
      </w:r>
      <w:r>
        <w:rPr>
          <w:rFonts w:ascii="宋体" w:hAnsi="宋体" w:cs="Arial"/>
          <w:bCs/>
          <w:sz w:val="24"/>
        </w:rPr>
        <w:t>3</w:t>
      </w:r>
      <w:r>
        <w:rPr>
          <w:rFonts w:ascii="宋体" w:hAnsi="宋体" w:cs="Arial" w:hint="eastAsia"/>
          <w:bCs/>
          <w:sz w:val="24"/>
        </w:rPr>
        <w:t>个月内对其予以全部卖出。</w:t>
      </w:r>
    </w:p>
    <w:p w14:paraId="6DB9CE2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15</w:t>
      </w:r>
      <w:r>
        <w:rPr>
          <w:rFonts w:ascii="宋体" w:hAnsi="宋体" w:cs="Arial" w:hint="eastAsia"/>
          <w:bCs/>
          <w:sz w:val="24"/>
        </w:rPr>
        <w:t>）本基金持有的全部资产支持证券，其市值不得超过基金资产净值的</w:t>
      </w:r>
      <w:r>
        <w:rPr>
          <w:rFonts w:ascii="宋体" w:hAnsi="宋体" w:cs="Arial"/>
          <w:bCs/>
          <w:sz w:val="24"/>
        </w:rPr>
        <w:t xml:space="preserve"> 20%</w:t>
      </w:r>
      <w:r>
        <w:rPr>
          <w:rFonts w:ascii="宋体" w:hAnsi="宋体" w:cs="Arial" w:hint="eastAsia"/>
          <w:bCs/>
          <w:sz w:val="24"/>
        </w:rPr>
        <w:t>；本基金持有的同一（指同一信用级别）资产支持证券的比例，不得超过该资产支持证券规模的</w:t>
      </w:r>
      <w:r>
        <w:rPr>
          <w:rFonts w:ascii="宋体" w:hAnsi="宋体" w:cs="Arial"/>
          <w:bCs/>
          <w:sz w:val="24"/>
        </w:rPr>
        <w:t>10%</w:t>
      </w:r>
      <w:r>
        <w:rPr>
          <w:rFonts w:ascii="宋体" w:hAnsi="宋体" w:cs="Arial" w:hint="eastAsia"/>
          <w:bCs/>
          <w:sz w:val="24"/>
        </w:rPr>
        <w:t>；基金投资于同一原始权益人的各类资产支持证券的比例，不得超过基金资产净值的</w:t>
      </w:r>
      <w:r>
        <w:rPr>
          <w:rFonts w:ascii="宋体" w:hAnsi="宋体" w:cs="Arial"/>
          <w:bCs/>
          <w:sz w:val="24"/>
        </w:rPr>
        <w:t xml:space="preserve"> 10%</w:t>
      </w:r>
      <w:r>
        <w:rPr>
          <w:rFonts w:ascii="宋体" w:hAnsi="宋体" w:cs="Arial" w:hint="eastAsia"/>
          <w:bCs/>
          <w:sz w:val="24"/>
        </w:rPr>
        <w:t>；基金管理人管理的全部证券投资基金投资于同一原始权益人的各类资产支持证券，不得超过其各类资产支持证券合计规模的</w:t>
      </w:r>
      <w:r>
        <w:rPr>
          <w:rFonts w:ascii="宋体" w:hAnsi="宋体" w:cs="Arial"/>
          <w:bCs/>
          <w:sz w:val="24"/>
        </w:rPr>
        <w:t xml:space="preserve"> 10%</w:t>
      </w:r>
      <w:r>
        <w:rPr>
          <w:rFonts w:ascii="宋体" w:hAnsi="宋体" w:cs="Arial" w:hint="eastAsia"/>
          <w:bCs/>
          <w:sz w:val="24"/>
        </w:rPr>
        <w:t>；</w:t>
      </w:r>
    </w:p>
    <w:p w14:paraId="0C25B29D" w14:textId="77777777" w:rsidR="001F277D" w:rsidRPr="001F277D" w:rsidRDefault="001F277D">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cs="Arial" w:hint="eastAsia"/>
          <w:bCs/>
          <w:sz w:val="24"/>
          <w:szCs w:val="24"/>
        </w:rPr>
        <w:t>（16）</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50%</w:t>
      </w:r>
      <w:r w:rsidRPr="001F277D">
        <w:rPr>
          <w:rFonts w:asciiTheme="minorEastAsia" w:eastAsiaTheme="minorEastAsia" w:hAnsiTheme="minorEastAsia" w:hint="eastAsia"/>
          <w:kern w:val="0"/>
          <w:sz w:val="24"/>
          <w:szCs w:val="24"/>
        </w:rPr>
        <w:t>时</w:t>
      </w:r>
      <w:r w:rsidRPr="001F277D">
        <w:rPr>
          <w:rFonts w:asciiTheme="minorEastAsia" w:eastAsiaTheme="minorEastAsia" w:hAnsiTheme="minorEastAsia"/>
          <w:kern w:val="0"/>
          <w:sz w:val="24"/>
          <w:szCs w:val="24"/>
        </w:rPr>
        <w:t xml:space="preserve">, </w:t>
      </w:r>
      <w:r w:rsidRPr="001F277D">
        <w:rPr>
          <w:rFonts w:asciiTheme="minorEastAsia" w:eastAsiaTheme="minorEastAsia" w:hAnsiTheme="minorEastAsia" w:hint="eastAsia"/>
          <w:kern w:val="0"/>
          <w:sz w:val="24"/>
          <w:szCs w:val="24"/>
        </w:rPr>
        <w:t>本基金投资组合的平均剩余期限不得超过</w:t>
      </w:r>
      <w:r w:rsidRPr="001F277D">
        <w:rPr>
          <w:rFonts w:asciiTheme="minorEastAsia" w:eastAsiaTheme="minorEastAsia" w:hAnsiTheme="minorEastAsia"/>
          <w:kern w:val="0"/>
          <w:sz w:val="24"/>
          <w:szCs w:val="24"/>
        </w:rPr>
        <w:t>60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120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30%</w:t>
      </w:r>
      <w:r w:rsidRPr="001F277D">
        <w:rPr>
          <w:rFonts w:asciiTheme="minorEastAsia" w:eastAsiaTheme="minorEastAsia" w:hAnsiTheme="minorEastAsia" w:hint="eastAsia"/>
          <w:kern w:val="0"/>
          <w:sz w:val="24"/>
          <w:szCs w:val="24"/>
        </w:rPr>
        <w:t>；</w:t>
      </w:r>
    </w:p>
    <w:p w14:paraId="1D41F6CC" w14:textId="77777777" w:rsidR="001F277D" w:rsidRPr="001F277D" w:rsidRDefault="001F277D" w:rsidP="001F277D">
      <w:pPr>
        <w:pStyle w:val="13"/>
        <w:adjustRightInd w:val="0"/>
        <w:snapToGrid w:val="0"/>
        <w:ind w:firstLine="480"/>
        <w:rPr>
          <w:rFonts w:asciiTheme="minorEastAsia" w:eastAsiaTheme="minorEastAsia" w:hAnsiTheme="minorEastAsia"/>
          <w:kern w:val="0"/>
          <w:sz w:val="24"/>
          <w:szCs w:val="24"/>
        </w:rPr>
      </w:pPr>
      <w:r w:rsidRPr="001F277D">
        <w:rPr>
          <w:rFonts w:asciiTheme="minorEastAsia" w:eastAsiaTheme="minorEastAsia" w:hAnsiTheme="minorEastAsia" w:hint="eastAsia"/>
          <w:kern w:val="0"/>
          <w:sz w:val="24"/>
          <w:szCs w:val="24"/>
        </w:rPr>
        <w:t xml:space="preserve"> </w:t>
      </w:r>
      <w:r w:rsidRPr="001F277D">
        <w:rPr>
          <w:rFonts w:asciiTheme="minorEastAsia" w:eastAsiaTheme="minorEastAsia" w:hAnsiTheme="minorEastAsia" w:cs="Arial" w:hint="eastAsia"/>
          <w:bCs/>
          <w:sz w:val="24"/>
          <w:szCs w:val="24"/>
        </w:rPr>
        <w:t>（17）</w:t>
      </w:r>
      <w:r w:rsidRPr="001F277D">
        <w:rPr>
          <w:rFonts w:asciiTheme="minorEastAsia" w:eastAsiaTheme="minorEastAsia" w:hAnsiTheme="minorEastAsia" w:hint="eastAsia"/>
          <w:kern w:val="0"/>
          <w:sz w:val="24"/>
          <w:szCs w:val="24"/>
        </w:rPr>
        <w:t>当本基金前</w:t>
      </w:r>
      <w:r w:rsidRPr="001F277D">
        <w:rPr>
          <w:rFonts w:asciiTheme="minorEastAsia" w:eastAsiaTheme="minorEastAsia" w:hAnsiTheme="minorEastAsia"/>
          <w:kern w:val="0"/>
          <w:sz w:val="24"/>
          <w:szCs w:val="24"/>
        </w:rPr>
        <w:t>10</w:t>
      </w:r>
      <w:r w:rsidRPr="001F277D">
        <w:rPr>
          <w:rFonts w:asciiTheme="minorEastAsia" w:eastAsiaTheme="minorEastAsia" w:hAnsiTheme="minorEastAsia" w:hint="eastAsia"/>
          <w:kern w:val="0"/>
          <w:sz w:val="24"/>
          <w:szCs w:val="24"/>
        </w:rPr>
        <w:t>名份额持有人的持有份额合计超过基金总份额的</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时，本基金投资组合的平均剩余期限不得超过</w:t>
      </w:r>
      <w:r w:rsidRPr="001F277D">
        <w:rPr>
          <w:rFonts w:asciiTheme="minorEastAsia" w:eastAsiaTheme="minorEastAsia" w:hAnsiTheme="minorEastAsia"/>
          <w:kern w:val="0"/>
          <w:sz w:val="24"/>
          <w:szCs w:val="24"/>
        </w:rPr>
        <w:t>90</w:t>
      </w:r>
      <w:r w:rsidRPr="001F277D">
        <w:rPr>
          <w:rFonts w:asciiTheme="minorEastAsia" w:eastAsiaTheme="minorEastAsia" w:hAnsiTheme="minorEastAsia" w:hint="eastAsia"/>
          <w:kern w:val="0"/>
          <w:sz w:val="24"/>
          <w:szCs w:val="24"/>
        </w:rPr>
        <w:t>天，平均剩余存续期不得超过</w:t>
      </w:r>
      <w:r w:rsidRPr="001F277D">
        <w:rPr>
          <w:rFonts w:asciiTheme="minorEastAsia" w:eastAsiaTheme="minorEastAsia" w:hAnsiTheme="minorEastAsia"/>
          <w:kern w:val="0"/>
          <w:sz w:val="24"/>
          <w:szCs w:val="24"/>
        </w:rPr>
        <w:t>180</w:t>
      </w:r>
      <w:r w:rsidRPr="001F277D">
        <w:rPr>
          <w:rFonts w:asciiTheme="minorEastAsia" w:eastAsiaTheme="minorEastAsia" w:hAnsiTheme="minorEastAsia" w:hint="eastAsia"/>
          <w:kern w:val="0"/>
          <w:sz w:val="24"/>
          <w:szCs w:val="24"/>
        </w:rPr>
        <w:t>天；投资组合中现金、国债、中央银行票据、政策性金融债券以及</w:t>
      </w:r>
      <w:r w:rsidRPr="001F277D">
        <w:rPr>
          <w:rFonts w:asciiTheme="minorEastAsia" w:eastAsiaTheme="minorEastAsia" w:hAnsiTheme="minorEastAsia"/>
          <w:kern w:val="0"/>
          <w:sz w:val="24"/>
          <w:szCs w:val="24"/>
        </w:rPr>
        <w:t>5</w:t>
      </w:r>
      <w:r w:rsidRPr="001F277D">
        <w:rPr>
          <w:rFonts w:asciiTheme="minorEastAsia" w:eastAsiaTheme="minorEastAsia" w:hAnsiTheme="minorEastAsia" w:hint="eastAsia"/>
          <w:kern w:val="0"/>
          <w:sz w:val="24"/>
          <w:szCs w:val="24"/>
        </w:rPr>
        <w:t>个交易日内到期的其他金融工具占基金资产净值的比例合计不得低于</w:t>
      </w:r>
      <w:r w:rsidRPr="001F277D">
        <w:rPr>
          <w:rFonts w:asciiTheme="minorEastAsia" w:eastAsiaTheme="minorEastAsia" w:hAnsiTheme="minorEastAsia"/>
          <w:kern w:val="0"/>
          <w:sz w:val="24"/>
          <w:szCs w:val="24"/>
        </w:rPr>
        <w:t>20%</w:t>
      </w:r>
      <w:r w:rsidRPr="001F277D">
        <w:rPr>
          <w:rFonts w:asciiTheme="minorEastAsia" w:eastAsiaTheme="minorEastAsia" w:hAnsiTheme="minorEastAsia" w:hint="eastAsia"/>
          <w:kern w:val="0"/>
          <w:sz w:val="24"/>
          <w:szCs w:val="24"/>
        </w:rPr>
        <w:t>；</w:t>
      </w:r>
    </w:p>
    <w:p w14:paraId="06A5A7B6" w14:textId="77777777" w:rsidR="001F277D" w:rsidRPr="00D06B0F" w:rsidRDefault="00D06B0F" w:rsidP="00D06B0F">
      <w:pPr>
        <w:pStyle w:val="13"/>
        <w:adjustRightInd w:val="0"/>
        <w:snapToGrid w:val="0"/>
        <w:ind w:firstLine="420"/>
        <w:rPr>
          <w:rFonts w:asciiTheme="minorEastAsia" w:eastAsiaTheme="minorEastAsia" w:hAnsiTheme="minorEastAsia" w:cs="Arial"/>
          <w:bCs/>
          <w:sz w:val="24"/>
          <w:szCs w:val="24"/>
        </w:rPr>
      </w:pPr>
      <w:r>
        <w:rPr>
          <w:rFonts w:hint="eastAsia"/>
        </w:rPr>
        <w:t xml:space="preserve">  </w:t>
      </w:r>
      <w:r w:rsidR="001F277D" w:rsidRPr="00D06B0F">
        <w:rPr>
          <w:rFonts w:asciiTheme="minorEastAsia" w:eastAsiaTheme="minorEastAsia" w:hAnsiTheme="minorEastAsia" w:cs="Arial" w:hint="eastAsia"/>
          <w:bCs/>
          <w:sz w:val="24"/>
          <w:szCs w:val="24"/>
        </w:rPr>
        <w:t>（18）本基金主动投资于流动性受限资产的市值合计不得超过基金资产净值的</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；因证券市场波动、基金规模变动等基金管理人之外的因素致使基金不符合前款所规定比例限制的，基金管理人不得主动新增流动性受限资产的投资；</w:t>
      </w:r>
      <w:r w:rsidR="001F277D" w:rsidRPr="00D06B0F">
        <w:rPr>
          <w:rFonts w:asciiTheme="minorEastAsia" w:eastAsiaTheme="minorEastAsia" w:hAnsiTheme="minorEastAsia" w:cs="Arial"/>
          <w:bCs/>
          <w:sz w:val="24"/>
          <w:szCs w:val="24"/>
        </w:rPr>
        <w:t xml:space="preserve"> </w:t>
      </w:r>
    </w:p>
    <w:p w14:paraId="1C1F9C0E" w14:textId="77777777" w:rsidR="00986A10" w:rsidRPr="00D06B0F" w:rsidRDefault="00D06B0F" w:rsidP="00D06B0F">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lastRenderedPageBreak/>
        <w:t xml:space="preserve"> </w:t>
      </w:r>
      <w:r w:rsidR="001F277D" w:rsidRPr="00D06B0F">
        <w:rPr>
          <w:rFonts w:asciiTheme="minorEastAsia" w:eastAsiaTheme="minorEastAsia" w:hAnsiTheme="minorEastAsia" w:cs="Arial" w:hint="eastAsia"/>
          <w:bCs/>
          <w:sz w:val="24"/>
          <w:szCs w:val="24"/>
        </w:rPr>
        <w:t>（19）同一基金管理人管理的全部货币市场基金投资于同一商业银行的银行存款及</w:t>
      </w:r>
      <w:r w:rsidR="00321399" w:rsidRPr="00D06B0F">
        <w:rPr>
          <w:rFonts w:asciiTheme="minorEastAsia" w:eastAsiaTheme="minorEastAsia" w:hAnsiTheme="minorEastAsia" w:cs="Arial" w:hint="eastAsia"/>
          <w:bCs/>
          <w:sz w:val="24"/>
          <w:szCs w:val="24"/>
        </w:rPr>
        <w:t>其发行的同业存单与债券，不得超过该商业银行最近一个季度末净资产</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w:t>
      </w:r>
    </w:p>
    <w:p w14:paraId="03B27BA3" w14:textId="77777777" w:rsidR="00321399" w:rsidRPr="00D06B0F" w:rsidRDefault="00D06B0F" w:rsidP="00D06B0F">
      <w:pPr>
        <w:pStyle w:val="13"/>
        <w:adjustRightInd w:val="0"/>
        <w:snapToGrid w:val="0"/>
        <w:ind w:firstLine="480"/>
        <w:rPr>
          <w:rFonts w:asciiTheme="minorEastAsia" w:eastAsiaTheme="minorEastAsia" w:hAnsiTheme="minorEastAsia" w:cs="Arial"/>
          <w:bCs/>
          <w:sz w:val="24"/>
          <w:szCs w:val="24"/>
        </w:rPr>
      </w:pPr>
      <w:r>
        <w:rPr>
          <w:rFonts w:asciiTheme="minorEastAsia" w:eastAsiaTheme="minorEastAsia" w:hAnsiTheme="minorEastAsia" w:cs="Arial" w:hint="eastAsia"/>
          <w:bCs/>
          <w:sz w:val="24"/>
          <w:szCs w:val="24"/>
        </w:rPr>
        <w:t xml:space="preserve"> </w:t>
      </w:r>
      <w:r w:rsidR="001F277D" w:rsidRPr="00D06B0F">
        <w:rPr>
          <w:rFonts w:asciiTheme="minorEastAsia" w:eastAsiaTheme="minorEastAsia" w:hAnsiTheme="minorEastAsia" w:cs="Arial" w:hint="eastAsia"/>
          <w:bCs/>
          <w:sz w:val="24"/>
          <w:szCs w:val="24"/>
        </w:rPr>
        <w:t>（20）本基金投资于主体信用评级低于</w:t>
      </w:r>
      <w:r w:rsidR="001F277D" w:rsidRPr="00D06B0F">
        <w:rPr>
          <w:rFonts w:asciiTheme="minorEastAsia" w:eastAsiaTheme="minorEastAsia" w:hAnsiTheme="minorEastAsia" w:cs="Arial"/>
          <w:bCs/>
          <w:sz w:val="24"/>
          <w:szCs w:val="24"/>
        </w:rPr>
        <w:t>AAA</w:t>
      </w:r>
      <w:r w:rsidR="001F277D" w:rsidRPr="00D06B0F">
        <w:rPr>
          <w:rFonts w:asciiTheme="minorEastAsia" w:eastAsiaTheme="minorEastAsia" w:hAnsiTheme="minorEastAsia" w:cs="Arial" w:hint="eastAsia"/>
          <w:bCs/>
          <w:sz w:val="24"/>
          <w:szCs w:val="24"/>
        </w:rPr>
        <w:t>的机构发行的金融工具占基金资产净值的比例合计不得超过</w:t>
      </w:r>
      <w:r w:rsidR="001F277D" w:rsidRPr="00D06B0F">
        <w:rPr>
          <w:rFonts w:asciiTheme="minorEastAsia" w:eastAsiaTheme="minorEastAsia" w:hAnsiTheme="minorEastAsia" w:cs="Arial"/>
          <w:bCs/>
          <w:sz w:val="24"/>
          <w:szCs w:val="24"/>
        </w:rPr>
        <w:t>10%</w:t>
      </w:r>
      <w:r w:rsidR="001F277D" w:rsidRPr="00D06B0F">
        <w:rPr>
          <w:rFonts w:asciiTheme="minorEastAsia" w:eastAsiaTheme="minorEastAsia" w:hAnsiTheme="minorEastAsia" w:cs="Arial" w:hint="eastAsia"/>
          <w:bCs/>
          <w:sz w:val="24"/>
          <w:szCs w:val="24"/>
        </w:rPr>
        <w:t>，其中单一机构发行的金融工具占基金资产净值的比例合计不得超过</w:t>
      </w:r>
      <w:r w:rsidR="001F277D" w:rsidRPr="00D06B0F">
        <w:rPr>
          <w:rFonts w:asciiTheme="minorEastAsia" w:eastAsiaTheme="minorEastAsia" w:hAnsiTheme="minorEastAsia" w:cs="Arial"/>
          <w:bCs/>
          <w:sz w:val="24"/>
          <w:szCs w:val="24"/>
        </w:rPr>
        <w:t>2%</w:t>
      </w:r>
      <w:r w:rsidR="001F277D" w:rsidRPr="00D06B0F">
        <w:rPr>
          <w:rFonts w:asciiTheme="minorEastAsia" w:eastAsiaTheme="minorEastAsia" w:hAnsiTheme="minorEastAsia" w:cs="Arial" w:hint="eastAsia"/>
          <w:bCs/>
          <w:sz w:val="24"/>
          <w:szCs w:val="24"/>
        </w:rPr>
        <w:t>；前述金融工具包括债券、非金融企业债务融资工具、银行存款、同业存单、相关机构作为原始权益人的资产支持证券及中国证监会认定的其他品种；</w:t>
      </w:r>
    </w:p>
    <w:p w14:paraId="713DD8AE" w14:textId="77777777" w:rsidR="001F277D" w:rsidRPr="00D06B0F" w:rsidRDefault="001F277D" w:rsidP="00886287">
      <w:pPr>
        <w:pStyle w:val="13"/>
        <w:adjustRightInd w:val="0"/>
        <w:snapToGrid w:val="0"/>
        <w:ind w:firstLineChars="300" w:firstLine="720"/>
        <w:rPr>
          <w:rFonts w:asciiTheme="minorEastAsia" w:eastAsiaTheme="minorEastAsia" w:hAnsiTheme="minorEastAsia" w:cs="Arial"/>
          <w:bCs/>
          <w:sz w:val="24"/>
          <w:szCs w:val="24"/>
        </w:rPr>
      </w:pPr>
      <w:r w:rsidRPr="00D06B0F">
        <w:rPr>
          <w:rFonts w:asciiTheme="minorEastAsia" w:eastAsiaTheme="minorEastAsia" w:hAnsiTheme="minorEastAsia" w:cs="Arial" w:hint="eastAsia"/>
          <w:bCs/>
          <w:sz w:val="24"/>
          <w:szCs w:val="24"/>
        </w:rPr>
        <w:t>（21）本基金与私募类证券资管产品及中国证监会认定的其他主体为交易对手开展逆回购交易的，可接受质押品的资质要求应当与基金合同约定的投资范围保持一致；</w:t>
      </w:r>
    </w:p>
    <w:p w14:paraId="6CAE7B73" w14:textId="77777777" w:rsidR="00D04107" w:rsidRDefault="000C2DB0" w:rsidP="00886287">
      <w:pPr>
        <w:pStyle w:val="13"/>
        <w:adjustRightInd w:val="0"/>
        <w:snapToGrid w:val="0"/>
        <w:ind w:firstLineChars="283" w:firstLine="679"/>
        <w:rPr>
          <w:rFonts w:ascii="宋体" w:hAnsi="宋体" w:cs="Arial"/>
          <w:bCs/>
          <w:sz w:val="24"/>
        </w:rPr>
      </w:pPr>
      <w:r>
        <w:rPr>
          <w:rFonts w:ascii="宋体" w:hAnsi="宋体" w:cs="Arial" w:hint="eastAsia"/>
          <w:bCs/>
          <w:sz w:val="24"/>
        </w:rPr>
        <w:t>（</w:t>
      </w:r>
      <w:r w:rsidR="00321399">
        <w:rPr>
          <w:rFonts w:ascii="宋体" w:hAnsi="宋体" w:cs="Arial" w:hint="eastAsia"/>
          <w:bCs/>
          <w:sz w:val="24"/>
        </w:rPr>
        <w:t>22</w:t>
      </w:r>
      <w:r>
        <w:rPr>
          <w:rFonts w:ascii="宋体" w:hAnsi="宋体" w:cs="Arial" w:hint="eastAsia"/>
          <w:bCs/>
          <w:sz w:val="24"/>
        </w:rPr>
        <w:t>）法律法规及中国证监会规定的和《基金合同》约定的其他投资限制。</w:t>
      </w:r>
    </w:p>
    <w:p w14:paraId="7CC2EEDF" w14:textId="77777777" w:rsidR="00321399" w:rsidRPr="00321399" w:rsidRDefault="00321399" w:rsidP="00321399">
      <w:pPr>
        <w:pStyle w:val="13"/>
        <w:adjustRightInd w:val="0"/>
        <w:snapToGrid w:val="0"/>
        <w:ind w:firstLine="480"/>
        <w:rPr>
          <w:rFonts w:asciiTheme="minorEastAsia" w:eastAsiaTheme="minorEastAsia" w:hAnsiTheme="minorEastAsia"/>
          <w:kern w:val="0"/>
          <w:sz w:val="24"/>
          <w:szCs w:val="24"/>
        </w:rPr>
      </w:pPr>
      <w:r w:rsidRPr="00321399">
        <w:rPr>
          <w:rFonts w:asciiTheme="minorEastAsia" w:eastAsiaTheme="minorEastAsia" w:hAnsiTheme="minorEastAsia" w:hint="eastAsia"/>
          <w:kern w:val="0"/>
          <w:sz w:val="24"/>
          <w:szCs w:val="24"/>
        </w:rPr>
        <w:t>除上述第（</w:t>
      </w:r>
      <w:r w:rsidRPr="00321399">
        <w:rPr>
          <w:rFonts w:asciiTheme="minorEastAsia" w:eastAsiaTheme="minorEastAsia" w:hAnsiTheme="minorEastAsia"/>
          <w:kern w:val="0"/>
          <w:sz w:val="24"/>
          <w:szCs w:val="24"/>
        </w:rPr>
        <w:t>1</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14</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18</w:t>
      </w:r>
      <w:r w:rsidRPr="00321399">
        <w:rPr>
          <w:rFonts w:asciiTheme="minorEastAsia" w:eastAsiaTheme="minorEastAsia" w:hAnsiTheme="minorEastAsia" w:hint="eastAsia"/>
          <w:kern w:val="0"/>
          <w:sz w:val="24"/>
          <w:szCs w:val="24"/>
        </w:rPr>
        <w:t>）、（</w:t>
      </w:r>
      <w:r w:rsidRPr="00321399">
        <w:rPr>
          <w:rFonts w:asciiTheme="minorEastAsia" w:eastAsiaTheme="minorEastAsia" w:hAnsiTheme="minorEastAsia"/>
          <w:kern w:val="0"/>
          <w:sz w:val="24"/>
          <w:szCs w:val="24"/>
        </w:rPr>
        <w:t>21</w:t>
      </w:r>
      <w:r w:rsidRPr="00321399">
        <w:rPr>
          <w:rFonts w:asciiTheme="minorEastAsia" w:eastAsiaTheme="minorEastAsia" w:hAnsiTheme="minorEastAsia" w:hint="eastAsia"/>
          <w:kern w:val="0"/>
          <w:sz w:val="24"/>
          <w:szCs w:val="24"/>
        </w:rPr>
        <w:t>）条外，因基金规模或市场变化导致本基金投资组合不符合以上比例限制的，基金管理人应在</w:t>
      </w:r>
      <w:r w:rsidRPr="00321399">
        <w:rPr>
          <w:rFonts w:asciiTheme="minorEastAsia" w:eastAsiaTheme="minorEastAsia" w:hAnsiTheme="minorEastAsia"/>
          <w:kern w:val="0"/>
          <w:sz w:val="24"/>
          <w:szCs w:val="24"/>
        </w:rPr>
        <w:t>10</w:t>
      </w:r>
      <w:r w:rsidRPr="00321399">
        <w:rPr>
          <w:rFonts w:asciiTheme="minorEastAsia" w:eastAsiaTheme="minorEastAsia" w:hAnsiTheme="minorEastAsia" w:hint="eastAsia"/>
          <w:kern w:val="0"/>
          <w:sz w:val="24"/>
          <w:szCs w:val="24"/>
        </w:rPr>
        <w:t>个交易日内调整完毕，以达到上述标准，但中国证监会规定的特殊情形除外。法律法规另有规定时，从其规定。</w:t>
      </w:r>
    </w:p>
    <w:p w14:paraId="5D52EA34" w14:textId="77777777" w:rsidR="00D04107" w:rsidRDefault="000C2DB0" w:rsidP="00321399">
      <w:pPr>
        <w:pStyle w:val="13"/>
        <w:adjustRightInd w:val="0"/>
        <w:snapToGrid w:val="0"/>
        <w:ind w:firstLine="480"/>
        <w:rPr>
          <w:rFonts w:ascii="宋体" w:hAnsi="宋体" w:cs="Arial"/>
          <w:bCs/>
          <w:sz w:val="24"/>
        </w:rPr>
      </w:pPr>
      <w:r>
        <w:rPr>
          <w:rFonts w:ascii="宋体" w:hAnsi="宋体" w:cs="Arial" w:hint="eastAsia"/>
          <w:bCs/>
          <w:sz w:val="24"/>
        </w:rPr>
        <w:t>基金管理人应当自基金合同生效日起</w:t>
      </w:r>
      <w:r>
        <w:rPr>
          <w:rFonts w:ascii="宋体" w:hAnsi="宋体" w:cs="Arial"/>
          <w:bCs/>
          <w:sz w:val="24"/>
        </w:rPr>
        <w:t>6</w:t>
      </w:r>
      <w:r>
        <w:rPr>
          <w:rFonts w:ascii="宋体" w:hAnsi="宋体" w:cs="Arial" w:hint="eastAsia"/>
          <w:bCs/>
          <w:sz w:val="24"/>
        </w:rPr>
        <w:t>个月内使基金的投资组合比例符合基金合同的有关约定。期间，基金的投资范围、投资策略应当符合基金合同的约定。基金托管人对基金的投资的监督与检查自基金合同生效之日起开始。</w:t>
      </w:r>
    </w:p>
    <w:p w14:paraId="50EFBD3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法律法规或监管部门调整上述限制，则本基金投资将按照调整后的规则执行。</w:t>
      </w:r>
    </w:p>
    <w:p w14:paraId="183A7ECF"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2、禁止行为</w:t>
      </w:r>
    </w:p>
    <w:p w14:paraId="171F9BE6" w14:textId="77777777" w:rsidR="00D04107" w:rsidRDefault="000C2DB0">
      <w:pPr>
        <w:pStyle w:val="13"/>
        <w:adjustRightInd w:val="0"/>
        <w:snapToGrid w:val="0"/>
        <w:ind w:firstLine="480"/>
        <w:rPr>
          <w:rFonts w:ascii="宋体" w:hAnsi="宋体" w:cs="Arial"/>
          <w:bCs/>
          <w:sz w:val="24"/>
        </w:rPr>
      </w:pPr>
      <w:r>
        <w:rPr>
          <w:rFonts w:ascii="宋体" w:hAnsi="宋体" w:cs="Arial"/>
          <w:bCs/>
          <w:sz w:val="24"/>
        </w:rPr>
        <w:t>为维护基金份额持有人的合法权益，基金财产不得用于下列投资或者活动：</w:t>
      </w:r>
    </w:p>
    <w:p w14:paraId="32AC921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（1）</w:t>
      </w:r>
      <w:r>
        <w:rPr>
          <w:rFonts w:ascii="宋体" w:hAnsi="宋体" w:cs="Arial"/>
          <w:bCs/>
          <w:sz w:val="24"/>
        </w:rPr>
        <w:t>承销证券；</w:t>
      </w:r>
    </w:p>
    <w:p w14:paraId="216D0D1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（2）违反规定</w:t>
      </w:r>
      <w:r>
        <w:rPr>
          <w:rFonts w:ascii="宋体" w:hAnsi="宋体" w:cs="Arial"/>
          <w:bCs/>
          <w:sz w:val="24"/>
        </w:rPr>
        <w:t>向他人贷款或者提供担保；</w:t>
      </w:r>
    </w:p>
    <w:p w14:paraId="6F9B0C0E"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（3）</w:t>
      </w:r>
      <w:r>
        <w:rPr>
          <w:rFonts w:ascii="宋体" w:hAnsi="宋体" w:cs="Arial"/>
          <w:bCs/>
          <w:sz w:val="24"/>
        </w:rPr>
        <w:t>从事承担无限责任的投资；</w:t>
      </w:r>
    </w:p>
    <w:p w14:paraId="2A2A6ED9"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（4）</w:t>
      </w:r>
      <w:r>
        <w:rPr>
          <w:rFonts w:ascii="宋体" w:hAnsi="宋体" w:cs="Arial"/>
          <w:bCs/>
          <w:sz w:val="24"/>
        </w:rPr>
        <w:t>买卖其他基金份额，但是</w:t>
      </w:r>
      <w:r>
        <w:rPr>
          <w:rFonts w:ascii="宋体" w:hAnsi="宋体" w:cs="Arial" w:hint="eastAsia"/>
          <w:bCs/>
          <w:sz w:val="24"/>
        </w:rPr>
        <w:t>中国证监会</w:t>
      </w:r>
      <w:r>
        <w:rPr>
          <w:rFonts w:ascii="宋体" w:hAnsi="宋体" w:cs="Arial"/>
          <w:bCs/>
          <w:sz w:val="24"/>
        </w:rPr>
        <w:t>另有规定的除外；</w:t>
      </w:r>
    </w:p>
    <w:p w14:paraId="38EB34C1"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（5）</w:t>
      </w:r>
      <w:r>
        <w:rPr>
          <w:rFonts w:ascii="宋体" w:hAnsi="宋体" w:cs="Arial"/>
          <w:bCs/>
          <w:sz w:val="24"/>
        </w:rPr>
        <w:t>向其基金管理人、基金托管人出资；</w:t>
      </w:r>
    </w:p>
    <w:p w14:paraId="32539340"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（6）</w:t>
      </w:r>
      <w:r>
        <w:rPr>
          <w:rFonts w:ascii="宋体" w:hAnsi="宋体" w:cs="Arial"/>
          <w:bCs/>
          <w:sz w:val="24"/>
        </w:rPr>
        <w:t>从事内幕交易、操纵证券交易价格及其他不正当的证券交易活动；</w:t>
      </w:r>
    </w:p>
    <w:p w14:paraId="4B44CE7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（7）</w:t>
      </w:r>
      <w:r>
        <w:rPr>
          <w:rFonts w:ascii="宋体" w:hAnsi="宋体" w:cs="Arial"/>
          <w:bCs/>
          <w:sz w:val="24"/>
        </w:rPr>
        <w:t>法律</w:t>
      </w:r>
      <w:r>
        <w:rPr>
          <w:rFonts w:ascii="宋体" w:hAnsi="宋体" w:cs="Arial" w:hint="eastAsia"/>
          <w:bCs/>
          <w:sz w:val="24"/>
        </w:rPr>
        <w:t>、行政</w:t>
      </w:r>
      <w:r>
        <w:rPr>
          <w:rFonts w:ascii="宋体" w:hAnsi="宋体" w:cs="Arial"/>
          <w:bCs/>
          <w:sz w:val="24"/>
        </w:rPr>
        <w:t>法规</w:t>
      </w:r>
      <w:r>
        <w:rPr>
          <w:rFonts w:ascii="宋体" w:hAnsi="宋体" w:cs="Arial" w:hint="eastAsia"/>
          <w:bCs/>
          <w:sz w:val="24"/>
        </w:rPr>
        <w:t>和</w:t>
      </w:r>
      <w:r>
        <w:rPr>
          <w:rFonts w:ascii="宋体" w:hAnsi="宋体" w:cs="Arial"/>
          <w:bCs/>
          <w:sz w:val="24"/>
        </w:rPr>
        <w:t>中国证监会规定禁止的其他活动</w:t>
      </w:r>
      <w:r>
        <w:rPr>
          <w:rFonts w:ascii="宋体" w:hAnsi="宋体" w:cs="Arial" w:hint="eastAsia"/>
          <w:bCs/>
          <w:sz w:val="24"/>
        </w:rPr>
        <w:t>。</w:t>
      </w:r>
    </w:p>
    <w:p w14:paraId="29B2CC95"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基金管理人运用基金财产买卖基金管理人、基金托管人及其控股股东、实际控</w:t>
      </w:r>
      <w:r>
        <w:rPr>
          <w:rFonts w:ascii="宋体" w:hAnsi="宋体" w:cs="Arial" w:hint="eastAsia"/>
          <w:bCs/>
          <w:sz w:val="24"/>
        </w:rPr>
        <w:lastRenderedPageBreak/>
        <w:t>制人或者与其有其他重大利害关系的公司发行的证券或者承销期内承销的证券，或者从事其他重大关联交易的，应当符合本基金的投资目标和投资策略，遵循基金份额持有人利益优先原则，防范利益冲突，建立健全内部审批机制和评估机制，按照市场公平合理价格执行。相关交易必须事先得到基金托管人同意，并按法律法规予以披露。重大关联交易应提交基金管理人董事会审议，并经过三分之二以上的独立董事通过。</w:t>
      </w:r>
    </w:p>
    <w:p w14:paraId="4B5F3FED"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法律、行政法规或监管部门取消上述限制，如适用于本基金，则本基金投资不再受相关限制。</w:t>
      </w:r>
    </w:p>
    <w:p w14:paraId="20245219"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3、本基金不得投资于以下金融工具：</w:t>
      </w:r>
    </w:p>
    <w:p w14:paraId="2C6E4B3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1</w:t>
      </w:r>
      <w:r>
        <w:rPr>
          <w:rFonts w:ascii="宋体" w:hAnsi="宋体" w:cs="Arial" w:hint="eastAsia"/>
          <w:bCs/>
          <w:sz w:val="24"/>
        </w:rPr>
        <w:t>）股票和权证；</w:t>
      </w:r>
    </w:p>
    <w:p w14:paraId="1E497247"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2</w:t>
      </w:r>
      <w:r>
        <w:rPr>
          <w:rFonts w:ascii="宋体" w:hAnsi="宋体" w:cs="Arial" w:hint="eastAsia"/>
          <w:bCs/>
          <w:sz w:val="24"/>
        </w:rPr>
        <w:t>）可转换债券、可交换债券；</w:t>
      </w:r>
    </w:p>
    <w:p w14:paraId="02B1BEBA"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3</w:t>
      </w:r>
      <w:r>
        <w:rPr>
          <w:rFonts w:ascii="宋体" w:hAnsi="宋体" w:cs="Arial" w:hint="eastAsia"/>
          <w:bCs/>
          <w:sz w:val="24"/>
        </w:rPr>
        <w:t>）剩余期限超过</w:t>
      </w:r>
      <w:r>
        <w:rPr>
          <w:rFonts w:ascii="宋体" w:hAnsi="宋体" w:cs="Arial"/>
          <w:bCs/>
          <w:sz w:val="24"/>
        </w:rPr>
        <w:t>397</w:t>
      </w:r>
      <w:r>
        <w:rPr>
          <w:rFonts w:ascii="宋体" w:hAnsi="宋体" w:cs="Arial" w:hint="eastAsia"/>
          <w:bCs/>
          <w:sz w:val="24"/>
        </w:rPr>
        <w:t>天的债券、</w:t>
      </w:r>
      <w:r>
        <w:rPr>
          <w:rFonts w:hint="eastAsia"/>
          <w:sz w:val="23"/>
          <w:szCs w:val="23"/>
        </w:rPr>
        <w:t>资产支持证券、非金融企业债务融资工具</w:t>
      </w:r>
      <w:r>
        <w:rPr>
          <w:rFonts w:ascii="宋体" w:hAnsi="宋体" w:cs="Arial" w:hint="eastAsia"/>
          <w:bCs/>
          <w:sz w:val="24"/>
        </w:rPr>
        <w:t>；</w:t>
      </w:r>
    </w:p>
    <w:p w14:paraId="77EE8A22"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4</w:t>
      </w:r>
      <w:r>
        <w:rPr>
          <w:rFonts w:ascii="宋体" w:hAnsi="宋体" w:cs="Arial" w:hint="eastAsia"/>
          <w:bCs/>
          <w:sz w:val="24"/>
        </w:rPr>
        <w:t>）信用等级在</w:t>
      </w:r>
      <w:r>
        <w:rPr>
          <w:rFonts w:ascii="宋体" w:hAnsi="宋体" w:cs="Arial"/>
          <w:bCs/>
          <w:sz w:val="24"/>
        </w:rPr>
        <w:t>AA+</w:t>
      </w:r>
      <w:r>
        <w:rPr>
          <w:rFonts w:ascii="宋体" w:hAnsi="宋体" w:cs="Arial" w:hint="eastAsia"/>
          <w:bCs/>
          <w:sz w:val="24"/>
        </w:rPr>
        <w:t>级以下的债券与非金融企业债务融资工具；</w:t>
      </w:r>
    </w:p>
    <w:p w14:paraId="15362CC6"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5</w:t>
      </w:r>
      <w:r>
        <w:rPr>
          <w:rFonts w:ascii="宋体" w:hAnsi="宋体" w:cs="Arial" w:hint="eastAsia"/>
          <w:bCs/>
          <w:sz w:val="24"/>
        </w:rPr>
        <w:t>）以定期存款利率为基准利率的浮动利率债券，已进入最后一个利率调整期的除外；</w:t>
      </w:r>
    </w:p>
    <w:p w14:paraId="5A605A0E"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6</w:t>
      </w:r>
      <w:r>
        <w:rPr>
          <w:rFonts w:ascii="宋体" w:hAnsi="宋体" w:cs="Arial" w:hint="eastAsia"/>
          <w:bCs/>
          <w:sz w:val="24"/>
        </w:rPr>
        <w:t>）非在全国银行间债券交易市场或证券交易所交易的资产支持证券；</w:t>
      </w:r>
    </w:p>
    <w:p w14:paraId="3D6BB8C8"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7</w:t>
      </w:r>
      <w:r>
        <w:rPr>
          <w:rFonts w:ascii="宋体" w:hAnsi="宋体" w:cs="Arial" w:hint="eastAsia"/>
          <w:bCs/>
          <w:sz w:val="24"/>
        </w:rPr>
        <w:t>）流通受限证券；</w:t>
      </w:r>
    </w:p>
    <w:p w14:paraId="689CA77F" w14:textId="77777777" w:rsidR="00D04107" w:rsidRDefault="000C2DB0">
      <w:pPr>
        <w:pStyle w:val="13"/>
        <w:adjustRightInd w:val="0"/>
        <w:snapToGrid w:val="0"/>
        <w:ind w:firstLine="480"/>
        <w:rPr>
          <w:rFonts w:ascii="宋体" w:hAnsi="宋体" w:cs="Arial"/>
          <w:bCs/>
          <w:sz w:val="24"/>
        </w:rPr>
      </w:pPr>
      <w:r>
        <w:rPr>
          <w:rFonts w:ascii="宋体" w:hAnsi="宋体" w:cs="Arial" w:hint="eastAsia"/>
          <w:bCs/>
          <w:sz w:val="24"/>
        </w:rPr>
        <w:t>（</w:t>
      </w:r>
      <w:r>
        <w:rPr>
          <w:rFonts w:ascii="宋体" w:hAnsi="宋体" w:cs="Arial"/>
          <w:bCs/>
          <w:sz w:val="24"/>
        </w:rPr>
        <w:t>8</w:t>
      </w:r>
      <w:r>
        <w:rPr>
          <w:rFonts w:ascii="宋体" w:hAnsi="宋体" w:cs="Arial" w:hint="eastAsia"/>
          <w:bCs/>
          <w:sz w:val="24"/>
        </w:rPr>
        <w:t>）中国证监会、中国人民银行禁止投资的其他金融工具。</w:t>
      </w:r>
    </w:p>
    <w:p w14:paraId="5CD2A0FB" w14:textId="77777777" w:rsidR="00D04107" w:rsidRDefault="000C2DB0">
      <w:pPr>
        <w:spacing w:line="360" w:lineRule="auto"/>
        <w:rPr>
          <w:rFonts w:ascii="华文细黑" w:eastAsia="华文细黑" w:hAnsi="华文细黑"/>
          <w:sz w:val="24"/>
        </w:rPr>
      </w:pPr>
      <w:r>
        <w:rPr>
          <w:rFonts w:ascii="宋体" w:hAnsi="宋体" w:cs="Arial" w:hint="eastAsia"/>
          <w:bCs/>
          <w:sz w:val="24"/>
        </w:rPr>
        <w:t>如果法律法规或监管部门取消上述限制，则本基金投资不再受相关限制。</w:t>
      </w:r>
      <w:bookmarkEnd w:id="70"/>
    </w:p>
    <w:p w14:paraId="1776A1F7" w14:textId="77777777" w:rsidR="00D04107" w:rsidRDefault="000C2DB0" w:rsidP="000C2DB0">
      <w:pPr>
        <w:spacing w:line="360" w:lineRule="auto"/>
        <w:ind w:firstLineChars="177" w:firstLine="425"/>
        <w:rPr>
          <w:rFonts w:ascii="宋体" w:hAnsi="宋体"/>
          <w:sz w:val="24"/>
        </w:rPr>
      </w:pPr>
      <w:r>
        <w:rPr>
          <w:rFonts w:ascii="宋体" w:hAnsi="宋体" w:hint="eastAsia"/>
          <w:color w:val="000000"/>
          <w:kern w:val="0"/>
          <w:sz w:val="24"/>
        </w:rPr>
        <w:t>（五）业绩比</w:t>
      </w:r>
      <w:r>
        <w:rPr>
          <w:rFonts w:ascii="宋体" w:hAnsi="宋体" w:hint="eastAsia"/>
          <w:sz w:val="24"/>
        </w:rPr>
        <w:t>较基准</w:t>
      </w:r>
    </w:p>
    <w:p w14:paraId="3D303FF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本基金的业绩比较基准为：活期存款利率（税后）</w:t>
      </w:r>
    </w:p>
    <w:p w14:paraId="7F12F29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本基金为货币市场基金，具有低风险、高流动性的特征。基于本基金的投资范围和投资比例限制，选用上述业绩比较基准能够忠实反映本基金的风险收益特征。</w:t>
      </w:r>
    </w:p>
    <w:p w14:paraId="14F29C5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如果今后法律法规发生变化，或者有其他代表性更强、更科学客观的业绩比较基准适用于本基金时，经基金管理人和基金托管人协商一致后，本基金可以在报中国证监会备案后变更业绩比较基准并及时公告，而无需召开基金份额持有人大会。</w:t>
      </w:r>
    </w:p>
    <w:p w14:paraId="3A63D89F"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（六）风险收益特征</w:t>
      </w:r>
    </w:p>
    <w:p w14:paraId="237A15A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本基金为货币市场基金，属于证券投资基金中的低风险品种，其预期收益和预</w:t>
      </w:r>
      <w:r>
        <w:rPr>
          <w:rFonts w:ascii="宋体" w:hAnsi="宋体" w:hint="eastAsia"/>
          <w:sz w:val="24"/>
        </w:rPr>
        <w:lastRenderedPageBreak/>
        <w:t>期风险均低于债券型基金、混合型基金及股票型基金。</w:t>
      </w:r>
      <w:bookmarkStart w:id="71" w:name="_Hlt88821694"/>
      <w:bookmarkStart w:id="72" w:name="_Hlt81032199"/>
      <w:bookmarkStart w:id="73" w:name="_Toc256666799"/>
      <w:bookmarkStart w:id="74" w:name="_Toc256666919"/>
      <w:bookmarkEnd w:id="71"/>
      <w:bookmarkEnd w:id="72"/>
    </w:p>
    <w:p w14:paraId="1D9D122A" w14:textId="77777777" w:rsidR="00D04107" w:rsidRDefault="000C2DB0" w:rsidP="000C2DB0">
      <w:pPr>
        <w:spacing w:line="360" w:lineRule="auto"/>
        <w:ind w:firstLineChars="177" w:firstLine="425"/>
        <w:rPr>
          <w:rFonts w:ascii="宋体" w:hAnsi="宋体"/>
          <w:bCs/>
          <w:sz w:val="24"/>
        </w:rPr>
      </w:pPr>
      <w:r>
        <w:rPr>
          <w:rFonts w:ascii="宋体" w:hAnsi="宋体" w:hint="eastAsia"/>
          <w:sz w:val="24"/>
        </w:rPr>
        <w:t>（七）</w:t>
      </w:r>
      <w:r>
        <w:rPr>
          <w:rFonts w:ascii="宋体" w:hAnsi="宋体"/>
          <w:bCs/>
          <w:sz w:val="24"/>
        </w:rPr>
        <w:t>投资组合平均剩余期限</w:t>
      </w:r>
      <w:r>
        <w:rPr>
          <w:rFonts w:ascii="宋体" w:hAnsi="宋体" w:hint="eastAsia"/>
          <w:bCs/>
          <w:sz w:val="24"/>
        </w:rPr>
        <w:t>和平均剩余存续期限</w:t>
      </w:r>
      <w:r>
        <w:rPr>
          <w:rFonts w:ascii="宋体" w:hAnsi="宋体"/>
          <w:bCs/>
          <w:sz w:val="24"/>
        </w:rPr>
        <w:t>的计算方法</w:t>
      </w:r>
    </w:p>
    <w:p w14:paraId="2DCEAA1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1</w:t>
      </w:r>
      <w:r>
        <w:rPr>
          <w:rFonts w:ascii="宋体" w:hAnsi="宋体" w:hint="eastAsia"/>
          <w:bCs/>
          <w:sz w:val="24"/>
        </w:rPr>
        <w:t>、计算公式</w:t>
      </w:r>
    </w:p>
    <w:p w14:paraId="6C5F8C6B"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本基金按下列公式计算平均剩余期限：</w:t>
      </w:r>
    </w:p>
    <w:p w14:paraId="289AC5D4"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剩余期限＋</w:t>
      </w:r>
      <w:r>
        <w:rPr>
          <w:rFonts w:ascii="宋体" w:hAnsi="宋体"/>
          <w:bCs/>
          <w:sz w:val="24"/>
        </w:rPr>
        <w:t>Σ</w:t>
      </w:r>
      <w:r>
        <w:rPr>
          <w:rFonts w:ascii="宋体" w:hAnsi="宋体" w:hint="eastAsia"/>
          <w:bCs/>
          <w:sz w:val="24"/>
        </w:rPr>
        <w:t>债券正回购</w:t>
      </w:r>
      <w:r>
        <w:rPr>
          <w:rFonts w:ascii="宋体" w:hAnsi="宋体"/>
          <w:bCs/>
          <w:sz w:val="24"/>
        </w:rPr>
        <w:t>×</w:t>
      </w:r>
      <w:r>
        <w:rPr>
          <w:rFonts w:ascii="宋体" w:hAnsi="宋体" w:hint="eastAsia"/>
          <w:bCs/>
          <w:sz w:val="24"/>
        </w:rPr>
        <w:t>剩余期限）</w:t>
      </w:r>
      <w:r>
        <w:rPr>
          <w:rFonts w:ascii="宋体" w:hAnsi="宋体"/>
          <w:bCs/>
          <w:sz w:val="24"/>
        </w:rPr>
        <w:t>/</w:t>
      </w:r>
      <w:r>
        <w:rPr>
          <w:rFonts w:ascii="宋体" w:hAnsi="宋体" w:hint="eastAsia"/>
          <w:bCs/>
          <w:sz w:val="24"/>
        </w:rPr>
        <w:t>（投资于金融工具产生的资产</w:t>
      </w:r>
      <w:r>
        <w:rPr>
          <w:rFonts w:ascii="宋体" w:hAnsi="宋体"/>
          <w:bCs/>
          <w:sz w:val="24"/>
        </w:rPr>
        <w:t>-</w:t>
      </w:r>
      <w:r>
        <w:rPr>
          <w:rFonts w:ascii="宋体" w:hAnsi="宋体" w:hint="eastAsia"/>
          <w:bCs/>
          <w:sz w:val="24"/>
        </w:rPr>
        <w:t>投资于金融工具产生的负债＋债券正回购）</w:t>
      </w:r>
    </w:p>
    <w:p w14:paraId="54A431A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本基金按下列公式计算平均剩余存续期限：</w:t>
      </w:r>
    </w:p>
    <w:p w14:paraId="3A11B321"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w:t>
      </w:r>
      <w:r>
        <w:rPr>
          <w:rFonts w:ascii="宋体" w:hAnsi="宋体"/>
          <w:bCs/>
          <w:sz w:val="24"/>
        </w:rPr>
        <w:t>Σ</w:t>
      </w:r>
      <w:r>
        <w:rPr>
          <w:rFonts w:ascii="宋体" w:hAnsi="宋体" w:hint="eastAsia"/>
          <w:bCs/>
          <w:sz w:val="24"/>
        </w:rPr>
        <w:t>投资于金融工具产生的资产</w:t>
      </w:r>
      <w:r>
        <w:rPr>
          <w:rFonts w:ascii="宋体" w:hAnsi="宋体"/>
          <w:bCs/>
          <w:sz w:val="24"/>
        </w:rPr>
        <w:t>×</w:t>
      </w:r>
      <w:r>
        <w:rPr>
          <w:rFonts w:ascii="宋体" w:hAnsi="宋体" w:hint="eastAsia"/>
          <w:bCs/>
          <w:sz w:val="24"/>
        </w:rPr>
        <w:t>剩余存续期限</w:t>
      </w:r>
      <w:r>
        <w:rPr>
          <w:rFonts w:ascii="宋体" w:hAnsi="宋体"/>
          <w:bCs/>
          <w:sz w:val="24"/>
        </w:rPr>
        <w:t>−Σ</w:t>
      </w:r>
      <w:r>
        <w:rPr>
          <w:rFonts w:ascii="宋体" w:hAnsi="宋体" w:hint="eastAsia"/>
          <w:bCs/>
          <w:sz w:val="24"/>
        </w:rPr>
        <w:t>投资于金融工具产生的负债</w:t>
      </w:r>
      <w:r>
        <w:rPr>
          <w:rFonts w:ascii="宋体" w:hAnsi="宋体"/>
          <w:bCs/>
          <w:sz w:val="24"/>
        </w:rPr>
        <w:t>×</w:t>
      </w:r>
      <w:r>
        <w:rPr>
          <w:rFonts w:ascii="宋体" w:hAnsi="宋体" w:hint="eastAsia"/>
          <w:bCs/>
          <w:sz w:val="24"/>
        </w:rPr>
        <w:t>剩余存续期限+债券正回购</w:t>
      </w:r>
      <w:r>
        <w:rPr>
          <w:rFonts w:ascii="宋体" w:hAnsi="宋体"/>
          <w:bCs/>
          <w:sz w:val="24"/>
        </w:rPr>
        <w:t>×</w:t>
      </w:r>
      <w:r>
        <w:rPr>
          <w:rFonts w:ascii="宋体" w:hAnsi="宋体" w:hint="eastAsia"/>
          <w:bCs/>
          <w:sz w:val="24"/>
        </w:rPr>
        <w:t>剩余存续期限）/(投资于金融工具产生的资产</w:t>
      </w:r>
      <w:r>
        <w:rPr>
          <w:rFonts w:ascii="宋体" w:hAnsi="宋体"/>
          <w:bCs/>
          <w:sz w:val="24"/>
        </w:rPr>
        <w:t>−</w:t>
      </w:r>
      <w:r>
        <w:rPr>
          <w:rFonts w:ascii="宋体" w:hAnsi="宋体" w:hint="eastAsia"/>
          <w:bCs/>
          <w:sz w:val="24"/>
        </w:rPr>
        <w:t>投资于金融工具产生的负债+债券正回购)</w:t>
      </w:r>
    </w:p>
    <w:p w14:paraId="5411BC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其中：投资于金融工具产生的资产包括现金类资产</w:t>
      </w:r>
      <w:r>
        <w:rPr>
          <w:rFonts w:ascii="宋体" w:hAnsi="宋体"/>
          <w:bCs/>
          <w:sz w:val="24"/>
        </w:rPr>
        <w:t>(</w:t>
      </w:r>
      <w:r>
        <w:rPr>
          <w:rFonts w:ascii="宋体" w:hAnsi="宋体" w:hint="eastAsia"/>
          <w:bCs/>
          <w:sz w:val="24"/>
        </w:rPr>
        <w:t>含银行存款、清算备付金、交易保证金、证券清算款、买断式回购履约金</w:t>
      </w:r>
      <w:r>
        <w:rPr>
          <w:rFonts w:ascii="宋体" w:hAnsi="宋体"/>
          <w:bCs/>
          <w:sz w:val="24"/>
        </w:rPr>
        <w:t>)</w:t>
      </w:r>
      <w:r>
        <w:rPr>
          <w:rFonts w:ascii="宋体" w:hAnsi="宋体" w:hint="eastAsia"/>
          <w:bCs/>
          <w:sz w:val="24"/>
        </w:rPr>
        <w:t>、银行定期存款、同业存单、债券、逆回购、中央银行票据、买断式回购产生的待回购债券、中国证监会允许投资的其他固定收益类金融工具。</w:t>
      </w:r>
    </w:p>
    <w:p w14:paraId="476DC7B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投资于金融工具产生的负债包括正回购、买断式回购产生的待返售债券等。</w:t>
      </w:r>
    </w:p>
    <w:p w14:paraId="5994AE5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bCs/>
          <w:sz w:val="24"/>
        </w:rPr>
        <w:t>2</w:t>
      </w:r>
      <w:r>
        <w:rPr>
          <w:rFonts w:ascii="宋体" w:hAnsi="宋体" w:hint="eastAsia"/>
          <w:bCs/>
          <w:sz w:val="24"/>
        </w:rPr>
        <w:t>、各类资产及负债剩余期限和剩余存续期限的确定方法</w:t>
      </w:r>
    </w:p>
    <w:p w14:paraId="37F15C82"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（1）银行活期存款、清算备付金、交易保证金的剩余期限和剩余存续期限为0天；证券清算款的剩余期限和剩余存续期限以计算日至交收日的剩余交易日天数计算；</w:t>
      </w:r>
    </w:p>
    <w:p w14:paraId="4176A857"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2）回购（包括正回购和逆回购）的剩余期限和剩余存续期限以计算日至回购协议到期日的实际剩余天数计算；买断式回购产生的待回购债券的剩余期限和剩余存续期限为该基础债券的剩余期限，待返售债券的剩余期限和剩余存续期限以计算日至回购协议到期日的实际剩余天数计算；</w:t>
      </w:r>
    </w:p>
    <w:p w14:paraId="0024E588"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3）银行定期存款、同业存单的剩余期限和剩余存续期限以计算日至协议到期日的实际剩余天数计算；有存款期限，根据协议可提前支取且没有利息损失的银行存款，剩余期限和剩余存续期限以计算日至协议到期日的实际剩余天数计算；银行通知存款的剩余期限和剩余存续期限以存款协议中约定的通知期计算；</w:t>
      </w:r>
    </w:p>
    <w:p w14:paraId="2286304E"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lastRenderedPageBreak/>
        <w:t>（4）中央银行票据的剩余期限和剩余存续期限以计算日至中央银行票据到期日的实际剩余天数计算；</w:t>
      </w:r>
    </w:p>
    <w:p w14:paraId="10F7E606"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5）组合中债券的剩余期限和剩余存续期限是指计算日至债券到期日为止所剩余的天数，以下情况除外：允许投资的可变利率或浮动利率债券的剩余期限以计算日至下一个利率调整日的实际剩余天数计算。允许投资的可变利率或浮动利率债券的剩余存续期限以计算日至债券到期日的实际剩余天数计算；</w:t>
      </w:r>
    </w:p>
    <w:p w14:paraId="11403333" w14:textId="77777777" w:rsidR="00D04107" w:rsidRDefault="000C2DB0" w:rsidP="000C2DB0">
      <w:pPr>
        <w:autoSpaceDE w:val="0"/>
        <w:autoSpaceDN w:val="0"/>
        <w:adjustRightInd w:val="0"/>
        <w:spacing w:line="360" w:lineRule="auto"/>
        <w:ind w:firstLineChars="177" w:firstLine="425"/>
        <w:jc w:val="left"/>
        <w:rPr>
          <w:rFonts w:ascii="宋体" w:hAnsi="宋体"/>
          <w:bCs/>
          <w:sz w:val="24"/>
        </w:rPr>
      </w:pPr>
      <w:r>
        <w:rPr>
          <w:rFonts w:ascii="宋体" w:hAnsi="宋体" w:hint="eastAsia"/>
          <w:bCs/>
          <w:sz w:val="24"/>
        </w:rPr>
        <w:t>（6）对其它金融工具，本基金管理人将基于审慎原则，根据法律法规或中国证监会的规定或参照行业内的方法计算其剩余期限和剩余存续期限。</w:t>
      </w:r>
    </w:p>
    <w:p w14:paraId="66F8D5C9" w14:textId="77777777" w:rsidR="00D04107" w:rsidRDefault="000C2DB0" w:rsidP="000C2DB0">
      <w:pPr>
        <w:spacing w:line="360" w:lineRule="auto"/>
        <w:ind w:firstLineChars="177" w:firstLine="425"/>
        <w:rPr>
          <w:rFonts w:ascii="宋体" w:hAnsi="宋体"/>
          <w:bCs/>
          <w:sz w:val="24"/>
        </w:rPr>
      </w:pPr>
      <w:r>
        <w:rPr>
          <w:rFonts w:ascii="宋体" w:hAnsi="宋体" w:hint="eastAsia"/>
          <w:bCs/>
          <w:sz w:val="24"/>
        </w:rPr>
        <w:t>平均剩余期限和平均剩余存续期限的计算结果保留至整数位，小数点后四舍五入。如法律法规或中国证监会对剩余期限和剩余存续期限计算方法另有规定的从其规定。</w:t>
      </w:r>
    </w:p>
    <w:p w14:paraId="732E6AF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（八）基金投资组合报告</w:t>
      </w:r>
    </w:p>
    <w:p w14:paraId="56C9811B"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基金管理人的董事会及董事保证本报告所载资料不存在虚假记载、误导性陈述或重大遗漏，并对其内容的真实性、准确性和完整性承担个别及连带责任。</w:t>
      </w:r>
    </w:p>
    <w:p w14:paraId="0B6AD5D5" w14:textId="1FAEBD06" w:rsidR="0088687C" w:rsidRDefault="0088687C" w:rsidP="0088687C">
      <w:pPr>
        <w:spacing w:line="360" w:lineRule="auto"/>
        <w:ind w:firstLineChars="177" w:firstLine="425"/>
        <w:rPr>
          <w:rFonts w:ascii="宋体" w:hAnsi="宋体"/>
          <w:bCs/>
          <w:sz w:val="24"/>
        </w:rPr>
      </w:pPr>
      <w:r>
        <w:rPr>
          <w:rFonts w:ascii="宋体" w:hAnsi="宋体" w:hint="eastAsia"/>
          <w:bCs/>
          <w:sz w:val="24"/>
        </w:rPr>
        <w:t>基金托管人</w:t>
      </w:r>
      <w:r w:rsidR="008A5037">
        <w:rPr>
          <w:rFonts w:ascii="宋体" w:hAnsi="宋体" w:hint="eastAsia"/>
          <w:bCs/>
          <w:sz w:val="24"/>
        </w:rPr>
        <w:t>中国</w:t>
      </w:r>
      <w:r w:rsidR="00191218">
        <w:rPr>
          <w:rFonts w:ascii="宋体" w:hAnsi="宋体" w:hint="eastAsia"/>
          <w:bCs/>
          <w:sz w:val="24"/>
        </w:rPr>
        <w:t>光大银行</w:t>
      </w:r>
      <w:r w:rsidR="00191218">
        <w:rPr>
          <w:rFonts w:ascii="宋体" w:hAnsi="宋体"/>
          <w:bCs/>
          <w:sz w:val="24"/>
        </w:rPr>
        <w:t>股份</w:t>
      </w:r>
      <w:r w:rsidR="00191218">
        <w:rPr>
          <w:rFonts w:ascii="宋体" w:hAnsi="宋体" w:hint="eastAsia"/>
          <w:bCs/>
          <w:sz w:val="24"/>
        </w:rPr>
        <w:t>有限</w:t>
      </w:r>
      <w:r w:rsidR="00191218">
        <w:rPr>
          <w:rFonts w:ascii="宋体" w:hAnsi="宋体"/>
          <w:bCs/>
          <w:sz w:val="24"/>
        </w:rPr>
        <w:t>公司</w:t>
      </w:r>
      <w:r>
        <w:rPr>
          <w:rFonts w:ascii="宋体" w:hAnsi="宋体" w:hint="eastAsia"/>
          <w:bCs/>
          <w:sz w:val="24"/>
        </w:rPr>
        <w:t>根据本基金合同规定，</w:t>
      </w:r>
      <w:r w:rsidR="00191218">
        <w:rPr>
          <w:rFonts w:ascii="宋体" w:hAnsi="宋体" w:hint="eastAsia"/>
          <w:bCs/>
          <w:sz w:val="24"/>
        </w:rPr>
        <w:t>于2019年</w:t>
      </w:r>
      <w:r w:rsidR="0022257E">
        <w:rPr>
          <w:rFonts w:ascii="宋体" w:hAnsi="宋体" w:hint="eastAsia"/>
          <w:bCs/>
          <w:sz w:val="24"/>
        </w:rPr>
        <w:t>7</w:t>
      </w:r>
      <w:r w:rsidR="00191218">
        <w:rPr>
          <w:rFonts w:ascii="宋体" w:hAnsi="宋体" w:hint="eastAsia"/>
          <w:bCs/>
          <w:sz w:val="24"/>
        </w:rPr>
        <w:t>月</w:t>
      </w:r>
      <w:r w:rsidR="0022257E">
        <w:rPr>
          <w:rFonts w:ascii="宋体" w:hAnsi="宋体" w:hint="eastAsia"/>
          <w:bCs/>
          <w:sz w:val="24"/>
        </w:rPr>
        <w:t>10</w:t>
      </w:r>
      <w:r w:rsidR="00191218">
        <w:rPr>
          <w:rFonts w:ascii="宋体" w:hAnsi="宋体" w:hint="eastAsia"/>
          <w:bCs/>
          <w:sz w:val="24"/>
        </w:rPr>
        <w:t>日</w:t>
      </w:r>
      <w:r>
        <w:rPr>
          <w:rFonts w:ascii="宋体" w:hAnsi="宋体" w:hint="eastAsia"/>
          <w:bCs/>
          <w:sz w:val="24"/>
        </w:rPr>
        <w:t>复核了本报告中的净值表现和投资组合报告等内容，保证复核内容不存在虚假记载、误导性陈述或者重大遗漏。</w:t>
      </w:r>
    </w:p>
    <w:p w14:paraId="1C9A0ADF" w14:textId="30B6C6A8" w:rsidR="0088687C" w:rsidRDefault="0088687C" w:rsidP="0088687C">
      <w:pPr>
        <w:spacing w:line="360" w:lineRule="auto"/>
        <w:ind w:firstLineChars="177" w:firstLine="425"/>
        <w:rPr>
          <w:rFonts w:ascii="宋体" w:hAnsi="宋体"/>
          <w:bCs/>
          <w:sz w:val="24"/>
        </w:rPr>
      </w:pPr>
      <w:r>
        <w:rPr>
          <w:rFonts w:ascii="宋体" w:hAnsi="宋体" w:hint="eastAsia"/>
          <w:bCs/>
          <w:sz w:val="24"/>
        </w:rPr>
        <w:t>本投资组合报告所载数据截至</w:t>
      </w:r>
      <w:r w:rsidR="00A32F50">
        <w:rPr>
          <w:rFonts w:ascii="宋体" w:hAnsi="宋体" w:hint="eastAsia"/>
          <w:bCs/>
          <w:sz w:val="24"/>
        </w:rPr>
        <w:t>2019</w:t>
      </w:r>
      <w:r w:rsidR="00191218">
        <w:rPr>
          <w:rFonts w:ascii="宋体" w:hAnsi="宋体" w:hint="eastAsia"/>
          <w:bCs/>
          <w:sz w:val="24"/>
        </w:rPr>
        <w:t>年</w:t>
      </w:r>
      <w:r w:rsidR="00A32F50">
        <w:rPr>
          <w:rFonts w:ascii="宋体" w:hAnsi="宋体" w:hint="eastAsia"/>
          <w:bCs/>
          <w:sz w:val="24"/>
        </w:rPr>
        <w:t>3</w:t>
      </w:r>
      <w:r>
        <w:rPr>
          <w:rFonts w:ascii="宋体" w:hAnsi="宋体" w:hint="eastAsia"/>
          <w:bCs/>
          <w:sz w:val="24"/>
        </w:rPr>
        <w:t>月</w:t>
      </w:r>
      <w:r w:rsidR="00A32F50">
        <w:rPr>
          <w:rFonts w:ascii="宋体" w:hAnsi="宋体" w:hint="eastAsia"/>
          <w:bCs/>
          <w:sz w:val="24"/>
        </w:rPr>
        <w:t>31</w:t>
      </w:r>
      <w:r>
        <w:rPr>
          <w:rFonts w:ascii="宋体" w:hAnsi="宋体" w:hint="eastAsia"/>
          <w:bCs/>
          <w:sz w:val="24"/>
        </w:rPr>
        <w:t>日，本报告中所列财务数据未经审计。</w:t>
      </w:r>
    </w:p>
    <w:p w14:paraId="5C9FD338"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1、报告期末基金资产组合情况（金额单位：人民币元）</w:t>
      </w:r>
    </w:p>
    <w:tbl>
      <w:tblPr>
        <w:tblW w:w="0" w:type="auto"/>
        <w:tblInd w:w="108" w:type="dxa"/>
        <w:tblLook w:val="04A0" w:firstRow="1" w:lastRow="0" w:firstColumn="1" w:lastColumn="0" w:noHBand="0" w:noVBand="1"/>
      </w:tblPr>
      <w:tblGrid>
        <w:gridCol w:w="953"/>
        <w:gridCol w:w="3390"/>
        <w:gridCol w:w="2361"/>
        <w:gridCol w:w="2044"/>
      </w:tblGrid>
      <w:tr w:rsidR="00A32F50" w:rsidRPr="00580BF8" w14:paraId="22B6B53B" w14:textId="77777777" w:rsidTr="00A32F50">
        <w:tc>
          <w:tcPr>
            <w:tcW w:w="1002" w:type="dxa"/>
            <w:tcBorders>
              <w:top w:val="single" w:sz="8" w:space="0" w:color="000000"/>
              <w:left w:val="single" w:sz="8" w:space="0" w:color="000000"/>
              <w:bottom w:val="single" w:sz="6" w:space="0" w:color="000000"/>
              <w:right w:val="single" w:sz="8" w:space="0" w:color="000000"/>
            </w:tcBorders>
            <w:vAlign w:val="center"/>
            <w:hideMark/>
          </w:tcPr>
          <w:p w14:paraId="7A76ECBF" w14:textId="77777777" w:rsidR="00A32F50" w:rsidRDefault="00A32F50" w:rsidP="00A32F50">
            <w:pPr>
              <w:pStyle w:val="biaogecenter"/>
              <w:wordWrap w:val="0"/>
            </w:pPr>
            <w:r w:rsidRPr="00580BF8">
              <w:rPr>
                <w:rFonts w:hAnsi="Calibri" w:hint="eastAsia"/>
                <w:color w:val="000000"/>
              </w:rPr>
              <w:t>序号</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3F6560AF" w14:textId="77777777" w:rsidR="00A32F50" w:rsidRDefault="00A32F50" w:rsidP="00A32F50">
            <w:pPr>
              <w:pStyle w:val="biaogecenter"/>
              <w:wordWrap w:val="0"/>
            </w:pPr>
            <w:r w:rsidRPr="00580BF8">
              <w:rPr>
                <w:rFonts w:hAnsi="Calibri" w:hint="eastAsia"/>
                <w:color w:val="000000"/>
              </w:rPr>
              <w:t>项目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F3AF8CF" w14:textId="77777777" w:rsidR="00A32F50" w:rsidRDefault="00A32F50" w:rsidP="00A32F50">
            <w:pPr>
              <w:pStyle w:val="biaogecenter"/>
              <w:wordWrap w:val="0"/>
            </w:pPr>
            <w:r w:rsidRPr="00580BF8">
              <w:rPr>
                <w:rFonts w:hAnsi="Calibri" w:hint="eastAsia"/>
                <w:color w:val="000000"/>
              </w:rPr>
              <w:t>金额(元)</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0467F1DF" w14:textId="77777777" w:rsidR="00A32F50" w:rsidRDefault="00A32F50" w:rsidP="00A32F50">
            <w:pPr>
              <w:pStyle w:val="biaogecenter"/>
              <w:wordWrap w:val="0"/>
            </w:pPr>
            <w:r w:rsidRPr="00580BF8">
              <w:rPr>
                <w:rFonts w:hAnsi="Calibri" w:hint="eastAsia"/>
                <w:color w:val="000000"/>
              </w:rPr>
              <w:t>占基金总资产的比例（%）</w:t>
            </w:r>
          </w:p>
        </w:tc>
      </w:tr>
      <w:tr w:rsidR="00A32F50" w:rsidRPr="00580BF8" w14:paraId="364C7D91"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56535B45" w14:textId="77777777" w:rsidR="00A32F50" w:rsidRDefault="00A32F50" w:rsidP="00A32F50">
            <w:pPr>
              <w:pStyle w:val="biaogecenter"/>
              <w:wordWrap w:val="0"/>
            </w:pPr>
            <w:r w:rsidRPr="00580BF8">
              <w:rPr>
                <w:rFonts w:hAnsi="Calibri" w:hint="eastAsia"/>
                <w:color w:val="000000"/>
              </w:rPr>
              <w:t>1</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56E140CE" w14:textId="77777777" w:rsidR="00A32F50" w:rsidRDefault="00A32F50" w:rsidP="00A32F50">
            <w:pPr>
              <w:pStyle w:val="biaogeleft"/>
              <w:wordWrap w:val="0"/>
            </w:pPr>
            <w:r>
              <w:rPr>
                <w:rFonts w:hint="eastAsia"/>
              </w:rPr>
              <w:t>固定收益投资</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7FF767" w14:textId="77777777" w:rsidR="00A32F50" w:rsidRDefault="00A32F50" w:rsidP="00A32F50">
            <w:pPr>
              <w:pStyle w:val="biaogeright"/>
              <w:wordWrap w:val="0"/>
            </w:pPr>
            <w:r w:rsidRPr="00580BF8">
              <w:rPr>
                <w:rFonts w:hAnsi="Calibri" w:hint="eastAsia"/>
                <w:color w:val="000000"/>
              </w:rPr>
              <w:t>1,657,078,159.19</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3A42F8B8" w14:textId="77777777" w:rsidR="00A32F50" w:rsidRDefault="00A32F50" w:rsidP="00A32F50">
            <w:pPr>
              <w:pStyle w:val="biaogeright"/>
              <w:wordWrap w:val="0"/>
            </w:pPr>
            <w:r w:rsidRPr="00580BF8">
              <w:rPr>
                <w:rFonts w:hAnsi="Calibri" w:hint="eastAsia"/>
                <w:color w:val="000000"/>
              </w:rPr>
              <w:t>57.58</w:t>
            </w:r>
          </w:p>
        </w:tc>
      </w:tr>
      <w:tr w:rsidR="00A32F50" w:rsidRPr="00580BF8" w14:paraId="13A55AC7"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2F79EB89" w14:textId="77777777" w:rsidR="00A32F50" w:rsidRDefault="00A32F50" w:rsidP="00A32F50">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34DA1A9" w14:textId="77777777" w:rsidR="00A32F50" w:rsidRDefault="00A32F50" w:rsidP="00A32F50">
            <w:pPr>
              <w:pStyle w:val="biaogeleft"/>
              <w:wordWrap w:val="0"/>
            </w:pPr>
            <w:r>
              <w:rPr>
                <w:rFonts w:hint="eastAsia"/>
              </w:rPr>
              <w:t>其中：债券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43FC7C2" w14:textId="77777777" w:rsidR="00A32F50" w:rsidRDefault="00A32F50" w:rsidP="00A32F50">
            <w:pPr>
              <w:pStyle w:val="biaogeright"/>
              <w:wordWrap w:val="0"/>
            </w:pPr>
            <w:r w:rsidRPr="00580BF8">
              <w:rPr>
                <w:rFonts w:hAnsi="Calibri" w:hint="eastAsia"/>
                <w:color w:val="000000"/>
              </w:rPr>
              <w:t>1,644,575,157.94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1DDF1E97" w14:textId="77777777" w:rsidR="00A32F50" w:rsidRDefault="00A32F50" w:rsidP="00A32F50">
            <w:pPr>
              <w:pStyle w:val="biaogeright"/>
              <w:wordWrap w:val="0"/>
            </w:pPr>
            <w:r w:rsidRPr="00580BF8">
              <w:rPr>
                <w:rFonts w:hAnsi="Calibri" w:hint="eastAsia"/>
                <w:color w:val="000000"/>
              </w:rPr>
              <w:t>57.15</w:t>
            </w:r>
          </w:p>
        </w:tc>
      </w:tr>
      <w:tr w:rsidR="00A32F50" w:rsidRPr="00580BF8" w14:paraId="13E96C22"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998488D" w14:textId="77777777" w:rsidR="00A32F50" w:rsidRDefault="00A32F50" w:rsidP="00A32F50">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72243544" w14:textId="77777777" w:rsidR="00A32F50" w:rsidRDefault="00A32F50" w:rsidP="00A32F50">
            <w:pPr>
              <w:pStyle w:val="biaogeleft"/>
              <w:wordWrap w:val="0"/>
              <w:ind w:left="750"/>
            </w:pPr>
            <w:r>
              <w:rPr>
                <w:rFonts w:hint="eastAsia"/>
              </w:rPr>
              <w:t>资产支持证券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21C6F0E" w14:textId="77777777" w:rsidR="00A32F50" w:rsidRDefault="00A32F50" w:rsidP="00A32F50">
            <w:pPr>
              <w:pStyle w:val="biaogeright"/>
              <w:wordWrap w:val="0"/>
            </w:pPr>
            <w:r w:rsidRPr="00580BF8">
              <w:rPr>
                <w:rFonts w:hAnsi="Calibri" w:hint="eastAsia"/>
                <w:color w:val="000000"/>
              </w:rPr>
              <w:t>12,503,001.25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7DD67F1" w14:textId="77777777" w:rsidR="00A32F50" w:rsidRDefault="00A32F50" w:rsidP="00A32F50">
            <w:pPr>
              <w:pStyle w:val="biaogeright"/>
              <w:wordWrap w:val="0"/>
            </w:pPr>
            <w:r w:rsidRPr="00580BF8">
              <w:rPr>
                <w:rFonts w:hAnsi="Calibri" w:hint="eastAsia"/>
                <w:color w:val="000000"/>
              </w:rPr>
              <w:t>0.43</w:t>
            </w:r>
          </w:p>
        </w:tc>
      </w:tr>
      <w:tr w:rsidR="00A32F50" w:rsidRPr="00580BF8" w14:paraId="26D9DF50"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7CE6172F" w14:textId="77777777" w:rsidR="00A32F50" w:rsidRDefault="00A32F50" w:rsidP="00A32F50">
            <w:pPr>
              <w:pStyle w:val="biaogecenter"/>
              <w:wordWrap w:val="0"/>
            </w:pPr>
            <w:r w:rsidRPr="00580BF8">
              <w:rPr>
                <w:rFonts w:hAnsi="Calibri" w:hint="eastAsia"/>
                <w:color w:val="000000"/>
              </w:rPr>
              <w:t>2</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2214672E" w14:textId="77777777" w:rsidR="00A32F50" w:rsidRDefault="00A32F50" w:rsidP="00A32F50">
            <w:pPr>
              <w:pStyle w:val="biaogeleft"/>
              <w:wordWrap w:val="0"/>
            </w:pPr>
            <w:r>
              <w:rPr>
                <w:rFonts w:hint="eastAsia"/>
              </w:rPr>
              <w:t>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3C701FE" w14:textId="77777777" w:rsidR="00A32F50" w:rsidRDefault="00A32F50" w:rsidP="00A32F50">
            <w:pPr>
              <w:pStyle w:val="biaogeright"/>
              <w:wordWrap w:val="0"/>
            </w:pPr>
            <w:r w:rsidRPr="00580BF8">
              <w:rPr>
                <w:rFonts w:hAnsi="Calibri" w:hint="eastAsia"/>
                <w:color w:val="000000"/>
              </w:rPr>
              <w:t>1,000,007,020.00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04A41C2F" w14:textId="77777777" w:rsidR="00A32F50" w:rsidRDefault="00A32F50" w:rsidP="00A32F50">
            <w:pPr>
              <w:pStyle w:val="biaogeright"/>
              <w:wordWrap w:val="0"/>
            </w:pPr>
            <w:r w:rsidRPr="00580BF8">
              <w:rPr>
                <w:rFonts w:hAnsi="Calibri" w:hint="eastAsia"/>
                <w:color w:val="000000"/>
              </w:rPr>
              <w:t>34.75</w:t>
            </w:r>
          </w:p>
        </w:tc>
      </w:tr>
      <w:tr w:rsidR="00A32F50" w:rsidRPr="00580BF8" w14:paraId="2A447193"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F58C84C" w14:textId="77777777" w:rsidR="00A32F50" w:rsidRDefault="00A32F50" w:rsidP="00A32F50">
            <w:pPr>
              <w:rPr>
                <w:rFonts w:ascii="宋体" w:hAnsi="宋体" w:cs="宋体"/>
                <w:kern w:val="0"/>
                <w:sz w:val="24"/>
              </w:rPr>
            </w:pP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5C08C2FB" w14:textId="77777777" w:rsidR="00A32F50" w:rsidRDefault="00A32F50" w:rsidP="00A32F50">
            <w:pPr>
              <w:pStyle w:val="biaogeleft"/>
              <w:wordWrap w:val="0"/>
            </w:pPr>
            <w:r>
              <w:rPr>
                <w:rFonts w:hint="eastAsia"/>
              </w:rPr>
              <w:t>其中：买断式回购的买入返售金融资产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72CF9F0" w14:textId="77777777" w:rsidR="00A32F50" w:rsidRDefault="00A32F50" w:rsidP="00A32F50">
            <w:pPr>
              <w:pStyle w:val="biaogeright"/>
              <w:wordWrap w:val="0"/>
            </w:pPr>
            <w:r w:rsidRPr="00580BF8">
              <w:rPr>
                <w:rFonts w:hAnsi="Calibri" w:hint="eastAsia"/>
                <w:color w:val="000000"/>
              </w:rPr>
              <w:t>-</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737D5575" w14:textId="77777777" w:rsidR="00A32F50" w:rsidRDefault="00A32F50" w:rsidP="00A32F50">
            <w:pPr>
              <w:pStyle w:val="biaogeright"/>
              <w:wordWrap w:val="0"/>
            </w:pPr>
            <w:r w:rsidRPr="00580BF8">
              <w:rPr>
                <w:rFonts w:hAnsi="Calibri" w:hint="eastAsia"/>
                <w:color w:val="000000"/>
              </w:rPr>
              <w:t>-</w:t>
            </w:r>
          </w:p>
        </w:tc>
      </w:tr>
      <w:tr w:rsidR="00A32F50" w:rsidRPr="00580BF8" w14:paraId="3C4A2EBF"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EC5E8D9" w14:textId="77777777" w:rsidR="00A32F50" w:rsidRDefault="00A32F50" w:rsidP="00A32F50">
            <w:pPr>
              <w:pStyle w:val="biaogecenter"/>
              <w:wordWrap w:val="0"/>
            </w:pPr>
            <w:r w:rsidRPr="00580BF8">
              <w:rPr>
                <w:rFonts w:hAnsi="Calibri" w:hint="eastAsia"/>
                <w:color w:val="000000"/>
              </w:rPr>
              <w:lastRenderedPageBreak/>
              <w:t>3</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29829B82" w14:textId="77777777" w:rsidR="00A32F50" w:rsidRDefault="00A32F50" w:rsidP="00A32F50">
            <w:pPr>
              <w:pStyle w:val="biaogeleft"/>
              <w:wordWrap w:val="0"/>
            </w:pPr>
            <w:r>
              <w:rPr>
                <w:rFonts w:hint="eastAsia"/>
              </w:rPr>
              <w:t>银行存款和结算备付金合计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294996E" w14:textId="77777777" w:rsidR="00A32F50" w:rsidRDefault="00A32F50" w:rsidP="00A32F50">
            <w:pPr>
              <w:pStyle w:val="biaogeright"/>
              <w:wordWrap w:val="0"/>
            </w:pPr>
            <w:r w:rsidRPr="00580BF8">
              <w:rPr>
                <w:rFonts w:hAnsi="Calibri" w:hint="eastAsia"/>
                <w:color w:val="000000"/>
              </w:rPr>
              <w:t>208,105,865.25</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69CEC436" w14:textId="77777777" w:rsidR="00A32F50" w:rsidRDefault="00A32F50" w:rsidP="00A32F50">
            <w:pPr>
              <w:pStyle w:val="biaogeright"/>
              <w:wordWrap w:val="0"/>
            </w:pPr>
            <w:r w:rsidRPr="00580BF8">
              <w:rPr>
                <w:rFonts w:hAnsi="Calibri" w:hint="eastAsia"/>
                <w:color w:val="000000"/>
              </w:rPr>
              <w:t>7.23</w:t>
            </w:r>
          </w:p>
        </w:tc>
      </w:tr>
      <w:tr w:rsidR="00A32F50" w:rsidRPr="00580BF8" w14:paraId="5D90F6B8"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4F03B25" w14:textId="77777777" w:rsidR="00A32F50" w:rsidRDefault="00A32F50" w:rsidP="00A32F50">
            <w:pPr>
              <w:pStyle w:val="biaogecenter"/>
              <w:wordWrap w:val="0"/>
            </w:pPr>
            <w:r>
              <w:rPr>
                <w:rFonts w:hint="eastAsia"/>
              </w:rPr>
              <w:t>4</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0F19A12F" w14:textId="77777777" w:rsidR="00A32F50" w:rsidRDefault="00A32F50" w:rsidP="00A32F50">
            <w:pPr>
              <w:pStyle w:val="biaogeleft"/>
              <w:wordWrap w:val="0"/>
            </w:pPr>
            <w:r>
              <w:rPr>
                <w:rFonts w:hint="eastAsia"/>
              </w:rPr>
              <w:t>其他资产</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5493807" w14:textId="77777777" w:rsidR="00A32F50" w:rsidRDefault="00A32F50" w:rsidP="00A32F50">
            <w:pPr>
              <w:pStyle w:val="biaogeright"/>
              <w:wordWrap w:val="0"/>
            </w:pPr>
            <w:r w:rsidRPr="00580BF8">
              <w:rPr>
                <w:rFonts w:hAnsi="Calibri" w:hint="eastAsia"/>
                <w:color w:val="000000"/>
              </w:rPr>
              <w:t>12,666,281.10</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4F747F9" w14:textId="77777777" w:rsidR="00A32F50" w:rsidRDefault="00A32F50" w:rsidP="00A32F50">
            <w:pPr>
              <w:pStyle w:val="biaogeright"/>
              <w:wordWrap w:val="0"/>
            </w:pPr>
            <w:r w:rsidRPr="00580BF8">
              <w:rPr>
                <w:rFonts w:hAnsi="Calibri" w:hint="eastAsia"/>
                <w:color w:val="000000"/>
              </w:rPr>
              <w:t>0.44</w:t>
            </w:r>
          </w:p>
        </w:tc>
      </w:tr>
      <w:tr w:rsidR="00A32F50" w:rsidRPr="00580BF8" w14:paraId="55F1DF0D"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D55D3D4" w14:textId="77777777" w:rsidR="00A32F50" w:rsidRDefault="00A32F50" w:rsidP="00A32F50">
            <w:pPr>
              <w:pStyle w:val="biaogecenter"/>
              <w:wordWrap w:val="0"/>
            </w:pPr>
            <w:r>
              <w:rPr>
                <w:rFonts w:hint="eastAsia"/>
              </w:rPr>
              <w:t>5</w:t>
            </w:r>
          </w:p>
        </w:tc>
        <w:tc>
          <w:tcPr>
            <w:tcW w:w="3612" w:type="dxa"/>
            <w:tcBorders>
              <w:top w:val="single" w:sz="8" w:space="0" w:color="000000"/>
              <w:left w:val="single" w:sz="8" w:space="0" w:color="000000"/>
              <w:bottom w:val="single" w:sz="6" w:space="0" w:color="000000"/>
              <w:right w:val="single" w:sz="8" w:space="0" w:color="000000"/>
            </w:tcBorders>
            <w:vAlign w:val="center"/>
            <w:hideMark/>
          </w:tcPr>
          <w:p w14:paraId="00AC1D79" w14:textId="77777777" w:rsidR="00A32F50" w:rsidRDefault="00A32F50" w:rsidP="00A32F50">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5F359EF" w14:textId="77777777" w:rsidR="00A32F50" w:rsidRDefault="00A32F50" w:rsidP="00A32F50">
            <w:pPr>
              <w:pStyle w:val="biaogeright"/>
              <w:wordWrap w:val="0"/>
            </w:pPr>
            <w:r w:rsidRPr="00580BF8">
              <w:rPr>
                <w:rFonts w:hAnsi="Calibri" w:hint="eastAsia"/>
                <w:color w:val="000000"/>
              </w:rPr>
              <w:t>2,877,857,325.54</w:t>
            </w:r>
          </w:p>
        </w:tc>
        <w:tc>
          <w:tcPr>
            <w:tcW w:w="2167" w:type="dxa"/>
            <w:tcBorders>
              <w:top w:val="single" w:sz="8" w:space="0" w:color="000000"/>
              <w:left w:val="single" w:sz="8" w:space="0" w:color="000000"/>
              <w:bottom w:val="single" w:sz="6" w:space="0" w:color="000000"/>
              <w:right w:val="single" w:sz="8" w:space="0" w:color="000000"/>
            </w:tcBorders>
            <w:vAlign w:val="center"/>
            <w:hideMark/>
          </w:tcPr>
          <w:p w14:paraId="43CE21C2" w14:textId="77777777" w:rsidR="00A32F50" w:rsidRDefault="00A32F50" w:rsidP="00A32F50">
            <w:pPr>
              <w:pStyle w:val="biaogeright"/>
              <w:wordWrap w:val="0"/>
            </w:pPr>
            <w:r w:rsidRPr="00580BF8">
              <w:rPr>
                <w:rFonts w:hAnsi="Calibri" w:hint="eastAsia"/>
                <w:color w:val="000000"/>
              </w:rPr>
              <w:t>100.00</w:t>
            </w:r>
          </w:p>
        </w:tc>
      </w:tr>
    </w:tbl>
    <w:p w14:paraId="3B06CBD1" w14:textId="77777777" w:rsidR="00A32F50" w:rsidRDefault="00A32F50" w:rsidP="0088687C">
      <w:pPr>
        <w:spacing w:line="360" w:lineRule="auto"/>
        <w:ind w:firstLineChars="177" w:firstLine="425"/>
        <w:rPr>
          <w:rFonts w:ascii="宋体" w:hAnsi="宋体"/>
          <w:sz w:val="24"/>
        </w:rPr>
      </w:pPr>
    </w:p>
    <w:p w14:paraId="0EC5DF74" w14:textId="77777777" w:rsidR="00A32F50" w:rsidRDefault="00A32F50" w:rsidP="0088687C">
      <w:pPr>
        <w:spacing w:line="360" w:lineRule="auto"/>
        <w:ind w:firstLineChars="177" w:firstLine="425"/>
        <w:rPr>
          <w:rFonts w:ascii="宋体" w:hAnsi="宋体"/>
          <w:sz w:val="24"/>
        </w:rPr>
      </w:pPr>
    </w:p>
    <w:p w14:paraId="2DA8026D"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2</w:t>
      </w:r>
      <w:r>
        <w:rPr>
          <w:rFonts w:asciiTheme="minorEastAsia" w:eastAsiaTheme="minorEastAsia" w:hAnsiTheme="minorEastAsia" w:hint="eastAsia"/>
          <w:sz w:val="24"/>
        </w:rPr>
        <w:t>、报告期债券回购融资情况</w:t>
      </w:r>
    </w:p>
    <w:tbl>
      <w:tblPr>
        <w:tblW w:w="8549" w:type="dxa"/>
        <w:tblInd w:w="108" w:type="dxa"/>
        <w:tblLook w:val="04A0" w:firstRow="1" w:lastRow="0" w:firstColumn="1" w:lastColumn="0" w:noHBand="0" w:noVBand="1"/>
      </w:tblPr>
      <w:tblGrid>
        <w:gridCol w:w="683"/>
        <w:gridCol w:w="3420"/>
        <w:gridCol w:w="2394"/>
        <w:gridCol w:w="2052"/>
      </w:tblGrid>
      <w:tr w:rsidR="00A32F50" w:rsidRPr="00580BF8" w14:paraId="72053F2C" w14:textId="77777777" w:rsidTr="0022257E">
        <w:trPr>
          <w:trHeight w:val="800"/>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2171D31C" w14:textId="77777777" w:rsidR="00A32F50" w:rsidRDefault="00A32F50" w:rsidP="00A32F50">
            <w:pPr>
              <w:pStyle w:val="biaogecenter"/>
              <w:wordWrap w:val="0"/>
            </w:pPr>
            <w:r>
              <w:rPr>
                <w:rFonts w:hint="eastAsia"/>
              </w:rPr>
              <w:t>序号</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26BCA5E6" w14:textId="77777777" w:rsidR="00A32F50" w:rsidRDefault="00A32F50" w:rsidP="00A32F50">
            <w:pPr>
              <w:pStyle w:val="biaogecenter"/>
              <w:wordWrap w:val="0"/>
            </w:pPr>
            <w:r w:rsidRPr="00580BF8">
              <w:rPr>
                <w:rFonts w:hAnsi="Calibri" w:hint="eastAsia"/>
                <w:color w:val="000000"/>
              </w:rPr>
              <w:t>项目</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2E354265" w14:textId="77777777" w:rsidR="00A32F50" w:rsidRDefault="00A32F50" w:rsidP="00A32F50">
            <w:pPr>
              <w:pStyle w:val="biaogecenter"/>
              <w:wordWrap w:val="0"/>
            </w:pPr>
            <w:r w:rsidRPr="00580BF8">
              <w:rPr>
                <w:rFonts w:hAnsi="Calibri" w:hint="eastAsia"/>
                <w:color w:val="000000"/>
              </w:rPr>
              <w:t>金额(元)</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4C40EE5D"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734BCAB0"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4E556F92" w14:textId="77777777" w:rsidR="00A32F50" w:rsidRDefault="00A32F50" w:rsidP="00A32F50">
            <w:pPr>
              <w:pStyle w:val="biaogecenter"/>
              <w:wordWrap w:val="0"/>
            </w:pPr>
            <w:r w:rsidRPr="00580BF8">
              <w:rPr>
                <w:rFonts w:hAnsi="Calibri" w:hint="eastAsia"/>
                <w:color w:val="000000"/>
              </w:rPr>
              <w:t>1</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3EA62628" w14:textId="77777777" w:rsidR="00A32F50" w:rsidRDefault="00A32F50" w:rsidP="00A32F50">
            <w:pPr>
              <w:pStyle w:val="biaogeleft"/>
              <w:wordWrap w:val="0"/>
            </w:pPr>
            <w:r>
              <w:rPr>
                <w:rFonts w:hint="eastAsia"/>
              </w:rPr>
              <w:t>报告期内债券回购融资余额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07129883" w14:textId="77777777" w:rsidR="00A32F50" w:rsidRDefault="00A32F50" w:rsidP="00A32F50">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6F71941B" w14:textId="77777777" w:rsidR="00A32F50" w:rsidRDefault="00A32F50" w:rsidP="00A32F50">
            <w:pPr>
              <w:pStyle w:val="biaogeright"/>
              <w:wordWrap w:val="0"/>
            </w:pPr>
            <w:r w:rsidRPr="00580BF8">
              <w:rPr>
                <w:rFonts w:hAnsi="Calibri" w:hint="eastAsia"/>
                <w:color w:val="000000"/>
              </w:rPr>
              <w:t>6.22</w:t>
            </w:r>
          </w:p>
        </w:tc>
      </w:tr>
      <w:tr w:rsidR="00A32F50" w:rsidRPr="00580BF8" w14:paraId="5B47893D"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3DABBDF2" w14:textId="77777777" w:rsidR="00A32F50" w:rsidRDefault="00A32F50" w:rsidP="00A32F50">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00A2B812" w14:textId="77777777" w:rsidR="00A32F50" w:rsidRDefault="00A32F50" w:rsidP="00A32F50">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7D7C4521" w14:textId="77777777" w:rsidR="00A32F50" w:rsidRDefault="00A32F50" w:rsidP="00A32F50">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237504D8" w14:textId="77777777" w:rsidR="00A32F50" w:rsidRDefault="00A32F50" w:rsidP="00A32F50">
            <w:pPr>
              <w:pStyle w:val="biaogeright"/>
              <w:wordWrap w:val="0"/>
            </w:pPr>
            <w:r w:rsidRPr="00580BF8">
              <w:rPr>
                <w:rFonts w:hAnsi="Calibri" w:hint="eastAsia"/>
                <w:color w:val="000000"/>
              </w:rPr>
              <w:t>-</w:t>
            </w:r>
          </w:p>
        </w:tc>
      </w:tr>
      <w:tr w:rsidR="00A32F50" w:rsidRPr="00580BF8" w14:paraId="53002DED"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6268E0E5" w14:textId="77777777" w:rsidR="00A32F50" w:rsidRDefault="00A32F50" w:rsidP="00A32F50">
            <w:pPr>
              <w:pStyle w:val="biaogecenter"/>
              <w:wordWrap w:val="0"/>
            </w:pPr>
            <w:r w:rsidRPr="00580BF8">
              <w:rPr>
                <w:rFonts w:hAnsi="Calibri" w:hint="eastAsia"/>
                <w:color w:val="000000"/>
              </w:rPr>
              <w:t>2</w:t>
            </w: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6C889512" w14:textId="77777777" w:rsidR="00A32F50" w:rsidRDefault="00A32F50" w:rsidP="00A32F50">
            <w:pPr>
              <w:pStyle w:val="biaogeleft"/>
              <w:wordWrap w:val="0"/>
            </w:pPr>
            <w:r>
              <w:rPr>
                <w:rFonts w:hint="eastAsia"/>
              </w:rPr>
              <w:t>报告期末债券回购融资余额</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4ECBB23F" w14:textId="77777777" w:rsidR="00A32F50" w:rsidRDefault="00A32F50" w:rsidP="00A32F50">
            <w:pPr>
              <w:pStyle w:val="biaogeright"/>
              <w:wordWrap w:val="0"/>
            </w:pPr>
            <w:r w:rsidRPr="00580BF8">
              <w:rPr>
                <w:rFonts w:hAnsi="Calibri" w:hint="eastAsia"/>
                <w:color w:val="000000"/>
              </w:rPr>
              <w:t>121,999,619.00</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77820B80" w14:textId="77777777" w:rsidR="00A32F50" w:rsidRDefault="00A32F50" w:rsidP="00A32F50">
            <w:pPr>
              <w:pStyle w:val="biaogeright"/>
              <w:wordWrap w:val="0"/>
            </w:pPr>
            <w:r w:rsidRPr="00580BF8">
              <w:rPr>
                <w:rFonts w:hAnsi="Calibri" w:hint="eastAsia"/>
                <w:color w:val="000000"/>
              </w:rPr>
              <w:t>4.78</w:t>
            </w:r>
          </w:p>
        </w:tc>
      </w:tr>
      <w:tr w:rsidR="00A32F50" w:rsidRPr="00580BF8" w14:paraId="00E2EC1B" w14:textId="77777777" w:rsidTr="0022257E">
        <w:trPr>
          <w:trHeight w:val="416"/>
        </w:trPr>
        <w:tc>
          <w:tcPr>
            <w:tcW w:w="683" w:type="dxa"/>
            <w:tcBorders>
              <w:top w:val="single" w:sz="8" w:space="0" w:color="000000"/>
              <w:left w:val="single" w:sz="8" w:space="0" w:color="000000"/>
              <w:bottom w:val="single" w:sz="6" w:space="0" w:color="000000"/>
              <w:right w:val="single" w:sz="8" w:space="0" w:color="000000"/>
            </w:tcBorders>
            <w:vAlign w:val="center"/>
            <w:hideMark/>
          </w:tcPr>
          <w:p w14:paraId="48EEC3D3" w14:textId="77777777" w:rsidR="00A32F50" w:rsidRDefault="00A32F50" w:rsidP="00A32F50">
            <w:pPr>
              <w:rPr>
                <w:rFonts w:ascii="宋体" w:hAnsi="宋体" w:cs="宋体"/>
                <w:kern w:val="0"/>
                <w:sz w:val="24"/>
              </w:rPr>
            </w:pPr>
          </w:p>
        </w:tc>
        <w:tc>
          <w:tcPr>
            <w:tcW w:w="3420" w:type="dxa"/>
            <w:tcBorders>
              <w:top w:val="single" w:sz="8" w:space="0" w:color="000000"/>
              <w:left w:val="single" w:sz="8" w:space="0" w:color="000000"/>
              <w:bottom w:val="single" w:sz="6" w:space="0" w:color="000000"/>
              <w:right w:val="single" w:sz="8" w:space="0" w:color="000000"/>
            </w:tcBorders>
            <w:vAlign w:val="center"/>
            <w:hideMark/>
          </w:tcPr>
          <w:p w14:paraId="0ADB509E" w14:textId="77777777" w:rsidR="00A32F50" w:rsidRDefault="00A32F50" w:rsidP="00A32F50">
            <w:pPr>
              <w:pStyle w:val="biaogeleft"/>
              <w:wordWrap w:val="0"/>
            </w:pPr>
            <w:r>
              <w:rPr>
                <w:rFonts w:hint="eastAsia"/>
              </w:rPr>
              <w:t>其中：买断式回购融资</w:t>
            </w:r>
          </w:p>
        </w:tc>
        <w:tc>
          <w:tcPr>
            <w:tcW w:w="2394" w:type="dxa"/>
            <w:tcBorders>
              <w:top w:val="single" w:sz="8" w:space="0" w:color="000000"/>
              <w:left w:val="single" w:sz="8" w:space="0" w:color="000000"/>
              <w:bottom w:val="single" w:sz="6" w:space="0" w:color="000000"/>
              <w:right w:val="single" w:sz="8" w:space="0" w:color="000000"/>
            </w:tcBorders>
            <w:vAlign w:val="center"/>
            <w:hideMark/>
          </w:tcPr>
          <w:p w14:paraId="1AB08482" w14:textId="77777777" w:rsidR="00A32F50" w:rsidRDefault="00A32F50" w:rsidP="00A32F50">
            <w:pPr>
              <w:pStyle w:val="biaogeright"/>
              <w:wordWrap w:val="0"/>
            </w:pPr>
            <w:r w:rsidRPr="00580BF8">
              <w:rPr>
                <w:rFonts w:hAnsi="Calibri" w:hint="eastAsia"/>
                <w:color w:val="000000"/>
              </w:rPr>
              <w:t>-</w:t>
            </w:r>
          </w:p>
        </w:tc>
        <w:tc>
          <w:tcPr>
            <w:tcW w:w="2052" w:type="dxa"/>
            <w:tcBorders>
              <w:top w:val="single" w:sz="8" w:space="0" w:color="000000"/>
              <w:left w:val="single" w:sz="8" w:space="0" w:color="000000"/>
              <w:bottom w:val="single" w:sz="6" w:space="0" w:color="000000"/>
              <w:right w:val="single" w:sz="8" w:space="0" w:color="000000"/>
            </w:tcBorders>
            <w:vAlign w:val="center"/>
            <w:hideMark/>
          </w:tcPr>
          <w:p w14:paraId="00D8312B" w14:textId="77777777" w:rsidR="00A32F50" w:rsidRDefault="00A32F50" w:rsidP="00A32F50">
            <w:pPr>
              <w:pStyle w:val="biaogeright"/>
              <w:wordWrap w:val="0"/>
            </w:pPr>
            <w:r w:rsidRPr="00580BF8">
              <w:rPr>
                <w:rFonts w:hAnsi="Calibri" w:hint="eastAsia"/>
                <w:color w:val="000000"/>
              </w:rPr>
              <w:t>-</w:t>
            </w:r>
          </w:p>
        </w:tc>
      </w:tr>
    </w:tbl>
    <w:p w14:paraId="1C88851B" w14:textId="77777777" w:rsidR="00A32F50" w:rsidRDefault="00A32F50" w:rsidP="0088687C">
      <w:pPr>
        <w:spacing w:line="360" w:lineRule="auto"/>
        <w:ind w:firstLineChars="177" w:firstLine="425"/>
        <w:rPr>
          <w:rFonts w:asciiTheme="minorEastAsia" w:eastAsiaTheme="minorEastAsia" w:hAnsiTheme="minorEastAsia"/>
          <w:sz w:val="24"/>
        </w:rPr>
      </w:pPr>
    </w:p>
    <w:p w14:paraId="3C670BC0" w14:textId="77777777" w:rsidR="00A32F50" w:rsidRDefault="00A32F50" w:rsidP="0088687C">
      <w:pPr>
        <w:spacing w:line="360" w:lineRule="auto"/>
        <w:ind w:firstLineChars="177" w:firstLine="425"/>
        <w:rPr>
          <w:rFonts w:asciiTheme="minorEastAsia" w:eastAsiaTheme="minorEastAsia" w:hAnsiTheme="minorEastAsia"/>
          <w:sz w:val="24"/>
        </w:rPr>
      </w:pPr>
    </w:p>
    <w:p w14:paraId="3D2E9ECC" w14:textId="77777777" w:rsidR="0088687C" w:rsidRDefault="0088687C" w:rsidP="0088687C">
      <w:pPr>
        <w:pStyle w:val="neirong"/>
        <w:spacing w:line="360" w:lineRule="auto"/>
      </w:pPr>
      <w:r>
        <w:rPr>
          <w:rFonts w:hint="eastAsia"/>
        </w:rPr>
        <w:t>注：本报告期内债券回购融资余额占基金资产净值的比例为报告期内每个交易日融资余额占资产净值比例的简单平均值。</w:t>
      </w:r>
    </w:p>
    <w:p w14:paraId="408ECD87" w14:textId="77777777" w:rsidR="0088687C" w:rsidRDefault="0088687C" w:rsidP="0088687C">
      <w:pPr>
        <w:spacing w:line="360" w:lineRule="auto"/>
        <w:ind w:firstLineChars="177" w:firstLine="425"/>
        <w:rPr>
          <w:rFonts w:asciiTheme="minorEastAsia" w:eastAsiaTheme="minorEastAsia" w:hAnsiTheme="minorEastAsia"/>
          <w:sz w:val="24"/>
        </w:rPr>
      </w:pPr>
    </w:p>
    <w:p w14:paraId="416F909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债券正回购的资金余额超过基金资产净值的</w:t>
      </w:r>
      <w:r>
        <w:rPr>
          <w:rFonts w:asciiTheme="minorEastAsia" w:eastAsiaTheme="minorEastAsia" w:hAnsiTheme="minorEastAsia"/>
          <w:sz w:val="24"/>
        </w:rPr>
        <w:t>20%的说明:</w:t>
      </w:r>
    </w:p>
    <w:p w14:paraId="700A641D" w14:textId="77777777" w:rsidR="00A32F50" w:rsidRDefault="00A32F50" w:rsidP="00A32F50">
      <w:pPr>
        <w:pStyle w:val="neirong"/>
        <w:ind w:leftChars="7" w:firstLineChars="200" w:firstLine="480"/>
      </w:pPr>
      <w:r>
        <w:rPr>
          <w:rFonts w:hint="eastAsia"/>
        </w:rPr>
        <w:t>本基金本报告期内债券正回购的资金余额未超过基金资产净值的20%。</w:t>
      </w:r>
    </w:p>
    <w:p w14:paraId="59AFB162" w14:textId="77777777" w:rsidR="00A32F50" w:rsidRPr="00A32F50" w:rsidRDefault="00A32F50" w:rsidP="0088687C">
      <w:pPr>
        <w:spacing w:line="360" w:lineRule="auto"/>
        <w:ind w:firstLineChars="177" w:firstLine="425"/>
        <w:rPr>
          <w:rFonts w:asciiTheme="minorEastAsia" w:eastAsiaTheme="minorEastAsia" w:hAnsiTheme="minorEastAsia"/>
          <w:sz w:val="24"/>
        </w:rPr>
      </w:pPr>
    </w:p>
    <w:p w14:paraId="0C545A70" w14:textId="77777777" w:rsidR="0088687C" w:rsidRPr="00042999" w:rsidRDefault="0088687C" w:rsidP="0088687C">
      <w:pPr>
        <w:spacing w:line="360" w:lineRule="auto"/>
        <w:rPr>
          <w:rFonts w:asciiTheme="minorEastAsia" w:eastAsiaTheme="minorEastAsia" w:hAnsiTheme="minorEastAsia"/>
          <w:sz w:val="24"/>
        </w:rPr>
      </w:pPr>
    </w:p>
    <w:p w14:paraId="1B1E41F2"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sz w:val="24"/>
        </w:rPr>
        <w:t>3、</w:t>
      </w:r>
      <w:r>
        <w:rPr>
          <w:rFonts w:asciiTheme="minorEastAsia" w:eastAsiaTheme="minorEastAsia" w:hAnsiTheme="minorEastAsia" w:hint="eastAsia"/>
          <w:sz w:val="24"/>
        </w:rPr>
        <w:t>基金投资组合平均剩余期限</w:t>
      </w:r>
    </w:p>
    <w:p w14:paraId="72D4B0C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1）投资组合平均剩余期限基本情况</w:t>
      </w:r>
    </w:p>
    <w:tbl>
      <w:tblPr>
        <w:tblW w:w="0" w:type="auto"/>
        <w:tblInd w:w="108" w:type="dxa"/>
        <w:tblLook w:val="04A0" w:firstRow="1" w:lastRow="0" w:firstColumn="1" w:lastColumn="0" w:noHBand="0" w:noVBand="1"/>
      </w:tblPr>
      <w:tblGrid>
        <w:gridCol w:w="5942"/>
        <w:gridCol w:w="2806"/>
      </w:tblGrid>
      <w:tr w:rsidR="00A32F50" w:rsidRPr="00580BF8" w14:paraId="08ABDE47"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648F00FC" w14:textId="77777777" w:rsidR="00A32F50" w:rsidRDefault="00A32F50" w:rsidP="00A32F50">
            <w:pPr>
              <w:pStyle w:val="biaogecenter"/>
              <w:wordWrap w:val="0"/>
            </w:pPr>
            <w:r w:rsidRPr="00580BF8">
              <w:rPr>
                <w:rFonts w:hAnsi="Calibri" w:hint="eastAsia"/>
                <w:color w:val="000000"/>
              </w:rPr>
              <w:t>项目</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5D25A806" w14:textId="77777777" w:rsidR="00A32F50" w:rsidRDefault="00A32F50" w:rsidP="00A32F50">
            <w:pPr>
              <w:pStyle w:val="biaogecenter"/>
              <w:wordWrap w:val="0"/>
            </w:pPr>
            <w:r w:rsidRPr="00580BF8">
              <w:rPr>
                <w:rFonts w:hAnsi="Calibri" w:hint="eastAsia"/>
                <w:color w:val="000000"/>
              </w:rPr>
              <w:t>天数</w:t>
            </w:r>
          </w:p>
        </w:tc>
      </w:tr>
      <w:tr w:rsidR="00A32F50" w:rsidRPr="00580BF8" w14:paraId="217417EC"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447AF314" w14:textId="77777777" w:rsidR="00A32F50" w:rsidRDefault="00A32F50" w:rsidP="00A32F50">
            <w:pPr>
              <w:pStyle w:val="biaogeleft"/>
              <w:wordWrap w:val="0"/>
            </w:pPr>
            <w:r>
              <w:rPr>
                <w:rFonts w:hint="eastAsia"/>
              </w:rPr>
              <w:t>报告期末投资组合平均剩余期限</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3BCC2354" w14:textId="77777777" w:rsidR="00A32F50" w:rsidRDefault="00A32F50" w:rsidP="00A32F50">
            <w:pPr>
              <w:pStyle w:val="biaogeright"/>
              <w:wordWrap w:val="0"/>
            </w:pPr>
            <w:r w:rsidRPr="00580BF8">
              <w:rPr>
                <w:rFonts w:hAnsi="Calibri" w:hint="eastAsia"/>
                <w:color w:val="000000"/>
              </w:rPr>
              <w:t>50</w:t>
            </w:r>
          </w:p>
        </w:tc>
      </w:tr>
      <w:tr w:rsidR="00A32F50" w:rsidRPr="00580BF8" w14:paraId="48C98EAF"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7DC67A5E" w14:textId="77777777" w:rsidR="00A32F50" w:rsidRDefault="00A32F50" w:rsidP="00A32F50">
            <w:pPr>
              <w:pStyle w:val="biaogeleft"/>
              <w:wordWrap w:val="0"/>
            </w:pPr>
            <w:r>
              <w:rPr>
                <w:rFonts w:hint="eastAsia"/>
              </w:rPr>
              <w:t>报告期内投资组合平均剩余期限最高值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42516CD9" w14:textId="77777777" w:rsidR="00A32F50" w:rsidRDefault="00A32F50" w:rsidP="00A32F50">
            <w:pPr>
              <w:pStyle w:val="biaogeright"/>
              <w:wordWrap w:val="0"/>
            </w:pPr>
            <w:r w:rsidRPr="00580BF8">
              <w:rPr>
                <w:rFonts w:hAnsi="Calibri" w:hint="eastAsia"/>
                <w:color w:val="000000"/>
              </w:rPr>
              <w:t>60</w:t>
            </w:r>
          </w:p>
        </w:tc>
      </w:tr>
      <w:tr w:rsidR="00A32F50" w:rsidRPr="00580BF8" w14:paraId="3F058098" w14:textId="77777777" w:rsidTr="00A32F50">
        <w:tc>
          <w:tcPr>
            <w:tcW w:w="6140" w:type="dxa"/>
            <w:tcBorders>
              <w:top w:val="single" w:sz="8" w:space="0" w:color="000000"/>
              <w:left w:val="single" w:sz="8" w:space="0" w:color="000000"/>
              <w:bottom w:val="single" w:sz="6" w:space="0" w:color="000000"/>
              <w:right w:val="single" w:sz="8" w:space="0" w:color="000000"/>
            </w:tcBorders>
            <w:vAlign w:val="center"/>
            <w:hideMark/>
          </w:tcPr>
          <w:p w14:paraId="77739ED8" w14:textId="77777777" w:rsidR="00A32F50" w:rsidRDefault="00A32F50" w:rsidP="00A32F50">
            <w:pPr>
              <w:pStyle w:val="biaogeleft"/>
              <w:wordWrap w:val="0"/>
            </w:pPr>
            <w:r>
              <w:rPr>
                <w:rFonts w:hint="eastAsia"/>
              </w:rPr>
              <w:t>报告期内投资组合平均剩余期限最低值</w:t>
            </w:r>
          </w:p>
        </w:tc>
        <w:tc>
          <w:tcPr>
            <w:tcW w:w="2890" w:type="dxa"/>
            <w:tcBorders>
              <w:top w:val="single" w:sz="8" w:space="0" w:color="000000"/>
              <w:left w:val="single" w:sz="8" w:space="0" w:color="000000"/>
              <w:bottom w:val="single" w:sz="6" w:space="0" w:color="000000"/>
              <w:right w:val="single" w:sz="8" w:space="0" w:color="000000"/>
            </w:tcBorders>
            <w:vAlign w:val="center"/>
            <w:hideMark/>
          </w:tcPr>
          <w:p w14:paraId="29A1CB6B" w14:textId="77777777" w:rsidR="00A32F50" w:rsidRDefault="00A32F50" w:rsidP="00A32F50">
            <w:pPr>
              <w:pStyle w:val="biaogeright"/>
              <w:wordWrap w:val="0"/>
            </w:pPr>
            <w:r w:rsidRPr="00580BF8">
              <w:rPr>
                <w:rFonts w:hAnsi="Calibri" w:hint="eastAsia"/>
                <w:color w:val="000000"/>
              </w:rPr>
              <w:t>43</w:t>
            </w:r>
          </w:p>
        </w:tc>
      </w:tr>
    </w:tbl>
    <w:p w14:paraId="51230DF3" w14:textId="77777777" w:rsidR="00A32F50" w:rsidRDefault="00A32F50" w:rsidP="0088687C">
      <w:pPr>
        <w:spacing w:line="360" w:lineRule="auto"/>
        <w:ind w:firstLineChars="177" w:firstLine="425"/>
        <w:rPr>
          <w:rFonts w:asciiTheme="minorEastAsia" w:eastAsiaTheme="minorEastAsia" w:hAnsiTheme="minorEastAsia"/>
          <w:sz w:val="24"/>
        </w:rPr>
      </w:pPr>
    </w:p>
    <w:p w14:paraId="48DB0F19" w14:textId="77777777" w:rsidR="00A32F50" w:rsidRDefault="00A32F50" w:rsidP="0088687C">
      <w:pPr>
        <w:spacing w:line="360" w:lineRule="auto"/>
        <w:ind w:firstLineChars="177" w:firstLine="425"/>
        <w:rPr>
          <w:rFonts w:asciiTheme="minorEastAsia" w:eastAsiaTheme="minorEastAsia" w:hAnsiTheme="minorEastAsia"/>
          <w:sz w:val="24"/>
        </w:rPr>
      </w:pPr>
    </w:p>
    <w:p w14:paraId="2315AF09"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lastRenderedPageBreak/>
        <w:t>报告期内投资组合平均剩余期限超过</w:t>
      </w:r>
      <w:r>
        <w:rPr>
          <w:rFonts w:asciiTheme="minorEastAsia" w:eastAsiaTheme="minorEastAsia" w:hAnsiTheme="minorEastAsia"/>
          <w:sz w:val="24"/>
        </w:rPr>
        <w:t>120天情况说明:</w:t>
      </w:r>
    </w:p>
    <w:p w14:paraId="11E8B3FB" w14:textId="77777777" w:rsidR="0088687C" w:rsidRDefault="0088687C" w:rsidP="0088687C">
      <w:pPr>
        <w:pStyle w:val="neirong"/>
        <w:spacing w:line="360" w:lineRule="auto"/>
        <w:ind w:leftChars="7" w:firstLineChars="200" w:firstLine="480"/>
      </w:pPr>
      <w:r>
        <w:rPr>
          <w:rFonts w:hint="eastAsia"/>
        </w:rPr>
        <w:t>本基金本报告期内投资组合平均剩余期限无超过120天的情况。</w:t>
      </w:r>
    </w:p>
    <w:p w14:paraId="274D5124" w14:textId="77777777" w:rsidR="0088687C" w:rsidRDefault="0088687C" w:rsidP="0088687C">
      <w:pPr>
        <w:spacing w:line="360" w:lineRule="auto"/>
        <w:ind w:firstLineChars="177" w:firstLine="425"/>
        <w:rPr>
          <w:rFonts w:asciiTheme="minorEastAsia" w:eastAsiaTheme="minorEastAsia" w:hAnsiTheme="minorEastAsia"/>
          <w:sz w:val="24"/>
        </w:rPr>
      </w:pPr>
      <w:r>
        <w:rPr>
          <w:rFonts w:asciiTheme="minorEastAsia" w:eastAsiaTheme="minorEastAsia" w:hAnsiTheme="minorEastAsia" w:hint="eastAsia"/>
          <w:sz w:val="24"/>
        </w:rPr>
        <w:t>（</w:t>
      </w:r>
      <w:r>
        <w:rPr>
          <w:rFonts w:asciiTheme="minorEastAsia" w:eastAsiaTheme="minorEastAsia" w:hAnsiTheme="minorEastAsia"/>
          <w:sz w:val="24"/>
        </w:rPr>
        <w:t>2）报告期末投资组合平均剩余期限分布比例</w:t>
      </w:r>
    </w:p>
    <w:tbl>
      <w:tblPr>
        <w:tblW w:w="0" w:type="auto"/>
        <w:tblInd w:w="108" w:type="dxa"/>
        <w:tblLook w:val="04A0" w:firstRow="1" w:lastRow="0" w:firstColumn="1" w:lastColumn="0" w:noHBand="0" w:noVBand="1"/>
      </w:tblPr>
      <w:tblGrid>
        <w:gridCol w:w="954"/>
        <w:gridCol w:w="3043"/>
        <w:gridCol w:w="2376"/>
        <w:gridCol w:w="2375"/>
      </w:tblGrid>
      <w:tr w:rsidR="00A32F50" w:rsidRPr="00580BF8" w14:paraId="6F737B99" w14:textId="77777777" w:rsidTr="00A32F50">
        <w:tc>
          <w:tcPr>
            <w:tcW w:w="1002" w:type="dxa"/>
            <w:tcBorders>
              <w:top w:val="single" w:sz="8" w:space="0" w:color="000000"/>
              <w:left w:val="single" w:sz="8" w:space="0" w:color="000000"/>
              <w:bottom w:val="single" w:sz="6" w:space="0" w:color="000000"/>
              <w:right w:val="single" w:sz="8" w:space="0" w:color="000000"/>
            </w:tcBorders>
            <w:vAlign w:val="center"/>
            <w:hideMark/>
          </w:tcPr>
          <w:p w14:paraId="5C2EAB51"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56F2915" w14:textId="77777777" w:rsidR="00A32F50" w:rsidRDefault="00A32F50" w:rsidP="00A32F50">
            <w:pPr>
              <w:pStyle w:val="biaogecenter"/>
              <w:wordWrap w:val="0"/>
            </w:pPr>
            <w:r w:rsidRPr="00580BF8">
              <w:rPr>
                <w:rFonts w:hAnsi="Calibri" w:hint="eastAsia"/>
                <w:color w:val="000000"/>
              </w:rPr>
              <w:t>平均剩余期限</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487B843" w14:textId="77777777" w:rsidR="00A32F50" w:rsidRDefault="00A32F50" w:rsidP="00A32F50">
            <w:pPr>
              <w:pStyle w:val="biaogecenter"/>
              <w:wordWrap w:val="0"/>
            </w:pPr>
            <w:r w:rsidRPr="00580BF8">
              <w:rPr>
                <w:rFonts w:hAnsi="Calibri" w:hint="eastAsia"/>
                <w:color w:val="000000"/>
              </w:rPr>
              <w:t>各期限资产占基金资产净值的比例（%）</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5B4AD92" w14:textId="77777777" w:rsidR="00A32F50" w:rsidRDefault="00A32F50" w:rsidP="00A32F50">
            <w:pPr>
              <w:pStyle w:val="biaogecenter"/>
              <w:wordWrap w:val="0"/>
            </w:pPr>
            <w:r w:rsidRPr="00580BF8">
              <w:rPr>
                <w:rFonts w:hAnsi="Calibri" w:hint="eastAsia"/>
                <w:color w:val="000000"/>
              </w:rPr>
              <w:t>各期限负债占基金资产净值的比例（%）</w:t>
            </w:r>
          </w:p>
        </w:tc>
      </w:tr>
      <w:tr w:rsidR="00A32F50" w:rsidRPr="00580BF8" w14:paraId="750F0B05"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C599A50" w14:textId="77777777" w:rsidR="00A32F50" w:rsidRDefault="00A32F50" w:rsidP="00A32F50">
            <w:pPr>
              <w:pStyle w:val="biaogecenter"/>
              <w:wordWrap w:val="0"/>
            </w:pPr>
            <w:r>
              <w:rPr>
                <w:rFonts w:hint="eastAsia"/>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81C11C" w14:textId="77777777" w:rsidR="00A32F50" w:rsidRDefault="00A32F50" w:rsidP="00A32F50">
            <w:pPr>
              <w:pStyle w:val="biaogeleft"/>
              <w:wordWrap w:val="0"/>
            </w:pPr>
            <w:r>
              <w:rPr>
                <w:rFonts w:hint="eastAsia"/>
              </w:rPr>
              <w:t>30天以内</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0DA250B" w14:textId="77777777" w:rsidR="00A32F50" w:rsidRDefault="00A32F50" w:rsidP="00A32F50">
            <w:pPr>
              <w:pStyle w:val="biaogeright"/>
              <w:wordWrap w:val="0"/>
            </w:pPr>
            <w:r w:rsidRPr="00580BF8">
              <w:rPr>
                <w:rFonts w:hAnsi="Calibri" w:hint="eastAsia"/>
                <w:color w:val="000000"/>
              </w:rPr>
              <w:t>59.46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BCBD09E" w14:textId="77777777" w:rsidR="00A32F50" w:rsidRDefault="00A32F50" w:rsidP="00A32F50">
            <w:pPr>
              <w:pStyle w:val="biaogeright"/>
              <w:wordWrap w:val="0"/>
            </w:pPr>
            <w:r w:rsidRPr="00580BF8">
              <w:rPr>
                <w:rFonts w:hAnsi="Calibri" w:hint="eastAsia"/>
                <w:color w:val="000000"/>
              </w:rPr>
              <w:t>4.78</w:t>
            </w:r>
          </w:p>
        </w:tc>
      </w:tr>
      <w:tr w:rsidR="00A32F50" w:rsidRPr="00580BF8" w14:paraId="040AFAEF"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5D26C5E9"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38368AB"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353269C"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FD1B3E" w14:textId="77777777" w:rsidR="00A32F50" w:rsidRDefault="00A32F50" w:rsidP="00A32F50">
            <w:pPr>
              <w:pStyle w:val="biaogeright"/>
              <w:wordWrap w:val="0"/>
            </w:pPr>
            <w:r w:rsidRPr="00580BF8">
              <w:rPr>
                <w:rFonts w:hAnsi="Calibri" w:hint="eastAsia"/>
                <w:color w:val="000000"/>
              </w:rPr>
              <w:t>-</w:t>
            </w:r>
          </w:p>
        </w:tc>
      </w:tr>
      <w:tr w:rsidR="00A32F50" w:rsidRPr="00580BF8" w14:paraId="3CC8D386"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4495B65" w14:textId="77777777" w:rsidR="00A32F50" w:rsidRDefault="00A32F50" w:rsidP="00A32F50">
            <w:pPr>
              <w:pStyle w:val="biaogecenter"/>
              <w:wordWrap w:val="0"/>
            </w:pPr>
            <w:r w:rsidRPr="00580BF8">
              <w:rPr>
                <w:rFonts w:hAnsi="Calibri" w:hint="eastAsia"/>
                <w:color w:val="000000"/>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7D4410D9" w14:textId="77777777" w:rsidR="00A32F50" w:rsidRDefault="00A32F50" w:rsidP="00A32F50">
            <w:pPr>
              <w:pStyle w:val="biaogeleft"/>
              <w:wordWrap w:val="0"/>
            </w:pPr>
            <w:r>
              <w:rPr>
                <w:rFonts w:hint="eastAsia"/>
              </w:rPr>
              <w:t>30天(含)—60天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74748E6" w14:textId="77777777" w:rsidR="00A32F50" w:rsidRDefault="00A32F50" w:rsidP="00A32F50">
            <w:pPr>
              <w:pStyle w:val="biaogeright"/>
              <w:wordWrap w:val="0"/>
            </w:pPr>
            <w:r w:rsidRPr="00580BF8">
              <w:rPr>
                <w:rFonts w:hAnsi="Calibri" w:hint="eastAsia"/>
                <w:color w:val="000000"/>
              </w:rPr>
              <w:t>10.95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4C460F8" w14:textId="77777777" w:rsidR="00A32F50" w:rsidRDefault="00A32F50" w:rsidP="00A32F50">
            <w:pPr>
              <w:pStyle w:val="biaogeright"/>
              <w:wordWrap w:val="0"/>
            </w:pPr>
            <w:r w:rsidRPr="00580BF8">
              <w:rPr>
                <w:rFonts w:hAnsi="Calibri" w:hint="eastAsia"/>
                <w:color w:val="000000"/>
              </w:rPr>
              <w:t>-</w:t>
            </w:r>
          </w:p>
        </w:tc>
      </w:tr>
      <w:tr w:rsidR="00A32F50" w:rsidRPr="00580BF8" w14:paraId="333E148A"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7F6795D1"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3EB6079"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7E0CB03"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5D90FC0" w14:textId="77777777" w:rsidR="00A32F50" w:rsidRDefault="00A32F50" w:rsidP="00A32F50">
            <w:pPr>
              <w:pStyle w:val="biaogeright"/>
              <w:wordWrap w:val="0"/>
            </w:pPr>
            <w:r w:rsidRPr="00580BF8">
              <w:rPr>
                <w:rFonts w:hAnsi="Calibri" w:hint="eastAsia"/>
                <w:color w:val="000000"/>
              </w:rPr>
              <w:t>-</w:t>
            </w:r>
          </w:p>
        </w:tc>
      </w:tr>
      <w:tr w:rsidR="00A32F50" w:rsidRPr="00580BF8" w14:paraId="25C54442"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6FA6B92A" w14:textId="77777777" w:rsidR="00A32F50" w:rsidRDefault="00A32F50" w:rsidP="00A32F50">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A1A6196" w14:textId="77777777" w:rsidR="00A32F50" w:rsidRDefault="00A32F50" w:rsidP="00A32F50">
            <w:pPr>
              <w:pStyle w:val="biaogeleft"/>
              <w:wordWrap w:val="0"/>
            </w:pPr>
            <w:r>
              <w:rPr>
                <w:rFonts w:hint="eastAsia"/>
              </w:rPr>
              <w:t>60天（含）—90天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1EB5E6" w14:textId="77777777" w:rsidR="00A32F50" w:rsidRDefault="00A32F50" w:rsidP="00A32F50">
            <w:pPr>
              <w:pStyle w:val="biaogeright"/>
              <w:wordWrap w:val="0"/>
            </w:pPr>
            <w:r w:rsidRPr="00580BF8">
              <w:rPr>
                <w:rFonts w:hAnsi="Calibri" w:hint="eastAsia"/>
                <w:color w:val="000000"/>
              </w:rPr>
              <w:t>19.10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234FC70" w14:textId="77777777" w:rsidR="00A32F50" w:rsidRDefault="00A32F50" w:rsidP="00A32F50">
            <w:pPr>
              <w:pStyle w:val="biaogeright"/>
              <w:wordWrap w:val="0"/>
            </w:pPr>
            <w:r w:rsidRPr="00580BF8">
              <w:rPr>
                <w:rFonts w:hAnsi="Calibri" w:hint="eastAsia"/>
                <w:color w:val="000000"/>
              </w:rPr>
              <w:t>-</w:t>
            </w:r>
          </w:p>
        </w:tc>
      </w:tr>
      <w:tr w:rsidR="00A32F50" w:rsidRPr="00580BF8" w14:paraId="0DACF6DB"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BD85D36"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67CB429"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918770B"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A9B94ED" w14:textId="77777777" w:rsidR="00A32F50" w:rsidRDefault="00A32F50" w:rsidP="00A32F50">
            <w:pPr>
              <w:pStyle w:val="biaogeright"/>
              <w:wordWrap w:val="0"/>
            </w:pPr>
            <w:r w:rsidRPr="00580BF8">
              <w:rPr>
                <w:rFonts w:hAnsi="Calibri" w:hint="eastAsia"/>
                <w:color w:val="000000"/>
              </w:rPr>
              <w:t>-</w:t>
            </w:r>
          </w:p>
        </w:tc>
      </w:tr>
      <w:tr w:rsidR="00A32F50" w:rsidRPr="00580BF8" w14:paraId="0F0058FE"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F86F039" w14:textId="77777777" w:rsidR="00A32F50" w:rsidRDefault="00A32F50" w:rsidP="00A32F50">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BA8B2E" w14:textId="77777777" w:rsidR="00A32F50" w:rsidRDefault="00A32F50" w:rsidP="00A32F50">
            <w:pPr>
              <w:pStyle w:val="biaogeleft"/>
              <w:wordWrap w:val="0"/>
            </w:pPr>
            <w:r>
              <w:rPr>
                <w:rFonts w:hint="eastAsia"/>
              </w:rPr>
              <w:t>90天(含)—120天</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D7A40B3" w14:textId="77777777" w:rsidR="00A32F50" w:rsidRDefault="00A32F50" w:rsidP="00A32F50">
            <w:pPr>
              <w:pStyle w:val="biaogeright"/>
              <w:wordWrap w:val="0"/>
            </w:pPr>
            <w:r w:rsidRPr="00580BF8">
              <w:rPr>
                <w:rFonts w:hAnsi="Calibri" w:hint="eastAsia"/>
                <w:color w:val="000000"/>
              </w:rPr>
              <w:t>5.09</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610D676" w14:textId="77777777" w:rsidR="00A32F50" w:rsidRDefault="00A32F50" w:rsidP="00A32F50">
            <w:pPr>
              <w:pStyle w:val="biaogeright"/>
              <w:wordWrap w:val="0"/>
            </w:pPr>
            <w:r w:rsidRPr="00580BF8">
              <w:rPr>
                <w:rFonts w:hAnsi="Calibri" w:hint="eastAsia"/>
                <w:color w:val="000000"/>
              </w:rPr>
              <w:t>-</w:t>
            </w:r>
          </w:p>
        </w:tc>
      </w:tr>
      <w:tr w:rsidR="00A32F50" w:rsidRPr="00580BF8" w14:paraId="7A081BBD"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B62BFDF"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6679F4F"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057769C"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66E2180" w14:textId="77777777" w:rsidR="00A32F50" w:rsidRDefault="00A32F50" w:rsidP="00A32F50">
            <w:pPr>
              <w:pStyle w:val="biaogeright"/>
              <w:wordWrap w:val="0"/>
            </w:pPr>
            <w:r w:rsidRPr="00580BF8">
              <w:rPr>
                <w:rFonts w:hAnsi="Calibri" w:hint="eastAsia"/>
                <w:color w:val="000000"/>
              </w:rPr>
              <w:t>-</w:t>
            </w:r>
          </w:p>
        </w:tc>
      </w:tr>
      <w:tr w:rsidR="00A32F50" w:rsidRPr="00580BF8" w14:paraId="12D4EE8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241D25C3" w14:textId="77777777" w:rsidR="00A32F50" w:rsidRDefault="00A32F50" w:rsidP="00A32F50">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D3E664F" w14:textId="77777777" w:rsidR="00A32F50" w:rsidRDefault="00A32F50" w:rsidP="00A32F50">
            <w:pPr>
              <w:pStyle w:val="biaogeleft"/>
              <w:wordWrap w:val="0"/>
            </w:pPr>
            <w:r>
              <w:rPr>
                <w:rFonts w:hint="eastAsia"/>
              </w:rPr>
              <w:t>120天(含)—397天（含）</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DE7AE94" w14:textId="77777777" w:rsidR="00A32F50" w:rsidRDefault="00A32F50" w:rsidP="00A32F50">
            <w:pPr>
              <w:pStyle w:val="biaogeright"/>
              <w:wordWrap w:val="0"/>
            </w:pPr>
            <w:r w:rsidRPr="00580BF8">
              <w:rPr>
                <w:rFonts w:hAnsi="Calibri" w:hint="eastAsia"/>
                <w:color w:val="000000"/>
              </w:rPr>
              <w:t>17.61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C21415A" w14:textId="77777777" w:rsidR="00A32F50" w:rsidRDefault="00A32F50" w:rsidP="00A32F50">
            <w:pPr>
              <w:pStyle w:val="biaogeright"/>
              <w:wordWrap w:val="0"/>
            </w:pPr>
            <w:r w:rsidRPr="00580BF8">
              <w:rPr>
                <w:rFonts w:hAnsi="Calibri" w:hint="eastAsia"/>
                <w:color w:val="000000"/>
              </w:rPr>
              <w:t>-</w:t>
            </w:r>
          </w:p>
        </w:tc>
      </w:tr>
      <w:tr w:rsidR="00A32F50" w:rsidRPr="00580BF8" w14:paraId="0CB4841C"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DCF091C"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A9D31C4" w14:textId="77777777" w:rsidR="00A32F50" w:rsidRDefault="00A32F50" w:rsidP="00A32F50">
            <w:pPr>
              <w:pStyle w:val="biaogeleft"/>
              <w:wordWrap w:val="0"/>
            </w:pPr>
            <w:r>
              <w:rPr>
                <w:rFonts w:hint="eastAsia"/>
              </w:rPr>
              <w:t>其中：剩余存续期超过397天的浮动利率债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8B07B0"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FB2E2D2" w14:textId="77777777" w:rsidR="00A32F50" w:rsidRDefault="00A32F50" w:rsidP="00A32F50">
            <w:pPr>
              <w:pStyle w:val="biaogeright"/>
              <w:wordWrap w:val="0"/>
            </w:pPr>
            <w:r w:rsidRPr="00580BF8">
              <w:rPr>
                <w:rFonts w:hAnsi="Calibri" w:hint="eastAsia"/>
                <w:color w:val="000000"/>
              </w:rPr>
              <w:t>-</w:t>
            </w:r>
          </w:p>
        </w:tc>
      </w:tr>
      <w:tr w:rsidR="00A32F50" w:rsidRPr="00580BF8" w14:paraId="101B62ED" w14:textId="77777777" w:rsidTr="00A32F50">
        <w:tc>
          <w:tcPr>
            <w:tcW w:w="3973" w:type="dxa"/>
            <w:gridSpan w:val="2"/>
            <w:tcBorders>
              <w:top w:val="single" w:sz="8" w:space="0" w:color="000000"/>
              <w:left w:val="single" w:sz="8" w:space="0" w:color="000000"/>
              <w:bottom w:val="single" w:sz="6" w:space="0" w:color="000000"/>
              <w:right w:val="single" w:sz="8" w:space="0" w:color="000000"/>
            </w:tcBorders>
            <w:vAlign w:val="center"/>
            <w:hideMark/>
          </w:tcPr>
          <w:p w14:paraId="043CD65B" w14:textId="77777777" w:rsidR="00A32F50" w:rsidRDefault="00A32F50" w:rsidP="00A32F50">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CF80CAB" w14:textId="77777777" w:rsidR="00A32F50" w:rsidRDefault="00A32F50" w:rsidP="00A32F50">
            <w:pPr>
              <w:pStyle w:val="biaogeright"/>
              <w:wordWrap w:val="0"/>
            </w:pPr>
            <w:r w:rsidRPr="00580BF8">
              <w:rPr>
                <w:rFonts w:hAnsi="Calibri" w:hint="eastAsia"/>
                <w:color w:val="000000"/>
              </w:rPr>
              <w:t>112.21</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30ACB05" w14:textId="77777777" w:rsidR="00A32F50" w:rsidRDefault="00A32F50" w:rsidP="00A32F50">
            <w:pPr>
              <w:pStyle w:val="biaogeright"/>
              <w:wordWrap w:val="0"/>
            </w:pPr>
            <w:r w:rsidRPr="00580BF8">
              <w:rPr>
                <w:rFonts w:hAnsi="Calibri" w:hint="eastAsia"/>
                <w:color w:val="000000"/>
              </w:rPr>
              <w:t>4.78</w:t>
            </w:r>
          </w:p>
        </w:tc>
      </w:tr>
    </w:tbl>
    <w:p w14:paraId="05AEC4FD" w14:textId="77777777" w:rsidR="00A32F50" w:rsidRDefault="00A32F50" w:rsidP="0088687C">
      <w:pPr>
        <w:spacing w:line="360" w:lineRule="auto"/>
        <w:ind w:firstLineChars="177" w:firstLine="425"/>
        <w:rPr>
          <w:rFonts w:asciiTheme="minorEastAsia" w:eastAsiaTheme="minorEastAsia" w:hAnsiTheme="minorEastAsia"/>
          <w:sz w:val="24"/>
        </w:rPr>
      </w:pPr>
    </w:p>
    <w:p w14:paraId="1CC7DBCE" w14:textId="77777777" w:rsidR="00A32F50" w:rsidRDefault="00A32F50" w:rsidP="0088687C">
      <w:pPr>
        <w:spacing w:line="360" w:lineRule="auto"/>
        <w:ind w:firstLineChars="177" w:firstLine="425"/>
        <w:rPr>
          <w:rFonts w:asciiTheme="minorEastAsia" w:eastAsiaTheme="minorEastAsia" w:hAnsiTheme="minorEastAsia"/>
          <w:sz w:val="24"/>
        </w:rPr>
      </w:pPr>
    </w:p>
    <w:p w14:paraId="090D011F"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4、报告期内投资组合平均剩余存续期超过240天情况说明</w:t>
      </w:r>
    </w:p>
    <w:p w14:paraId="52F0CAA4" w14:textId="77777777" w:rsidR="0088687C" w:rsidRDefault="0088687C" w:rsidP="0088687C">
      <w:pPr>
        <w:pStyle w:val="neirong"/>
        <w:spacing w:line="360" w:lineRule="auto"/>
        <w:ind w:leftChars="7" w:firstLineChars="200" w:firstLine="480"/>
      </w:pPr>
      <w:r>
        <w:rPr>
          <w:rFonts w:hint="eastAsia"/>
        </w:rPr>
        <w:t>本基金本报告期内投资组合平均剩余存续期无超过240天的情况。</w:t>
      </w:r>
    </w:p>
    <w:p w14:paraId="7A9AE13F" w14:textId="77777777" w:rsidR="0088687C" w:rsidRDefault="0088687C" w:rsidP="0088687C">
      <w:pPr>
        <w:spacing w:line="360" w:lineRule="auto"/>
        <w:ind w:firstLineChars="177" w:firstLine="425"/>
        <w:rPr>
          <w:rFonts w:ascii="宋体" w:hAnsi="宋体"/>
          <w:sz w:val="24"/>
        </w:rPr>
      </w:pPr>
    </w:p>
    <w:p w14:paraId="22C02EC4" w14:textId="77777777" w:rsidR="0088687C" w:rsidRDefault="0088687C" w:rsidP="0088687C">
      <w:pPr>
        <w:spacing w:line="360" w:lineRule="auto"/>
        <w:ind w:firstLineChars="177" w:firstLine="425"/>
        <w:rPr>
          <w:rFonts w:ascii="宋体" w:hAnsi="宋体"/>
          <w:sz w:val="24"/>
        </w:rPr>
      </w:pPr>
      <w:r>
        <w:rPr>
          <w:rFonts w:ascii="宋体" w:hAnsi="宋体" w:hint="eastAsia"/>
          <w:sz w:val="24"/>
        </w:rPr>
        <w:t>5、报告期末按债券品种分类的债券投资组合</w:t>
      </w:r>
    </w:p>
    <w:tbl>
      <w:tblPr>
        <w:tblW w:w="0" w:type="auto"/>
        <w:tblInd w:w="108" w:type="dxa"/>
        <w:tblLook w:val="04A0" w:firstRow="1" w:lastRow="0" w:firstColumn="1" w:lastColumn="0" w:noHBand="0" w:noVBand="1"/>
      </w:tblPr>
      <w:tblGrid>
        <w:gridCol w:w="711"/>
        <w:gridCol w:w="3135"/>
        <w:gridCol w:w="2446"/>
        <w:gridCol w:w="2456"/>
      </w:tblGrid>
      <w:tr w:rsidR="00A32F50" w:rsidRPr="00580BF8" w14:paraId="6159DE7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1CED8DD" w14:textId="77777777" w:rsidR="00A32F50" w:rsidRDefault="00A32F50" w:rsidP="00A32F50">
            <w:pPr>
              <w:pStyle w:val="biaogecenter"/>
              <w:wordWrap w:val="0"/>
            </w:pPr>
            <w:r w:rsidRPr="00580BF8">
              <w:rPr>
                <w:rFonts w:hAnsi="Calibri" w:hint="eastAsia"/>
                <w:color w:val="000000"/>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376270F3" w14:textId="77777777" w:rsidR="00A32F50" w:rsidRDefault="00A32F50" w:rsidP="00A32F50">
            <w:pPr>
              <w:pStyle w:val="biaogecenter"/>
              <w:wordWrap w:val="0"/>
            </w:pPr>
            <w:r w:rsidRPr="00580BF8">
              <w:rPr>
                <w:rFonts w:hAnsi="Calibri" w:hint="eastAsia"/>
                <w:color w:val="000000"/>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693EBE0" w14:textId="77777777" w:rsidR="00A32F50" w:rsidRDefault="00A32F50" w:rsidP="00A32F50">
            <w:pPr>
              <w:pStyle w:val="biaogecenter"/>
              <w:wordWrap w:val="0"/>
            </w:pPr>
            <w:r w:rsidRPr="00580BF8">
              <w:rPr>
                <w:rFonts w:hAnsi="Calibri" w:hint="eastAsia"/>
                <w:color w:val="000000"/>
              </w:rPr>
              <w:t>摊余成本(元)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3CCC2CD"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38AC285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FB7F9E2" w14:textId="77777777" w:rsidR="00A32F50" w:rsidRDefault="00A32F50" w:rsidP="00A32F50">
            <w:pPr>
              <w:pStyle w:val="biaogecenter"/>
              <w:wordWrap w:val="0"/>
            </w:pPr>
            <w:r w:rsidRPr="00580BF8">
              <w:rPr>
                <w:rFonts w:hAnsi="Calibri" w:hint="eastAsia"/>
                <w:color w:val="000000"/>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FFA2299" w14:textId="77777777" w:rsidR="00A32F50" w:rsidRDefault="00A32F50" w:rsidP="00A32F50">
            <w:pPr>
              <w:pStyle w:val="biaogeleft"/>
              <w:wordWrap w:val="0"/>
            </w:pPr>
            <w:r>
              <w:rPr>
                <w:rFonts w:hint="eastAsia"/>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A0E3D12"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F49AE30" w14:textId="77777777" w:rsidR="00A32F50" w:rsidRDefault="00A32F50" w:rsidP="00A32F50">
            <w:pPr>
              <w:pStyle w:val="biaogeright"/>
              <w:wordWrap w:val="0"/>
            </w:pPr>
            <w:r w:rsidRPr="00580BF8">
              <w:rPr>
                <w:rFonts w:hAnsi="Calibri" w:hint="eastAsia"/>
                <w:color w:val="000000"/>
              </w:rPr>
              <w:t>-</w:t>
            </w:r>
          </w:p>
        </w:tc>
      </w:tr>
      <w:tr w:rsidR="00A32F50" w:rsidRPr="00580BF8" w14:paraId="0D017FE5"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F93DD88" w14:textId="77777777" w:rsidR="00A32F50" w:rsidRDefault="00A32F50" w:rsidP="00A32F50">
            <w:pPr>
              <w:pStyle w:val="biaogecenter"/>
              <w:wordWrap w:val="0"/>
            </w:pPr>
            <w:r w:rsidRPr="00580BF8">
              <w:rPr>
                <w:rFonts w:hAnsi="Calibri" w:hint="eastAsia"/>
                <w:color w:val="000000"/>
              </w:rPr>
              <w:lastRenderedPageBreak/>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6A67B08" w14:textId="77777777" w:rsidR="00A32F50" w:rsidRDefault="00A32F50" w:rsidP="00A32F50">
            <w:pPr>
              <w:pStyle w:val="biaogeleft"/>
              <w:wordWrap w:val="0"/>
            </w:pPr>
            <w:r>
              <w:rPr>
                <w:rFonts w:hint="eastAsia"/>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CAA677"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86104CA" w14:textId="77777777" w:rsidR="00A32F50" w:rsidRDefault="00A32F50" w:rsidP="00A32F50">
            <w:pPr>
              <w:pStyle w:val="biaogeright"/>
              <w:wordWrap w:val="0"/>
            </w:pPr>
            <w:r w:rsidRPr="00580BF8">
              <w:rPr>
                <w:rFonts w:hAnsi="Calibri" w:hint="eastAsia"/>
                <w:color w:val="000000"/>
              </w:rPr>
              <w:t>-</w:t>
            </w:r>
          </w:p>
        </w:tc>
      </w:tr>
      <w:tr w:rsidR="00A32F50" w:rsidRPr="00580BF8" w14:paraId="229DAEEB"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D9424C0" w14:textId="77777777" w:rsidR="00A32F50" w:rsidRDefault="00A32F50" w:rsidP="00A32F50">
            <w:pPr>
              <w:pStyle w:val="biaogecenter"/>
              <w:wordWrap w:val="0"/>
            </w:pPr>
            <w:r w:rsidRPr="00580BF8">
              <w:rPr>
                <w:rFonts w:hAnsi="Calibri" w:hint="eastAsia"/>
                <w:color w:val="000000"/>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75281D7" w14:textId="77777777" w:rsidR="00A32F50" w:rsidRDefault="00A32F50" w:rsidP="00A32F50">
            <w:pPr>
              <w:pStyle w:val="biaogeleft"/>
              <w:wordWrap w:val="0"/>
            </w:pPr>
            <w:r>
              <w:rPr>
                <w:rFonts w:hint="eastAsia"/>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34BCF67" w14:textId="77777777" w:rsidR="00A32F50" w:rsidRDefault="00A32F50" w:rsidP="00A32F50">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E606209" w14:textId="77777777" w:rsidR="00A32F50" w:rsidRDefault="00A32F50" w:rsidP="00A32F50">
            <w:pPr>
              <w:pStyle w:val="biaogeright"/>
              <w:wordWrap w:val="0"/>
            </w:pPr>
            <w:r w:rsidRPr="00580BF8">
              <w:rPr>
                <w:rFonts w:hAnsi="Calibri" w:hint="eastAsia"/>
                <w:color w:val="000000"/>
              </w:rPr>
              <w:t>8.24</w:t>
            </w:r>
          </w:p>
        </w:tc>
      </w:tr>
      <w:tr w:rsidR="00A32F50" w:rsidRPr="00580BF8" w14:paraId="4B0271EA"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164C27F8" w14:textId="77777777" w:rsidR="00A32F50" w:rsidRDefault="00A32F50" w:rsidP="00A32F50">
            <w:pPr>
              <w:rPr>
                <w:rFonts w:ascii="宋体" w:hAnsi="宋体" w:cs="宋体"/>
                <w:kern w:val="0"/>
                <w:sz w:val="24"/>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02A60A39" w14:textId="77777777" w:rsidR="00A32F50" w:rsidRDefault="00A32F50" w:rsidP="00A32F50">
            <w:pPr>
              <w:pStyle w:val="biaogeleft"/>
              <w:wordWrap w:val="0"/>
            </w:pPr>
            <w:r>
              <w:rPr>
                <w:rFonts w:hint="eastAsia"/>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6E2D7DE" w14:textId="77777777" w:rsidR="00A32F50" w:rsidRDefault="00A32F50" w:rsidP="00A32F50">
            <w:pPr>
              <w:pStyle w:val="biaogeright"/>
              <w:wordWrap w:val="0"/>
            </w:pPr>
            <w:r w:rsidRPr="00580BF8">
              <w:rPr>
                <w:rFonts w:hAnsi="Calibri" w:hint="eastAsia"/>
                <w:color w:val="000000"/>
              </w:rPr>
              <w:t>210,304,333.76</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7802B1B" w14:textId="77777777" w:rsidR="00A32F50" w:rsidRDefault="00A32F50" w:rsidP="00A32F50">
            <w:pPr>
              <w:pStyle w:val="biaogeright"/>
              <w:wordWrap w:val="0"/>
            </w:pPr>
            <w:r w:rsidRPr="00580BF8">
              <w:rPr>
                <w:rFonts w:hAnsi="Calibri" w:hint="eastAsia"/>
                <w:color w:val="000000"/>
              </w:rPr>
              <w:t>8.24</w:t>
            </w:r>
          </w:p>
        </w:tc>
      </w:tr>
      <w:tr w:rsidR="00A32F50" w:rsidRPr="00580BF8" w14:paraId="43115413"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7D9064F" w14:textId="77777777" w:rsidR="00A32F50" w:rsidRDefault="00A32F50" w:rsidP="00A32F50">
            <w:pPr>
              <w:pStyle w:val="biaogecenter"/>
              <w:wordWrap w:val="0"/>
            </w:pPr>
            <w:r w:rsidRPr="00580BF8">
              <w:rPr>
                <w:rFonts w:hAnsi="Calibri" w:hint="eastAsia"/>
                <w:color w:val="000000"/>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BD3D88C" w14:textId="77777777" w:rsidR="00A32F50" w:rsidRDefault="00A32F50" w:rsidP="00A32F50">
            <w:pPr>
              <w:pStyle w:val="biaogeleft"/>
              <w:wordWrap w:val="0"/>
            </w:pPr>
            <w:r>
              <w:rPr>
                <w:rFonts w:hint="eastAsia"/>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273027"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F6F11F9" w14:textId="77777777" w:rsidR="00A32F50" w:rsidRDefault="00A32F50" w:rsidP="00A32F50">
            <w:pPr>
              <w:pStyle w:val="biaogeright"/>
              <w:wordWrap w:val="0"/>
            </w:pPr>
            <w:r w:rsidRPr="00580BF8">
              <w:rPr>
                <w:rFonts w:hAnsi="Calibri" w:hint="eastAsia"/>
                <w:color w:val="000000"/>
              </w:rPr>
              <w:t>-</w:t>
            </w:r>
          </w:p>
        </w:tc>
      </w:tr>
      <w:tr w:rsidR="00A32F50" w:rsidRPr="00580BF8" w14:paraId="29005964"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AD335D9" w14:textId="77777777" w:rsidR="00A32F50" w:rsidRDefault="00A32F50" w:rsidP="00A32F50">
            <w:pPr>
              <w:pStyle w:val="biaogecenter"/>
              <w:wordWrap w:val="0"/>
            </w:pPr>
            <w:r w:rsidRPr="00580BF8">
              <w:rPr>
                <w:rFonts w:hAnsi="Calibri" w:hint="eastAsia"/>
                <w:color w:val="000000"/>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3C56A3F" w14:textId="77777777" w:rsidR="00A32F50" w:rsidRDefault="00A32F50" w:rsidP="00A32F50">
            <w:pPr>
              <w:pStyle w:val="biaogeleft"/>
              <w:wordWrap w:val="0"/>
            </w:pPr>
            <w:r>
              <w:rPr>
                <w:rFonts w:hint="eastAsia"/>
              </w:rPr>
              <w:t>企业短期融资券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789D75E" w14:textId="77777777" w:rsidR="00A32F50" w:rsidRDefault="00A32F50" w:rsidP="00A32F50">
            <w:pPr>
              <w:pStyle w:val="biaogeright"/>
              <w:wordWrap w:val="0"/>
            </w:pPr>
            <w:r w:rsidRPr="00580BF8">
              <w:rPr>
                <w:rFonts w:hAnsi="Calibri" w:hint="eastAsia"/>
                <w:color w:val="000000"/>
              </w:rPr>
              <w:t>449,340,333.03</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E17FAE0" w14:textId="77777777" w:rsidR="00A32F50" w:rsidRDefault="00A32F50" w:rsidP="00A32F50">
            <w:pPr>
              <w:pStyle w:val="biaogeright"/>
              <w:wordWrap w:val="0"/>
            </w:pPr>
            <w:r w:rsidRPr="00580BF8">
              <w:rPr>
                <w:rFonts w:hAnsi="Calibri" w:hint="eastAsia"/>
                <w:color w:val="000000"/>
              </w:rPr>
              <w:t>17.60</w:t>
            </w:r>
          </w:p>
        </w:tc>
      </w:tr>
      <w:tr w:rsidR="00A32F50" w:rsidRPr="00580BF8" w14:paraId="6EBE211C"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D72081B" w14:textId="77777777" w:rsidR="00A32F50" w:rsidRDefault="00A32F50" w:rsidP="00A32F50">
            <w:pPr>
              <w:pStyle w:val="biaogecenter"/>
              <w:wordWrap w:val="0"/>
            </w:pPr>
            <w:r>
              <w:rPr>
                <w:rFonts w:hint="eastAsia"/>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AAD9ED1" w14:textId="77777777" w:rsidR="00A32F50" w:rsidRDefault="00A32F50" w:rsidP="00A32F50">
            <w:pPr>
              <w:pStyle w:val="biaogeleft"/>
              <w:wordWrap w:val="0"/>
            </w:pPr>
            <w:r>
              <w:rPr>
                <w:rFonts w:hint="eastAsia"/>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1B29BCF"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C100C8B" w14:textId="77777777" w:rsidR="00A32F50" w:rsidRDefault="00A32F50" w:rsidP="00A32F50">
            <w:pPr>
              <w:pStyle w:val="biaogeright"/>
              <w:wordWrap w:val="0"/>
            </w:pPr>
            <w:r w:rsidRPr="00580BF8">
              <w:rPr>
                <w:rFonts w:hAnsi="Calibri" w:hint="eastAsia"/>
                <w:color w:val="000000"/>
              </w:rPr>
              <w:t>-</w:t>
            </w:r>
          </w:p>
        </w:tc>
      </w:tr>
      <w:tr w:rsidR="00A32F50" w:rsidRPr="00580BF8" w14:paraId="4F648267"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0F092F9A" w14:textId="77777777" w:rsidR="00A32F50" w:rsidRDefault="00A32F50" w:rsidP="00A32F50">
            <w:pPr>
              <w:pStyle w:val="biaogecenter"/>
              <w:wordWrap w:val="0"/>
            </w:pPr>
            <w:r>
              <w:rPr>
                <w:rFonts w:hint="eastAsia"/>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E73E74E" w14:textId="77777777" w:rsidR="00A32F50" w:rsidRDefault="00A32F50" w:rsidP="00A32F50">
            <w:pPr>
              <w:pStyle w:val="biaogeleft"/>
              <w:wordWrap w:val="0"/>
            </w:pPr>
            <w:r>
              <w:rPr>
                <w:rFonts w:hint="eastAsia"/>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F7D9CA9" w14:textId="77777777" w:rsidR="00A32F50" w:rsidRDefault="00A32F50" w:rsidP="00A32F50">
            <w:pPr>
              <w:pStyle w:val="biaogeright"/>
              <w:wordWrap w:val="0"/>
            </w:pPr>
            <w:r w:rsidRPr="00580BF8">
              <w:rPr>
                <w:rFonts w:hAnsi="Calibri" w:hint="eastAsia"/>
                <w:color w:val="000000"/>
              </w:rPr>
              <w:t>984,930,491.15</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40EFED04" w14:textId="77777777" w:rsidR="00A32F50" w:rsidRDefault="00A32F50" w:rsidP="00A32F50">
            <w:pPr>
              <w:pStyle w:val="biaogeright"/>
              <w:wordWrap w:val="0"/>
            </w:pPr>
            <w:r w:rsidRPr="00580BF8">
              <w:rPr>
                <w:rFonts w:hAnsi="Calibri" w:hint="eastAsia"/>
                <w:color w:val="000000"/>
              </w:rPr>
              <w:t>38.57</w:t>
            </w:r>
          </w:p>
        </w:tc>
      </w:tr>
      <w:tr w:rsidR="00A32F50" w:rsidRPr="00580BF8" w14:paraId="45B86ACA"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5DEB7BFD" w14:textId="77777777" w:rsidR="00A32F50" w:rsidRDefault="00A32F50" w:rsidP="00A32F50">
            <w:pPr>
              <w:pStyle w:val="biaogecenter"/>
              <w:wordWrap w:val="0"/>
            </w:pPr>
            <w:r>
              <w:rPr>
                <w:rFonts w:hint="eastAsia"/>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E007932" w14:textId="77777777" w:rsidR="00A32F50" w:rsidRDefault="00A32F50" w:rsidP="00A32F50">
            <w:pPr>
              <w:pStyle w:val="biaogeleft"/>
              <w:wordWrap w:val="0"/>
            </w:pPr>
            <w:r>
              <w:rPr>
                <w:rFonts w:hint="eastAsia"/>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336364C"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1CDF839" w14:textId="77777777" w:rsidR="00A32F50" w:rsidRDefault="00A32F50" w:rsidP="00A32F50">
            <w:pPr>
              <w:pStyle w:val="biaogeright"/>
              <w:wordWrap w:val="0"/>
            </w:pPr>
            <w:r w:rsidRPr="00580BF8">
              <w:rPr>
                <w:rFonts w:hAnsi="Calibri" w:hint="eastAsia"/>
                <w:color w:val="000000"/>
              </w:rPr>
              <w:t>-</w:t>
            </w:r>
          </w:p>
        </w:tc>
      </w:tr>
      <w:tr w:rsidR="00A32F50" w:rsidRPr="00580BF8" w14:paraId="111A21F1"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4EE5972E" w14:textId="77777777" w:rsidR="00A32F50" w:rsidRDefault="00A32F50" w:rsidP="00A32F50">
            <w:pPr>
              <w:pStyle w:val="biaogecenter"/>
              <w:wordWrap w:val="0"/>
            </w:pPr>
            <w:r>
              <w:rPr>
                <w:rFonts w:hint="eastAsia"/>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E5AAB5" w14:textId="77777777" w:rsidR="00A32F50" w:rsidRDefault="00A32F50" w:rsidP="00A32F50">
            <w:pPr>
              <w:pStyle w:val="biaogecenter"/>
              <w:wordWrap w:val="0"/>
            </w:pPr>
            <w:r>
              <w:rPr>
                <w:rFonts w:hint="eastAsia"/>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7DD2CA47" w14:textId="77777777" w:rsidR="00A32F50" w:rsidRDefault="00A32F50" w:rsidP="00A32F50">
            <w:pPr>
              <w:pStyle w:val="biaogeright"/>
              <w:wordWrap w:val="0"/>
            </w:pPr>
            <w:r w:rsidRPr="00580BF8">
              <w:rPr>
                <w:rFonts w:hAnsi="Calibri" w:hint="eastAsia"/>
                <w:color w:val="000000"/>
              </w:rPr>
              <w:t>1,644,575,157.94</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AA6EE8C" w14:textId="77777777" w:rsidR="00A32F50" w:rsidRDefault="00A32F50" w:rsidP="00A32F50">
            <w:pPr>
              <w:pStyle w:val="biaogeright"/>
              <w:wordWrap w:val="0"/>
            </w:pPr>
            <w:r w:rsidRPr="00580BF8">
              <w:rPr>
                <w:rFonts w:hAnsi="Calibri" w:hint="eastAsia"/>
                <w:color w:val="000000"/>
              </w:rPr>
              <w:t>64.41</w:t>
            </w:r>
          </w:p>
        </w:tc>
      </w:tr>
      <w:tr w:rsidR="00A32F50" w:rsidRPr="00580BF8" w14:paraId="60EA639D" w14:textId="77777777" w:rsidTr="00A32F50">
        <w:tc>
          <w:tcPr>
            <w:tcW w:w="722" w:type="dxa"/>
            <w:tcBorders>
              <w:top w:val="single" w:sz="8" w:space="0" w:color="000000"/>
              <w:left w:val="single" w:sz="8" w:space="0" w:color="000000"/>
              <w:bottom w:val="single" w:sz="6" w:space="0" w:color="000000"/>
              <w:right w:val="single" w:sz="8" w:space="0" w:color="000000"/>
            </w:tcBorders>
            <w:vAlign w:val="center"/>
            <w:hideMark/>
          </w:tcPr>
          <w:p w14:paraId="3294CD0E" w14:textId="77777777" w:rsidR="00A32F50" w:rsidRDefault="00A32F50" w:rsidP="00A32F50">
            <w:pPr>
              <w:pStyle w:val="biaogecenter"/>
              <w:wordWrap w:val="0"/>
            </w:pPr>
            <w:r>
              <w:rPr>
                <w:rFonts w:hint="eastAsia"/>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18B55E6" w14:textId="77777777" w:rsidR="00A32F50" w:rsidRDefault="00A32F50" w:rsidP="00A32F50">
            <w:pPr>
              <w:pStyle w:val="biaogeleft"/>
              <w:wordWrap w:val="0"/>
            </w:pPr>
            <w:r>
              <w:rPr>
                <w:rFonts w:hint="eastAsia"/>
              </w:rPr>
              <w:t>剩余存续期超过397天的浮动利率债券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96B1ACB" w14:textId="77777777" w:rsidR="00A32F50" w:rsidRDefault="00A32F50" w:rsidP="00A32F50">
            <w:pPr>
              <w:pStyle w:val="biaogeright"/>
              <w:wordWrap w:val="0"/>
            </w:pPr>
            <w:r w:rsidRPr="00580BF8">
              <w:rPr>
                <w:rFonts w:hAnsi="Calibri" w:hint="eastAsia"/>
                <w:color w:val="000000"/>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CEFA71B" w14:textId="77777777" w:rsidR="00A32F50" w:rsidRDefault="00A32F50" w:rsidP="00A32F50">
            <w:pPr>
              <w:pStyle w:val="biaogeright"/>
              <w:wordWrap w:val="0"/>
            </w:pPr>
            <w:r w:rsidRPr="00580BF8">
              <w:rPr>
                <w:rFonts w:hAnsi="Calibri" w:hint="eastAsia"/>
                <w:color w:val="000000"/>
              </w:rPr>
              <w:t>-</w:t>
            </w:r>
          </w:p>
        </w:tc>
      </w:tr>
    </w:tbl>
    <w:p w14:paraId="1AFC6FB4" w14:textId="77777777" w:rsidR="00A32F50" w:rsidRDefault="00A32F50" w:rsidP="0088687C">
      <w:pPr>
        <w:spacing w:line="360" w:lineRule="auto"/>
        <w:ind w:firstLineChars="177" w:firstLine="425"/>
        <w:rPr>
          <w:rFonts w:ascii="宋体" w:hAnsi="宋体"/>
          <w:sz w:val="24"/>
        </w:rPr>
      </w:pPr>
    </w:p>
    <w:p w14:paraId="615614EB" w14:textId="77777777" w:rsidR="00A32F50" w:rsidRPr="00A32F50" w:rsidRDefault="00A32F50" w:rsidP="0088687C">
      <w:pPr>
        <w:spacing w:line="360" w:lineRule="auto"/>
        <w:ind w:firstLineChars="177" w:firstLine="425"/>
        <w:rPr>
          <w:rFonts w:ascii="宋体" w:hAnsi="宋体"/>
          <w:sz w:val="24"/>
        </w:rPr>
      </w:pPr>
    </w:p>
    <w:p w14:paraId="4EEB5715" w14:textId="02C36C87" w:rsidR="0088687C" w:rsidRPr="00A32F50" w:rsidRDefault="00165EFD" w:rsidP="00A32F50">
      <w:pPr>
        <w:spacing w:line="360" w:lineRule="auto"/>
        <w:ind w:firstLineChars="177" w:firstLine="372"/>
      </w:pPr>
      <w:r>
        <w:rPr>
          <w:rFonts w:hint="eastAsia"/>
        </w:rPr>
        <w:t>6</w:t>
      </w:r>
      <w:r>
        <w:rPr>
          <w:rFonts w:hint="eastAsia"/>
        </w:rPr>
        <w:t>、</w:t>
      </w:r>
      <w:r w:rsidR="0088687C" w:rsidRPr="00A32F50">
        <w:rPr>
          <w:rFonts w:hint="eastAsia"/>
        </w:rPr>
        <w:t>报告期末按摊余成本占基金资产净值比例大小排名的前十名债券投资明细</w:t>
      </w:r>
    </w:p>
    <w:tbl>
      <w:tblPr>
        <w:tblW w:w="8647" w:type="dxa"/>
        <w:tblInd w:w="108" w:type="dxa"/>
        <w:tblLook w:val="04A0" w:firstRow="1" w:lastRow="0" w:firstColumn="1" w:lastColumn="0" w:noHBand="0" w:noVBand="1"/>
      </w:tblPr>
      <w:tblGrid>
        <w:gridCol w:w="471"/>
        <w:gridCol w:w="1514"/>
        <w:gridCol w:w="2126"/>
        <w:gridCol w:w="1418"/>
        <w:gridCol w:w="1984"/>
        <w:gridCol w:w="1134"/>
      </w:tblGrid>
      <w:tr w:rsidR="00A32F50" w:rsidRPr="00580BF8" w14:paraId="4B7540F1"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3578A52F" w14:textId="77777777" w:rsidR="00A32F50" w:rsidRDefault="00A32F50" w:rsidP="00A32F50">
            <w:pPr>
              <w:pStyle w:val="biaogecenter"/>
              <w:wordWrap w:val="0"/>
            </w:pPr>
            <w:r w:rsidRPr="00580BF8">
              <w:rPr>
                <w:rFonts w:hAnsi="Calibri" w:hint="eastAsia"/>
                <w:color w:val="000000"/>
              </w:rPr>
              <w:t>序号</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065D83C" w14:textId="77777777" w:rsidR="00A32F50" w:rsidRDefault="00A32F50" w:rsidP="00A32F50">
            <w:pPr>
              <w:pStyle w:val="biaogecenter"/>
              <w:wordWrap w:val="0"/>
            </w:pPr>
            <w:r w:rsidRPr="00580BF8">
              <w:rPr>
                <w:rFonts w:hAnsi="Calibri" w:hint="eastAsia"/>
                <w:color w:val="000000"/>
              </w:rPr>
              <w:t>债券代码</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E255FAD" w14:textId="77777777" w:rsidR="00A32F50" w:rsidRDefault="00A32F50" w:rsidP="00A32F50">
            <w:pPr>
              <w:pStyle w:val="biaogecenter"/>
              <w:wordWrap w:val="0"/>
            </w:pPr>
            <w:r w:rsidRPr="00580BF8">
              <w:rPr>
                <w:rFonts w:hAnsi="Calibri" w:hint="eastAsia"/>
                <w:color w:val="000000"/>
              </w:rPr>
              <w:t>债券名称</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AD41649" w14:textId="77777777" w:rsidR="00A32F50" w:rsidRDefault="00A32F50" w:rsidP="00A32F50">
            <w:pPr>
              <w:pStyle w:val="biaogecenter"/>
              <w:wordWrap w:val="0"/>
            </w:pPr>
            <w:r w:rsidRPr="00580BF8">
              <w:rPr>
                <w:rFonts w:hAnsi="Calibri" w:hint="eastAsia"/>
                <w:color w:val="000000"/>
              </w:rPr>
              <w:t>债券数量(张)</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567CF54" w14:textId="77777777" w:rsidR="00A32F50" w:rsidRDefault="00A32F50" w:rsidP="00A32F50">
            <w:pPr>
              <w:pStyle w:val="biaogecenter"/>
              <w:wordWrap w:val="0"/>
            </w:pPr>
            <w:r w:rsidRPr="00580BF8">
              <w:rPr>
                <w:rFonts w:hAnsi="Calibri" w:hint="eastAsia"/>
                <w:color w:val="000000"/>
              </w:rPr>
              <w:t>摊余成本(元)</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3A899711"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148F11D0"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6C492840" w14:textId="77777777" w:rsidR="00A32F50" w:rsidRDefault="00A32F50" w:rsidP="00A32F50">
            <w:pPr>
              <w:pStyle w:val="biaogecenter"/>
              <w:wordWrap w:val="0"/>
            </w:pPr>
            <w:r w:rsidRPr="00580BF8">
              <w:rPr>
                <w:rFonts w:hAnsi="Calibri" w:hint="eastAsia"/>
                <w:color w:val="000000"/>
              </w:rPr>
              <w:t>1</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D9A2320" w14:textId="77777777" w:rsidR="00A32F50" w:rsidRDefault="00A32F50" w:rsidP="00A32F50">
            <w:pPr>
              <w:pStyle w:val="biaogeleft"/>
              <w:wordWrap w:val="0"/>
            </w:pPr>
            <w:r w:rsidRPr="00580BF8">
              <w:rPr>
                <w:rFonts w:hAnsi="Calibri" w:hint="eastAsia"/>
                <w:color w:val="000000"/>
              </w:rPr>
              <w:t>111909042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2D42507A" w14:textId="77777777" w:rsidR="00A32F50" w:rsidRDefault="00A32F50" w:rsidP="00A32F50">
            <w:pPr>
              <w:pStyle w:val="biaogeleft"/>
              <w:wordWrap w:val="0"/>
            </w:pPr>
            <w:r w:rsidRPr="00580BF8">
              <w:rPr>
                <w:rFonts w:hAnsi="Calibri" w:hint="eastAsia"/>
                <w:color w:val="000000"/>
              </w:rPr>
              <w:t>19浦发银行CD042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64162798" w14:textId="77777777" w:rsidR="00A32F50" w:rsidRDefault="00A32F50" w:rsidP="00A32F50">
            <w:pPr>
              <w:pStyle w:val="biaogeright"/>
              <w:wordWrap w:val="0"/>
            </w:pPr>
            <w:r w:rsidRPr="00580BF8">
              <w:rPr>
                <w:rFonts w:hAnsi="Calibri" w:hint="eastAsia"/>
                <w:color w:val="000000"/>
              </w:rPr>
              <w:t>2,000,000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0F9D2CD" w14:textId="77777777" w:rsidR="00A32F50" w:rsidRDefault="00A32F50" w:rsidP="00A32F50">
            <w:pPr>
              <w:pStyle w:val="biaogeright"/>
              <w:wordWrap w:val="0"/>
            </w:pPr>
            <w:r w:rsidRPr="00580BF8">
              <w:rPr>
                <w:rFonts w:hAnsi="Calibri" w:hint="eastAsia"/>
                <w:color w:val="000000"/>
              </w:rPr>
              <w:t>200,000,000.00</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B18E17B" w14:textId="77777777" w:rsidR="00A32F50" w:rsidRDefault="00A32F50" w:rsidP="00A32F50">
            <w:pPr>
              <w:pStyle w:val="biaogeright"/>
              <w:wordWrap w:val="0"/>
            </w:pPr>
            <w:r w:rsidRPr="00580BF8">
              <w:rPr>
                <w:rFonts w:hAnsi="Calibri" w:hint="eastAsia"/>
                <w:color w:val="000000"/>
              </w:rPr>
              <w:t>7.83</w:t>
            </w:r>
          </w:p>
        </w:tc>
      </w:tr>
      <w:tr w:rsidR="00A32F50" w:rsidRPr="00580BF8" w14:paraId="69B12CAD"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4FAB2224" w14:textId="77777777" w:rsidR="00A32F50" w:rsidRDefault="00A32F50" w:rsidP="00A32F50">
            <w:pPr>
              <w:pStyle w:val="biaogecenter"/>
              <w:wordWrap w:val="0"/>
            </w:pPr>
            <w:r w:rsidRPr="00580BF8">
              <w:rPr>
                <w:rFonts w:hAnsi="Calibri" w:hint="eastAsia"/>
                <w:color w:val="000000"/>
              </w:rPr>
              <w:t>2</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7349A727" w14:textId="77777777" w:rsidR="00A32F50" w:rsidRDefault="00A32F50" w:rsidP="00A32F50">
            <w:pPr>
              <w:pStyle w:val="biaogeleft"/>
              <w:wordWrap w:val="0"/>
            </w:pPr>
            <w:r w:rsidRPr="00580BF8">
              <w:rPr>
                <w:rFonts w:hAnsi="Calibri" w:hint="eastAsia"/>
                <w:color w:val="000000"/>
              </w:rPr>
              <w:t>180407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B9E6878" w14:textId="77777777" w:rsidR="00A32F50" w:rsidRDefault="00A32F50" w:rsidP="00A32F50">
            <w:pPr>
              <w:pStyle w:val="biaogeleft"/>
              <w:wordWrap w:val="0"/>
            </w:pPr>
            <w:r w:rsidRPr="00580BF8">
              <w:rPr>
                <w:rFonts w:hAnsi="Calibri" w:hint="eastAsia"/>
                <w:color w:val="000000"/>
              </w:rPr>
              <w:t>18农发07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71AB39D" w14:textId="77777777" w:rsidR="00A32F50" w:rsidRDefault="00A32F50" w:rsidP="00A32F50">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166956CB" w14:textId="77777777" w:rsidR="00A32F50" w:rsidRDefault="00A32F50" w:rsidP="00A32F50">
            <w:pPr>
              <w:pStyle w:val="biaogeright"/>
              <w:wordWrap w:val="0"/>
            </w:pPr>
            <w:r w:rsidRPr="00580BF8">
              <w:rPr>
                <w:rFonts w:hAnsi="Calibri" w:hint="eastAsia"/>
                <w:color w:val="000000"/>
              </w:rPr>
              <w:t>100,113,975.02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62336B88" w14:textId="77777777" w:rsidR="00A32F50" w:rsidRDefault="00A32F50" w:rsidP="00A32F50">
            <w:pPr>
              <w:pStyle w:val="biaogeright"/>
              <w:wordWrap w:val="0"/>
            </w:pPr>
            <w:r w:rsidRPr="00580BF8">
              <w:rPr>
                <w:rFonts w:hAnsi="Calibri" w:hint="eastAsia"/>
                <w:color w:val="000000"/>
              </w:rPr>
              <w:t>3.92</w:t>
            </w:r>
          </w:p>
        </w:tc>
      </w:tr>
      <w:tr w:rsidR="00A32F50" w:rsidRPr="00580BF8" w14:paraId="0420F0A9"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4D0BD4BE" w14:textId="77777777" w:rsidR="00A32F50" w:rsidRDefault="00A32F50" w:rsidP="00A32F50">
            <w:pPr>
              <w:pStyle w:val="biaogecenter"/>
              <w:wordWrap w:val="0"/>
            </w:pPr>
            <w:r w:rsidRPr="00580BF8">
              <w:rPr>
                <w:rFonts w:hAnsi="Calibri" w:hint="eastAsia"/>
                <w:color w:val="000000"/>
              </w:rPr>
              <w:t>3</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9ED6C71" w14:textId="77777777" w:rsidR="00A32F50" w:rsidRDefault="00A32F50" w:rsidP="00A32F50">
            <w:pPr>
              <w:pStyle w:val="biaogeleft"/>
              <w:wordWrap w:val="0"/>
            </w:pPr>
            <w:r w:rsidRPr="00580BF8">
              <w:rPr>
                <w:rFonts w:hAnsi="Calibri" w:hint="eastAsia"/>
                <w:color w:val="000000"/>
              </w:rPr>
              <w:t>111812184</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46608B7" w14:textId="77777777" w:rsidR="00A32F50" w:rsidRDefault="00A32F50" w:rsidP="00A32F50">
            <w:pPr>
              <w:pStyle w:val="biaogeleft"/>
              <w:wordWrap w:val="0"/>
            </w:pPr>
            <w:r w:rsidRPr="00580BF8">
              <w:rPr>
                <w:rFonts w:hAnsi="Calibri" w:hint="eastAsia"/>
                <w:color w:val="000000"/>
              </w:rPr>
              <w:t>18北京银行CD184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596909E7" w14:textId="77777777" w:rsidR="00A32F50" w:rsidRDefault="00A32F50" w:rsidP="00A32F50">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DADD051" w14:textId="77777777" w:rsidR="00A32F50" w:rsidRDefault="00A32F50" w:rsidP="00A32F50">
            <w:pPr>
              <w:pStyle w:val="biaogeright"/>
              <w:wordWrap w:val="0"/>
            </w:pPr>
            <w:r w:rsidRPr="00580BF8">
              <w:rPr>
                <w:rFonts w:hAnsi="Calibri" w:hint="eastAsia"/>
                <w:color w:val="000000"/>
              </w:rPr>
              <w:t>99,468,729.98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001D6E66" w14:textId="77777777" w:rsidR="00A32F50" w:rsidRDefault="00A32F50" w:rsidP="00A32F50">
            <w:pPr>
              <w:pStyle w:val="biaogeright"/>
              <w:wordWrap w:val="0"/>
            </w:pPr>
            <w:r w:rsidRPr="00580BF8">
              <w:rPr>
                <w:rFonts w:hAnsi="Calibri" w:hint="eastAsia"/>
                <w:color w:val="000000"/>
              </w:rPr>
              <w:t>3.90</w:t>
            </w:r>
          </w:p>
        </w:tc>
      </w:tr>
      <w:tr w:rsidR="00A32F50" w:rsidRPr="00580BF8" w14:paraId="3B9A5E92"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7EBD404F" w14:textId="77777777" w:rsidR="00A32F50" w:rsidRDefault="00A32F50" w:rsidP="00A32F50">
            <w:pPr>
              <w:pStyle w:val="biaogecenter"/>
              <w:wordWrap w:val="0"/>
            </w:pPr>
            <w:r w:rsidRPr="00580BF8">
              <w:rPr>
                <w:rFonts w:hAnsi="Calibri" w:hint="eastAsia"/>
                <w:color w:val="000000"/>
              </w:rPr>
              <w:t>4</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3D5918C3" w14:textId="77777777" w:rsidR="00A32F50" w:rsidRDefault="00A32F50" w:rsidP="00A32F50">
            <w:pPr>
              <w:pStyle w:val="biaogeleft"/>
              <w:wordWrap w:val="0"/>
            </w:pPr>
            <w:r w:rsidRPr="00580BF8">
              <w:rPr>
                <w:rFonts w:hAnsi="Calibri" w:hint="eastAsia"/>
                <w:color w:val="000000"/>
              </w:rPr>
              <w:t>111812187</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1E17C07E" w14:textId="77777777" w:rsidR="00A32F50" w:rsidRDefault="00A32F50" w:rsidP="00A32F50">
            <w:pPr>
              <w:pStyle w:val="biaogeleft"/>
              <w:wordWrap w:val="0"/>
            </w:pPr>
            <w:r w:rsidRPr="00580BF8">
              <w:rPr>
                <w:rFonts w:hAnsi="Calibri" w:hint="eastAsia"/>
                <w:color w:val="000000"/>
              </w:rPr>
              <w:t>18北京银行CD187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0405879" w14:textId="77777777" w:rsidR="00A32F50" w:rsidRDefault="00A32F50" w:rsidP="00A32F50">
            <w:pPr>
              <w:pStyle w:val="biaogeright"/>
              <w:wordWrap w:val="0"/>
            </w:pPr>
            <w:r w:rsidRPr="00580BF8">
              <w:rPr>
                <w:rFonts w:hAnsi="Calibri" w:hint="eastAsia"/>
                <w:color w:val="000000"/>
              </w:rPr>
              <w:t>1,000,000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0F8EE45D" w14:textId="77777777" w:rsidR="00A32F50" w:rsidRDefault="00A32F50" w:rsidP="00A32F50">
            <w:pPr>
              <w:pStyle w:val="biaogeright"/>
              <w:wordWrap w:val="0"/>
            </w:pPr>
            <w:r w:rsidRPr="00580BF8">
              <w:rPr>
                <w:rFonts w:hAnsi="Calibri" w:hint="eastAsia"/>
                <w:color w:val="000000"/>
              </w:rPr>
              <w:t>99,453,805.05</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7DB856B" w14:textId="77777777" w:rsidR="00A32F50" w:rsidRDefault="00A32F50" w:rsidP="00A32F50">
            <w:pPr>
              <w:pStyle w:val="biaogeright"/>
              <w:wordWrap w:val="0"/>
            </w:pPr>
            <w:r w:rsidRPr="00580BF8">
              <w:rPr>
                <w:rFonts w:hAnsi="Calibri" w:hint="eastAsia"/>
                <w:color w:val="000000"/>
              </w:rPr>
              <w:t>3.89</w:t>
            </w:r>
          </w:p>
        </w:tc>
      </w:tr>
      <w:tr w:rsidR="00A32F50" w:rsidRPr="00580BF8" w14:paraId="335E1BFB"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2C2AD4E4" w14:textId="77777777" w:rsidR="00A32F50" w:rsidRDefault="00A32F50" w:rsidP="00A32F50">
            <w:pPr>
              <w:pStyle w:val="biaogecenter"/>
              <w:wordWrap w:val="0"/>
            </w:pPr>
            <w:r w:rsidRPr="00580BF8">
              <w:rPr>
                <w:rFonts w:hAnsi="Calibri" w:hint="eastAsia"/>
                <w:color w:val="000000"/>
              </w:rPr>
              <w:t>5</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0235FE1B" w14:textId="77777777" w:rsidR="00A32F50" w:rsidRDefault="00A32F50" w:rsidP="00A32F50">
            <w:pPr>
              <w:pStyle w:val="biaogeleft"/>
              <w:wordWrap w:val="0"/>
            </w:pPr>
            <w:r w:rsidRPr="00580BF8">
              <w:rPr>
                <w:rFonts w:hAnsi="Calibri" w:hint="eastAsia"/>
                <w:color w:val="000000"/>
              </w:rPr>
              <w:t>180312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C620C07" w14:textId="77777777" w:rsidR="00A32F50" w:rsidRDefault="00A32F50" w:rsidP="00A32F50">
            <w:pPr>
              <w:pStyle w:val="biaogeleft"/>
              <w:wordWrap w:val="0"/>
            </w:pPr>
            <w:r w:rsidRPr="00580BF8">
              <w:rPr>
                <w:rFonts w:hAnsi="Calibri" w:hint="eastAsia"/>
                <w:color w:val="000000"/>
              </w:rPr>
              <w:t>18进出12</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0874478F" w14:textId="77777777" w:rsidR="00A32F50" w:rsidRDefault="00A32F50" w:rsidP="00A32F50">
            <w:pPr>
              <w:pStyle w:val="biaogeright"/>
              <w:wordWrap w:val="0"/>
            </w:pPr>
            <w:r w:rsidRPr="00580BF8">
              <w:rPr>
                <w:rFonts w:hAnsi="Calibri" w:hint="eastAsia"/>
                <w:color w:val="000000"/>
              </w:rPr>
              <w:t>600,000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FE9E96D" w14:textId="77777777" w:rsidR="00A32F50" w:rsidRDefault="00A32F50" w:rsidP="00A32F50">
            <w:pPr>
              <w:pStyle w:val="biaogeright"/>
              <w:wordWrap w:val="0"/>
            </w:pPr>
            <w:r w:rsidRPr="00580BF8">
              <w:rPr>
                <w:rFonts w:hAnsi="Calibri" w:hint="eastAsia"/>
                <w:color w:val="000000"/>
              </w:rPr>
              <w:t>60,097,903.46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BACE870" w14:textId="77777777" w:rsidR="00A32F50" w:rsidRDefault="00A32F50" w:rsidP="00A32F50">
            <w:pPr>
              <w:pStyle w:val="biaogeright"/>
              <w:wordWrap w:val="0"/>
            </w:pPr>
            <w:r w:rsidRPr="00580BF8">
              <w:rPr>
                <w:rFonts w:hAnsi="Calibri" w:hint="eastAsia"/>
                <w:color w:val="000000"/>
              </w:rPr>
              <w:t>2.35</w:t>
            </w:r>
          </w:p>
        </w:tc>
      </w:tr>
      <w:tr w:rsidR="00A32F50" w:rsidRPr="00580BF8" w14:paraId="714EF515"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3C64396F" w14:textId="77777777" w:rsidR="00A32F50" w:rsidRDefault="00A32F50" w:rsidP="00A32F50">
            <w:pPr>
              <w:pStyle w:val="biaogecenter"/>
              <w:wordWrap w:val="0"/>
            </w:pPr>
            <w:r w:rsidRPr="00580BF8">
              <w:rPr>
                <w:rFonts w:hAnsi="Calibri" w:hint="eastAsia"/>
                <w:color w:val="000000"/>
              </w:rPr>
              <w:t>6</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BFC3B93" w14:textId="77777777" w:rsidR="00A32F50" w:rsidRDefault="00A32F50" w:rsidP="00A32F50">
            <w:pPr>
              <w:pStyle w:val="biaogeleft"/>
              <w:wordWrap w:val="0"/>
            </w:pPr>
            <w:r w:rsidRPr="00580BF8">
              <w:rPr>
                <w:rFonts w:hAnsi="Calibri" w:hint="eastAsia"/>
                <w:color w:val="000000"/>
              </w:rPr>
              <w:t>011802409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68677F4" w14:textId="77777777" w:rsidR="00A32F50" w:rsidRDefault="00A32F50" w:rsidP="00A32F50">
            <w:pPr>
              <w:pStyle w:val="biaogeleft"/>
              <w:wordWrap w:val="0"/>
            </w:pPr>
            <w:r w:rsidRPr="00580BF8">
              <w:rPr>
                <w:rFonts w:hAnsi="Calibri" w:hint="eastAsia"/>
                <w:color w:val="000000"/>
              </w:rPr>
              <w:t>18苏交通SCP024</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2FB4A7BB"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40936D7A" w14:textId="77777777" w:rsidR="00A32F50" w:rsidRDefault="00A32F50" w:rsidP="00A32F50">
            <w:pPr>
              <w:pStyle w:val="biaogeright"/>
              <w:wordWrap w:val="0"/>
            </w:pPr>
            <w:r w:rsidRPr="00580BF8">
              <w:rPr>
                <w:rFonts w:hAnsi="Calibri" w:hint="eastAsia"/>
                <w:color w:val="000000"/>
              </w:rPr>
              <w:t>50,100,573.26</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72DBB22A" w14:textId="77777777" w:rsidR="00A32F50" w:rsidRDefault="00A32F50" w:rsidP="00A32F50">
            <w:pPr>
              <w:pStyle w:val="biaogeright"/>
              <w:wordWrap w:val="0"/>
            </w:pPr>
            <w:r w:rsidRPr="00580BF8">
              <w:rPr>
                <w:rFonts w:hAnsi="Calibri" w:hint="eastAsia"/>
                <w:color w:val="000000"/>
              </w:rPr>
              <w:t>1.96</w:t>
            </w:r>
          </w:p>
        </w:tc>
      </w:tr>
      <w:tr w:rsidR="00A32F50" w:rsidRPr="00580BF8" w14:paraId="720BF40D"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7D1D2255" w14:textId="77777777" w:rsidR="00A32F50" w:rsidRDefault="00A32F50" w:rsidP="00A32F50">
            <w:pPr>
              <w:pStyle w:val="biaogecenter"/>
              <w:wordWrap w:val="0"/>
            </w:pPr>
            <w:r w:rsidRPr="00580BF8">
              <w:rPr>
                <w:rFonts w:hAnsi="Calibri" w:hint="eastAsia"/>
                <w:color w:val="000000"/>
              </w:rPr>
              <w:t>7</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61BB12E2" w14:textId="77777777" w:rsidR="00A32F50" w:rsidRDefault="00A32F50" w:rsidP="00A32F50">
            <w:pPr>
              <w:pStyle w:val="biaogeleft"/>
              <w:wordWrap w:val="0"/>
            </w:pPr>
            <w:r w:rsidRPr="00580BF8">
              <w:rPr>
                <w:rFonts w:hAnsi="Calibri" w:hint="eastAsia"/>
                <w:color w:val="000000"/>
              </w:rPr>
              <w:t>180209</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60D0599E" w14:textId="77777777" w:rsidR="00A32F50" w:rsidRDefault="00A32F50" w:rsidP="00A32F50">
            <w:pPr>
              <w:pStyle w:val="biaogeleft"/>
              <w:wordWrap w:val="0"/>
            </w:pPr>
            <w:r w:rsidRPr="00580BF8">
              <w:rPr>
                <w:rFonts w:hAnsi="Calibri" w:hint="eastAsia"/>
                <w:color w:val="000000"/>
              </w:rPr>
              <w:t>18国开09</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340AE35B"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20C0F58C" w14:textId="77777777" w:rsidR="00A32F50" w:rsidRDefault="00A32F50" w:rsidP="00A32F50">
            <w:pPr>
              <w:pStyle w:val="biaogeright"/>
              <w:wordWrap w:val="0"/>
            </w:pPr>
            <w:r w:rsidRPr="00580BF8">
              <w:rPr>
                <w:rFonts w:hAnsi="Calibri" w:hint="eastAsia"/>
                <w:color w:val="000000"/>
              </w:rPr>
              <w:t>50,092,455.28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598CD62" w14:textId="77777777" w:rsidR="00A32F50" w:rsidRDefault="00A32F50" w:rsidP="00A32F50">
            <w:pPr>
              <w:pStyle w:val="biaogeright"/>
              <w:wordWrap w:val="0"/>
            </w:pPr>
            <w:r w:rsidRPr="00580BF8">
              <w:rPr>
                <w:rFonts w:hAnsi="Calibri" w:hint="eastAsia"/>
                <w:color w:val="000000"/>
              </w:rPr>
              <w:t>1.96</w:t>
            </w:r>
          </w:p>
        </w:tc>
      </w:tr>
      <w:tr w:rsidR="00A32F50" w:rsidRPr="00580BF8" w14:paraId="00381442"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4F9E938D" w14:textId="77777777" w:rsidR="00A32F50" w:rsidRDefault="00A32F50" w:rsidP="00A32F50">
            <w:pPr>
              <w:pStyle w:val="biaogecenter"/>
              <w:wordWrap w:val="0"/>
            </w:pPr>
            <w:r w:rsidRPr="00580BF8">
              <w:rPr>
                <w:rFonts w:hAnsi="Calibri" w:hint="eastAsia"/>
                <w:color w:val="000000"/>
              </w:rPr>
              <w:t>8</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118F79BE" w14:textId="77777777" w:rsidR="00A32F50" w:rsidRDefault="00A32F50" w:rsidP="00A32F50">
            <w:pPr>
              <w:pStyle w:val="biaogeleft"/>
              <w:wordWrap w:val="0"/>
            </w:pPr>
            <w:r w:rsidRPr="00580BF8">
              <w:rPr>
                <w:rFonts w:hAnsi="Calibri" w:hint="eastAsia"/>
                <w:color w:val="000000"/>
              </w:rPr>
              <w:t>111991462</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483E289E" w14:textId="77777777" w:rsidR="00A32F50" w:rsidRDefault="00A32F50" w:rsidP="00A32F50">
            <w:pPr>
              <w:pStyle w:val="biaogeleft"/>
              <w:wordWrap w:val="0"/>
            </w:pPr>
            <w:r w:rsidRPr="00580BF8">
              <w:rPr>
                <w:rFonts w:hAnsi="Calibri" w:hint="eastAsia"/>
                <w:color w:val="000000"/>
              </w:rPr>
              <w:t>19成都银行CD027</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13A910E4"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7F9A5FC" w14:textId="77777777" w:rsidR="00A32F50" w:rsidRDefault="00A32F50" w:rsidP="00A32F50">
            <w:pPr>
              <w:pStyle w:val="biaogeright"/>
              <w:wordWrap w:val="0"/>
            </w:pPr>
            <w:r w:rsidRPr="00580BF8">
              <w:rPr>
                <w:rFonts w:hAnsi="Calibri" w:hint="eastAsia"/>
                <w:color w:val="000000"/>
              </w:rPr>
              <w:t>49,836,483.08</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1F61A65E" w14:textId="77777777" w:rsidR="00A32F50" w:rsidRDefault="00A32F50" w:rsidP="00A32F50">
            <w:pPr>
              <w:pStyle w:val="biaogeright"/>
              <w:wordWrap w:val="0"/>
            </w:pPr>
            <w:r w:rsidRPr="00580BF8">
              <w:rPr>
                <w:rFonts w:hAnsi="Calibri" w:hint="eastAsia"/>
                <w:color w:val="000000"/>
              </w:rPr>
              <w:t>1.95</w:t>
            </w:r>
          </w:p>
        </w:tc>
      </w:tr>
      <w:tr w:rsidR="00A32F50" w:rsidRPr="00580BF8" w14:paraId="1E257756"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026DCC9F" w14:textId="77777777" w:rsidR="00A32F50" w:rsidRDefault="00A32F50" w:rsidP="00A32F50">
            <w:pPr>
              <w:pStyle w:val="biaogecenter"/>
              <w:wordWrap w:val="0"/>
            </w:pPr>
            <w:r w:rsidRPr="00580BF8">
              <w:rPr>
                <w:rFonts w:hAnsi="Calibri" w:hint="eastAsia"/>
                <w:color w:val="000000"/>
              </w:rPr>
              <w:t>9</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494F9C6C" w14:textId="77777777" w:rsidR="00A32F50" w:rsidRDefault="00A32F50" w:rsidP="00A32F50">
            <w:pPr>
              <w:pStyle w:val="biaogeleft"/>
              <w:wordWrap w:val="0"/>
            </w:pPr>
            <w:r w:rsidRPr="00580BF8">
              <w:rPr>
                <w:rFonts w:hAnsi="Calibri" w:hint="eastAsia"/>
                <w:color w:val="000000"/>
              </w:rPr>
              <w:t>111889111</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E30A6FB" w14:textId="77777777" w:rsidR="00A32F50" w:rsidRDefault="00A32F50" w:rsidP="00A32F50">
            <w:pPr>
              <w:pStyle w:val="biaogeleft"/>
              <w:wordWrap w:val="0"/>
            </w:pPr>
            <w:r w:rsidRPr="00580BF8">
              <w:rPr>
                <w:rFonts w:hAnsi="Calibri" w:hint="eastAsia"/>
                <w:color w:val="000000"/>
              </w:rPr>
              <w:t>18盛京银行CD493</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7B8290DF"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5AFCA2DC" w14:textId="77777777" w:rsidR="00A32F50" w:rsidRDefault="00A32F50" w:rsidP="00A32F50">
            <w:pPr>
              <w:pStyle w:val="biaogeright"/>
              <w:wordWrap w:val="0"/>
            </w:pPr>
            <w:r w:rsidRPr="00580BF8">
              <w:rPr>
                <w:rFonts w:hAnsi="Calibri" w:hint="eastAsia"/>
                <w:color w:val="000000"/>
              </w:rPr>
              <w:t>49,791,288.54</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2900C8D6" w14:textId="77777777" w:rsidR="00A32F50" w:rsidRDefault="00A32F50" w:rsidP="00A32F50">
            <w:pPr>
              <w:pStyle w:val="biaogeright"/>
              <w:wordWrap w:val="0"/>
            </w:pPr>
            <w:r w:rsidRPr="00580BF8">
              <w:rPr>
                <w:rFonts w:hAnsi="Calibri" w:hint="eastAsia"/>
                <w:color w:val="000000"/>
              </w:rPr>
              <w:t>1.95</w:t>
            </w:r>
          </w:p>
        </w:tc>
      </w:tr>
      <w:tr w:rsidR="00A32F50" w:rsidRPr="00580BF8" w14:paraId="08FA9B9F" w14:textId="77777777" w:rsidTr="0022257E">
        <w:tc>
          <w:tcPr>
            <w:tcW w:w="471" w:type="dxa"/>
            <w:tcBorders>
              <w:top w:val="single" w:sz="8" w:space="0" w:color="000000"/>
              <w:left w:val="single" w:sz="8" w:space="0" w:color="000000"/>
              <w:bottom w:val="single" w:sz="6" w:space="0" w:color="000000"/>
              <w:right w:val="single" w:sz="8" w:space="0" w:color="000000"/>
            </w:tcBorders>
            <w:vAlign w:val="center"/>
            <w:hideMark/>
          </w:tcPr>
          <w:p w14:paraId="1E5FDD8F" w14:textId="77777777" w:rsidR="00A32F50" w:rsidRDefault="00A32F50" w:rsidP="00A32F50">
            <w:pPr>
              <w:pStyle w:val="biaogecenter"/>
              <w:wordWrap w:val="0"/>
            </w:pPr>
            <w:r w:rsidRPr="00580BF8">
              <w:rPr>
                <w:rFonts w:hAnsi="Calibri" w:hint="eastAsia"/>
                <w:color w:val="000000"/>
              </w:rPr>
              <w:t>10</w:t>
            </w:r>
          </w:p>
        </w:tc>
        <w:tc>
          <w:tcPr>
            <w:tcW w:w="1514" w:type="dxa"/>
            <w:tcBorders>
              <w:top w:val="single" w:sz="8" w:space="0" w:color="000000"/>
              <w:left w:val="single" w:sz="8" w:space="0" w:color="000000"/>
              <w:bottom w:val="single" w:sz="6" w:space="0" w:color="000000"/>
              <w:right w:val="single" w:sz="8" w:space="0" w:color="000000"/>
            </w:tcBorders>
            <w:vAlign w:val="center"/>
            <w:hideMark/>
          </w:tcPr>
          <w:p w14:paraId="5EC37D15" w14:textId="77777777" w:rsidR="00A32F50" w:rsidRDefault="00A32F50" w:rsidP="00A32F50">
            <w:pPr>
              <w:pStyle w:val="biaogeleft"/>
              <w:wordWrap w:val="0"/>
            </w:pPr>
            <w:r w:rsidRPr="00580BF8">
              <w:rPr>
                <w:rFonts w:hAnsi="Calibri" w:hint="eastAsia"/>
                <w:color w:val="000000"/>
              </w:rPr>
              <w:t>111921060</w:t>
            </w:r>
          </w:p>
        </w:tc>
        <w:tc>
          <w:tcPr>
            <w:tcW w:w="2126" w:type="dxa"/>
            <w:tcBorders>
              <w:top w:val="single" w:sz="8" w:space="0" w:color="000000"/>
              <w:left w:val="single" w:sz="8" w:space="0" w:color="000000"/>
              <w:bottom w:val="single" w:sz="6" w:space="0" w:color="000000"/>
              <w:right w:val="single" w:sz="8" w:space="0" w:color="000000"/>
            </w:tcBorders>
            <w:vAlign w:val="center"/>
            <w:hideMark/>
          </w:tcPr>
          <w:p w14:paraId="0CA26912" w14:textId="77777777" w:rsidR="00A32F50" w:rsidRDefault="00A32F50" w:rsidP="00A32F50">
            <w:pPr>
              <w:pStyle w:val="biaogeleft"/>
              <w:wordWrap w:val="0"/>
            </w:pPr>
            <w:r w:rsidRPr="00580BF8">
              <w:rPr>
                <w:rFonts w:hAnsi="Calibri" w:hint="eastAsia"/>
                <w:color w:val="000000"/>
              </w:rPr>
              <w:t>19渤海银行CD060</w:t>
            </w:r>
          </w:p>
        </w:tc>
        <w:tc>
          <w:tcPr>
            <w:tcW w:w="1418" w:type="dxa"/>
            <w:tcBorders>
              <w:top w:val="single" w:sz="8" w:space="0" w:color="000000"/>
              <w:left w:val="single" w:sz="8" w:space="0" w:color="000000"/>
              <w:bottom w:val="single" w:sz="6" w:space="0" w:color="000000"/>
              <w:right w:val="single" w:sz="8" w:space="0" w:color="000000"/>
            </w:tcBorders>
            <w:vAlign w:val="center"/>
            <w:hideMark/>
          </w:tcPr>
          <w:p w14:paraId="4DA5943B" w14:textId="77777777" w:rsidR="00A32F50" w:rsidRDefault="00A32F50" w:rsidP="00A32F50">
            <w:pPr>
              <w:pStyle w:val="biaogeright"/>
              <w:wordWrap w:val="0"/>
            </w:pPr>
            <w:r w:rsidRPr="00580BF8">
              <w:rPr>
                <w:rFonts w:hAnsi="Calibri" w:hint="eastAsia"/>
                <w:color w:val="000000"/>
              </w:rPr>
              <w:t>500,000</w:t>
            </w:r>
          </w:p>
        </w:tc>
        <w:tc>
          <w:tcPr>
            <w:tcW w:w="1984" w:type="dxa"/>
            <w:tcBorders>
              <w:top w:val="single" w:sz="8" w:space="0" w:color="000000"/>
              <w:left w:val="single" w:sz="8" w:space="0" w:color="000000"/>
              <w:bottom w:val="single" w:sz="6" w:space="0" w:color="000000"/>
              <w:right w:val="single" w:sz="8" w:space="0" w:color="000000"/>
            </w:tcBorders>
            <w:vAlign w:val="center"/>
            <w:hideMark/>
          </w:tcPr>
          <w:p w14:paraId="64347A37" w14:textId="77777777" w:rsidR="00A32F50" w:rsidRDefault="00A32F50" w:rsidP="00A32F50">
            <w:pPr>
              <w:pStyle w:val="biaogeright"/>
              <w:wordWrap w:val="0"/>
            </w:pPr>
            <w:r w:rsidRPr="00580BF8">
              <w:rPr>
                <w:rFonts w:hAnsi="Calibri" w:hint="eastAsia"/>
                <w:color w:val="000000"/>
              </w:rPr>
              <w:t>49,754,803.32</w:t>
            </w:r>
          </w:p>
        </w:tc>
        <w:tc>
          <w:tcPr>
            <w:tcW w:w="1134" w:type="dxa"/>
            <w:tcBorders>
              <w:top w:val="single" w:sz="8" w:space="0" w:color="000000"/>
              <w:left w:val="single" w:sz="8" w:space="0" w:color="000000"/>
              <w:bottom w:val="single" w:sz="6" w:space="0" w:color="000000"/>
              <w:right w:val="single" w:sz="8" w:space="0" w:color="000000"/>
            </w:tcBorders>
            <w:vAlign w:val="center"/>
            <w:hideMark/>
          </w:tcPr>
          <w:p w14:paraId="4C418791" w14:textId="77777777" w:rsidR="00A32F50" w:rsidRDefault="00A32F50" w:rsidP="00A32F50">
            <w:pPr>
              <w:pStyle w:val="biaogeright"/>
              <w:wordWrap w:val="0"/>
            </w:pPr>
            <w:r w:rsidRPr="00580BF8">
              <w:rPr>
                <w:rFonts w:hAnsi="Calibri" w:hint="eastAsia"/>
                <w:color w:val="000000"/>
              </w:rPr>
              <w:t>1.95</w:t>
            </w:r>
          </w:p>
        </w:tc>
      </w:tr>
    </w:tbl>
    <w:p w14:paraId="1130E35A" w14:textId="77777777" w:rsidR="00A32F50" w:rsidRDefault="00A32F50" w:rsidP="00A32F50">
      <w:pPr>
        <w:spacing w:line="360" w:lineRule="auto"/>
        <w:ind w:firstLineChars="177" w:firstLine="372"/>
      </w:pPr>
    </w:p>
    <w:p w14:paraId="1B8EBD34" w14:textId="77777777" w:rsidR="00A32F50" w:rsidRPr="00A32F50" w:rsidRDefault="00A32F50" w:rsidP="00A32F50">
      <w:pPr>
        <w:spacing w:line="360" w:lineRule="auto"/>
        <w:ind w:firstLineChars="177" w:firstLine="372"/>
      </w:pPr>
    </w:p>
    <w:p w14:paraId="192E9380" w14:textId="77777777" w:rsidR="0088687C" w:rsidRDefault="0088687C" w:rsidP="0088687C">
      <w:pPr>
        <w:widowControl/>
        <w:spacing w:before="30" w:line="360" w:lineRule="auto"/>
        <w:ind w:left="17" w:firstLine="425"/>
        <w:jc w:val="left"/>
        <w:rPr>
          <w:rFonts w:ascii="宋体" w:hAnsi="宋体"/>
          <w:sz w:val="24"/>
        </w:rPr>
      </w:pPr>
      <w:r>
        <w:rPr>
          <w:rFonts w:ascii="宋体" w:hAnsi="宋体" w:hint="eastAsia"/>
          <w:sz w:val="24"/>
        </w:rPr>
        <w:t>7、“影子定价”与“摊余成本法”确定的基金资产净值的偏离</w:t>
      </w:r>
    </w:p>
    <w:tbl>
      <w:tblPr>
        <w:tblW w:w="0" w:type="auto"/>
        <w:tblInd w:w="108" w:type="dxa"/>
        <w:tblLook w:val="04A0" w:firstRow="1" w:lastRow="0" w:firstColumn="1" w:lastColumn="0" w:noHBand="0" w:noVBand="1"/>
      </w:tblPr>
      <w:tblGrid>
        <w:gridCol w:w="5462"/>
        <w:gridCol w:w="3075"/>
      </w:tblGrid>
      <w:tr w:rsidR="00A32F50" w:rsidRPr="00580BF8" w14:paraId="0F5016D9"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2ADD57BD" w14:textId="77777777" w:rsidR="00A32F50" w:rsidRDefault="00A32F50" w:rsidP="00A32F50">
            <w:pPr>
              <w:pStyle w:val="biaogecenter"/>
              <w:wordWrap w:val="0"/>
            </w:pPr>
            <w:r w:rsidRPr="00580BF8">
              <w:rPr>
                <w:rFonts w:hAnsi="Calibri" w:hint="eastAsia"/>
                <w:color w:val="000000"/>
              </w:rPr>
              <w:lastRenderedPageBreak/>
              <w:t>项目</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087BC563" w14:textId="77777777" w:rsidR="00A32F50" w:rsidRDefault="00A32F50" w:rsidP="00A32F50">
            <w:pPr>
              <w:pStyle w:val="biaogecenter"/>
              <w:wordWrap w:val="0"/>
            </w:pPr>
            <w:r w:rsidRPr="00580BF8">
              <w:rPr>
                <w:rFonts w:hAnsi="Calibri" w:hint="eastAsia"/>
                <w:color w:val="000000"/>
              </w:rPr>
              <w:t>偏离情况</w:t>
            </w:r>
          </w:p>
        </w:tc>
      </w:tr>
      <w:tr w:rsidR="00A32F50" w:rsidRPr="00580BF8" w14:paraId="3039FE13" w14:textId="77777777" w:rsidTr="0022257E">
        <w:trPr>
          <w:trHeight w:val="798"/>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0E8938EF" w14:textId="77777777" w:rsidR="00A32F50" w:rsidRDefault="00A32F50" w:rsidP="00A32F50">
            <w:pPr>
              <w:pStyle w:val="biaogeleft"/>
              <w:wordWrap w:val="0"/>
            </w:pPr>
            <w:r>
              <w:rPr>
                <w:rFonts w:hint="eastAsia"/>
              </w:rPr>
              <w:t>报告期内偏离度的绝对值在0.25(含)-0.5%间的次数</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4159E1D8" w14:textId="77777777" w:rsidR="00A32F50" w:rsidRDefault="00A32F50" w:rsidP="00A32F50">
            <w:pPr>
              <w:pStyle w:val="biaogeright"/>
              <w:wordWrap w:val="0"/>
            </w:pPr>
            <w:r w:rsidRPr="00580BF8">
              <w:rPr>
                <w:rFonts w:hAnsi="Calibri" w:hint="eastAsia"/>
                <w:color w:val="000000"/>
              </w:rPr>
              <w:t>0</w:t>
            </w:r>
          </w:p>
        </w:tc>
      </w:tr>
      <w:tr w:rsidR="00A32F50" w:rsidRPr="00580BF8" w14:paraId="74F265DD"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3BD4FA3E" w14:textId="77777777" w:rsidR="00A32F50" w:rsidRDefault="00A32F50" w:rsidP="00A32F50">
            <w:pPr>
              <w:pStyle w:val="biaogeleft"/>
              <w:wordWrap w:val="0"/>
            </w:pPr>
            <w:r>
              <w:rPr>
                <w:rFonts w:hint="eastAsia"/>
              </w:rPr>
              <w:t>报告期内偏离度的最高值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490E01B" w14:textId="77777777" w:rsidR="00A32F50" w:rsidRDefault="00A32F50" w:rsidP="00A32F50">
            <w:pPr>
              <w:pStyle w:val="biaogeright"/>
              <w:wordWrap w:val="0"/>
            </w:pPr>
            <w:r w:rsidRPr="00580BF8">
              <w:rPr>
                <w:rFonts w:hAnsi="Calibri" w:hint="eastAsia"/>
                <w:color w:val="000000"/>
              </w:rPr>
              <w:t>0.1067%</w:t>
            </w:r>
          </w:p>
        </w:tc>
      </w:tr>
      <w:tr w:rsidR="00A32F50" w:rsidRPr="00580BF8" w14:paraId="0D9C48CC"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123ACB72" w14:textId="77777777" w:rsidR="00A32F50" w:rsidRDefault="00A32F50" w:rsidP="00A32F50">
            <w:pPr>
              <w:pStyle w:val="biaogeleft"/>
              <w:wordWrap w:val="0"/>
            </w:pPr>
            <w:r>
              <w:rPr>
                <w:rFonts w:hint="eastAsia"/>
              </w:rPr>
              <w:t>报告期内偏离度的最低值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749B8723" w14:textId="77777777" w:rsidR="00A32F50" w:rsidRDefault="00A32F50" w:rsidP="00A32F50">
            <w:pPr>
              <w:pStyle w:val="biaogeright"/>
              <w:wordWrap w:val="0"/>
            </w:pPr>
            <w:r w:rsidRPr="00580BF8">
              <w:rPr>
                <w:rFonts w:hAnsi="Calibri" w:hint="eastAsia"/>
                <w:color w:val="000000"/>
              </w:rPr>
              <w:t>0.0668%</w:t>
            </w:r>
          </w:p>
        </w:tc>
      </w:tr>
      <w:tr w:rsidR="00A32F50" w:rsidRPr="00580BF8" w14:paraId="73329225" w14:textId="77777777" w:rsidTr="0022257E">
        <w:trPr>
          <w:trHeight w:val="414"/>
        </w:trPr>
        <w:tc>
          <w:tcPr>
            <w:tcW w:w="5462" w:type="dxa"/>
            <w:tcBorders>
              <w:top w:val="single" w:sz="8" w:space="0" w:color="000000"/>
              <w:left w:val="single" w:sz="8" w:space="0" w:color="000000"/>
              <w:bottom w:val="single" w:sz="6" w:space="0" w:color="000000"/>
              <w:right w:val="single" w:sz="8" w:space="0" w:color="000000"/>
            </w:tcBorders>
            <w:vAlign w:val="center"/>
            <w:hideMark/>
          </w:tcPr>
          <w:p w14:paraId="3FA16FFC" w14:textId="77777777" w:rsidR="00A32F50" w:rsidRDefault="00A32F50" w:rsidP="00A32F50">
            <w:pPr>
              <w:pStyle w:val="biaogeleft"/>
              <w:wordWrap w:val="0"/>
            </w:pPr>
            <w:r>
              <w:rPr>
                <w:rFonts w:hint="eastAsia"/>
              </w:rPr>
              <w:t>报告期内每个工作日偏离度的绝对值的简单平均值</w:t>
            </w:r>
          </w:p>
        </w:tc>
        <w:tc>
          <w:tcPr>
            <w:tcW w:w="3075" w:type="dxa"/>
            <w:tcBorders>
              <w:top w:val="single" w:sz="8" w:space="0" w:color="000000"/>
              <w:left w:val="single" w:sz="8" w:space="0" w:color="000000"/>
              <w:bottom w:val="single" w:sz="6" w:space="0" w:color="000000"/>
              <w:right w:val="single" w:sz="8" w:space="0" w:color="000000"/>
            </w:tcBorders>
            <w:vAlign w:val="center"/>
            <w:hideMark/>
          </w:tcPr>
          <w:p w14:paraId="2F51E107" w14:textId="77777777" w:rsidR="00A32F50" w:rsidRDefault="00A32F50" w:rsidP="00A32F50">
            <w:pPr>
              <w:pStyle w:val="biaogeright"/>
              <w:wordWrap w:val="0"/>
            </w:pPr>
            <w:r w:rsidRPr="00580BF8">
              <w:rPr>
                <w:rFonts w:hAnsi="Calibri" w:hint="eastAsia"/>
                <w:color w:val="000000"/>
              </w:rPr>
              <w:t>0.0877%</w:t>
            </w:r>
          </w:p>
        </w:tc>
      </w:tr>
    </w:tbl>
    <w:p w14:paraId="761D9604" w14:textId="77777777" w:rsidR="00A32F50" w:rsidRDefault="00A32F50" w:rsidP="0088687C">
      <w:pPr>
        <w:widowControl/>
        <w:spacing w:before="30" w:line="360" w:lineRule="auto"/>
        <w:ind w:left="17" w:firstLine="425"/>
        <w:jc w:val="left"/>
        <w:rPr>
          <w:rFonts w:ascii="宋体" w:hAnsi="宋体"/>
          <w:sz w:val="24"/>
        </w:rPr>
      </w:pPr>
    </w:p>
    <w:p w14:paraId="68110BF7" w14:textId="77777777" w:rsidR="00A32F50" w:rsidRDefault="00A32F50" w:rsidP="0088687C">
      <w:pPr>
        <w:widowControl/>
        <w:spacing w:before="30" w:line="360" w:lineRule="auto"/>
        <w:ind w:left="17" w:firstLine="425"/>
        <w:jc w:val="left"/>
        <w:rPr>
          <w:rFonts w:ascii="宋体" w:hAnsi="宋体"/>
          <w:sz w:val="24"/>
        </w:rPr>
      </w:pPr>
    </w:p>
    <w:p w14:paraId="166E6A97"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报告期内负偏离度的绝对值达到0.25%情况说明:</w:t>
      </w:r>
    </w:p>
    <w:p w14:paraId="24FBD788" w14:textId="77777777" w:rsidR="0088687C" w:rsidRDefault="0088687C" w:rsidP="0088687C">
      <w:pPr>
        <w:widowControl/>
        <w:spacing w:line="360" w:lineRule="auto"/>
        <w:ind w:left="7"/>
        <w:jc w:val="left"/>
      </w:pPr>
      <w:r>
        <w:rPr>
          <w:rFonts w:ascii="宋体" w:hAnsi="宋体" w:hint="eastAsia"/>
          <w:sz w:val="24"/>
        </w:rPr>
        <w:t>  </w:t>
      </w:r>
      <w:r>
        <w:rPr>
          <w:rFonts w:hint="eastAsia"/>
        </w:rPr>
        <w:t>本基金本报告期内负偏离度的绝对值无达到</w:t>
      </w:r>
      <w:r>
        <w:rPr>
          <w:rFonts w:hint="eastAsia"/>
        </w:rPr>
        <w:t>0.25%</w:t>
      </w:r>
      <w:r>
        <w:rPr>
          <w:rFonts w:hint="eastAsia"/>
        </w:rPr>
        <w:t>的情况。</w:t>
      </w:r>
    </w:p>
    <w:p w14:paraId="6C884A7B" w14:textId="77777777" w:rsidR="0088687C" w:rsidRDefault="0088687C" w:rsidP="0088687C">
      <w:pPr>
        <w:widowControl/>
        <w:spacing w:line="360" w:lineRule="auto"/>
        <w:ind w:left="7"/>
        <w:jc w:val="left"/>
        <w:rPr>
          <w:rFonts w:ascii="宋体" w:hAnsi="宋体"/>
          <w:sz w:val="24"/>
        </w:rPr>
      </w:pPr>
    </w:p>
    <w:p w14:paraId="439E34DD" w14:textId="77777777" w:rsidR="0088687C" w:rsidRDefault="0088687C" w:rsidP="0088687C">
      <w:pPr>
        <w:widowControl/>
        <w:spacing w:line="360" w:lineRule="auto"/>
        <w:ind w:leftChars="7" w:left="15" w:firstLineChars="200" w:firstLine="480"/>
        <w:jc w:val="left"/>
        <w:rPr>
          <w:rFonts w:ascii="宋体" w:hAnsi="宋体"/>
          <w:sz w:val="24"/>
        </w:rPr>
      </w:pPr>
      <w:r>
        <w:rPr>
          <w:rFonts w:ascii="宋体" w:hAnsi="宋体" w:hint="eastAsia"/>
          <w:sz w:val="24"/>
        </w:rPr>
        <w:t>报告期内正偏离度的绝对值达到0.5%情况说明:</w:t>
      </w:r>
    </w:p>
    <w:p w14:paraId="275ED695" w14:textId="77777777" w:rsidR="0088687C" w:rsidRDefault="0088687C" w:rsidP="0088687C">
      <w:pPr>
        <w:pStyle w:val="neirong"/>
        <w:spacing w:line="360" w:lineRule="auto"/>
        <w:ind w:leftChars="7" w:firstLineChars="200" w:firstLine="480"/>
      </w:pPr>
      <w:r>
        <w:rPr>
          <w:rFonts w:hint="eastAsia"/>
        </w:rPr>
        <w:t> 本基金本报告期内正偏离度的绝对值无达到0.5%的情况。</w:t>
      </w:r>
    </w:p>
    <w:p w14:paraId="7C5AD2DD" w14:textId="77777777" w:rsidR="0088687C" w:rsidRDefault="0088687C" w:rsidP="0088687C">
      <w:pPr>
        <w:widowControl/>
        <w:spacing w:line="360" w:lineRule="auto"/>
        <w:ind w:left="7"/>
        <w:jc w:val="left"/>
        <w:rPr>
          <w:rFonts w:ascii="微软雅黑" w:eastAsia="微软雅黑" w:hAnsi="微软雅黑" w:cs="宋体"/>
          <w:color w:val="555555"/>
          <w:kern w:val="0"/>
          <w:szCs w:val="21"/>
        </w:rPr>
      </w:pPr>
    </w:p>
    <w:p w14:paraId="43586617" w14:textId="77777777" w:rsidR="0088687C" w:rsidRDefault="0088687C" w:rsidP="0088687C">
      <w:pPr>
        <w:widowControl/>
        <w:spacing w:line="360" w:lineRule="auto"/>
        <w:ind w:left="7" w:firstLine="425"/>
        <w:jc w:val="left"/>
        <w:rPr>
          <w:rFonts w:ascii="宋体" w:hAnsi="宋体"/>
          <w:sz w:val="24"/>
        </w:rPr>
      </w:pPr>
      <w:r>
        <w:rPr>
          <w:rFonts w:ascii="宋体" w:hAnsi="宋体" w:hint="eastAsia"/>
          <w:bCs/>
          <w:sz w:val="24"/>
        </w:rPr>
        <w:t>8、</w:t>
      </w:r>
      <w:r>
        <w:rPr>
          <w:rFonts w:ascii="宋体" w:hAnsi="宋体" w:hint="eastAsia"/>
          <w:sz w:val="24"/>
        </w:rPr>
        <w:t>报告期末按公允价值占基金资产净值比例大小排名的前十名资产支持证券投资明细</w:t>
      </w:r>
    </w:p>
    <w:tbl>
      <w:tblPr>
        <w:tblW w:w="8652" w:type="dxa"/>
        <w:tblInd w:w="108" w:type="dxa"/>
        <w:tblLook w:val="04A0" w:firstRow="1" w:lastRow="0" w:firstColumn="1" w:lastColumn="0" w:noHBand="0" w:noVBand="1"/>
      </w:tblPr>
      <w:tblGrid>
        <w:gridCol w:w="921"/>
        <w:gridCol w:w="1008"/>
        <w:gridCol w:w="1224"/>
        <w:gridCol w:w="1036"/>
        <w:gridCol w:w="2193"/>
        <w:gridCol w:w="2270"/>
      </w:tblGrid>
      <w:tr w:rsidR="00A32F50" w:rsidRPr="00580BF8" w14:paraId="050E7547" w14:textId="77777777" w:rsidTr="0022257E">
        <w:trPr>
          <w:trHeight w:val="876"/>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3151594C" w14:textId="77777777" w:rsidR="00A32F50" w:rsidRDefault="00A32F50" w:rsidP="00A32F50">
            <w:pPr>
              <w:pStyle w:val="biaogecenter"/>
              <w:wordWrap w:val="0"/>
            </w:pPr>
            <w:r w:rsidRPr="00580BF8">
              <w:rPr>
                <w:rFonts w:hAnsi="Calibri" w:hint="eastAsia"/>
                <w:color w:val="000000"/>
              </w:rPr>
              <w:t>序号</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18DB8364" w14:textId="77777777" w:rsidR="00A32F50" w:rsidRDefault="00A32F50" w:rsidP="00A32F50">
            <w:pPr>
              <w:pStyle w:val="biaogecenter"/>
              <w:wordWrap w:val="0"/>
            </w:pPr>
            <w:r w:rsidRPr="00580BF8">
              <w:rPr>
                <w:rFonts w:hAnsi="Calibri" w:hint="eastAsia"/>
                <w:color w:val="000000"/>
              </w:rPr>
              <w:t>证券代码</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384C5172" w14:textId="77777777" w:rsidR="00A32F50" w:rsidRDefault="00A32F50" w:rsidP="00A32F50">
            <w:pPr>
              <w:pStyle w:val="biaogecenter"/>
              <w:wordWrap w:val="0"/>
            </w:pPr>
            <w:r w:rsidRPr="00580BF8">
              <w:rPr>
                <w:rFonts w:hAnsi="Calibri" w:hint="eastAsia"/>
                <w:color w:val="000000"/>
              </w:rPr>
              <w:t>证券名称</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62DD4C24" w14:textId="77777777" w:rsidR="00A32F50" w:rsidRDefault="00A32F50" w:rsidP="00A32F50">
            <w:pPr>
              <w:pStyle w:val="biaogecenter"/>
              <w:wordWrap w:val="0"/>
            </w:pPr>
            <w:r w:rsidRPr="00580BF8">
              <w:rPr>
                <w:rFonts w:hAnsi="Calibri" w:hint="eastAsia"/>
                <w:color w:val="000000"/>
              </w:rPr>
              <w:t>数量(份)</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5EBEF717" w14:textId="77777777" w:rsidR="00A32F50" w:rsidRDefault="00A32F50" w:rsidP="00A32F50">
            <w:pPr>
              <w:pStyle w:val="biaogecenter"/>
              <w:wordWrap w:val="0"/>
            </w:pPr>
            <w:r w:rsidRPr="00580BF8">
              <w:rPr>
                <w:rFonts w:hAnsi="Calibri" w:hint="eastAsia"/>
                <w:color w:val="000000"/>
              </w:rPr>
              <w:t>公允价值(元)</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5F1A0A6A" w14:textId="77777777" w:rsidR="00A32F50" w:rsidRDefault="00A32F50" w:rsidP="00A32F50">
            <w:pPr>
              <w:pStyle w:val="biaogecenter"/>
              <w:wordWrap w:val="0"/>
            </w:pPr>
            <w:r w:rsidRPr="00580BF8">
              <w:rPr>
                <w:rFonts w:hAnsi="Calibri" w:hint="eastAsia"/>
                <w:color w:val="000000"/>
              </w:rPr>
              <w:t>占基金资产净值比例(%)</w:t>
            </w:r>
          </w:p>
        </w:tc>
      </w:tr>
      <w:tr w:rsidR="00A32F50" w:rsidRPr="00580BF8" w14:paraId="5978142D" w14:textId="77777777" w:rsidTr="0022257E">
        <w:trPr>
          <w:trHeight w:val="455"/>
        </w:trPr>
        <w:tc>
          <w:tcPr>
            <w:tcW w:w="921" w:type="dxa"/>
            <w:tcBorders>
              <w:top w:val="single" w:sz="8" w:space="0" w:color="000000"/>
              <w:left w:val="single" w:sz="8" w:space="0" w:color="000000"/>
              <w:bottom w:val="single" w:sz="6" w:space="0" w:color="000000"/>
              <w:right w:val="single" w:sz="8" w:space="0" w:color="000000"/>
            </w:tcBorders>
            <w:vAlign w:val="center"/>
            <w:hideMark/>
          </w:tcPr>
          <w:p w14:paraId="16B5E66F" w14:textId="77777777" w:rsidR="00A32F50" w:rsidRDefault="00A32F50" w:rsidP="00A32F50">
            <w:pPr>
              <w:pStyle w:val="biaogecenter"/>
              <w:wordWrap w:val="0"/>
            </w:pPr>
            <w:r w:rsidRPr="00580BF8">
              <w:rPr>
                <w:rFonts w:hAnsi="Calibri" w:hint="eastAsia"/>
                <w:color w:val="000000"/>
              </w:rPr>
              <w:t>1</w:t>
            </w:r>
          </w:p>
        </w:tc>
        <w:tc>
          <w:tcPr>
            <w:tcW w:w="1008" w:type="dxa"/>
            <w:tcBorders>
              <w:top w:val="single" w:sz="8" w:space="0" w:color="000000"/>
              <w:left w:val="single" w:sz="8" w:space="0" w:color="000000"/>
              <w:bottom w:val="single" w:sz="6" w:space="0" w:color="000000"/>
              <w:right w:val="single" w:sz="8" w:space="0" w:color="000000"/>
            </w:tcBorders>
            <w:vAlign w:val="center"/>
            <w:hideMark/>
          </w:tcPr>
          <w:p w14:paraId="5B55E84B" w14:textId="77777777" w:rsidR="00A32F50" w:rsidRDefault="00A32F50" w:rsidP="00A32F50">
            <w:pPr>
              <w:pStyle w:val="biaogeleft"/>
              <w:wordWrap w:val="0"/>
            </w:pPr>
            <w:r w:rsidRPr="00580BF8">
              <w:rPr>
                <w:rFonts w:hAnsi="Calibri" w:hint="eastAsia"/>
                <w:color w:val="000000"/>
              </w:rPr>
              <w:t>156351</w:t>
            </w:r>
          </w:p>
        </w:tc>
        <w:tc>
          <w:tcPr>
            <w:tcW w:w="1224" w:type="dxa"/>
            <w:tcBorders>
              <w:top w:val="single" w:sz="8" w:space="0" w:color="000000"/>
              <w:left w:val="single" w:sz="8" w:space="0" w:color="000000"/>
              <w:bottom w:val="single" w:sz="6" w:space="0" w:color="000000"/>
              <w:right w:val="single" w:sz="8" w:space="0" w:color="000000"/>
            </w:tcBorders>
            <w:vAlign w:val="center"/>
            <w:hideMark/>
          </w:tcPr>
          <w:p w14:paraId="09BD7963" w14:textId="77777777" w:rsidR="00A32F50" w:rsidRDefault="00A32F50" w:rsidP="00A32F50">
            <w:pPr>
              <w:pStyle w:val="biaogeleft"/>
              <w:wordWrap w:val="0"/>
            </w:pPr>
            <w:r w:rsidRPr="00580BF8">
              <w:rPr>
                <w:rFonts w:hAnsi="Calibri" w:hint="eastAsia"/>
                <w:color w:val="000000"/>
              </w:rPr>
              <w:t>平租八A1</w:t>
            </w:r>
          </w:p>
        </w:tc>
        <w:tc>
          <w:tcPr>
            <w:tcW w:w="1036" w:type="dxa"/>
            <w:tcBorders>
              <w:top w:val="single" w:sz="8" w:space="0" w:color="000000"/>
              <w:left w:val="single" w:sz="8" w:space="0" w:color="000000"/>
              <w:bottom w:val="single" w:sz="6" w:space="0" w:color="000000"/>
              <w:right w:val="single" w:sz="8" w:space="0" w:color="000000"/>
            </w:tcBorders>
            <w:vAlign w:val="center"/>
            <w:hideMark/>
          </w:tcPr>
          <w:p w14:paraId="44E69345" w14:textId="77777777" w:rsidR="00A32F50" w:rsidRDefault="00A32F50" w:rsidP="00A32F50">
            <w:pPr>
              <w:pStyle w:val="biaogeright"/>
              <w:wordWrap w:val="0"/>
            </w:pPr>
            <w:r w:rsidRPr="00580BF8">
              <w:rPr>
                <w:rFonts w:hAnsi="Calibri" w:hint="eastAsia"/>
                <w:color w:val="000000"/>
              </w:rPr>
              <w:t>200,000</w:t>
            </w:r>
          </w:p>
        </w:tc>
        <w:tc>
          <w:tcPr>
            <w:tcW w:w="2193" w:type="dxa"/>
            <w:tcBorders>
              <w:top w:val="single" w:sz="8" w:space="0" w:color="000000"/>
              <w:left w:val="single" w:sz="8" w:space="0" w:color="000000"/>
              <w:bottom w:val="single" w:sz="6" w:space="0" w:color="000000"/>
              <w:right w:val="single" w:sz="8" w:space="0" w:color="000000"/>
            </w:tcBorders>
            <w:vAlign w:val="center"/>
            <w:hideMark/>
          </w:tcPr>
          <w:p w14:paraId="5CACA2C5" w14:textId="77777777" w:rsidR="00A32F50" w:rsidRDefault="00A32F50" w:rsidP="00A32F50">
            <w:pPr>
              <w:pStyle w:val="biaogeright"/>
              <w:wordWrap w:val="0"/>
            </w:pPr>
            <w:r w:rsidRPr="00580BF8">
              <w:rPr>
                <w:rFonts w:hAnsi="Calibri" w:hint="eastAsia"/>
                <w:color w:val="000000"/>
              </w:rPr>
              <w:t>12,503,001.25</w:t>
            </w:r>
          </w:p>
        </w:tc>
        <w:tc>
          <w:tcPr>
            <w:tcW w:w="2270" w:type="dxa"/>
            <w:tcBorders>
              <w:top w:val="single" w:sz="8" w:space="0" w:color="000000"/>
              <w:left w:val="single" w:sz="8" w:space="0" w:color="000000"/>
              <w:bottom w:val="single" w:sz="6" w:space="0" w:color="000000"/>
              <w:right w:val="single" w:sz="8" w:space="0" w:color="000000"/>
            </w:tcBorders>
            <w:vAlign w:val="center"/>
            <w:hideMark/>
          </w:tcPr>
          <w:p w14:paraId="65ED3E33" w14:textId="77777777" w:rsidR="00A32F50" w:rsidRDefault="00A32F50" w:rsidP="00A32F50">
            <w:pPr>
              <w:pStyle w:val="biaogeright"/>
              <w:wordWrap w:val="0"/>
            </w:pPr>
            <w:r w:rsidRPr="00580BF8">
              <w:rPr>
                <w:rFonts w:hAnsi="Calibri" w:hint="eastAsia"/>
                <w:color w:val="000000"/>
              </w:rPr>
              <w:t>0.49</w:t>
            </w:r>
          </w:p>
        </w:tc>
      </w:tr>
    </w:tbl>
    <w:p w14:paraId="6EAAE088" w14:textId="77777777" w:rsidR="00A32F50" w:rsidRDefault="00A32F50" w:rsidP="0088687C">
      <w:pPr>
        <w:widowControl/>
        <w:spacing w:line="360" w:lineRule="auto"/>
        <w:ind w:left="7" w:firstLine="372"/>
        <w:jc w:val="left"/>
      </w:pPr>
    </w:p>
    <w:p w14:paraId="124EDC39" w14:textId="77777777" w:rsidR="0088687C" w:rsidRDefault="0088687C" w:rsidP="0088687C">
      <w:pPr>
        <w:widowControl/>
        <w:spacing w:line="360" w:lineRule="auto"/>
        <w:ind w:left="7" w:firstLine="372"/>
        <w:jc w:val="left"/>
        <w:rPr>
          <w:rFonts w:ascii="宋体" w:hAnsi="宋体"/>
          <w:sz w:val="24"/>
        </w:rPr>
      </w:pPr>
    </w:p>
    <w:p w14:paraId="7663344C"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9、投资组合报告附注</w:t>
      </w:r>
    </w:p>
    <w:p w14:paraId="56DA2D49"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（1）基金计价方法说明</w:t>
      </w:r>
    </w:p>
    <w:p w14:paraId="0B083618" w14:textId="77777777" w:rsidR="0088687C" w:rsidRDefault="0088687C" w:rsidP="0088687C">
      <w:pPr>
        <w:pStyle w:val="biaogeleft"/>
        <w:spacing w:line="360" w:lineRule="auto"/>
        <w:ind w:leftChars="7" w:firstLineChars="200" w:firstLine="480"/>
      </w:pPr>
      <w:r>
        <w:rPr>
          <w:rFonts w:hint="eastAsia"/>
        </w:rPr>
        <w:t> 本基金采用摊余成本法计价,即计价对象以买入成本列示,按票面利率或商定利率并考虑其买入时的溢价与折价,在其剩余期限内按实际利率法摊销,每日计提收益。</w:t>
      </w:r>
    </w:p>
    <w:p w14:paraId="550FF1C3"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lastRenderedPageBreak/>
        <w:t>（2）</w:t>
      </w:r>
      <w:r w:rsidRPr="00435F87">
        <w:rPr>
          <w:rFonts w:ascii="宋体" w:hAnsi="宋体" w:hint="eastAsia"/>
          <w:sz w:val="24"/>
        </w:rPr>
        <w:t>基金本报告期投资的前十名证券的发行主体,本报告期没有出现被监管部门立案调查的情形,也没有出现在报告编制日前一年内受到公开谴责、处罚的情形。</w:t>
      </w:r>
    </w:p>
    <w:p w14:paraId="5FBAA4C6" w14:textId="77777777" w:rsidR="0088687C" w:rsidRDefault="0088687C" w:rsidP="0088687C">
      <w:pPr>
        <w:widowControl/>
        <w:spacing w:line="360" w:lineRule="auto"/>
        <w:ind w:left="17" w:firstLine="425"/>
        <w:jc w:val="left"/>
        <w:rPr>
          <w:rFonts w:ascii="宋体" w:hAnsi="宋体"/>
          <w:sz w:val="24"/>
        </w:rPr>
      </w:pPr>
      <w:r>
        <w:rPr>
          <w:rFonts w:ascii="宋体" w:hAnsi="宋体" w:hint="eastAsia"/>
          <w:sz w:val="24"/>
        </w:rPr>
        <w:t>（3）其他资产构成</w:t>
      </w:r>
    </w:p>
    <w:tbl>
      <w:tblPr>
        <w:tblW w:w="0" w:type="auto"/>
        <w:tblInd w:w="108" w:type="dxa"/>
        <w:tblLook w:val="04A0" w:firstRow="1" w:lastRow="0" w:firstColumn="1" w:lastColumn="0" w:noHBand="0" w:noVBand="1"/>
      </w:tblPr>
      <w:tblGrid>
        <w:gridCol w:w="923"/>
        <w:gridCol w:w="3564"/>
        <w:gridCol w:w="3900"/>
      </w:tblGrid>
      <w:tr w:rsidR="00A32F50" w:rsidRPr="00580BF8" w14:paraId="3D68E2D8"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6501F17" w14:textId="77777777" w:rsidR="00A32F50" w:rsidRDefault="00A32F50" w:rsidP="00A32F50">
            <w:pPr>
              <w:pStyle w:val="biaogecenter"/>
              <w:wordWrap w:val="0"/>
            </w:pPr>
            <w:r w:rsidRPr="00580BF8">
              <w:rPr>
                <w:rFonts w:hAnsi="Calibri" w:hint="eastAsia"/>
                <w:color w:val="000000"/>
              </w:rPr>
              <w:t>序号</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1AC5830F" w14:textId="77777777" w:rsidR="00A32F50" w:rsidRDefault="00A32F50" w:rsidP="00A32F50">
            <w:pPr>
              <w:pStyle w:val="biaogecenter"/>
              <w:wordWrap w:val="0"/>
            </w:pPr>
            <w:r>
              <w:rPr>
                <w:rFonts w:hint="eastAsia"/>
              </w:rPr>
              <w:t>名称</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264197CA" w14:textId="77777777" w:rsidR="00A32F50" w:rsidRDefault="00A32F50" w:rsidP="00A32F50">
            <w:pPr>
              <w:pStyle w:val="biaogecenter"/>
              <w:wordWrap w:val="0"/>
            </w:pPr>
            <w:r>
              <w:rPr>
                <w:rFonts w:hint="eastAsia"/>
              </w:rPr>
              <w:t>金额(元)</w:t>
            </w:r>
          </w:p>
        </w:tc>
      </w:tr>
      <w:tr w:rsidR="00A32F50" w:rsidRPr="00580BF8" w14:paraId="2751EB0E"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BD356BA" w14:textId="77777777" w:rsidR="00A32F50" w:rsidRDefault="00A32F50" w:rsidP="00A32F50">
            <w:pPr>
              <w:pStyle w:val="biaogecenter"/>
              <w:wordWrap w:val="0"/>
            </w:pPr>
            <w:r w:rsidRPr="00580BF8">
              <w:rPr>
                <w:rFonts w:hAnsi="Calibri" w:hint="eastAsia"/>
                <w:color w:val="000000"/>
              </w:rPr>
              <w:t>1</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75B30ABD" w14:textId="77777777" w:rsidR="00A32F50" w:rsidRDefault="00A32F50" w:rsidP="00A32F50">
            <w:pPr>
              <w:pStyle w:val="biaogeleft"/>
              <w:wordWrap w:val="0"/>
            </w:pPr>
            <w:r>
              <w:rPr>
                <w:rFonts w:hint="eastAsia"/>
              </w:rPr>
              <w:t>存出保证金</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70AFE786" w14:textId="77777777" w:rsidR="00A32F50" w:rsidRDefault="00A32F50" w:rsidP="00A32F50">
            <w:pPr>
              <w:pStyle w:val="biaogeright"/>
              <w:wordWrap w:val="0"/>
            </w:pPr>
            <w:r>
              <w:rPr>
                <w:rFonts w:hint="eastAsia"/>
              </w:rPr>
              <w:t>-</w:t>
            </w:r>
          </w:p>
        </w:tc>
      </w:tr>
      <w:tr w:rsidR="00A32F50" w:rsidRPr="00580BF8" w14:paraId="261C93D4"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0CB336CE" w14:textId="77777777" w:rsidR="00A32F50" w:rsidRDefault="00A32F50" w:rsidP="00A32F50">
            <w:pPr>
              <w:pStyle w:val="biaogecenter"/>
              <w:wordWrap w:val="0"/>
            </w:pPr>
            <w:r w:rsidRPr="00580BF8">
              <w:rPr>
                <w:rFonts w:hAnsi="Calibri" w:hint="eastAsia"/>
                <w:color w:val="000000"/>
              </w:rPr>
              <w:t>2</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524A3196" w14:textId="77777777" w:rsidR="00A32F50" w:rsidRDefault="00A32F50" w:rsidP="00A32F50">
            <w:pPr>
              <w:pStyle w:val="biaogeleft"/>
              <w:wordWrap w:val="0"/>
            </w:pPr>
            <w:r>
              <w:rPr>
                <w:rFonts w:hint="eastAsia"/>
              </w:rPr>
              <w:t>应收证券清算款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035D1C8A" w14:textId="77777777" w:rsidR="00A32F50" w:rsidRDefault="00A32F50" w:rsidP="00A32F50">
            <w:pPr>
              <w:pStyle w:val="biaogeright"/>
              <w:wordWrap w:val="0"/>
            </w:pPr>
            <w:r>
              <w:rPr>
                <w:rFonts w:hint="eastAsia"/>
              </w:rPr>
              <w:t>-</w:t>
            </w:r>
          </w:p>
        </w:tc>
      </w:tr>
      <w:tr w:rsidR="00A32F50" w:rsidRPr="00580BF8" w14:paraId="024382B0"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3160009C" w14:textId="77777777" w:rsidR="00A32F50" w:rsidRDefault="00A32F50" w:rsidP="00A32F50">
            <w:pPr>
              <w:pStyle w:val="biaogecenter"/>
              <w:wordWrap w:val="0"/>
            </w:pPr>
            <w:r w:rsidRPr="00580BF8">
              <w:rPr>
                <w:rFonts w:hAnsi="Calibri" w:hint="eastAsia"/>
                <w:color w:val="000000"/>
              </w:rPr>
              <w:t>3</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4B043D48" w14:textId="77777777" w:rsidR="00A32F50" w:rsidRDefault="00A32F50" w:rsidP="00A32F50">
            <w:pPr>
              <w:pStyle w:val="biaogeleft"/>
              <w:wordWrap w:val="0"/>
            </w:pPr>
            <w:r>
              <w:rPr>
                <w:rFonts w:hint="eastAsia"/>
              </w:rPr>
              <w:t>应收利息</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7CAFE079" w14:textId="77777777" w:rsidR="00A32F50" w:rsidRDefault="00A32F50" w:rsidP="00A32F50">
            <w:pPr>
              <w:pStyle w:val="biaogeright"/>
              <w:wordWrap w:val="0"/>
            </w:pPr>
            <w:r>
              <w:rPr>
                <w:rFonts w:hint="eastAsia"/>
              </w:rPr>
              <w:t>12,653,541.10</w:t>
            </w:r>
          </w:p>
        </w:tc>
      </w:tr>
      <w:tr w:rsidR="00A32F50" w:rsidRPr="00580BF8" w14:paraId="0CE3ED54"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2F94FCF" w14:textId="77777777" w:rsidR="00A32F50" w:rsidRDefault="00A32F50" w:rsidP="00A32F50">
            <w:pPr>
              <w:pStyle w:val="biaogecenter"/>
              <w:wordWrap w:val="0"/>
            </w:pPr>
            <w:r w:rsidRPr="00580BF8">
              <w:rPr>
                <w:rFonts w:hAnsi="Calibri" w:hint="eastAsia"/>
                <w:color w:val="000000"/>
              </w:rPr>
              <w:t>4</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6177A90B" w14:textId="77777777" w:rsidR="00A32F50" w:rsidRDefault="00A32F50" w:rsidP="00A32F50">
            <w:pPr>
              <w:pStyle w:val="biaogeleft"/>
              <w:wordWrap w:val="0"/>
            </w:pPr>
            <w:r>
              <w:rPr>
                <w:rFonts w:hint="eastAsia"/>
              </w:rPr>
              <w:t>应收申购款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469CEAAE" w14:textId="77777777" w:rsidR="00A32F50" w:rsidRDefault="00A32F50" w:rsidP="00A32F50">
            <w:pPr>
              <w:pStyle w:val="biaogeright"/>
              <w:wordWrap w:val="0"/>
            </w:pPr>
            <w:r>
              <w:rPr>
                <w:rFonts w:hint="eastAsia"/>
              </w:rPr>
              <w:t>12,740.00</w:t>
            </w:r>
          </w:p>
        </w:tc>
      </w:tr>
      <w:tr w:rsidR="00A32F50" w:rsidRPr="00580BF8" w14:paraId="634559E6"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1F147A5F" w14:textId="77777777" w:rsidR="00A32F50" w:rsidRDefault="00A32F50" w:rsidP="00A32F50">
            <w:pPr>
              <w:pStyle w:val="biaogecenter"/>
              <w:wordWrap w:val="0"/>
            </w:pPr>
            <w:r w:rsidRPr="00580BF8">
              <w:rPr>
                <w:rFonts w:hAnsi="Calibri" w:hint="eastAsia"/>
                <w:color w:val="000000"/>
              </w:rPr>
              <w:t>5</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6FA75398" w14:textId="77777777" w:rsidR="00A32F50" w:rsidRDefault="00A32F50" w:rsidP="00A32F50">
            <w:pPr>
              <w:pStyle w:val="biaogeleft"/>
              <w:wordWrap w:val="0"/>
            </w:pPr>
            <w:r>
              <w:rPr>
                <w:rFonts w:hint="eastAsia"/>
              </w:rPr>
              <w:t>其他应收款</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013EDA32" w14:textId="77777777" w:rsidR="00A32F50" w:rsidRDefault="00A32F50" w:rsidP="00A32F50">
            <w:pPr>
              <w:pStyle w:val="biaogeright"/>
              <w:wordWrap w:val="0"/>
            </w:pPr>
            <w:r>
              <w:rPr>
                <w:rFonts w:hint="eastAsia"/>
              </w:rPr>
              <w:t>-</w:t>
            </w:r>
          </w:p>
        </w:tc>
      </w:tr>
      <w:tr w:rsidR="00A32F50" w:rsidRPr="00580BF8" w14:paraId="47F98EE4"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7696AD0F" w14:textId="77777777" w:rsidR="00A32F50" w:rsidRDefault="00A32F50" w:rsidP="00A32F50">
            <w:pPr>
              <w:pStyle w:val="biaogecenter"/>
              <w:wordWrap w:val="0"/>
            </w:pPr>
            <w:r>
              <w:rPr>
                <w:rFonts w:hint="eastAsia"/>
              </w:rPr>
              <w:t>6</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0D7A2252" w14:textId="77777777" w:rsidR="00A32F50" w:rsidRDefault="00A32F50" w:rsidP="00A32F50">
            <w:pPr>
              <w:pStyle w:val="biaogeleft"/>
              <w:wordWrap w:val="0"/>
            </w:pPr>
            <w:r>
              <w:rPr>
                <w:rFonts w:hint="eastAsia"/>
              </w:rPr>
              <w:t>其他</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21835FA9" w14:textId="77777777" w:rsidR="00A32F50" w:rsidRDefault="00A32F50" w:rsidP="00A32F50">
            <w:pPr>
              <w:pStyle w:val="biaogeright"/>
              <w:wordWrap w:val="0"/>
            </w:pPr>
            <w:r>
              <w:rPr>
                <w:rFonts w:hint="eastAsia"/>
              </w:rPr>
              <w:t>-</w:t>
            </w:r>
          </w:p>
        </w:tc>
      </w:tr>
      <w:tr w:rsidR="00A32F50" w:rsidRPr="00580BF8" w14:paraId="18FEF47B" w14:textId="77777777" w:rsidTr="0022257E">
        <w:trPr>
          <w:trHeight w:val="416"/>
        </w:trPr>
        <w:tc>
          <w:tcPr>
            <w:tcW w:w="923" w:type="dxa"/>
            <w:tcBorders>
              <w:top w:val="single" w:sz="8" w:space="0" w:color="000000"/>
              <w:left w:val="single" w:sz="8" w:space="0" w:color="000000"/>
              <w:bottom w:val="single" w:sz="6" w:space="0" w:color="000000"/>
              <w:right w:val="single" w:sz="8" w:space="0" w:color="000000"/>
            </w:tcBorders>
            <w:vAlign w:val="center"/>
            <w:hideMark/>
          </w:tcPr>
          <w:p w14:paraId="4BEB9905" w14:textId="77777777" w:rsidR="00A32F50" w:rsidRDefault="00A32F50" w:rsidP="00A32F50">
            <w:pPr>
              <w:pStyle w:val="biaogecenter"/>
              <w:wordWrap w:val="0"/>
            </w:pPr>
            <w:r>
              <w:rPr>
                <w:rFonts w:hint="eastAsia"/>
              </w:rPr>
              <w:t>7</w:t>
            </w:r>
          </w:p>
        </w:tc>
        <w:tc>
          <w:tcPr>
            <w:tcW w:w="3564" w:type="dxa"/>
            <w:tcBorders>
              <w:top w:val="single" w:sz="8" w:space="0" w:color="000000"/>
              <w:left w:val="single" w:sz="8" w:space="0" w:color="000000"/>
              <w:bottom w:val="single" w:sz="6" w:space="0" w:color="000000"/>
              <w:right w:val="single" w:sz="8" w:space="0" w:color="000000"/>
            </w:tcBorders>
            <w:vAlign w:val="center"/>
            <w:hideMark/>
          </w:tcPr>
          <w:p w14:paraId="285A26A4" w14:textId="77777777" w:rsidR="00A32F50" w:rsidRDefault="00A32F50" w:rsidP="00A32F50">
            <w:pPr>
              <w:pStyle w:val="biaogeleft"/>
              <w:wordWrap w:val="0"/>
            </w:pPr>
            <w:r>
              <w:rPr>
                <w:rFonts w:hint="eastAsia"/>
              </w:rPr>
              <w:t>合计</w:t>
            </w:r>
          </w:p>
        </w:tc>
        <w:tc>
          <w:tcPr>
            <w:tcW w:w="3900" w:type="dxa"/>
            <w:tcBorders>
              <w:top w:val="single" w:sz="8" w:space="0" w:color="000000"/>
              <w:left w:val="single" w:sz="8" w:space="0" w:color="000000"/>
              <w:bottom w:val="single" w:sz="6" w:space="0" w:color="000000"/>
              <w:right w:val="single" w:sz="8" w:space="0" w:color="000000"/>
            </w:tcBorders>
            <w:vAlign w:val="center"/>
            <w:hideMark/>
          </w:tcPr>
          <w:p w14:paraId="2589228B" w14:textId="77777777" w:rsidR="00A32F50" w:rsidRDefault="00A32F50" w:rsidP="00A32F50">
            <w:pPr>
              <w:pStyle w:val="biaogeright"/>
              <w:wordWrap w:val="0"/>
            </w:pPr>
            <w:r>
              <w:rPr>
                <w:rFonts w:hint="eastAsia"/>
              </w:rPr>
              <w:t>12,666,281.10</w:t>
            </w:r>
          </w:p>
        </w:tc>
      </w:tr>
    </w:tbl>
    <w:p w14:paraId="07F5DF30" w14:textId="77777777" w:rsidR="00A32F50" w:rsidRDefault="00A32F50" w:rsidP="0088687C">
      <w:pPr>
        <w:widowControl/>
        <w:spacing w:line="360" w:lineRule="auto"/>
        <w:ind w:left="17" w:firstLine="425"/>
        <w:jc w:val="left"/>
        <w:rPr>
          <w:rFonts w:ascii="宋体" w:hAnsi="宋体"/>
          <w:sz w:val="24"/>
        </w:rPr>
      </w:pPr>
    </w:p>
    <w:p w14:paraId="7E7FF95E" w14:textId="77777777" w:rsidR="00A32F50" w:rsidRDefault="00A32F50" w:rsidP="0088687C">
      <w:pPr>
        <w:widowControl/>
        <w:spacing w:line="360" w:lineRule="auto"/>
        <w:ind w:left="17" w:firstLine="425"/>
        <w:jc w:val="left"/>
        <w:rPr>
          <w:rFonts w:ascii="宋体" w:hAnsi="宋体"/>
          <w:sz w:val="24"/>
        </w:rPr>
      </w:pPr>
    </w:p>
    <w:p w14:paraId="3913FE2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（九）基金净值表现</w:t>
      </w:r>
    </w:p>
    <w:p w14:paraId="4F08D1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206CB1E0"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（1）富荣货币A（</w:t>
      </w:r>
      <w:r>
        <w:rPr>
          <w:rFonts w:ascii="宋体" w:hAnsi="宋体" w:hint="eastAsia"/>
          <w:color w:val="000000"/>
          <w:kern w:val="0"/>
          <w:sz w:val="24"/>
        </w:rPr>
        <w:t>基金代码：</w:t>
      </w:r>
      <w:r>
        <w:rPr>
          <w:rFonts w:ascii="宋体" w:hAnsi="宋体"/>
          <w:color w:val="000000"/>
          <w:kern w:val="0"/>
          <w:sz w:val="24"/>
        </w:rPr>
        <w:t>003467</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A75432" w14:paraId="27B96425" w14:textId="77777777" w:rsidTr="003A4A70">
        <w:trPr>
          <w:trHeight w:val="431"/>
        </w:trPr>
        <w:tc>
          <w:tcPr>
            <w:tcW w:w="1249" w:type="dxa"/>
            <w:vAlign w:val="center"/>
          </w:tcPr>
          <w:p w14:paraId="04F0A57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阶段</w:t>
            </w:r>
          </w:p>
        </w:tc>
        <w:tc>
          <w:tcPr>
            <w:tcW w:w="1249" w:type="dxa"/>
            <w:vAlign w:val="center"/>
          </w:tcPr>
          <w:p w14:paraId="1F0947F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421B6264"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2F9A79FC"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5446825A"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30038D50"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13510F01"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A75432" w14:paraId="1B03AAC4" w14:textId="77777777" w:rsidTr="003A4A70">
        <w:trPr>
          <w:trHeight w:val="105"/>
        </w:trPr>
        <w:tc>
          <w:tcPr>
            <w:tcW w:w="1249" w:type="dxa"/>
            <w:vAlign w:val="center"/>
          </w:tcPr>
          <w:p w14:paraId="0E439D8F"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530040AE"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0.0796%</w:t>
            </w:r>
          </w:p>
        </w:tc>
        <w:tc>
          <w:tcPr>
            <w:tcW w:w="1249" w:type="dxa"/>
            <w:vAlign w:val="center"/>
          </w:tcPr>
          <w:p w14:paraId="4BBE22DC"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c>
          <w:tcPr>
            <w:tcW w:w="1249" w:type="dxa"/>
            <w:vAlign w:val="center"/>
          </w:tcPr>
          <w:p w14:paraId="584C2EFB"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7DB343F2"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6142A947"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0.0738%</w:t>
            </w:r>
          </w:p>
        </w:tc>
        <w:tc>
          <w:tcPr>
            <w:tcW w:w="1249" w:type="dxa"/>
            <w:vAlign w:val="center"/>
          </w:tcPr>
          <w:p w14:paraId="5564E720" w14:textId="77777777" w:rsidR="005004CD" w:rsidRDefault="00A75432">
            <w:pPr>
              <w:autoSpaceDE w:val="0"/>
              <w:autoSpaceDN w:val="0"/>
              <w:adjustRightInd w:val="0"/>
              <w:jc w:val="center"/>
              <w:rPr>
                <w:rFonts w:ascii="宋体" w:hAnsi="宋体"/>
                <w:color w:val="000000"/>
                <w:kern w:val="0"/>
                <w:sz w:val="24"/>
              </w:rPr>
            </w:pPr>
            <w:r>
              <w:rPr>
                <w:rFonts w:ascii="宋体" w:hAnsi="宋体" w:hint="eastAsia"/>
                <w:color w:val="000000"/>
                <w:kern w:val="0"/>
                <w:sz w:val="24"/>
              </w:rPr>
              <w:t>0.0059%</w:t>
            </w:r>
          </w:p>
        </w:tc>
      </w:tr>
      <w:tr w:rsidR="00252682" w14:paraId="7D8BF1AB" w14:textId="77777777" w:rsidTr="003A4A70">
        <w:trPr>
          <w:trHeight w:val="105"/>
        </w:trPr>
        <w:tc>
          <w:tcPr>
            <w:tcW w:w="1249" w:type="dxa"/>
            <w:vAlign w:val="center"/>
          </w:tcPr>
          <w:p w14:paraId="76BAE982"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7B9D04ED" w14:textId="77777777" w:rsidR="00252682" w:rsidRDefault="00252682" w:rsidP="003A4A70">
            <w:pPr>
              <w:autoSpaceDE w:val="0"/>
              <w:autoSpaceDN w:val="0"/>
              <w:adjustRightInd w:val="0"/>
              <w:jc w:val="center"/>
              <w:rPr>
                <w:rFonts w:ascii="宋体" w:hAnsi="宋体"/>
                <w:color w:val="000000"/>
                <w:kern w:val="0"/>
                <w:sz w:val="24"/>
              </w:rPr>
            </w:pPr>
            <w:r>
              <w:rPr>
                <w:rFonts w:hint="eastAsia"/>
              </w:rPr>
              <w:t>3.6742%</w:t>
            </w:r>
          </w:p>
        </w:tc>
        <w:tc>
          <w:tcPr>
            <w:tcW w:w="1249" w:type="dxa"/>
            <w:vAlign w:val="center"/>
          </w:tcPr>
          <w:p w14:paraId="51D2FD18" w14:textId="77777777" w:rsidR="005004CD" w:rsidRDefault="00252682">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26446B72" w14:textId="77777777" w:rsidR="005004CD" w:rsidRDefault="00252682">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29DAB335" w14:textId="77777777" w:rsidR="005004CD" w:rsidRDefault="00252682">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4619B3F9" w14:textId="77777777" w:rsidR="005004CD" w:rsidRDefault="00252682">
            <w:pPr>
              <w:autoSpaceDE w:val="0"/>
              <w:autoSpaceDN w:val="0"/>
              <w:adjustRightInd w:val="0"/>
              <w:jc w:val="center"/>
              <w:rPr>
                <w:rFonts w:ascii="宋体" w:hAnsi="宋体"/>
                <w:color w:val="000000"/>
                <w:kern w:val="0"/>
                <w:sz w:val="24"/>
              </w:rPr>
            </w:pPr>
            <w:r>
              <w:rPr>
                <w:rFonts w:hint="eastAsia"/>
              </w:rPr>
              <w:t>3.3193%</w:t>
            </w:r>
          </w:p>
        </w:tc>
        <w:tc>
          <w:tcPr>
            <w:tcW w:w="1249" w:type="dxa"/>
            <w:vAlign w:val="center"/>
          </w:tcPr>
          <w:p w14:paraId="631A2861" w14:textId="77777777" w:rsidR="005004CD" w:rsidRDefault="00252682">
            <w:pPr>
              <w:autoSpaceDE w:val="0"/>
              <w:autoSpaceDN w:val="0"/>
              <w:adjustRightInd w:val="0"/>
              <w:jc w:val="center"/>
              <w:rPr>
                <w:rFonts w:ascii="宋体" w:hAnsi="宋体"/>
                <w:color w:val="000000"/>
                <w:kern w:val="0"/>
                <w:sz w:val="24"/>
              </w:rPr>
            </w:pPr>
            <w:r>
              <w:rPr>
                <w:rFonts w:hint="eastAsia"/>
              </w:rPr>
              <w:t>0.0035%</w:t>
            </w:r>
          </w:p>
        </w:tc>
      </w:tr>
      <w:tr w:rsidR="00252682" w14:paraId="3C6DDDD5" w14:textId="77777777" w:rsidTr="003A4A70">
        <w:trPr>
          <w:trHeight w:val="105"/>
        </w:trPr>
        <w:tc>
          <w:tcPr>
            <w:tcW w:w="1249" w:type="dxa"/>
            <w:vAlign w:val="center"/>
          </w:tcPr>
          <w:p w14:paraId="7CC3248E"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655E4A1A" w14:textId="77777777" w:rsidR="00252682" w:rsidRDefault="00252682" w:rsidP="003A4A70">
            <w:pPr>
              <w:autoSpaceDE w:val="0"/>
              <w:autoSpaceDN w:val="0"/>
              <w:adjustRightInd w:val="0"/>
              <w:jc w:val="center"/>
            </w:pPr>
            <w:r>
              <w:rPr>
                <w:rFonts w:hint="eastAsia"/>
              </w:rPr>
              <w:t>3.5249%</w:t>
            </w:r>
          </w:p>
        </w:tc>
        <w:tc>
          <w:tcPr>
            <w:tcW w:w="1249" w:type="dxa"/>
            <w:vAlign w:val="center"/>
          </w:tcPr>
          <w:p w14:paraId="6D4DC4A6" w14:textId="77777777" w:rsidR="00252682" w:rsidRDefault="00252682" w:rsidP="003A4A70">
            <w:pPr>
              <w:autoSpaceDE w:val="0"/>
              <w:autoSpaceDN w:val="0"/>
              <w:adjustRightInd w:val="0"/>
              <w:jc w:val="center"/>
            </w:pPr>
            <w:r>
              <w:rPr>
                <w:rFonts w:hint="eastAsia"/>
              </w:rPr>
              <w:t>0.0022%</w:t>
            </w:r>
          </w:p>
        </w:tc>
        <w:tc>
          <w:tcPr>
            <w:tcW w:w="1249" w:type="dxa"/>
            <w:vAlign w:val="center"/>
          </w:tcPr>
          <w:p w14:paraId="5B7E0226" w14:textId="77777777" w:rsidR="005004CD" w:rsidRDefault="00252682">
            <w:pPr>
              <w:autoSpaceDE w:val="0"/>
              <w:autoSpaceDN w:val="0"/>
              <w:adjustRightInd w:val="0"/>
              <w:jc w:val="center"/>
            </w:pPr>
            <w:r>
              <w:rPr>
                <w:rFonts w:hint="eastAsia"/>
              </w:rPr>
              <w:t>0.3549%</w:t>
            </w:r>
          </w:p>
        </w:tc>
        <w:tc>
          <w:tcPr>
            <w:tcW w:w="1249" w:type="dxa"/>
            <w:vAlign w:val="center"/>
          </w:tcPr>
          <w:p w14:paraId="0C2550BD" w14:textId="77777777" w:rsidR="005004CD" w:rsidRDefault="00252682">
            <w:pPr>
              <w:autoSpaceDE w:val="0"/>
              <w:autoSpaceDN w:val="0"/>
              <w:adjustRightInd w:val="0"/>
              <w:jc w:val="center"/>
            </w:pPr>
            <w:r>
              <w:rPr>
                <w:rFonts w:hint="eastAsia"/>
              </w:rPr>
              <w:t>0.0000%</w:t>
            </w:r>
          </w:p>
        </w:tc>
        <w:tc>
          <w:tcPr>
            <w:tcW w:w="1249" w:type="dxa"/>
            <w:vAlign w:val="center"/>
          </w:tcPr>
          <w:p w14:paraId="0E97097A" w14:textId="77777777" w:rsidR="005004CD" w:rsidRDefault="00252682">
            <w:pPr>
              <w:autoSpaceDE w:val="0"/>
              <w:autoSpaceDN w:val="0"/>
              <w:adjustRightInd w:val="0"/>
              <w:jc w:val="center"/>
            </w:pPr>
            <w:r>
              <w:rPr>
                <w:rFonts w:hint="eastAsia"/>
              </w:rPr>
              <w:t>3.1700%</w:t>
            </w:r>
          </w:p>
        </w:tc>
        <w:tc>
          <w:tcPr>
            <w:tcW w:w="1249" w:type="dxa"/>
            <w:vAlign w:val="center"/>
          </w:tcPr>
          <w:p w14:paraId="5353443E" w14:textId="77777777" w:rsidR="005004CD" w:rsidRDefault="00252682">
            <w:pPr>
              <w:autoSpaceDE w:val="0"/>
              <w:autoSpaceDN w:val="0"/>
              <w:adjustRightInd w:val="0"/>
              <w:jc w:val="center"/>
            </w:pPr>
            <w:r>
              <w:rPr>
                <w:rFonts w:hint="eastAsia"/>
              </w:rPr>
              <w:t>0.0022%</w:t>
            </w:r>
          </w:p>
        </w:tc>
      </w:tr>
      <w:tr w:rsidR="003A4A70" w14:paraId="79C74031" w14:textId="77777777" w:rsidTr="0022257E">
        <w:trPr>
          <w:trHeight w:val="105"/>
        </w:trPr>
        <w:tc>
          <w:tcPr>
            <w:tcW w:w="1249" w:type="dxa"/>
          </w:tcPr>
          <w:p w14:paraId="5DE41004"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w:t>
            </w:r>
            <w:r>
              <w:rPr>
                <w:rFonts w:ascii="宋体" w:hAnsi="宋体" w:hint="eastAsia"/>
                <w:color w:val="000000"/>
                <w:kern w:val="0"/>
                <w:sz w:val="24"/>
              </w:rPr>
              <w:lastRenderedPageBreak/>
              <w:t>03.31</w:t>
            </w:r>
          </w:p>
        </w:tc>
        <w:tc>
          <w:tcPr>
            <w:tcW w:w="1249" w:type="dxa"/>
            <w:vAlign w:val="center"/>
          </w:tcPr>
          <w:p w14:paraId="114748EA" w14:textId="77777777" w:rsidR="003A4A70" w:rsidRDefault="003A4A70" w:rsidP="003A4A70">
            <w:pPr>
              <w:autoSpaceDE w:val="0"/>
              <w:autoSpaceDN w:val="0"/>
              <w:adjustRightInd w:val="0"/>
              <w:jc w:val="center"/>
              <w:rPr>
                <w:rFonts w:ascii="宋体" w:hAnsi="宋体"/>
                <w:color w:val="000000"/>
                <w:kern w:val="0"/>
                <w:sz w:val="24"/>
              </w:rPr>
            </w:pPr>
            <w:r>
              <w:rPr>
                <w:rFonts w:hint="eastAsia"/>
              </w:rPr>
              <w:lastRenderedPageBreak/>
              <w:t>0.6620%</w:t>
            </w:r>
          </w:p>
        </w:tc>
        <w:tc>
          <w:tcPr>
            <w:tcW w:w="1249" w:type="dxa"/>
            <w:vAlign w:val="center"/>
          </w:tcPr>
          <w:p w14:paraId="76C4FC37" w14:textId="77777777" w:rsidR="005004CD" w:rsidRDefault="003A4A70">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7E0CC78F" w14:textId="77777777" w:rsidR="005004CD" w:rsidRDefault="003A4A70">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4B50A346" w14:textId="77777777" w:rsidR="005004CD" w:rsidRDefault="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6F9484AD" w14:textId="77777777" w:rsidR="005004CD" w:rsidRDefault="003A4A70">
            <w:pPr>
              <w:autoSpaceDE w:val="0"/>
              <w:autoSpaceDN w:val="0"/>
              <w:adjustRightInd w:val="0"/>
              <w:jc w:val="center"/>
              <w:rPr>
                <w:rFonts w:ascii="宋体" w:hAnsi="宋体"/>
                <w:color w:val="000000"/>
                <w:kern w:val="0"/>
                <w:sz w:val="24"/>
              </w:rPr>
            </w:pPr>
            <w:r>
              <w:rPr>
                <w:rFonts w:hint="eastAsia"/>
              </w:rPr>
              <w:t>0.5745%</w:t>
            </w:r>
          </w:p>
        </w:tc>
        <w:tc>
          <w:tcPr>
            <w:tcW w:w="1249" w:type="dxa"/>
            <w:vAlign w:val="center"/>
          </w:tcPr>
          <w:p w14:paraId="2FB2CF4B" w14:textId="77777777" w:rsidR="005004CD" w:rsidRDefault="003A4A70">
            <w:pPr>
              <w:autoSpaceDE w:val="0"/>
              <w:autoSpaceDN w:val="0"/>
              <w:adjustRightInd w:val="0"/>
              <w:jc w:val="center"/>
              <w:rPr>
                <w:rFonts w:ascii="宋体" w:hAnsi="宋体"/>
                <w:color w:val="000000"/>
                <w:kern w:val="0"/>
                <w:sz w:val="24"/>
              </w:rPr>
            </w:pPr>
            <w:r>
              <w:rPr>
                <w:rFonts w:hint="eastAsia"/>
              </w:rPr>
              <w:t>0.0034%</w:t>
            </w:r>
          </w:p>
        </w:tc>
      </w:tr>
      <w:tr w:rsidR="003A4A70" w:rsidRPr="00982ECD" w14:paraId="4BD30988" w14:textId="77777777" w:rsidTr="0022257E">
        <w:trPr>
          <w:trHeight w:val="105"/>
        </w:trPr>
        <w:tc>
          <w:tcPr>
            <w:tcW w:w="1249" w:type="dxa"/>
          </w:tcPr>
          <w:p w14:paraId="6BF690BC"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6D1B5CBA" w14:textId="77777777" w:rsidR="003A4A70" w:rsidRDefault="003A4A70" w:rsidP="003A4A70">
            <w:pPr>
              <w:autoSpaceDE w:val="0"/>
              <w:autoSpaceDN w:val="0"/>
              <w:adjustRightInd w:val="0"/>
              <w:jc w:val="center"/>
            </w:pPr>
            <w:r>
              <w:rPr>
                <w:rFonts w:hint="eastAsia"/>
              </w:rPr>
              <w:t>8.1003</w:t>
            </w:r>
            <w:r w:rsidRPr="00EB402F">
              <w:t>%</w:t>
            </w:r>
          </w:p>
        </w:tc>
        <w:tc>
          <w:tcPr>
            <w:tcW w:w="1249" w:type="dxa"/>
            <w:vAlign w:val="center"/>
          </w:tcPr>
          <w:p w14:paraId="4DC14315" w14:textId="77777777" w:rsidR="003A4A70" w:rsidRDefault="003A4A70" w:rsidP="003A4A70">
            <w:pPr>
              <w:autoSpaceDE w:val="0"/>
              <w:autoSpaceDN w:val="0"/>
              <w:adjustRightInd w:val="0"/>
              <w:jc w:val="center"/>
            </w:pPr>
            <w:r w:rsidRPr="00EB402F">
              <w:t>0.003</w:t>
            </w:r>
            <w:r>
              <w:rPr>
                <w:rFonts w:hint="eastAsia"/>
              </w:rPr>
              <w:t>2</w:t>
            </w:r>
            <w:r w:rsidRPr="00EB402F">
              <w:t>%</w:t>
            </w:r>
          </w:p>
        </w:tc>
        <w:tc>
          <w:tcPr>
            <w:tcW w:w="1249" w:type="dxa"/>
            <w:vAlign w:val="center"/>
          </w:tcPr>
          <w:p w14:paraId="0A374BAF" w14:textId="77777777" w:rsidR="003A4A70" w:rsidRDefault="003A4A70" w:rsidP="003A4A70">
            <w:pPr>
              <w:autoSpaceDE w:val="0"/>
              <w:autoSpaceDN w:val="0"/>
              <w:adjustRightInd w:val="0"/>
              <w:jc w:val="center"/>
            </w:pPr>
            <w:r w:rsidRPr="00EB402F">
              <w:t>0.</w:t>
            </w:r>
            <w:r>
              <w:rPr>
                <w:rFonts w:hint="eastAsia"/>
              </w:rPr>
              <w:t>8031</w:t>
            </w:r>
            <w:r w:rsidRPr="00EB402F">
              <w:t>%</w:t>
            </w:r>
          </w:p>
        </w:tc>
        <w:tc>
          <w:tcPr>
            <w:tcW w:w="1249" w:type="dxa"/>
            <w:vAlign w:val="center"/>
          </w:tcPr>
          <w:p w14:paraId="065F1DE4" w14:textId="77777777" w:rsidR="005004CD" w:rsidRDefault="003A4A70">
            <w:pPr>
              <w:autoSpaceDE w:val="0"/>
              <w:autoSpaceDN w:val="0"/>
              <w:adjustRightInd w:val="0"/>
              <w:jc w:val="center"/>
            </w:pPr>
            <w:r w:rsidRPr="00EB402F">
              <w:t>0.0000%</w:t>
            </w:r>
          </w:p>
        </w:tc>
        <w:tc>
          <w:tcPr>
            <w:tcW w:w="1249" w:type="dxa"/>
            <w:vAlign w:val="center"/>
          </w:tcPr>
          <w:p w14:paraId="0A0A78D7" w14:textId="77777777" w:rsidR="005004CD" w:rsidRDefault="003A4A70">
            <w:pPr>
              <w:autoSpaceDE w:val="0"/>
              <w:autoSpaceDN w:val="0"/>
              <w:adjustRightInd w:val="0"/>
              <w:jc w:val="center"/>
            </w:pPr>
            <w:r>
              <w:rPr>
                <w:rFonts w:hint="eastAsia"/>
              </w:rPr>
              <w:t>7.2972</w:t>
            </w:r>
            <w:r w:rsidRPr="00EB402F">
              <w:t>%</w:t>
            </w:r>
          </w:p>
        </w:tc>
        <w:tc>
          <w:tcPr>
            <w:tcW w:w="1249" w:type="dxa"/>
            <w:vAlign w:val="center"/>
          </w:tcPr>
          <w:p w14:paraId="4ECA8EBF" w14:textId="77777777" w:rsidR="005004CD" w:rsidRDefault="003A4A70">
            <w:pPr>
              <w:autoSpaceDE w:val="0"/>
              <w:autoSpaceDN w:val="0"/>
              <w:adjustRightInd w:val="0"/>
              <w:jc w:val="center"/>
            </w:pPr>
            <w:r w:rsidRPr="00EB402F">
              <w:t>0.003</w:t>
            </w:r>
            <w:r>
              <w:rPr>
                <w:rFonts w:hint="eastAsia"/>
              </w:rPr>
              <w:t>2</w:t>
            </w:r>
            <w:r w:rsidRPr="00EB402F">
              <w:t>%</w:t>
            </w:r>
          </w:p>
        </w:tc>
      </w:tr>
    </w:tbl>
    <w:p w14:paraId="7A217F91" w14:textId="77777777" w:rsidR="00A75432" w:rsidRDefault="00A75432" w:rsidP="0088687C">
      <w:pPr>
        <w:spacing w:line="360" w:lineRule="auto"/>
        <w:ind w:firstLineChars="177" w:firstLine="425"/>
        <w:rPr>
          <w:rFonts w:ascii="宋体" w:hAnsi="宋体"/>
          <w:bCs/>
          <w:sz w:val="24"/>
        </w:rPr>
      </w:pPr>
    </w:p>
    <w:p w14:paraId="7227E3B8" w14:textId="77777777" w:rsidR="003A4A70" w:rsidRDefault="003A4A70" w:rsidP="0088687C">
      <w:pPr>
        <w:spacing w:line="360" w:lineRule="auto"/>
        <w:ind w:firstLineChars="177" w:firstLine="425"/>
        <w:rPr>
          <w:rFonts w:ascii="宋体" w:hAnsi="宋体"/>
          <w:bCs/>
          <w:sz w:val="24"/>
        </w:rPr>
      </w:pPr>
    </w:p>
    <w:p w14:paraId="7F580865" w14:textId="77777777" w:rsidR="003A4A70" w:rsidRDefault="003A4A70" w:rsidP="0088687C">
      <w:pPr>
        <w:spacing w:line="360" w:lineRule="auto"/>
        <w:ind w:firstLineChars="177" w:firstLine="425"/>
        <w:rPr>
          <w:rFonts w:ascii="宋体" w:hAnsi="宋体"/>
          <w:bCs/>
          <w:sz w:val="24"/>
        </w:rPr>
      </w:pPr>
    </w:p>
    <w:p w14:paraId="6F4702F3" w14:textId="77777777" w:rsidR="00A75432" w:rsidRDefault="00A75432" w:rsidP="0088687C">
      <w:pPr>
        <w:spacing w:line="360" w:lineRule="auto"/>
        <w:ind w:firstLineChars="177" w:firstLine="425"/>
        <w:rPr>
          <w:rFonts w:ascii="宋体" w:hAnsi="宋体"/>
          <w:bCs/>
          <w:sz w:val="24"/>
        </w:rPr>
      </w:pPr>
    </w:p>
    <w:p w14:paraId="06404058" w14:textId="77777777" w:rsidR="0088687C" w:rsidRDefault="0088687C" w:rsidP="0088687C">
      <w:pPr>
        <w:spacing w:line="360" w:lineRule="auto"/>
        <w:ind w:firstLineChars="177" w:firstLine="425"/>
        <w:rPr>
          <w:rFonts w:ascii="宋体" w:hAnsi="宋体"/>
          <w:bCs/>
          <w:sz w:val="24"/>
        </w:rPr>
      </w:pPr>
    </w:p>
    <w:p w14:paraId="69F128FD" w14:textId="77777777" w:rsidR="0088687C" w:rsidRDefault="0088687C" w:rsidP="0088687C">
      <w:pPr>
        <w:spacing w:line="360" w:lineRule="auto"/>
        <w:ind w:firstLineChars="177" w:firstLine="425"/>
        <w:rPr>
          <w:rFonts w:ascii="宋体" w:hAnsi="宋体"/>
          <w:bCs/>
          <w:sz w:val="24"/>
        </w:rPr>
      </w:pPr>
      <w:r>
        <w:rPr>
          <w:rFonts w:ascii="宋体" w:hAnsi="宋体" w:hint="eastAsia"/>
          <w:bCs/>
          <w:sz w:val="24"/>
        </w:rPr>
        <w:t>（2）富荣货币B（</w:t>
      </w:r>
      <w:r>
        <w:rPr>
          <w:rFonts w:ascii="宋体" w:hAnsi="宋体" w:hint="eastAsia"/>
          <w:color w:val="000000"/>
          <w:kern w:val="0"/>
          <w:sz w:val="24"/>
        </w:rPr>
        <w:t>基金代码：</w:t>
      </w:r>
      <w:r>
        <w:rPr>
          <w:rFonts w:ascii="宋体" w:hAnsi="宋体"/>
          <w:color w:val="000000"/>
          <w:kern w:val="0"/>
          <w:sz w:val="24"/>
        </w:rPr>
        <w:t>00346</w:t>
      </w:r>
      <w:r>
        <w:rPr>
          <w:rFonts w:ascii="宋体" w:hAnsi="宋体" w:hint="eastAsia"/>
          <w:color w:val="000000"/>
          <w:kern w:val="0"/>
          <w:sz w:val="24"/>
        </w:rPr>
        <w:t>8</w:t>
      </w:r>
      <w:r>
        <w:rPr>
          <w:rFonts w:ascii="宋体" w:hAnsi="宋体" w:hint="eastAsia"/>
          <w:bCs/>
          <w:sz w:val="24"/>
        </w:rPr>
        <w:t>）</w:t>
      </w:r>
    </w:p>
    <w:tbl>
      <w:tblPr>
        <w:tblStyle w:val="af8"/>
        <w:tblW w:w="8743" w:type="dxa"/>
        <w:tblLayout w:type="fixed"/>
        <w:tblLook w:val="04A0" w:firstRow="1" w:lastRow="0" w:firstColumn="1" w:lastColumn="0" w:noHBand="0" w:noVBand="1"/>
      </w:tblPr>
      <w:tblGrid>
        <w:gridCol w:w="1249"/>
        <w:gridCol w:w="1249"/>
        <w:gridCol w:w="1249"/>
        <w:gridCol w:w="1249"/>
        <w:gridCol w:w="1249"/>
        <w:gridCol w:w="1249"/>
        <w:gridCol w:w="1249"/>
      </w:tblGrid>
      <w:tr w:rsidR="00A75432" w14:paraId="30198C08" w14:textId="77777777" w:rsidTr="003A4A70">
        <w:trPr>
          <w:trHeight w:val="431"/>
        </w:trPr>
        <w:tc>
          <w:tcPr>
            <w:tcW w:w="1249" w:type="dxa"/>
            <w:vAlign w:val="center"/>
          </w:tcPr>
          <w:p w14:paraId="63BE5484" w14:textId="77777777" w:rsidR="00A75432" w:rsidRDefault="00A75432" w:rsidP="003A4A70">
            <w:pPr>
              <w:autoSpaceDE w:val="0"/>
              <w:autoSpaceDN w:val="0"/>
              <w:adjustRightInd w:val="0"/>
              <w:jc w:val="center"/>
              <w:rPr>
                <w:rFonts w:ascii="仿宋_GB2312" w:eastAsia="仿宋_GB2312" w:cs="仿宋_GB2312"/>
                <w:color w:val="000000"/>
                <w:kern w:val="0"/>
                <w:szCs w:val="21"/>
              </w:rPr>
            </w:pPr>
            <w:r>
              <w:rPr>
                <w:rFonts w:ascii="宋体" w:hAnsi="宋体" w:hint="eastAsia"/>
                <w:sz w:val="24"/>
              </w:rPr>
              <w:t>阶段</w:t>
            </w:r>
          </w:p>
        </w:tc>
        <w:tc>
          <w:tcPr>
            <w:tcW w:w="1249" w:type="dxa"/>
            <w:vAlign w:val="center"/>
          </w:tcPr>
          <w:p w14:paraId="17BD274B"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净值收益率①</w:t>
            </w:r>
          </w:p>
        </w:tc>
        <w:tc>
          <w:tcPr>
            <w:tcW w:w="1249" w:type="dxa"/>
            <w:vAlign w:val="center"/>
          </w:tcPr>
          <w:p w14:paraId="4E992BD5"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净值收益率标准差②</w:t>
            </w:r>
          </w:p>
        </w:tc>
        <w:tc>
          <w:tcPr>
            <w:tcW w:w="1249" w:type="dxa"/>
            <w:vAlign w:val="center"/>
          </w:tcPr>
          <w:p w14:paraId="65335E12"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业绩比较基准收益率③</w:t>
            </w:r>
          </w:p>
        </w:tc>
        <w:tc>
          <w:tcPr>
            <w:tcW w:w="1249" w:type="dxa"/>
            <w:vAlign w:val="center"/>
          </w:tcPr>
          <w:p w14:paraId="7EACD49E"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业绩比较基准收益率标准差④</w:t>
            </w:r>
          </w:p>
        </w:tc>
        <w:tc>
          <w:tcPr>
            <w:tcW w:w="1249" w:type="dxa"/>
            <w:vAlign w:val="center"/>
          </w:tcPr>
          <w:p w14:paraId="4765A9CF"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①</w:t>
            </w:r>
            <w:r>
              <w:rPr>
                <w:rFonts w:ascii="宋体" w:hAnsi="宋体"/>
                <w:color w:val="000000"/>
                <w:kern w:val="0"/>
                <w:sz w:val="24"/>
              </w:rPr>
              <w:t>-</w:t>
            </w:r>
            <w:r>
              <w:rPr>
                <w:rFonts w:ascii="宋体" w:hAnsi="宋体" w:hint="eastAsia"/>
                <w:color w:val="000000"/>
                <w:kern w:val="0"/>
                <w:sz w:val="24"/>
              </w:rPr>
              <w:t>③</w:t>
            </w:r>
          </w:p>
        </w:tc>
        <w:tc>
          <w:tcPr>
            <w:tcW w:w="1249" w:type="dxa"/>
            <w:vAlign w:val="center"/>
          </w:tcPr>
          <w:p w14:paraId="22304025" w14:textId="77777777" w:rsidR="00A75432" w:rsidRDefault="00A7543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②</w:t>
            </w:r>
            <w:r>
              <w:rPr>
                <w:rFonts w:ascii="宋体" w:hAnsi="宋体"/>
                <w:color w:val="000000"/>
                <w:kern w:val="0"/>
                <w:sz w:val="24"/>
              </w:rPr>
              <w:t>-</w:t>
            </w:r>
            <w:r>
              <w:rPr>
                <w:rFonts w:ascii="宋体" w:hAnsi="宋体" w:hint="eastAsia"/>
                <w:color w:val="000000"/>
                <w:kern w:val="0"/>
                <w:sz w:val="24"/>
              </w:rPr>
              <w:t>④</w:t>
            </w:r>
          </w:p>
        </w:tc>
      </w:tr>
      <w:tr w:rsidR="003A4A70" w14:paraId="6D5DF4E9" w14:textId="77777777" w:rsidTr="003A4A70">
        <w:trPr>
          <w:trHeight w:val="105"/>
        </w:trPr>
        <w:tc>
          <w:tcPr>
            <w:tcW w:w="1249" w:type="dxa"/>
            <w:vAlign w:val="center"/>
          </w:tcPr>
          <w:p w14:paraId="5F1DD869"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2016.12.26~2016.12.31</w:t>
            </w:r>
          </w:p>
        </w:tc>
        <w:tc>
          <w:tcPr>
            <w:tcW w:w="1249" w:type="dxa"/>
            <w:vAlign w:val="center"/>
          </w:tcPr>
          <w:p w14:paraId="17041541"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0.0829%</w:t>
            </w:r>
          </w:p>
        </w:tc>
        <w:tc>
          <w:tcPr>
            <w:tcW w:w="1249" w:type="dxa"/>
            <w:vAlign w:val="center"/>
          </w:tcPr>
          <w:p w14:paraId="12B021AD"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c>
          <w:tcPr>
            <w:tcW w:w="1249" w:type="dxa"/>
            <w:vAlign w:val="center"/>
          </w:tcPr>
          <w:p w14:paraId="0A08B322"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0.0058%</w:t>
            </w:r>
          </w:p>
        </w:tc>
        <w:tc>
          <w:tcPr>
            <w:tcW w:w="1249" w:type="dxa"/>
            <w:vAlign w:val="center"/>
          </w:tcPr>
          <w:p w14:paraId="0ACCC532"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0.0000%</w:t>
            </w:r>
          </w:p>
        </w:tc>
        <w:tc>
          <w:tcPr>
            <w:tcW w:w="1249" w:type="dxa"/>
            <w:vAlign w:val="center"/>
          </w:tcPr>
          <w:p w14:paraId="6CB5B839"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0.0771%</w:t>
            </w:r>
          </w:p>
        </w:tc>
        <w:tc>
          <w:tcPr>
            <w:tcW w:w="1249" w:type="dxa"/>
            <w:vAlign w:val="center"/>
          </w:tcPr>
          <w:p w14:paraId="1269513B"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0.0057%</w:t>
            </w:r>
          </w:p>
        </w:tc>
      </w:tr>
      <w:tr w:rsidR="00252682" w14:paraId="0DF9BE4E" w14:textId="77777777" w:rsidTr="003A4A70">
        <w:trPr>
          <w:trHeight w:val="105"/>
        </w:trPr>
        <w:tc>
          <w:tcPr>
            <w:tcW w:w="1249" w:type="dxa"/>
            <w:vAlign w:val="center"/>
          </w:tcPr>
          <w:p w14:paraId="48897C7D"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2017.01.01~2017.12.31</w:t>
            </w:r>
          </w:p>
        </w:tc>
        <w:tc>
          <w:tcPr>
            <w:tcW w:w="1249" w:type="dxa"/>
            <w:vAlign w:val="center"/>
          </w:tcPr>
          <w:p w14:paraId="5D79AC56" w14:textId="77777777" w:rsidR="00252682" w:rsidRDefault="00252682" w:rsidP="003A4A70">
            <w:pPr>
              <w:autoSpaceDE w:val="0"/>
              <w:autoSpaceDN w:val="0"/>
              <w:adjustRightInd w:val="0"/>
              <w:jc w:val="center"/>
              <w:rPr>
                <w:rFonts w:ascii="宋体" w:hAnsi="宋体"/>
                <w:color w:val="000000"/>
                <w:kern w:val="0"/>
                <w:sz w:val="24"/>
              </w:rPr>
            </w:pPr>
            <w:r>
              <w:rPr>
                <w:rFonts w:hint="eastAsia"/>
              </w:rPr>
              <w:t>3.9247%</w:t>
            </w:r>
          </w:p>
        </w:tc>
        <w:tc>
          <w:tcPr>
            <w:tcW w:w="1249" w:type="dxa"/>
            <w:vAlign w:val="center"/>
          </w:tcPr>
          <w:p w14:paraId="1FD552C9"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0.0035%</w:t>
            </w:r>
          </w:p>
        </w:tc>
        <w:tc>
          <w:tcPr>
            <w:tcW w:w="1249" w:type="dxa"/>
            <w:vAlign w:val="center"/>
          </w:tcPr>
          <w:p w14:paraId="55D59FF1" w14:textId="77777777" w:rsidR="00252682" w:rsidRDefault="00252682" w:rsidP="003A4A70">
            <w:pPr>
              <w:autoSpaceDE w:val="0"/>
              <w:autoSpaceDN w:val="0"/>
              <w:adjustRightInd w:val="0"/>
              <w:jc w:val="center"/>
              <w:rPr>
                <w:rFonts w:ascii="宋体" w:hAnsi="宋体"/>
                <w:color w:val="000000"/>
                <w:kern w:val="0"/>
                <w:sz w:val="24"/>
              </w:rPr>
            </w:pPr>
            <w:r>
              <w:rPr>
                <w:rFonts w:hint="eastAsia"/>
              </w:rPr>
              <w:t>0.3549%</w:t>
            </w:r>
          </w:p>
        </w:tc>
        <w:tc>
          <w:tcPr>
            <w:tcW w:w="1249" w:type="dxa"/>
            <w:vAlign w:val="center"/>
          </w:tcPr>
          <w:p w14:paraId="7F65BFDB"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7D7E368E" w14:textId="77777777" w:rsidR="00252682" w:rsidRDefault="00252682" w:rsidP="003A4A70">
            <w:pPr>
              <w:autoSpaceDE w:val="0"/>
              <w:autoSpaceDN w:val="0"/>
              <w:adjustRightInd w:val="0"/>
              <w:jc w:val="center"/>
              <w:rPr>
                <w:rFonts w:ascii="宋体" w:hAnsi="宋体"/>
                <w:color w:val="000000"/>
                <w:kern w:val="0"/>
                <w:sz w:val="24"/>
              </w:rPr>
            </w:pPr>
            <w:r>
              <w:rPr>
                <w:rFonts w:hint="eastAsia"/>
              </w:rPr>
              <w:t>3.5698%</w:t>
            </w:r>
          </w:p>
        </w:tc>
        <w:tc>
          <w:tcPr>
            <w:tcW w:w="1249" w:type="dxa"/>
            <w:vAlign w:val="center"/>
          </w:tcPr>
          <w:p w14:paraId="6DFFEB7B" w14:textId="77777777" w:rsidR="00252682" w:rsidRDefault="00252682" w:rsidP="003A4A70">
            <w:pPr>
              <w:autoSpaceDE w:val="0"/>
              <w:autoSpaceDN w:val="0"/>
              <w:adjustRightInd w:val="0"/>
              <w:jc w:val="center"/>
              <w:rPr>
                <w:rFonts w:ascii="宋体" w:hAnsi="宋体"/>
                <w:color w:val="000000"/>
                <w:kern w:val="0"/>
                <w:sz w:val="24"/>
              </w:rPr>
            </w:pPr>
            <w:r>
              <w:rPr>
                <w:rFonts w:hint="eastAsia"/>
              </w:rPr>
              <w:t>0.0035%</w:t>
            </w:r>
          </w:p>
        </w:tc>
      </w:tr>
      <w:tr w:rsidR="00252682" w14:paraId="0E5CBF2A" w14:textId="77777777" w:rsidTr="003A4A70">
        <w:trPr>
          <w:trHeight w:val="105"/>
        </w:trPr>
        <w:tc>
          <w:tcPr>
            <w:tcW w:w="1249" w:type="dxa"/>
            <w:vAlign w:val="center"/>
          </w:tcPr>
          <w:p w14:paraId="41066A1D" w14:textId="77777777" w:rsidR="00252682" w:rsidRDefault="00252682"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2018.01.01~2018.12.31</w:t>
            </w:r>
          </w:p>
        </w:tc>
        <w:tc>
          <w:tcPr>
            <w:tcW w:w="1249" w:type="dxa"/>
            <w:vAlign w:val="center"/>
          </w:tcPr>
          <w:p w14:paraId="2E21A1B8" w14:textId="77777777" w:rsidR="00252682" w:rsidRDefault="00252682" w:rsidP="003A4A70">
            <w:pPr>
              <w:autoSpaceDE w:val="0"/>
              <w:autoSpaceDN w:val="0"/>
              <w:adjustRightInd w:val="0"/>
              <w:jc w:val="center"/>
            </w:pPr>
            <w:r>
              <w:rPr>
                <w:rFonts w:hint="eastAsia"/>
              </w:rPr>
              <w:t>3.7747%</w:t>
            </w:r>
          </w:p>
        </w:tc>
        <w:tc>
          <w:tcPr>
            <w:tcW w:w="1249" w:type="dxa"/>
            <w:vAlign w:val="center"/>
          </w:tcPr>
          <w:p w14:paraId="5B45D8BF" w14:textId="77777777" w:rsidR="00252682" w:rsidRDefault="00252682" w:rsidP="003A4A70">
            <w:pPr>
              <w:autoSpaceDE w:val="0"/>
              <w:autoSpaceDN w:val="0"/>
              <w:adjustRightInd w:val="0"/>
              <w:jc w:val="center"/>
            </w:pPr>
            <w:r>
              <w:rPr>
                <w:rFonts w:hint="eastAsia"/>
              </w:rPr>
              <w:t>0.0022%</w:t>
            </w:r>
          </w:p>
        </w:tc>
        <w:tc>
          <w:tcPr>
            <w:tcW w:w="1249" w:type="dxa"/>
            <w:vAlign w:val="center"/>
          </w:tcPr>
          <w:p w14:paraId="21990D7A" w14:textId="77777777" w:rsidR="00252682" w:rsidRDefault="00252682" w:rsidP="003A4A70">
            <w:pPr>
              <w:autoSpaceDE w:val="0"/>
              <w:autoSpaceDN w:val="0"/>
              <w:adjustRightInd w:val="0"/>
              <w:jc w:val="center"/>
            </w:pPr>
            <w:r>
              <w:rPr>
                <w:rFonts w:hint="eastAsia"/>
              </w:rPr>
              <w:t>0.3549%</w:t>
            </w:r>
          </w:p>
        </w:tc>
        <w:tc>
          <w:tcPr>
            <w:tcW w:w="1249" w:type="dxa"/>
            <w:vAlign w:val="center"/>
          </w:tcPr>
          <w:p w14:paraId="07A6BEFD" w14:textId="77777777" w:rsidR="00252682" w:rsidRDefault="00252682" w:rsidP="003A4A70">
            <w:pPr>
              <w:autoSpaceDE w:val="0"/>
              <w:autoSpaceDN w:val="0"/>
              <w:adjustRightInd w:val="0"/>
              <w:jc w:val="center"/>
            </w:pPr>
            <w:r>
              <w:rPr>
                <w:rFonts w:hint="eastAsia"/>
              </w:rPr>
              <w:t>0.0000%</w:t>
            </w:r>
          </w:p>
        </w:tc>
        <w:tc>
          <w:tcPr>
            <w:tcW w:w="1249" w:type="dxa"/>
            <w:vAlign w:val="center"/>
          </w:tcPr>
          <w:p w14:paraId="22F9B632" w14:textId="77777777" w:rsidR="00252682" w:rsidRDefault="00252682" w:rsidP="003A4A70">
            <w:pPr>
              <w:autoSpaceDE w:val="0"/>
              <w:autoSpaceDN w:val="0"/>
              <w:adjustRightInd w:val="0"/>
              <w:jc w:val="center"/>
            </w:pPr>
            <w:r>
              <w:rPr>
                <w:rFonts w:hint="eastAsia"/>
              </w:rPr>
              <w:t>3.4198%</w:t>
            </w:r>
          </w:p>
        </w:tc>
        <w:tc>
          <w:tcPr>
            <w:tcW w:w="1249" w:type="dxa"/>
            <w:vAlign w:val="center"/>
          </w:tcPr>
          <w:p w14:paraId="60CF5E2D" w14:textId="77777777" w:rsidR="00252682" w:rsidRPr="00982ECD" w:rsidRDefault="00252682" w:rsidP="003A4A70">
            <w:pPr>
              <w:autoSpaceDE w:val="0"/>
              <w:autoSpaceDN w:val="0"/>
              <w:adjustRightInd w:val="0"/>
              <w:jc w:val="center"/>
            </w:pPr>
            <w:r>
              <w:rPr>
                <w:rFonts w:hint="eastAsia"/>
              </w:rPr>
              <w:t>0.0022%</w:t>
            </w:r>
          </w:p>
        </w:tc>
      </w:tr>
      <w:tr w:rsidR="003A4A70" w14:paraId="623E8BFB" w14:textId="77777777" w:rsidTr="0022257E">
        <w:trPr>
          <w:trHeight w:val="105"/>
        </w:trPr>
        <w:tc>
          <w:tcPr>
            <w:tcW w:w="1249" w:type="dxa"/>
          </w:tcPr>
          <w:p w14:paraId="171E676E"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2019.01.01~2019.03.31</w:t>
            </w:r>
          </w:p>
        </w:tc>
        <w:tc>
          <w:tcPr>
            <w:tcW w:w="1249" w:type="dxa"/>
            <w:vAlign w:val="center"/>
          </w:tcPr>
          <w:p w14:paraId="0472B125" w14:textId="77777777" w:rsidR="003A4A70" w:rsidRDefault="003A4A70" w:rsidP="003A4A70">
            <w:pPr>
              <w:autoSpaceDE w:val="0"/>
              <w:autoSpaceDN w:val="0"/>
              <w:adjustRightInd w:val="0"/>
              <w:jc w:val="center"/>
              <w:rPr>
                <w:rFonts w:ascii="宋体" w:hAnsi="宋体"/>
                <w:color w:val="000000"/>
                <w:kern w:val="0"/>
                <w:sz w:val="24"/>
              </w:rPr>
            </w:pPr>
            <w:r>
              <w:rPr>
                <w:rFonts w:hint="eastAsia"/>
              </w:rPr>
              <w:t>0.7227%</w:t>
            </w:r>
          </w:p>
        </w:tc>
        <w:tc>
          <w:tcPr>
            <w:tcW w:w="1249" w:type="dxa"/>
            <w:vAlign w:val="center"/>
          </w:tcPr>
          <w:p w14:paraId="3F02852D" w14:textId="77777777" w:rsidR="003A4A70" w:rsidRDefault="003A4A70" w:rsidP="003A4A70">
            <w:pPr>
              <w:autoSpaceDE w:val="0"/>
              <w:autoSpaceDN w:val="0"/>
              <w:adjustRightInd w:val="0"/>
              <w:jc w:val="center"/>
              <w:rPr>
                <w:rFonts w:ascii="宋体" w:hAnsi="宋体"/>
                <w:color w:val="000000"/>
                <w:kern w:val="0"/>
                <w:sz w:val="24"/>
              </w:rPr>
            </w:pPr>
            <w:r>
              <w:rPr>
                <w:rFonts w:hint="eastAsia"/>
              </w:rPr>
              <w:t>0.0034%</w:t>
            </w:r>
          </w:p>
        </w:tc>
        <w:tc>
          <w:tcPr>
            <w:tcW w:w="1249" w:type="dxa"/>
            <w:vAlign w:val="center"/>
          </w:tcPr>
          <w:p w14:paraId="5EBBD3AE" w14:textId="77777777" w:rsidR="005004CD" w:rsidRDefault="003A4A70">
            <w:pPr>
              <w:autoSpaceDE w:val="0"/>
              <w:autoSpaceDN w:val="0"/>
              <w:adjustRightInd w:val="0"/>
              <w:jc w:val="center"/>
              <w:rPr>
                <w:rFonts w:ascii="宋体" w:hAnsi="宋体"/>
                <w:color w:val="000000"/>
                <w:kern w:val="0"/>
                <w:sz w:val="24"/>
              </w:rPr>
            </w:pPr>
            <w:r>
              <w:rPr>
                <w:rFonts w:hint="eastAsia"/>
              </w:rPr>
              <w:t>0.0875%</w:t>
            </w:r>
          </w:p>
        </w:tc>
        <w:tc>
          <w:tcPr>
            <w:tcW w:w="1249" w:type="dxa"/>
            <w:vAlign w:val="center"/>
          </w:tcPr>
          <w:p w14:paraId="66B4AD39" w14:textId="77777777" w:rsidR="005004CD" w:rsidRDefault="003A4A70">
            <w:pPr>
              <w:autoSpaceDE w:val="0"/>
              <w:autoSpaceDN w:val="0"/>
              <w:adjustRightInd w:val="0"/>
              <w:jc w:val="center"/>
              <w:rPr>
                <w:rFonts w:ascii="宋体" w:hAnsi="宋体"/>
                <w:color w:val="000000"/>
                <w:kern w:val="0"/>
                <w:sz w:val="24"/>
              </w:rPr>
            </w:pPr>
            <w:r>
              <w:rPr>
                <w:rFonts w:hint="eastAsia"/>
              </w:rPr>
              <w:t>0.0000%</w:t>
            </w:r>
          </w:p>
        </w:tc>
        <w:tc>
          <w:tcPr>
            <w:tcW w:w="1249" w:type="dxa"/>
            <w:vAlign w:val="center"/>
          </w:tcPr>
          <w:p w14:paraId="3C665CF1" w14:textId="77777777" w:rsidR="005004CD" w:rsidRDefault="003A4A70">
            <w:pPr>
              <w:autoSpaceDE w:val="0"/>
              <w:autoSpaceDN w:val="0"/>
              <w:adjustRightInd w:val="0"/>
              <w:jc w:val="center"/>
              <w:rPr>
                <w:rFonts w:ascii="宋体" w:hAnsi="宋体"/>
                <w:color w:val="000000"/>
                <w:kern w:val="0"/>
                <w:sz w:val="24"/>
              </w:rPr>
            </w:pPr>
            <w:r>
              <w:rPr>
                <w:rFonts w:hint="eastAsia"/>
              </w:rPr>
              <w:t>0.6352%</w:t>
            </w:r>
          </w:p>
        </w:tc>
        <w:tc>
          <w:tcPr>
            <w:tcW w:w="1249" w:type="dxa"/>
            <w:vAlign w:val="center"/>
          </w:tcPr>
          <w:p w14:paraId="3E085F58" w14:textId="77777777" w:rsidR="005004CD" w:rsidRDefault="003A4A70">
            <w:pPr>
              <w:autoSpaceDE w:val="0"/>
              <w:autoSpaceDN w:val="0"/>
              <w:adjustRightInd w:val="0"/>
              <w:jc w:val="center"/>
              <w:rPr>
                <w:rFonts w:ascii="宋体" w:hAnsi="宋体"/>
                <w:color w:val="000000"/>
                <w:kern w:val="0"/>
                <w:sz w:val="24"/>
              </w:rPr>
            </w:pPr>
            <w:r>
              <w:rPr>
                <w:rFonts w:hint="eastAsia"/>
              </w:rPr>
              <w:t>0.0034%</w:t>
            </w:r>
          </w:p>
        </w:tc>
      </w:tr>
      <w:tr w:rsidR="003A4A70" w:rsidRPr="00982ECD" w14:paraId="6BAD4914" w14:textId="77777777" w:rsidTr="0022257E">
        <w:trPr>
          <w:trHeight w:val="105"/>
        </w:trPr>
        <w:tc>
          <w:tcPr>
            <w:tcW w:w="1249" w:type="dxa"/>
          </w:tcPr>
          <w:p w14:paraId="148D144C" w14:textId="77777777" w:rsidR="003A4A70" w:rsidRDefault="003A4A70" w:rsidP="003A4A70">
            <w:pPr>
              <w:autoSpaceDE w:val="0"/>
              <w:autoSpaceDN w:val="0"/>
              <w:adjustRightInd w:val="0"/>
              <w:jc w:val="center"/>
              <w:rPr>
                <w:rFonts w:ascii="宋体" w:hAnsi="宋体"/>
                <w:color w:val="000000"/>
                <w:kern w:val="0"/>
                <w:sz w:val="24"/>
              </w:rPr>
            </w:pPr>
            <w:r>
              <w:rPr>
                <w:rFonts w:ascii="宋体" w:hAnsi="宋体" w:hint="eastAsia"/>
                <w:color w:val="000000"/>
                <w:kern w:val="0"/>
                <w:sz w:val="24"/>
              </w:rPr>
              <w:t>2016.12.26~2019.03.31</w:t>
            </w:r>
          </w:p>
        </w:tc>
        <w:tc>
          <w:tcPr>
            <w:tcW w:w="1249" w:type="dxa"/>
            <w:vAlign w:val="center"/>
          </w:tcPr>
          <w:p w14:paraId="0350619C" w14:textId="77777777" w:rsidR="003A4A70" w:rsidRDefault="003A4A70" w:rsidP="003A4A70">
            <w:pPr>
              <w:autoSpaceDE w:val="0"/>
              <w:autoSpaceDN w:val="0"/>
              <w:adjustRightInd w:val="0"/>
              <w:jc w:val="center"/>
            </w:pPr>
            <w:r>
              <w:rPr>
                <w:rFonts w:hint="eastAsia"/>
              </w:rPr>
              <w:t>8.6906</w:t>
            </w:r>
            <w:r w:rsidRPr="00EB402F">
              <w:t>%</w:t>
            </w:r>
          </w:p>
        </w:tc>
        <w:tc>
          <w:tcPr>
            <w:tcW w:w="1249" w:type="dxa"/>
            <w:vAlign w:val="center"/>
          </w:tcPr>
          <w:p w14:paraId="3DBD416A" w14:textId="77777777" w:rsidR="003A4A70" w:rsidRDefault="003A4A70" w:rsidP="003A4A70">
            <w:pPr>
              <w:autoSpaceDE w:val="0"/>
              <w:autoSpaceDN w:val="0"/>
              <w:adjustRightInd w:val="0"/>
              <w:jc w:val="center"/>
            </w:pPr>
            <w:r w:rsidRPr="00EB402F">
              <w:t>0.003</w:t>
            </w:r>
            <w:r>
              <w:rPr>
                <w:rFonts w:hint="eastAsia"/>
              </w:rPr>
              <w:t>1</w:t>
            </w:r>
            <w:r w:rsidRPr="00EB402F">
              <w:t>%</w:t>
            </w:r>
          </w:p>
        </w:tc>
        <w:tc>
          <w:tcPr>
            <w:tcW w:w="1249" w:type="dxa"/>
            <w:vAlign w:val="center"/>
          </w:tcPr>
          <w:p w14:paraId="20834BA4" w14:textId="77777777" w:rsidR="003A4A70" w:rsidRDefault="003A4A70" w:rsidP="003A4A70">
            <w:pPr>
              <w:autoSpaceDE w:val="0"/>
              <w:autoSpaceDN w:val="0"/>
              <w:adjustRightInd w:val="0"/>
              <w:jc w:val="center"/>
            </w:pPr>
            <w:r w:rsidRPr="00EB402F">
              <w:t>0.</w:t>
            </w:r>
            <w:r>
              <w:rPr>
                <w:rFonts w:hint="eastAsia"/>
              </w:rPr>
              <w:t>8031</w:t>
            </w:r>
            <w:r w:rsidRPr="00EB402F">
              <w:t>%</w:t>
            </w:r>
          </w:p>
        </w:tc>
        <w:tc>
          <w:tcPr>
            <w:tcW w:w="1249" w:type="dxa"/>
            <w:vAlign w:val="center"/>
          </w:tcPr>
          <w:p w14:paraId="67F98BAC" w14:textId="77777777" w:rsidR="005004CD" w:rsidRDefault="003A4A70">
            <w:pPr>
              <w:autoSpaceDE w:val="0"/>
              <w:autoSpaceDN w:val="0"/>
              <w:adjustRightInd w:val="0"/>
              <w:jc w:val="center"/>
            </w:pPr>
            <w:r w:rsidRPr="00EB402F">
              <w:t>0.0000%</w:t>
            </w:r>
          </w:p>
        </w:tc>
        <w:tc>
          <w:tcPr>
            <w:tcW w:w="1249" w:type="dxa"/>
            <w:vAlign w:val="center"/>
          </w:tcPr>
          <w:p w14:paraId="6B702F0E" w14:textId="77777777" w:rsidR="005004CD" w:rsidRDefault="003A4A70">
            <w:pPr>
              <w:autoSpaceDE w:val="0"/>
              <w:autoSpaceDN w:val="0"/>
              <w:adjustRightInd w:val="0"/>
              <w:jc w:val="center"/>
            </w:pPr>
            <w:r>
              <w:rPr>
                <w:rFonts w:hint="eastAsia"/>
              </w:rPr>
              <w:t>7.8875</w:t>
            </w:r>
            <w:r w:rsidRPr="00EB402F">
              <w:t>%</w:t>
            </w:r>
          </w:p>
        </w:tc>
        <w:tc>
          <w:tcPr>
            <w:tcW w:w="1249" w:type="dxa"/>
            <w:vAlign w:val="center"/>
          </w:tcPr>
          <w:p w14:paraId="49CA29AA" w14:textId="77777777" w:rsidR="005004CD" w:rsidRDefault="003A4A70">
            <w:pPr>
              <w:autoSpaceDE w:val="0"/>
              <w:autoSpaceDN w:val="0"/>
              <w:adjustRightInd w:val="0"/>
              <w:jc w:val="center"/>
            </w:pPr>
            <w:r w:rsidRPr="00EB402F">
              <w:t>0.003</w:t>
            </w:r>
            <w:r>
              <w:rPr>
                <w:rFonts w:hint="eastAsia"/>
              </w:rPr>
              <w:t>1</w:t>
            </w:r>
            <w:r w:rsidRPr="00EB402F">
              <w:t>%</w:t>
            </w:r>
          </w:p>
        </w:tc>
      </w:tr>
    </w:tbl>
    <w:p w14:paraId="71D97ACD" w14:textId="77777777" w:rsidR="00A75432" w:rsidRDefault="00A75432" w:rsidP="0088687C">
      <w:pPr>
        <w:spacing w:line="360" w:lineRule="auto"/>
        <w:ind w:firstLineChars="177" w:firstLine="425"/>
        <w:rPr>
          <w:rFonts w:ascii="宋体" w:hAnsi="宋体"/>
          <w:bCs/>
          <w:sz w:val="24"/>
        </w:rPr>
      </w:pPr>
    </w:p>
    <w:p w14:paraId="3F48F219" w14:textId="77777777" w:rsidR="003A4A70" w:rsidRDefault="003A4A70" w:rsidP="0088687C">
      <w:pPr>
        <w:spacing w:line="360" w:lineRule="auto"/>
        <w:ind w:firstLineChars="177" w:firstLine="425"/>
        <w:rPr>
          <w:rFonts w:ascii="宋体" w:hAnsi="宋体"/>
          <w:bCs/>
          <w:sz w:val="24"/>
        </w:rPr>
      </w:pPr>
    </w:p>
    <w:p w14:paraId="6C7C8B03" w14:textId="77777777" w:rsidR="003A4A70" w:rsidRDefault="003A4A70" w:rsidP="0088687C">
      <w:pPr>
        <w:spacing w:line="360" w:lineRule="auto"/>
        <w:ind w:firstLineChars="177" w:firstLine="425"/>
        <w:rPr>
          <w:rFonts w:ascii="宋体" w:hAnsi="宋体"/>
          <w:bCs/>
          <w:sz w:val="24"/>
        </w:rPr>
      </w:pPr>
    </w:p>
    <w:p w14:paraId="00EDDB71" w14:textId="77777777" w:rsidR="00A75432" w:rsidRDefault="00A75432" w:rsidP="0088687C">
      <w:pPr>
        <w:spacing w:line="360" w:lineRule="auto"/>
        <w:ind w:firstLineChars="177" w:firstLine="425"/>
        <w:rPr>
          <w:rFonts w:ascii="宋体" w:hAnsi="宋体"/>
          <w:bCs/>
          <w:sz w:val="24"/>
        </w:rPr>
      </w:pPr>
    </w:p>
    <w:p w14:paraId="2145EC5F" w14:textId="77777777" w:rsidR="0088687C" w:rsidRDefault="0088687C" w:rsidP="0088687C">
      <w:pPr>
        <w:widowControl/>
        <w:spacing w:line="360" w:lineRule="auto"/>
        <w:ind w:left="480" w:hangingChars="200" w:hanging="480"/>
        <w:jc w:val="left"/>
        <w:rPr>
          <w:rFonts w:ascii="宋体" w:hAnsi="宋体" w:cs="宋体"/>
          <w:kern w:val="0"/>
          <w:sz w:val="24"/>
        </w:rPr>
      </w:pPr>
      <w:r>
        <w:rPr>
          <w:rFonts w:ascii="宋体" w:hAnsi="宋体" w:cs="宋体" w:hint="eastAsia"/>
          <w:kern w:val="0"/>
          <w:sz w:val="24"/>
        </w:rPr>
        <w:t>注：①本基金的利润分配方式是"每日分配，按月支付"；</w:t>
      </w:r>
      <w:r>
        <w:rPr>
          <w:rFonts w:ascii="宋体" w:hAnsi="宋体" w:cs="宋体" w:hint="eastAsia"/>
          <w:kern w:val="0"/>
          <w:sz w:val="24"/>
        </w:rPr>
        <w:br/>
        <w:t xml:space="preserve">②本基金的业绩比较基准为：活期存款利率(税后)。 </w:t>
      </w:r>
    </w:p>
    <w:p w14:paraId="1289A9D1" w14:textId="77777777" w:rsidR="0088687C" w:rsidRDefault="0088687C" w:rsidP="0088687C">
      <w:pPr>
        <w:spacing w:line="360" w:lineRule="auto"/>
        <w:ind w:firstLineChars="177" w:firstLine="425"/>
        <w:rPr>
          <w:rFonts w:ascii="宋体" w:hAnsi="宋体"/>
          <w:color w:val="000000"/>
          <w:kern w:val="0"/>
          <w:sz w:val="24"/>
        </w:rPr>
      </w:pPr>
    </w:p>
    <w:p w14:paraId="46447E55" w14:textId="77777777" w:rsidR="0088687C" w:rsidRDefault="0088687C" w:rsidP="0088687C">
      <w:pPr>
        <w:spacing w:line="360" w:lineRule="auto"/>
        <w:ind w:firstLineChars="177" w:firstLine="425"/>
        <w:rPr>
          <w:bCs/>
        </w:rPr>
      </w:pPr>
      <w:r>
        <w:rPr>
          <w:rFonts w:ascii="宋体" w:hAnsi="宋体" w:hint="eastAsia"/>
          <w:color w:val="000000"/>
          <w:kern w:val="0"/>
          <w:sz w:val="24"/>
        </w:rPr>
        <w:t>2、</w:t>
      </w:r>
      <w:r w:rsidRPr="00954412">
        <w:rPr>
          <w:rFonts w:hint="eastAsia"/>
          <w:bCs/>
        </w:rPr>
        <w:t>自基金合同生效以来基金累计净值收益率变动及其与同期业绩比较基准收益率变动的比较</w:t>
      </w:r>
    </w:p>
    <w:p w14:paraId="4CAF60B0" w14:textId="77777777" w:rsidR="00A75432" w:rsidRDefault="00BA032C" w:rsidP="00A75432">
      <w:pPr>
        <w:spacing w:line="360" w:lineRule="auto"/>
        <w:ind w:firstLineChars="177" w:firstLine="372"/>
        <w:rPr>
          <w:bCs/>
        </w:rPr>
      </w:pPr>
      <w:r w:rsidRPr="0022257E">
        <w:rPr>
          <w:rFonts w:hAnsi="Calibri"/>
          <w:noProof/>
          <w:color w:val="000000"/>
        </w:rPr>
        <w:drawing>
          <wp:inline distT="0" distB="0" distL="0" distR="0" wp14:anchorId="2118B317" wp14:editId="4B9B3C44">
            <wp:extent cx="5486400" cy="3564294"/>
            <wp:effectExtent l="19050" t="0" r="0" b="0"/>
            <wp:docPr id="2" name="图片 1" descr="说明: D:\Program Files\FA_Client\Bin\MOD\TMP\CN_51130000_003467_FB030010_20190003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Program Files\FA_Client\Bin\MOD\TMP\CN_51130000_003467_FB030010_20190003_2.jpg"/>
                    <pic:cNvPicPr>
                      <a:picLocks noChangeAspect="1" noChangeArrowheads="1"/>
                    </pic:cNvPicPr>
                  </pic:nvPicPr>
                  <pic:blipFill>
                    <a:blip r:embed="rId28"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7F1D29A8" w14:textId="61ECE717" w:rsidR="0088687C" w:rsidRPr="00954412" w:rsidRDefault="0088687C" w:rsidP="0088687C">
      <w:pPr>
        <w:spacing w:line="360" w:lineRule="auto"/>
        <w:ind w:firstLineChars="177" w:firstLine="372"/>
        <w:rPr>
          <w:bCs/>
        </w:rPr>
      </w:pPr>
    </w:p>
    <w:p w14:paraId="1CD41D8D" w14:textId="77777777" w:rsidR="0088687C" w:rsidRDefault="00BA032C" w:rsidP="00A75432">
      <w:pPr>
        <w:spacing w:line="360" w:lineRule="auto"/>
        <w:ind w:firstLineChars="177" w:firstLine="372"/>
        <w:rPr>
          <w:rFonts w:ascii="宋体" w:hAnsi="宋体"/>
          <w:color w:val="000000"/>
          <w:kern w:val="0"/>
          <w:sz w:val="24"/>
        </w:rPr>
      </w:pPr>
      <w:r w:rsidRPr="0022257E">
        <w:rPr>
          <w:rFonts w:hAnsi="Calibri"/>
          <w:noProof/>
          <w:color w:val="000000"/>
        </w:rPr>
        <w:lastRenderedPageBreak/>
        <w:drawing>
          <wp:inline distT="0" distB="0" distL="0" distR="0" wp14:anchorId="22330D88" wp14:editId="1B9AE99C">
            <wp:extent cx="5486400" cy="3564294"/>
            <wp:effectExtent l="19050" t="0" r="0" b="0"/>
            <wp:docPr id="4" name="图片 2" descr="说明: D:\Program Files\FA_Client\Bin\MOD\TMP\CN_51130000_003467_FB030010_20190003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Program Files\FA_Client\Bin\MOD\TMP\CN_51130000_003467_FB030010_20190003_3.jpg"/>
                    <pic:cNvPicPr>
                      <a:picLocks noChangeAspect="1" noChangeArrowheads="1"/>
                    </pic:cNvPicPr>
                  </pic:nvPicPr>
                  <pic:blipFill>
                    <a:blip r:embed="rId29" cstate="print"/>
                    <a:srcRect/>
                    <a:stretch>
                      <a:fillRect/>
                    </a:stretch>
                  </pic:blipFill>
                  <pic:spPr bwMode="auto">
                    <a:xfrm>
                      <a:off x="0" y="0"/>
                      <a:ext cx="5486400" cy="3564294"/>
                    </a:xfrm>
                    <a:prstGeom prst="rect">
                      <a:avLst/>
                    </a:prstGeom>
                    <a:noFill/>
                    <a:ln w="9525">
                      <a:noFill/>
                      <a:miter lim="800000"/>
                      <a:headEnd/>
                      <a:tailEnd/>
                    </a:ln>
                  </pic:spPr>
                </pic:pic>
              </a:graphicData>
            </a:graphic>
          </wp:inline>
        </w:drawing>
      </w:r>
    </w:p>
    <w:p w14:paraId="107E6618" w14:textId="586A408F" w:rsidR="0088687C" w:rsidRDefault="0088687C" w:rsidP="0088687C">
      <w:pPr>
        <w:spacing w:line="360" w:lineRule="auto"/>
        <w:ind w:firstLineChars="177" w:firstLine="425"/>
        <w:rPr>
          <w:rFonts w:ascii="宋体" w:hAnsi="宋体"/>
          <w:color w:val="000000"/>
          <w:kern w:val="0"/>
          <w:sz w:val="24"/>
        </w:rPr>
      </w:pPr>
    </w:p>
    <w:p w14:paraId="5C1F5F37" w14:textId="77777777" w:rsidR="0088687C" w:rsidRDefault="0088687C" w:rsidP="0088687C">
      <w:pPr>
        <w:tabs>
          <w:tab w:val="left" w:pos="660"/>
        </w:tabs>
        <w:rPr>
          <w:rFonts w:ascii="宋体" w:hAnsi="宋体"/>
          <w:sz w:val="24"/>
        </w:rPr>
      </w:pPr>
      <w:r>
        <w:rPr>
          <w:rFonts w:ascii="宋体" w:hAnsi="宋体"/>
          <w:sz w:val="24"/>
        </w:rPr>
        <w:tab/>
      </w:r>
      <w:r>
        <w:rPr>
          <w:rFonts w:ascii="宋体" w:hAnsi="宋体" w:cs="宋体" w:hint="eastAsia"/>
          <w:kern w:val="0"/>
          <w:sz w:val="24"/>
        </w:rPr>
        <w:t>注：本基金的建仓期为6个月，建仓期结束时各项资产配置比例符合基金合同规定。</w:t>
      </w:r>
    </w:p>
    <w:p w14:paraId="3A94992C" w14:textId="77777777" w:rsidR="0088687C" w:rsidRDefault="0088687C" w:rsidP="0088687C">
      <w:pPr>
        <w:rPr>
          <w:rFonts w:ascii="宋体" w:hAnsi="宋体"/>
          <w:sz w:val="24"/>
        </w:rPr>
      </w:pPr>
    </w:p>
    <w:p w14:paraId="71C4FECE" w14:textId="77777777" w:rsidR="005053D8" w:rsidRPr="00F434F4" w:rsidRDefault="005053D8" w:rsidP="00F434F4">
      <w:pPr>
        <w:ind w:firstLine="425"/>
        <w:rPr>
          <w:rFonts w:ascii="宋体" w:hAnsi="宋体"/>
          <w:sz w:val="24"/>
        </w:rPr>
        <w:sectPr w:rsidR="005053D8" w:rsidRPr="00F434F4">
          <w:pgSz w:w="12240" w:h="15840"/>
          <w:pgMar w:top="1440" w:right="1800" w:bottom="1440" w:left="1800" w:header="720" w:footer="720" w:gutter="0"/>
          <w:cols w:space="720"/>
          <w:docGrid w:linePitch="286"/>
        </w:sectPr>
      </w:pPr>
    </w:p>
    <w:p w14:paraId="2D700C2A" w14:textId="77777777" w:rsidR="00D04107" w:rsidRDefault="000C2DB0">
      <w:pPr>
        <w:pStyle w:val="1"/>
        <w:spacing w:line="360" w:lineRule="auto"/>
        <w:jc w:val="center"/>
        <w:rPr>
          <w:rFonts w:ascii="宋体" w:hAnsi="宋体"/>
          <w:color w:val="000000"/>
          <w:kern w:val="0"/>
          <w:sz w:val="24"/>
          <w:szCs w:val="24"/>
        </w:rPr>
      </w:pPr>
      <w:bookmarkStart w:id="75" w:name="_Toc482624799"/>
      <w:bookmarkStart w:id="76" w:name="_Toc13779"/>
      <w:bookmarkStart w:id="77" w:name="_Toc1303"/>
      <w:r>
        <w:rPr>
          <w:rFonts w:ascii="宋体" w:hAnsi="宋体" w:hint="eastAsia"/>
          <w:color w:val="000000"/>
          <w:kern w:val="0"/>
          <w:sz w:val="24"/>
          <w:szCs w:val="24"/>
        </w:rPr>
        <w:lastRenderedPageBreak/>
        <w:t>第十部分  基金的财产</w:t>
      </w:r>
      <w:bookmarkEnd w:id="68"/>
      <w:bookmarkEnd w:id="73"/>
      <w:bookmarkEnd w:id="74"/>
      <w:bookmarkEnd w:id="75"/>
      <w:bookmarkEnd w:id="76"/>
      <w:bookmarkEnd w:id="77"/>
    </w:p>
    <w:p w14:paraId="3E8F6D5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（一）基金资产总值</w:t>
      </w:r>
    </w:p>
    <w:p w14:paraId="1F618FE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基金资产总值是指购买的各类证券及票据价值、银行存款本息和基金应收的申购基金款以及其他投资所形成的价值总和。</w:t>
      </w:r>
    </w:p>
    <w:p w14:paraId="7CDA2B5D"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（二）基金资产净值</w:t>
      </w:r>
    </w:p>
    <w:p w14:paraId="58BE938F"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基金资产净值是指基金资产总值减去基金负债后的价值。</w:t>
      </w:r>
    </w:p>
    <w:p w14:paraId="222FA9B2"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（三）基金财产的账户</w:t>
      </w:r>
    </w:p>
    <w:p w14:paraId="198DD5DA"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互独立。</w:t>
      </w:r>
    </w:p>
    <w:p w14:paraId="7151CAE8"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（四）基金财产的保管及处分</w:t>
      </w:r>
    </w:p>
    <w:p w14:paraId="69E227C1"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本基金财产独立于基金管理人、基金托管人和基金销售机构的财产，并由基金托管人保管。基金管理人、基金托管人、基金登记机构和基金销售机构以其自有的财产承担其自身的法律责任，其债权人不得对本基金财产行使请求冻结、扣押或其他权利。除依法律法规和《基金合同》的规定处分外，基金财产不得被处分。</w:t>
      </w:r>
    </w:p>
    <w:p w14:paraId="241C1286" w14:textId="77777777" w:rsidR="00D04107" w:rsidRDefault="000C2DB0">
      <w:pPr>
        <w:spacing w:line="360" w:lineRule="auto"/>
        <w:ind w:firstLineChars="200" w:firstLine="480"/>
        <w:rPr>
          <w:rFonts w:asciiTheme="minorEastAsia" w:eastAsiaTheme="minorEastAsia" w:hAnsiTheme="minorEastAsia"/>
          <w:color w:val="000000"/>
          <w:kern w:val="0"/>
          <w:sz w:val="24"/>
        </w:rPr>
      </w:pPr>
      <w:r>
        <w:rPr>
          <w:rFonts w:asciiTheme="minorEastAsia" w:eastAsiaTheme="minorEastAsia" w:hAnsiTheme="minorEastAsia" w:hint="eastAsia"/>
          <w:color w:val="000000"/>
          <w:kern w:val="0"/>
          <w:sz w:val="24"/>
        </w:rPr>
        <w:t>基金管理人、基金托管人因依法解散、被依法撤销或者被依法宣告破产等原因进行清算的，基金财产不属于其清算财产。基金管理人管理运作基金财产所产生的债权，不得与其固有资产产生的债务相互抵销；基金管理人管理运作不同基金的基金财产所产生的债权债务不得相互抵销。</w:t>
      </w:r>
      <w:bookmarkStart w:id="78" w:name="_Hlt88900062"/>
      <w:bookmarkStart w:id="79" w:name="_Hlt88841837"/>
      <w:bookmarkEnd w:id="78"/>
      <w:bookmarkEnd w:id="79"/>
    </w:p>
    <w:p w14:paraId="63FF585F"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80" w:name="_Toc256666800"/>
      <w:bookmarkStart w:id="81" w:name="_Toc10998"/>
      <w:bookmarkStart w:id="82" w:name="_Toc256666920"/>
      <w:bookmarkStart w:id="83" w:name="_Toc482624800"/>
      <w:bookmarkStart w:id="84" w:name="_Toc26536"/>
      <w:r>
        <w:rPr>
          <w:rFonts w:ascii="宋体" w:hAnsi="宋体" w:hint="eastAsia"/>
          <w:color w:val="000000"/>
          <w:kern w:val="0"/>
          <w:sz w:val="24"/>
          <w:szCs w:val="24"/>
        </w:rPr>
        <w:lastRenderedPageBreak/>
        <w:t>第十一部分  基金资产的估值</w:t>
      </w:r>
      <w:bookmarkEnd w:id="80"/>
      <w:bookmarkEnd w:id="81"/>
      <w:bookmarkEnd w:id="82"/>
      <w:bookmarkEnd w:id="83"/>
      <w:bookmarkEnd w:id="84"/>
    </w:p>
    <w:p w14:paraId="55EE2F78" w14:textId="77777777" w:rsidR="00D04107" w:rsidRDefault="000C2DB0">
      <w:pPr>
        <w:spacing w:line="360" w:lineRule="auto"/>
        <w:ind w:firstLineChars="200" w:firstLine="480"/>
        <w:rPr>
          <w:rFonts w:ascii="宋体" w:hAnsi="宋体"/>
          <w:color w:val="000000"/>
          <w:kern w:val="0"/>
          <w:sz w:val="24"/>
        </w:rPr>
      </w:pPr>
      <w:bookmarkStart w:id="85" w:name="_Hlt88900318"/>
      <w:bookmarkEnd w:id="85"/>
      <w:r>
        <w:rPr>
          <w:rFonts w:ascii="宋体" w:hAnsi="宋体" w:hint="eastAsia"/>
          <w:color w:val="000000"/>
          <w:kern w:val="0"/>
          <w:sz w:val="24"/>
        </w:rPr>
        <w:t>（一）估值日</w:t>
      </w:r>
    </w:p>
    <w:p w14:paraId="2D9FEB35" w14:textId="77777777" w:rsidR="00D04107" w:rsidRDefault="000C2DB0">
      <w:pPr>
        <w:spacing w:line="360" w:lineRule="auto"/>
        <w:ind w:firstLineChars="200" w:firstLine="480"/>
        <w:rPr>
          <w:rFonts w:ascii="宋体" w:hAnsi="宋体"/>
          <w:color w:val="000000"/>
          <w:kern w:val="0"/>
          <w:sz w:val="24"/>
        </w:rPr>
      </w:pPr>
      <w:r>
        <w:rPr>
          <w:bCs/>
          <w:sz w:val="24"/>
        </w:rPr>
        <w:t>本基金的估值日为本基金相关的证券交易场所的交易日以及国家法律法规规定需要对外披露基金资产净值、各类基金份额的每万份基金已实现收益和</w:t>
      </w:r>
      <w:r>
        <w:rPr>
          <w:bCs/>
          <w:sz w:val="24"/>
        </w:rPr>
        <w:t>7</w:t>
      </w:r>
      <w:r>
        <w:rPr>
          <w:bCs/>
          <w:sz w:val="24"/>
        </w:rPr>
        <w:t>日年化收益率的非交易日</w:t>
      </w:r>
      <w:r>
        <w:rPr>
          <w:rFonts w:ascii="宋体" w:hAnsi="宋体" w:hint="eastAsia"/>
          <w:color w:val="000000"/>
          <w:kern w:val="0"/>
          <w:sz w:val="24"/>
        </w:rPr>
        <w:t>。</w:t>
      </w:r>
    </w:p>
    <w:p w14:paraId="6B0F173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（二）估值对象</w:t>
      </w:r>
    </w:p>
    <w:p w14:paraId="3CFA4CFB" w14:textId="77777777" w:rsidR="00D04107" w:rsidRDefault="000C2DB0">
      <w:pPr>
        <w:spacing w:line="360" w:lineRule="auto"/>
        <w:ind w:firstLineChars="200" w:firstLine="480"/>
        <w:rPr>
          <w:bCs/>
          <w:sz w:val="24"/>
          <w:szCs w:val="20"/>
        </w:rPr>
      </w:pPr>
      <w:r>
        <w:rPr>
          <w:rFonts w:ascii="宋体" w:hAnsi="宋体" w:hint="eastAsia"/>
          <w:color w:val="000000"/>
          <w:kern w:val="0"/>
          <w:sz w:val="24"/>
        </w:rPr>
        <w:t>基金所拥有的各类证券和银行存款本息、应收款项、其它投资等资产及负债。</w:t>
      </w:r>
    </w:p>
    <w:p w14:paraId="6968156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（三）估值方法</w:t>
      </w:r>
    </w:p>
    <w:p w14:paraId="590A9AB6"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rFonts w:hint="eastAsia"/>
          <w:bCs/>
          <w:sz w:val="24"/>
        </w:rPr>
        <w:t>、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06DE2717" w14:textId="77777777" w:rsidR="00D04107" w:rsidRDefault="000C2DB0">
      <w:pPr>
        <w:autoSpaceDE w:val="0"/>
        <w:autoSpaceDN w:val="0"/>
        <w:adjustRightInd w:val="0"/>
        <w:spacing w:line="360" w:lineRule="auto"/>
        <w:ind w:firstLineChars="200" w:firstLine="480"/>
        <w:jc w:val="left"/>
        <w:rPr>
          <w:bCs/>
          <w:sz w:val="24"/>
        </w:rPr>
      </w:pPr>
      <w:r>
        <w:rPr>
          <w:bCs/>
          <w:sz w:val="24"/>
        </w:rPr>
        <w:t>2</w:t>
      </w:r>
      <w:r>
        <w:rPr>
          <w:rFonts w:hint="eastAsia"/>
          <w:bCs/>
          <w:sz w:val="24"/>
        </w:rPr>
        <w:t>、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w:t>
      </w:r>
      <w:r>
        <w:rPr>
          <w:bCs/>
          <w:sz w:val="24"/>
        </w:rPr>
        <w:t>“</w:t>
      </w:r>
      <w:r>
        <w:rPr>
          <w:rFonts w:hint="eastAsia"/>
          <w:bCs/>
          <w:sz w:val="24"/>
        </w:rPr>
        <w:t>影子定价</w:t>
      </w:r>
      <w:r>
        <w:rPr>
          <w:bCs/>
          <w:sz w:val="24"/>
        </w:rPr>
        <w:t>”</w:t>
      </w:r>
      <w:r>
        <w:rPr>
          <w:rFonts w:hint="eastAsia"/>
          <w:bCs/>
          <w:sz w:val="24"/>
        </w:rPr>
        <w:t>。当影子定价确定的基金资产净值与摊余成本法计算的基金资产净值的负偏离度绝对值达到</w:t>
      </w:r>
      <w:r>
        <w:rPr>
          <w:bCs/>
          <w:sz w:val="24"/>
        </w:rPr>
        <w:t>0.25%</w:t>
      </w:r>
      <w:r>
        <w:rPr>
          <w:rFonts w:hint="eastAsia"/>
          <w:bCs/>
          <w:sz w:val="24"/>
        </w:rPr>
        <w:t>时，基金管理人应当在</w:t>
      </w:r>
      <w:r>
        <w:rPr>
          <w:bCs/>
          <w:sz w:val="24"/>
        </w:rPr>
        <w:t>5</w:t>
      </w:r>
      <w:r>
        <w:rPr>
          <w:rFonts w:hint="eastAsia"/>
          <w:bCs/>
          <w:sz w:val="24"/>
        </w:rPr>
        <w:t>个交易日内将负偏离度绝对值调整到</w:t>
      </w:r>
      <w:r>
        <w:rPr>
          <w:bCs/>
          <w:sz w:val="24"/>
        </w:rPr>
        <w:t>0.25%</w:t>
      </w:r>
      <w:r>
        <w:rPr>
          <w:rFonts w:hint="eastAsia"/>
          <w:bCs/>
          <w:sz w:val="24"/>
        </w:rPr>
        <w:t>以内。当正偏离度绝对值达到</w:t>
      </w:r>
      <w:r>
        <w:rPr>
          <w:bCs/>
          <w:sz w:val="24"/>
        </w:rPr>
        <w:t>0.5%</w:t>
      </w:r>
      <w:r>
        <w:rPr>
          <w:rFonts w:hint="eastAsia"/>
          <w:bCs/>
          <w:sz w:val="24"/>
        </w:rPr>
        <w:t>时，基金管理人应当暂停接受申购并在</w:t>
      </w:r>
      <w:r>
        <w:rPr>
          <w:bCs/>
          <w:sz w:val="24"/>
        </w:rPr>
        <w:t>5</w:t>
      </w:r>
      <w:r>
        <w:rPr>
          <w:rFonts w:hint="eastAsia"/>
          <w:bCs/>
          <w:sz w:val="24"/>
        </w:rPr>
        <w:t>个交易日内将正偏离度绝对值调整到</w:t>
      </w:r>
      <w:r>
        <w:rPr>
          <w:bCs/>
          <w:sz w:val="24"/>
        </w:rPr>
        <w:t>0.5%</w:t>
      </w:r>
      <w:r>
        <w:rPr>
          <w:rFonts w:hint="eastAsia"/>
          <w:bCs/>
          <w:sz w:val="24"/>
        </w:rPr>
        <w:t>以内。当负偏离度绝对值达到</w:t>
      </w:r>
      <w:r>
        <w:rPr>
          <w:bCs/>
          <w:sz w:val="24"/>
        </w:rPr>
        <w:t>0.5%</w:t>
      </w:r>
      <w:r>
        <w:rPr>
          <w:rFonts w:hint="eastAsia"/>
          <w:bCs/>
          <w:sz w:val="24"/>
        </w:rPr>
        <w:t>时，基金管理人应当使用风险准备金或者固有资金弥补潜在资产损失，将负偏离度绝对值控制在</w:t>
      </w:r>
      <w:r>
        <w:rPr>
          <w:bCs/>
          <w:sz w:val="24"/>
        </w:rPr>
        <w:t>0.5%</w:t>
      </w:r>
      <w:r>
        <w:rPr>
          <w:rFonts w:hint="eastAsia"/>
          <w:bCs/>
          <w:sz w:val="24"/>
        </w:rPr>
        <w:t>以内。当负偏离度绝对值连续两个交易日超过</w:t>
      </w:r>
      <w:r>
        <w:rPr>
          <w:bCs/>
          <w:sz w:val="24"/>
        </w:rPr>
        <w:t>0.5%</w:t>
      </w:r>
      <w:r>
        <w:rPr>
          <w:rFonts w:hint="eastAsia"/>
          <w:bCs/>
          <w:sz w:val="24"/>
        </w:rPr>
        <w:t>时，基金管理人应当采用公允价值估值方法对持有投资组合的账面价值进行调整，或者采取暂停接受所有赎回申请并终止基金合同进行财产清算等措施。</w:t>
      </w:r>
    </w:p>
    <w:p w14:paraId="138E5135"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、如有确凿证据表明按上述方法进行估值不能客观反映其公允价值的，基金管理人可根据具体情况与基金托管人商定后，按最能反映公允价值的价格估值。</w:t>
      </w:r>
    </w:p>
    <w:p w14:paraId="55CE2C6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、相关法律法规以及监管部门有强制规定的，从其规定。如有新增事项，按国</w:t>
      </w:r>
      <w:r>
        <w:rPr>
          <w:rFonts w:hint="eastAsia"/>
          <w:bCs/>
          <w:sz w:val="24"/>
        </w:rPr>
        <w:lastRenderedPageBreak/>
        <w:t>家最新规定估值。</w:t>
      </w:r>
    </w:p>
    <w:p w14:paraId="618A5690"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1327C8C7"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根据有关法律法规，基金资产净值、每万份基金已实现收益及</w:t>
      </w:r>
      <w:r>
        <w:rPr>
          <w:rFonts w:hint="eastAsia"/>
          <w:bCs/>
          <w:sz w:val="24"/>
        </w:rPr>
        <w:t>7</w:t>
      </w:r>
      <w:r>
        <w:rPr>
          <w:rFonts w:hint="eastAsia"/>
          <w:bCs/>
          <w:sz w:val="24"/>
        </w:rPr>
        <w:t>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w:t>
      </w:r>
      <w:r>
        <w:rPr>
          <w:rFonts w:hint="eastAsia"/>
          <w:bCs/>
          <w:sz w:val="24"/>
        </w:rPr>
        <w:t>7</w:t>
      </w:r>
      <w:r>
        <w:rPr>
          <w:rFonts w:hint="eastAsia"/>
          <w:bCs/>
          <w:sz w:val="24"/>
        </w:rPr>
        <w:t>日年化收益率的计算结果对外予以公布。</w:t>
      </w:r>
    </w:p>
    <w:p w14:paraId="784E346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（四）估值程序</w:t>
      </w:r>
    </w:p>
    <w:p w14:paraId="6B3E84BA" w14:textId="77777777" w:rsidR="00D04107" w:rsidRDefault="000C2DB0" w:rsidP="000C2DB0">
      <w:pPr>
        <w:spacing w:line="360" w:lineRule="auto"/>
        <w:ind w:firstLineChars="177" w:firstLine="425"/>
        <w:rPr>
          <w:bCs/>
          <w:sz w:val="24"/>
        </w:rPr>
      </w:pPr>
      <w:r>
        <w:rPr>
          <w:bCs/>
          <w:sz w:val="24"/>
        </w:rPr>
        <w:t>1</w:t>
      </w:r>
      <w:r>
        <w:rPr>
          <w:rFonts w:hint="eastAsia"/>
          <w:bCs/>
          <w:sz w:val="24"/>
        </w:rPr>
        <w:t>、每万份基金已实现收益是按照相关法规计算的每万份基金份额的日已实现收益，精确到小数点后第</w:t>
      </w:r>
      <w:r>
        <w:rPr>
          <w:bCs/>
          <w:sz w:val="24"/>
        </w:rPr>
        <w:t>4</w:t>
      </w:r>
      <w:r>
        <w:rPr>
          <w:rFonts w:hint="eastAsia"/>
          <w:bCs/>
          <w:sz w:val="24"/>
        </w:rPr>
        <w:t>位，小数点后第</w:t>
      </w:r>
      <w:r>
        <w:rPr>
          <w:bCs/>
          <w:sz w:val="24"/>
        </w:rPr>
        <w:t>5</w:t>
      </w:r>
      <w:r>
        <w:rPr>
          <w:rFonts w:hint="eastAsia"/>
          <w:bCs/>
          <w:sz w:val="24"/>
        </w:rPr>
        <w:t>位四舍五入。本基金</w:t>
      </w:r>
      <w:r>
        <w:rPr>
          <w:bCs/>
          <w:sz w:val="24"/>
        </w:rPr>
        <w:t>7</w:t>
      </w:r>
      <w:r>
        <w:rPr>
          <w:rFonts w:hint="eastAsia"/>
          <w:bCs/>
          <w:sz w:val="24"/>
        </w:rPr>
        <w:t>日年化收益率是以最近</w:t>
      </w:r>
      <w:r>
        <w:rPr>
          <w:bCs/>
          <w:sz w:val="24"/>
        </w:rPr>
        <w:t>7</w:t>
      </w:r>
      <w:r>
        <w:rPr>
          <w:rFonts w:hint="eastAsia"/>
          <w:bCs/>
          <w:sz w:val="24"/>
        </w:rPr>
        <w:t>日</w:t>
      </w:r>
      <w:r>
        <w:rPr>
          <w:bCs/>
          <w:sz w:val="24"/>
        </w:rPr>
        <w:t>(</w:t>
      </w:r>
      <w:r>
        <w:rPr>
          <w:rFonts w:hint="eastAsia"/>
          <w:bCs/>
          <w:sz w:val="24"/>
        </w:rPr>
        <w:t>含节假日</w:t>
      </w:r>
      <w:r>
        <w:rPr>
          <w:bCs/>
          <w:sz w:val="24"/>
        </w:rPr>
        <w:t>)</w:t>
      </w:r>
      <w:r>
        <w:rPr>
          <w:rFonts w:hint="eastAsia"/>
          <w:bCs/>
          <w:sz w:val="24"/>
        </w:rPr>
        <w:t>收益所折算的年资产收益率，精确到</w:t>
      </w:r>
      <w:r>
        <w:rPr>
          <w:bCs/>
          <w:sz w:val="24"/>
        </w:rPr>
        <w:t>0.001%</w:t>
      </w:r>
      <w:r>
        <w:rPr>
          <w:rFonts w:hint="eastAsia"/>
          <w:bCs/>
          <w:sz w:val="24"/>
        </w:rPr>
        <w:t>，百分号内小数点后第</w:t>
      </w:r>
      <w:r>
        <w:rPr>
          <w:bCs/>
          <w:sz w:val="24"/>
        </w:rPr>
        <w:t>4</w:t>
      </w:r>
      <w:r>
        <w:rPr>
          <w:rFonts w:hint="eastAsia"/>
          <w:bCs/>
          <w:sz w:val="24"/>
        </w:rPr>
        <w:t>位四舍五入。国家另有规定的，从其规定。</w:t>
      </w:r>
    </w:p>
    <w:p w14:paraId="5876BDE4" w14:textId="77777777" w:rsidR="00D04107" w:rsidRDefault="000C2DB0" w:rsidP="000C2DB0">
      <w:pPr>
        <w:spacing w:line="360" w:lineRule="auto"/>
        <w:ind w:firstLineChars="177" w:firstLine="425"/>
        <w:rPr>
          <w:bCs/>
          <w:sz w:val="24"/>
        </w:rPr>
      </w:pPr>
      <w:r>
        <w:rPr>
          <w:bCs/>
          <w:sz w:val="24"/>
        </w:rPr>
        <w:t>2</w:t>
      </w:r>
      <w:r>
        <w:rPr>
          <w:rFonts w:hint="eastAsia"/>
          <w:bCs/>
          <w:sz w:val="24"/>
        </w:rPr>
        <w:t>、基金管理人应每个工作日对基金资产估值。但基金管理人根据法律法规或基金合同的规定暂停估值时除外。基金管理人每个工作日对基金资产估值后，将估值结果发送基金托管人，经基金托管人复核无误后，由基金管理人对外公布。</w:t>
      </w:r>
    </w:p>
    <w:p w14:paraId="5E5FCA70" w14:textId="77777777" w:rsidR="00D04107" w:rsidRDefault="000C2DB0" w:rsidP="000C2DB0">
      <w:pPr>
        <w:spacing w:line="360" w:lineRule="auto"/>
        <w:ind w:firstLineChars="177" w:firstLine="425"/>
        <w:rPr>
          <w:bCs/>
          <w:sz w:val="24"/>
        </w:rPr>
      </w:pPr>
      <w:r>
        <w:rPr>
          <w:rFonts w:hint="eastAsia"/>
          <w:bCs/>
          <w:sz w:val="24"/>
        </w:rPr>
        <w:t>（五）估值错误的处理</w:t>
      </w:r>
    </w:p>
    <w:p w14:paraId="1BE61922" w14:textId="77777777" w:rsidR="00D04107" w:rsidRDefault="000C2DB0" w:rsidP="000C2DB0">
      <w:pPr>
        <w:spacing w:line="360" w:lineRule="auto"/>
        <w:ind w:firstLineChars="177" w:firstLine="425"/>
        <w:rPr>
          <w:bCs/>
          <w:sz w:val="24"/>
        </w:rPr>
      </w:pPr>
      <w:r>
        <w:rPr>
          <w:bCs/>
          <w:sz w:val="24"/>
        </w:rPr>
        <w:t>基金管理人和基金托管人将采取必要、适当、合理的措施确保基金资产估值的准确性、及时性。当基金资产的计价导致每万份基金已实现收益小数点后</w:t>
      </w:r>
      <w:r>
        <w:rPr>
          <w:bCs/>
          <w:sz w:val="24"/>
        </w:rPr>
        <w:t>4</w:t>
      </w:r>
      <w:r>
        <w:rPr>
          <w:rFonts w:hint="eastAsia"/>
          <w:bCs/>
          <w:sz w:val="24"/>
        </w:rPr>
        <w:t>位或</w:t>
      </w:r>
      <w:r>
        <w:rPr>
          <w:rFonts w:hint="eastAsia"/>
          <w:bCs/>
          <w:sz w:val="24"/>
        </w:rPr>
        <w:t>7</w:t>
      </w:r>
      <w:r>
        <w:rPr>
          <w:rFonts w:hint="eastAsia"/>
          <w:bCs/>
          <w:sz w:val="24"/>
        </w:rPr>
        <w:t>日年化收益率百分号内小数点后</w:t>
      </w:r>
      <w:r>
        <w:rPr>
          <w:bCs/>
          <w:sz w:val="24"/>
        </w:rPr>
        <w:t>3</w:t>
      </w:r>
      <w:r>
        <w:rPr>
          <w:rFonts w:hint="eastAsia"/>
          <w:bCs/>
          <w:sz w:val="24"/>
        </w:rPr>
        <w:t>位以内发生差错时，视为估值错误。</w:t>
      </w:r>
    </w:p>
    <w:p w14:paraId="655EFD26" w14:textId="77777777" w:rsidR="00D04107" w:rsidRDefault="000C2DB0" w:rsidP="000C2DB0">
      <w:pPr>
        <w:spacing w:line="360" w:lineRule="auto"/>
        <w:ind w:firstLineChars="177" w:firstLine="425"/>
        <w:rPr>
          <w:bCs/>
          <w:sz w:val="24"/>
        </w:rPr>
      </w:pPr>
      <w:r>
        <w:rPr>
          <w:rFonts w:hint="eastAsia"/>
          <w:bCs/>
          <w:sz w:val="24"/>
        </w:rPr>
        <w:t>基金合同的当事人应按照以下约定处理：</w:t>
      </w:r>
    </w:p>
    <w:p w14:paraId="082285CE" w14:textId="77777777" w:rsidR="00D04107" w:rsidRDefault="000C2DB0" w:rsidP="000C2DB0">
      <w:pPr>
        <w:spacing w:line="360" w:lineRule="auto"/>
        <w:ind w:firstLineChars="177" w:firstLine="425"/>
        <w:rPr>
          <w:bCs/>
          <w:sz w:val="24"/>
        </w:rPr>
      </w:pPr>
      <w:r>
        <w:rPr>
          <w:bCs/>
          <w:sz w:val="24"/>
        </w:rPr>
        <w:t>1</w:t>
      </w:r>
      <w:r>
        <w:rPr>
          <w:rFonts w:hint="eastAsia"/>
          <w:bCs/>
          <w:sz w:val="24"/>
        </w:rPr>
        <w:t>、估值错误类型</w:t>
      </w:r>
    </w:p>
    <w:p w14:paraId="2F73F200" w14:textId="77777777" w:rsidR="00D04107" w:rsidRDefault="000C2DB0" w:rsidP="000C2DB0">
      <w:pPr>
        <w:spacing w:line="360" w:lineRule="auto"/>
        <w:ind w:firstLineChars="177" w:firstLine="425"/>
        <w:rPr>
          <w:bCs/>
          <w:sz w:val="24"/>
        </w:rPr>
      </w:pPr>
      <w:r>
        <w:rPr>
          <w:rFonts w:hint="eastAsia"/>
          <w:bCs/>
          <w:sz w:val="24"/>
        </w:rPr>
        <w:t>本基金运作过程中，如果由于基金管理人或基金托管人、或登记机构、或销售机构、或投资人自身的过错造成估值错误，导致其他当事人遭受损失的，过错的责任人应当对由于该估值错误遭受损失当事人</w:t>
      </w:r>
      <w:r>
        <w:rPr>
          <w:bCs/>
          <w:sz w:val="24"/>
        </w:rPr>
        <w:t>(</w:t>
      </w:r>
      <w:r>
        <w:rPr>
          <w:rFonts w:hint="eastAsia"/>
          <w:bCs/>
          <w:sz w:val="24"/>
        </w:rPr>
        <w:t>“受损方”</w:t>
      </w:r>
      <w:r>
        <w:rPr>
          <w:bCs/>
          <w:sz w:val="24"/>
        </w:rPr>
        <w:t>)</w:t>
      </w:r>
      <w:r>
        <w:rPr>
          <w:rFonts w:hint="eastAsia"/>
          <w:bCs/>
          <w:sz w:val="24"/>
        </w:rPr>
        <w:t>的直接损失按下述“估值错误处理原则”给予赔偿，承担赔偿责任。</w:t>
      </w:r>
    </w:p>
    <w:p w14:paraId="0E17AC64" w14:textId="77777777" w:rsidR="00D04107" w:rsidRDefault="000C2DB0" w:rsidP="000C2DB0">
      <w:pPr>
        <w:spacing w:line="360" w:lineRule="auto"/>
        <w:ind w:firstLineChars="177" w:firstLine="425"/>
        <w:rPr>
          <w:bCs/>
          <w:sz w:val="24"/>
        </w:rPr>
      </w:pPr>
      <w:r>
        <w:rPr>
          <w:rFonts w:hint="eastAsia"/>
          <w:bCs/>
          <w:sz w:val="24"/>
        </w:rPr>
        <w:t>上述估值错误的主要类型包括但不限于：资料申报差错、数据传输差错、数据</w:t>
      </w:r>
      <w:r>
        <w:rPr>
          <w:rFonts w:hint="eastAsia"/>
          <w:bCs/>
          <w:sz w:val="24"/>
        </w:rPr>
        <w:lastRenderedPageBreak/>
        <w:t>计算差错、系统故障差错、下达指令差错等。</w:t>
      </w:r>
    </w:p>
    <w:p w14:paraId="3D3D2942" w14:textId="77777777" w:rsidR="00D04107" w:rsidRDefault="000C2DB0" w:rsidP="000C2DB0">
      <w:pPr>
        <w:spacing w:line="360" w:lineRule="auto"/>
        <w:ind w:firstLineChars="177" w:firstLine="425"/>
        <w:rPr>
          <w:bCs/>
          <w:sz w:val="24"/>
        </w:rPr>
      </w:pPr>
      <w:r>
        <w:rPr>
          <w:rFonts w:hint="eastAsia"/>
          <w:bCs/>
          <w:sz w:val="24"/>
        </w:rPr>
        <w:t>由于不可抗力原因造成投资人的交易资料灭失或被错误处理或造成其他差错，因不可抗力原因出现差错的当事人不对其他当事人承担赔偿责任，但因该差错取得不当得利的当事人仍应负有返还不当得利的义务。</w:t>
      </w:r>
    </w:p>
    <w:p w14:paraId="6E6493E7" w14:textId="77777777" w:rsidR="00D04107" w:rsidRDefault="000C2DB0" w:rsidP="000C2DB0">
      <w:pPr>
        <w:spacing w:line="360" w:lineRule="auto"/>
        <w:ind w:firstLineChars="177" w:firstLine="425"/>
        <w:rPr>
          <w:bCs/>
          <w:sz w:val="24"/>
        </w:rPr>
      </w:pPr>
      <w:r>
        <w:rPr>
          <w:bCs/>
          <w:sz w:val="24"/>
        </w:rPr>
        <w:t>2</w:t>
      </w:r>
      <w:r>
        <w:rPr>
          <w:rFonts w:hint="eastAsia"/>
          <w:bCs/>
          <w:sz w:val="24"/>
        </w:rPr>
        <w:t>、估值错误处理原则</w:t>
      </w:r>
    </w:p>
    <w:p w14:paraId="238AF7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253F5FCE"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）估值错误的责任方对有关当事人的直接损失负责，不对间接损失负责，并且仅对估值错误的有关直接当事人负责，不对第三方负责。</w:t>
      </w:r>
    </w:p>
    <w:p w14:paraId="0B4B3935"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）因估值错误而获得不当得利的当事人负有及时返还不当得利的义务。但估值错误责任方仍应对估值错误负责。如果由于获得不当得利的当事人不返还或不全部返还不当得利</w:t>
      </w:r>
      <w:r>
        <w:rPr>
          <w:bCs/>
          <w:sz w:val="24"/>
        </w:rPr>
        <w:t>造成其他当事人的利益损失</w:t>
      </w:r>
      <w:r>
        <w:rPr>
          <w:bCs/>
          <w:sz w:val="24"/>
        </w:rPr>
        <w:t>(“</w:t>
      </w:r>
      <w:r>
        <w:rPr>
          <w:rFonts w:hint="eastAsia"/>
          <w:bCs/>
          <w:sz w:val="24"/>
        </w:rPr>
        <w:t>受损方</w:t>
      </w:r>
      <w:r>
        <w:rPr>
          <w:bCs/>
          <w:sz w:val="24"/>
        </w:rPr>
        <w:t>”)</w:t>
      </w:r>
      <w:r>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5FDE51C9"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）估值错误调整采用尽量恢复至假设未发生估值错误的正确情形的方式。</w:t>
      </w:r>
    </w:p>
    <w:p w14:paraId="6EF47A50" w14:textId="77777777" w:rsidR="00D04107" w:rsidRDefault="000C2DB0" w:rsidP="000C2DB0">
      <w:pPr>
        <w:spacing w:line="360" w:lineRule="auto"/>
        <w:ind w:firstLineChars="177" w:firstLine="425"/>
        <w:rPr>
          <w:bCs/>
          <w:sz w:val="24"/>
        </w:rPr>
      </w:pPr>
      <w:r>
        <w:rPr>
          <w:rFonts w:hint="eastAsia"/>
          <w:bCs/>
          <w:sz w:val="24"/>
        </w:rPr>
        <w:t>（</w:t>
      </w:r>
      <w:r>
        <w:rPr>
          <w:bCs/>
          <w:sz w:val="24"/>
        </w:rPr>
        <w:t>5</w:t>
      </w:r>
      <w:r>
        <w:rPr>
          <w:rFonts w:hint="eastAsia"/>
          <w:bCs/>
          <w:sz w:val="24"/>
        </w:rPr>
        <w:t>）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3405374A" w14:textId="77777777" w:rsidR="00D04107" w:rsidRDefault="000C2DB0" w:rsidP="000C2DB0">
      <w:pPr>
        <w:spacing w:line="360" w:lineRule="auto"/>
        <w:ind w:firstLineChars="177" w:firstLine="425"/>
        <w:rPr>
          <w:bCs/>
          <w:sz w:val="24"/>
        </w:rPr>
      </w:pPr>
      <w:r>
        <w:rPr>
          <w:rFonts w:hint="eastAsia"/>
          <w:bCs/>
          <w:sz w:val="24"/>
        </w:rPr>
        <w:t>（</w:t>
      </w:r>
      <w:r>
        <w:rPr>
          <w:bCs/>
          <w:sz w:val="24"/>
        </w:rPr>
        <w:t>6</w:t>
      </w:r>
      <w:r>
        <w:rPr>
          <w:rFonts w:hint="eastAsia"/>
          <w:bCs/>
          <w:sz w:val="24"/>
        </w:rPr>
        <w:t>）如果出现估值错误的当事人未按规定对受损方进行赔偿，并且依据法律、行政法规、《基金合同》或其他规定，基金管理人自行或依据法院判决、仲裁裁决</w:t>
      </w:r>
      <w:r>
        <w:rPr>
          <w:rFonts w:hint="eastAsia"/>
          <w:bCs/>
          <w:sz w:val="24"/>
        </w:rPr>
        <w:lastRenderedPageBreak/>
        <w:t>对受损方承担了赔偿责任，则基金管理人有权向出现过错的当事人进行追索，并有权要求其赔偿或补偿由此发生的费用和遭受的损失。</w:t>
      </w:r>
    </w:p>
    <w:p w14:paraId="4726DED6" w14:textId="77777777" w:rsidR="00D04107" w:rsidRDefault="000C2DB0" w:rsidP="000C2DB0">
      <w:pPr>
        <w:spacing w:line="360" w:lineRule="auto"/>
        <w:ind w:firstLineChars="177" w:firstLine="425"/>
        <w:rPr>
          <w:bCs/>
          <w:sz w:val="24"/>
        </w:rPr>
      </w:pPr>
      <w:r>
        <w:rPr>
          <w:rFonts w:hint="eastAsia"/>
          <w:bCs/>
          <w:sz w:val="24"/>
        </w:rPr>
        <w:t>（</w:t>
      </w:r>
      <w:r>
        <w:rPr>
          <w:bCs/>
          <w:sz w:val="24"/>
        </w:rPr>
        <w:t>7</w:t>
      </w:r>
      <w:r>
        <w:rPr>
          <w:rFonts w:hint="eastAsia"/>
          <w:bCs/>
          <w:sz w:val="24"/>
        </w:rPr>
        <w:t>）按法律法规规定的其他原则处理估值错误。</w:t>
      </w:r>
    </w:p>
    <w:p w14:paraId="393F8020" w14:textId="77777777" w:rsidR="00D04107" w:rsidRDefault="000C2DB0" w:rsidP="000C2DB0">
      <w:pPr>
        <w:spacing w:line="360" w:lineRule="auto"/>
        <w:ind w:firstLineChars="177" w:firstLine="425"/>
        <w:rPr>
          <w:bCs/>
          <w:sz w:val="24"/>
        </w:rPr>
      </w:pPr>
      <w:r>
        <w:rPr>
          <w:bCs/>
          <w:sz w:val="24"/>
        </w:rPr>
        <w:t>3</w:t>
      </w:r>
      <w:r>
        <w:rPr>
          <w:rFonts w:hint="eastAsia"/>
          <w:bCs/>
          <w:sz w:val="24"/>
        </w:rPr>
        <w:t>、估值错误处理程序</w:t>
      </w:r>
    </w:p>
    <w:p w14:paraId="542310EF" w14:textId="77777777" w:rsidR="00D04107" w:rsidRDefault="000C2DB0" w:rsidP="000C2DB0">
      <w:pPr>
        <w:spacing w:line="360" w:lineRule="auto"/>
        <w:ind w:firstLineChars="177" w:firstLine="425"/>
        <w:rPr>
          <w:bCs/>
          <w:sz w:val="24"/>
        </w:rPr>
      </w:pPr>
      <w:r>
        <w:rPr>
          <w:rFonts w:hint="eastAsia"/>
          <w:bCs/>
          <w:sz w:val="24"/>
        </w:rPr>
        <w:t>估值错误被发现后，有关的当事人应当及时进行处理，处理的程序如下：</w:t>
      </w:r>
    </w:p>
    <w:p w14:paraId="604D7B56"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）查明估值错误发生的原因，列明所有的当事人，并根据估值错误发生的原因确定估值错误的责任方；</w:t>
      </w:r>
    </w:p>
    <w:p w14:paraId="17817C45" w14:textId="77777777" w:rsidR="00D04107" w:rsidRDefault="000C2DB0" w:rsidP="000C2DB0">
      <w:pPr>
        <w:spacing w:line="360" w:lineRule="auto"/>
        <w:ind w:firstLineChars="177" w:firstLine="425"/>
        <w:rPr>
          <w:bCs/>
          <w:sz w:val="24"/>
        </w:rPr>
      </w:pPr>
      <w:r>
        <w:rPr>
          <w:rFonts w:hint="eastAsia"/>
          <w:bCs/>
          <w:sz w:val="24"/>
        </w:rPr>
        <w:t>（</w:t>
      </w:r>
      <w:r>
        <w:rPr>
          <w:bCs/>
          <w:sz w:val="24"/>
        </w:rPr>
        <w:t>2</w:t>
      </w:r>
      <w:r>
        <w:rPr>
          <w:rFonts w:hint="eastAsia"/>
          <w:bCs/>
          <w:sz w:val="24"/>
        </w:rPr>
        <w:t>）根据估值错误处理原则或当事人协商的方法对因估值错误造成的损失进行评估；</w:t>
      </w:r>
    </w:p>
    <w:p w14:paraId="5D89175D" w14:textId="77777777" w:rsidR="00D04107" w:rsidRDefault="000C2DB0" w:rsidP="000C2DB0">
      <w:pPr>
        <w:spacing w:line="360" w:lineRule="auto"/>
        <w:ind w:firstLineChars="177" w:firstLine="425"/>
        <w:rPr>
          <w:bCs/>
          <w:sz w:val="24"/>
        </w:rPr>
      </w:pPr>
      <w:r>
        <w:rPr>
          <w:rFonts w:hint="eastAsia"/>
          <w:bCs/>
          <w:sz w:val="24"/>
        </w:rPr>
        <w:t>（</w:t>
      </w:r>
      <w:r>
        <w:rPr>
          <w:bCs/>
          <w:sz w:val="24"/>
        </w:rPr>
        <w:t>3</w:t>
      </w:r>
      <w:r>
        <w:rPr>
          <w:rFonts w:hint="eastAsia"/>
          <w:bCs/>
          <w:sz w:val="24"/>
        </w:rPr>
        <w:t>）根据估值错误处理原则或当事人协商的方法由估值错误的责任方进行更正和赔偿损失；</w:t>
      </w:r>
    </w:p>
    <w:p w14:paraId="6F5242BE" w14:textId="77777777" w:rsidR="00D04107" w:rsidRDefault="000C2DB0" w:rsidP="000C2DB0">
      <w:pPr>
        <w:spacing w:line="360" w:lineRule="auto"/>
        <w:ind w:firstLineChars="177" w:firstLine="425"/>
        <w:rPr>
          <w:bCs/>
          <w:sz w:val="24"/>
        </w:rPr>
      </w:pPr>
      <w:r>
        <w:rPr>
          <w:rFonts w:hint="eastAsia"/>
          <w:bCs/>
          <w:sz w:val="24"/>
        </w:rPr>
        <w:t>（</w:t>
      </w:r>
      <w:r>
        <w:rPr>
          <w:bCs/>
          <w:sz w:val="24"/>
        </w:rPr>
        <w:t>4</w:t>
      </w:r>
      <w:r>
        <w:rPr>
          <w:rFonts w:hint="eastAsia"/>
          <w:bCs/>
          <w:sz w:val="24"/>
        </w:rPr>
        <w:t>）根据估值错误处理的方法，需要修改基金登记机构交易数据的，由基金登记机构进行更正，并就估值错误的更正向有关当事人进行确认。</w:t>
      </w:r>
    </w:p>
    <w:p w14:paraId="41D76BCF" w14:textId="77777777" w:rsidR="00D04107" w:rsidRDefault="000C2DB0" w:rsidP="000C2DB0">
      <w:pPr>
        <w:spacing w:line="360" w:lineRule="auto"/>
        <w:ind w:firstLineChars="177" w:firstLine="425"/>
        <w:rPr>
          <w:bCs/>
          <w:sz w:val="24"/>
        </w:rPr>
      </w:pPr>
      <w:r>
        <w:rPr>
          <w:bCs/>
          <w:sz w:val="24"/>
        </w:rPr>
        <w:t>4</w:t>
      </w:r>
      <w:r>
        <w:rPr>
          <w:rFonts w:hint="eastAsia"/>
          <w:bCs/>
          <w:sz w:val="24"/>
        </w:rPr>
        <w:t>、基金估值错误处理的方法如下：</w:t>
      </w:r>
    </w:p>
    <w:p w14:paraId="004FB68D" w14:textId="77777777" w:rsidR="00D04107" w:rsidRDefault="000C2DB0" w:rsidP="000C2DB0">
      <w:pPr>
        <w:spacing w:line="360" w:lineRule="auto"/>
        <w:ind w:firstLineChars="177" w:firstLine="425"/>
        <w:rPr>
          <w:bCs/>
          <w:sz w:val="24"/>
        </w:rPr>
      </w:pPr>
      <w:r>
        <w:rPr>
          <w:rFonts w:hint="eastAsia"/>
          <w:bCs/>
          <w:sz w:val="24"/>
        </w:rPr>
        <w:t>（</w:t>
      </w:r>
      <w:r>
        <w:rPr>
          <w:bCs/>
          <w:sz w:val="24"/>
        </w:rPr>
        <w:t>1</w:t>
      </w:r>
      <w:r>
        <w:rPr>
          <w:rFonts w:hint="eastAsia"/>
          <w:bCs/>
          <w:sz w:val="24"/>
        </w:rPr>
        <w:t>）基金估值出现错误时，基金管理人应当立即予以纠正，通报基金托管人，并采取合理的措施防止损失进一步扩大。</w:t>
      </w:r>
    </w:p>
    <w:p w14:paraId="0D1AE43E" w14:textId="77777777" w:rsidR="00784313" w:rsidRDefault="000C2DB0" w:rsidP="00597FDB">
      <w:pPr>
        <w:spacing w:line="360" w:lineRule="auto"/>
        <w:ind w:firstLineChars="177" w:firstLine="425"/>
        <w:rPr>
          <w:rFonts w:asciiTheme="minorEastAsia" w:eastAsiaTheme="minorEastAsia" w:hAnsiTheme="minorEastAsia"/>
          <w:bCs/>
          <w:sz w:val="24"/>
        </w:rPr>
      </w:pPr>
      <w:r>
        <w:rPr>
          <w:rFonts w:hint="eastAsia"/>
          <w:bCs/>
          <w:sz w:val="24"/>
        </w:rPr>
        <w:t>（</w:t>
      </w:r>
      <w:r>
        <w:rPr>
          <w:bCs/>
          <w:sz w:val="24"/>
        </w:rPr>
        <w:t>2</w:t>
      </w:r>
      <w:r>
        <w:rPr>
          <w:rFonts w:hint="eastAsia"/>
          <w:bCs/>
          <w:sz w:val="24"/>
        </w:rPr>
        <w:t>）错误偏差达到基金资产净值的</w:t>
      </w:r>
      <w:r>
        <w:rPr>
          <w:bCs/>
          <w:sz w:val="24"/>
        </w:rPr>
        <w:t>0.25%</w:t>
      </w:r>
      <w:r>
        <w:rPr>
          <w:rFonts w:hint="eastAsia"/>
          <w:bCs/>
          <w:sz w:val="24"/>
        </w:rPr>
        <w:t>时，基金管理人应当通报基金托管人并</w:t>
      </w:r>
      <w:r>
        <w:rPr>
          <w:rFonts w:asciiTheme="minorEastAsia" w:eastAsiaTheme="minorEastAsia" w:hAnsiTheme="minorEastAsia" w:hint="eastAsia"/>
          <w:bCs/>
          <w:sz w:val="24"/>
        </w:rPr>
        <w:t>报中国证监会备案；错误偏差达到基金资产净值的</w:t>
      </w:r>
      <w:r>
        <w:rPr>
          <w:rFonts w:asciiTheme="minorEastAsia" w:eastAsiaTheme="minorEastAsia" w:hAnsiTheme="minorEastAsia"/>
          <w:bCs/>
          <w:sz w:val="24"/>
        </w:rPr>
        <w:t>0.5%</w:t>
      </w:r>
      <w:r>
        <w:rPr>
          <w:rFonts w:asciiTheme="minorEastAsia" w:eastAsiaTheme="minorEastAsia" w:hAnsiTheme="minorEastAsia" w:hint="eastAsia"/>
          <w:bCs/>
          <w:sz w:val="24"/>
        </w:rPr>
        <w:t>时，基金管理人应当公告。</w:t>
      </w:r>
    </w:p>
    <w:p w14:paraId="5BB2C7A9" w14:textId="77777777" w:rsidR="00D04107" w:rsidRDefault="000C2DB0" w:rsidP="000C2DB0">
      <w:pPr>
        <w:spacing w:line="360" w:lineRule="auto"/>
        <w:ind w:firstLineChars="177" w:firstLine="425"/>
        <w:rPr>
          <w:rFonts w:asciiTheme="minorEastAsia" w:eastAsiaTheme="minorEastAsia" w:hAnsiTheme="minorEastAsia"/>
          <w:color w:val="000000"/>
          <w:kern w:val="0"/>
          <w:sz w:val="24"/>
        </w:rPr>
      </w:pPr>
      <w:r>
        <w:rPr>
          <w:rFonts w:asciiTheme="minorEastAsia" w:eastAsiaTheme="minorEastAsia" w:hAnsiTheme="minorEastAsia" w:hint="eastAsia"/>
          <w:bCs/>
          <w:sz w:val="24"/>
        </w:rPr>
        <w:t>（</w:t>
      </w:r>
      <w:r>
        <w:rPr>
          <w:rFonts w:asciiTheme="minorEastAsia" w:eastAsiaTheme="minorEastAsia" w:hAnsiTheme="minorEastAsia"/>
          <w:bCs/>
          <w:sz w:val="24"/>
        </w:rPr>
        <w:t>3</w:t>
      </w:r>
      <w:r>
        <w:rPr>
          <w:rFonts w:asciiTheme="minorEastAsia" w:eastAsiaTheme="minorEastAsia" w:hAnsiTheme="minorEastAsia" w:hint="eastAsia"/>
          <w:bCs/>
          <w:sz w:val="24"/>
        </w:rPr>
        <w:t>）前述内容如法律法规或监管机关另有规定的，从其规定处理。</w:t>
      </w:r>
    </w:p>
    <w:p w14:paraId="74A27BE5"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（六）暂停估值的情形</w:t>
      </w:r>
    </w:p>
    <w:p w14:paraId="1877E51F"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1、基金投资所涉及的证券交易市场遇法定节假日或因其他原因暂停营业时；</w:t>
      </w:r>
    </w:p>
    <w:p w14:paraId="4A9DA383" w14:textId="77777777" w:rsidR="00D04107" w:rsidRPr="00597FDB" w:rsidRDefault="000C2DB0">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bCs/>
          <w:sz w:val="24"/>
        </w:rPr>
        <w:t>2、因不可抗力致使基金管理人、基金托管人无法准确评估基金资产价值时；</w:t>
      </w:r>
    </w:p>
    <w:p w14:paraId="1C96BCD9" w14:textId="77777777" w:rsidR="00597FDB" w:rsidRPr="00597FDB" w:rsidRDefault="00597FDB">
      <w:pPr>
        <w:spacing w:line="360" w:lineRule="auto"/>
        <w:ind w:firstLineChars="200" w:firstLine="480"/>
        <w:rPr>
          <w:rFonts w:asciiTheme="minorEastAsia" w:eastAsiaTheme="minorEastAsia" w:hAnsiTheme="minorEastAsia"/>
          <w:bCs/>
          <w:sz w:val="24"/>
        </w:rPr>
      </w:pPr>
      <w:r w:rsidRPr="00597FDB">
        <w:rPr>
          <w:rFonts w:asciiTheme="minorEastAsia" w:eastAsiaTheme="minorEastAsia" w:hAnsiTheme="minorEastAsia" w:hint="eastAsia"/>
          <w:bCs/>
          <w:sz w:val="24"/>
        </w:rPr>
        <w:t>3、</w:t>
      </w:r>
      <w:r w:rsidRPr="00597FDB">
        <w:rPr>
          <w:rFonts w:asciiTheme="minorEastAsia" w:eastAsiaTheme="minorEastAsia" w:hAnsiTheme="minorEastAsia" w:hint="eastAsia"/>
          <w:kern w:val="0"/>
          <w:sz w:val="24"/>
        </w:rPr>
        <w:t>当前一估值日基金资产净值</w:t>
      </w:r>
      <w:r w:rsidRPr="00597FDB">
        <w:rPr>
          <w:rFonts w:asciiTheme="minorEastAsia" w:eastAsiaTheme="minorEastAsia" w:hAnsiTheme="minorEastAsia"/>
          <w:kern w:val="0"/>
          <w:sz w:val="24"/>
        </w:rPr>
        <w:t>50%</w:t>
      </w:r>
      <w:r w:rsidRPr="00597FDB">
        <w:rPr>
          <w:rFonts w:asciiTheme="minorEastAsia" w:eastAsiaTheme="minorEastAsia" w:hAnsiTheme="minorEastAsia" w:hint="eastAsia"/>
          <w:kern w:val="0"/>
          <w:sz w:val="24"/>
        </w:rPr>
        <w:t>以上的资产出现无可参考的活跃市场价格且采用估值技术仍导致公允价值存在重大不确定性，经与基金托管人协商确认的；</w:t>
      </w:r>
    </w:p>
    <w:p w14:paraId="5DD785A8" w14:textId="77777777" w:rsidR="00D04107" w:rsidRPr="00597FDB" w:rsidRDefault="00597FDB">
      <w:pPr>
        <w:spacing w:line="360" w:lineRule="auto"/>
        <w:ind w:firstLineChars="200" w:firstLine="480"/>
        <w:rPr>
          <w:rFonts w:asciiTheme="minorEastAsia" w:eastAsiaTheme="minorEastAsia" w:hAnsiTheme="minorEastAsia"/>
          <w:color w:val="000000"/>
          <w:kern w:val="0"/>
          <w:sz w:val="24"/>
        </w:rPr>
      </w:pPr>
      <w:r w:rsidRPr="00597FDB">
        <w:rPr>
          <w:rFonts w:asciiTheme="minorEastAsia" w:eastAsiaTheme="minorEastAsia" w:hAnsiTheme="minorEastAsia" w:hint="eastAsia"/>
          <w:bCs/>
          <w:sz w:val="24"/>
        </w:rPr>
        <w:t>4</w:t>
      </w:r>
      <w:r w:rsidR="000C2DB0" w:rsidRPr="00597FDB">
        <w:rPr>
          <w:rFonts w:asciiTheme="minorEastAsia" w:eastAsiaTheme="minorEastAsia" w:hAnsiTheme="minorEastAsia"/>
          <w:bCs/>
          <w:sz w:val="24"/>
        </w:rPr>
        <w:t>、中国证监会和基金合同认定的其它情形。</w:t>
      </w:r>
    </w:p>
    <w:p w14:paraId="302F5A0B"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（七）基金净值的确认</w:t>
      </w:r>
    </w:p>
    <w:p w14:paraId="239E33EF" w14:textId="77777777" w:rsidR="00D04107" w:rsidRDefault="000C2DB0" w:rsidP="000C2DB0">
      <w:pPr>
        <w:spacing w:line="360" w:lineRule="auto"/>
        <w:ind w:firstLineChars="177" w:firstLine="425"/>
        <w:rPr>
          <w:rFonts w:ascii="宋体" w:hAnsi="宋体"/>
          <w:color w:val="000000"/>
          <w:kern w:val="0"/>
          <w:sz w:val="24"/>
        </w:rPr>
      </w:pPr>
      <w:r>
        <w:rPr>
          <w:bCs/>
          <w:sz w:val="24"/>
        </w:rPr>
        <w:t>用于基金信息披露的基金资产净值、各类基金份额的每万份基金已实现收益和</w:t>
      </w:r>
      <w:r>
        <w:rPr>
          <w:bCs/>
          <w:sz w:val="24"/>
        </w:rPr>
        <w:t>7</w:t>
      </w:r>
      <w:r>
        <w:rPr>
          <w:bCs/>
          <w:sz w:val="24"/>
        </w:rPr>
        <w:t>日年化收益率由基金管理人负责计算，基金托管人负责进行复核。基金管理人应</w:t>
      </w:r>
      <w:r>
        <w:rPr>
          <w:bCs/>
          <w:sz w:val="24"/>
        </w:rPr>
        <w:lastRenderedPageBreak/>
        <w:t>于每个</w:t>
      </w:r>
      <w:r>
        <w:rPr>
          <w:rFonts w:hint="eastAsia"/>
          <w:bCs/>
          <w:sz w:val="24"/>
        </w:rPr>
        <w:t>工作</w:t>
      </w:r>
      <w:r>
        <w:rPr>
          <w:bCs/>
          <w:sz w:val="24"/>
        </w:rPr>
        <w:t>交易结束后计算当日的基金资产净值、各类基金份额的每万份基金已实现收益和</w:t>
      </w:r>
      <w:r>
        <w:rPr>
          <w:bCs/>
          <w:sz w:val="24"/>
        </w:rPr>
        <w:t>7</w:t>
      </w:r>
      <w:r>
        <w:rPr>
          <w:bCs/>
          <w:sz w:val="24"/>
        </w:rPr>
        <w:t>日年化收益率并发送给基金托管人。基金托管人对净值计算结果复核确认后发送给基金管理人，由基金管理人对基金净值予以公布。</w:t>
      </w:r>
    </w:p>
    <w:p w14:paraId="073B2CCC"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（八</w:t>
      </w:r>
      <w:r>
        <w:rPr>
          <w:rFonts w:ascii="宋体" w:hAnsi="宋体"/>
          <w:color w:val="000000"/>
          <w:kern w:val="0"/>
          <w:sz w:val="24"/>
        </w:rPr>
        <w:t>）</w:t>
      </w:r>
      <w:r>
        <w:rPr>
          <w:rFonts w:ascii="宋体" w:hAnsi="宋体" w:hint="eastAsia"/>
          <w:color w:val="000000"/>
          <w:kern w:val="0"/>
          <w:sz w:val="24"/>
        </w:rPr>
        <w:t>特殊情况的处理</w:t>
      </w:r>
    </w:p>
    <w:p w14:paraId="043240D7"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、基金管理人或基金托管人按估值方法的第</w:t>
      </w:r>
      <w:r>
        <w:rPr>
          <w:rFonts w:hint="eastAsia"/>
          <w:bCs/>
          <w:sz w:val="24"/>
        </w:rPr>
        <w:t>3</w:t>
      </w:r>
      <w:r>
        <w:rPr>
          <w:rFonts w:hint="eastAsia"/>
          <w:bCs/>
          <w:sz w:val="24"/>
        </w:rPr>
        <w:t>项进行估值时，所造成的误差不作为基金资产估值错误处理。</w:t>
      </w:r>
    </w:p>
    <w:p w14:paraId="16EE2A76" w14:textId="77777777" w:rsidR="00D04107" w:rsidRDefault="000C2DB0">
      <w:pPr>
        <w:spacing w:line="360" w:lineRule="auto"/>
        <w:ind w:firstLineChars="200" w:firstLine="480"/>
        <w:rPr>
          <w:bCs/>
          <w:sz w:val="24"/>
        </w:rPr>
      </w:pPr>
      <w:r>
        <w:rPr>
          <w:rFonts w:hint="eastAsia"/>
          <w:bCs/>
          <w:sz w:val="24"/>
        </w:rPr>
        <w:t>2</w:t>
      </w:r>
      <w:r>
        <w:rPr>
          <w:rFonts w:hint="eastAsia"/>
          <w:bCs/>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49DFA6BE" w14:textId="77777777" w:rsidR="00D04107" w:rsidRDefault="00D04107" w:rsidP="000C2DB0">
      <w:pPr>
        <w:spacing w:line="360" w:lineRule="auto"/>
        <w:ind w:firstLineChars="177" w:firstLine="425"/>
        <w:rPr>
          <w:bCs/>
          <w:sz w:val="24"/>
        </w:rPr>
      </w:pPr>
    </w:p>
    <w:p w14:paraId="240C9181"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rPr>
        <w:br w:type="page"/>
      </w:r>
      <w:bookmarkStart w:id="86" w:name="_Toc482624801"/>
      <w:bookmarkStart w:id="87" w:name="_Toc256666921"/>
      <w:bookmarkStart w:id="88" w:name="_Toc6757"/>
      <w:bookmarkStart w:id="89" w:name="_Toc256666801"/>
      <w:bookmarkStart w:id="90" w:name="_Toc12378"/>
      <w:r>
        <w:rPr>
          <w:rFonts w:ascii="宋体" w:hAnsi="宋体" w:hint="eastAsia"/>
          <w:color w:val="000000"/>
          <w:kern w:val="0"/>
          <w:sz w:val="24"/>
          <w:szCs w:val="24"/>
        </w:rPr>
        <w:lastRenderedPageBreak/>
        <w:t>第十二部分  基金的收益与分配</w:t>
      </w:r>
      <w:bookmarkEnd w:id="86"/>
      <w:bookmarkEnd w:id="87"/>
      <w:bookmarkEnd w:id="88"/>
      <w:bookmarkEnd w:id="89"/>
      <w:bookmarkEnd w:id="90"/>
    </w:p>
    <w:p w14:paraId="1136CA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（一）基金利润的构成</w:t>
      </w:r>
    </w:p>
    <w:p w14:paraId="7E0237CE" w14:textId="77777777" w:rsidR="00D04107" w:rsidRDefault="000C2DB0">
      <w:pPr>
        <w:spacing w:line="360" w:lineRule="auto"/>
        <w:ind w:firstLineChars="225" w:firstLine="540"/>
        <w:rPr>
          <w:bCs/>
          <w:sz w:val="24"/>
        </w:rPr>
      </w:pPr>
      <w:r>
        <w:rPr>
          <w:bCs/>
          <w:sz w:val="24"/>
        </w:rPr>
        <w:t>基金利润指基金利息收入、投资收益、公允价值变动收益和其他收入扣除相关费用后的余额，基金已实现收益指基金利润减去公允价值变动收益后的余额。</w:t>
      </w:r>
    </w:p>
    <w:p w14:paraId="3623CE5A"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（二）</w:t>
      </w:r>
      <w:r>
        <w:rPr>
          <w:rFonts w:ascii="宋体" w:hAnsi="宋体" w:hint="eastAsia"/>
          <w:color w:val="000000"/>
          <w:kern w:val="0"/>
          <w:sz w:val="24"/>
        </w:rPr>
        <w:t>基金收益分配原则</w:t>
      </w:r>
    </w:p>
    <w:p w14:paraId="16B0178F"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本基金收益分配应遵循下列原则：</w:t>
      </w:r>
    </w:p>
    <w:p w14:paraId="7C8479A6"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1</w:t>
      </w:r>
      <w:r>
        <w:rPr>
          <w:rFonts w:hint="eastAsia"/>
          <w:bCs/>
          <w:sz w:val="24"/>
        </w:rPr>
        <w:t>、本基金每份基金份额享有同等分配权；</w:t>
      </w:r>
    </w:p>
    <w:p w14:paraId="013BD80F"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2</w:t>
      </w:r>
      <w:r>
        <w:rPr>
          <w:rFonts w:hint="eastAsia"/>
          <w:bCs/>
          <w:sz w:val="24"/>
        </w:rPr>
        <w:t>、本基金收益分配方式为红利再投资，免收再投资的费用；</w:t>
      </w:r>
    </w:p>
    <w:p w14:paraId="6FDC6993"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3</w:t>
      </w:r>
      <w:r>
        <w:rPr>
          <w:rFonts w:hint="eastAsia"/>
          <w:bCs/>
          <w:sz w:val="24"/>
        </w:rPr>
        <w:t>、</w:t>
      </w:r>
      <w:r>
        <w:rPr>
          <w:bCs/>
          <w:sz w:val="24"/>
        </w:rPr>
        <w:t>“</w:t>
      </w:r>
      <w:r>
        <w:rPr>
          <w:rFonts w:hint="eastAsia"/>
          <w:bCs/>
          <w:sz w:val="24"/>
        </w:rPr>
        <w:t>每日分配、按月支付</w:t>
      </w:r>
      <w:r>
        <w:rPr>
          <w:bCs/>
          <w:sz w:val="24"/>
        </w:rPr>
        <w:t>”</w:t>
      </w:r>
      <w:r>
        <w:rPr>
          <w:rFonts w:hint="eastAsia"/>
          <w:bCs/>
          <w:sz w:val="24"/>
        </w:rPr>
        <w:t>。本基金根据每日基金收益情况，以每万份基金已实现收益为基准，为投资人每日计算当日收益并分配，每月进行支付。投资人当日收益分配的计算保留到小数点后</w:t>
      </w:r>
      <w:r>
        <w:rPr>
          <w:bCs/>
          <w:sz w:val="24"/>
        </w:rPr>
        <w:t>2</w:t>
      </w:r>
      <w:r>
        <w:rPr>
          <w:rFonts w:hint="eastAsia"/>
          <w:bCs/>
          <w:sz w:val="24"/>
        </w:rPr>
        <w:t>位，小数点后第</w:t>
      </w:r>
      <w:r>
        <w:rPr>
          <w:bCs/>
          <w:sz w:val="24"/>
        </w:rPr>
        <w:t>3</w:t>
      </w:r>
      <w:r>
        <w:rPr>
          <w:rFonts w:hint="eastAsia"/>
          <w:bCs/>
          <w:sz w:val="24"/>
        </w:rPr>
        <w:t>位按去尾原则处理，因去尾形成的余额进行再次分配，直到分完为止；</w:t>
      </w:r>
    </w:p>
    <w:p w14:paraId="75CB1A18"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4</w:t>
      </w:r>
      <w:r>
        <w:rPr>
          <w:rFonts w:hint="eastAsia"/>
          <w:bCs/>
          <w:sz w:val="24"/>
        </w:rPr>
        <w:t>、本基金根据每日收益情况，将当日收益全部分配，若当日已实现收益大于零时，为投资人记正收益；若当日已实现收益小于零时，为投资人记负收益；若当日已实现收益等于零时，当日投资人不记收益；</w:t>
      </w:r>
    </w:p>
    <w:p w14:paraId="0BB51377" w14:textId="77777777" w:rsidR="00D04107" w:rsidRDefault="000C2DB0" w:rsidP="000C2DB0">
      <w:pPr>
        <w:autoSpaceDE w:val="0"/>
        <w:autoSpaceDN w:val="0"/>
        <w:adjustRightInd w:val="0"/>
        <w:spacing w:line="360" w:lineRule="auto"/>
        <w:ind w:firstLineChars="177" w:firstLine="425"/>
        <w:jc w:val="left"/>
        <w:rPr>
          <w:bCs/>
          <w:sz w:val="24"/>
        </w:rPr>
      </w:pPr>
      <w:r>
        <w:rPr>
          <w:bCs/>
          <w:sz w:val="24"/>
        </w:rPr>
        <w:t>5</w:t>
      </w:r>
      <w:r>
        <w:rPr>
          <w:bCs/>
          <w:sz w:val="24"/>
        </w:rPr>
        <w:t>、本基金每日进行收益计算并分配，</w:t>
      </w:r>
      <w:r>
        <w:rPr>
          <w:rFonts w:hint="eastAsia"/>
          <w:bCs/>
          <w:sz w:val="24"/>
        </w:rPr>
        <w:t>每月</w:t>
      </w:r>
      <w:r>
        <w:rPr>
          <w:bCs/>
          <w:sz w:val="24"/>
        </w:rPr>
        <w:t>收益支付方式只采用红利再投资（即红利转基金份额）方式</w:t>
      </w:r>
      <w:r>
        <w:rPr>
          <w:rFonts w:hint="eastAsia"/>
          <w:bCs/>
          <w:sz w:val="24"/>
        </w:rPr>
        <w:t>。</w:t>
      </w:r>
      <w:r>
        <w:rPr>
          <w:bCs/>
          <w:sz w:val="24"/>
        </w:rPr>
        <w:t>若投资人在每月累计收益支付时</w:t>
      </w:r>
      <w:r>
        <w:rPr>
          <w:rFonts w:hint="eastAsia"/>
          <w:bCs/>
          <w:sz w:val="24"/>
        </w:rPr>
        <w:t>，</w:t>
      </w:r>
      <w:r>
        <w:rPr>
          <w:bCs/>
          <w:sz w:val="24"/>
        </w:rPr>
        <w:t>其累计收益为正值</w:t>
      </w:r>
      <w:r>
        <w:rPr>
          <w:rFonts w:hint="eastAsia"/>
          <w:bCs/>
          <w:sz w:val="24"/>
        </w:rPr>
        <w:t>，</w:t>
      </w:r>
      <w:r>
        <w:rPr>
          <w:bCs/>
          <w:sz w:val="24"/>
        </w:rPr>
        <w:t>则为投资人增加相应的基金份额</w:t>
      </w:r>
      <w:r>
        <w:rPr>
          <w:rFonts w:hint="eastAsia"/>
          <w:bCs/>
          <w:sz w:val="24"/>
        </w:rPr>
        <w:t>；</w:t>
      </w:r>
      <w:r>
        <w:rPr>
          <w:bCs/>
          <w:sz w:val="24"/>
        </w:rPr>
        <w:t>其累计收益为负值</w:t>
      </w:r>
      <w:r>
        <w:rPr>
          <w:rFonts w:hint="eastAsia"/>
          <w:bCs/>
          <w:sz w:val="24"/>
        </w:rPr>
        <w:t>，</w:t>
      </w:r>
      <w:r>
        <w:rPr>
          <w:bCs/>
          <w:sz w:val="24"/>
        </w:rPr>
        <w:t>则缩减投资人基金份额</w:t>
      </w:r>
      <w:r>
        <w:rPr>
          <w:rFonts w:hint="eastAsia"/>
          <w:bCs/>
          <w:sz w:val="24"/>
        </w:rPr>
        <w:t>。</w:t>
      </w:r>
      <w:r>
        <w:rPr>
          <w:bCs/>
          <w:sz w:val="24"/>
        </w:rPr>
        <w:t>若投资人赎回</w:t>
      </w:r>
      <w:r>
        <w:rPr>
          <w:rFonts w:hint="eastAsia"/>
          <w:bCs/>
          <w:sz w:val="24"/>
        </w:rPr>
        <w:t>全部</w:t>
      </w:r>
      <w:r>
        <w:rPr>
          <w:bCs/>
          <w:sz w:val="24"/>
        </w:rPr>
        <w:t>基金份额时，其对应收益将立即结清；若收益为负值，则从投资人赎回基金款中扣除；</w:t>
      </w:r>
    </w:p>
    <w:p w14:paraId="3CB882BD"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6</w:t>
      </w:r>
      <w:r>
        <w:rPr>
          <w:rFonts w:hint="eastAsia"/>
          <w:bCs/>
          <w:sz w:val="24"/>
        </w:rPr>
        <w:t>、当日申购的基金份额自下一个工作日起，享有基金的收益分配权益；当日赎回的基金份额自下一个工作日起，不享有基金的收益分配权益；</w:t>
      </w:r>
    </w:p>
    <w:p w14:paraId="0D7C6395" w14:textId="77777777" w:rsidR="00D04107" w:rsidRDefault="000C2DB0" w:rsidP="000C2DB0">
      <w:pPr>
        <w:autoSpaceDE w:val="0"/>
        <w:autoSpaceDN w:val="0"/>
        <w:adjustRightInd w:val="0"/>
        <w:spacing w:line="360" w:lineRule="auto"/>
        <w:ind w:firstLineChars="177" w:firstLine="425"/>
        <w:jc w:val="left"/>
        <w:rPr>
          <w:bCs/>
          <w:sz w:val="24"/>
        </w:rPr>
      </w:pPr>
      <w:r>
        <w:rPr>
          <w:rFonts w:hint="eastAsia"/>
          <w:bCs/>
          <w:sz w:val="24"/>
        </w:rPr>
        <w:t>7</w:t>
      </w:r>
      <w:r>
        <w:rPr>
          <w:rFonts w:hint="eastAsia"/>
          <w:bCs/>
          <w:sz w:val="24"/>
        </w:rPr>
        <w:t>、法律法规或监管机构另有规定的从其规定。</w:t>
      </w:r>
    </w:p>
    <w:p w14:paraId="7804F336" w14:textId="77777777" w:rsidR="00D04107" w:rsidRDefault="000C2DB0" w:rsidP="000C2DB0">
      <w:pPr>
        <w:spacing w:line="360" w:lineRule="auto"/>
        <w:ind w:firstLineChars="177" w:firstLine="425"/>
        <w:rPr>
          <w:rFonts w:ascii="宋体" w:hAnsi="宋体"/>
          <w:color w:val="000000"/>
          <w:kern w:val="0"/>
          <w:sz w:val="24"/>
        </w:rPr>
      </w:pPr>
      <w:bookmarkStart w:id="91" w:name="OLE_LINK5"/>
      <w:bookmarkStart w:id="92" w:name="OLE_LINK6"/>
      <w:r>
        <w:rPr>
          <w:rFonts w:hint="eastAsia"/>
          <w:bCs/>
          <w:sz w:val="24"/>
        </w:rPr>
        <w:t>在不违反法律法规及对基金份额持有人利益无实质不利影响的前提下，基金管理人可调整基金收益的分配原则和支付方式，不需召开基金份额持有人大会审议。</w:t>
      </w:r>
      <w:bookmarkEnd w:id="91"/>
      <w:bookmarkEnd w:id="92"/>
    </w:p>
    <w:p w14:paraId="70F365A3"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（三）收益分配方案</w:t>
      </w:r>
    </w:p>
    <w:p w14:paraId="448F0458"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lastRenderedPageBreak/>
        <w:t>本基金按日计算并分配收益，每月</w:t>
      </w:r>
      <w:r>
        <w:rPr>
          <w:bCs/>
          <w:sz w:val="24"/>
        </w:rPr>
        <w:t>例行对上</w:t>
      </w:r>
      <w:r>
        <w:rPr>
          <w:rFonts w:hint="eastAsia"/>
          <w:bCs/>
          <w:sz w:val="24"/>
        </w:rPr>
        <w:t>一月分配</w:t>
      </w:r>
      <w:r>
        <w:rPr>
          <w:bCs/>
          <w:sz w:val="24"/>
        </w:rPr>
        <w:t>的</w:t>
      </w:r>
      <w:r>
        <w:rPr>
          <w:rFonts w:hint="eastAsia"/>
          <w:bCs/>
          <w:sz w:val="24"/>
        </w:rPr>
        <w:t>未付</w:t>
      </w:r>
      <w:r>
        <w:rPr>
          <w:bCs/>
          <w:sz w:val="24"/>
        </w:rPr>
        <w:t>收益进行收益结转，</w:t>
      </w:r>
      <w:r>
        <w:rPr>
          <w:rFonts w:hint="eastAsia"/>
          <w:bCs/>
          <w:sz w:val="24"/>
        </w:rPr>
        <w:t>基金管理人不另行公告。</w:t>
      </w:r>
    </w:p>
    <w:p w14:paraId="3DA66DA0"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（四）收益分配的时间和程序</w:t>
      </w:r>
    </w:p>
    <w:p w14:paraId="34C85BCE" w14:textId="77777777" w:rsidR="00D04107" w:rsidRDefault="000C2DB0" w:rsidP="000C2DB0">
      <w:pPr>
        <w:spacing w:line="360" w:lineRule="auto"/>
        <w:ind w:firstLineChars="177" w:firstLine="425"/>
        <w:rPr>
          <w:rFonts w:ascii="宋体" w:hAnsi="宋体"/>
          <w:color w:val="000000"/>
          <w:kern w:val="0"/>
          <w:sz w:val="24"/>
        </w:rPr>
      </w:pPr>
      <w:r>
        <w:rPr>
          <w:rFonts w:hint="eastAsia"/>
          <w:bCs/>
          <w:sz w:val="24"/>
        </w:rPr>
        <w:t>本基金每日进行收益分配。每个工作日公告前一个开放日各类基金份额的每万份基金已实现收益和</w:t>
      </w:r>
      <w:r>
        <w:rPr>
          <w:rFonts w:hint="eastAsia"/>
          <w:bCs/>
          <w:sz w:val="24"/>
        </w:rPr>
        <w:t>7</w:t>
      </w:r>
      <w:r>
        <w:rPr>
          <w:rFonts w:hint="eastAsia"/>
          <w:bCs/>
          <w:sz w:val="24"/>
        </w:rPr>
        <w:t>日年化收益率。若遇法定节假日，应于节假日结束后第二个自然日，披露节假日期间各类</w:t>
      </w:r>
      <w:r>
        <w:rPr>
          <w:bCs/>
          <w:sz w:val="24"/>
        </w:rPr>
        <w:t>基金份额的</w:t>
      </w:r>
      <w:r>
        <w:rPr>
          <w:rFonts w:hint="eastAsia"/>
          <w:bCs/>
          <w:sz w:val="24"/>
        </w:rPr>
        <w:t>每万份基金已实现收益和节假日最后一日的</w:t>
      </w:r>
      <w:r>
        <w:rPr>
          <w:rFonts w:hint="eastAsia"/>
          <w:bCs/>
          <w:sz w:val="24"/>
        </w:rPr>
        <w:t>7</w:t>
      </w:r>
      <w:r>
        <w:rPr>
          <w:rFonts w:hint="eastAsia"/>
          <w:bCs/>
          <w:sz w:val="24"/>
        </w:rPr>
        <w:t>日年化收益率，以及节假日后首个开放日各类</w:t>
      </w:r>
      <w:r>
        <w:rPr>
          <w:bCs/>
          <w:sz w:val="24"/>
        </w:rPr>
        <w:t>基金份额的</w:t>
      </w:r>
      <w:r>
        <w:rPr>
          <w:rFonts w:hint="eastAsia"/>
          <w:bCs/>
          <w:sz w:val="24"/>
        </w:rPr>
        <w:t>每万份基金已实现收益和</w:t>
      </w:r>
      <w:r>
        <w:rPr>
          <w:rFonts w:hint="eastAsia"/>
          <w:bCs/>
          <w:sz w:val="24"/>
        </w:rPr>
        <w:t>7</w:t>
      </w:r>
      <w:r>
        <w:rPr>
          <w:rFonts w:hint="eastAsia"/>
          <w:bCs/>
          <w:sz w:val="24"/>
        </w:rPr>
        <w:t>日年化收益率。经中国证监会同意，可以适当延迟计算或公告。法律法规另有规定的，从其规定。</w:t>
      </w:r>
    </w:p>
    <w:p w14:paraId="0576CF06"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（五）</w:t>
      </w:r>
      <w:r>
        <w:rPr>
          <w:rFonts w:hint="eastAsia"/>
          <w:bCs/>
          <w:sz w:val="24"/>
        </w:rPr>
        <w:t>本基金每万份基金已实现收益及</w:t>
      </w:r>
      <w:r>
        <w:rPr>
          <w:bCs/>
          <w:sz w:val="24"/>
        </w:rPr>
        <w:t>7</w:t>
      </w:r>
      <w:r>
        <w:rPr>
          <w:rFonts w:hint="eastAsia"/>
          <w:bCs/>
          <w:sz w:val="24"/>
        </w:rPr>
        <w:t>日年化收益率的计算见基金合同第十八部分。</w:t>
      </w:r>
    </w:p>
    <w:p w14:paraId="39F0BCD9" w14:textId="77777777" w:rsidR="00D04107" w:rsidRDefault="000C2DB0" w:rsidP="00165EFD">
      <w:pPr>
        <w:pStyle w:val="1"/>
        <w:pageBreakBefore/>
        <w:spacing w:beforeLines="50" w:before="120" w:afterLines="50" w:after="120" w:line="360" w:lineRule="auto"/>
        <w:ind w:firstLine="420"/>
        <w:jc w:val="center"/>
        <w:rPr>
          <w:rFonts w:ascii="宋体" w:hAnsi="宋体"/>
          <w:color w:val="000000"/>
          <w:kern w:val="0"/>
          <w:sz w:val="24"/>
        </w:rPr>
      </w:pPr>
      <w:bookmarkStart w:id="93" w:name="_Hlt80958353"/>
      <w:bookmarkStart w:id="94" w:name="_Toc256666802"/>
      <w:bookmarkStart w:id="95" w:name="_Toc482624802"/>
      <w:bookmarkStart w:id="96" w:name="_Toc225576446"/>
      <w:bookmarkStart w:id="97" w:name="_Toc256666922"/>
      <w:bookmarkStart w:id="98" w:name="_Toc230166639"/>
      <w:bookmarkStart w:id="99" w:name="_Toc194043155"/>
      <w:bookmarkStart w:id="100" w:name="_Toc194043650"/>
      <w:bookmarkStart w:id="101" w:name="_Toc225445656"/>
      <w:bookmarkStart w:id="102" w:name="_Toc895"/>
      <w:bookmarkStart w:id="103" w:name="_Toc31494"/>
      <w:bookmarkEnd w:id="93"/>
      <w:r>
        <w:rPr>
          <w:rFonts w:ascii="宋体" w:hAnsi="宋体" w:hint="eastAsia"/>
          <w:color w:val="000000"/>
          <w:kern w:val="0"/>
          <w:sz w:val="24"/>
          <w:szCs w:val="24"/>
        </w:rPr>
        <w:lastRenderedPageBreak/>
        <w:t>第十三部分</w:t>
      </w:r>
      <w:r>
        <w:rPr>
          <w:rFonts w:ascii="宋体" w:hAnsi="宋体"/>
          <w:color w:val="000000"/>
          <w:kern w:val="0"/>
          <w:sz w:val="24"/>
          <w:szCs w:val="24"/>
        </w:rPr>
        <w:t xml:space="preserve">  </w:t>
      </w:r>
      <w:r>
        <w:rPr>
          <w:rFonts w:ascii="宋体" w:hAnsi="宋体" w:hint="eastAsia"/>
          <w:color w:val="000000"/>
          <w:kern w:val="0"/>
          <w:sz w:val="24"/>
          <w:szCs w:val="24"/>
        </w:rPr>
        <w:t>基金的费用与税收</w:t>
      </w:r>
      <w:bookmarkEnd w:id="94"/>
      <w:bookmarkEnd w:id="95"/>
      <w:bookmarkEnd w:id="96"/>
      <w:bookmarkEnd w:id="97"/>
      <w:bookmarkEnd w:id="98"/>
      <w:bookmarkEnd w:id="99"/>
      <w:bookmarkEnd w:id="100"/>
      <w:bookmarkEnd w:id="101"/>
      <w:bookmarkEnd w:id="102"/>
      <w:bookmarkEnd w:id="103"/>
    </w:p>
    <w:p w14:paraId="638995F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（一）基金费用的种类</w:t>
      </w:r>
    </w:p>
    <w:p w14:paraId="304BFDDA" w14:textId="77777777" w:rsidR="00D04107" w:rsidRDefault="000C2DB0">
      <w:pPr>
        <w:spacing w:line="360" w:lineRule="auto"/>
        <w:ind w:firstLineChars="200" w:firstLine="480"/>
        <w:rPr>
          <w:bCs/>
          <w:sz w:val="24"/>
        </w:rPr>
      </w:pPr>
      <w:r>
        <w:rPr>
          <w:bCs/>
          <w:sz w:val="24"/>
        </w:rPr>
        <w:t>1</w:t>
      </w:r>
      <w:r>
        <w:rPr>
          <w:bCs/>
          <w:sz w:val="24"/>
        </w:rPr>
        <w:t>、基金管理人的管理费；</w:t>
      </w:r>
    </w:p>
    <w:p w14:paraId="6E566018" w14:textId="77777777" w:rsidR="00D04107" w:rsidRDefault="000C2DB0">
      <w:pPr>
        <w:spacing w:line="360" w:lineRule="auto"/>
        <w:ind w:firstLineChars="200" w:firstLine="480"/>
        <w:rPr>
          <w:bCs/>
          <w:sz w:val="24"/>
        </w:rPr>
      </w:pPr>
      <w:r>
        <w:rPr>
          <w:bCs/>
          <w:sz w:val="24"/>
        </w:rPr>
        <w:t>2</w:t>
      </w:r>
      <w:r>
        <w:rPr>
          <w:bCs/>
          <w:sz w:val="24"/>
        </w:rPr>
        <w:t>、基金托管人的托管费；</w:t>
      </w:r>
    </w:p>
    <w:p w14:paraId="02B17900" w14:textId="77777777" w:rsidR="00D04107" w:rsidRDefault="000C2DB0">
      <w:pPr>
        <w:spacing w:line="360" w:lineRule="auto"/>
        <w:ind w:firstLineChars="200" w:firstLine="480"/>
        <w:rPr>
          <w:bCs/>
          <w:sz w:val="24"/>
        </w:rPr>
      </w:pPr>
      <w:r>
        <w:rPr>
          <w:rFonts w:hint="eastAsia"/>
          <w:bCs/>
          <w:sz w:val="24"/>
        </w:rPr>
        <w:t>3</w:t>
      </w:r>
      <w:r>
        <w:rPr>
          <w:rFonts w:hint="eastAsia"/>
          <w:bCs/>
          <w:sz w:val="24"/>
        </w:rPr>
        <w:t>、销售服务费；</w:t>
      </w:r>
    </w:p>
    <w:p w14:paraId="6D7BA746" w14:textId="77777777" w:rsidR="00D04107" w:rsidRDefault="000C2DB0">
      <w:pPr>
        <w:spacing w:line="360" w:lineRule="auto"/>
        <w:ind w:firstLineChars="200" w:firstLine="480"/>
        <w:rPr>
          <w:bCs/>
          <w:sz w:val="24"/>
        </w:rPr>
      </w:pPr>
      <w:r>
        <w:rPr>
          <w:bCs/>
          <w:sz w:val="24"/>
        </w:rPr>
        <w:t>4</w:t>
      </w:r>
      <w:r>
        <w:rPr>
          <w:bCs/>
          <w:sz w:val="24"/>
        </w:rPr>
        <w:t>、《基金合同》生效后与基金相关的信息披露费用；</w:t>
      </w:r>
    </w:p>
    <w:p w14:paraId="3BCD2410" w14:textId="77777777" w:rsidR="00D04107" w:rsidRDefault="000C2DB0">
      <w:pPr>
        <w:spacing w:line="360" w:lineRule="auto"/>
        <w:ind w:firstLineChars="200" w:firstLine="480"/>
        <w:rPr>
          <w:bCs/>
          <w:sz w:val="24"/>
        </w:rPr>
      </w:pPr>
      <w:r>
        <w:rPr>
          <w:bCs/>
          <w:sz w:val="24"/>
        </w:rPr>
        <w:t>5</w:t>
      </w:r>
      <w:r>
        <w:rPr>
          <w:bCs/>
          <w:sz w:val="24"/>
        </w:rPr>
        <w:t>、《基金合同》生效后与基金相关的会计师费、律师费和诉讼费；</w:t>
      </w:r>
    </w:p>
    <w:p w14:paraId="47ED5F7D" w14:textId="77777777" w:rsidR="00D04107" w:rsidRDefault="000C2DB0">
      <w:pPr>
        <w:spacing w:line="360" w:lineRule="auto"/>
        <w:ind w:firstLineChars="200" w:firstLine="480"/>
        <w:rPr>
          <w:bCs/>
          <w:sz w:val="24"/>
        </w:rPr>
      </w:pPr>
      <w:r>
        <w:rPr>
          <w:bCs/>
          <w:sz w:val="24"/>
        </w:rPr>
        <w:t>6</w:t>
      </w:r>
      <w:r>
        <w:rPr>
          <w:bCs/>
          <w:sz w:val="24"/>
        </w:rPr>
        <w:t>、基金份额持有人大会费用；</w:t>
      </w:r>
    </w:p>
    <w:p w14:paraId="78752AE7" w14:textId="77777777" w:rsidR="00D04107" w:rsidRDefault="000C2DB0">
      <w:pPr>
        <w:spacing w:line="360" w:lineRule="auto"/>
        <w:ind w:firstLineChars="200" w:firstLine="480"/>
        <w:rPr>
          <w:bCs/>
          <w:sz w:val="24"/>
        </w:rPr>
      </w:pPr>
      <w:r>
        <w:rPr>
          <w:bCs/>
          <w:sz w:val="24"/>
        </w:rPr>
        <w:t>7</w:t>
      </w:r>
      <w:r>
        <w:rPr>
          <w:bCs/>
          <w:sz w:val="24"/>
        </w:rPr>
        <w:t>、基金的证券交易费用；</w:t>
      </w:r>
    </w:p>
    <w:p w14:paraId="41FBE0B8" w14:textId="77777777" w:rsidR="00D04107" w:rsidRDefault="000C2DB0">
      <w:pPr>
        <w:spacing w:line="360" w:lineRule="auto"/>
        <w:ind w:firstLineChars="200" w:firstLine="480"/>
        <w:rPr>
          <w:bCs/>
          <w:sz w:val="24"/>
        </w:rPr>
      </w:pPr>
      <w:r>
        <w:rPr>
          <w:bCs/>
          <w:sz w:val="24"/>
        </w:rPr>
        <w:t>8</w:t>
      </w:r>
      <w:r>
        <w:rPr>
          <w:bCs/>
          <w:sz w:val="24"/>
        </w:rPr>
        <w:t>、基金的银行汇划费用；</w:t>
      </w:r>
    </w:p>
    <w:p w14:paraId="76E8D5F9" w14:textId="77777777" w:rsidR="00D04107" w:rsidRDefault="000C2DB0">
      <w:pPr>
        <w:spacing w:line="360" w:lineRule="auto"/>
        <w:ind w:firstLineChars="200" w:firstLine="480"/>
        <w:rPr>
          <w:rFonts w:ascii="宋体" w:hAnsi="宋体"/>
          <w:bCs/>
          <w:sz w:val="24"/>
        </w:rPr>
      </w:pPr>
      <w:r>
        <w:rPr>
          <w:bCs/>
          <w:sz w:val="24"/>
        </w:rPr>
        <w:t>9</w:t>
      </w:r>
      <w:r>
        <w:rPr>
          <w:rFonts w:ascii="宋体" w:hAnsi="宋体"/>
          <w:bCs/>
          <w:sz w:val="24"/>
        </w:rPr>
        <w:t>、</w:t>
      </w:r>
      <w:r>
        <w:rPr>
          <w:rFonts w:ascii="宋体" w:hAnsi="宋体" w:hint="eastAsia"/>
          <w:bCs/>
          <w:sz w:val="24"/>
        </w:rPr>
        <w:t>账户开户费用、账户维护费用；</w:t>
      </w:r>
    </w:p>
    <w:p w14:paraId="5D659735" w14:textId="77777777" w:rsidR="00D04107" w:rsidRDefault="000C2DB0">
      <w:pPr>
        <w:spacing w:line="360" w:lineRule="auto"/>
        <w:ind w:firstLineChars="200" w:firstLine="480"/>
        <w:rPr>
          <w:rFonts w:ascii="宋体" w:hAnsi="宋体"/>
          <w:bCs/>
          <w:sz w:val="24"/>
        </w:rPr>
      </w:pPr>
      <w:r>
        <w:rPr>
          <w:bCs/>
          <w:sz w:val="24"/>
        </w:rPr>
        <w:t>10</w:t>
      </w:r>
      <w:r>
        <w:rPr>
          <w:bCs/>
          <w:sz w:val="24"/>
        </w:rPr>
        <w:t>、按照国家有关规定和《基金合同》约定，可以在基金财产中列支的其他费用。</w:t>
      </w:r>
    </w:p>
    <w:p w14:paraId="1D66BF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（二）基金费用计提方法、计提标准和支付方式</w:t>
      </w:r>
    </w:p>
    <w:p w14:paraId="09DB8BE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1、基金管理人的管理费</w:t>
      </w:r>
    </w:p>
    <w:p w14:paraId="4692F81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本基金的管理费按前一日基金资产净值的</w:t>
      </w:r>
      <w:r>
        <w:rPr>
          <w:rFonts w:ascii="宋体" w:hAnsi="宋体"/>
          <w:color w:val="000000"/>
          <w:kern w:val="0"/>
          <w:sz w:val="24"/>
        </w:rPr>
        <w:t>0.33</w:t>
      </w:r>
      <w:r>
        <w:rPr>
          <w:rFonts w:ascii="宋体" w:hAnsi="宋体" w:hint="eastAsia"/>
          <w:color w:val="000000"/>
          <w:kern w:val="0"/>
          <w:sz w:val="24"/>
        </w:rPr>
        <w:t>%年费率计提。管理费的计算方法如下：</w:t>
      </w:r>
    </w:p>
    <w:p w14:paraId="0F44FFD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0.33</w:t>
      </w:r>
      <w:r>
        <w:rPr>
          <w:rFonts w:ascii="宋体" w:hAnsi="宋体" w:hint="eastAsia"/>
          <w:color w:val="000000"/>
          <w:kern w:val="0"/>
          <w:sz w:val="24"/>
        </w:rPr>
        <w:t>%÷当年天数</w:t>
      </w:r>
    </w:p>
    <w:p w14:paraId="6516F7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 为每日应计提的基金管理费</w:t>
      </w:r>
    </w:p>
    <w:p w14:paraId="3D1741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E 为前一日基金资产净值</w:t>
      </w:r>
    </w:p>
    <w:p w14:paraId="4026F5B9" w14:textId="77777777" w:rsidR="00D04107" w:rsidRDefault="000C2DB0">
      <w:pPr>
        <w:spacing w:line="360" w:lineRule="auto"/>
        <w:ind w:firstLineChars="200" w:firstLine="480"/>
        <w:rPr>
          <w:rFonts w:ascii="宋体" w:hAnsi="宋体"/>
          <w:color w:val="000000"/>
          <w:kern w:val="0"/>
          <w:sz w:val="24"/>
        </w:rPr>
      </w:pPr>
      <w:r>
        <w:rPr>
          <w:bCs/>
          <w:sz w:val="24"/>
        </w:rPr>
        <w:t>基金管理费每日计</w:t>
      </w:r>
      <w:r>
        <w:rPr>
          <w:rFonts w:hint="eastAsia"/>
          <w:bCs/>
          <w:sz w:val="24"/>
        </w:rPr>
        <w:t>提</w:t>
      </w:r>
      <w:r>
        <w:rPr>
          <w:bCs/>
          <w:sz w:val="24"/>
        </w:rPr>
        <w:t>，逐日累计至每月月末，按月支付，由基金管理人向基金托管人发送基金管理费划款指令，基金托管人复核后于次月前</w:t>
      </w:r>
      <w:r>
        <w:rPr>
          <w:bCs/>
          <w:sz w:val="24"/>
        </w:rPr>
        <w:t>5</w:t>
      </w:r>
      <w:r>
        <w:rPr>
          <w:bCs/>
          <w:sz w:val="24"/>
        </w:rPr>
        <w:t>个工作日内从基金财产中一次性支付给基金管理人。若遇法定节假日、公休假等</w:t>
      </w:r>
      <w:r>
        <w:rPr>
          <w:rFonts w:hint="eastAsia"/>
          <w:bCs/>
          <w:sz w:val="24"/>
        </w:rPr>
        <w:t>，</w:t>
      </w:r>
      <w:r>
        <w:rPr>
          <w:bCs/>
          <w:sz w:val="24"/>
        </w:rPr>
        <w:t>支付日期顺延。</w:t>
      </w:r>
    </w:p>
    <w:p w14:paraId="31AD92E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2、基金托管人的基金托管费</w:t>
      </w:r>
    </w:p>
    <w:p w14:paraId="6AEA43F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本基金的托管费按前一日基金资产净值的</w:t>
      </w:r>
      <w:r>
        <w:rPr>
          <w:rFonts w:ascii="宋体" w:hAnsi="宋体"/>
          <w:color w:val="000000"/>
          <w:kern w:val="0"/>
          <w:sz w:val="24"/>
        </w:rPr>
        <w:t>0.1</w:t>
      </w:r>
      <w:r>
        <w:rPr>
          <w:rFonts w:ascii="宋体" w:hAnsi="宋体" w:hint="eastAsia"/>
          <w:color w:val="000000"/>
          <w:kern w:val="0"/>
          <w:sz w:val="24"/>
        </w:rPr>
        <w:t>%年费率计提。托管费的计算方法如下：</w:t>
      </w:r>
    </w:p>
    <w:p w14:paraId="383E71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H=E×</w:t>
      </w:r>
      <w:r>
        <w:rPr>
          <w:rFonts w:ascii="宋体" w:hAnsi="宋体"/>
          <w:color w:val="000000"/>
          <w:kern w:val="0"/>
          <w:sz w:val="24"/>
        </w:rPr>
        <w:t>0.1</w:t>
      </w:r>
      <w:r>
        <w:rPr>
          <w:rFonts w:ascii="宋体" w:hAnsi="宋体" w:hint="eastAsia"/>
          <w:color w:val="000000"/>
          <w:kern w:val="0"/>
          <w:sz w:val="24"/>
        </w:rPr>
        <w:t>%÷当年天数</w:t>
      </w:r>
    </w:p>
    <w:p w14:paraId="4EA5CC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H 为每日应计提的基金托管费</w:t>
      </w:r>
    </w:p>
    <w:p w14:paraId="49B421B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E 为前一日的基金资产净值</w:t>
      </w:r>
    </w:p>
    <w:p w14:paraId="1E7DBC4D" w14:textId="77777777" w:rsidR="00D04107" w:rsidRDefault="000C2DB0">
      <w:pPr>
        <w:spacing w:line="360" w:lineRule="auto"/>
        <w:ind w:firstLineChars="200" w:firstLine="480"/>
        <w:rPr>
          <w:bCs/>
          <w:sz w:val="24"/>
        </w:rPr>
      </w:pPr>
      <w:r>
        <w:rPr>
          <w:bCs/>
          <w:sz w:val="24"/>
        </w:rPr>
        <w:t>基金托管费每日</w:t>
      </w:r>
      <w:r>
        <w:rPr>
          <w:rFonts w:hint="eastAsia"/>
          <w:bCs/>
          <w:sz w:val="24"/>
        </w:rPr>
        <w:t>计提</w:t>
      </w:r>
      <w:r>
        <w:rPr>
          <w:bCs/>
          <w:sz w:val="24"/>
        </w:rPr>
        <w:t>，逐日累计至每月月末，按月支付，由基金管理人向基金托管人发送基金托管费划款指令，基金托管人复核后于次月前</w:t>
      </w:r>
      <w:r>
        <w:rPr>
          <w:bCs/>
          <w:sz w:val="24"/>
        </w:rPr>
        <w:t>5</w:t>
      </w:r>
      <w:r>
        <w:rPr>
          <w:bCs/>
          <w:sz w:val="24"/>
        </w:rPr>
        <w:t>个工作日内从基金财产中一次性支取。若遇法定节假日、公休日等</w:t>
      </w:r>
      <w:r>
        <w:rPr>
          <w:rFonts w:hint="eastAsia"/>
          <w:bCs/>
          <w:sz w:val="24"/>
        </w:rPr>
        <w:t>，</w:t>
      </w:r>
      <w:r>
        <w:rPr>
          <w:bCs/>
          <w:sz w:val="24"/>
        </w:rPr>
        <w:t>支付日期顺延。</w:t>
      </w:r>
    </w:p>
    <w:p w14:paraId="58AD9B81" w14:textId="77777777" w:rsidR="00D04107" w:rsidRDefault="000C2DB0">
      <w:pPr>
        <w:spacing w:line="360" w:lineRule="auto"/>
        <w:ind w:firstLineChars="200" w:firstLine="480"/>
        <w:rPr>
          <w:bCs/>
          <w:sz w:val="24"/>
        </w:rPr>
      </w:pPr>
      <w:r>
        <w:rPr>
          <w:rFonts w:hint="eastAsia"/>
          <w:bCs/>
          <w:sz w:val="24"/>
        </w:rPr>
        <w:t>3</w:t>
      </w:r>
      <w:r>
        <w:rPr>
          <w:rFonts w:hint="eastAsia"/>
          <w:bCs/>
          <w:sz w:val="24"/>
        </w:rPr>
        <w:t>、基金销售服务费</w:t>
      </w:r>
    </w:p>
    <w:p w14:paraId="17339349" w14:textId="77777777" w:rsidR="00D04107" w:rsidRDefault="000C2DB0">
      <w:pPr>
        <w:spacing w:line="360" w:lineRule="auto"/>
        <w:ind w:firstLineChars="200" w:firstLine="480"/>
        <w:rPr>
          <w:bCs/>
          <w:sz w:val="24"/>
        </w:rPr>
      </w:pPr>
      <w:r>
        <w:rPr>
          <w:rFonts w:hint="eastAsia"/>
          <w:bCs/>
          <w:sz w:val="24"/>
        </w:rPr>
        <w:t>本基金</w:t>
      </w:r>
      <w:r>
        <w:rPr>
          <w:rFonts w:hint="eastAsia"/>
          <w:bCs/>
          <w:sz w:val="24"/>
        </w:rPr>
        <w:t xml:space="preserve"> A </w:t>
      </w:r>
      <w:r>
        <w:rPr>
          <w:rFonts w:hint="eastAsia"/>
          <w:bCs/>
          <w:sz w:val="24"/>
        </w:rPr>
        <w:t>类基金份额的年销售服务费率为</w:t>
      </w:r>
      <w:r>
        <w:rPr>
          <w:rFonts w:hint="eastAsia"/>
          <w:bCs/>
          <w:sz w:val="24"/>
        </w:rPr>
        <w:t xml:space="preserve"> 0.25%</w:t>
      </w:r>
      <w:r>
        <w:rPr>
          <w:rFonts w:hint="eastAsia"/>
          <w:bCs/>
          <w:sz w:val="24"/>
        </w:rPr>
        <w:t>；</w:t>
      </w:r>
      <w:r>
        <w:rPr>
          <w:rFonts w:hint="eastAsia"/>
          <w:bCs/>
          <w:sz w:val="24"/>
        </w:rPr>
        <w:t xml:space="preserve">B </w:t>
      </w:r>
      <w:r>
        <w:rPr>
          <w:rFonts w:hint="eastAsia"/>
          <w:bCs/>
          <w:sz w:val="24"/>
        </w:rPr>
        <w:t>类基金份额的年销售服务费率为</w:t>
      </w:r>
      <w:r>
        <w:rPr>
          <w:rFonts w:hint="eastAsia"/>
          <w:bCs/>
          <w:sz w:val="24"/>
        </w:rPr>
        <w:t xml:space="preserve"> 0.01%</w:t>
      </w:r>
      <w:r>
        <w:rPr>
          <w:rFonts w:hint="eastAsia"/>
          <w:bCs/>
          <w:sz w:val="24"/>
        </w:rPr>
        <w:t>。销售服务费计提的计算公式具体如下：</w:t>
      </w:r>
    </w:p>
    <w:p w14:paraId="30A60ED1" w14:textId="77777777" w:rsidR="00D04107" w:rsidRDefault="000C2DB0">
      <w:pPr>
        <w:spacing w:line="360" w:lineRule="auto"/>
        <w:ind w:firstLineChars="200" w:firstLine="480"/>
        <w:rPr>
          <w:bCs/>
          <w:sz w:val="24"/>
        </w:rPr>
      </w:pPr>
      <w:r>
        <w:rPr>
          <w:rFonts w:hint="eastAsia"/>
          <w:bCs/>
          <w:sz w:val="24"/>
        </w:rPr>
        <w:t>H</w:t>
      </w:r>
      <w:r>
        <w:rPr>
          <w:rFonts w:hint="eastAsia"/>
          <w:bCs/>
          <w:sz w:val="24"/>
        </w:rPr>
        <w:t>＝</w:t>
      </w:r>
      <w:r>
        <w:rPr>
          <w:rFonts w:hint="eastAsia"/>
          <w:bCs/>
          <w:sz w:val="24"/>
        </w:rPr>
        <w:t>E</w:t>
      </w:r>
      <w:r>
        <w:rPr>
          <w:rFonts w:hint="eastAsia"/>
          <w:bCs/>
          <w:sz w:val="24"/>
        </w:rPr>
        <w:t>×该类</w:t>
      </w:r>
      <w:r>
        <w:rPr>
          <w:bCs/>
          <w:sz w:val="24"/>
        </w:rPr>
        <w:t>基金份额的</w:t>
      </w:r>
      <w:r>
        <w:rPr>
          <w:rFonts w:hint="eastAsia"/>
          <w:bCs/>
          <w:sz w:val="24"/>
        </w:rPr>
        <w:t>年销售服务费率÷当年天数</w:t>
      </w:r>
    </w:p>
    <w:p w14:paraId="6D9343B6" w14:textId="77777777" w:rsidR="00D04107" w:rsidRDefault="000C2DB0">
      <w:pPr>
        <w:spacing w:line="360" w:lineRule="auto"/>
        <w:ind w:firstLineChars="200" w:firstLine="480"/>
        <w:rPr>
          <w:bCs/>
          <w:sz w:val="24"/>
        </w:rPr>
      </w:pPr>
      <w:r>
        <w:rPr>
          <w:rFonts w:hint="eastAsia"/>
          <w:bCs/>
          <w:sz w:val="24"/>
        </w:rPr>
        <w:t xml:space="preserve">H </w:t>
      </w:r>
      <w:r>
        <w:rPr>
          <w:rFonts w:hint="eastAsia"/>
          <w:bCs/>
          <w:sz w:val="24"/>
        </w:rPr>
        <w:t>为每日该类基金份额应计提的基金销售服务费</w:t>
      </w:r>
    </w:p>
    <w:p w14:paraId="45998A83" w14:textId="77777777" w:rsidR="00D04107" w:rsidRDefault="000C2DB0">
      <w:pPr>
        <w:spacing w:line="360" w:lineRule="auto"/>
        <w:ind w:firstLineChars="200" w:firstLine="480"/>
        <w:rPr>
          <w:bCs/>
          <w:sz w:val="24"/>
        </w:rPr>
      </w:pPr>
      <w:r>
        <w:rPr>
          <w:rFonts w:hint="eastAsia"/>
          <w:bCs/>
          <w:sz w:val="24"/>
        </w:rPr>
        <w:t xml:space="preserve">E </w:t>
      </w:r>
      <w:r>
        <w:rPr>
          <w:rFonts w:hint="eastAsia"/>
          <w:bCs/>
          <w:sz w:val="24"/>
        </w:rPr>
        <w:t>为前一日该类基金份额的基金资产净值</w:t>
      </w:r>
    </w:p>
    <w:p w14:paraId="2E63A4EC" w14:textId="77777777" w:rsidR="00D04107" w:rsidRDefault="000C2DB0">
      <w:pPr>
        <w:spacing w:line="360" w:lineRule="auto"/>
        <w:ind w:firstLineChars="200" w:firstLine="480"/>
        <w:rPr>
          <w:bCs/>
          <w:sz w:val="24"/>
        </w:rPr>
      </w:pPr>
      <w:r>
        <w:rPr>
          <w:rFonts w:hint="eastAsia"/>
          <w:bCs/>
          <w:sz w:val="24"/>
        </w:rPr>
        <w:t>基金销售服务费每日计提，逐日累计至每月月末，按月支付。由基金管理人向基金托管人发送基金销售服务费划款指令，基金托管人复核后于次月前</w:t>
      </w:r>
      <w:r>
        <w:rPr>
          <w:rFonts w:hint="eastAsia"/>
          <w:bCs/>
          <w:sz w:val="24"/>
        </w:rPr>
        <w:t xml:space="preserve">5 </w:t>
      </w:r>
      <w:r>
        <w:rPr>
          <w:rFonts w:hint="eastAsia"/>
          <w:bCs/>
          <w:sz w:val="24"/>
        </w:rPr>
        <w:t>个工作日内从基金财产中一次性支付给注册登记机构，由注册登记机构代付给销售机构。若遇法定节假日、休息日或不可抗力致使无法按时支付的，支付日期顺延至最近可支付日支付。</w:t>
      </w:r>
    </w:p>
    <w:p w14:paraId="3FBAC9B3" w14:textId="77777777" w:rsidR="00D04107" w:rsidRDefault="000C2DB0" w:rsidP="000C2DB0">
      <w:pPr>
        <w:spacing w:line="360" w:lineRule="auto"/>
        <w:ind w:firstLineChars="177" w:firstLine="425"/>
        <w:rPr>
          <w:rFonts w:ascii="宋体" w:hAnsi="宋体"/>
          <w:color w:val="000000"/>
          <w:kern w:val="0"/>
          <w:sz w:val="24"/>
        </w:rPr>
      </w:pPr>
      <w:r>
        <w:rPr>
          <w:bCs/>
          <w:sz w:val="24"/>
        </w:rPr>
        <w:t>上述</w:t>
      </w:r>
      <w:r>
        <w:rPr>
          <w:rFonts w:hint="eastAsia"/>
          <w:bCs/>
          <w:sz w:val="24"/>
        </w:rPr>
        <w:t>“</w:t>
      </w:r>
      <w:r>
        <w:rPr>
          <w:bCs/>
          <w:sz w:val="24"/>
        </w:rPr>
        <w:t>一、基金费用的种类</w:t>
      </w:r>
      <w:r>
        <w:rPr>
          <w:rFonts w:hint="eastAsia"/>
          <w:bCs/>
          <w:sz w:val="24"/>
        </w:rPr>
        <w:t>“</w:t>
      </w:r>
      <w:r>
        <w:rPr>
          <w:bCs/>
          <w:sz w:val="24"/>
        </w:rPr>
        <w:t>中第</w:t>
      </w:r>
      <w:r>
        <w:rPr>
          <w:bCs/>
          <w:sz w:val="24"/>
        </w:rPr>
        <w:t>4</w:t>
      </w:r>
      <w:r>
        <w:rPr>
          <w:bCs/>
          <w:sz w:val="24"/>
        </w:rPr>
        <w:t>－</w:t>
      </w:r>
      <w:r>
        <w:rPr>
          <w:bCs/>
          <w:sz w:val="24"/>
        </w:rPr>
        <w:t>10</w:t>
      </w:r>
      <w:r>
        <w:rPr>
          <w:bCs/>
          <w:sz w:val="24"/>
        </w:rPr>
        <w:t>项费用</w:t>
      </w:r>
      <w:r>
        <w:rPr>
          <w:bCs/>
          <w:sz w:val="24"/>
        </w:rPr>
        <w:t>”</w:t>
      </w:r>
      <w:r>
        <w:rPr>
          <w:bCs/>
          <w:sz w:val="24"/>
        </w:rPr>
        <w:t>，根据有关法规及相应协议规定，按费用实际支出金额列入当期费用，由基金托管人从基金财产中支付。</w:t>
      </w:r>
    </w:p>
    <w:p w14:paraId="7BD8BB4E" w14:textId="77777777" w:rsidR="00D04107" w:rsidRDefault="000C2DB0" w:rsidP="000C2DB0">
      <w:pPr>
        <w:spacing w:line="360" w:lineRule="auto"/>
        <w:ind w:firstLineChars="177" w:firstLine="425"/>
        <w:rPr>
          <w:rFonts w:ascii="宋体" w:hAnsi="宋体"/>
          <w:color w:val="000000"/>
          <w:kern w:val="0"/>
          <w:sz w:val="24"/>
        </w:rPr>
      </w:pPr>
      <w:r>
        <w:rPr>
          <w:rFonts w:ascii="宋体" w:hAnsi="宋体" w:hint="eastAsia"/>
          <w:color w:val="000000"/>
          <w:kern w:val="0"/>
          <w:sz w:val="24"/>
        </w:rPr>
        <w:t>（三）不列入基金费用的项目</w:t>
      </w:r>
    </w:p>
    <w:p w14:paraId="44969306" w14:textId="77777777" w:rsidR="00D04107" w:rsidRDefault="000C2DB0" w:rsidP="000C2DB0">
      <w:pPr>
        <w:spacing w:line="360" w:lineRule="auto"/>
        <w:ind w:firstLineChars="177" w:firstLine="425"/>
        <w:rPr>
          <w:rFonts w:ascii="宋体" w:hAnsi="宋体"/>
          <w:bCs/>
          <w:sz w:val="24"/>
        </w:rPr>
      </w:pPr>
      <w:r>
        <w:rPr>
          <w:rFonts w:ascii="宋体" w:hAnsi="宋体"/>
          <w:color w:val="000000"/>
          <w:kern w:val="0"/>
          <w:sz w:val="24"/>
        </w:rPr>
        <w:t>下列费用不</w:t>
      </w:r>
      <w:r>
        <w:rPr>
          <w:rFonts w:ascii="宋体" w:hAnsi="宋体"/>
          <w:bCs/>
          <w:sz w:val="24"/>
        </w:rPr>
        <w:t>列入基金费用：</w:t>
      </w:r>
    </w:p>
    <w:p w14:paraId="5F933867" w14:textId="77777777" w:rsidR="00D04107" w:rsidRDefault="000C2DB0">
      <w:pPr>
        <w:spacing w:line="360" w:lineRule="auto"/>
        <w:ind w:firstLineChars="200" w:firstLine="480"/>
        <w:rPr>
          <w:bCs/>
          <w:sz w:val="24"/>
        </w:rPr>
      </w:pPr>
      <w:r>
        <w:rPr>
          <w:bCs/>
          <w:sz w:val="24"/>
        </w:rPr>
        <w:t>1</w:t>
      </w:r>
      <w:r>
        <w:rPr>
          <w:bCs/>
          <w:sz w:val="24"/>
        </w:rPr>
        <w:t>、基金管理人和基金托管人因未履行或未完全履行义务导致的费用支出或基金财产的损失；</w:t>
      </w:r>
    </w:p>
    <w:p w14:paraId="2DE79E7C" w14:textId="77777777" w:rsidR="00D04107" w:rsidRDefault="000C2DB0">
      <w:pPr>
        <w:spacing w:line="360" w:lineRule="auto"/>
        <w:ind w:firstLineChars="200" w:firstLine="480"/>
        <w:rPr>
          <w:bCs/>
          <w:sz w:val="24"/>
        </w:rPr>
      </w:pPr>
      <w:r>
        <w:rPr>
          <w:bCs/>
          <w:sz w:val="24"/>
        </w:rPr>
        <w:t>2</w:t>
      </w:r>
      <w:r>
        <w:rPr>
          <w:bCs/>
          <w:sz w:val="24"/>
        </w:rPr>
        <w:t>、基金管理人和基金托管人处理与基金运作无关的事项发生的费用；</w:t>
      </w:r>
    </w:p>
    <w:p w14:paraId="29B7D76F" w14:textId="77777777" w:rsidR="00D04107" w:rsidRDefault="000C2DB0">
      <w:pPr>
        <w:spacing w:line="360" w:lineRule="auto"/>
        <w:ind w:firstLineChars="200" w:firstLine="480"/>
        <w:rPr>
          <w:bCs/>
          <w:sz w:val="24"/>
        </w:rPr>
      </w:pPr>
      <w:r>
        <w:rPr>
          <w:bCs/>
          <w:sz w:val="24"/>
        </w:rPr>
        <w:t>3</w:t>
      </w:r>
      <w:r>
        <w:rPr>
          <w:bCs/>
          <w:sz w:val="24"/>
        </w:rPr>
        <w:t>、《基金合同》生效前的相关费用；</w:t>
      </w:r>
    </w:p>
    <w:p w14:paraId="0CD095BE" w14:textId="77777777" w:rsidR="00D04107" w:rsidRDefault="000C2DB0">
      <w:pPr>
        <w:spacing w:line="360" w:lineRule="auto"/>
        <w:ind w:firstLineChars="200" w:firstLine="480"/>
        <w:rPr>
          <w:rFonts w:ascii="宋体" w:hAnsi="宋体"/>
          <w:bCs/>
          <w:sz w:val="24"/>
        </w:rPr>
      </w:pPr>
      <w:r>
        <w:rPr>
          <w:bCs/>
          <w:sz w:val="24"/>
        </w:rPr>
        <w:t>4</w:t>
      </w:r>
      <w:r>
        <w:rPr>
          <w:bCs/>
          <w:sz w:val="24"/>
        </w:rPr>
        <w:t>、其他根据相关法律法规及中国证监会的有关规定不得列入基金费用的项目。</w:t>
      </w:r>
    </w:p>
    <w:p w14:paraId="390D5A63"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（四）基金税收</w:t>
      </w:r>
    </w:p>
    <w:p w14:paraId="505162ED" w14:textId="77777777" w:rsidR="00D04107" w:rsidRDefault="000C2DB0">
      <w:pPr>
        <w:spacing w:line="372" w:lineRule="auto"/>
        <w:ind w:firstLineChars="200" w:firstLine="480"/>
        <w:rPr>
          <w:rFonts w:ascii="宋体" w:hAnsi="宋体"/>
          <w:color w:val="000000"/>
          <w:kern w:val="0"/>
          <w:sz w:val="24"/>
        </w:rPr>
      </w:pPr>
      <w:r>
        <w:rPr>
          <w:rFonts w:ascii="宋体" w:hAnsi="宋体" w:hint="eastAsia"/>
          <w:color w:val="000000"/>
          <w:kern w:val="0"/>
          <w:sz w:val="24"/>
        </w:rPr>
        <w:t>本基金运作过程中涉及的各纳税主体，其纳税义务按国家税收法律、法规执行。</w:t>
      </w:r>
    </w:p>
    <w:p w14:paraId="5D4D0B91" w14:textId="77777777" w:rsidR="00D04107" w:rsidRDefault="000C2DB0" w:rsidP="00165EFD">
      <w:pPr>
        <w:pStyle w:val="1"/>
        <w:pageBreakBefore/>
        <w:spacing w:beforeLines="50" w:before="120" w:afterLines="50" w:after="120" w:line="360" w:lineRule="auto"/>
        <w:ind w:firstLine="420"/>
        <w:jc w:val="center"/>
        <w:rPr>
          <w:rFonts w:ascii="宋体" w:hAnsi="宋体"/>
          <w:color w:val="000000"/>
          <w:kern w:val="0"/>
          <w:sz w:val="24"/>
        </w:rPr>
      </w:pPr>
      <w:bookmarkStart w:id="104" w:name="_Hlt88827255"/>
      <w:bookmarkStart w:id="105" w:name="_Toc256666923"/>
      <w:bookmarkStart w:id="106" w:name="_Toc482624803"/>
      <w:bookmarkStart w:id="107" w:name="_Toc30252"/>
      <w:bookmarkStart w:id="108" w:name="_Toc256666803"/>
      <w:bookmarkStart w:id="109" w:name="_Toc2796"/>
      <w:bookmarkEnd w:id="104"/>
      <w:r>
        <w:rPr>
          <w:rFonts w:ascii="宋体" w:hAnsi="宋体" w:hint="eastAsia"/>
          <w:color w:val="000000"/>
          <w:kern w:val="0"/>
          <w:sz w:val="24"/>
          <w:szCs w:val="24"/>
        </w:rPr>
        <w:lastRenderedPageBreak/>
        <w:t>第十四部分</w:t>
      </w:r>
      <w:r>
        <w:rPr>
          <w:rFonts w:ascii="宋体" w:hAnsi="宋体"/>
          <w:color w:val="000000"/>
          <w:kern w:val="0"/>
          <w:sz w:val="24"/>
          <w:szCs w:val="24"/>
        </w:rPr>
        <w:t xml:space="preserve">  </w:t>
      </w:r>
      <w:r>
        <w:rPr>
          <w:rFonts w:ascii="宋体" w:hAnsi="宋体" w:hint="eastAsia"/>
          <w:color w:val="000000"/>
          <w:kern w:val="0"/>
          <w:sz w:val="24"/>
          <w:szCs w:val="24"/>
        </w:rPr>
        <w:t>基金的会计与审计</w:t>
      </w:r>
      <w:bookmarkEnd w:id="105"/>
      <w:bookmarkEnd w:id="106"/>
      <w:bookmarkEnd w:id="107"/>
      <w:bookmarkEnd w:id="108"/>
      <w:bookmarkEnd w:id="109"/>
    </w:p>
    <w:p w14:paraId="6FC1A1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（一）基金会计政策</w:t>
      </w:r>
    </w:p>
    <w:p w14:paraId="726FC7AA" w14:textId="77777777" w:rsidR="00D04107" w:rsidRDefault="000C2DB0">
      <w:pPr>
        <w:spacing w:line="360" w:lineRule="auto"/>
        <w:ind w:firstLineChars="200" w:firstLine="480"/>
        <w:rPr>
          <w:rFonts w:ascii="宋体" w:hAnsi="宋体"/>
          <w:bCs/>
          <w:sz w:val="24"/>
        </w:rPr>
      </w:pPr>
      <w:r>
        <w:rPr>
          <w:rFonts w:ascii="宋体" w:hAnsi="宋体"/>
          <w:bCs/>
          <w:sz w:val="24"/>
        </w:rPr>
        <w:t>1、基金管理人为本基金的基金会计责任方；</w:t>
      </w:r>
    </w:p>
    <w:p w14:paraId="454BA87D" w14:textId="77777777" w:rsidR="00D04107" w:rsidRDefault="000C2DB0">
      <w:pPr>
        <w:spacing w:line="360" w:lineRule="auto"/>
        <w:ind w:firstLineChars="200" w:firstLine="480"/>
        <w:rPr>
          <w:rFonts w:ascii="宋体" w:hAnsi="宋体"/>
          <w:bCs/>
          <w:sz w:val="24"/>
        </w:rPr>
      </w:pPr>
      <w:r>
        <w:rPr>
          <w:rFonts w:ascii="宋体" w:hAnsi="宋体"/>
          <w:bCs/>
          <w:sz w:val="24"/>
        </w:rPr>
        <w:t>2、基金的会计年度为公历年度的1月1日至12月31日；基金首次募集的会计年度按如下原则：如果基金合同生效少于2个月，可以并入下一个会计年度</w:t>
      </w:r>
      <w:r>
        <w:rPr>
          <w:rFonts w:ascii="宋体" w:hAnsi="宋体" w:hint="eastAsia"/>
          <w:bCs/>
          <w:sz w:val="24"/>
        </w:rPr>
        <w:t>披露</w:t>
      </w:r>
      <w:r>
        <w:rPr>
          <w:rFonts w:ascii="宋体" w:hAnsi="宋体"/>
          <w:bCs/>
          <w:sz w:val="24"/>
        </w:rPr>
        <w:t>；</w:t>
      </w:r>
    </w:p>
    <w:p w14:paraId="028B9443" w14:textId="77777777" w:rsidR="00D04107" w:rsidRDefault="000C2DB0">
      <w:pPr>
        <w:spacing w:line="360" w:lineRule="auto"/>
        <w:ind w:firstLineChars="200" w:firstLine="480"/>
        <w:rPr>
          <w:rFonts w:ascii="宋体" w:hAnsi="宋体"/>
          <w:bCs/>
          <w:sz w:val="24"/>
        </w:rPr>
      </w:pPr>
      <w:r>
        <w:rPr>
          <w:rFonts w:ascii="宋体" w:hAnsi="宋体"/>
          <w:bCs/>
          <w:sz w:val="24"/>
        </w:rPr>
        <w:t>3、基金核算以人民币为记账本位币，以人民币元为记账单位；</w:t>
      </w:r>
    </w:p>
    <w:p w14:paraId="3FC38171" w14:textId="77777777" w:rsidR="00D04107" w:rsidRDefault="000C2DB0">
      <w:pPr>
        <w:spacing w:line="360" w:lineRule="auto"/>
        <w:ind w:firstLineChars="200" w:firstLine="480"/>
        <w:rPr>
          <w:rFonts w:ascii="宋体" w:hAnsi="宋体"/>
          <w:bCs/>
          <w:sz w:val="24"/>
        </w:rPr>
      </w:pPr>
      <w:r>
        <w:rPr>
          <w:rFonts w:ascii="宋体" w:hAnsi="宋体"/>
          <w:bCs/>
          <w:sz w:val="24"/>
        </w:rPr>
        <w:t>4、会计制度执行国家有关会计制度；</w:t>
      </w:r>
    </w:p>
    <w:p w14:paraId="4A49A13F" w14:textId="77777777" w:rsidR="00D04107" w:rsidRDefault="000C2DB0">
      <w:pPr>
        <w:spacing w:line="360" w:lineRule="auto"/>
        <w:ind w:firstLineChars="200" w:firstLine="480"/>
        <w:rPr>
          <w:rFonts w:ascii="宋体" w:hAnsi="宋体"/>
          <w:bCs/>
          <w:sz w:val="24"/>
        </w:rPr>
      </w:pPr>
      <w:r>
        <w:rPr>
          <w:rFonts w:ascii="宋体" w:hAnsi="宋体"/>
          <w:bCs/>
          <w:sz w:val="24"/>
        </w:rPr>
        <w:t>5、本基金独立建账、独立核算；</w:t>
      </w:r>
    </w:p>
    <w:p w14:paraId="05BBCC86" w14:textId="77777777" w:rsidR="00D04107" w:rsidRDefault="000C2DB0">
      <w:pPr>
        <w:spacing w:line="360" w:lineRule="auto"/>
        <w:ind w:firstLineChars="200" w:firstLine="480"/>
        <w:rPr>
          <w:rFonts w:ascii="宋体" w:hAnsi="宋体"/>
          <w:bCs/>
          <w:sz w:val="24"/>
        </w:rPr>
      </w:pPr>
      <w:r>
        <w:rPr>
          <w:rFonts w:ascii="宋体" w:hAnsi="宋体"/>
          <w:bCs/>
          <w:sz w:val="24"/>
        </w:rPr>
        <w:t>6、基金管理人及基金托管人各自保留完整的会计账目、凭证并进行日常的会计核算，按照有关规定编制基金会计报表；</w:t>
      </w:r>
    </w:p>
    <w:p w14:paraId="10A1F3F8" w14:textId="77777777" w:rsidR="00D04107" w:rsidRDefault="000C2DB0">
      <w:pPr>
        <w:spacing w:line="360" w:lineRule="auto"/>
        <w:ind w:firstLineChars="200" w:firstLine="480"/>
        <w:rPr>
          <w:bCs/>
          <w:sz w:val="24"/>
        </w:rPr>
      </w:pPr>
      <w:r>
        <w:rPr>
          <w:rFonts w:ascii="宋体" w:hAnsi="宋体"/>
          <w:bCs/>
          <w:sz w:val="24"/>
        </w:rPr>
        <w:t>7、基金托管人每月与基金管理人就基金的会计核算、报表编制等进行核对并以</w:t>
      </w:r>
      <w:r>
        <w:rPr>
          <w:rFonts w:ascii="宋体" w:hAnsi="宋体" w:hint="eastAsia"/>
          <w:bCs/>
          <w:sz w:val="24"/>
        </w:rPr>
        <w:t>书面</w:t>
      </w:r>
      <w:r>
        <w:rPr>
          <w:rFonts w:hint="eastAsia"/>
          <w:bCs/>
          <w:sz w:val="24"/>
        </w:rPr>
        <w:t>方式确认</w:t>
      </w:r>
      <w:r>
        <w:rPr>
          <w:bCs/>
          <w:sz w:val="24"/>
        </w:rPr>
        <w:t>。</w:t>
      </w:r>
    </w:p>
    <w:p w14:paraId="301928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（二）基金的年度审计</w:t>
      </w:r>
    </w:p>
    <w:p w14:paraId="50437F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1、基金管理人聘请与基金管理人、基金托管人相互独立的、具有证券从业资格的会计师事务所及其注册会计师对本基金的年度财务报表进行审计；</w:t>
      </w:r>
    </w:p>
    <w:p w14:paraId="48740B2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2、会计师事务所更换经办注册会计师，应事先征得基金管理人同意；</w:t>
      </w:r>
    </w:p>
    <w:p w14:paraId="26DD2E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3、基金管理人认为有充足理由更换会计师事务所，须通报基金托管人。更换会计师事务所需在2个工作日内在指定媒介公告并报中国证监会备案。</w:t>
      </w:r>
    </w:p>
    <w:p w14:paraId="0E42B34C" w14:textId="77777777" w:rsidR="00D04107" w:rsidRDefault="00D04107">
      <w:pPr>
        <w:spacing w:line="360" w:lineRule="auto"/>
        <w:ind w:firstLineChars="200" w:firstLine="480"/>
        <w:rPr>
          <w:rFonts w:ascii="宋体" w:hAnsi="宋体"/>
          <w:color w:val="000000"/>
          <w:kern w:val="0"/>
          <w:sz w:val="24"/>
        </w:rPr>
      </w:pPr>
    </w:p>
    <w:p w14:paraId="2FE530BE" w14:textId="77777777" w:rsidR="00D04107" w:rsidRDefault="00D04107">
      <w:pPr>
        <w:spacing w:line="360" w:lineRule="auto"/>
        <w:ind w:firstLineChars="200" w:firstLine="480"/>
        <w:rPr>
          <w:rFonts w:ascii="宋体" w:hAnsi="宋体"/>
          <w:color w:val="000000"/>
          <w:kern w:val="0"/>
          <w:sz w:val="24"/>
        </w:rPr>
      </w:pPr>
    </w:p>
    <w:p w14:paraId="068BC377" w14:textId="77777777" w:rsidR="00D04107" w:rsidRDefault="00D04107">
      <w:pPr>
        <w:spacing w:line="360" w:lineRule="auto"/>
        <w:ind w:firstLineChars="200" w:firstLine="480"/>
        <w:rPr>
          <w:rFonts w:ascii="宋体" w:hAnsi="宋体"/>
          <w:color w:val="000000"/>
          <w:kern w:val="0"/>
          <w:sz w:val="24"/>
        </w:rPr>
      </w:pPr>
    </w:p>
    <w:p w14:paraId="3AD668EC" w14:textId="77777777" w:rsidR="00D04107" w:rsidRDefault="00D04107">
      <w:pPr>
        <w:spacing w:line="360" w:lineRule="auto"/>
        <w:ind w:firstLineChars="200" w:firstLine="480"/>
        <w:rPr>
          <w:rFonts w:ascii="宋体" w:hAnsi="宋体"/>
          <w:color w:val="000000"/>
          <w:kern w:val="0"/>
          <w:sz w:val="24"/>
        </w:rPr>
      </w:pPr>
    </w:p>
    <w:p w14:paraId="4E840485" w14:textId="77777777" w:rsidR="00D04107" w:rsidRDefault="00D04107">
      <w:pPr>
        <w:spacing w:line="360" w:lineRule="auto"/>
        <w:ind w:firstLineChars="200" w:firstLine="480"/>
        <w:rPr>
          <w:rFonts w:ascii="宋体" w:hAnsi="宋体"/>
          <w:color w:val="000000"/>
          <w:kern w:val="0"/>
          <w:sz w:val="24"/>
        </w:rPr>
      </w:pPr>
    </w:p>
    <w:p w14:paraId="39AE338A" w14:textId="77777777" w:rsidR="00D04107" w:rsidRDefault="00D04107">
      <w:pPr>
        <w:spacing w:line="360" w:lineRule="auto"/>
        <w:ind w:firstLineChars="200" w:firstLine="480"/>
        <w:rPr>
          <w:rFonts w:ascii="宋体" w:hAnsi="宋体"/>
          <w:color w:val="000000"/>
          <w:kern w:val="0"/>
          <w:sz w:val="24"/>
        </w:rPr>
      </w:pPr>
    </w:p>
    <w:p w14:paraId="6AFC0B13" w14:textId="77777777" w:rsidR="00D04107" w:rsidRDefault="00D04107">
      <w:pPr>
        <w:spacing w:line="360" w:lineRule="auto"/>
        <w:ind w:firstLineChars="200" w:firstLine="480"/>
        <w:rPr>
          <w:rFonts w:ascii="宋体" w:hAnsi="宋体"/>
          <w:color w:val="000000"/>
          <w:kern w:val="0"/>
          <w:sz w:val="24"/>
        </w:rPr>
      </w:pPr>
    </w:p>
    <w:p w14:paraId="6241BEDA" w14:textId="77777777" w:rsidR="00D04107" w:rsidRDefault="00D04107">
      <w:pPr>
        <w:spacing w:line="360" w:lineRule="auto"/>
        <w:ind w:firstLineChars="200" w:firstLine="480"/>
        <w:rPr>
          <w:rFonts w:ascii="宋体" w:hAnsi="宋体"/>
          <w:color w:val="000000"/>
          <w:kern w:val="0"/>
          <w:sz w:val="24"/>
        </w:rPr>
      </w:pPr>
    </w:p>
    <w:p w14:paraId="0F43A137" w14:textId="77777777" w:rsidR="00D04107" w:rsidRDefault="000C2DB0">
      <w:pPr>
        <w:pStyle w:val="1"/>
        <w:spacing w:line="360" w:lineRule="auto"/>
        <w:jc w:val="center"/>
        <w:rPr>
          <w:rFonts w:ascii="宋体" w:hAnsi="宋体"/>
          <w:color w:val="000000"/>
          <w:kern w:val="0"/>
          <w:sz w:val="24"/>
          <w:szCs w:val="24"/>
        </w:rPr>
      </w:pPr>
      <w:bookmarkStart w:id="110" w:name="_Toc256666804"/>
      <w:bookmarkStart w:id="111" w:name="_Toc482624804"/>
      <w:bookmarkStart w:id="112" w:name="_Toc256666924"/>
      <w:bookmarkStart w:id="113" w:name="_Toc22438"/>
      <w:bookmarkStart w:id="114" w:name="_Toc12523"/>
      <w:r>
        <w:rPr>
          <w:rFonts w:ascii="宋体" w:hAnsi="宋体" w:hint="eastAsia"/>
          <w:color w:val="000000"/>
          <w:kern w:val="0"/>
          <w:sz w:val="24"/>
          <w:szCs w:val="24"/>
        </w:rPr>
        <w:lastRenderedPageBreak/>
        <w:t>第十五部分  基金的信息披露</w:t>
      </w:r>
      <w:bookmarkEnd w:id="110"/>
      <w:bookmarkEnd w:id="111"/>
      <w:bookmarkEnd w:id="112"/>
      <w:bookmarkEnd w:id="113"/>
      <w:bookmarkEnd w:id="114"/>
    </w:p>
    <w:p w14:paraId="308C83AA" w14:textId="77777777" w:rsidR="00D04107" w:rsidRDefault="000C2DB0">
      <w:pPr>
        <w:spacing w:line="360" w:lineRule="auto"/>
        <w:ind w:firstLineChars="200" w:firstLine="480"/>
        <w:rPr>
          <w:bCs/>
          <w:sz w:val="24"/>
        </w:rPr>
      </w:pPr>
      <w:bookmarkStart w:id="115" w:name="_Hlt88828869"/>
      <w:bookmarkEnd w:id="115"/>
      <w:r>
        <w:rPr>
          <w:rFonts w:hint="eastAsia"/>
          <w:bCs/>
          <w:sz w:val="24"/>
        </w:rPr>
        <w:t>（一）</w:t>
      </w:r>
      <w:r>
        <w:rPr>
          <w:bCs/>
          <w:sz w:val="24"/>
        </w:rPr>
        <w:t>本基金的信息披露应符合《基金法》、《运作办法》、《信息披露办法》、《基金合同》及其他有关规定。</w:t>
      </w:r>
    </w:p>
    <w:p w14:paraId="19A3CB94" w14:textId="77777777" w:rsidR="00D04107" w:rsidRDefault="000C2DB0">
      <w:pPr>
        <w:spacing w:line="360" w:lineRule="auto"/>
        <w:ind w:firstLineChars="200" w:firstLine="480"/>
        <w:rPr>
          <w:bCs/>
          <w:sz w:val="24"/>
        </w:rPr>
      </w:pPr>
      <w:r>
        <w:rPr>
          <w:rFonts w:hint="eastAsia"/>
          <w:bCs/>
          <w:sz w:val="24"/>
        </w:rPr>
        <w:t>（二）</w:t>
      </w:r>
      <w:r>
        <w:rPr>
          <w:bCs/>
          <w:sz w:val="24"/>
        </w:rPr>
        <w:t>信息披露义务人</w:t>
      </w:r>
    </w:p>
    <w:p w14:paraId="3BC5B6CC" w14:textId="77777777" w:rsidR="00D04107" w:rsidRDefault="000C2DB0">
      <w:pPr>
        <w:spacing w:line="360" w:lineRule="auto"/>
        <w:ind w:firstLineChars="200" w:firstLine="480"/>
        <w:rPr>
          <w:bCs/>
          <w:sz w:val="24"/>
        </w:rPr>
      </w:pPr>
      <w:r>
        <w:rPr>
          <w:bCs/>
          <w:sz w:val="24"/>
        </w:rPr>
        <w:t>本基金信息披露义务人包括基金管理人、基金托管人、召集基金份额持有人大会的基金份额持有人等法律法规和中国证监会规定的自然人、法人和其他组织。</w:t>
      </w:r>
    </w:p>
    <w:p w14:paraId="2B027545" w14:textId="77777777" w:rsidR="00D04107" w:rsidRDefault="000C2DB0">
      <w:pPr>
        <w:spacing w:line="360" w:lineRule="auto"/>
        <w:ind w:firstLineChars="200" w:firstLine="480"/>
        <w:rPr>
          <w:bCs/>
          <w:sz w:val="24"/>
        </w:rPr>
      </w:pPr>
      <w:r>
        <w:rPr>
          <w:bCs/>
          <w:sz w:val="24"/>
        </w:rPr>
        <w:t>本基金信息披露义务人按照法律法规和中国证监会的规定披露基金信息，并保证所披露信息的真实性、准确性和完整性。</w:t>
      </w:r>
    </w:p>
    <w:p w14:paraId="1859A4A5" w14:textId="77777777" w:rsidR="00D04107" w:rsidRDefault="000C2DB0">
      <w:pPr>
        <w:spacing w:line="360" w:lineRule="auto"/>
        <w:ind w:firstLineChars="200" w:firstLine="480"/>
        <w:rPr>
          <w:rFonts w:ascii="宋体" w:hAnsi="宋体"/>
          <w:sz w:val="24"/>
        </w:rPr>
      </w:pPr>
      <w:r>
        <w:rPr>
          <w:bCs/>
          <w:sz w:val="24"/>
        </w:rPr>
        <w:t>本基金信息披露义务人应当在中国证监会规定时间内，将应予披露的基金信息通过中国证监会指定的媒介和基金管理人、基金托管人的互联网网站（以下简称</w:t>
      </w:r>
      <w:r>
        <w:rPr>
          <w:bCs/>
          <w:sz w:val="24"/>
        </w:rPr>
        <w:t>“</w:t>
      </w:r>
      <w:r>
        <w:rPr>
          <w:bCs/>
          <w:sz w:val="24"/>
        </w:rPr>
        <w:t>网站</w:t>
      </w:r>
      <w:r>
        <w:rPr>
          <w:bCs/>
          <w:sz w:val="24"/>
        </w:rPr>
        <w:t>”</w:t>
      </w:r>
      <w:r>
        <w:rPr>
          <w:bCs/>
          <w:sz w:val="24"/>
        </w:rPr>
        <w:t>）等媒介披露，并保证基金投资者能够按照《基金合同》约定的时间和方式查阅或者复制公开披露的信息资料。</w:t>
      </w:r>
    </w:p>
    <w:p w14:paraId="420E19D8" w14:textId="77777777" w:rsidR="00D04107" w:rsidRDefault="000C2DB0">
      <w:pPr>
        <w:spacing w:line="360" w:lineRule="auto"/>
        <w:ind w:firstLineChars="200" w:firstLine="480"/>
        <w:rPr>
          <w:bCs/>
          <w:sz w:val="24"/>
        </w:rPr>
      </w:pPr>
      <w:r>
        <w:rPr>
          <w:rFonts w:hint="eastAsia"/>
          <w:bCs/>
          <w:sz w:val="24"/>
        </w:rPr>
        <w:t>（三）</w:t>
      </w:r>
      <w:r>
        <w:rPr>
          <w:bCs/>
          <w:sz w:val="24"/>
        </w:rPr>
        <w:t>本基金信息披露义务人承诺公开披露的基金信息，不得有下列行为：</w:t>
      </w:r>
    </w:p>
    <w:p w14:paraId="32024D62" w14:textId="77777777" w:rsidR="00D04107" w:rsidRDefault="000C2DB0">
      <w:pPr>
        <w:spacing w:line="360" w:lineRule="auto"/>
        <w:ind w:firstLineChars="200" w:firstLine="480"/>
        <w:rPr>
          <w:bCs/>
          <w:sz w:val="24"/>
        </w:rPr>
      </w:pPr>
      <w:r>
        <w:rPr>
          <w:bCs/>
          <w:sz w:val="24"/>
        </w:rPr>
        <w:t>1</w:t>
      </w:r>
      <w:r>
        <w:rPr>
          <w:bCs/>
          <w:sz w:val="24"/>
        </w:rPr>
        <w:t>、虚假记载、误导性陈述或者重大遗漏；</w:t>
      </w:r>
    </w:p>
    <w:p w14:paraId="1D5F813F" w14:textId="77777777" w:rsidR="00D04107" w:rsidRDefault="000C2DB0">
      <w:pPr>
        <w:spacing w:line="360" w:lineRule="auto"/>
        <w:ind w:firstLineChars="200" w:firstLine="480"/>
        <w:rPr>
          <w:bCs/>
          <w:sz w:val="24"/>
        </w:rPr>
      </w:pPr>
      <w:r>
        <w:rPr>
          <w:bCs/>
          <w:sz w:val="24"/>
        </w:rPr>
        <w:t>2</w:t>
      </w:r>
      <w:r>
        <w:rPr>
          <w:bCs/>
          <w:sz w:val="24"/>
        </w:rPr>
        <w:t>、对证券投资业绩进行预测；</w:t>
      </w:r>
    </w:p>
    <w:p w14:paraId="73EDFCCA" w14:textId="77777777" w:rsidR="00D04107" w:rsidRDefault="000C2DB0">
      <w:pPr>
        <w:spacing w:line="360" w:lineRule="auto"/>
        <w:ind w:firstLineChars="200" w:firstLine="480"/>
        <w:rPr>
          <w:bCs/>
          <w:sz w:val="24"/>
        </w:rPr>
      </w:pPr>
      <w:r>
        <w:rPr>
          <w:bCs/>
          <w:sz w:val="24"/>
        </w:rPr>
        <w:t>3</w:t>
      </w:r>
      <w:r>
        <w:rPr>
          <w:bCs/>
          <w:sz w:val="24"/>
        </w:rPr>
        <w:t>、违规承诺收益或者承担损失；</w:t>
      </w:r>
    </w:p>
    <w:p w14:paraId="0C07C659" w14:textId="77777777" w:rsidR="00D04107" w:rsidRDefault="000C2DB0">
      <w:pPr>
        <w:spacing w:line="360" w:lineRule="auto"/>
        <w:ind w:firstLineChars="200" w:firstLine="480"/>
        <w:rPr>
          <w:bCs/>
          <w:sz w:val="24"/>
        </w:rPr>
      </w:pPr>
      <w:r>
        <w:rPr>
          <w:bCs/>
          <w:sz w:val="24"/>
        </w:rPr>
        <w:t>4</w:t>
      </w:r>
      <w:r>
        <w:rPr>
          <w:bCs/>
          <w:sz w:val="24"/>
        </w:rPr>
        <w:t>、诋毁其他基金管理人、基金托管人或者基金销售机构；</w:t>
      </w:r>
    </w:p>
    <w:p w14:paraId="21510CA4" w14:textId="77777777" w:rsidR="00D04107" w:rsidRDefault="000C2DB0">
      <w:pPr>
        <w:spacing w:line="360" w:lineRule="auto"/>
        <w:ind w:firstLineChars="200" w:firstLine="480"/>
        <w:rPr>
          <w:bCs/>
          <w:sz w:val="24"/>
        </w:rPr>
      </w:pPr>
      <w:r>
        <w:rPr>
          <w:bCs/>
          <w:sz w:val="24"/>
        </w:rPr>
        <w:t>5</w:t>
      </w:r>
      <w:r>
        <w:rPr>
          <w:bCs/>
          <w:sz w:val="24"/>
        </w:rPr>
        <w:t>、登载任何自然人、法人或者其他组织的祝贺性、恭维性或推荐性的文字；</w:t>
      </w:r>
    </w:p>
    <w:p w14:paraId="3D5EADEB" w14:textId="77777777" w:rsidR="00D04107" w:rsidRDefault="000C2DB0">
      <w:pPr>
        <w:spacing w:line="360" w:lineRule="auto"/>
        <w:ind w:firstLineChars="200" w:firstLine="480"/>
        <w:rPr>
          <w:bCs/>
          <w:sz w:val="24"/>
        </w:rPr>
      </w:pPr>
      <w:r>
        <w:rPr>
          <w:bCs/>
          <w:sz w:val="24"/>
        </w:rPr>
        <w:t>6</w:t>
      </w:r>
      <w:r>
        <w:rPr>
          <w:bCs/>
          <w:sz w:val="24"/>
        </w:rPr>
        <w:t>、中国证监会禁止的其他行为。</w:t>
      </w:r>
    </w:p>
    <w:p w14:paraId="7442EF01" w14:textId="77777777" w:rsidR="00D04107" w:rsidRDefault="000C2DB0">
      <w:pPr>
        <w:spacing w:line="360" w:lineRule="auto"/>
        <w:ind w:firstLineChars="200" w:firstLine="480"/>
        <w:rPr>
          <w:bCs/>
          <w:sz w:val="24"/>
        </w:rPr>
      </w:pPr>
      <w:r>
        <w:rPr>
          <w:rFonts w:hint="eastAsia"/>
          <w:bCs/>
          <w:sz w:val="24"/>
        </w:rPr>
        <w:t>（四）</w:t>
      </w:r>
      <w:r>
        <w:rPr>
          <w:bCs/>
          <w:sz w:val="24"/>
        </w:rPr>
        <w:t>本基金公开披露的信息应采用中文文本。如同时采用外文文本的，基金信息披露义务人应保证两种文本的内容一致。两种文本发生歧义的，以中文文本为准。</w:t>
      </w:r>
    </w:p>
    <w:p w14:paraId="46D7E303" w14:textId="77777777" w:rsidR="00D04107" w:rsidRDefault="000C2DB0">
      <w:pPr>
        <w:spacing w:line="360" w:lineRule="auto"/>
        <w:ind w:firstLineChars="200" w:firstLine="480"/>
        <w:rPr>
          <w:bCs/>
          <w:sz w:val="24"/>
        </w:rPr>
      </w:pPr>
      <w:r>
        <w:rPr>
          <w:bCs/>
          <w:sz w:val="24"/>
        </w:rPr>
        <w:t>本基金公开披露的信息采用阿拉伯数字；除特别说明外，货币单位为人民币元。</w:t>
      </w:r>
    </w:p>
    <w:p w14:paraId="632CC86C" w14:textId="77777777" w:rsidR="00D04107" w:rsidRDefault="000C2DB0">
      <w:pPr>
        <w:spacing w:line="360" w:lineRule="auto"/>
        <w:ind w:firstLineChars="200" w:firstLine="480"/>
        <w:rPr>
          <w:bCs/>
          <w:sz w:val="24"/>
        </w:rPr>
      </w:pPr>
      <w:r>
        <w:rPr>
          <w:rFonts w:hint="eastAsia"/>
          <w:bCs/>
          <w:sz w:val="24"/>
        </w:rPr>
        <w:t>（五）</w:t>
      </w:r>
      <w:r>
        <w:rPr>
          <w:bCs/>
          <w:sz w:val="24"/>
        </w:rPr>
        <w:t>公开披露的基金信息</w:t>
      </w:r>
    </w:p>
    <w:p w14:paraId="4811CB60" w14:textId="77777777" w:rsidR="00D04107" w:rsidRDefault="000C2DB0">
      <w:pPr>
        <w:spacing w:line="360" w:lineRule="auto"/>
        <w:ind w:firstLineChars="200" w:firstLine="480"/>
        <w:rPr>
          <w:rFonts w:ascii="宋体" w:hAnsi="宋体"/>
          <w:sz w:val="24"/>
        </w:rPr>
      </w:pPr>
      <w:r>
        <w:rPr>
          <w:bCs/>
          <w:sz w:val="24"/>
        </w:rPr>
        <w:t>公开披露的基金信息包括：</w:t>
      </w:r>
    </w:p>
    <w:p w14:paraId="6DB3EA2E" w14:textId="77777777" w:rsidR="00D04107" w:rsidRDefault="000C2DB0">
      <w:pPr>
        <w:spacing w:line="360" w:lineRule="auto"/>
        <w:ind w:firstLineChars="200" w:firstLine="480"/>
        <w:rPr>
          <w:rFonts w:ascii="宋体" w:hAnsi="宋体"/>
          <w:sz w:val="24"/>
        </w:rPr>
      </w:pPr>
      <w:r>
        <w:rPr>
          <w:rFonts w:ascii="宋体" w:hAnsi="宋体" w:hint="eastAsia"/>
          <w:sz w:val="24"/>
        </w:rPr>
        <w:t>1、基金招募说明书、基金合同、基金托管协议</w:t>
      </w:r>
    </w:p>
    <w:p w14:paraId="2A2BCB6B" w14:textId="77777777" w:rsidR="00D04107" w:rsidRDefault="000C2DB0">
      <w:pPr>
        <w:spacing w:line="360" w:lineRule="auto"/>
        <w:ind w:firstLineChars="200" w:firstLine="480"/>
        <w:rPr>
          <w:rFonts w:ascii="宋体" w:hAnsi="宋体"/>
          <w:bCs/>
          <w:sz w:val="24"/>
        </w:rPr>
      </w:pPr>
      <w:r>
        <w:rPr>
          <w:rFonts w:ascii="宋体" w:hAnsi="宋体" w:hint="eastAsia"/>
          <w:bCs/>
          <w:sz w:val="24"/>
        </w:rPr>
        <w:t>（1）《</w:t>
      </w:r>
      <w:r>
        <w:rPr>
          <w:rFonts w:ascii="宋体" w:hAnsi="宋体"/>
          <w:bCs/>
          <w:sz w:val="24"/>
        </w:rPr>
        <w:t>基金合同</w:t>
      </w:r>
      <w:r>
        <w:rPr>
          <w:rFonts w:ascii="宋体" w:hAnsi="宋体" w:hint="eastAsia"/>
          <w:bCs/>
          <w:sz w:val="24"/>
        </w:rPr>
        <w:t>》</w:t>
      </w:r>
      <w:r>
        <w:rPr>
          <w:rFonts w:ascii="宋体" w:hAnsi="宋体"/>
          <w:bCs/>
          <w:sz w:val="24"/>
        </w:rPr>
        <w:t>是界定合同当事人的各项权利、义务关系，明确基金份额持</w:t>
      </w:r>
      <w:r>
        <w:rPr>
          <w:rFonts w:ascii="宋体" w:hAnsi="宋体"/>
          <w:bCs/>
          <w:sz w:val="24"/>
        </w:rPr>
        <w:lastRenderedPageBreak/>
        <w:t>有人大会召开的规则及具体程序，说明基金产品的特性等涉及基金投资</w:t>
      </w:r>
      <w:r>
        <w:rPr>
          <w:rFonts w:ascii="宋体" w:hAnsi="宋体" w:hint="eastAsia"/>
          <w:bCs/>
          <w:sz w:val="24"/>
        </w:rPr>
        <w:t>人</w:t>
      </w:r>
      <w:r>
        <w:rPr>
          <w:rFonts w:ascii="宋体" w:hAnsi="宋体"/>
          <w:bCs/>
          <w:sz w:val="24"/>
        </w:rPr>
        <w:t>重大利益的事项的法律文件</w:t>
      </w:r>
      <w:r>
        <w:rPr>
          <w:rFonts w:ascii="宋体" w:hAnsi="宋体" w:hint="eastAsia"/>
          <w:bCs/>
          <w:sz w:val="24"/>
        </w:rPr>
        <w:t>。</w:t>
      </w:r>
    </w:p>
    <w:p w14:paraId="6D278024" w14:textId="77777777" w:rsidR="00D04107" w:rsidRDefault="000C2DB0">
      <w:pPr>
        <w:spacing w:line="360" w:lineRule="auto"/>
        <w:ind w:firstLineChars="200" w:firstLine="480"/>
        <w:rPr>
          <w:rFonts w:ascii="宋体" w:hAnsi="宋体"/>
          <w:bCs/>
          <w:sz w:val="24"/>
        </w:rPr>
      </w:pPr>
      <w:r>
        <w:rPr>
          <w:rFonts w:ascii="宋体" w:hAnsi="宋体" w:hint="eastAsia"/>
          <w:bCs/>
          <w:sz w:val="24"/>
        </w:rPr>
        <w:t>（2）</w:t>
      </w:r>
      <w:r>
        <w:rPr>
          <w:rFonts w:ascii="宋体" w:hAnsi="宋体"/>
          <w:bCs/>
          <w:sz w:val="24"/>
        </w:rPr>
        <w:t>基金招募说明书应当最大限度地披露影响基金投资</w:t>
      </w:r>
      <w:r>
        <w:rPr>
          <w:rFonts w:ascii="宋体" w:hAnsi="宋体" w:hint="eastAsia"/>
          <w:bCs/>
          <w:sz w:val="24"/>
        </w:rPr>
        <w:t>人</w:t>
      </w:r>
      <w:r>
        <w:rPr>
          <w:rFonts w:ascii="宋体" w:hAnsi="宋体"/>
          <w:bCs/>
          <w:sz w:val="24"/>
        </w:rPr>
        <w:t>决策的全部事项，说明基金认购、申购和赎回安排、基金投资、基金产品特性、风险揭示、信息披露及基金份额持有人服务等内容。</w:t>
      </w:r>
      <w:r>
        <w:rPr>
          <w:rFonts w:ascii="宋体" w:hAnsi="宋体" w:hint="eastAsia"/>
          <w:bCs/>
          <w:sz w:val="24"/>
        </w:rPr>
        <w:t>《</w:t>
      </w:r>
      <w:r>
        <w:rPr>
          <w:rFonts w:ascii="宋体" w:hAnsi="宋体"/>
          <w:bCs/>
          <w:sz w:val="24"/>
        </w:rPr>
        <w:t>基金合同</w:t>
      </w:r>
      <w:r>
        <w:rPr>
          <w:rFonts w:ascii="宋体" w:hAnsi="宋体" w:hint="eastAsia"/>
          <w:bCs/>
          <w:sz w:val="24"/>
        </w:rPr>
        <w:t>》</w:t>
      </w:r>
      <w:r>
        <w:rPr>
          <w:rFonts w:ascii="宋体" w:hAnsi="宋体"/>
          <w:bCs/>
          <w:sz w:val="24"/>
        </w:rPr>
        <w:t>生效后，基金管理人在每6个月结束之日起45日内，更新招募说明书并登载在网站上，将更新后的招募说明书摘要登载在指定媒介上；基金管理人在公告的15日前向主要办公场所所在地的中国证监会派出机构报送更新的招募说明书，并就有关更新内容提供书面说明</w:t>
      </w:r>
      <w:r>
        <w:rPr>
          <w:rFonts w:ascii="宋体" w:hAnsi="宋体" w:hint="eastAsia"/>
          <w:bCs/>
          <w:sz w:val="24"/>
        </w:rPr>
        <w:t>。</w:t>
      </w:r>
    </w:p>
    <w:p w14:paraId="1F6BCEBB" w14:textId="77777777" w:rsidR="00D04107" w:rsidRDefault="000C2DB0">
      <w:pPr>
        <w:spacing w:line="360" w:lineRule="auto"/>
        <w:ind w:firstLineChars="200" w:firstLine="480"/>
        <w:rPr>
          <w:bCs/>
          <w:sz w:val="24"/>
        </w:rPr>
      </w:pPr>
      <w:r>
        <w:rPr>
          <w:rFonts w:ascii="宋体" w:hAnsi="宋体" w:hint="eastAsia"/>
          <w:bCs/>
          <w:sz w:val="24"/>
        </w:rPr>
        <w:t>（3）</w:t>
      </w:r>
      <w:r>
        <w:rPr>
          <w:rFonts w:ascii="宋体" w:hAnsi="宋体"/>
          <w:bCs/>
          <w:sz w:val="24"/>
        </w:rPr>
        <w:t>基金托管协议是界定基金托管人和基金管理人在基金财产保管及基金运作监督等活</w:t>
      </w:r>
      <w:r>
        <w:rPr>
          <w:bCs/>
          <w:sz w:val="24"/>
        </w:rPr>
        <w:t>动中的权利、义务关系的法律文件</w:t>
      </w:r>
      <w:r>
        <w:rPr>
          <w:rFonts w:hint="eastAsia"/>
          <w:bCs/>
          <w:sz w:val="24"/>
        </w:rPr>
        <w:t>。</w:t>
      </w:r>
    </w:p>
    <w:p w14:paraId="05E693E9" w14:textId="77777777" w:rsidR="00D04107" w:rsidRDefault="000C2DB0">
      <w:pPr>
        <w:spacing w:line="360" w:lineRule="auto"/>
        <w:ind w:firstLineChars="200" w:firstLine="480"/>
        <w:rPr>
          <w:rFonts w:ascii="宋体" w:hAnsi="宋体"/>
          <w:sz w:val="24"/>
        </w:rPr>
      </w:pPr>
      <w:r>
        <w:rPr>
          <w:rFonts w:ascii="宋体" w:hAnsi="宋体" w:hint="eastAsia"/>
          <w:sz w:val="24"/>
        </w:rPr>
        <w:t>基金募集申请经中国证监会注册后，基金管理人在基金份额发售的3日前，将招募说明书、《基金合同》摘要登载在指定媒介上；基金管理人、基金托管人应当将《基金合同》、基金托管协议登载在各自公司网站上。</w:t>
      </w:r>
    </w:p>
    <w:p w14:paraId="79C4F90E" w14:textId="77777777" w:rsidR="00D04107" w:rsidRDefault="000C2DB0">
      <w:pPr>
        <w:spacing w:line="360" w:lineRule="auto"/>
        <w:ind w:firstLineChars="200" w:firstLine="480"/>
        <w:rPr>
          <w:rFonts w:ascii="宋体" w:hAnsi="宋体"/>
          <w:sz w:val="24"/>
        </w:rPr>
      </w:pPr>
      <w:r>
        <w:rPr>
          <w:rFonts w:ascii="宋体" w:hAnsi="宋体" w:hint="eastAsia"/>
          <w:sz w:val="24"/>
        </w:rPr>
        <w:t>2、基金份额发售公告</w:t>
      </w:r>
    </w:p>
    <w:p w14:paraId="14937CC2"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基金管理人应当就基金份额发售的具体事宜编制基金份额发售公告，并在披露招募说明书的当日登载于指定媒介上。</w:t>
      </w:r>
    </w:p>
    <w:p w14:paraId="7925DCE3" w14:textId="77777777" w:rsidR="00D04107" w:rsidRDefault="000C2DB0">
      <w:pPr>
        <w:spacing w:line="360" w:lineRule="auto"/>
        <w:ind w:firstLineChars="200" w:firstLine="480"/>
        <w:rPr>
          <w:rFonts w:ascii="宋体" w:hAnsi="宋体"/>
          <w:sz w:val="24"/>
        </w:rPr>
      </w:pPr>
      <w:r>
        <w:rPr>
          <w:rFonts w:ascii="宋体" w:hAnsi="宋体" w:hint="eastAsia"/>
          <w:sz w:val="24"/>
        </w:rPr>
        <w:t>3、基金合同生效公告</w:t>
      </w:r>
    </w:p>
    <w:p w14:paraId="3C97FC6E"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基金管理人应当在收到中国证监会确认文件的次日在指定媒介上登载基金合同生效公告。</w:t>
      </w:r>
    </w:p>
    <w:p w14:paraId="2DBBED7D"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4、基金资产净值、各类基金份额的每万份基金已实现收益和7日年化收益率公告</w:t>
      </w:r>
    </w:p>
    <w:p w14:paraId="1D92B2F9" w14:textId="77777777" w:rsidR="00D04107" w:rsidRDefault="000C2DB0" w:rsidP="000C2DB0">
      <w:pPr>
        <w:spacing w:line="360" w:lineRule="auto"/>
        <w:ind w:firstLineChars="177" w:firstLine="425"/>
        <w:rPr>
          <w:bCs/>
          <w:sz w:val="24"/>
        </w:rPr>
      </w:pPr>
      <w:r>
        <w:rPr>
          <w:rFonts w:ascii="宋体" w:hAnsi="宋体" w:hint="eastAsia"/>
          <w:sz w:val="24"/>
        </w:rPr>
        <w:t>（1）</w:t>
      </w:r>
      <w:r>
        <w:rPr>
          <w:rFonts w:hint="eastAsia"/>
          <w:bCs/>
          <w:sz w:val="24"/>
        </w:rPr>
        <w:t>本基金的基金合同生效后，在开始办理基金份额申购或者赎回前，基金管理人将至少每周公告一次基金资产净值、各类基金份额的每万份基金已实现收益和</w:t>
      </w:r>
      <w:r>
        <w:rPr>
          <w:rFonts w:hint="eastAsia"/>
          <w:bCs/>
          <w:sz w:val="24"/>
        </w:rPr>
        <w:t>7</w:t>
      </w:r>
      <w:r>
        <w:rPr>
          <w:rFonts w:hint="eastAsia"/>
          <w:bCs/>
          <w:sz w:val="24"/>
        </w:rPr>
        <w:t>日年化收益率；</w:t>
      </w:r>
    </w:p>
    <w:p w14:paraId="1FE8B6C7" w14:textId="77777777" w:rsidR="00D04107" w:rsidRDefault="000C2DB0" w:rsidP="000C2DB0">
      <w:pPr>
        <w:spacing w:line="360" w:lineRule="auto"/>
        <w:ind w:firstLineChars="177" w:firstLine="425"/>
        <w:rPr>
          <w:bCs/>
          <w:sz w:val="24"/>
        </w:rPr>
      </w:pPr>
      <w:r>
        <w:rPr>
          <w:rFonts w:hint="eastAsia"/>
          <w:bCs/>
          <w:sz w:val="24"/>
        </w:rPr>
        <w:t>每万份基金已实现收益和</w:t>
      </w:r>
      <w:r>
        <w:rPr>
          <w:bCs/>
          <w:sz w:val="24"/>
        </w:rPr>
        <w:t>7</w:t>
      </w:r>
      <w:r>
        <w:rPr>
          <w:rFonts w:hint="eastAsia"/>
          <w:bCs/>
          <w:sz w:val="24"/>
        </w:rPr>
        <w:t>日年化收益率的计算方法如下：</w:t>
      </w:r>
    </w:p>
    <w:p w14:paraId="3DB8AC3C" w14:textId="77777777" w:rsidR="00D04107" w:rsidRDefault="000C2DB0" w:rsidP="000C2DB0">
      <w:pPr>
        <w:spacing w:line="360" w:lineRule="auto"/>
        <w:ind w:firstLineChars="177" w:firstLine="425"/>
        <w:rPr>
          <w:bCs/>
          <w:sz w:val="24"/>
        </w:rPr>
      </w:pPr>
      <w:r>
        <w:rPr>
          <w:rFonts w:hint="eastAsia"/>
          <w:bCs/>
          <w:sz w:val="24"/>
        </w:rPr>
        <w:t>日每万份基金已实现收益＝当日基金份额的已实现收益</w:t>
      </w:r>
      <w:r>
        <w:rPr>
          <w:bCs/>
          <w:sz w:val="24"/>
        </w:rPr>
        <w:t>/</w:t>
      </w:r>
      <w:r>
        <w:rPr>
          <w:rFonts w:hint="eastAsia"/>
          <w:bCs/>
          <w:sz w:val="24"/>
        </w:rPr>
        <w:t>当日基金份额总额</w:t>
      </w:r>
      <w:r>
        <w:rPr>
          <w:bCs/>
          <w:sz w:val="24"/>
        </w:rPr>
        <w:t>×10000</w:t>
      </w:r>
    </w:p>
    <w:p w14:paraId="70B45F9F" w14:textId="77777777" w:rsidR="00D04107" w:rsidRDefault="000C2DB0" w:rsidP="000C2DB0">
      <w:pPr>
        <w:spacing w:line="360" w:lineRule="auto"/>
        <w:ind w:firstLineChars="177" w:firstLine="425"/>
        <w:rPr>
          <w:bCs/>
          <w:sz w:val="24"/>
        </w:rPr>
      </w:pPr>
      <w:r>
        <w:rPr>
          <w:bCs/>
          <w:sz w:val="24"/>
        </w:rPr>
        <w:t>7</w:t>
      </w:r>
      <w:r>
        <w:rPr>
          <w:rFonts w:hint="eastAsia"/>
          <w:bCs/>
          <w:sz w:val="24"/>
        </w:rPr>
        <w:t>日年化收益率的计算方法</w:t>
      </w:r>
      <w:r>
        <w:rPr>
          <w:bCs/>
          <w:sz w:val="24"/>
        </w:rPr>
        <w:t>:</w:t>
      </w:r>
    </w:p>
    <w:p w14:paraId="52C55132" w14:textId="77777777" w:rsidR="00D04107" w:rsidRDefault="000C2DB0" w:rsidP="000C2DB0">
      <w:pPr>
        <w:spacing w:line="360" w:lineRule="auto"/>
        <w:ind w:firstLineChars="177" w:firstLine="425"/>
        <w:rPr>
          <w:rFonts w:ascii="宋体" w:hAnsi="宋体"/>
          <w:sz w:val="24"/>
        </w:rPr>
      </w:pPr>
      <w:r>
        <w:rPr>
          <w:bCs/>
          <w:sz w:val="24"/>
        </w:rPr>
        <w:lastRenderedPageBreak/>
        <w:t>7</w:t>
      </w:r>
      <w:r>
        <w:rPr>
          <w:rFonts w:hint="eastAsia"/>
          <w:bCs/>
          <w:sz w:val="24"/>
        </w:rPr>
        <w:t>日年化收益率以最近七个自然日的每万份基金已实现收益按每日复利折算出的年收益率。计算公式为：</w:t>
      </w:r>
    </w:p>
    <w:p w14:paraId="76C8BD82" w14:textId="77777777" w:rsidR="00D04107" w:rsidRDefault="000C2DB0" w:rsidP="000C2DB0">
      <w:pPr>
        <w:spacing w:line="360" w:lineRule="auto"/>
        <w:ind w:firstLineChars="177" w:firstLine="425"/>
        <w:jc w:val="center"/>
        <w:rPr>
          <w:rFonts w:ascii="宋体" w:hAnsi="宋体"/>
          <w:sz w:val="24"/>
        </w:rPr>
      </w:pPr>
      <w:r>
        <w:rPr>
          <w:rFonts w:ascii="宋体" w:hAnsi="宋体"/>
          <w:noProof/>
          <w:sz w:val="24"/>
        </w:rPr>
        <w:drawing>
          <wp:inline distT="0" distB="0" distL="0" distR="0" wp14:anchorId="5E9DBC09" wp14:editId="644398BB">
            <wp:extent cx="3257550" cy="742950"/>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30" cstate="print"/>
                    <a:srcRect/>
                    <a:stretch>
                      <a:fillRect/>
                    </a:stretch>
                  </pic:blipFill>
                  <pic:spPr>
                    <a:xfrm>
                      <a:off x="0" y="0"/>
                      <a:ext cx="3257550" cy="742950"/>
                    </a:xfrm>
                    <a:prstGeom prst="rect">
                      <a:avLst/>
                    </a:prstGeom>
                    <a:noFill/>
                    <a:ln w="9525">
                      <a:noFill/>
                      <a:miter lim="800000"/>
                      <a:headEnd/>
                      <a:tailEnd/>
                    </a:ln>
                  </pic:spPr>
                </pic:pic>
              </a:graphicData>
            </a:graphic>
          </wp:inline>
        </w:drawing>
      </w:r>
    </w:p>
    <w:p w14:paraId="0E1B15F9"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其中，</w:t>
      </w:r>
      <w:r>
        <w:rPr>
          <w:rFonts w:ascii="宋体" w:hAnsi="宋体"/>
          <w:sz w:val="24"/>
        </w:rPr>
        <w:t>Ri</w:t>
      </w:r>
      <w:r>
        <w:rPr>
          <w:rFonts w:ascii="宋体" w:hAnsi="宋体" w:hint="eastAsia"/>
          <w:sz w:val="24"/>
        </w:rPr>
        <w:t>为最近第</w:t>
      </w:r>
      <w:r>
        <w:rPr>
          <w:rFonts w:ascii="宋体" w:hAnsi="宋体"/>
          <w:sz w:val="24"/>
        </w:rPr>
        <w:t>i</w:t>
      </w:r>
      <w:r>
        <w:rPr>
          <w:rFonts w:ascii="宋体" w:hAnsi="宋体" w:hint="eastAsia"/>
          <w:sz w:val="24"/>
        </w:rPr>
        <w:t>个自然日</w:t>
      </w:r>
      <w:r>
        <w:rPr>
          <w:rFonts w:ascii="宋体" w:hAnsi="宋体"/>
          <w:sz w:val="24"/>
        </w:rPr>
        <w:t>(</w:t>
      </w:r>
      <w:r>
        <w:rPr>
          <w:rFonts w:ascii="宋体" w:hAnsi="宋体" w:hint="eastAsia"/>
          <w:sz w:val="24"/>
        </w:rPr>
        <w:t>包括计算当日</w:t>
      </w:r>
      <w:r>
        <w:rPr>
          <w:rFonts w:ascii="宋体" w:hAnsi="宋体"/>
          <w:sz w:val="24"/>
        </w:rPr>
        <w:t>)</w:t>
      </w:r>
      <w:r>
        <w:rPr>
          <w:rFonts w:ascii="宋体" w:hAnsi="宋体" w:hint="eastAsia"/>
          <w:sz w:val="24"/>
        </w:rPr>
        <w:t>的每万份基金已实现收益。</w:t>
      </w:r>
    </w:p>
    <w:p w14:paraId="40269AB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每万份基金已实现收益采用四舍五入保留至小数点后第</w:t>
      </w:r>
      <w:r>
        <w:rPr>
          <w:rFonts w:ascii="宋体" w:hAnsi="宋体"/>
          <w:sz w:val="24"/>
        </w:rPr>
        <w:t>4</w:t>
      </w:r>
      <w:r>
        <w:rPr>
          <w:rFonts w:ascii="宋体" w:hAnsi="宋体" w:hint="eastAsia"/>
          <w:sz w:val="24"/>
        </w:rPr>
        <w:t>位，</w:t>
      </w:r>
      <w:r>
        <w:rPr>
          <w:rFonts w:ascii="宋体" w:hAnsi="宋体"/>
          <w:sz w:val="24"/>
        </w:rPr>
        <w:t>7</w:t>
      </w:r>
      <w:r>
        <w:rPr>
          <w:rFonts w:ascii="宋体" w:hAnsi="宋体" w:hint="eastAsia"/>
          <w:sz w:val="24"/>
        </w:rPr>
        <w:t>日年化收益率采用四舍五入保留至百分号内小数点后第</w:t>
      </w:r>
      <w:r>
        <w:rPr>
          <w:rFonts w:ascii="宋体" w:hAnsi="宋体"/>
          <w:sz w:val="24"/>
        </w:rPr>
        <w:t>3</w:t>
      </w:r>
      <w:r>
        <w:rPr>
          <w:rFonts w:ascii="宋体" w:hAnsi="宋体" w:hint="eastAsia"/>
          <w:sz w:val="24"/>
        </w:rPr>
        <w:t>位。如果基金成立不足7日，按类似规则计算。</w:t>
      </w:r>
    </w:p>
    <w:p w14:paraId="240B4816"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（2）</w:t>
      </w:r>
      <w:r>
        <w:rPr>
          <w:rFonts w:hint="eastAsia"/>
          <w:bCs/>
          <w:sz w:val="24"/>
        </w:rPr>
        <w:t>在开始办理基金份额申购或者赎回后，基金管理人将在每个开放日的次日，通过网站、基金份额销售网点以及其他媒介，披露开放日各类</w:t>
      </w:r>
      <w:r>
        <w:rPr>
          <w:bCs/>
          <w:sz w:val="24"/>
        </w:rPr>
        <w:t>基金份额</w:t>
      </w:r>
      <w:r>
        <w:rPr>
          <w:rFonts w:hint="eastAsia"/>
          <w:bCs/>
          <w:sz w:val="24"/>
        </w:rPr>
        <w:t>的每万份基金已实现收益和</w:t>
      </w:r>
      <w:r>
        <w:rPr>
          <w:bCs/>
          <w:sz w:val="24"/>
        </w:rPr>
        <w:t>7</w:t>
      </w:r>
      <w:r>
        <w:rPr>
          <w:rFonts w:hint="eastAsia"/>
          <w:bCs/>
          <w:sz w:val="24"/>
        </w:rPr>
        <w:t>日年化收益率，若遇法定节假日，应于节假日结束后第二个自然日，披露节假日期间各类</w:t>
      </w:r>
      <w:r>
        <w:rPr>
          <w:bCs/>
          <w:sz w:val="24"/>
        </w:rPr>
        <w:t>基金份额</w:t>
      </w:r>
      <w:r>
        <w:rPr>
          <w:rFonts w:hint="eastAsia"/>
          <w:bCs/>
          <w:sz w:val="24"/>
        </w:rPr>
        <w:t>的每万份基金已实现收益和节假日最后一日的</w:t>
      </w:r>
      <w:r>
        <w:rPr>
          <w:bCs/>
          <w:sz w:val="24"/>
        </w:rPr>
        <w:t>7</w:t>
      </w:r>
      <w:r>
        <w:rPr>
          <w:rFonts w:hint="eastAsia"/>
          <w:bCs/>
          <w:sz w:val="24"/>
        </w:rPr>
        <w:t>日年化收益率，以及节假日后首个开放日各类</w:t>
      </w:r>
      <w:r>
        <w:rPr>
          <w:bCs/>
          <w:sz w:val="24"/>
        </w:rPr>
        <w:t>基金份额</w:t>
      </w:r>
      <w:r>
        <w:rPr>
          <w:rFonts w:hint="eastAsia"/>
          <w:bCs/>
          <w:sz w:val="24"/>
        </w:rPr>
        <w:t>的每万份基金已实现收益和</w:t>
      </w:r>
      <w:r>
        <w:rPr>
          <w:bCs/>
          <w:sz w:val="24"/>
        </w:rPr>
        <w:t>7</w:t>
      </w:r>
      <w:r>
        <w:rPr>
          <w:rFonts w:hint="eastAsia"/>
          <w:bCs/>
          <w:sz w:val="24"/>
        </w:rPr>
        <w:t>日年化收益率。经中国证监会同意，可以适当延迟计算或公告。法律法规另有规定的，从其规定。</w:t>
      </w:r>
    </w:p>
    <w:p w14:paraId="5FD93E65"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（3）</w:t>
      </w:r>
      <w:r>
        <w:rPr>
          <w:rFonts w:hint="eastAsia"/>
          <w:bCs/>
          <w:sz w:val="24"/>
        </w:rPr>
        <w:t>基金管理人将公告半年度和年度最后一个市场交易日（或自然日）基金资产净值、各类基金份额的每万份基金已实现收益和</w:t>
      </w:r>
      <w:r>
        <w:rPr>
          <w:rFonts w:hint="eastAsia"/>
          <w:bCs/>
          <w:sz w:val="24"/>
        </w:rPr>
        <w:t>7</w:t>
      </w:r>
      <w:r>
        <w:rPr>
          <w:rFonts w:hint="eastAsia"/>
          <w:bCs/>
          <w:sz w:val="24"/>
        </w:rPr>
        <w:t>日年化收益率。基金管理人应当在上述市场交易日（或自然日）的次日，将基金资产净值、各类基金份额的每万份基金已实现收益和</w:t>
      </w:r>
      <w:r>
        <w:rPr>
          <w:rFonts w:hint="eastAsia"/>
          <w:bCs/>
          <w:sz w:val="24"/>
        </w:rPr>
        <w:t>7</w:t>
      </w:r>
      <w:r>
        <w:rPr>
          <w:rFonts w:hint="eastAsia"/>
          <w:bCs/>
          <w:sz w:val="24"/>
        </w:rPr>
        <w:t>日年化收益率登载在指定媒介上</w:t>
      </w:r>
      <w:r>
        <w:rPr>
          <w:bCs/>
          <w:sz w:val="24"/>
        </w:rPr>
        <w:t>。</w:t>
      </w:r>
    </w:p>
    <w:p w14:paraId="2C3B90B2"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5、基金定期报告，包括基金年度报告、基金半年度报告和基金季度报告。</w:t>
      </w:r>
    </w:p>
    <w:p w14:paraId="042AB4A4"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如报告期内出现单一投资者持有基金份额达到或超过基金总份额</w:t>
      </w:r>
      <w:r w:rsidRPr="00595292">
        <w:rPr>
          <w:rFonts w:ascii="宋体" w:hAnsi="宋体"/>
          <w:sz w:val="24"/>
        </w:rPr>
        <w:t>20%</w:t>
      </w:r>
      <w:r w:rsidRPr="00595292">
        <w:rPr>
          <w:rFonts w:ascii="宋体" w:hAnsi="宋体" w:hint="eastAsia"/>
          <w:sz w:val="24"/>
        </w:rPr>
        <w:t>的情形</w:t>
      </w:r>
      <w:r w:rsidRPr="00595292">
        <w:rPr>
          <w:rFonts w:ascii="宋体" w:hAnsi="宋体"/>
          <w:sz w:val="24"/>
        </w:rPr>
        <w:t xml:space="preserve">, </w:t>
      </w:r>
      <w:r w:rsidRPr="00595292">
        <w:rPr>
          <w:rFonts w:ascii="宋体" w:hAnsi="宋体" w:hint="eastAsia"/>
          <w:sz w:val="24"/>
        </w:rPr>
        <w:t>为保障其他投资者利益</w:t>
      </w:r>
      <w:r w:rsidRPr="00595292">
        <w:rPr>
          <w:rFonts w:ascii="宋体" w:hAnsi="宋体"/>
          <w:sz w:val="24"/>
        </w:rPr>
        <w:t xml:space="preserve">, </w:t>
      </w:r>
      <w:r w:rsidRPr="00595292">
        <w:rPr>
          <w:rFonts w:ascii="宋体" w:hAnsi="宋体" w:hint="eastAsia"/>
          <w:sz w:val="24"/>
        </w:rPr>
        <w:t>基金管理人至少应当在定期报告”影响投资者决策的其他重要信息”项下披露该投资者的类别、报告期末持有份额及占比、报告期内持有份额变化情况及本基金的特有风险</w:t>
      </w:r>
      <w:r w:rsidRPr="00595292">
        <w:rPr>
          <w:rFonts w:ascii="宋体" w:hAnsi="宋体"/>
          <w:sz w:val="24"/>
        </w:rPr>
        <w:t xml:space="preserve">, </w:t>
      </w:r>
      <w:r w:rsidRPr="00595292">
        <w:rPr>
          <w:rFonts w:ascii="宋体" w:hAnsi="宋体" w:hint="eastAsia"/>
          <w:sz w:val="24"/>
        </w:rPr>
        <w:t>中国证监会认定的特殊情形除外。</w:t>
      </w:r>
    </w:p>
    <w:p w14:paraId="75609EFD"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本基金持续运作过程中</w:t>
      </w:r>
      <w:r w:rsidRPr="00595292">
        <w:rPr>
          <w:rFonts w:ascii="宋体" w:hAnsi="宋体"/>
          <w:sz w:val="24"/>
        </w:rPr>
        <w:t xml:space="preserve">, </w:t>
      </w:r>
      <w:r w:rsidRPr="00595292">
        <w:rPr>
          <w:rFonts w:ascii="宋体" w:hAnsi="宋体" w:hint="eastAsia"/>
          <w:sz w:val="24"/>
        </w:rPr>
        <w:t>应当在基金年度报告和半年度报告中披露基金组合资产情况及其流动性风险分析等。</w:t>
      </w:r>
    </w:p>
    <w:p w14:paraId="16C03E95" w14:textId="77777777" w:rsidR="00595292" w:rsidRPr="00595292" w:rsidRDefault="00595292" w:rsidP="00595292">
      <w:pPr>
        <w:spacing w:line="360" w:lineRule="auto"/>
        <w:ind w:firstLineChars="200" w:firstLine="480"/>
        <w:rPr>
          <w:rFonts w:ascii="宋体" w:hAnsi="宋体"/>
          <w:sz w:val="24"/>
        </w:rPr>
      </w:pPr>
      <w:r w:rsidRPr="00595292">
        <w:rPr>
          <w:rFonts w:ascii="宋体" w:hAnsi="宋体" w:hint="eastAsia"/>
          <w:sz w:val="24"/>
        </w:rPr>
        <w:t>本基金应当在年度报告、半年度报告中至少披露报告期末基金前</w:t>
      </w:r>
      <w:r w:rsidRPr="00595292">
        <w:rPr>
          <w:rFonts w:ascii="宋体" w:hAnsi="宋体"/>
          <w:sz w:val="24"/>
        </w:rPr>
        <w:t>10</w:t>
      </w:r>
      <w:r w:rsidRPr="00595292">
        <w:rPr>
          <w:rFonts w:ascii="宋体" w:hAnsi="宋体" w:hint="eastAsia"/>
          <w:sz w:val="24"/>
        </w:rPr>
        <w:t>名基金份额</w:t>
      </w:r>
      <w:r w:rsidRPr="00595292">
        <w:rPr>
          <w:rFonts w:ascii="宋体" w:hAnsi="宋体" w:hint="eastAsia"/>
          <w:sz w:val="24"/>
        </w:rPr>
        <w:lastRenderedPageBreak/>
        <w:t>持有人的类别、持有份额及占总份额的比例等信息。</w:t>
      </w:r>
    </w:p>
    <w:p w14:paraId="682D988B"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基金管理人应当在每年结束之日起90日内，编制完成基金年度报告，并将年度报告正文登载于网站上，将年度报告摘要登载在指定媒介上。基金年度报告的财务会计报告应当经过审计。</w:t>
      </w:r>
    </w:p>
    <w:p w14:paraId="3841F21A"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基金管理人应当在上半年结束之日起60日内，编制完成基金半年度报告，并将半年度报告正文登载在网站上，将半年度报告摘要登载在指定媒介上。</w:t>
      </w:r>
    </w:p>
    <w:p w14:paraId="54F18E9C" w14:textId="77777777" w:rsidR="00D04107" w:rsidRDefault="000C2DB0">
      <w:pPr>
        <w:spacing w:line="360" w:lineRule="auto"/>
        <w:ind w:firstLineChars="200" w:firstLine="480"/>
        <w:rPr>
          <w:rFonts w:ascii="宋体" w:hAnsi="宋体"/>
          <w:sz w:val="24"/>
        </w:rPr>
      </w:pPr>
      <w:r>
        <w:rPr>
          <w:rFonts w:ascii="宋体" w:hAnsi="宋体" w:hint="eastAsia"/>
          <w:sz w:val="24"/>
        </w:rPr>
        <w:t>基金管理人应当在每个季度结束之日起15个工作日内，编制完成基金季度报告，并将季度报告登载在指定媒介。</w:t>
      </w:r>
    </w:p>
    <w:p w14:paraId="51F8D53B" w14:textId="77777777" w:rsidR="00D04107" w:rsidRDefault="000C2DB0">
      <w:pPr>
        <w:spacing w:line="360" w:lineRule="auto"/>
        <w:ind w:firstLineChars="200" w:firstLine="480"/>
        <w:rPr>
          <w:rFonts w:ascii="宋体" w:hAnsi="宋体"/>
          <w:sz w:val="24"/>
        </w:rPr>
      </w:pPr>
      <w:r>
        <w:rPr>
          <w:rFonts w:ascii="宋体" w:hAnsi="宋体" w:hint="eastAsia"/>
          <w:sz w:val="24"/>
        </w:rPr>
        <w:t>《基金合同》生效不足2个月的，基金管理人可以不编制当期季度报告、半年度报告或者年度报告。</w:t>
      </w:r>
    </w:p>
    <w:p w14:paraId="52191B1D" w14:textId="77777777" w:rsidR="00D04107" w:rsidRDefault="000C2DB0">
      <w:pPr>
        <w:spacing w:line="360" w:lineRule="auto"/>
        <w:ind w:firstLineChars="200" w:firstLine="480"/>
        <w:rPr>
          <w:rFonts w:ascii="宋体" w:hAnsi="宋体"/>
          <w:sz w:val="24"/>
        </w:rPr>
      </w:pPr>
      <w:r>
        <w:rPr>
          <w:bCs/>
          <w:sz w:val="24"/>
        </w:rPr>
        <w:t>基金定期报告在公开披露的第</w:t>
      </w:r>
      <w:r>
        <w:rPr>
          <w:rFonts w:ascii="宋体" w:hAnsi="宋体"/>
          <w:bCs/>
          <w:sz w:val="24"/>
        </w:rPr>
        <w:t>2个</w:t>
      </w:r>
      <w:r>
        <w:rPr>
          <w:bCs/>
          <w:sz w:val="24"/>
        </w:rPr>
        <w:t>工作日，分别报中国证监会和基金管理人主要办公场所所在地中国证监会派出机构备案。报备应当采用电子文本</w:t>
      </w:r>
      <w:r>
        <w:rPr>
          <w:rFonts w:hint="eastAsia"/>
          <w:bCs/>
          <w:sz w:val="24"/>
        </w:rPr>
        <w:t>或</w:t>
      </w:r>
      <w:r>
        <w:rPr>
          <w:bCs/>
          <w:sz w:val="24"/>
        </w:rPr>
        <w:t>书面报告方式。</w:t>
      </w:r>
    </w:p>
    <w:p w14:paraId="283209D8" w14:textId="77777777" w:rsidR="00D04107" w:rsidRDefault="000C2DB0">
      <w:pPr>
        <w:spacing w:line="360" w:lineRule="auto"/>
        <w:ind w:firstLineChars="200" w:firstLine="480"/>
        <w:rPr>
          <w:rFonts w:ascii="宋体" w:hAnsi="宋体"/>
          <w:sz w:val="24"/>
        </w:rPr>
      </w:pPr>
      <w:r>
        <w:rPr>
          <w:rFonts w:ascii="宋体" w:hAnsi="宋体"/>
          <w:sz w:val="24"/>
        </w:rPr>
        <w:t>6</w:t>
      </w:r>
      <w:r>
        <w:rPr>
          <w:rFonts w:ascii="宋体" w:hAnsi="宋体" w:hint="eastAsia"/>
          <w:sz w:val="24"/>
        </w:rPr>
        <w:t>、临时报告</w:t>
      </w:r>
    </w:p>
    <w:p w14:paraId="22B062EF" w14:textId="77777777" w:rsidR="00D04107" w:rsidRDefault="000C2DB0">
      <w:pPr>
        <w:spacing w:line="360" w:lineRule="auto"/>
        <w:ind w:firstLineChars="200" w:firstLine="480"/>
        <w:rPr>
          <w:rFonts w:ascii="宋体" w:hAnsi="宋体"/>
          <w:sz w:val="24"/>
        </w:rPr>
      </w:pPr>
      <w:r>
        <w:rPr>
          <w:rFonts w:ascii="宋体" w:hAnsi="宋体" w:hint="eastAsia"/>
          <w:sz w:val="24"/>
        </w:rPr>
        <w:t>基金发生重大事件，有关信息披露义务人应当在2个</w:t>
      </w:r>
      <w:r>
        <w:rPr>
          <w:rFonts w:ascii="宋体" w:hAnsi="宋体"/>
          <w:sz w:val="24"/>
        </w:rPr>
        <w:t>工作日</w:t>
      </w:r>
      <w:r>
        <w:rPr>
          <w:rFonts w:ascii="宋体" w:hAnsi="宋体" w:hint="eastAsia"/>
          <w:sz w:val="24"/>
        </w:rPr>
        <w:t>内编制临时报告书，予以公告，并在公开披露日分别报中国证监会和基金管理人主要办公场所所在地中国证监会派出机构备案。</w:t>
      </w:r>
    </w:p>
    <w:p w14:paraId="63D03EE4" w14:textId="77777777" w:rsidR="00D04107" w:rsidRDefault="000C2DB0">
      <w:pPr>
        <w:spacing w:line="360" w:lineRule="auto"/>
        <w:ind w:firstLineChars="200" w:firstLine="480"/>
        <w:rPr>
          <w:rFonts w:ascii="宋体" w:hAnsi="宋体"/>
          <w:sz w:val="24"/>
        </w:rPr>
      </w:pPr>
      <w:r>
        <w:rPr>
          <w:rFonts w:ascii="宋体" w:hAnsi="宋体" w:hint="eastAsia"/>
          <w:sz w:val="24"/>
        </w:rPr>
        <w:t>前款所称重大事件，是指可能对基金份额持有人权益或者基金资产净值的价格产生重大影响的下列事件，包括：</w:t>
      </w:r>
    </w:p>
    <w:p w14:paraId="4709A963" w14:textId="77777777" w:rsidR="00D04107" w:rsidRDefault="000C2DB0">
      <w:pPr>
        <w:spacing w:line="360" w:lineRule="auto"/>
        <w:ind w:firstLineChars="200" w:firstLine="480"/>
        <w:rPr>
          <w:rFonts w:ascii="宋体" w:hAnsi="宋体"/>
          <w:sz w:val="24"/>
        </w:rPr>
      </w:pPr>
      <w:r>
        <w:rPr>
          <w:rFonts w:ascii="宋体" w:hAnsi="宋体" w:hint="eastAsia"/>
          <w:sz w:val="24"/>
        </w:rPr>
        <w:t>（1）基金份额持有人大会的召开；</w:t>
      </w:r>
    </w:p>
    <w:p w14:paraId="58B41EC5" w14:textId="77777777" w:rsidR="00D04107" w:rsidRDefault="000C2DB0">
      <w:pPr>
        <w:spacing w:line="360" w:lineRule="auto"/>
        <w:ind w:firstLineChars="200" w:firstLine="480"/>
        <w:rPr>
          <w:rFonts w:ascii="宋体" w:hAnsi="宋体"/>
          <w:sz w:val="24"/>
        </w:rPr>
      </w:pPr>
      <w:r>
        <w:rPr>
          <w:rFonts w:ascii="宋体" w:hAnsi="宋体" w:hint="eastAsia"/>
          <w:sz w:val="24"/>
        </w:rPr>
        <w:t>（2）终止《基金合同》；</w:t>
      </w:r>
    </w:p>
    <w:p w14:paraId="110D4350" w14:textId="77777777" w:rsidR="00D04107" w:rsidRDefault="000C2DB0">
      <w:pPr>
        <w:spacing w:line="360" w:lineRule="auto"/>
        <w:ind w:firstLineChars="200" w:firstLine="480"/>
        <w:rPr>
          <w:rFonts w:ascii="宋体" w:hAnsi="宋体"/>
          <w:sz w:val="24"/>
        </w:rPr>
      </w:pPr>
      <w:r>
        <w:rPr>
          <w:rFonts w:ascii="宋体" w:hAnsi="宋体" w:hint="eastAsia"/>
          <w:sz w:val="24"/>
        </w:rPr>
        <w:t>（3）转换基金运作方式；</w:t>
      </w:r>
    </w:p>
    <w:p w14:paraId="44DBFC13" w14:textId="77777777" w:rsidR="00D04107" w:rsidRDefault="000C2DB0">
      <w:pPr>
        <w:spacing w:line="360" w:lineRule="auto"/>
        <w:ind w:firstLineChars="200" w:firstLine="480"/>
        <w:rPr>
          <w:rFonts w:ascii="宋体" w:hAnsi="宋体"/>
          <w:sz w:val="24"/>
        </w:rPr>
      </w:pPr>
      <w:r>
        <w:rPr>
          <w:rFonts w:ascii="宋体" w:hAnsi="宋体" w:hint="eastAsia"/>
          <w:sz w:val="24"/>
        </w:rPr>
        <w:t>（4）更换基金管理人、基金托管人；</w:t>
      </w:r>
    </w:p>
    <w:p w14:paraId="46623E97" w14:textId="77777777" w:rsidR="00D04107" w:rsidRDefault="000C2DB0">
      <w:pPr>
        <w:spacing w:line="360" w:lineRule="auto"/>
        <w:ind w:firstLineChars="200" w:firstLine="480"/>
        <w:rPr>
          <w:rFonts w:ascii="宋体" w:hAnsi="宋体"/>
          <w:sz w:val="24"/>
        </w:rPr>
      </w:pPr>
      <w:r>
        <w:rPr>
          <w:rFonts w:ascii="宋体" w:hAnsi="宋体" w:hint="eastAsia"/>
          <w:sz w:val="24"/>
        </w:rPr>
        <w:t>（5）基金管理人、基金托管人的法定名称、住所发生变更；</w:t>
      </w:r>
    </w:p>
    <w:p w14:paraId="420810F4" w14:textId="77777777" w:rsidR="00D04107" w:rsidRDefault="000C2DB0">
      <w:pPr>
        <w:spacing w:line="360" w:lineRule="auto"/>
        <w:ind w:firstLineChars="200" w:firstLine="480"/>
        <w:rPr>
          <w:rFonts w:ascii="宋体" w:hAnsi="宋体"/>
          <w:sz w:val="24"/>
        </w:rPr>
      </w:pPr>
      <w:r>
        <w:rPr>
          <w:rFonts w:ascii="宋体" w:hAnsi="宋体" w:hint="eastAsia"/>
          <w:sz w:val="24"/>
        </w:rPr>
        <w:t>（6）基金管理人股东及其出资比例发生变更；</w:t>
      </w:r>
    </w:p>
    <w:p w14:paraId="4A7F4246" w14:textId="77777777" w:rsidR="00D04107" w:rsidRDefault="000C2DB0">
      <w:pPr>
        <w:spacing w:line="360" w:lineRule="auto"/>
        <w:ind w:firstLineChars="200" w:firstLine="480"/>
        <w:rPr>
          <w:rFonts w:ascii="宋体" w:hAnsi="宋体"/>
          <w:sz w:val="24"/>
        </w:rPr>
      </w:pPr>
      <w:r>
        <w:rPr>
          <w:rFonts w:ascii="宋体" w:hAnsi="宋体" w:hint="eastAsia"/>
          <w:sz w:val="24"/>
        </w:rPr>
        <w:t>（7）基金募集期延长；</w:t>
      </w:r>
    </w:p>
    <w:p w14:paraId="0F1E44E9" w14:textId="77777777" w:rsidR="00D04107" w:rsidRDefault="000C2DB0">
      <w:pPr>
        <w:spacing w:line="360" w:lineRule="auto"/>
        <w:ind w:firstLineChars="200" w:firstLine="480"/>
        <w:rPr>
          <w:rFonts w:ascii="宋体" w:hAnsi="宋体"/>
          <w:sz w:val="24"/>
        </w:rPr>
      </w:pPr>
      <w:r>
        <w:rPr>
          <w:rFonts w:ascii="宋体" w:hAnsi="宋体" w:hint="eastAsia"/>
          <w:sz w:val="24"/>
        </w:rPr>
        <w:t>（8）基金管理人的董事长、总经理及其他高级管理人员、基金经理和基金托管人基金托管部门负责人发生变动；</w:t>
      </w:r>
    </w:p>
    <w:p w14:paraId="17464B14"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（9）基金管理人的董事在一年内变更超过百分之五十；</w:t>
      </w:r>
    </w:p>
    <w:p w14:paraId="7EBB0D16" w14:textId="77777777" w:rsidR="00D04107" w:rsidRDefault="000C2DB0">
      <w:pPr>
        <w:spacing w:line="360" w:lineRule="auto"/>
        <w:ind w:firstLineChars="200" w:firstLine="480"/>
        <w:rPr>
          <w:rFonts w:ascii="宋体" w:hAnsi="宋体"/>
          <w:sz w:val="24"/>
        </w:rPr>
      </w:pPr>
      <w:r>
        <w:rPr>
          <w:rFonts w:ascii="宋体" w:hAnsi="宋体" w:hint="eastAsia"/>
          <w:sz w:val="24"/>
        </w:rPr>
        <w:t>（10）基金管理人、基金托管人基金托管部门的主要业务人员在一年内变动超过百分之三十；</w:t>
      </w:r>
    </w:p>
    <w:p w14:paraId="68F2087D" w14:textId="77777777" w:rsidR="00D04107" w:rsidRDefault="000C2DB0">
      <w:pPr>
        <w:spacing w:line="360" w:lineRule="auto"/>
        <w:ind w:firstLineChars="200" w:firstLine="480"/>
        <w:rPr>
          <w:rFonts w:ascii="宋体" w:hAnsi="宋体"/>
          <w:sz w:val="24"/>
        </w:rPr>
      </w:pPr>
      <w:r>
        <w:rPr>
          <w:rFonts w:ascii="宋体" w:hAnsi="宋体" w:hint="eastAsia"/>
          <w:sz w:val="24"/>
        </w:rPr>
        <w:t>（11）涉及基金财产、基金管理业务、基金托管业务的诉讼</w:t>
      </w:r>
      <w:r>
        <w:rPr>
          <w:rFonts w:hint="eastAsia"/>
          <w:bCs/>
          <w:sz w:val="24"/>
        </w:rPr>
        <w:t>或者仲裁</w:t>
      </w:r>
      <w:r>
        <w:rPr>
          <w:rFonts w:ascii="宋体" w:hAnsi="宋体" w:hint="eastAsia"/>
          <w:sz w:val="24"/>
        </w:rPr>
        <w:t>；</w:t>
      </w:r>
    </w:p>
    <w:p w14:paraId="283C9B39" w14:textId="77777777" w:rsidR="00D04107" w:rsidRDefault="000C2DB0">
      <w:pPr>
        <w:spacing w:line="360" w:lineRule="auto"/>
        <w:ind w:firstLineChars="200" w:firstLine="480"/>
        <w:rPr>
          <w:rFonts w:ascii="宋体" w:hAnsi="宋体"/>
          <w:sz w:val="24"/>
        </w:rPr>
      </w:pPr>
      <w:r>
        <w:rPr>
          <w:rFonts w:ascii="宋体" w:hAnsi="宋体" w:hint="eastAsia"/>
          <w:sz w:val="24"/>
        </w:rPr>
        <w:t>（12）基金管理人、基金托管人受到监管部门的调查；</w:t>
      </w:r>
    </w:p>
    <w:p w14:paraId="381B9E31" w14:textId="77777777" w:rsidR="00D04107" w:rsidRDefault="000C2DB0">
      <w:pPr>
        <w:spacing w:line="360" w:lineRule="auto"/>
        <w:ind w:firstLineChars="200" w:firstLine="480"/>
        <w:rPr>
          <w:rFonts w:ascii="宋体" w:hAnsi="宋体"/>
          <w:sz w:val="24"/>
        </w:rPr>
      </w:pPr>
      <w:r>
        <w:rPr>
          <w:rFonts w:ascii="宋体" w:hAnsi="宋体" w:hint="eastAsia"/>
          <w:sz w:val="24"/>
        </w:rPr>
        <w:t>（13）基金管理人及其董事、总经理及其他高级管理人员、基金经理受到严重行政处罚，基金托管人及其基金托管部门负责人受到严重行政处罚；</w:t>
      </w:r>
    </w:p>
    <w:p w14:paraId="16909864"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（14）重大关联交易事项；</w:t>
      </w:r>
    </w:p>
    <w:p w14:paraId="4432FEF5"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（15）基金收益分配事项</w:t>
      </w:r>
      <w:r>
        <w:rPr>
          <w:rFonts w:ascii="宋体" w:hAnsi="宋体" w:hint="eastAsia"/>
          <w:bCs/>
          <w:sz w:val="24"/>
        </w:rPr>
        <w:t>，但基金合同另有约定的除外</w:t>
      </w:r>
      <w:r>
        <w:rPr>
          <w:rFonts w:ascii="宋体" w:hAnsi="宋体" w:hint="eastAsia"/>
          <w:sz w:val="24"/>
        </w:rPr>
        <w:t>；</w:t>
      </w:r>
    </w:p>
    <w:p w14:paraId="736BD38B"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（16）管理费、托管费等费用计提标准、计提方式和费率发生变更；</w:t>
      </w:r>
    </w:p>
    <w:p w14:paraId="0A9F73D6"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（17）基金资产净值计价错误达基金资产净值百分之零点五；</w:t>
      </w:r>
    </w:p>
    <w:p w14:paraId="222B816E"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（18）基金改聘会计师事务所；</w:t>
      </w:r>
    </w:p>
    <w:p w14:paraId="7A1124A3"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（19）变更基金销售机构；</w:t>
      </w:r>
    </w:p>
    <w:p w14:paraId="7EB76C95"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（20）更换基金登记机构；</w:t>
      </w:r>
    </w:p>
    <w:p w14:paraId="5DCD9B92"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（21）基金开始办理申购、赎回；</w:t>
      </w:r>
    </w:p>
    <w:p w14:paraId="33D60B3A"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（22）基金申购、赎回费率及其收费方式发生变更；</w:t>
      </w:r>
    </w:p>
    <w:p w14:paraId="35798C15"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（23）基金发生巨额赎回并延期办理；</w:t>
      </w:r>
    </w:p>
    <w:p w14:paraId="12FFDD92"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（24）基金连续发生巨额赎回并暂停接受赎回申请；</w:t>
      </w:r>
    </w:p>
    <w:p w14:paraId="7CE3D8A4"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（25）基金暂停接受申购、赎回申请后重新接受申购、赎回；</w:t>
      </w:r>
    </w:p>
    <w:p w14:paraId="4BFB0B08" w14:textId="77777777" w:rsidR="00595292" w:rsidRPr="00595292" w:rsidRDefault="000C2DB0">
      <w:pPr>
        <w:adjustRightInd w:val="0"/>
        <w:snapToGrid w:val="0"/>
        <w:spacing w:line="360" w:lineRule="auto"/>
        <w:ind w:firstLineChars="200" w:firstLine="480"/>
        <w:rPr>
          <w:rFonts w:ascii="宋体" w:hAnsi="宋体"/>
          <w:kern w:val="0"/>
          <w:sz w:val="24"/>
        </w:rPr>
      </w:pPr>
      <w:r w:rsidRPr="00595292">
        <w:rPr>
          <w:rFonts w:ascii="宋体" w:hAnsi="宋体" w:hint="eastAsia"/>
          <w:sz w:val="24"/>
        </w:rPr>
        <w:t>（26）</w:t>
      </w:r>
      <w:r w:rsidR="00595292" w:rsidRPr="00595292">
        <w:rPr>
          <w:rFonts w:ascii="宋体" w:hAnsi="宋体" w:hint="eastAsia"/>
          <w:kern w:val="0"/>
          <w:sz w:val="24"/>
        </w:rPr>
        <w:t>当“影子定价”确定的基金资产净值与“摊余成本法”计算的基金资产净值的正负偏离度绝对值达到</w:t>
      </w:r>
      <w:r w:rsidR="00595292" w:rsidRPr="00595292">
        <w:rPr>
          <w:rFonts w:ascii="宋体" w:hAnsi="宋体"/>
          <w:kern w:val="0"/>
          <w:sz w:val="24"/>
        </w:rPr>
        <w:t>0.5%</w:t>
      </w:r>
      <w:r w:rsidR="00595292" w:rsidRPr="00595292">
        <w:rPr>
          <w:rFonts w:ascii="宋体" w:hAnsi="宋体" w:hint="eastAsia"/>
          <w:kern w:val="0"/>
          <w:sz w:val="24"/>
        </w:rPr>
        <w:t>的情形；当影子定价确定的基金资产净值与摊余成本法计算的基金资产净值的负偏离度绝对值连续两个交易日超过</w:t>
      </w:r>
      <w:r w:rsidR="00595292" w:rsidRPr="00595292">
        <w:rPr>
          <w:rFonts w:ascii="宋体" w:hAnsi="宋体"/>
          <w:kern w:val="0"/>
          <w:sz w:val="24"/>
        </w:rPr>
        <w:t>0.5%</w:t>
      </w:r>
      <w:r w:rsidR="00595292" w:rsidRPr="00595292">
        <w:rPr>
          <w:rFonts w:ascii="宋体" w:hAnsi="宋体" w:hint="eastAsia"/>
          <w:kern w:val="0"/>
          <w:sz w:val="24"/>
        </w:rPr>
        <w:t>的情形；</w:t>
      </w:r>
    </w:p>
    <w:p w14:paraId="78E30AB1" w14:textId="77777777" w:rsidR="00D04107" w:rsidRDefault="000C2DB0" w:rsidP="00595292">
      <w:pPr>
        <w:adjustRightInd w:val="0"/>
        <w:snapToGrid w:val="0"/>
        <w:spacing w:line="360" w:lineRule="auto"/>
        <w:ind w:firstLineChars="200" w:firstLine="480"/>
        <w:rPr>
          <w:rFonts w:ascii="宋体" w:hAnsi="宋体"/>
          <w:sz w:val="24"/>
        </w:rPr>
      </w:pPr>
      <w:r>
        <w:rPr>
          <w:rFonts w:ascii="宋体" w:hAnsi="宋体" w:hint="eastAsia"/>
          <w:sz w:val="24"/>
        </w:rPr>
        <w:t xml:space="preserve">（27）调整本基金的份额类别设置； </w:t>
      </w:r>
    </w:p>
    <w:p w14:paraId="391E31DF"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t xml:space="preserve">（28）本基金推出新业务或服务； </w:t>
      </w:r>
    </w:p>
    <w:p w14:paraId="566BFE5E" w14:textId="77777777" w:rsidR="000D263F" w:rsidRPr="000D263F" w:rsidRDefault="00595292" w:rsidP="000D263F">
      <w:pPr>
        <w:adjustRightInd w:val="0"/>
        <w:snapToGrid w:val="0"/>
        <w:spacing w:line="360" w:lineRule="auto"/>
        <w:ind w:firstLineChars="200" w:firstLine="480"/>
        <w:rPr>
          <w:rFonts w:ascii="宋体" w:hAnsi="宋体"/>
          <w:sz w:val="24"/>
        </w:rPr>
      </w:pPr>
      <w:r w:rsidRPr="000D263F">
        <w:rPr>
          <w:rFonts w:ascii="宋体" w:hAnsi="宋体" w:hint="eastAsia"/>
          <w:sz w:val="24"/>
        </w:rPr>
        <w:t>（29）</w:t>
      </w:r>
      <w:r w:rsidR="000D263F" w:rsidRPr="000D263F">
        <w:rPr>
          <w:rFonts w:ascii="宋体" w:hAnsi="宋体" w:hint="eastAsia"/>
          <w:sz w:val="24"/>
        </w:rPr>
        <w:t>发生涉及基金申购、赎回事项调整或潜在影响投资者赎回等重大事项时；</w:t>
      </w:r>
    </w:p>
    <w:p w14:paraId="080A4B7F" w14:textId="77777777" w:rsidR="000D263F" w:rsidRPr="000D263F" w:rsidRDefault="000D263F" w:rsidP="000D263F">
      <w:pPr>
        <w:adjustRightInd w:val="0"/>
        <w:snapToGrid w:val="0"/>
        <w:spacing w:line="360" w:lineRule="auto"/>
        <w:ind w:firstLineChars="200" w:firstLine="480"/>
        <w:rPr>
          <w:rFonts w:ascii="宋体" w:hAnsi="宋体"/>
          <w:sz w:val="24"/>
        </w:rPr>
      </w:pPr>
      <w:r w:rsidRPr="000D263F">
        <w:rPr>
          <w:rFonts w:ascii="宋体" w:hAnsi="宋体" w:hint="eastAsia"/>
          <w:sz w:val="24"/>
        </w:rPr>
        <w:t>（30）本基金拟投资于主体信用评级低于</w:t>
      </w:r>
      <w:r w:rsidRPr="000D263F">
        <w:rPr>
          <w:rFonts w:ascii="宋体" w:hAnsi="宋体"/>
          <w:sz w:val="24"/>
        </w:rPr>
        <w:t>AA+</w:t>
      </w:r>
      <w:r w:rsidRPr="000D263F">
        <w:rPr>
          <w:rFonts w:ascii="宋体" w:hAnsi="宋体" w:hint="eastAsia"/>
          <w:sz w:val="24"/>
        </w:rPr>
        <w:t>的商业银行的银行存款与同业存单的；</w:t>
      </w:r>
    </w:p>
    <w:p w14:paraId="0DFEF778" w14:textId="77777777" w:rsidR="00595292" w:rsidRPr="000D263F" w:rsidRDefault="00595292" w:rsidP="000D263F">
      <w:pPr>
        <w:jc w:val="left"/>
      </w:pPr>
    </w:p>
    <w:p w14:paraId="09687024" w14:textId="77777777" w:rsidR="00D04107" w:rsidRDefault="000C2DB0">
      <w:pPr>
        <w:adjustRightInd w:val="0"/>
        <w:snapToGrid w:val="0"/>
        <w:spacing w:line="360" w:lineRule="auto"/>
        <w:ind w:firstLineChars="200" w:firstLine="480"/>
        <w:rPr>
          <w:rFonts w:ascii="宋体" w:hAnsi="宋体"/>
          <w:sz w:val="24"/>
        </w:rPr>
      </w:pPr>
      <w:r>
        <w:rPr>
          <w:rFonts w:ascii="宋体" w:hAnsi="宋体" w:hint="eastAsia"/>
          <w:sz w:val="24"/>
        </w:rPr>
        <w:lastRenderedPageBreak/>
        <w:t>（</w:t>
      </w:r>
      <w:r w:rsidR="000D263F">
        <w:rPr>
          <w:rFonts w:ascii="宋体" w:hAnsi="宋体" w:hint="eastAsia"/>
          <w:sz w:val="24"/>
        </w:rPr>
        <w:t>31</w:t>
      </w:r>
      <w:r>
        <w:rPr>
          <w:rFonts w:ascii="宋体" w:hAnsi="宋体" w:hint="eastAsia"/>
          <w:sz w:val="24"/>
        </w:rPr>
        <w:t>）中国证监会规定的其他事项。</w:t>
      </w:r>
    </w:p>
    <w:p w14:paraId="06A2DBBD" w14:textId="77777777" w:rsidR="00D04107" w:rsidRDefault="000C2DB0">
      <w:pPr>
        <w:spacing w:line="360" w:lineRule="auto"/>
        <w:ind w:firstLineChars="200" w:firstLine="480"/>
        <w:rPr>
          <w:rFonts w:ascii="宋体" w:hAnsi="宋体"/>
          <w:sz w:val="24"/>
        </w:rPr>
      </w:pPr>
      <w:r>
        <w:rPr>
          <w:rFonts w:ascii="宋体" w:hAnsi="宋体"/>
          <w:sz w:val="24"/>
        </w:rPr>
        <w:t>7</w:t>
      </w:r>
      <w:r>
        <w:rPr>
          <w:rFonts w:ascii="宋体" w:hAnsi="宋体" w:hint="eastAsia"/>
          <w:sz w:val="24"/>
        </w:rPr>
        <w:t>、澄清公告</w:t>
      </w:r>
    </w:p>
    <w:p w14:paraId="30D4A027" w14:textId="77777777" w:rsidR="00D04107" w:rsidRDefault="000C2DB0">
      <w:pPr>
        <w:spacing w:line="360" w:lineRule="auto"/>
        <w:ind w:firstLineChars="200" w:firstLine="480"/>
        <w:rPr>
          <w:rFonts w:ascii="宋体" w:hAnsi="宋体"/>
          <w:sz w:val="24"/>
        </w:rPr>
      </w:pPr>
      <w:r>
        <w:rPr>
          <w:rFonts w:ascii="宋体" w:hAnsi="宋体" w:hint="eastAsia"/>
          <w:sz w:val="24"/>
        </w:rPr>
        <w:t>在《基金合同》存续期限内，任何公共媒介中出现的或者在市场上流传的消息可能对基金份额价格产生误导性影响或者引起较大波动的，相关信息披露义务人知悉后应当立即对该消息进行公开澄清，并将有关情况立即报告中国证监会。</w:t>
      </w:r>
    </w:p>
    <w:p w14:paraId="6810BE60" w14:textId="77777777" w:rsidR="00D04107" w:rsidRDefault="000C2DB0">
      <w:pPr>
        <w:spacing w:line="360" w:lineRule="auto"/>
        <w:ind w:firstLineChars="200" w:firstLine="480"/>
        <w:rPr>
          <w:bCs/>
          <w:sz w:val="24"/>
        </w:rPr>
      </w:pPr>
      <w:r w:rsidRPr="00857BDC">
        <w:rPr>
          <w:rFonts w:ascii="宋体" w:hAnsi="宋体"/>
          <w:bCs/>
          <w:sz w:val="24"/>
        </w:rPr>
        <w:t>8</w:t>
      </w:r>
      <w:r w:rsidRPr="00857BDC">
        <w:rPr>
          <w:rFonts w:ascii="宋体" w:hAnsi="宋体" w:hint="eastAsia"/>
          <w:bCs/>
          <w:sz w:val="24"/>
        </w:rPr>
        <w:t>、</w:t>
      </w:r>
      <w:r>
        <w:rPr>
          <w:bCs/>
          <w:sz w:val="24"/>
        </w:rPr>
        <w:t>基金份额持有人大会决议</w:t>
      </w:r>
    </w:p>
    <w:p w14:paraId="65644A48" w14:textId="77777777" w:rsidR="00D04107" w:rsidRDefault="000C2DB0">
      <w:pPr>
        <w:spacing w:line="360" w:lineRule="auto"/>
        <w:ind w:firstLineChars="200" w:firstLine="480"/>
        <w:rPr>
          <w:bCs/>
          <w:sz w:val="24"/>
        </w:rPr>
      </w:pPr>
      <w:r>
        <w:rPr>
          <w:bCs/>
          <w:sz w:val="24"/>
        </w:rPr>
        <w:t>基金份额持有人大会决定的事项，应当依法报</w:t>
      </w:r>
      <w:r>
        <w:rPr>
          <w:rFonts w:hint="eastAsia"/>
          <w:bCs/>
          <w:sz w:val="24"/>
        </w:rPr>
        <w:t>中国证监会</w:t>
      </w:r>
      <w:r>
        <w:rPr>
          <w:bCs/>
          <w:sz w:val="24"/>
        </w:rPr>
        <w:t>备案，并予以公告。</w:t>
      </w:r>
    </w:p>
    <w:p w14:paraId="53828B17" w14:textId="77777777" w:rsidR="00D04107" w:rsidRDefault="000C2DB0">
      <w:pPr>
        <w:spacing w:line="360" w:lineRule="auto"/>
        <w:ind w:firstLineChars="200" w:firstLine="480"/>
        <w:rPr>
          <w:bCs/>
          <w:sz w:val="24"/>
        </w:rPr>
      </w:pPr>
      <w:r w:rsidRPr="00857BDC">
        <w:rPr>
          <w:rFonts w:ascii="宋体" w:hAnsi="宋体"/>
          <w:bCs/>
          <w:sz w:val="24"/>
        </w:rPr>
        <w:t>9</w:t>
      </w:r>
      <w:r w:rsidRPr="00857BDC">
        <w:rPr>
          <w:rFonts w:ascii="宋体" w:hAnsi="宋体" w:hint="eastAsia"/>
          <w:bCs/>
          <w:sz w:val="24"/>
        </w:rPr>
        <w:t>、</w:t>
      </w:r>
      <w:r>
        <w:rPr>
          <w:rFonts w:hint="eastAsia"/>
          <w:bCs/>
          <w:sz w:val="24"/>
        </w:rPr>
        <w:t>资产支持证券的投资情况</w:t>
      </w:r>
    </w:p>
    <w:p w14:paraId="521ED083" w14:textId="77777777" w:rsidR="00D04107" w:rsidRPr="00857BDC" w:rsidRDefault="000C2DB0">
      <w:pPr>
        <w:spacing w:line="360" w:lineRule="auto"/>
        <w:ind w:firstLineChars="200" w:firstLine="480"/>
        <w:rPr>
          <w:rFonts w:ascii="宋体" w:hAnsi="宋体"/>
          <w:bCs/>
          <w:sz w:val="24"/>
        </w:rPr>
      </w:pPr>
      <w:r w:rsidRPr="00857BDC">
        <w:rPr>
          <w:rFonts w:ascii="宋体" w:hAnsi="宋体" w:hint="eastAsia"/>
          <w:bCs/>
          <w:sz w:val="24"/>
        </w:rPr>
        <w:t>本基金投资资产支持证券，基金管理人应在基金年报及半年报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10名资产支持证券明细。</w:t>
      </w:r>
    </w:p>
    <w:p w14:paraId="033225A8" w14:textId="77777777" w:rsidR="00D04107" w:rsidRDefault="000C2DB0">
      <w:pPr>
        <w:spacing w:line="360" w:lineRule="auto"/>
        <w:ind w:firstLineChars="200" w:firstLine="480"/>
        <w:rPr>
          <w:bCs/>
          <w:sz w:val="24"/>
        </w:rPr>
      </w:pPr>
      <w:r>
        <w:rPr>
          <w:rFonts w:ascii="宋体" w:hAnsi="宋体" w:hint="eastAsia"/>
          <w:sz w:val="24"/>
        </w:rPr>
        <w:t>10、中国证监会规定的其他信息。</w:t>
      </w:r>
    </w:p>
    <w:p w14:paraId="35DB5F5F" w14:textId="77777777" w:rsidR="00D04107" w:rsidRDefault="000C2DB0">
      <w:pPr>
        <w:spacing w:line="360" w:lineRule="auto"/>
        <w:ind w:firstLineChars="200" w:firstLine="480"/>
        <w:rPr>
          <w:bCs/>
          <w:sz w:val="24"/>
        </w:rPr>
      </w:pPr>
      <w:r>
        <w:rPr>
          <w:rFonts w:ascii="宋体" w:hAnsi="宋体" w:hint="eastAsia"/>
          <w:sz w:val="24"/>
        </w:rPr>
        <w:t>（六）</w:t>
      </w:r>
      <w:r>
        <w:rPr>
          <w:bCs/>
          <w:sz w:val="24"/>
        </w:rPr>
        <w:t>信息披露事务管理</w:t>
      </w:r>
    </w:p>
    <w:p w14:paraId="3BE681FA" w14:textId="77777777" w:rsidR="00D04107" w:rsidRDefault="000C2DB0">
      <w:pPr>
        <w:spacing w:line="360" w:lineRule="auto"/>
        <w:ind w:firstLineChars="200" w:firstLine="480"/>
        <w:rPr>
          <w:bCs/>
          <w:sz w:val="24"/>
        </w:rPr>
      </w:pPr>
      <w:r>
        <w:rPr>
          <w:bCs/>
          <w:sz w:val="24"/>
        </w:rPr>
        <w:t>基金管理人、基金托管人应当建立健全信息披露管理制度，指定专人负责管理信息披露事务。</w:t>
      </w:r>
    </w:p>
    <w:p w14:paraId="151522B9" w14:textId="77777777" w:rsidR="00D04107" w:rsidRDefault="000C2DB0">
      <w:pPr>
        <w:spacing w:line="360" w:lineRule="auto"/>
        <w:ind w:firstLineChars="200" w:firstLine="480"/>
        <w:rPr>
          <w:bCs/>
          <w:sz w:val="24"/>
        </w:rPr>
      </w:pPr>
      <w:r>
        <w:rPr>
          <w:bCs/>
          <w:sz w:val="24"/>
        </w:rPr>
        <w:t>基金信息披露义务人公开披露基金信息，应当符合中国证监会相关基金信息披露内容与格式准则的规定。</w:t>
      </w:r>
    </w:p>
    <w:p w14:paraId="66E1D0F2" w14:textId="77777777" w:rsidR="00D04107" w:rsidRDefault="000C2DB0">
      <w:pPr>
        <w:spacing w:line="360" w:lineRule="auto"/>
        <w:ind w:firstLineChars="200" w:firstLine="480"/>
        <w:rPr>
          <w:bCs/>
          <w:sz w:val="24"/>
        </w:rPr>
      </w:pPr>
      <w:r>
        <w:rPr>
          <w:bCs/>
          <w:sz w:val="24"/>
        </w:rPr>
        <w:t>基金托管人应当按照相关法律法规、中国证监会的规定和基金合同的约定，对基金管理人编制的基金资产净值、</w:t>
      </w:r>
      <w:r>
        <w:rPr>
          <w:rFonts w:hint="eastAsia"/>
          <w:bCs/>
          <w:sz w:val="24"/>
        </w:rPr>
        <w:t>各类基金</w:t>
      </w:r>
      <w:r>
        <w:rPr>
          <w:bCs/>
          <w:sz w:val="24"/>
        </w:rPr>
        <w:t>份额的</w:t>
      </w:r>
      <w:r>
        <w:rPr>
          <w:rFonts w:hint="eastAsia"/>
          <w:bCs/>
          <w:sz w:val="24"/>
        </w:rPr>
        <w:t>每万份基金已实现收益、</w:t>
      </w:r>
      <w:r>
        <w:rPr>
          <w:rFonts w:hint="eastAsia"/>
          <w:bCs/>
          <w:sz w:val="24"/>
        </w:rPr>
        <w:t>7</w:t>
      </w:r>
      <w:r>
        <w:rPr>
          <w:rFonts w:hint="eastAsia"/>
          <w:bCs/>
          <w:sz w:val="24"/>
        </w:rPr>
        <w:t>日年化收益率</w:t>
      </w:r>
      <w:r>
        <w:rPr>
          <w:bCs/>
          <w:sz w:val="24"/>
        </w:rPr>
        <w:t>、基金定期报告和定期更新的招募说明书等公开披露的相关基金信息进行复核、审查，</w:t>
      </w:r>
      <w:r>
        <w:rPr>
          <w:rFonts w:hint="eastAsia"/>
          <w:bCs/>
          <w:sz w:val="24"/>
        </w:rPr>
        <w:t>并向基金管理人出具书面文件或者盖章确认</w:t>
      </w:r>
      <w:r>
        <w:rPr>
          <w:bCs/>
          <w:sz w:val="24"/>
        </w:rPr>
        <w:t>。</w:t>
      </w:r>
    </w:p>
    <w:p w14:paraId="0019C788" w14:textId="77777777" w:rsidR="00D04107" w:rsidRDefault="000C2DB0">
      <w:pPr>
        <w:spacing w:line="360" w:lineRule="auto"/>
        <w:ind w:firstLineChars="200" w:firstLine="480"/>
        <w:rPr>
          <w:bCs/>
          <w:sz w:val="24"/>
        </w:rPr>
      </w:pPr>
      <w:r>
        <w:rPr>
          <w:bCs/>
          <w:sz w:val="24"/>
        </w:rPr>
        <w:t>基金管理人、基金托管人应当在指定媒介中选择披露信息的报刊。</w:t>
      </w:r>
    </w:p>
    <w:p w14:paraId="78086A4B" w14:textId="77777777" w:rsidR="00D04107" w:rsidRDefault="000C2DB0">
      <w:pPr>
        <w:spacing w:line="360" w:lineRule="auto"/>
        <w:ind w:firstLineChars="200" w:firstLine="480"/>
        <w:rPr>
          <w:bCs/>
          <w:sz w:val="24"/>
        </w:rPr>
      </w:pPr>
      <w:r>
        <w:rPr>
          <w:bCs/>
          <w:sz w:val="24"/>
        </w:rPr>
        <w:t>基金管理人、基金托管人除依法在指定媒介上披露信息外，还可以根据需要在其他公共媒介披露信息，但是其他公共媒介不得早于指定媒介披露信息，并且在不同媒介上披露同一信息的内容应当一致。</w:t>
      </w:r>
    </w:p>
    <w:p w14:paraId="75E2C0CC" w14:textId="77777777" w:rsidR="00D04107" w:rsidRDefault="000C2DB0">
      <w:pPr>
        <w:spacing w:line="360" w:lineRule="auto"/>
        <w:ind w:firstLineChars="200" w:firstLine="480"/>
        <w:rPr>
          <w:rFonts w:ascii="宋体" w:hAnsi="宋体"/>
          <w:bCs/>
          <w:sz w:val="24"/>
        </w:rPr>
      </w:pPr>
      <w:r>
        <w:rPr>
          <w:bCs/>
          <w:sz w:val="24"/>
        </w:rPr>
        <w:t>为基金信息披露义务人公开披露的基金信息出具审计报告、法律意见书的专业</w:t>
      </w:r>
      <w:r>
        <w:rPr>
          <w:bCs/>
          <w:sz w:val="24"/>
        </w:rPr>
        <w:lastRenderedPageBreak/>
        <w:t>机构，应当制作工作底稿，并将相关档案至少保存到</w:t>
      </w:r>
      <w:r>
        <w:rPr>
          <w:rFonts w:hint="eastAsia"/>
          <w:bCs/>
          <w:sz w:val="24"/>
        </w:rPr>
        <w:t>《</w:t>
      </w:r>
      <w:r>
        <w:rPr>
          <w:bCs/>
          <w:sz w:val="24"/>
        </w:rPr>
        <w:t>基金合同</w:t>
      </w:r>
      <w:r>
        <w:rPr>
          <w:rFonts w:hint="eastAsia"/>
          <w:bCs/>
          <w:sz w:val="24"/>
        </w:rPr>
        <w:t>》</w:t>
      </w:r>
      <w:r>
        <w:rPr>
          <w:rFonts w:ascii="宋体" w:hAnsi="宋体"/>
          <w:bCs/>
          <w:sz w:val="24"/>
        </w:rPr>
        <w:t>终止后</w:t>
      </w:r>
      <w:r>
        <w:rPr>
          <w:rFonts w:ascii="宋体" w:hAnsi="宋体" w:hint="eastAsia"/>
          <w:bCs/>
          <w:sz w:val="24"/>
        </w:rPr>
        <w:t>10</w:t>
      </w:r>
      <w:r>
        <w:rPr>
          <w:rFonts w:ascii="宋体" w:hAnsi="宋体"/>
          <w:bCs/>
          <w:sz w:val="24"/>
        </w:rPr>
        <w:t>年。</w:t>
      </w:r>
    </w:p>
    <w:p w14:paraId="170B3BD6" w14:textId="77777777" w:rsidR="00D04107" w:rsidRDefault="000C2DB0">
      <w:pPr>
        <w:spacing w:line="360" w:lineRule="auto"/>
        <w:ind w:firstLineChars="200" w:firstLine="480"/>
        <w:rPr>
          <w:rFonts w:ascii="宋体" w:hAnsi="宋体"/>
          <w:sz w:val="24"/>
        </w:rPr>
      </w:pPr>
      <w:r>
        <w:rPr>
          <w:rFonts w:ascii="宋体" w:hAnsi="宋体" w:hint="eastAsia"/>
          <w:sz w:val="24"/>
        </w:rPr>
        <w:t>（七）信息披露文件的存放与查阅</w:t>
      </w:r>
    </w:p>
    <w:p w14:paraId="25033F9C" w14:textId="77777777" w:rsidR="00D04107" w:rsidRDefault="000C2DB0">
      <w:pPr>
        <w:spacing w:line="360" w:lineRule="auto"/>
        <w:ind w:firstLineChars="200" w:firstLine="480"/>
        <w:rPr>
          <w:rFonts w:ascii="宋体" w:hAnsi="宋体"/>
          <w:sz w:val="24"/>
        </w:rPr>
      </w:pPr>
      <w:r>
        <w:rPr>
          <w:rFonts w:ascii="宋体" w:hAnsi="宋体" w:hint="eastAsia"/>
          <w:sz w:val="24"/>
        </w:rPr>
        <w:t>招募说明书公布后，应当分别置备于基金管理人、基金托管人和基金销售机构的住所，以供公众查阅、复制。</w:t>
      </w:r>
    </w:p>
    <w:p w14:paraId="08AC065D" w14:textId="77777777" w:rsidR="00D04107" w:rsidRDefault="000C2DB0">
      <w:pPr>
        <w:spacing w:line="360" w:lineRule="auto"/>
        <w:ind w:firstLineChars="200" w:firstLine="480"/>
        <w:rPr>
          <w:rFonts w:ascii="宋体" w:hAnsi="宋体"/>
          <w:sz w:val="24"/>
        </w:rPr>
      </w:pPr>
      <w:r>
        <w:rPr>
          <w:rFonts w:ascii="宋体" w:hAnsi="宋体" w:hint="eastAsia"/>
          <w:sz w:val="24"/>
        </w:rPr>
        <w:t>基金定期报告公布后，应当分别置备于基金管理人和基金托管人的住所，以供公众查阅、复制。</w:t>
      </w:r>
    </w:p>
    <w:p w14:paraId="4A7CC439" w14:textId="77777777" w:rsidR="00D04107" w:rsidRDefault="000C2DB0">
      <w:pPr>
        <w:spacing w:line="360" w:lineRule="auto"/>
        <w:ind w:firstLineChars="200" w:firstLine="480"/>
        <w:rPr>
          <w:bCs/>
          <w:sz w:val="24"/>
        </w:rPr>
      </w:pPr>
      <w:r>
        <w:rPr>
          <w:rFonts w:hint="eastAsia"/>
          <w:bCs/>
          <w:sz w:val="24"/>
        </w:rPr>
        <w:t>（八</w:t>
      </w:r>
      <w:r>
        <w:rPr>
          <w:bCs/>
          <w:sz w:val="24"/>
        </w:rPr>
        <w:t>）</w:t>
      </w:r>
      <w:r>
        <w:rPr>
          <w:rFonts w:hint="eastAsia"/>
          <w:bCs/>
          <w:sz w:val="24"/>
        </w:rPr>
        <w:t>暂停或延迟信息披露的情形</w:t>
      </w:r>
    </w:p>
    <w:p w14:paraId="2F809F84" w14:textId="77777777" w:rsidR="00D04107" w:rsidRDefault="000C2DB0">
      <w:pPr>
        <w:spacing w:line="360" w:lineRule="auto"/>
        <w:ind w:firstLineChars="200" w:firstLine="480"/>
        <w:rPr>
          <w:bCs/>
          <w:sz w:val="24"/>
        </w:rPr>
      </w:pPr>
      <w:r>
        <w:rPr>
          <w:rFonts w:hint="eastAsia"/>
          <w:bCs/>
          <w:sz w:val="24"/>
        </w:rPr>
        <w:t>1</w:t>
      </w:r>
      <w:r>
        <w:rPr>
          <w:rFonts w:hint="eastAsia"/>
          <w:bCs/>
          <w:sz w:val="24"/>
        </w:rPr>
        <w:t>、基金投资所涉及的证券交易所遇法定节假日或因其他原因暂停营业时；</w:t>
      </w:r>
    </w:p>
    <w:p w14:paraId="74745880" w14:textId="77777777" w:rsidR="00D04107" w:rsidRDefault="000C2DB0">
      <w:pPr>
        <w:spacing w:line="360" w:lineRule="auto"/>
        <w:ind w:firstLineChars="200" w:firstLine="480"/>
        <w:rPr>
          <w:bCs/>
          <w:sz w:val="24"/>
        </w:rPr>
      </w:pPr>
      <w:r>
        <w:rPr>
          <w:rFonts w:hint="eastAsia"/>
          <w:bCs/>
          <w:sz w:val="24"/>
        </w:rPr>
        <w:t>2</w:t>
      </w:r>
      <w:r>
        <w:rPr>
          <w:rFonts w:hint="eastAsia"/>
          <w:bCs/>
          <w:sz w:val="24"/>
        </w:rPr>
        <w:t>、发生暂停估值的情形；</w:t>
      </w:r>
    </w:p>
    <w:p w14:paraId="2E7426A1" w14:textId="77777777" w:rsidR="00D04107" w:rsidRDefault="000C2DB0">
      <w:pPr>
        <w:spacing w:line="360" w:lineRule="auto"/>
        <w:ind w:firstLineChars="200" w:firstLine="480"/>
        <w:rPr>
          <w:bCs/>
          <w:sz w:val="24"/>
        </w:rPr>
      </w:pPr>
      <w:r>
        <w:rPr>
          <w:rFonts w:hint="eastAsia"/>
          <w:bCs/>
          <w:sz w:val="24"/>
        </w:rPr>
        <w:t>3</w:t>
      </w:r>
      <w:r>
        <w:rPr>
          <w:rFonts w:hint="eastAsia"/>
          <w:bCs/>
          <w:sz w:val="24"/>
        </w:rPr>
        <w:t>、法律法规规定、中国证监会或基金合同认定的其他情形。</w:t>
      </w:r>
    </w:p>
    <w:p w14:paraId="38FAB958" w14:textId="77777777" w:rsidR="00D04107" w:rsidRDefault="00D04107">
      <w:pPr>
        <w:spacing w:line="360" w:lineRule="auto"/>
        <w:rPr>
          <w:bCs/>
          <w:sz w:val="24"/>
        </w:rPr>
      </w:pPr>
    </w:p>
    <w:p w14:paraId="05A52A0E" w14:textId="77777777" w:rsidR="00D04107" w:rsidRDefault="00D04107">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2C4B20B2" w14:textId="77777777" w:rsidR="00D04107" w:rsidRDefault="000C2DB0">
      <w:pPr>
        <w:pStyle w:val="1"/>
        <w:spacing w:line="360" w:lineRule="auto"/>
        <w:jc w:val="center"/>
        <w:rPr>
          <w:rFonts w:ascii="宋体" w:hAnsi="宋体"/>
          <w:color w:val="000000"/>
          <w:kern w:val="0"/>
          <w:sz w:val="24"/>
          <w:szCs w:val="24"/>
        </w:rPr>
      </w:pPr>
      <w:bookmarkStart w:id="116" w:name="_Toc31843"/>
      <w:bookmarkStart w:id="117" w:name="_Toc482624805"/>
      <w:bookmarkStart w:id="118" w:name="_Toc3467"/>
      <w:r>
        <w:rPr>
          <w:rFonts w:ascii="宋体" w:hAnsi="宋体" w:hint="eastAsia"/>
          <w:color w:val="000000"/>
          <w:kern w:val="0"/>
          <w:sz w:val="24"/>
          <w:szCs w:val="24"/>
        </w:rPr>
        <w:lastRenderedPageBreak/>
        <w:t>第十六部分  基金的风险揭示</w:t>
      </w:r>
      <w:bookmarkEnd w:id="116"/>
      <w:bookmarkEnd w:id="117"/>
      <w:bookmarkEnd w:id="118"/>
    </w:p>
    <w:p w14:paraId="59321CB0" w14:textId="77777777" w:rsidR="00D04107" w:rsidRDefault="000C2DB0">
      <w:pPr>
        <w:spacing w:line="360" w:lineRule="auto"/>
        <w:ind w:firstLineChars="200" w:firstLine="480"/>
        <w:rPr>
          <w:rFonts w:ascii="宋体" w:hAnsi="宋体"/>
          <w:sz w:val="24"/>
        </w:rPr>
      </w:pPr>
      <w:r>
        <w:rPr>
          <w:rFonts w:ascii="宋体" w:hAnsi="宋体" w:hint="eastAsia"/>
          <w:sz w:val="24"/>
        </w:rPr>
        <w:t>本基金的风险主要包括：市场风险、信用风险、管理风险、流动性风险、操作和技术风险、合规性风险、本基金特有的风险及其他风险。本基金本着科学、严谨的原则，对风险的识别、评估和控制的全过程进行管理。</w:t>
      </w:r>
    </w:p>
    <w:p w14:paraId="72836579"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市场风险 </w:t>
      </w:r>
    </w:p>
    <w:p w14:paraId="35D8D57C"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 xml:space="preserve">基金主要投资于证券市场，而证券市场价格因受到经济因素、政治因素、投资心理和交易制度等各种因素的影响而产生波动，从而导致基金收益水平发生变化，产生风险。主要的风险因素包括： </w:t>
      </w:r>
    </w:p>
    <w:p w14:paraId="5A82B9B5"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1、政策风险因财政政策、货币政策、产业政策、地区发展政策等国家宏观政策发生变化，导致市场价格波动，影响基金收益而产生风险。</w:t>
      </w:r>
    </w:p>
    <w:p w14:paraId="641B2F6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2、经济周期风险随着经济运行的周期性变化，证券市场的收益水平也呈周期性变化，基金投资的收益水平也会随之变化，从而产生风险。</w:t>
      </w:r>
    </w:p>
    <w:p w14:paraId="01F6ED79"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3、利率风险金融市场利率的波动会导致证券市场价格和收益率的变动。利率直接影响着债券的价格和收益率，引起基金收益水平的变化。特别是短期利率变化以及货币市场投资工具市场价格的相关波动，会影响基金组合投资业绩。</w:t>
      </w:r>
    </w:p>
    <w:p w14:paraId="7900E703"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4、通货膨胀风险基金投资的目的是基金资产的保值增值，如果发生通货膨胀，基金投资于证券所获得的收益可能会被通货膨胀抵消，从而影响基金资产的保值增值。</w:t>
      </w:r>
    </w:p>
    <w:p w14:paraId="32AB56CE"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5、债券收益率曲线变动的风险债券收益率曲线变动风险是指与收益率曲线非平行移动有关的风险，单一的久期指标并不能充分反映这一风险的存在。</w:t>
      </w:r>
    </w:p>
    <w:p w14:paraId="722DD8DA" w14:textId="77777777" w:rsidR="00D04107" w:rsidRDefault="000C2DB0" w:rsidP="004B1544">
      <w:pPr>
        <w:spacing w:line="360" w:lineRule="auto"/>
        <w:ind w:firstLineChars="177" w:firstLine="425"/>
        <w:rPr>
          <w:rFonts w:ascii="宋体" w:hAnsi="宋体"/>
          <w:sz w:val="24"/>
        </w:rPr>
      </w:pPr>
      <w:r>
        <w:rPr>
          <w:rFonts w:ascii="宋体" w:hAnsi="宋体" w:hint="eastAsia"/>
          <w:sz w:val="24"/>
        </w:rPr>
        <w:t>6、再投资风险市场利率下降将影响固定收益类证券利息收入的再投资收益率，这与利率上升所带来的价格风险互为消长。</w:t>
      </w:r>
    </w:p>
    <w:p w14:paraId="63E50FFD"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信用风险 </w:t>
      </w:r>
    </w:p>
    <w:p w14:paraId="65A35338" w14:textId="77777777" w:rsidR="00D04107" w:rsidRDefault="000C2DB0" w:rsidP="007122BE">
      <w:pPr>
        <w:spacing w:line="360" w:lineRule="auto"/>
        <w:ind w:firstLineChars="177" w:firstLine="425"/>
        <w:rPr>
          <w:rFonts w:ascii="宋体" w:hAnsi="宋体"/>
          <w:sz w:val="24"/>
        </w:rPr>
      </w:pPr>
      <w:r>
        <w:rPr>
          <w:rFonts w:ascii="宋体" w:hAnsi="宋体" w:hint="eastAsia"/>
          <w:sz w:val="24"/>
        </w:rPr>
        <w:t xml:space="preserve">信用风险主要指债券、资产支持证券、短期融资券等信用证券发行主体信用状况恶化， 到期不能履行合约进行兑付的风险，另外，信用风险也包括证券交易对手因违约而产生的证券交割风险。 </w:t>
      </w:r>
    </w:p>
    <w:p w14:paraId="45BC8447" w14:textId="77777777" w:rsidR="00D04107" w:rsidRDefault="000C2DB0">
      <w:pPr>
        <w:numPr>
          <w:ilvl w:val="0"/>
          <w:numId w:val="6"/>
        </w:numPr>
        <w:spacing w:line="360" w:lineRule="auto"/>
        <w:rPr>
          <w:rFonts w:ascii="宋体" w:hAnsi="宋体"/>
          <w:sz w:val="24"/>
        </w:rPr>
      </w:pPr>
      <w:r>
        <w:rPr>
          <w:rFonts w:ascii="宋体" w:hAnsi="宋体" w:hint="eastAsia"/>
          <w:sz w:val="24"/>
        </w:rPr>
        <w:lastRenderedPageBreak/>
        <w:t xml:space="preserve">流动性风险 </w:t>
      </w:r>
    </w:p>
    <w:p w14:paraId="6C2B7813"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流动性风险是指因证券市场交易量不足，导致证券不能迅速、低成本地变现的风险。流动性风险还包括基金出现巨额赎回，致使没有足够的现金应付赎回支付所引致的风险。</w:t>
      </w:r>
    </w:p>
    <w:p w14:paraId="5AAA5A66"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操作风险 </w:t>
      </w:r>
    </w:p>
    <w:p w14:paraId="545AF1AA"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操作风险是指基金运作过程中，因内部控制存在缺陷或者人为因素造成操作失误或违反操作规程等引致的风险，例如，越权违规交易、会计部门欺诈、交易错误、IT系统故障等风险。 </w:t>
      </w:r>
    </w:p>
    <w:p w14:paraId="3FF5F534" w14:textId="77777777" w:rsidR="00D04107" w:rsidRDefault="000C2DB0">
      <w:pPr>
        <w:numPr>
          <w:ilvl w:val="0"/>
          <w:numId w:val="6"/>
        </w:numPr>
        <w:spacing w:line="360" w:lineRule="auto"/>
        <w:rPr>
          <w:rFonts w:ascii="宋体" w:hAnsi="宋体"/>
          <w:sz w:val="24"/>
        </w:rPr>
      </w:pPr>
      <w:r>
        <w:rPr>
          <w:rFonts w:ascii="宋体" w:hAnsi="宋体" w:hint="eastAsia"/>
          <w:sz w:val="24"/>
        </w:rPr>
        <w:t>管理风险</w:t>
      </w:r>
    </w:p>
    <w:p w14:paraId="59CC9BB0"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197D99F0"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合规性风险 </w:t>
      </w:r>
    </w:p>
    <w:p w14:paraId="02874E5A"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合规风险指基金管理或运作过程中，违反国家法律、法规的规定，或者违反基金合同有关规定的风险。</w:t>
      </w:r>
    </w:p>
    <w:p w14:paraId="1BD59516" w14:textId="77777777" w:rsidR="00D04107" w:rsidRDefault="000C2DB0">
      <w:pPr>
        <w:numPr>
          <w:ilvl w:val="0"/>
          <w:numId w:val="6"/>
        </w:numPr>
        <w:spacing w:line="360" w:lineRule="auto"/>
        <w:rPr>
          <w:rFonts w:ascii="宋体" w:hAnsi="宋体"/>
          <w:sz w:val="24"/>
        </w:rPr>
      </w:pPr>
      <w:r>
        <w:rPr>
          <w:rFonts w:ascii="宋体" w:hAnsi="宋体" w:hint="eastAsia"/>
          <w:sz w:val="24"/>
        </w:rPr>
        <w:t>本基金的特有风险</w:t>
      </w:r>
    </w:p>
    <w:p w14:paraId="6BC51DEC"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本基金投资于货币市场工具，可能面临较高流动性风险以及货币市场利率波动的系统性风险。货币市场利率的波动会影响基金的再投资收益，并影响到基金资产公允价值的变动。同时为应对赎回进行资产变现时，可能会由于货币市场工具交易量不足而面临流动性风险。 </w:t>
      </w:r>
    </w:p>
    <w:p w14:paraId="0419C8AB" w14:textId="77777777" w:rsidR="00D04107" w:rsidRDefault="000C2DB0">
      <w:pPr>
        <w:numPr>
          <w:ilvl w:val="0"/>
          <w:numId w:val="6"/>
        </w:numPr>
        <w:spacing w:line="360" w:lineRule="auto"/>
        <w:rPr>
          <w:rFonts w:ascii="宋体" w:hAnsi="宋体"/>
          <w:sz w:val="24"/>
        </w:rPr>
      </w:pPr>
      <w:r>
        <w:rPr>
          <w:rFonts w:ascii="宋体" w:hAnsi="宋体" w:hint="eastAsia"/>
          <w:sz w:val="24"/>
        </w:rPr>
        <w:t xml:space="preserve">其它风险 </w:t>
      </w:r>
    </w:p>
    <w:p w14:paraId="6C340B2E"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1、在符合本基金投资理念的新型投资工具出现和发展后，如果投资于这些工具，基金可能会面临一些特殊的风险； </w:t>
      </w:r>
    </w:p>
    <w:p w14:paraId="239DD35B"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2、因技术因素而产生的风险，如计算机系统不可靠产生的风险； </w:t>
      </w:r>
    </w:p>
    <w:p w14:paraId="78C21668"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 xml:space="preserve">3、因基金业务快速发展而在制度建设、人员配备、内控制度建立等方面不完善而产生的风险； </w:t>
      </w:r>
    </w:p>
    <w:p w14:paraId="48E29781" w14:textId="77777777" w:rsidR="00D04107" w:rsidRDefault="000C2DB0" w:rsidP="000C2DB0">
      <w:pPr>
        <w:spacing w:line="360" w:lineRule="auto"/>
        <w:ind w:firstLineChars="177" w:firstLine="425"/>
        <w:rPr>
          <w:rFonts w:ascii="宋体" w:hAnsi="宋体"/>
          <w:sz w:val="24"/>
        </w:rPr>
      </w:pPr>
      <w:r>
        <w:rPr>
          <w:rFonts w:ascii="宋体" w:hAnsi="宋体" w:hint="eastAsia"/>
          <w:sz w:val="24"/>
        </w:rPr>
        <w:t>4、因人为因素而产生的风险，如内幕交易、欺诈行为等产生的风险；</w:t>
      </w:r>
    </w:p>
    <w:p w14:paraId="37DB164B" w14:textId="77777777" w:rsidR="00D04107" w:rsidRDefault="000C2DB0">
      <w:pPr>
        <w:spacing w:line="360" w:lineRule="auto"/>
        <w:ind w:firstLineChars="200" w:firstLine="480"/>
        <w:rPr>
          <w:rFonts w:ascii="宋体" w:hAnsi="宋体"/>
          <w:sz w:val="24"/>
        </w:rPr>
      </w:pPr>
      <w:r>
        <w:rPr>
          <w:rFonts w:ascii="宋体" w:hAnsi="宋体" w:hint="eastAsia"/>
          <w:sz w:val="24"/>
        </w:rPr>
        <w:t xml:space="preserve">5、对主要业务人员如基金经理的依赖可能产生的风险； </w:t>
      </w:r>
    </w:p>
    <w:p w14:paraId="6AF2FA55" w14:textId="77777777" w:rsidR="00D04107" w:rsidRDefault="000C2DB0">
      <w:pPr>
        <w:spacing w:line="360" w:lineRule="auto"/>
        <w:ind w:firstLineChars="200" w:firstLine="480"/>
        <w:rPr>
          <w:rFonts w:ascii="宋体" w:hAnsi="宋体"/>
          <w:sz w:val="24"/>
        </w:rPr>
      </w:pPr>
      <w:r>
        <w:rPr>
          <w:rFonts w:ascii="宋体" w:hAnsi="宋体" w:hint="eastAsia"/>
          <w:sz w:val="24"/>
        </w:rPr>
        <w:lastRenderedPageBreak/>
        <w:t xml:space="preserve">6、战争、自然灾害等不可抗力可能导致基金资产的损失，影响基金收益水平，从而带来风险； </w:t>
      </w:r>
    </w:p>
    <w:p w14:paraId="067A8CD6" w14:textId="77777777" w:rsidR="00D04107" w:rsidRDefault="000C2DB0">
      <w:pPr>
        <w:spacing w:line="360" w:lineRule="auto"/>
        <w:ind w:firstLineChars="200" w:firstLine="480"/>
        <w:rPr>
          <w:rFonts w:ascii="宋体" w:hAnsi="宋体"/>
          <w:sz w:val="24"/>
        </w:rPr>
      </w:pPr>
      <w:r>
        <w:rPr>
          <w:rFonts w:ascii="宋体" w:hAnsi="宋体" w:hint="eastAsia"/>
          <w:sz w:val="24"/>
        </w:rPr>
        <w:t>7、其他意外导致的风险。</w:t>
      </w:r>
    </w:p>
    <w:p w14:paraId="2679AE42" w14:textId="77777777" w:rsidR="00D04107" w:rsidRDefault="00D04107">
      <w:pPr>
        <w:pStyle w:val="1"/>
        <w:spacing w:beforeLines="50" w:before="120" w:afterLines="50" w:after="12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bookmarkStart w:id="119" w:name="_Toc256666805"/>
      <w:bookmarkStart w:id="120" w:name="_Toc256666925"/>
    </w:p>
    <w:p w14:paraId="251EDC84" w14:textId="77777777" w:rsidR="00D04107" w:rsidRDefault="000C2DB0">
      <w:pPr>
        <w:pStyle w:val="1"/>
        <w:spacing w:line="360" w:lineRule="auto"/>
        <w:jc w:val="center"/>
        <w:rPr>
          <w:rFonts w:ascii="宋体" w:hAnsi="宋体"/>
          <w:color w:val="000000"/>
          <w:kern w:val="0"/>
          <w:sz w:val="24"/>
          <w:szCs w:val="24"/>
        </w:rPr>
      </w:pPr>
      <w:bookmarkStart w:id="121" w:name="_Toc482624806"/>
      <w:bookmarkStart w:id="122" w:name="_Toc4507"/>
      <w:bookmarkStart w:id="123" w:name="_Toc23741"/>
      <w:r>
        <w:rPr>
          <w:rFonts w:ascii="宋体" w:hAnsi="宋体" w:hint="eastAsia"/>
          <w:color w:val="000000"/>
          <w:kern w:val="0"/>
          <w:sz w:val="24"/>
          <w:szCs w:val="24"/>
        </w:rPr>
        <w:lastRenderedPageBreak/>
        <w:t>第十七部分  基金合同的变更、终止与基金财产的清算</w:t>
      </w:r>
      <w:bookmarkEnd w:id="119"/>
      <w:bookmarkEnd w:id="120"/>
      <w:bookmarkEnd w:id="121"/>
      <w:bookmarkEnd w:id="122"/>
      <w:bookmarkEnd w:id="123"/>
    </w:p>
    <w:p w14:paraId="2BFE72D2" w14:textId="77777777" w:rsidR="00D04107" w:rsidRDefault="000C2DB0">
      <w:pPr>
        <w:spacing w:line="360" w:lineRule="auto"/>
        <w:ind w:firstLineChars="200" w:firstLine="480"/>
        <w:rPr>
          <w:rFonts w:ascii="宋体" w:hAnsi="宋体"/>
          <w:color w:val="000000"/>
          <w:kern w:val="0"/>
          <w:sz w:val="24"/>
        </w:rPr>
      </w:pPr>
      <w:bookmarkStart w:id="124" w:name="_Toc88969313"/>
      <w:r>
        <w:rPr>
          <w:rFonts w:ascii="宋体" w:hAnsi="宋体" w:hint="eastAsia"/>
          <w:color w:val="000000"/>
          <w:kern w:val="0"/>
          <w:sz w:val="24"/>
        </w:rPr>
        <w:t>（一）《基金合同》的变更</w:t>
      </w:r>
    </w:p>
    <w:p w14:paraId="5B87A4F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变更基金合同涉及法律法规规定或基金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7DD0D79E" w14:textId="77777777" w:rsidR="00D04107" w:rsidRDefault="000C2DB0">
      <w:pPr>
        <w:spacing w:line="360" w:lineRule="auto"/>
        <w:ind w:firstLineChars="200" w:firstLine="480"/>
        <w:rPr>
          <w:rFonts w:ascii="宋体" w:hAnsi="宋体"/>
          <w:color w:val="000000"/>
          <w:kern w:val="0"/>
          <w:sz w:val="24"/>
        </w:rPr>
      </w:pPr>
      <w:r>
        <w:rPr>
          <w:bCs/>
          <w:sz w:val="24"/>
        </w:rPr>
        <w:t>2</w:t>
      </w:r>
      <w:r>
        <w:rPr>
          <w:bCs/>
          <w:sz w:val="24"/>
        </w:rPr>
        <w:t>、</w:t>
      </w:r>
      <w:r>
        <w:rPr>
          <w:rFonts w:hint="eastAsia"/>
          <w:bCs/>
          <w:sz w:val="24"/>
        </w:rPr>
        <w:t>关于《基金合同》变更的基金份额持有人大会决议自生效后方可执行，决议生效后依照《信息披露办法》的有关规定在指定媒介公告</w:t>
      </w:r>
      <w:r>
        <w:rPr>
          <w:bCs/>
          <w:sz w:val="24"/>
        </w:rPr>
        <w:t>。</w:t>
      </w:r>
    </w:p>
    <w:p w14:paraId="4FECCF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（二）基金合同的终止事由</w:t>
      </w:r>
    </w:p>
    <w:p w14:paraId="4AE3E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有下列情形之一的，《基金合同》应当终止：</w:t>
      </w:r>
    </w:p>
    <w:p w14:paraId="235237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1、基金份额持有人大会决定终止的；</w:t>
      </w:r>
    </w:p>
    <w:p w14:paraId="242C997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2、基金管理人、基金托管人职责终止，在6个月内没有新基金管理人、新基金托管人承接的；</w:t>
      </w:r>
    </w:p>
    <w:p w14:paraId="5E0847B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3、《基金合同》约定的其他情形；</w:t>
      </w:r>
    </w:p>
    <w:p w14:paraId="7EB511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4、相关法律法规和中国证监会规定的其他情况。</w:t>
      </w:r>
    </w:p>
    <w:p w14:paraId="037B8D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（三）基金财产的清算</w:t>
      </w:r>
    </w:p>
    <w:p w14:paraId="35F5F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1、基金财产清算小组：自出现《基金合同》终止事由之日起30个工作日内成立清算小组，基金管理人组织基金财产清算小组并在中国证监会的监督下进行基金清算。</w:t>
      </w:r>
    </w:p>
    <w:p w14:paraId="388618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2、基金财产清算小组组成：基金财产清算小组成员由基金管理人、基金托管人、具有从事证券相关业务资格的注册会计师、律师以及中国证监会指定的人员组成。基金财产清算小组可以聘用必要的工作人员。</w:t>
      </w:r>
    </w:p>
    <w:p w14:paraId="0B5BD3D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3、基金财产清算小组职责：基金财产清算小组负责基金财产的保管、清理、估价、变现和分配。基金财产清算小组可以依法进行必要的民事活动。</w:t>
      </w:r>
    </w:p>
    <w:p w14:paraId="5CDBB5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4、基金财产清算程序：</w:t>
      </w:r>
    </w:p>
    <w:p w14:paraId="73E1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（1）《基金合同》终止情形出现时，由基金财产清算小组统一接管基金；</w:t>
      </w:r>
    </w:p>
    <w:p w14:paraId="1D8345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（2）对基金财产和债权债务进行清理和确认；</w:t>
      </w:r>
    </w:p>
    <w:p w14:paraId="5013E53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（3）对基金财产进行估值和变现；</w:t>
      </w:r>
    </w:p>
    <w:p w14:paraId="264D6F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（4）制作清算报告；</w:t>
      </w:r>
    </w:p>
    <w:p w14:paraId="03AC4FE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（5）聘请会计师事务所对清算报告进行外部审计，聘请律师事务所对清算报告出具法律意见书；</w:t>
      </w:r>
    </w:p>
    <w:p w14:paraId="048121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（6）将清算报告报中国证监会备案并公告；</w:t>
      </w:r>
    </w:p>
    <w:p w14:paraId="68FDCF5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（7）对基金剩余财产进行分配。</w:t>
      </w:r>
    </w:p>
    <w:p w14:paraId="6C0725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5、基金财产清算的期限为6个月，但因本基金所持证券的流动性受到限制而不能及时变现的，清算期限相应顺延。</w:t>
      </w:r>
    </w:p>
    <w:p w14:paraId="693E249C" w14:textId="77777777" w:rsidR="00D04107" w:rsidRDefault="000C2DB0">
      <w:pPr>
        <w:spacing w:line="360" w:lineRule="auto"/>
        <w:ind w:firstLineChars="200" w:firstLine="480"/>
        <w:rPr>
          <w:bCs/>
          <w:sz w:val="24"/>
        </w:rPr>
      </w:pPr>
      <w:r>
        <w:rPr>
          <w:rFonts w:ascii="宋体" w:hAnsi="宋体" w:hint="eastAsia"/>
          <w:color w:val="000000"/>
          <w:kern w:val="0"/>
          <w:sz w:val="24"/>
        </w:rPr>
        <w:t>（</w:t>
      </w:r>
      <w:r>
        <w:rPr>
          <w:rFonts w:ascii="宋体" w:hAnsi="宋体"/>
          <w:color w:val="000000"/>
          <w:kern w:val="0"/>
          <w:sz w:val="24"/>
        </w:rPr>
        <w:t>四）</w:t>
      </w:r>
      <w:r>
        <w:rPr>
          <w:bCs/>
          <w:sz w:val="24"/>
        </w:rPr>
        <w:t>清算费用</w:t>
      </w:r>
    </w:p>
    <w:p w14:paraId="100F53C2"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w:t>
      </w:r>
      <w:r>
        <w:rPr>
          <w:rFonts w:hint="eastAsia"/>
          <w:bCs/>
          <w:sz w:val="24"/>
        </w:rPr>
        <w:t>剩余</w:t>
      </w:r>
      <w:r>
        <w:rPr>
          <w:bCs/>
          <w:sz w:val="24"/>
        </w:rPr>
        <w:t>财产中支付。</w:t>
      </w:r>
    </w:p>
    <w:p w14:paraId="370D0036" w14:textId="77777777" w:rsidR="00D04107" w:rsidRDefault="000C2DB0">
      <w:pPr>
        <w:spacing w:line="360" w:lineRule="auto"/>
        <w:ind w:firstLineChars="200" w:firstLine="480"/>
        <w:rPr>
          <w:bCs/>
          <w:sz w:val="24"/>
        </w:rPr>
      </w:pPr>
      <w:r>
        <w:rPr>
          <w:rFonts w:hint="eastAsia"/>
          <w:bCs/>
          <w:sz w:val="24"/>
        </w:rPr>
        <w:t>（五</w:t>
      </w:r>
      <w:r>
        <w:rPr>
          <w:bCs/>
          <w:sz w:val="24"/>
        </w:rPr>
        <w:t>）基金财产清算剩余资产的分配</w:t>
      </w:r>
    </w:p>
    <w:p w14:paraId="08CDDD14"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5CA70A5A" w14:textId="77777777" w:rsidR="00D04107" w:rsidRDefault="000C2DB0">
      <w:pPr>
        <w:spacing w:line="360" w:lineRule="auto"/>
        <w:ind w:firstLineChars="200" w:firstLine="480"/>
        <w:rPr>
          <w:bCs/>
          <w:sz w:val="24"/>
        </w:rPr>
      </w:pPr>
      <w:r>
        <w:rPr>
          <w:rFonts w:hint="eastAsia"/>
          <w:bCs/>
          <w:sz w:val="24"/>
        </w:rPr>
        <w:t>（</w:t>
      </w:r>
      <w:r>
        <w:rPr>
          <w:bCs/>
          <w:sz w:val="24"/>
        </w:rPr>
        <w:t>六）基金财产清算的公告</w:t>
      </w:r>
    </w:p>
    <w:p w14:paraId="0F45007B" w14:textId="77777777" w:rsidR="00D04107" w:rsidRDefault="000C2DB0">
      <w:pPr>
        <w:spacing w:line="360" w:lineRule="auto"/>
        <w:ind w:firstLineChars="200" w:firstLine="480"/>
        <w:rPr>
          <w:bCs/>
          <w:sz w:val="24"/>
        </w:rPr>
      </w:pPr>
      <w:r>
        <w:rPr>
          <w:bCs/>
          <w:sz w:val="24"/>
        </w:rPr>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653023BB" w14:textId="77777777" w:rsidR="00D04107" w:rsidRDefault="000C2DB0">
      <w:pPr>
        <w:spacing w:line="360" w:lineRule="auto"/>
        <w:ind w:firstLineChars="200" w:firstLine="480"/>
        <w:rPr>
          <w:bCs/>
          <w:sz w:val="24"/>
        </w:rPr>
      </w:pPr>
      <w:r>
        <w:rPr>
          <w:rFonts w:hint="eastAsia"/>
          <w:bCs/>
          <w:sz w:val="24"/>
        </w:rPr>
        <w:t>（</w:t>
      </w:r>
      <w:r>
        <w:rPr>
          <w:bCs/>
          <w:sz w:val="24"/>
        </w:rPr>
        <w:t>七）基金财产清算账册及文件的保存</w:t>
      </w:r>
    </w:p>
    <w:p w14:paraId="02D7ADDB" w14:textId="77777777" w:rsidR="00D04107" w:rsidRDefault="000C2DB0">
      <w:pPr>
        <w:spacing w:line="360" w:lineRule="auto"/>
        <w:ind w:firstLineChars="200" w:firstLine="480"/>
        <w:rPr>
          <w:rFonts w:ascii="宋体" w:hAnsi="宋体"/>
          <w:color w:val="000000"/>
          <w:kern w:val="0"/>
          <w:sz w:val="24"/>
        </w:rPr>
      </w:pPr>
      <w:r>
        <w:rPr>
          <w:bCs/>
          <w:sz w:val="24"/>
        </w:rPr>
        <w:t>基金财产清算账册及有关文件由基金托管人保存</w:t>
      </w:r>
      <w:r>
        <w:rPr>
          <w:bCs/>
          <w:sz w:val="24"/>
        </w:rPr>
        <w:t>15</w:t>
      </w:r>
      <w:r>
        <w:rPr>
          <w:bCs/>
          <w:sz w:val="24"/>
        </w:rPr>
        <w:t>年以上。</w:t>
      </w:r>
    </w:p>
    <w:p w14:paraId="273553C5" w14:textId="77777777" w:rsidR="00D04107" w:rsidRDefault="00D04107">
      <w:pPr>
        <w:spacing w:line="360" w:lineRule="auto"/>
        <w:ind w:firstLineChars="200" w:firstLine="480"/>
        <w:rPr>
          <w:rFonts w:ascii="宋体" w:hAnsi="宋体"/>
          <w:color w:val="000000"/>
          <w:kern w:val="0"/>
          <w:sz w:val="24"/>
        </w:rPr>
      </w:pPr>
    </w:p>
    <w:p w14:paraId="43DB82A9" w14:textId="77777777" w:rsidR="00D04107" w:rsidRDefault="00D04107">
      <w:pPr>
        <w:spacing w:line="360" w:lineRule="auto"/>
        <w:ind w:firstLineChars="200" w:firstLine="480"/>
        <w:rPr>
          <w:rFonts w:ascii="宋体" w:hAnsi="宋体"/>
          <w:color w:val="000000"/>
          <w:kern w:val="0"/>
          <w:sz w:val="24"/>
        </w:rPr>
      </w:pPr>
    </w:p>
    <w:p w14:paraId="573072EC" w14:textId="77777777" w:rsidR="00D04107" w:rsidRDefault="00D04107">
      <w:pPr>
        <w:spacing w:line="360" w:lineRule="auto"/>
        <w:ind w:firstLineChars="200" w:firstLine="480"/>
        <w:rPr>
          <w:rFonts w:ascii="宋体" w:hAnsi="宋体"/>
          <w:color w:val="000000"/>
          <w:kern w:val="0"/>
          <w:sz w:val="24"/>
        </w:rPr>
      </w:pPr>
    </w:p>
    <w:p w14:paraId="78B5A64A" w14:textId="77777777" w:rsidR="00D04107" w:rsidRDefault="00D04107">
      <w:pPr>
        <w:spacing w:line="360" w:lineRule="auto"/>
        <w:ind w:firstLineChars="200" w:firstLine="480"/>
        <w:rPr>
          <w:rFonts w:ascii="宋体" w:hAnsi="宋体"/>
          <w:color w:val="000000"/>
          <w:kern w:val="0"/>
          <w:sz w:val="24"/>
        </w:rPr>
      </w:pPr>
    </w:p>
    <w:p w14:paraId="6BB96DED" w14:textId="77777777" w:rsidR="00D04107" w:rsidRDefault="00D04107">
      <w:pPr>
        <w:spacing w:line="360" w:lineRule="auto"/>
        <w:ind w:firstLineChars="200" w:firstLine="480"/>
        <w:rPr>
          <w:rFonts w:ascii="宋体" w:hAnsi="宋体"/>
          <w:color w:val="000000"/>
          <w:kern w:val="0"/>
          <w:sz w:val="24"/>
        </w:rPr>
      </w:pPr>
    </w:p>
    <w:p w14:paraId="43BAFF7B" w14:textId="77777777" w:rsidR="00D04107" w:rsidRDefault="000C2DB0">
      <w:pPr>
        <w:pStyle w:val="1"/>
        <w:spacing w:line="360" w:lineRule="auto"/>
        <w:jc w:val="center"/>
        <w:rPr>
          <w:rFonts w:ascii="宋体" w:hAnsi="宋体"/>
          <w:color w:val="000000"/>
          <w:kern w:val="0"/>
          <w:sz w:val="24"/>
          <w:szCs w:val="24"/>
        </w:rPr>
      </w:pPr>
      <w:bookmarkStart w:id="125" w:name="_Toc256666806"/>
      <w:bookmarkStart w:id="126" w:name="_Toc27351"/>
      <w:bookmarkStart w:id="127" w:name="_Toc482624807"/>
      <w:bookmarkStart w:id="128" w:name="_Toc256666926"/>
      <w:bookmarkStart w:id="129" w:name="_Toc3364"/>
      <w:bookmarkEnd w:id="124"/>
      <w:r>
        <w:rPr>
          <w:rFonts w:ascii="宋体" w:hAnsi="宋体" w:hint="eastAsia"/>
          <w:color w:val="000000"/>
          <w:kern w:val="0"/>
          <w:sz w:val="24"/>
          <w:szCs w:val="24"/>
        </w:rPr>
        <w:lastRenderedPageBreak/>
        <w:t>第十八部分  基金合同的内容摘要</w:t>
      </w:r>
      <w:bookmarkEnd w:id="125"/>
      <w:bookmarkEnd w:id="126"/>
      <w:bookmarkEnd w:id="127"/>
      <w:bookmarkEnd w:id="128"/>
      <w:bookmarkEnd w:id="129"/>
    </w:p>
    <w:p w14:paraId="77E7D830" w14:textId="77777777" w:rsidR="00D04107" w:rsidRDefault="000C2DB0">
      <w:pPr>
        <w:spacing w:line="360" w:lineRule="auto"/>
        <w:ind w:firstLineChars="200" w:firstLine="480"/>
        <w:rPr>
          <w:rFonts w:ascii="宋体" w:hAnsi="宋体"/>
          <w:bCs/>
          <w:sz w:val="24"/>
        </w:rPr>
      </w:pPr>
      <w:r>
        <w:rPr>
          <w:rFonts w:ascii="宋体" w:hAnsi="宋体" w:hint="eastAsia"/>
          <w:bCs/>
          <w:sz w:val="24"/>
        </w:rPr>
        <w:t>（一</w:t>
      </w:r>
      <w:r>
        <w:rPr>
          <w:rFonts w:ascii="宋体" w:hAnsi="宋体"/>
          <w:bCs/>
          <w:sz w:val="24"/>
        </w:rPr>
        <w:t>）</w:t>
      </w:r>
      <w:r>
        <w:rPr>
          <w:rFonts w:ascii="宋体" w:hAnsi="宋体" w:hint="eastAsia"/>
          <w:bCs/>
          <w:sz w:val="24"/>
        </w:rPr>
        <w:t>基金份额持有人、基金管理人和基金托管人的权利、义务</w:t>
      </w:r>
    </w:p>
    <w:p w14:paraId="145DA6B8" w14:textId="77777777" w:rsidR="00D04107" w:rsidRDefault="000C2DB0">
      <w:pPr>
        <w:spacing w:line="360" w:lineRule="auto"/>
        <w:ind w:firstLineChars="200" w:firstLine="480"/>
        <w:rPr>
          <w:bCs/>
          <w:sz w:val="24"/>
        </w:rPr>
      </w:pPr>
      <w:r>
        <w:rPr>
          <w:rFonts w:hint="eastAsia"/>
          <w:bCs/>
          <w:sz w:val="24"/>
        </w:rPr>
        <w:t>一</w:t>
      </w:r>
      <w:r>
        <w:rPr>
          <w:bCs/>
          <w:sz w:val="24"/>
        </w:rPr>
        <w:t>、</w:t>
      </w:r>
      <w:r>
        <w:rPr>
          <w:bCs/>
          <w:sz w:val="24"/>
        </w:rPr>
        <w:tab/>
      </w:r>
      <w:r>
        <w:rPr>
          <w:bCs/>
          <w:sz w:val="24"/>
        </w:rPr>
        <w:t>基金管理人的权利与义务</w:t>
      </w:r>
    </w:p>
    <w:p w14:paraId="67D1AF4B" w14:textId="77777777" w:rsidR="00D04107" w:rsidRDefault="000C2DB0">
      <w:pPr>
        <w:spacing w:line="360" w:lineRule="auto"/>
        <w:ind w:firstLineChars="200" w:firstLine="480"/>
        <w:rPr>
          <w:bCs/>
          <w:sz w:val="24"/>
        </w:rPr>
      </w:pPr>
      <w:r>
        <w:rPr>
          <w:bCs/>
          <w:sz w:val="24"/>
        </w:rPr>
        <w:t>1</w:t>
      </w:r>
      <w:r>
        <w:rPr>
          <w:bCs/>
          <w:sz w:val="24"/>
        </w:rPr>
        <w:t>、根据《基金法》、《运作办法》及其他有关规定，基金管理人的权利包括但不限于：</w:t>
      </w:r>
    </w:p>
    <w:p w14:paraId="723EB0E7" w14:textId="77777777" w:rsidR="00D04107" w:rsidRDefault="000C2DB0">
      <w:pPr>
        <w:spacing w:line="360" w:lineRule="auto"/>
        <w:ind w:firstLineChars="200" w:firstLine="480"/>
        <w:rPr>
          <w:bCs/>
          <w:sz w:val="24"/>
        </w:rPr>
      </w:pPr>
      <w:r>
        <w:rPr>
          <w:bCs/>
          <w:sz w:val="24"/>
        </w:rPr>
        <w:t>（</w:t>
      </w:r>
      <w:r>
        <w:rPr>
          <w:bCs/>
          <w:sz w:val="24"/>
        </w:rPr>
        <w:t>1</w:t>
      </w:r>
      <w:r>
        <w:rPr>
          <w:bCs/>
          <w:sz w:val="24"/>
        </w:rPr>
        <w:t>）依法募集基金；</w:t>
      </w:r>
    </w:p>
    <w:p w14:paraId="6A1573E5" w14:textId="77777777" w:rsidR="00D04107" w:rsidRDefault="000C2DB0">
      <w:pPr>
        <w:spacing w:line="360" w:lineRule="auto"/>
        <w:ind w:firstLineChars="200" w:firstLine="480"/>
        <w:rPr>
          <w:bCs/>
          <w:sz w:val="24"/>
        </w:rPr>
      </w:pPr>
      <w:r>
        <w:rPr>
          <w:bCs/>
          <w:sz w:val="24"/>
        </w:rPr>
        <w:t>（</w:t>
      </w:r>
      <w:r>
        <w:rPr>
          <w:bCs/>
          <w:sz w:val="24"/>
        </w:rPr>
        <w:t>2</w:t>
      </w:r>
      <w:r>
        <w:rPr>
          <w:bCs/>
          <w:sz w:val="24"/>
        </w:rPr>
        <w:t>）自《基金合同》生效之日起，根据法律法规和《基金合同》独立运用并管理基金财产；</w:t>
      </w:r>
    </w:p>
    <w:p w14:paraId="540BFA46" w14:textId="77777777" w:rsidR="00D04107" w:rsidRDefault="000C2DB0">
      <w:pPr>
        <w:spacing w:line="360" w:lineRule="auto"/>
        <w:ind w:firstLineChars="200" w:firstLine="480"/>
        <w:rPr>
          <w:bCs/>
          <w:sz w:val="24"/>
        </w:rPr>
      </w:pPr>
      <w:r>
        <w:rPr>
          <w:bCs/>
          <w:sz w:val="24"/>
        </w:rPr>
        <w:t>（</w:t>
      </w:r>
      <w:r>
        <w:rPr>
          <w:bCs/>
          <w:sz w:val="24"/>
        </w:rPr>
        <w:t>3</w:t>
      </w:r>
      <w:r>
        <w:rPr>
          <w:bCs/>
          <w:sz w:val="24"/>
        </w:rPr>
        <w:t>）依照《基金合同》收取基金管理费以及法律法规规定或中国证监会批准的其他费用；</w:t>
      </w:r>
    </w:p>
    <w:p w14:paraId="6A8D205A" w14:textId="77777777" w:rsidR="00D04107" w:rsidRDefault="000C2DB0">
      <w:pPr>
        <w:spacing w:line="360" w:lineRule="auto"/>
        <w:ind w:firstLineChars="200" w:firstLine="480"/>
        <w:rPr>
          <w:bCs/>
          <w:sz w:val="24"/>
        </w:rPr>
      </w:pPr>
      <w:r>
        <w:rPr>
          <w:bCs/>
          <w:sz w:val="24"/>
        </w:rPr>
        <w:t>（</w:t>
      </w:r>
      <w:r>
        <w:rPr>
          <w:bCs/>
          <w:sz w:val="24"/>
        </w:rPr>
        <w:t>4</w:t>
      </w:r>
      <w:r>
        <w:rPr>
          <w:bCs/>
          <w:sz w:val="24"/>
        </w:rPr>
        <w:t>）销售基金份额；</w:t>
      </w:r>
    </w:p>
    <w:p w14:paraId="431EFD21" w14:textId="77777777" w:rsidR="00D04107" w:rsidRDefault="000C2DB0">
      <w:pPr>
        <w:spacing w:line="360" w:lineRule="auto"/>
        <w:ind w:firstLineChars="200" w:firstLine="480"/>
        <w:rPr>
          <w:bCs/>
          <w:sz w:val="24"/>
        </w:rPr>
      </w:pPr>
      <w:r>
        <w:rPr>
          <w:bCs/>
          <w:sz w:val="24"/>
        </w:rPr>
        <w:t>（</w:t>
      </w:r>
      <w:r>
        <w:rPr>
          <w:bCs/>
          <w:sz w:val="24"/>
        </w:rPr>
        <w:t>5</w:t>
      </w:r>
      <w:r>
        <w:rPr>
          <w:bCs/>
          <w:sz w:val="24"/>
        </w:rPr>
        <w:t>）召集基金份额持有人大会；</w:t>
      </w:r>
    </w:p>
    <w:p w14:paraId="16E1AC10" w14:textId="77777777" w:rsidR="00D04107" w:rsidRDefault="000C2DB0">
      <w:pPr>
        <w:spacing w:line="360" w:lineRule="auto"/>
        <w:ind w:firstLineChars="200" w:firstLine="480"/>
        <w:rPr>
          <w:bCs/>
          <w:sz w:val="24"/>
        </w:rPr>
      </w:pPr>
      <w:r>
        <w:rPr>
          <w:bCs/>
          <w:sz w:val="24"/>
        </w:rPr>
        <w:t>（</w:t>
      </w:r>
      <w:r>
        <w:rPr>
          <w:bCs/>
          <w:sz w:val="24"/>
        </w:rPr>
        <w:t>6</w:t>
      </w:r>
      <w:r>
        <w:rPr>
          <w:bCs/>
          <w:sz w:val="24"/>
        </w:rPr>
        <w:t>）依据《基金合同》及有关法律规定监督基金托管人，如认为基金托管人违反了《基金合同》及国家有关法律规定，应呈报中国证监会和其他监管部门，并采取必要措施保护基金投资者的利益；</w:t>
      </w:r>
    </w:p>
    <w:p w14:paraId="6A92A9D1" w14:textId="77777777" w:rsidR="00D04107" w:rsidRDefault="000C2DB0">
      <w:pPr>
        <w:spacing w:line="360" w:lineRule="auto"/>
        <w:ind w:firstLineChars="200" w:firstLine="480"/>
        <w:rPr>
          <w:bCs/>
          <w:sz w:val="24"/>
        </w:rPr>
      </w:pPr>
      <w:r>
        <w:rPr>
          <w:bCs/>
          <w:sz w:val="24"/>
        </w:rPr>
        <w:t>（</w:t>
      </w:r>
      <w:r>
        <w:rPr>
          <w:bCs/>
          <w:sz w:val="24"/>
        </w:rPr>
        <w:t>7</w:t>
      </w:r>
      <w:r>
        <w:rPr>
          <w:bCs/>
          <w:sz w:val="24"/>
        </w:rPr>
        <w:t>）在基金托管人更换时，提名新的基金托管人；</w:t>
      </w:r>
    </w:p>
    <w:p w14:paraId="1789A61F" w14:textId="77777777" w:rsidR="00D04107" w:rsidRDefault="000C2DB0">
      <w:pPr>
        <w:spacing w:line="360" w:lineRule="auto"/>
        <w:ind w:firstLineChars="200" w:firstLine="480"/>
        <w:rPr>
          <w:bCs/>
          <w:sz w:val="24"/>
        </w:rPr>
      </w:pPr>
      <w:r>
        <w:rPr>
          <w:bCs/>
          <w:sz w:val="24"/>
        </w:rPr>
        <w:t>（</w:t>
      </w:r>
      <w:r>
        <w:rPr>
          <w:bCs/>
          <w:sz w:val="24"/>
        </w:rPr>
        <w:t>8</w:t>
      </w:r>
      <w:r>
        <w:rPr>
          <w:bCs/>
          <w:sz w:val="24"/>
        </w:rPr>
        <w:t>）选择、更换基金销售机构，对基金销售机构的相关行为进行监督和处理；</w:t>
      </w:r>
    </w:p>
    <w:p w14:paraId="16B6BC05" w14:textId="77777777" w:rsidR="00D04107" w:rsidRDefault="000C2DB0">
      <w:pPr>
        <w:spacing w:line="360" w:lineRule="auto"/>
        <w:ind w:firstLineChars="200" w:firstLine="480"/>
        <w:rPr>
          <w:bCs/>
          <w:sz w:val="24"/>
        </w:rPr>
      </w:pPr>
      <w:r>
        <w:rPr>
          <w:bCs/>
          <w:sz w:val="24"/>
        </w:rPr>
        <w:t>（</w:t>
      </w:r>
      <w:r>
        <w:rPr>
          <w:bCs/>
          <w:sz w:val="24"/>
        </w:rPr>
        <w:t>9</w:t>
      </w:r>
      <w:r>
        <w:rPr>
          <w:bCs/>
          <w:sz w:val="24"/>
        </w:rPr>
        <w:t>）担任或委托其他符合条件的机构担任基金登记机构办理基金登记业务并获得《基金合同》规定的费用；</w:t>
      </w:r>
    </w:p>
    <w:p w14:paraId="7B57CD9A" w14:textId="77777777" w:rsidR="00D04107" w:rsidRDefault="000C2DB0">
      <w:pPr>
        <w:spacing w:line="360" w:lineRule="auto"/>
        <w:ind w:firstLineChars="200" w:firstLine="480"/>
        <w:rPr>
          <w:bCs/>
          <w:sz w:val="24"/>
        </w:rPr>
      </w:pPr>
      <w:r>
        <w:rPr>
          <w:bCs/>
          <w:sz w:val="24"/>
        </w:rPr>
        <w:t>（</w:t>
      </w:r>
      <w:r>
        <w:rPr>
          <w:bCs/>
          <w:sz w:val="24"/>
        </w:rPr>
        <w:t>10</w:t>
      </w:r>
      <w:r>
        <w:rPr>
          <w:bCs/>
          <w:sz w:val="24"/>
        </w:rPr>
        <w:t>）依据《基金合同》及有关法律规定决定基金收益的分配方案；</w:t>
      </w:r>
      <w:r>
        <w:rPr>
          <w:bCs/>
          <w:sz w:val="24"/>
        </w:rPr>
        <w:tab/>
      </w:r>
    </w:p>
    <w:p w14:paraId="72777937" w14:textId="77777777" w:rsidR="00D04107" w:rsidRDefault="000C2DB0">
      <w:pPr>
        <w:spacing w:line="360" w:lineRule="auto"/>
        <w:ind w:firstLineChars="200" w:firstLine="480"/>
        <w:rPr>
          <w:bCs/>
          <w:sz w:val="24"/>
        </w:rPr>
      </w:pPr>
      <w:r>
        <w:rPr>
          <w:bCs/>
          <w:sz w:val="24"/>
        </w:rPr>
        <w:t>（</w:t>
      </w:r>
      <w:r>
        <w:rPr>
          <w:bCs/>
          <w:sz w:val="24"/>
        </w:rPr>
        <w:t>11</w:t>
      </w:r>
      <w:r>
        <w:rPr>
          <w:bCs/>
          <w:sz w:val="24"/>
        </w:rPr>
        <w:t>）在《基金合同》约定的范围内，拒绝或暂停受理申购与赎回申请；</w:t>
      </w:r>
    </w:p>
    <w:p w14:paraId="6C721EF3" w14:textId="77777777" w:rsidR="00D04107" w:rsidRDefault="000C2DB0">
      <w:pPr>
        <w:spacing w:line="360" w:lineRule="auto"/>
        <w:ind w:firstLineChars="200" w:firstLine="480"/>
        <w:rPr>
          <w:bCs/>
          <w:sz w:val="24"/>
        </w:rPr>
      </w:pPr>
      <w:r>
        <w:rPr>
          <w:bCs/>
          <w:sz w:val="24"/>
        </w:rPr>
        <w:t>（</w:t>
      </w:r>
      <w:r>
        <w:rPr>
          <w:bCs/>
          <w:sz w:val="24"/>
        </w:rPr>
        <w:t>12</w:t>
      </w:r>
      <w:r>
        <w:rPr>
          <w:bCs/>
          <w:sz w:val="24"/>
        </w:rPr>
        <w:t>）依照法律法规为基金的利益行使因基金财产投资于证券所产生的权利；</w:t>
      </w:r>
    </w:p>
    <w:p w14:paraId="711A46BC" w14:textId="77777777" w:rsidR="00D04107" w:rsidRDefault="000C2DB0">
      <w:pPr>
        <w:spacing w:line="360" w:lineRule="auto"/>
        <w:ind w:firstLineChars="200" w:firstLine="480"/>
        <w:rPr>
          <w:bCs/>
          <w:sz w:val="24"/>
        </w:rPr>
      </w:pPr>
      <w:r>
        <w:rPr>
          <w:bCs/>
          <w:sz w:val="24"/>
        </w:rPr>
        <w:t>（</w:t>
      </w:r>
      <w:r>
        <w:rPr>
          <w:bCs/>
          <w:sz w:val="24"/>
        </w:rPr>
        <w:t>13</w:t>
      </w:r>
      <w:r>
        <w:rPr>
          <w:bCs/>
          <w:sz w:val="24"/>
        </w:rPr>
        <w:t>）在法律法规允许的前提下，为基金的利益依法为基金进行融资；</w:t>
      </w:r>
    </w:p>
    <w:p w14:paraId="1818A13F" w14:textId="77777777" w:rsidR="00D04107" w:rsidRDefault="000C2DB0">
      <w:pPr>
        <w:spacing w:line="360" w:lineRule="auto"/>
        <w:ind w:firstLineChars="200" w:firstLine="480"/>
        <w:rPr>
          <w:bCs/>
          <w:sz w:val="24"/>
        </w:rPr>
      </w:pPr>
      <w:r>
        <w:rPr>
          <w:bCs/>
          <w:sz w:val="24"/>
        </w:rPr>
        <w:t>（</w:t>
      </w:r>
      <w:r>
        <w:rPr>
          <w:bCs/>
          <w:sz w:val="24"/>
        </w:rPr>
        <w:t>14</w:t>
      </w:r>
      <w:r>
        <w:rPr>
          <w:bCs/>
          <w:sz w:val="24"/>
        </w:rPr>
        <w:t>）以基金管理人的名义，代表基金份额持有人的利益行使诉讼权利或者实施其他法律行为；</w:t>
      </w:r>
      <w:r>
        <w:rPr>
          <w:bCs/>
          <w:sz w:val="24"/>
        </w:rPr>
        <w:tab/>
      </w:r>
    </w:p>
    <w:p w14:paraId="03EEA69D" w14:textId="77777777" w:rsidR="00D04107" w:rsidRDefault="000C2DB0">
      <w:pPr>
        <w:spacing w:line="360" w:lineRule="auto"/>
        <w:ind w:firstLineChars="200" w:firstLine="480"/>
        <w:rPr>
          <w:bCs/>
          <w:sz w:val="24"/>
        </w:rPr>
      </w:pPr>
      <w:r>
        <w:rPr>
          <w:bCs/>
          <w:sz w:val="24"/>
        </w:rPr>
        <w:t>（</w:t>
      </w:r>
      <w:r>
        <w:rPr>
          <w:bCs/>
          <w:sz w:val="24"/>
        </w:rPr>
        <w:t>15</w:t>
      </w:r>
      <w:r>
        <w:rPr>
          <w:bCs/>
          <w:sz w:val="24"/>
        </w:rPr>
        <w:t>）选择、更换律师事务所、会计师事务所、证券经纪商或其他为基金提供服务的外部机构；</w:t>
      </w:r>
      <w:r>
        <w:rPr>
          <w:bCs/>
          <w:sz w:val="24"/>
        </w:rPr>
        <w:tab/>
      </w:r>
    </w:p>
    <w:p w14:paraId="757A7567" w14:textId="77777777" w:rsidR="00D04107" w:rsidRDefault="000C2DB0">
      <w:pPr>
        <w:spacing w:line="360" w:lineRule="auto"/>
        <w:ind w:firstLineChars="200" w:firstLine="480"/>
        <w:rPr>
          <w:bCs/>
          <w:sz w:val="24"/>
        </w:rPr>
      </w:pPr>
      <w:r>
        <w:rPr>
          <w:bCs/>
          <w:sz w:val="24"/>
        </w:rPr>
        <w:lastRenderedPageBreak/>
        <w:t>（</w:t>
      </w:r>
      <w:r>
        <w:rPr>
          <w:bCs/>
          <w:sz w:val="24"/>
        </w:rPr>
        <w:t>16</w:t>
      </w:r>
      <w:r>
        <w:rPr>
          <w:bCs/>
          <w:sz w:val="24"/>
        </w:rPr>
        <w:t>）在符合有关法律、法规的前提下，制订和调整有关基金认购、申购、赎回、转换和非交易过户</w:t>
      </w:r>
      <w:r>
        <w:rPr>
          <w:rFonts w:hint="eastAsia"/>
          <w:bCs/>
          <w:sz w:val="24"/>
        </w:rPr>
        <w:t>等</w:t>
      </w:r>
      <w:r>
        <w:rPr>
          <w:bCs/>
          <w:sz w:val="24"/>
        </w:rPr>
        <w:t>业务规则；</w:t>
      </w:r>
    </w:p>
    <w:p w14:paraId="75F6DC3D" w14:textId="77777777" w:rsidR="00D04107" w:rsidRDefault="000C2DB0">
      <w:pPr>
        <w:spacing w:line="360" w:lineRule="auto"/>
        <w:ind w:firstLineChars="200" w:firstLine="480"/>
        <w:rPr>
          <w:bCs/>
          <w:sz w:val="24"/>
        </w:rPr>
      </w:pPr>
      <w:r>
        <w:rPr>
          <w:bCs/>
          <w:sz w:val="24"/>
        </w:rPr>
        <w:t>（</w:t>
      </w:r>
      <w:r>
        <w:rPr>
          <w:bCs/>
          <w:sz w:val="24"/>
        </w:rPr>
        <w:t>17</w:t>
      </w:r>
      <w:r>
        <w:rPr>
          <w:bCs/>
          <w:sz w:val="24"/>
        </w:rPr>
        <w:t>）法律法规及中国证监会规定的和《基金合同》约定的其他权利。</w:t>
      </w:r>
    </w:p>
    <w:p w14:paraId="1A6BF8B0" w14:textId="77777777" w:rsidR="00D04107" w:rsidRDefault="000C2DB0">
      <w:pPr>
        <w:spacing w:line="440" w:lineRule="atLeast"/>
        <w:ind w:firstLineChars="200" w:firstLine="480"/>
        <w:rPr>
          <w:bCs/>
          <w:sz w:val="24"/>
        </w:rPr>
      </w:pPr>
      <w:r>
        <w:rPr>
          <w:bCs/>
          <w:sz w:val="24"/>
        </w:rPr>
        <w:t>2</w:t>
      </w:r>
      <w:r>
        <w:rPr>
          <w:bCs/>
          <w:sz w:val="24"/>
        </w:rPr>
        <w:t>、根据《基金法》、《运作办法》及其他有关规定，基金管理人的义务包括但不限于：</w:t>
      </w:r>
    </w:p>
    <w:p w14:paraId="3B303A66" w14:textId="77777777" w:rsidR="00D04107" w:rsidRDefault="000C2DB0">
      <w:pPr>
        <w:spacing w:line="440" w:lineRule="atLeast"/>
        <w:ind w:firstLineChars="200" w:firstLine="480"/>
        <w:rPr>
          <w:bCs/>
          <w:sz w:val="24"/>
        </w:rPr>
      </w:pPr>
      <w:r>
        <w:rPr>
          <w:bCs/>
          <w:sz w:val="24"/>
        </w:rPr>
        <w:t>（</w:t>
      </w:r>
      <w:r>
        <w:rPr>
          <w:bCs/>
          <w:sz w:val="24"/>
        </w:rPr>
        <w:t>1</w:t>
      </w:r>
      <w:r>
        <w:rPr>
          <w:bCs/>
          <w:sz w:val="24"/>
        </w:rPr>
        <w:t>）依法募集</w:t>
      </w:r>
      <w:r>
        <w:rPr>
          <w:rFonts w:hint="eastAsia"/>
          <w:bCs/>
          <w:sz w:val="24"/>
        </w:rPr>
        <w:t>资金</w:t>
      </w:r>
      <w:r>
        <w:rPr>
          <w:bCs/>
          <w:sz w:val="24"/>
        </w:rPr>
        <w:t>，办理基金份额的发售和登记事宜；</w:t>
      </w:r>
    </w:p>
    <w:p w14:paraId="443D3951" w14:textId="77777777" w:rsidR="00D04107" w:rsidRDefault="000C2DB0">
      <w:pPr>
        <w:spacing w:line="440" w:lineRule="atLeast"/>
        <w:ind w:firstLineChars="200" w:firstLine="480"/>
        <w:rPr>
          <w:bCs/>
          <w:sz w:val="24"/>
        </w:rPr>
      </w:pPr>
      <w:r>
        <w:rPr>
          <w:bCs/>
          <w:sz w:val="24"/>
        </w:rPr>
        <w:t>（</w:t>
      </w:r>
      <w:r>
        <w:rPr>
          <w:bCs/>
          <w:sz w:val="24"/>
        </w:rPr>
        <w:t>2</w:t>
      </w:r>
      <w:r>
        <w:rPr>
          <w:bCs/>
          <w:sz w:val="24"/>
        </w:rPr>
        <w:t>）办理基金备案手续；</w:t>
      </w:r>
    </w:p>
    <w:p w14:paraId="7BCC9F3B" w14:textId="77777777" w:rsidR="00D04107" w:rsidRDefault="000C2DB0">
      <w:pPr>
        <w:spacing w:line="440" w:lineRule="atLeast"/>
        <w:ind w:firstLineChars="200" w:firstLine="480"/>
        <w:rPr>
          <w:bCs/>
          <w:sz w:val="24"/>
        </w:rPr>
      </w:pPr>
      <w:r>
        <w:rPr>
          <w:bCs/>
          <w:sz w:val="24"/>
        </w:rPr>
        <w:t>（</w:t>
      </w:r>
      <w:r>
        <w:rPr>
          <w:bCs/>
          <w:sz w:val="24"/>
        </w:rPr>
        <w:t>3</w:t>
      </w:r>
      <w:r>
        <w:rPr>
          <w:bCs/>
          <w:sz w:val="24"/>
        </w:rPr>
        <w:t>）自《基金合同》生效之日起</w:t>
      </w:r>
      <w:r>
        <w:rPr>
          <w:rFonts w:hint="eastAsia"/>
          <w:bCs/>
          <w:sz w:val="24"/>
        </w:rPr>
        <w:t>，</w:t>
      </w:r>
      <w:r>
        <w:rPr>
          <w:bCs/>
          <w:sz w:val="24"/>
        </w:rPr>
        <w:t>以诚实信用、谨慎勤勉的原则管理和运用基金财产；</w:t>
      </w:r>
    </w:p>
    <w:p w14:paraId="74058D39" w14:textId="77777777" w:rsidR="00D04107" w:rsidRDefault="000C2DB0">
      <w:pPr>
        <w:spacing w:line="440" w:lineRule="atLeast"/>
        <w:ind w:firstLineChars="200" w:firstLine="480"/>
        <w:rPr>
          <w:bCs/>
          <w:sz w:val="24"/>
        </w:rPr>
      </w:pPr>
      <w:r>
        <w:rPr>
          <w:bCs/>
          <w:sz w:val="24"/>
        </w:rPr>
        <w:t>（</w:t>
      </w:r>
      <w:r>
        <w:rPr>
          <w:bCs/>
          <w:sz w:val="24"/>
        </w:rPr>
        <w:t>4</w:t>
      </w:r>
      <w:r>
        <w:rPr>
          <w:bCs/>
          <w:sz w:val="24"/>
        </w:rPr>
        <w:t>）配备足够的具有专业资格的人员进行基金投资分析、决策，以专业化的经营方式管理和运作基金财产；</w:t>
      </w:r>
    </w:p>
    <w:p w14:paraId="1407A80A" w14:textId="77777777" w:rsidR="00D04107" w:rsidRDefault="000C2DB0">
      <w:pPr>
        <w:spacing w:line="440" w:lineRule="atLeast"/>
        <w:ind w:firstLineChars="200" w:firstLine="480"/>
        <w:rPr>
          <w:bCs/>
          <w:sz w:val="24"/>
        </w:rPr>
      </w:pPr>
      <w:r>
        <w:rPr>
          <w:bCs/>
          <w:sz w:val="24"/>
        </w:rPr>
        <w:t>（</w:t>
      </w:r>
      <w:r>
        <w:rPr>
          <w:bCs/>
          <w:sz w:val="24"/>
        </w:rPr>
        <w:t>5</w:t>
      </w:r>
      <w:r>
        <w:rPr>
          <w:bCs/>
          <w:sz w:val="24"/>
        </w:rPr>
        <w:t>）建立健全内部风险控制、监察与稽核、财务管理及人事管理等制度，保证所管理的基金财产和基金管理人的财产相互独立</w:t>
      </w:r>
      <w:r>
        <w:rPr>
          <w:rFonts w:hint="eastAsia"/>
          <w:bCs/>
          <w:sz w:val="24"/>
        </w:rPr>
        <w:t>，</w:t>
      </w:r>
      <w:r>
        <w:rPr>
          <w:bCs/>
          <w:sz w:val="24"/>
        </w:rPr>
        <w:t>对所管理的不同基金分别管理，分别记账，进行证券投资；</w:t>
      </w:r>
    </w:p>
    <w:p w14:paraId="04C64381" w14:textId="77777777" w:rsidR="00D04107" w:rsidRDefault="000C2DB0">
      <w:pPr>
        <w:spacing w:line="440" w:lineRule="atLeast"/>
        <w:ind w:firstLineChars="200" w:firstLine="480"/>
        <w:rPr>
          <w:bCs/>
          <w:sz w:val="24"/>
        </w:rPr>
      </w:pPr>
      <w:r>
        <w:rPr>
          <w:bCs/>
          <w:sz w:val="24"/>
        </w:rPr>
        <w:t>（</w:t>
      </w:r>
      <w:r>
        <w:rPr>
          <w:bCs/>
          <w:sz w:val="24"/>
        </w:rPr>
        <w:t>6</w:t>
      </w:r>
      <w:r>
        <w:rPr>
          <w:bCs/>
          <w:sz w:val="24"/>
        </w:rPr>
        <w:t>）除依据《基金法》、《基金合同》及其他有关规定外</w:t>
      </w:r>
      <w:r>
        <w:rPr>
          <w:rFonts w:hint="eastAsia"/>
          <w:bCs/>
          <w:sz w:val="24"/>
        </w:rPr>
        <w:t>，</w:t>
      </w:r>
      <w:r>
        <w:rPr>
          <w:bCs/>
          <w:sz w:val="24"/>
        </w:rPr>
        <w:t>不得利用基金财产为自己及任何第三人谋取利益，不得委托第三人运作基金财产；</w:t>
      </w:r>
    </w:p>
    <w:p w14:paraId="4518645C" w14:textId="77777777" w:rsidR="00D04107" w:rsidRDefault="000C2DB0">
      <w:pPr>
        <w:spacing w:line="440" w:lineRule="atLeast"/>
        <w:ind w:firstLineChars="200" w:firstLine="480"/>
        <w:rPr>
          <w:bCs/>
          <w:sz w:val="24"/>
        </w:rPr>
      </w:pPr>
      <w:r>
        <w:rPr>
          <w:bCs/>
          <w:sz w:val="24"/>
        </w:rPr>
        <w:t>（</w:t>
      </w:r>
      <w:r>
        <w:rPr>
          <w:bCs/>
          <w:sz w:val="24"/>
        </w:rPr>
        <w:t>7</w:t>
      </w:r>
      <w:r>
        <w:rPr>
          <w:bCs/>
          <w:sz w:val="24"/>
        </w:rPr>
        <w:t>）依法接受基金托管人的监督；</w:t>
      </w:r>
    </w:p>
    <w:p w14:paraId="53CEF59D" w14:textId="77777777" w:rsidR="00D04107" w:rsidRDefault="000C2DB0">
      <w:pPr>
        <w:spacing w:line="440" w:lineRule="atLeast"/>
        <w:ind w:firstLineChars="200" w:firstLine="480"/>
        <w:rPr>
          <w:bCs/>
          <w:sz w:val="24"/>
        </w:rPr>
      </w:pPr>
      <w:r>
        <w:rPr>
          <w:bCs/>
          <w:sz w:val="24"/>
        </w:rPr>
        <w:t>（</w:t>
      </w:r>
      <w:r>
        <w:rPr>
          <w:bCs/>
          <w:sz w:val="24"/>
        </w:rPr>
        <w:t>8</w:t>
      </w:r>
      <w:r>
        <w:rPr>
          <w:bCs/>
          <w:sz w:val="24"/>
        </w:rPr>
        <w:t>）采取适当合理的措施使计算基金份额认购、申购、赎回和注销价格的方法符合《基金合同》等法律文件的规定，按有关规定计算并公告基金资产净值、各类基金份额的每万份基金已实现收益和</w:t>
      </w:r>
      <w:r>
        <w:rPr>
          <w:bCs/>
          <w:sz w:val="24"/>
        </w:rPr>
        <w:t>7</w:t>
      </w:r>
      <w:r>
        <w:rPr>
          <w:bCs/>
          <w:sz w:val="24"/>
        </w:rPr>
        <w:t>日年化收益率；</w:t>
      </w:r>
    </w:p>
    <w:p w14:paraId="45B159DB" w14:textId="77777777" w:rsidR="00D04107" w:rsidRDefault="000C2DB0">
      <w:pPr>
        <w:spacing w:line="440" w:lineRule="atLeast"/>
        <w:ind w:firstLineChars="200" w:firstLine="480"/>
        <w:rPr>
          <w:bCs/>
          <w:sz w:val="24"/>
        </w:rPr>
      </w:pPr>
      <w:r>
        <w:rPr>
          <w:bCs/>
          <w:sz w:val="24"/>
        </w:rPr>
        <w:t>（</w:t>
      </w:r>
      <w:r>
        <w:rPr>
          <w:bCs/>
          <w:sz w:val="24"/>
        </w:rPr>
        <w:t>9</w:t>
      </w:r>
      <w:r>
        <w:rPr>
          <w:bCs/>
          <w:sz w:val="24"/>
        </w:rPr>
        <w:t>）进行基金会计核算并编制基金财务会计报告；</w:t>
      </w:r>
    </w:p>
    <w:p w14:paraId="3FD10DE3" w14:textId="77777777" w:rsidR="00D04107" w:rsidRDefault="000C2DB0">
      <w:pPr>
        <w:spacing w:line="440" w:lineRule="atLeast"/>
        <w:ind w:firstLineChars="200" w:firstLine="480"/>
        <w:rPr>
          <w:bCs/>
          <w:sz w:val="24"/>
        </w:rPr>
      </w:pPr>
      <w:r>
        <w:rPr>
          <w:bCs/>
          <w:sz w:val="24"/>
        </w:rPr>
        <w:t>（</w:t>
      </w:r>
      <w:r>
        <w:rPr>
          <w:bCs/>
          <w:sz w:val="24"/>
        </w:rPr>
        <w:t>10</w:t>
      </w:r>
      <w:r>
        <w:rPr>
          <w:bCs/>
          <w:sz w:val="24"/>
        </w:rPr>
        <w:t>）编制季度、半年度和年度基金报告；</w:t>
      </w:r>
    </w:p>
    <w:p w14:paraId="520E8372" w14:textId="77777777" w:rsidR="00D04107" w:rsidRDefault="000C2DB0">
      <w:pPr>
        <w:spacing w:line="440" w:lineRule="atLeast"/>
        <w:ind w:firstLineChars="200" w:firstLine="480"/>
        <w:rPr>
          <w:bCs/>
          <w:sz w:val="24"/>
        </w:rPr>
      </w:pPr>
      <w:r>
        <w:rPr>
          <w:bCs/>
          <w:sz w:val="24"/>
        </w:rPr>
        <w:t>（</w:t>
      </w:r>
      <w:r>
        <w:rPr>
          <w:bCs/>
          <w:sz w:val="24"/>
        </w:rPr>
        <w:t>11</w:t>
      </w:r>
      <w:r>
        <w:rPr>
          <w:bCs/>
          <w:sz w:val="24"/>
        </w:rPr>
        <w:t>）严格按照《基金法》、《基金合同》及其他有关规定，履行信息披露及报告义务；</w:t>
      </w:r>
    </w:p>
    <w:p w14:paraId="11D59F48" w14:textId="77777777" w:rsidR="00D04107" w:rsidRDefault="000C2DB0">
      <w:pPr>
        <w:spacing w:line="440" w:lineRule="atLeast"/>
        <w:ind w:firstLineChars="200" w:firstLine="480"/>
        <w:rPr>
          <w:bCs/>
          <w:sz w:val="24"/>
        </w:rPr>
      </w:pPr>
      <w:r>
        <w:rPr>
          <w:bCs/>
          <w:sz w:val="24"/>
        </w:rPr>
        <w:t>（</w:t>
      </w:r>
      <w:r>
        <w:rPr>
          <w:bCs/>
          <w:sz w:val="24"/>
        </w:rPr>
        <w:t>12</w:t>
      </w:r>
      <w:r>
        <w:rPr>
          <w:bCs/>
          <w:sz w:val="24"/>
        </w:rPr>
        <w:t>）保守基金商业秘密，不泄露基金投资计划、投资意向等。除《基金法》、《基金合同》及其他有关规定另有规定外，在基金信息公开披露前应予保密，不向他人泄露；</w:t>
      </w:r>
    </w:p>
    <w:p w14:paraId="4B4C5217" w14:textId="77777777" w:rsidR="00D04107" w:rsidRDefault="000C2DB0">
      <w:pPr>
        <w:spacing w:line="440" w:lineRule="atLeast"/>
        <w:ind w:firstLineChars="200" w:firstLine="480"/>
        <w:rPr>
          <w:bCs/>
          <w:sz w:val="24"/>
        </w:rPr>
      </w:pPr>
      <w:r>
        <w:rPr>
          <w:bCs/>
          <w:sz w:val="24"/>
        </w:rPr>
        <w:t>（</w:t>
      </w:r>
      <w:r>
        <w:rPr>
          <w:bCs/>
          <w:sz w:val="24"/>
        </w:rPr>
        <w:t>13</w:t>
      </w:r>
      <w:r>
        <w:rPr>
          <w:bCs/>
          <w:sz w:val="24"/>
        </w:rPr>
        <w:t>）按《基金合同》的约定确定基金收益分配方案，及时向基金份额持有人分配基金收益；</w:t>
      </w:r>
    </w:p>
    <w:p w14:paraId="49F61A64" w14:textId="77777777" w:rsidR="00D04107" w:rsidRDefault="000C2DB0">
      <w:pPr>
        <w:spacing w:line="360" w:lineRule="auto"/>
        <w:ind w:firstLineChars="200" w:firstLine="480"/>
        <w:rPr>
          <w:bCs/>
          <w:sz w:val="24"/>
        </w:rPr>
      </w:pPr>
      <w:r>
        <w:rPr>
          <w:bCs/>
          <w:sz w:val="24"/>
        </w:rPr>
        <w:lastRenderedPageBreak/>
        <w:t>（</w:t>
      </w:r>
      <w:r>
        <w:rPr>
          <w:bCs/>
          <w:sz w:val="24"/>
        </w:rPr>
        <w:t>14</w:t>
      </w:r>
      <w:r>
        <w:rPr>
          <w:bCs/>
          <w:sz w:val="24"/>
        </w:rPr>
        <w:t>）按规定受理申购与赎回申请，及时、足额支付赎回款项；</w:t>
      </w:r>
    </w:p>
    <w:p w14:paraId="015F4699"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）依据《基金法》、《基金合同》及其他有关规定召集基金份额持有人大会或配合基金托管人、基金份额持有人依法召集基金份额持有人大会；</w:t>
      </w:r>
    </w:p>
    <w:p w14:paraId="3F240E02" w14:textId="77777777" w:rsidR="00D04107" w:rsidRDefault="000C2DB0">
      <w:pPr>
        <w:spacing w:line="360" w:lineRule="auto"/>
        <w:ind w:firstLineChars="200" w:firstLine="480"/>
        <w:rPr>
          <w:bCs/>
          <w:sz w:val="24"/>
        </w:rPr>
      </w:pPr>
      <w:r>
        <w:rPr>
          <w:bCs/>
          <w:sz w:val="24"/>
        </w:rPr>
        <w:t>（</w:t>
      </w:r>
      <w:r>
        <w:rPr>
          <w:bCs/>
          <w:sz w:val="24"/>
        </w:rPr>
        <w:t>16</w:t>
      </w:r>
      <w:r>
        <w:rPr>
          <w:bCs/>
          <w:sz w:val="24"/>
        </w:rPr>
        <w:t>）按规定保存基金财产管理业务活动的会计账册、报表、记录和其他相关资料</w:t>
      </w:r>
      <w:r>
        <w:rPr>
          <w:bCs/>
          <w:sz w:val="24"/>
        </w:rPr>
        <w:t>15</w:t>
      </w:r>
      <w:r>
        <w:rPr>
          <w:bCs/>
          <w:sz w:val="24"/>
        </w:rPr>
        <w:t>年以上；</w:t>
      </w:r>
    </w:p>
    <w:p w14:paraId="653A45EE" w14:textId="77777777" w:rsidR="00D04107" w:rsidRDefault="000C2DB0">
      <w:pPr>
        <w:spacing w:line="360" w:lineRule="auto"/>
        <w:ind w:firstLineChars="200" w:firstLine="480"/>
        <w:rPr>
          <w:bCs/>
          <w:sz w:val="24"/>
        </w:rPr>
      </w:pPr>
      <w:r>
        <w:rPr>
          <w:bCs/>
          <w:sz w:val="24"/>
        </w:rPr>
        <w:t>（</w:t>
      </w:r>
      <w:r>
        <w:rPr>
          <w:bCs/>
          <w:sz w:val="24"/>
        </w:rPr>
        <w:t>17</w:t>
      </w:r>
      <w:r>
        <w:rPr>
          <w:bCs/>
          <w:sz w:val="24"/>
        </w:rPr>
        <w:t>）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0799B3A6" w14:textId="77777777" w:rsidR="00D04107" w:rsidRDefault="000C2DB0">
      <w:pPr>
        <w:spacing w:line="360" w:lineRule="auto"/>
        <w:ind w:firstLineChars="200" w:firstLine="480"/>
        <w:rPr>
          <w:bCs/>
          <w:sz w:val="24"/>
        </w:rPr>
      </w:pPr>
      <w:r>
        <w:rPr>
          <w:bCs/>
          <w:sz w:val="24"/>
        </w:rPr>
        <w:t>（</w:t>
      </w:r>
      <w:r>
        <w:rPr>
          <w:bCs/>
          <w:sz w:val="24"/>
        </w:rPr>
        <w:t>18</w:t>
      </w:r>
      <w:r>
        <w:rPr>
          <w:bCs/>
          <w:sz w:val="24"/>
        </w:rPr>
        <w:t>）组织并参加基金财产清算小组</w:t>
      </w:r>
      <w:r>
        <w:rPr>
          <w:rFonts w:hint="eastAsia"/>
          <w:bCs/>
          <w:sz w:val="24"/>
        </w:rPr>
        <w:t>，</w:t>
      </w:r>
      <w:r>
        <w:rPr>
          <w:bCs/>
          <w:sz w:val="24"/>
        </w:rPr>
        <w:t>参与基金财产的保管、清理、估价、变现和分配；</w:t>
      </w:r>
    </w:p>
    <w:p w14:paraId="2E8DA845" w14:textId="77777777" w:rsidR="00D04107" w:rsidRDefault="000C2DB0">
      <w:pPr>
        <w:spacing w:line="360" w:lineRule="auto"/>
        <w:ind w:firstLineChars="200" w:firstLine="480"/>
        <w:rPr>
          <w:bCs/>
          <w:sz w:val="24"/>
        </w:rPr>
      </w:pPr>
      <w:r>
        <w:rPr>
          <w:bCs/>
          <w:sz w:val="24"/>
        </w:rPr>
        <w:t>（</w:t>
      </w:r>
      <w:r>
        <w:rPr>
          <w:bCs/>
          <w:sz w:val="24"/>
        </w:rPr>
        <w:t>19</w:t>
      </w:r>
      <w:r>
        <w:rPr>
          <w:bCs/>
          <w:sz w:val="24"/>
        </w:rPr>
        <w:t>）面临解散、依法被撤销或者被依法宣告破产时，及时报告中国证监会并通知基金托管人；</w:t>
      </w:r>
    </w:p>
    <w:p w14:paraId="0B7D250E" w14:textId="77777777" w:rsidR="00D04107" w:rsidRDefault="000C2DB0">
      <w:pPr>
        <w:spacing w:line="360" w:lineRule="auto"/>
        <w:ind w:firstLineChars="200" w:firstLine="480"/>
        <w:rPr>
          <w:bCs/>
          <w:sz w:val="24"/>
        </w:rPr>
      </w:pPr>
      <w:r>
        <w:rPr>
          <w:bCs/>
          <w:sz w:val="24"/>
        </w:rPr>
        <w:t>（</w:t>
      </w:r>
      <w:r>
        <w:rPr>
          <w:bCs/>
          <w:sz w:val="24"/>
        </w:rPr>
        <w:t>20</w:t>
      </w:r>
      <w:r>
        <w:rPr>
          <w:bCs/>
          <w:sz w:val="24"/>
        </w:rPr>
        <w:t>）因违反《基金合同》导致基金财产的损失或损害基金份额持有人合法权益时，应当承担赔偿责任，其赔偿责任不因其退任而免除；</w:t>
      </w:r>
    </w:p>
    <w:p w14:paraId="5B033039" w14:textId="77777777" w:rsidR="00D04107" w:rsidRDefault="000C2DB0">
      <w:pPr>
        <w:spacing w:line="360" w:lineRule="auto"/>
        <w:ind w:firstLineChars="200" w:firstLine="480"/>
        <w:rPr>
          <w:bCs/>
          <w:sz w:val="24"/>
        </w:rPr>
      </w:pPr>
      <w:r>
        <w:rPr>
          <w:bCs/>
          <w:sz w:val="24"/>
        </w:rPr>
        <w:t>（</w:t>
      </w:r>
      <w:r>
        <w:rPr>
          <w:bCs/>
          <w:sz w:val="24"/>
        </w:rPr>
        <w:t>21</w:t>
      </w:r>
      <w:r>
        <w:rPr>
          <w:bCs/>
          <w:sz w:val="24"/>
        </w:rPr>
        <w:t>）监督基金托管人按法律法规和《基金合同》规定履行自己的义务，基金托管人违反《基金合同》造成基金财产损失时，基金管理人应为基金份额持有人利益向基金托管人追偿；</w:t>
      </w:r>
    </w:p>
    <w:p w14:paraId="245DE602" w14:textId="77777777" w:rsidR="00D04107" w:rsidRDefault="000C2DB0">
      <w:pPr>
        <w:spacing w:line="360" w:lineRule="auto"/>
        <w:ind w:firstLineChars="200" w:firstLine="480"/>
        <w:rPr>
          <w:bCs/>
          <w:sz w:val="24"/>
        </w:rPr>
      </w:pPr>
      <w:r>
        <w:rPr>
          <w:bCs/>
          <w:sz w:val="24"/>
        </w:rPr>
        <w:t>（</w:t>
      </w:r>
      <w:r>
        <w:rPr>
          <w:bCs/>
          <w:sz w:val="24"/>
        </w:rPr>
        <w:t>22</w:t>
      </w:r>
      <w:r>
        <w:rPr>
          <w:bCs/>
          <w:sz w:val="24"/>
        </w:rPr>
        <w:t>）当基金管理人将其义务委托第三方处理时，应当对第三方处理有关基金事务的行为承担责任；</w:t>
      </w:r>
    </w:p>
    <w:p w14:paraId="414D9266" w14:textId="77777777" w:rsidR="00D04107" w:rsidRDefault="000C2DB0">
      <w:pPr>
        <w:spacing w:line="360" w:lineRule="auto"/>
        <w:ind w:firstLineChars="200" w:firstLine="480"/>
        <w:rPr>
          <w:bCs/>
          <w:sz w:val="24"/>
        </w:rPr>
      </w:pPr>
      <w:r>
        <w:rPr>
          <w:bCs/>
          <w:sz w:val="24"/>
        </w:rPr>
        <w:t>（</w:t>
      </w:r>
      <w:r>
        <w:rPr>
          <w:bCs/>
          <w:sz w:val="24"/>
        </w:rPr>
        <w:t>23</w:t>
      </w:r>
      <w:r>
        <w:rPr>
          <w:bCs/>
          <w:sz w:val="24"/>
        </w:rPr>
        <w:t>）以基金管理人名义，代表基金份额持有人利益行使诉讼权利或实施其他法律行为；</w:t>
      </w:r>
      <w:r>
        <w:rPr>
          <w:bCs/>
          <w:sz w:val="24"/>
        </w:rPr>
        <w:tab/>
      </w:r>
    </w:p>
    <w:p w14:paraId="57F62B52" w14:textId="77777777" w:rsidR="00D04107" w:rsidRDefault="000C2DB0">
      <w:pPr>
        <w:spacing w:line="360" w:lineRule="auto"/>
        <w:ind w:firstLineChars="200" w:firstLine="480"/>
        <w:rPr>
          <w:bCs/>
          <w:sz w:val="24"/>
        </w:rPr>
      </w:pPr>
      <w:r>
        <w:rPr>
          <w:bCs/>
          <w:sz w:val="24"/>
        </w:rPr>
        <w:t>（</w:t>
      </w:r>
      <w:r>
        <w:rPr>
          <w:bCs/>
          <w:sz w:val="24"/>
        </w:rPr>
        <w:t>24</w:t>
      </w:r>
      <w:r>
        <w:rPr>
          <w:bCs/>
          <w:sz w:val="24"/>
        </w:rPr>
        <w:t>）基金管理人在募集期间未能达到基金的备案条件，《基金合同》不能生效，基金管理人承担全部募集费用，将已募集资金并加计银行同期</w:t>
      </w:r>
      <w:r>
        <w:rPr>
          <w:rFonts w:hint="eastAsia"/>
          <w:bCs/>
          <w:sz w:val="24"/>
        </w:rPr>
        <w:t>活期</w:t>
      </w:r>
      <w:r>
        <w:rPr>
          <w:bCs/>
          <w:sz w:val="24"/>
        </w:rPr>
        <w:t>存款利息在基金募集期结束后</w:t>
      </w:r>
      <w:r>
        <w:rPr>
          <w:bCs/>
          <w:sz w:val="24"/>
        </w:rPr>
        <w:t>30</w:t>
      </w:r>
      <w:r>
        <w:rPr>
          <w:bCs/>
          <w:sz w:val="24"/>
        </w:rPr>
        <w:t>日内退还基金认购人；</w:t>
      </w:r>
    </w:p>
    <w:p w14:paraId="19E8C195" w14:textId="77777777" w:rsidR="00D04107" w:rsidRDefault="000C2DB0">
      <w:pPr>
        <w:spacing w:line="360" w:lineRule="auto"/>
        <w:ind w:firstLineChars="200" w:firstLine="480"/>
        <w:rPr>
          <w:bCs/>
          <w:sz w:val="24"/>
        </w:rPr>
      </w:pPr>
      <w:r>
        <w:rPr>
          <w:bCs/>
          <w:sz w:val="24"/>
        </w:rPr>
        <w:t>（</w:t>
      </w:r>
      <w:r>
        <w:rPr>
          <w:bCs/>
          <w:sz w:val="24"/>
        </w:rPr>
        <w:t>25</w:t>
      </w:r>
      <w:r>
        <w:rPr>
          <w:bCs/>
          <w:sz w:val="24"/>
        </w:rPr>
        <w:t>）执行生效的基金份额持有人大会的</w:t>
      </w:r>
      <w:r>
        <w:rPr>
          <w:rFonts w:hint="eastAsia"/>
          <w:bCs/>
          <w:sz w:val="24"/>
        </w:rPr>
        <w:t>决议</w:t>
      </w:r>
      <w:r>
        <w:rPr>
          <w:bCs/>
          <w:sz w:val="24"/>
        </w:rPr>
        <w:t>；</w:t>
      </w:r>
    </w:p>
    <w:p w14:paraId="11572DF9" w14:textId="77777777" w:rsidR="00D04107" w:rsidRDefault="000C2DB0">
      <w:pPr>
        <w:spacing w:line="360" w:lineRule="auto"/>
        <w:ind w:firstLineChars="200" w:firstLine="480"/>
        <w:rPr>
          <w:bCs/>
          <w:sz w:val="24"/>
        </w:rPr>
      </w:pPr>
      <w:r>
        <w:rPr>
          <w:bCs/>
          <w:sz w:val="24"/>
        </w:rPr>
        <w:t>（</w:t>
      </w:r>
      <w:r>
        <w:rPr>
          <w:bCs/>
          <w:sz w:val="24"/>
        </w:rPr>
        <w:t>26</w:t>
      </w:r>
      <w:r>
        <w:rPr>
          <w:bCs/>
          <w:sz w:val="24"/>
        </w:rPr>
        <w:t>）建立并保存基金份额持有人名册；</w:t>
      </w:r>
    </w:p>
    <w:p w14:paraId="588B6FD0" w14:textId="77777777" w:rsidR="00D04107" w:rsidRDefault="000C2DB0" w:rsidP="002116B7">
      <w:pPr>
        <w:spacing w:line="360" w:lineRule="auto"/>
        <w:ind w:firstLineChars="200" w:firstLine="480"/>
        <w:rPr>
          <w:bCs/>
          <w:sz w:val="24"/>
        </w:rPr>
      </w:pPr>
      <w:r>
        <w:rPr>
          <w:bCs/>
          <w:sz w:val="24"/>
        </w:rPr>
        <w:t>（</w:t>
      </w:r>
      <w:r>
        <w:rPr>
          <w:bCs/>
          <w:sz w:val="24"/>
        </w:rPr>
        <w:t>27</w:t>
      </w:r>
      <w:r>
        <w:rPr>
          <w:bCs/>
          <w:sz w:val="24"/>
        </w:rPr>
        <w:t>）法律法规及中国证监会规定的和《基金合同》约定的其他义务。</w:t>
      </w:r>
    </w:p>
    <w:p w14:paraId="784D6DE7" w14:textId="77777777" w:rsidR="00D04107" w:rsidRDefault="000C2DB0">
      <w:pPr>
        <w:spacing w:line="360" w:lineRule="auto"/>
        <w:ind w:firstLineChars="200" w:firstLine="480"/>
        <w:rPr>
          <w:bCs/>
          <w:sz w:val="24"/>
        </w:rPr>
      </w:pPr>
      <w:r>
        <w:rPr>
          <w:rFonts w:hint="eastAsia"/>
          <w:bCs/>
          <w:sz w:val="24"/>
        </w:rPr>
        <w:t>二、</w:t>
      </w:r>
      <w:r>
        <w:rPr>
          <w:bCs/>
          <w:sz w:val="24"/>
        </w:rPr>
        <w:t>基金托管人的权利与义务</w:t>
      </w:r>
    </w:p>
    <w:p w14:paraId="4D7E33F9" w14:textId="77777777" w:rsidR="00D04107" w:rsidRDefault="000C2DB0">
      <w:pPr>
        <w:spacing w:line="360" w:lineRule="auto"/>
        <w:ind w:firstLineChars="200" w:firstLine="480"/>
        <w:rPr>
          <w:bCs/>
          <w:sz w:val="24"/>
        </w:rPr>
      </w:pPr>
      <w:r>
        <w:rPr>
          <w:bCs/>
          <w:sz w:val="24"/>
        </w:rPr>
        <w:lastRenderedPageBreak/>
        <w:t>1</w:t>
      </w:r>
      <w:r>
        <w:rPr>
          <w:bCs/>
          <w:sz w:val="24"/>
        </w:rPr>
        <w:t>、根据《基金法》、《运作办法》及其他有关规定，基金托管人的权利包括但不限于：</w:t>
      </w:r>
    </w:p>
    <w:p w14:paraId="7D9CB770" w14:textId="77777777" w:rsidR="00D04107" w:rsidRDefault="000C2DB0">
      <w:pPr>
        <w:spacing w:line="360" w:lineRule="auto"/>
        <w:ind w:firstLineChars="200" w:firstLine="480"/>
        <w:rPr>
          <w:bCs/>
          <w:sz w:val="24"/>
        </w:rPr>
      </w:pPr>
      <w:r>
        <w:rPr>
          <w:bCs/>
          <w:sz w:val="24"/>
        </w:rPr>
        <w:t>（</w:t>
      </w:r>
      <w:r>
        <w:rPr>
          <w:bCs/>
          <w:sz w:val="24"/>
        </w:rPr>
        <w:t>1</w:t>
      </w:r>
      <w:r>
        <w:rPr>
          <w:bCs/>
          <w:sz w:val="24"/>
        </w:rPr>
        <w:t>）自《基金合同》生效之日起，依法律法规和《基金合同》的规定安全保管基金财产；</w:t>
      </w:r>
    </w:p>
    <w:p w14:paraId="003637AE" w14:textId="77777777" w:rsidR="00D04107" w:rsidRDefault="000C2DB0">
      <w:pPr>
        <w:spacing w:line="360" w:lineRule="auto"/>
        <w:ind w:firstLineChars="200" w:firstLine="480"/>
        <w:rPr>
          <w:bCs/>
          <w:sz w:val="24"/>
        </w:rPr>
      </w:pPr>
      <w:r>
        <w:rPr>
          <w:bCs/>
          <w:sz w:val="24"/>
        </w:rPr>
        <w:t>（</w:t>
      </w:r>
      <w:r>
        <w:rPr>
          <w:bCs/>
          <w:sz w:val="24"/>
        </w:rPr>
        <w:t>2</w:t>
      </w:r>
      <w:r>
        <w:rPr>
          <w:bCs/>
          <w:sz w:val="24"/>
        </w:rPr>
        <w:t>）依《基金合同》约定获得基金托管费以及法律法规规定或监管部门批准的其他费用；</w:t>
      </w:r>
    </w:p>
    <w:p w14:paraId="3B02C895" w14:textId="77777777" w:rsidR="00D04107" w:rsidRDefault="000C2DB0">
      <w:pPr>
        <w:spacing w:line="360" w:lineRule="auto"/>
        <w:ind w:firstLineChars="200" w:firstLine="480"/>
        <w:rPr>
          <w:bCs/>
          <w:sz w:val="24"/>
        </w:rPr>
      </w:pPr>
      <w:r>
        <w:rPr>
          <w:bCs/>
          <w:sz w:val="24"/>
        </w:rPr>
        <w:t>（</w:t>
      </w:r>
      <w:r>
        <w:rPr>
          <w:bCs/>
          <w:sz w:val="24"/>
        </w:rPr>
        <w:t>3</w:t>
      </w:r>
      <w:r>
        <w:rPr>
          <w:bCs/>
          <w:sz w:val="24"/>
        </w:rPr>
        <w:t>）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74D5C2B6" w14:textId="77777777" w:rsidR="00D04107" w:rsidRDefault="000C2DB0">
      <w:pPr>
        <w:spacing w:line="360" w:lineRule="auto"/>
        <w:ind w:firstLineChars="200" w:firstLine="480"/>
        <w:rPr>
          <w:bCs/>
          <w:sz w:val="24"/>
        </w:rPr>
      </w:pPr>
      <w:r>
        <w:rPr>
          <w:bCs/>
          <w:sz w:val="24"/>
        </w:rPr>
        <w:t>（</w:t>
      </w:r>
      <w:r>
        <w:rPr>
          <w:bCs/>
          <w:sz w:val="24"/>
        </w:rPr>
        <w:t>4</w:t>
      </w:r>
      <w:r>
        <w:rPr>
          <w:bCs/>
          <w:sz w:val="24"/>
        </w:rPr>
        <w:t>）根据相关市场规则，为基金开设证券</w:t>
      </w:r>
      <w:r>
        <w:rPr>
          <w:rFonts w:hint="eastAsia"/>
          <w:bCs/>
          <w:sz w:val="24"/>
        </w:rPr>
        <w:t>账户</w:t>
      </w:r>
      <w:r>
        <w:rPr>
          <w:bCs/>
          <w:sz w:val="24"/>
        </w:rPr>
        <w:t>、为基金办理证券交易资金清算</w:t>
      </w:r>
      <w:r>
        <w:rPr>
          <w:rFonts w:hint="eastAsia"/>
          <w:bCs/>
          <w:sz w:val="24"/>
        </w:rPr>
        <w:t>；</w:t>
      </w:r>
    </w:p>
    <w:p w14:paraId="479BAC63" w14:textId="77777777" w:rsidR="00D04107" w:rsidRDefault="000C2DB0">
      <w:pPr>
        <w:spacing w:line="360" w:lineRule="auto"/>
        <w:ind w:firstLineChars="200" w:firstLine="480"/>
        <w:rPr>
          <w:bCs/>
          <w:sz w:val="24"/>
        </w:rPr>
      </w:pPr>
      <w:r>
        <w:rPr>
          <w:bCs/>
          <w:sz w:val="24"/>
        </w:rPr>
        <w:t>（</w:t>
      </w:r>
      <w:r>
        <w:rPr>
          <w:bCs/>
          <w:sz w:val="24"/>
        </w:rPr>
        <w:t>5</w:t>
      </w:r>
      <w:r>
        <w:rPr>
          <w:bCs/>
          <w:sz w:val="24"/>
        </w:rPr>
        <w:t>）提议召开或召集基金份额持有人大会；</w:t>
      </w:r>
    </w:p>
    <w:p w14:paraId="3A313DF0" w14:textId="77777777" w:rsidR="00D04107" w:rsidRDefault="000C2DB0">
      <w:pPr>
        <w:spacing w:line="360" w:lineRule="auto"/>
        <w:ind w:firstLineChars="200" w:firstLine="480"/>
        <w:rPr>
          <w:bCs/>
          <w:sz w:val="24"/>
        </w:rPr>
      </w:pPr>
      <w:r>
        <w:rPr>
          <w:bCs/>
          <w:sz w:val="24"/>
        </w:rPr>
        <w:t>（</w:t>
      </w:r>
      <w:r>
        <w:rPr>
          <w:bCs/>
          <w:sz w:val="24"/>
        </w:rPr>
        <w:t>6</w:t>
      </w:r>
      <w:r>
        <w:rPr>
          <w:bCs/>
          <w:sz w:val="24"/>
        </w:rPr>
        <w:t>）在基金管理人更换时，提名新的基金管理人；</w:t>
      </w:r>
    </w:p>
    <w:p w14:paraId="0E21F037" w14:textId="77777777" w:rsidR="00D04107" w:rsidRDefault="000C2DB0">
      <w:pPr>
        <w:spacing w:line="360" w:lineRule="auto"/>
        <w:ind w:firstLineChars="200" w:firstLine="480"/>
        <w:rPr>
          <w:bCs/>
          <w:sz w:val="24"/>
        </w:rPr>
      </w:pPr>
      <w:r>
        <w:rPr>
          <w:bCs/>
          <w:sz w:val="24"/>
        </w:rPr>
        <w:t>（</w:t>
      </w:r>
      <w:r>
        <w:rPr>
          <w:bCs/>
          <w:sz w:val="24"/>
        </w:rPr>
        <w:t>7</w:t>
      </w:r>
      <w:r>
        <w:rPr>
          <w:bCs/>
          <w:sz w:val="24"/>
        </w:rPr>
        <w:t>）</w:t>
      </w:r>
      <w:r>
        <w:rPr>
          <w:rFonts w:hint="eastAsia"/>
          <w:bCs/>
          <w:sz w:val="24"/>
        </w:rPr>
        <w:t>法律法规及中国证监会规定的和《基金合同》约定的其他</w:t>
      </w:r>
      <w:r>
        <w:rPr>
          <w:bCs/>
          <w:sz w:val="24"/>
        </w:rPr>
        <w:t>权利。</w:t>
      </w:r>
    </w:p>
    <w:p w14:paraId="47092128"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、根据《基金法》、《运作办法》及其他有关规定，基金托管人的义务包括但不限于：</w:t>
      </w:r>
    </w:p>
    <w:p w14:paraId="4449D7B1" w14:textId="77777777" w:rsidR="00D04107" w:rsidRDefault="000C2DB0">
      <w:pPr>
        <w:spacing w:line="360" w:lineRule="auto"/>
        <w:ind w:firstLineChars="200" w:firstLine="480"/>
        <w:rPr>
          <w:bCs/>
          <w:sz w:val="24"/>
        </w:rPr>
      </w:pPr>
      <w:r>
        <w:rPr>
          <w:bCs/>
          <w:sz w:val="24"/>
        </w:rPr>
        <w:t>（</w:t>
      </w:r>
      <w:r>
        <w:rPr>
          <w:bCs/>
          <w:sz w:val="24"/>
        </w:rPr>
        <w:t>1</w:t>
      </w:r>
      <w:r>
        <w:rPr>
          <w:bCs/>
          <w:sz w:val="24"/>
        </w:rPr>
        <w:t>）以诚实信用、勤勉尽责的原则持有并安全保管基金财产；</w:t>
      </w:r>
    </w:p>
    <w:p w14:paraId="5FE48B2C" w14:textId="77777777" w:rsidR="00D04107" w:rsidRDefault="000C2DB0">
      <w:pPr>
        <w:spacing w:line="360" w:lineRule="auto"/>
        <w:ind w:firstLineChars="200" w:firstLine="480"/>
        <w:rPr>
          <w:bCs/>
          <w:sz w:val="24"/>
        </w:rPr>
      </w:pPr>
      <w:r>
        <w:rPr>
          <w:bCs/>
          <w:sz w:val="24"/>
        </w:rPr>
        <w:t>（</w:t>
      </w:r>
      <w:r>
        <w:rPr>
          <w:bCs/>
          <w:sz w:val="24"/>
        </w:rPr>
        <w:t>2</w:t>
      </w:r>
      <w:r>
        <w:rPr>
          <w:bCs/>
          <w:sz w:val="24"/>
        </w:rPr>
        <w:t>）设立专门的基金托管部门，具有符合要求的营业场所，配备足够的、合格的熟悉基金托管业务的专职人员，负责基金财产托管事宜；</w:t>
      </w:r>
    </w:p>
    <w:p w14:paraId="5DBC0A13" w14:textId="77777777" w:rsidR="00D04107" w:rsidRDefault="000C2DB0">
      <w:pPr>
        <w:spacing w:line="360" w:lineRule="auto"/>
        <w:ind w:firstLineChars="200" w:firstLine="480"/>
        <w:rPr>
          <w:bCs/>
          <w:sz w:val="24"/>
        </w:rPr>
      </w:pPr>
      <w:r>
        <w:rPr>
          <w:bCs/>
          <w:sz w:val="24"/>
        </w:rPr>
        <w:t>（</w:t>
      </w:r>
      <w:r>
        <w:rPr>
          <w:bCs/>
          <w:sz w:val="24"/>
        </w:rPr>
        <w:t>3</w:t>
      </w:r>
      <w:r>
        <w:rPr>
          <w:bCs/>
          <w:sz w:val="24"/>
        </w:rPr>
        <w:t>）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11DB54BF" w14:textId="77777777" w:rsidR="00D04107" w:rsidRDefault="000C2DB0">
      <w:pPr>
        <w:spacing w:line="360" w:lineRule="auto"/>
        <w:ind w:firstLineChars="200" w:firstLine="480"/>
        <w:rPr>
          <w:bCs/>
          <w:sz w:val="24"/>
        </w:rPr>
      </w:pPr>
      <w:r>
        <w:rPr>
          <w:bCs/>
          <w:sz w:val="24"/>
        </w:rPr>
        <w:t>（</w:t>
      </w:r>
      <w:r>
        <w:rPr>
          <w:bCs/>
          <w:sz w:val="24"/>
        </w:rPr>
        <w:t>4</w:t>
      </w:r>
      <w:r>
        <w:rPr>
          <w:bCs/>
          <w:sz w:val="24"/>
        </w:rPr>
        <w:t>）除依据《基金法》、《基金合同》及其他有关规定外，不得利用基金财产为自己及任何第三人谋取利益，不得委托第三人托管基金财产；</w:t>
      </w:r>
    </w:p>
    <w:p w14:paraId="264ECEB2" w14:textId="77777777" w:rsidR="00D04107" w:rsidRDefault="000C2DB0">
      <w:pPr>
        <w:spacing w:line="360" w:lineRule="auto"/>
        <w:ind w:firstLineChars="200" w:firstLine="480"/>
        <w:rPr>
          <w:bCs/>
          <w:sz w:val="24"/>
        </w:rPr>
      </w:pPr>
      <w:r>
        <w:rPr>
          <w:bCs/>
          <w:sz w:val="24"/>
        </w:rPr>
        <w:t>（</w:t>
      </w:r>
      <w:r>
        <w:rPr>
          <w:bCs/>
          <w:sz w:val="24"/>
        </w:rPr>
        <w:t>5</w:t>
      </w:r>
      <w:r>
        <w:rPr>
          <w:bCs/>
          <w:sz w:val="24"/>
        </w:rPr>
        <w:t>）保管由基金管理人代表基金签订的与基金有关的重大合同及有关凭证；</w:t>
      </w:r>
    </w:p>
    <w:p w14:paraId="385C5C0E" w14:textId="77777777" w:rsidR="00D04107" w:rsidRDefault="000C2DB0">
      <w:pPr>
        <w:spacing w:line="360" w:lineRule="auto"/>
        <w:ind w:firstLineChars="200" w:firstLine="480"/>
        <w:rPr>
          <w:bCs/>
          <w:sz w:val="24"/>
        </w:rPr>
      </w:pPr>
      <w:r>
        <w:rPr>
          <w:bCs/>
          <w:sz w:val="24"/>
        </w:rPr>
        <w:t>（</w:t>
      </w:r>
      <w:r>
        <w:rPr>
          <w:bCs/>
          <w:sz w:val="24"/>
        </w:rPr>
        <w:t>6</w:t>
      </w:r>
      <w:r>
        <w:rPr>
          <w:bCs/>
          <w:sz w:val="24"/>
        </w:rPr>
        <w:t>）按规定开设基金财产的资金账户和证券账户</w:t>
      </w:r>
      <w:r>
        <w:rPr>
          <w:bCs/>
          <w:sz w:val="24"/>
        </w:rPr>
        <w:t>,</w:t>
      </w:r>
      <w:r>
        <w:rPr>
          <w:bCs/>
          <w:sz w:val="24"/>
        </w:rPr>
        <w:t>按照《基金合同》的约定，根据基金管理人的投资指令，及时办理清算、交割事宜；</w:t>
      </w:r>
    </w:p>
    <w:p w14:paraId="4A445350" w14:textId="77777777" w:rsidR="00D04107" w:rsidRDefault="000C2DB0">
      <w:pPr>
        <w:spacing w:line="360" w:lineRule="auto"/>
        <w:ind w:firstLineChars="200" w:firstLine="480"/>
        <w:rPr>
          <w:bCs/>
          <w:sz w:val="24"/>
        </w:rPr>
      </w:pPr>
      <w:r>
        <w:rPr>
          <w:bCs/>
          <w:sz w:val="24"/>
        </w:rPr>
        <w:t>（</w:t>
      </w:r>
      <w:r>
        <w:rPr>
          <w:bCs/>
          <w:sz w:val="24"/>
        </w:rPr>
        <w:t>7</w:t>
      </w:r>
      <w:r>
        <w:rPr>
          <w:bCs/>
          <w:sz w:val="24"/>
        </w:rPr>
        <w:t>）保守基金商业秘密，除《基金法》、《基金合同》及其他有关规定另有规</w:t>
      </w:r>
      <w:r>
        <w:rPr>
          <w:bCs/>
          <w:sz w:val="24"/>
        </w:rPr>
        <w:lastRenderedPageBreak/>
        <w:t>定外，在基金信息公开披露前予以保密，不得向他人泄露；</w:t>
      </w:r>
    </w:p>
    <w:p w14:paraId="3A3CEFD1" w14:textId="77777777" w:rsidR="00D04107" w:rsidRDefault="000C2DB0">
      <w:pPr>
        <w:spacing w:line="360" w:lineRule="auto"/>
        <w:ind w:firstLineChars="200" w:firstLine="480"/>
        <w:rPr>
          <w:bCs/>
          <w:sz w:val="24"/>
        </w:rPr>
      </w:pPr>
      <w:r>
        <w:rPr>
          <w:bCs/>
          <w:sz w:val="24"/>
        </w:rPr>
        <w:t>（</w:t>
      </w:r>
      <w:r>
        <w:rPr>
          <w:bCs/>
          <w:sz w:val="24"/>
        </w:rPr>
        <w:t>8</w:t>
      </w:r>
      <w:r>
        <w:rPr>
          <w:bCs/>
          <w:sz w:val="24"/>
        </w:rPr>
        <w:t>）复核、审查基金管理人计算的基金资产净值、各类基金份额的各类基金份额的每万份基金已实现收益和</w:t>
      </w:r>
      <w:r>
        <w:rPr>
          <w:bCs/>
          <w:sz w:val="24"/>
        </w:rPr>
        <w:t>7</w:t>
      </w:r>
      <w:r>
        <w:rPr>
          <w:bCs/>
          <w:sz w:val="24"/>
        </w:rPr>
        <w:t>日年化收益率；</w:t>
      </w:r>
    </w:p>
    <w:p w14:paraId="4EC8F0E7" w14:textId="77777777" w:rsidR="00D04107" w:rsidRDefault="000C2DB0">
      <w:pPr>
        <w:spacing w:line="360" w:lineRule="auto"/>
        <w:ind w:firstLineChars="200" w:firstLine="480"/>
        <w:rPr>
          <w:bCs/>
          <w:sz w:val="24"/>
        </w:rPr>
      </w:pPr>
      <w:r>
        <w:rPr>
          <w:bCs/>
          <w:sz w:val="24"/>
        </w:rPr>
        <w:t>（</w:t>
      </w:r>
      <w:r>
        <w:rPr>
          <w:bCs/>
          <w:sz w:val="24"/>
        </w:rPr>
        <w:t>9</w:t>
      </w:r>
      <w:r>
        <w:rPr>
          <w:bCs/>
          <w:sz w:val="24"/>
        </w:rPr>
        <w:t>）办理与基金托管业务活动有关的信息披露事项；</w:t>
      </w:r>
    </w:p>
    <w:p w14:paraId="0DCEAECE" w14:textId="77777777" w:rsidR="00D04107" w:rsidRDefault="000C2DB0">
      <w:pPr>
        <w:spacing w:line="360" w:lineRule="auto"/>
        <w:ind w:firstLineChars="200" w:firstLine="480"/>
        <w:rPr>
          <w:bCs/>
          <w:sz w:val="24"/>
        </w:rPr>
      </w:pPr>
      <w:r>
        <w:rPr>
          <w:bCs/>
          <w:sz w:val="24"/>
        </w:rPr>
        <w:t>（</w:t>
      </w:r>
      <w:r>
        <w:rPr>
          <w:bCs/>
          <w:sz w:val="24"/>
        </w:rPr>
        <w:t>10</w:t>
      </w:r>
      <w:r>
        <w:rPr>
          <w:bCs/>
          <w:sz w:val="24"/>
        </w:rPr>
        <w:t>）对基金财务会计报告、</w:t>
      </w:r>
      <w:r>
        <w:rPr>
          <w:rFonts w:hint="eastAsia"/>
          <w:bCs/>
          <w:sz w:val="24"/>
        </w:rPr>
        <w:t>季度、</w:t>
      </w:r>
      <w:r>
        <w:rPr>
          <w:bCs/>
          <w:sz w:val="24"/>
        </w:rPr>
        <w:t>半年度和年度基金报告出具意见，说明基金管理人在各重要方面的运作是否严格按照《基金合同》的规定进行；如果基金管理人有未执行《基金合同》规定的行为，还应当说明基金托管人是否采取了适当的措施；</w:t>
      </w:r>
    </w:p>
    <w:p w14:paraId="4D14C2FE" w14:textId="77777777" w:rsidR="00D04107" w:rsidRDefault="000C2DB0">
      <w:pPr>
        <w:spacing w:line="360" w:lineRule="auto"/>
        <w:ind w:firstLineChars="200" w:firstLine="480"/>
        <w:rPr>
          <w:bCs/>
          <w:sz w:val="24"/>
        </w:rPr>
      </w:pPr>
      <w:r>
        <w:rPr>
          <w:bCs/>
          <w:sz w:val="24"/>
        </w:rPr>
        <w:t>（</w:t>
      </w:r>
      <w:r>
        <w:rPr>
          <w:bCs/>
          <w:sz w:val="24"/>
        </w:rPr>
        <w:t>11</w:t>
      </w:r>
      <w:r>
        <w:rPr>
          <w:bCs/>
          <w:sz w:val="24"/>
        </w:rPr>
        <w:t>）保存基金托管业务活动的记录、账册、报表和其他相关资料</w:t>
      </w:r>
      <w:r>
        <w:t>15</w:t>
      </w:r>
      <w:r>
        <w:rPr>
          <w:bCs/>
          <w:sz w:val="24"/>
        </w:rPr>
        <w:t>年以上；</w:t>
      </w:r>
    </w:p>
    <w:p w14:paraId="30895FEB" w14:textId="77777777" w:rsidR="00D04107" w:rsidRDefault="000C2DB0">
      <w:pPr>
        <w:spacing w:line="360" w:lineRule="auto"/>
        <w:ind w:firstLineChars="200" w:firstLine="480"/>
        <w:rPr>
          <w:bCs/>
          <w:sz w:val="24"/>
        </w:rPr>
      </w:pPr>
      <w:r>
        <w:rPr>
          <w:bCs/>
          <w:sz w:val="24"/>
        </w:rPr>
        <w:t>（</w:t>
      </w:r>
      <w:r>
        <w:rPr>
          <w:bCs/>
          <w:sz w:val="24"/>
        </w:rPr>
        <w:t>12</w:t>
      </w:r>
      <w:r>
        <w:rPr>
          <w:bCs/>
          <w:sz w:val="24"/>
        </w:rPr>
        <w:t>）</w:t>
      </w:r>
      <w:r>
        <w:rPr>
          <w:rFonts w:hint="eastAsia"/>
          <w:bCs/>
          <w:sz w:val="24"/>
        </w:rPr>
        <w:t>从基金管理人或其委托的登记机构处接受</w:t>
      </w:r>
      <w:r>
        <w:rPr>
          <w:bCs/>
          <w:sz w:val="24"/>
        </w:rPr>
        <w:t>并保存基金份额持有人名册；</w:t>
      </w:r>
    </w:p>
    <w:p w14:paraId="21318574" w14:textId="77777777" w:rsidR="00D04107" w:rsidRDefault="000C2DB0">
      <w:pPr>
        <w:spacing w:line="360" w:lineRule="auto"/>
        <w:ind w:firstLineChars="200" w:firstLine="480"/>
        <w:rPr>
          <w:bCs/>
          <w:sz w:val="24"/>
        </w:rPr>
      </w:pPr>
      <w:r>
        <w:rPr>
          <w:bCs/>
          <w:sz w:val="24"/>
        </w:rPr>
        <w:t>（</w:t>
      </w:r>
      <w:r>
        <w:rPr>
          <w:bCs/>
          <w:sz w:val="24"/>
        </w:rPr>
        <w:t>13</w:t>
      </w:r>
      <w:r>
        <w:rPr>
          <w:bCs/>
          <w:sz w:val="24"/>
        </w:rPr>
        <w:t>）按规定制作相关账册并与基金管理人核对；</w:t>
      </w:r>
    </w:p>
    <w:p w14:paraId="03D966C5" w14:textId="77777777" w:rsidR="00D04107" w:rsidRDefault="000C2DB0">
      <w:pPr>
        <w:spacing w:line="360" w:lineRule="auto"/>
        <w:ind w:firstLineChars="200" w:firstLine="480"/>
        <w:rPr>
          <w:bCs/>
          <w:sz w:val="24"/>
        </w:rPr>
      </w:pPr>
      <w:r>
        <w:rPr>
          <w:bCs/>
          <w:sz w:val="24"/>
        </w:rPr>
        <w:t>（</w:t>
      </w:r>
      <w:r>
        <w:rPr>
          <w:bCs/>
          <w:sz w:val="24"/>
        </w:rPr>
        <w:t>14</w:t>
      </w:r>
      <w:r>
        <w:rPr>
          <w:bCs/>
          <w:sz w:val="24"/>
        </w:rPr>
        <w:t>）依据基金管理人的指令或有关规定向基金份额持有人支付基金收益和赎回款项；</w:t>
      </w:r>
    </w:p>
    <w:p w14:paraId="46484CD0" w14:textId="77777777" w:rsidR="00D04107" w:rsidRDefault="000C2DB0">
      <w:pPr>
        <w:spacing w:line="360" w:lineRule="auto"/>
        <w:ind w:firstLineChars="200" w:firstLine="480"/>
        <w:rPr>
          <w:bCs/>
          <w:sz w:val="24"/>
        </w:rPr>
      </w:pPr>
      <w:r>
        <w:rPr>
          <w:bCs/>
          <w:sz w:val="24"/>
        </w:rPr>
        <w:t>（</w:t>
      </w:r>
      <w:r>
        <w:rPr>
          <w:bCs/>
          <w:sz w:val="24"/>
        </w:rPr>
        <w:t>15</w:t>
      </w:r>
      <w:r>
        <w:rPr>
          <w:bCs/>
          <w:sz w:val="24"/>
        </w:rPr>
        <w:t>）依据《基金法》、《基金合同》及其他有关规定，召集基金份额持有人大会或配合基金份额持有人依法召集基金份额持有人大会；</w:t>
      </w:r>
    </w:p>
    <w:p w14:paraId="5EB798B5" w14:textId="77777777" w:rsidR="00D04107" w:rsidRDefault="000C2DB0">
      <w:pPr>
        <w:spacing w:line="360" w:lineRule="auto"/>
        <w:ind w:firstLineChars="200" w:firstLine="480"/>
        <w:rPr>
          <w:bCs/>
          <w:sz w:val="24"/>
        </w:rPr>
      </w:pPr>
      <w:r>
        <w:rPr>
          <w:bCs/>
          <w:sz w:val="24"/>
        </w:rPr>
        <w:t>（</w:t>
      </w:r>
      <w:r>
        <w:rPr>
          <w:bCs/>
          <w:sz w:val="24"/>
        </w:rPr>
        <w:t>16</w:t>
      </w:r>
      <w:r>
        <w:rPr>
          <w:bCs/>
          <w:sz w:val="24"/>
        </w:rPr>
        <w:t>）按照法律法规和《基金合同》的规定监督基金管理人的投资运作；</w:t>
      </w:r>
    </w:p>
    <w:p w14:paraId="446A4D17" w14:textId="77777777" w:rsidR="00D04107" w:rsidRDefault="000C2DB0">
      <w:pPr>
        <w:spacing w:line="360" w:lineRule="auto"/>
        <w:ind w:firstLineChars="200" w:firstLine="480"/>
        <w:rPr>
          <w:bCs/>
          <w:sz w:val="24"/>
        </w:rPr>
      </w:pPr>
      <w:r>
        <w:rPr>
          <w:bCs/>
          <w:sz w:val="24"/>
        </w:rPr>
        <w:t>（</w:t>
      </w:r>
      <w:r>
        <w:rPr>
          <w:bCs/>
          <w:sz w:val="24"/>
        </w:rPr>
        <w:t>17</w:t>
      </w:r>
      <w:r>
        <w:rPr>
          <w:bCs/>
          <w:sz w:val="24"/>
        </w:rPr>
        <w:t>）参加基金财产清算小组，参与基金财产的保管、清理、估价、变现和分配；</w:t>
      </w:r>
    </w:p>
    <w:p w14:paraId="3D1C566E" w14:textId="77777777" w:rsidR="00D04107" w:rsidRDefault="000C2DB0">
      <w:pPr>
        <w:spacing w:line="360" w:lineRule="auto"/>
        <w:ind w:firstLineChars="200" w:firstLine="480"/>
        <w:rPr>
          <w:bCs/>
          <w:sz w:val="24"/>
        </w:rPr>
      </w:pPr>
      <w:r>
        <w:rPr>
          <w:bCs/>
          <w:sz w:val="24"/>
        </w:rPr>
        <w:t>（</w:t>
      </w:r>
      <w:r>
        <w:rPr>
          <w:bCs/>
          <w:sz w:val="24"/>
        </w:rPr>
        <w:t>18</w:t>
      </w:r>
      <w:r>
        <w:rPr>
          <w:bCs/>
          <w:sz w:val="24"/>
        </w:rPr>
        <w:t>）面临解散、依法被撤销或者被依法宣告破产时，及时报告中国证监会和银行监管机构，并通知基金管理人；</w:t>
      </w:r>
    </w:p>
    <w:p w14:paraId="032C8318" w14:textId="77777777" w:rsidR="00D04107" w:rsidRDefault="000C2DB0">
      <w:pPr>
        <w:spacing w:line="360" w:lineRule="auto"/>
        <w:ind w:firstLineChars="200" w:firstLine="480"/>
        <w:rPr>
          <w:bCs/>
          <w:sz w:val="24"/>
        </w:rPr>
      </w:pPr>
      <w:r>
        <w:rPr>
          <w:bCs/>
          <w:sz w:val="24"/>
        </w:rPr>
        <w:t>（</w:t>
      </w:r>
      <w:r>
        <w:rPr>
          <w:bCs/>
          <w:sz w:val="24"/>
        </w:rPr>
        <w:t>19</w:t>
      </w:r>
      <w:r>
        <w:rPr>
          <w:bCs/>
          <w:sz w:val="24"/>
        </w:rPr>
        <w:t>）因违反《基金合同》导致基金财产损失时，应承担赔偿责任，其赔偿责任不因其退任而免除；</w:t>
      </w:r>
    </w:p>
    <w:p w14:paraId="5DADEDFC" w14:textId="77777777" w:rsidR="00D04107" w:rsidRDefault="000C2DB0">
      <w:pPr>
        <w:spacing w:line="360" w:lineRule="auto"/>
        <w:ind w:firstLineChars="200" w:firstLine="480"/>
        <w:rPr>
          <w:bCs/>
          <w:sz w:val="24"/>
        </w:rPr>
      </w:pPr>
      <w:r>
        <w:rPr>
          <w:bCs/>
          <w:sz w:val="24"/>
        </w:rPr>
        <w:t>（</w:t>
      </w:r>
      <w:r>
        <w:rPr>
          <w:bCs/>
          <w:sz w:val="24"/>
        </w:rPr>
        <w:t>20</w:t>
      </w:r>
      <w:r>
        <w:rPr>
          <w:bCs/>
          <w:sz w:val="24"/>
        </w:rPr>
        <w:t>）按规定监督基金管理人按法律法规和《基金合同》规定履行自己的义务，基金管理人因违反《基金合同》造成基金财产损失时，应为基金份额持有人利益向基金管理人追偿；</w:t>
      </w:r>
    </w:p>
    <w:p w14:paraId="748FB436" w14:textId="77777777" w:rsidR="00D04107" w:rsidRDefault="000C2DB0">
      <w:pPr>
        <w:spacing w:line="360" w:lineRule="auto"/>
        <w:ind w:firstLineChars="200" w:firstLine="480"/>
        <w:rPr>
          <w:bCs/>
          <w:sz w:val="24"/>
        </w:rPr>
      </w:pPr>
      <w:r>
        <w:rPr>
          <w:bCs/>
          <w:sz w:val="24"/>
        </w:rPr>
        <w:t>（</w:t>
      </w:r>
      <w:r>
        <w:rPr>
          <w:bCs/>
          <w:sz w:val="24"/>
        </w:rPr>
        <w:t>21</w:t>
      </w:r>
      <w:r>
        <w:rPr>
          <w:bCs/>
          <w:sz w:val="24"/>
        </w:rPr>
        <w:t>）执行生效的基金份额持有人大会的</w:t>
      </w:r>
      <w:r>
        <w:rPr>
          <w:rFonts w:hint="eastAsia"/>
          <w:bCs/>
          <w:sz w:val="24"/>
        </w:rPr>
        <w:t>决议</w:t>
      </w:r>
      <w:r>
        <w:rPr>
          <w:bCs/>
          <w:sz w:val="24"/>
        </w:rPr>
        <w:t>；</w:t>
      </w:r>
    </w:p>
    <w:p w14:paraId="48018064" w14:textId="77777777" w:rsidR="00D04107" w:rsidRDefault="000C2DB0" w:rsidP="002116B7">
      <w:pPr>
        <w:spacing w:line="360" w:lineRule="auto"/>
        <w:ind w:firstLineChars="200" w:firstLine="480"/>
        <w:rPr>
          <w:bCs/>
          <w:sz w:val="24"/>
        </w:rPr>
      </w:pPr>
      <w:r>
        <w:rPr>
          <w:bCs/>
          <w:sz w:val="24"/>
        </w:rPr>
        <w:t>（</w:t>
      </w:r>
      <w:r>
        <w:rPr>
          <w:bCs/>
          <w:sz w:val="24"/>
        </w:rPr>
        <w:t>22</w:t>
      </w:r>
      <w:r>
        <w:rPr>
          <w:bCs/>
          <w:sz w:val="24"/>
        </w:rPr>
        <w:t>）法律法规及中国证监会规定的和《基金合同》约定的其他义务。</w:t>
      </w:r>
    </w:p>
    <w:p w14:paraId="7CA75112" w14:textId="77777777" w:rsidR="00D04107" w:rsidRDefault="000C2DB0">
      <w:pPr>
        <w:spacing w:line="360" w:lineRule="auto"/>
        <w:ind w:firstLineChars="200" w:firstLine="480"/>
        <w:rPr>
          <w:bCs/>
          <w:sz w:val="24"/>
        </w:rPr>
      </w:pPr>
      <w:r>
        <w:rPr>
          <w:rFonts w:hint="eastAsia"/>
          <w:bCs/>
          <w:sz w:val="24"/>
        </w:rPr>
        <w:t>三、</w:t>
      </w:r>
      <w:r>
        <w:rPr>
          <w:bCs/>
          <w:sz w:val="24"/>
        </w:rPr>
        <w:t>基金份额持有人</w:t>
      </w:r>
    </w:p>
    <w:p w14:paraId="39DE0A16" w14:textId="77777777" w:rsidR="00D04107" w:rsidRDefault="000C2DB0">
      <w:pPr>
        <w:spacing w:line="360" w:lineRule="auto"/>
        <w:ind w:firstLineChars="200" w:firstLine="480"/>
        <w:rPr>
          <w:bCs/>
          <w:sz w:val="24"/>
        </w:rPr>
      </w:pPr>
      <w:r>
        <w:rPr>
          <w:bCs/>
          <w:sz w:val="24"/>
        </w:rPr>
        <w:lastRenderedPageBreak/>
        <w:t>基金投资者</w:t>
      </w:r>
      <w:r>
        <w:rPr>
          <w:rFonts w:hint="eastAsia"/>
          <w:bCs/>
          <w:sz w:val="24"/>
        </w:rPr>
        <w:t>持有</w:t>
      </w:r>
      <w:r>
        <w:rPr>
          <w:bCs/>
          <w:sz w:val="24"/>
        </w:rPr>
        <w:t>本基金基金份额的行为即视为对《基金合同》的承认和接受，基金投资者自依据《基金合同》取得基金份额，即成为本基金份额持有人和《基金合同》的当事人，直至其不再持有本基金的基金份额。基金份额持有人作为《基金合同》当事人并不以在《基金合同》上书面签章或签字为必要条件。</w:t>
      </w:r>
    </w:p>
    <w:p w14:paraId="1635D339" w14:textId="77777777" w:rsidR="00D04107" w:rsidRDefault="000C2DB0">
      <w:pPr>
        <w:spacing w:line="360" w:lineRule="auto"/>
        <w:ind w:firstLineChars="200" w:firstLine="480"/>
        <w:rPr>
          <w:bCs/>
          <w:sz w:val="24"/>
        </w:rPr>
      </w:pPr>
      <w:r>
        <w:rPr>
          <w:bCs/>
          <w:sz w:val="24"/>
        </w:rPr>
        <w:t>每份基金份额具有同等的合法权益。</w:t>
      </w:r>
    </w:p>
    <w:p w14:paraId="29F4F465" w14:textId="77777777" w:rsidR="00D04107" w:rsidRDefault="000C2DB0" w:rsidP="002116B7">
      <w:pPr>
        <w:spacing w:line="360" w:lineRule="auto"/>
        <w:ind w:firstLineChars="200" w:firstLine="480"/>
        <w:rPr>
          <w:bCs/>
          <w:sz w:val="24"/>
        </w:rPr>
      </w:pPr>
      <w:r>
        <w:rPr>
          <w:bCs/>
          <w:sz w:val="24"/>
        </w:rPr>
        <w:t>1</w:t>
      </w:r>
      <w:r>
        <w:rPr>
          <w:bCs/>
          <w:sz w:val="24"/>
        </w:rPr>
        <w:t>、根据《基金法》、《运作办法》及其他有关规定，基金份额持有人的权利包括但不限于：</w:t>
      </w:r>
    </w:p>
    <w:p w14:paraId="3550937E" w14:textId="77777777" w:rsidR="00D04107" w:rsidRDefault="000C2DB0">
      <w:pPr>
        <w:spacing w:line="360" w:lineRule="auto"/>
        <w:ind w:firstLineChars="200" w:firstLine="480"/>
        <w:rPr>
          <w:bCs/>
          <w:sz w:val="24"/>
        </w:rPr>
      </w:pPr>
      <w:r>
        <w:rPr>
          <w:rFonts w:hint="eastAsia"/>
          <w:bCs/>
          <w:sz w:val="24"/>
        </w:rPr>
        <w:t>（</w:t>
      </w:r>
      <w:r>
        <w:rPr>
          <w:rFonts w:hint="eastAsia"/>
          <w:bCs/>
          <w:sz w:val="24"/>
        </w:rPr>
        <w:t>1</w:t>
      </w:r>
      <w:r>
        <w:rPr>
          <w:rFonts w:hint="eastAsia"/>
          <w:bCs/>
          <w:sz w:val="24"/>
        </w:rPr>
        <w:t>）分享基金财产收益；</w:t>
      </w:r>
    </w:p>
    <w:p w14:paraId="6F372994" w14:textId="77777777" w:rsidR="00D04107" w:rsidRDefault="000C2DB0">
      <w:pPr>
        <w:spacing w:line="360" w:lineRule="auto"/>
        <w:ind w:firstLineChars="200" w:firstLine="480"/>
        <w:rPr>
          <w:bCs/>
          <w:sz w:val="24"/>
        </w:rPr>
      </w:pPr>
      <w:r>
        <w:rPr>
          <w:rFonts w:hint="eastAsia"/>
          <w:bCs/>
          <w:sz w:val="24"/>
        </w:rPr>
        <w:t>（</w:t>
      </w:r>
      <w:r>
        <w:rPr>
          <w:rFonts w:hint="eastAsia"/>
          <w:bCs/>
          <w:sz w:val="24"/>
        </w:rPr>
        <w:t>2</w:t>
      </w:r>
      <w:r>
        <w:rPr>
          <w:rFonts w:hint="eastAsia"/>
          <w:bCs/>
          <w:sz w:val="24"/>
        </w:rPr>
        <w:t>）参与分配清算后的剩余基金财产；</w:t>
      </w:r>
    </w:p>
    <w:p w14:paraId="324306AE" w14:textId="77777777" w:rsidR="00D04107" w:rsidRDefault="000C2DB0">
      <w:pPr>
        <w:spacing w:line="360" w:lineRule="auto"/>
        <w:ind w:firstLineChars="200" w:firstLine="480"/>
        <w:rPr>
          <w:bCs/>
          <w:sz w:val="24"/>
        </w:rPr>
      </w:pPr>
      <w:r>
        <w:rPr>
          <w:rFonts w:hint="eastAsia"/>
          <w:bCs/>
          <w:sz w:val="24"/>
        </w:rPr>
        <w:t>（</w:t>
      </w:r>
      <w:r>
        <w:rPr>
          <w:rFonts w:hint="eastAsia"/>
          <w:bCs/>
          <w:sz w:val="24"/>
        </w:rPr>
        <w:t>3</w:t>
      </w:r>
      <w:r>
        <w:rPr>
          <w:rFonts w:hint="eastAsia"/>
          <w:bCs/>
          <w:sz w:val="24"/>
        </w:rPr>
        <w:t>）依法转让或者申请赎回其持有的基金份额；</w:t>
      </w:r>
    </w:p>
    <w:p w14:paraId="50641B0D" w14:textId="77777777" w:rsidR="00D04107" w:rsidRDefault="000C2DB0">
      <w:pPr>
        <w:tabs>
          <w:tab w:val="left" w:pos="993"/>
        </w:tabs>
        <w:spacing w:line="360" w:lineRule="auto"/>
        <w:ind w:firstLineChars="200" w:firstLine="480"/>
        <w:rPr>
          <w:bCs/>
          <w:sz w:val="24"/>
        </w:rPr>
      </w:pPr>
      <w:r>
        <w:rPr>
          <w:rFonts w:hint="eastAsia"/>
          <w:bCs/>
          <w:sz w:val="24"/>
        </w:rPr>
        <w:t>（</w:t>
      </w:r>
      <w:r>
        <w:rPr>
          <w:rFonts w:hint="eastAsia"/>
          <w:bCs/>
          <w:sz w:val="24"/>
        </w:rPr>
        <w:t>4</w:t>
      </w:r>
      <w:r>
        <w:rPr>
          <w:rFonts w:hint="eastAsia"/>
          <w:bCs/>
          <w:sz w:val="24"/>
        </w:rPr>
        <w:t>）按照规定要求召开基金份额持有人大会或者召集基金份额持有人大会；</w:t>
      </w:r>
    </w:p>
    <w:p w14:paraId="2B6E9365" w14:textId="77777777" w:rsidR="00D04107" w:rsidRDefault="000C2DB0">
      <w:pPr>
        <w:spacing w:line="360" w:lineRule="auto"/>
        <w:ind w:firstLineChars="200" w:firstLine="480"/>
        <w:rPr>
          <w:bCs/>
          <w:sz w:val="24"/>
        </w:rPr>
      </w:pPr>
      <w:r>
        <w:rPr>
          <w:rFonts w:hint="eastAsia"/>
          <w:bCs/>
          <w:sz w:val="24"/>
        </w:rPr>
        <w:t>（</w:t>
      </w:r>
      <w:r>
        <w:rPr>
          <w:rFonts w:hint="eastAsia"/>
          <w:bCs/>
          <w:sz w:val="24"/>
        </w:rPr>
        <w:t>5</w:t>
      </w:r>
      <w:r>
        <w:rPr>
          <w:rFonts w:hint="eastAsia"/>
          <w:bCs/>
          <w:sz w:val="24"/>
        </w:rPr>
        <w:t>）对基金份额持有人大会审议事项行使表决权；</w:t>
      </w:r>
    </w:p>
    <w:p w14:paraId="4C196315" w14:textId="77777777" w:rsidR="00D04107" w:rsidRDefault="000C2DB0">
      <w:pPr>
        <w:spacing w:line="360" w:lineRule="auto"/>
        <w:ind w:firstLineChars="200" w:firstLine="480"/>
        <w:rPr>
          <w:bCs/>
          <w:sz w:val="24"/>
        </w:rPr>
      </w:pPr>
      <w:r>
        <w:rPr>
          <w:rFonts w:hint="eastAsia"/>
          <w:bCs/>
          <w:sz w:val="24"/>
        </w:rPr>
        <w:t>（</w:t>
      </w:r>
      <w:r>
        <w:rPr>
          <w:rFonts w:hint="eastAsia"/>
          <w:bCs/>
          <w:sz w:val="24"/>
        </w:rPr>
        <w:t>6</w:t>
      </w:r>
      <w:r>
        <w:rPr>
          <w:rFonts w:hint="eastAsia"/>
          <w:bCs/>
          <w:sz w:val="24"/>
        </w:rPr>
        <w:t>）对基金管理人、基金托管人、基金服务机构损害其合法权益的行为依法提起诉讼；</w:t>
      </w:r>
    </w:p>
    <w:p w14:paraId="04FAEADC" w14:textId="77777777" w:rsidR="00D04107" w:rsidRDefault="000C2DB0">
      <w:pPr>
        <w:spacing w:line="360" w:lineRule="auto"/>
        <w:ind w:firstLineChars="200" w:firstLine="480"/>
        <w:rPr>
          <w:bCs/>
          <w:sz w:val="24"/>
        </w:rPr>
      </w:pPr>
      <w:r>
        <w:rPr>
          <w:rFonts w:hint="eastAsia"/>
          <w:bCs/>
          <w:sz w:val="24"/>
        </w:rPr>
        <w:t>（</w:t>
      </w:r>
      <w:r>
        <w:rPr>
          <w:rFonts w:hint="eastAsia"/>
          <w:bCs/>
          <w:sz w:val="24"/>
        </w:rPr>
        <w:t>7</w:t>
      </w:r>
      <w:r>
        <w:rPr>
          <w:rFonts w:hint="eastAsia"/>
          <w:bCs/>
          <w:sz w:val="24"/>
        </w:rPr>
        <w:t>）</w:t>
      </w:r>
      <w:r>
        <w:rPr>
          <w:bCs/>
          <w:sz w:val="24"/>
        </w:rPr>
        <w:t>法律法规及中国证监会规定的和</w:t>
      </w:r>
      <w:r>
        <w:rPr>
          <w:rFonts w:hint="eastAsia"/>
          <w:bCs/>
          <w:sz w:val="24"/>
        </w:rPr>
        <w:t>《基金合同》约定的其他权利。</w:t>
      </w:r>
    </w:p>
    <w:p w14:paraId="29109F50" w14:textId="77777777" w:rsidR="00D04107" w:rsidRDefault="000C2DB0">
      <w:pPr>
        <w:spacing w:line="360" w:lineRule="auto"/>
        <w:ind w:firstLineChars="200" w:firstLine="480"/>
        <w:rPr>
          <w:bCs/>
          <w:sz w:val="24"/>
        </w:rPr>
      </w:pPr>
      <w:r>
        <w:rPr>
          <w:bCs/>
          <w:sz w:val="24"/>
        </w:rPr>
        <w:t>2</w:t>
      </w:r>
      <w:r>
        <w:rPr>
          <w:bCs/>
          <w:sz w:val="24"/>
        </w:rPr>
        <w:t>、根据《基金法》、《运作办法》及其他有关规定，基金份额持有人的义务包括但不限于：</w:t>
      </w:r>
    </w:p>
    <w:p w14:paraId="7DBC8C09" w14:textId="77777777" w:rsidR="00D04107" w:rsidRDefault="000C2DB0">
      <w:pPr>
        <w:spacing w:line="360" w:lineRule="auto"/>
        <w:ind w:firstLineChars="200" w:firstLine="480"/>
        <w:rPr>
          <w:bCs/>
          <w:sz w:val="24"/>
        </w:rPr>
      </w:pPr>
      <w:r>
        <w:rPr>
          <w:bCs/>
          <w:sz w:val="24"/>
        </w:rPr>
        <w:t>（</w:t>
      </w:r>
      <w:r>
        <w:rPr>
          <w:bCs/>
          <w:sz w:val="24"/>
        </w:rPr>
        <w:t>1</w:t>
      </w:r>
      <w:r>
        <w:rPr>
          <w:bCs/>
          <w:sz w:val="24"/>
        </w:rPr>
        <w:t>）认真阅读并遵守《基金合同》</w:t>
      </w:r>
      <w:r>
        <w:rPr>
          <w:rFonts w:hint="eastAsia"/>
          <w:bCs/>
          <w:sz w:val="24"/>
        </w:rPr>
        <w:t>、招募说明书等信息披露文件</w:t>
      </w:r>
      <w:r>
        <w:rPr>
          <w:bCs/>
          <w:sz w:val="24"/>
        </w:rPr>
        <w:t>；</w:t>
      </w:r>
    </w:p>
    <w:p w14:paraId="45553C84" w14:textId="77777777" w:rsidR="00D04107" w:rsidRDefault="000C2DB0">
      <w:pPr>
        <w:spacing w:line="360" w:lineRule="auto"/>
        <w:ind w:firstLineChars="200" w:firstLine="480"/>
        <w:rPr>
          <w:bCs/>
          <w:sz w:val="24"/>
        </w:rPr>
      </w:pPr>
      <w:r>
        <w:rPr>
          <w:bCs/>
          <w:sz w:val="24"/>
        </w:rPr>
        <w:t>（</w:t>
      </w:r>
      <w:r>
        <w:rPr>
          <w:bCs/>
          <w:sz w:val="24"/>
        </w:rPr>
        <w:t>2</w:t>
      </w:r>
      <w:r>
        <w:rPr>
          <w:bCs/>
          <w:sz w:val="24"/>
        </w:rPr>
        <w:t>）了解所投资基金产品，了解自身风险承受能力，自行承担投资风险；</w:t>
      </w:r>
    </w:p>
    <w:p w14:paraId="71FF688B" w14:textId="77777777" w:rsidR="00D04107" w:rsidRDefault="000C2DB0">
      <w:pPr>
        <w:spacing w:line="360" w:lineRule="auto"/>
        <w:ind w:firstLineChars="200" w:firstLine="480"/>
        <w:rPr>
          <w:bCs/>
          <w:sz w:val="24"/>
        </w:rPr>
      </w:pPr>
      <w:r>
        <w:rPr>
          <w:bCs/>
          <w:sz w:val="24"/>
        </w:rPr>
        <w:t>（</w:t>
      </w:r>
      <w:r>
        <w:rPr>
          <w:bCs/>
          <w:sz w:val="24"/>
        </w:rPr>
        <w:t>3</w:t>
      </w:r>
      <w:r>
        <w:rPr>
          <w:bCs/>
          <w:sz w:val="24"/>
        </w:rPr>
        <w:t>）关注基金信息披露，及时行使权利和履行义务；</w:t>
      </w:r>
    </w:p>
    <w:p w14:paraId="6E5A9F78" w14:textId="77777777" w:rsidR="00D04107" w:rsidRDefault="000C2DB0">
      <w:pPr>
        <w:spacing w:line="360" w:lineRule="auto"/>
        <w:ind w:firstLineChars="200" w:firstLine="480"/>
        <w:rPr>
          <w:bCs/>
          <w:sz w:val="24"/>
        </w:rPr>
      </w:pPr>
      <w:r>
        <w:rPr>
          <w:bCs/>
          <w:sz w:val="24"/>
        </w:rPr>
        <w:t>（</w:t>
      </w:r>
      <w:r>
        <w:rPr>
          <w:bCs/>
          <w:sz w:val="24"/>
        </w:rPr>
        <w:t>4</w:t>
      </w:r>
      <w:r>
        <w:rPr>
          <w:bCs/>
          <w:sz w:val="24"/>
        </w:rPr>
        <w:t>）</w:t>
      </w:r>
      <w:r>
        <w:rPr>
          <w:rFonts w:hint="eastAsia"/>
          <w:bCs/>
          <w:sz w:val="24"/>
        </w:rPr>
        <w:t>缴纳</w:t>
      </w:r>
      <w:r>
        <w:rPr>
          <w:bCs/>
          <w:sz w:val="24"/>
        </w:rPr>
        <w:t>基金认购、申购款项及法律法规和《基金合同》所规定的费用；</w:t>
      </w:r>
    </w:p>
    <w:p w14:paraId="25A4ABEB" w14:textId="77777777" w:rsidR="00D04107" w:rsidRDefault="000C2DB0">
      <w:pPr>
        <w:spacing w:line="360" w:lineRule="auto"/>
        <w:ind w:firstLineChars="200" w:firstLine="480"/>
        <w:rPr>
          <w:bCs/>
          <w:sz w:val="24"/>
        </w:rPr>
      </w:pPr>
      <w:r>
        <w:rPr>
          <w:bCs/>
          <w:sz w:val="24"/>
        </w:rPr>
        <w:t>（</w:t>
      </w:r>
      <w:r>
        <w:rPr>
          <w:bCs/>
          <w:sz w:val="24"/>
        </w:rPr>
        <w:t>5</w:t>
      </w:r>
      <w:r>
        <w:rPr>
          <w:bCs/>
          <w:sz w:val="24"/>
        </w:rPr>
        <w:t>）在其持有的基金份额范围内，承担基金亏损或者《基金合同》终止的有限责任；</w:t>
      </w:r>
    </w:p>
    <w:p w14:paraId="39640A72" w14:textId="77777777" w:rsidR="00D04107" w:rsidRDefault="000C2DB0">
      <w:pPr>
        <w:spacing w:line="360" w:lineRule="auto"/>
        <w:ind w:firstLineChars="200" w:firstLine="480"/>
        <w:rPr>
          <w:bCs/>
          <w:sz w:val="24"/>
        </w:rPr>
      </w:pPr>
      <w:r>
        <w:rPr>
          <w:bCs/>
          <w:sz w:val="24"/>
        </w:rPr>
        <w:t>（</w:t>
      </w:r>
      <w:r>
        <w:rPr>
          <w:bCs/>
          <w:sz w:val="24"/>
        </w:rPr>
        <w:t>6</w:t>
      </w:r>
      <w:r>
        <w:rPr>
          <w:bCs/>
          <w:sz w:val="24"/>
        </w:rPr>
        <w:t>）不从事任何有损基金及其他《基金合同》当事人合法权益的活动；</w:t>
      </w:r>
    </w:p>
    <w:p w14:paraId="4DF19A78" w14:textId="77777777" w:rsidR="00D04107" w:rsidRDefault="000C2DB0">
      <w:pPr>
        <w:spacing w:line="360" w:lineRule="auto"/>
        <w:ind w:firstLineChars="200" w:firstLine="480"/>
        <w:rPr>
          <w:bCs/>
          <w:sz w:val="24"/>
        </w:rPr>
      </w:pPr>
      <w:r>
        <w:rPr>
          <w:bCs/>
          <w:sz w:val="24"/>
        </w:rPr>
        <w:t>（</w:t>
      </w:r>
      <w:r>
        <w:rPr>
          <w:bCs/>
          <w:sz w:val="24"/>
        </w:rPr>
        <w:t>7</w:t>
      </w:r>
      <w:r>
        <w:rPr>
          <w:bCs/>
          <w:sz w:val="24"/>
        </w:rPr>
        <w:t>）执行生效的基金份额持有人大会的</w:t>
      </w:r>
      <w:r>
        <w:rPr>
          <w:rFonts w:hint="eastAsia"/>
          <w:bCs/>
          <w:sz w:val="24"/>
        </w:rPr>
        <w:t>决议</w:t>
      </w:r>
      <w:r>
        <w:rPr>
          <w:bCs/>
          <w:sz w:val="24"/>
        </w:rPr>
        <w:t>；</w:t>
      </w:r>
    </w:p>
    <w:p w14:paraId="48BFCC61" w14:textId="77777777" w:rsidR="00D04107" w:rsidRDefault="000C2DB0">
      <w:pPr>
        <w:spacing w:line="360" w:lineRule="auto"/>
        <w:ind w:firstLineChars="200" w:firstLine="480"/>
        <w:rPr>
          <w:bCs/>
          <w:sz w:val="24"/>
        </w:rPr>
      </w:pPr>
      <w:r>
        <w:rPr>
          <w:bCs/>
          <w:sz w:val="24"/>
        </w:rPr>
        <w:t>（</w:t>
      </w:r>
      <w:r>
        <w:rPr>
          <w:bCs/>
          <w:sz w:val="24"/>
        </w:rPr>
        <w:t>8</w:t>
      </w:r>
      <w:r>
        <w:rPr>
          <w:bCs/>
          <w:sz w:val="24"/>
        </w:rPr>
        <w:t>）返还在基金交易过程中因任何原因获得的不当得利；</w:t>
      </w:r>
    </w:p>
    <w:p w14:paraId="01107677" w14:textId="77777777" w:rsidR="00D04107" w:rsidRDefault="000C2DB0">
      <w:pPr>
        <w:spacing w:line="360" w:lineRule="auto"/>
        <w:ind w:firstLineChars="200" w:firstLine="480"/>
        <w:rPr>
          <w:bCs/>
          <w:sz w:val="24"/>
        </w:rPr>
      </w:pPr>
      <w:r>
        <w:rPr>
          <w:bCs/>
          <w:sz w:val="24"/>
        </w:rPr>
        <w:t>（</w:t>
      </w:r>
      <w:r>
        <w:rPr>
          <w:bCs/>
          <w:sz w:val="24"/>
        </w:rPr>
        <w:t>9</w:t>
      </w:r>
      <w:r>
        <w:rPr>
          <w:bCs/>
          <w:sz w:val="24"/>
        </w:rPr>
        <w:t>）法律法规及中国证监会规定的和《基金合同》约定的其他义务。</w:t>
      </w:r>
    </w:p>
    <w:p w14:paraId="6F9D62CF" w14:textId="77777777" w:rsidR="00D04107" w:rsidRDefault="000C2DB0">
      <w:pPr>
        <w:spacing w:line="360" w:lineRule="auto"/>
        <w:ind w:firstLineChars="200" w:firstLine="480"/>
        <w:rPr>
          <w:rFonts w:ascii="宋体" w:hAnsi="宋体"/>
          <w:sz w:val="24"/>
        </w:rPr>
      </w:pPr>
      <w:r>
        <w:rPr>
          <w:rFonts w:ascii="宋体" w:hAnsi="宋体" w:hint="eastAsia"/>
          <w:sz w:val="24"/>
        </w:rPr>
        <w:t>（二</w:t>
      </w:r>
      <w:r>
        <w:rPr>
          <w:rFonts w:ascii="宋体" w:hAnsi="宋体"/>
          <w:sz w:val="24"/>
        </w:rPr>
        <w:t>）</w:t>
      </w:r>
      <w:r>
        <w:rPr>
          <w:rFonts w:ascii="宋体" w:hAnsi="宋体" w:hint="eastAsia"/>
          <w:sz w:val="24"/>
        </w:rPr>
        <w:t>基金份额持有人大会召集、议事及表决的程</w:t>
      </w:r>
      <w:bookmarkStart w:id="130" w:name="_GoBack"/>
      <w:bookmarkEnd w:id="130"/>
      <w:r>
        <w:rPr>
          <w:rFonts w:ascii="宋体" w:hAnsi="宋体" w:hint="eastAsia"/>
          <w:sz w:val="24"/>
        </w:rPr>
        <w:t>序和规则</w:t>
      </w:r>
    </w:p>
    <w:p w14:paraId="03E48628" w14:textId="77777777" w:rsidR="00D04107" w:rsidRDefault="000C2DB0">
      <w:pPr>
        <w:spacing w:line="360" w:lineRule="auto"/>
        <w:ind w:firstLineChars="200" w:firstLine="480"/>
        <w:rPr>
          <w:bCs/>
          <w:sz w:val="24"/>
        </w:rPr>
      </w:pPr>
      <w:r>
        <w:rPr>
          <w:bCs/>
          <w:sz w:val="24"/>
        </w:rPr>
        <w:lastRenderedPageBreak/>
        <w:t>基金份额持有人大会由基金份额持有人组成，基金份额持有人的合法授权代表有权代表基金份额持有人出席会议并表决。基金份额持有人持有的每一基金份额拥有平等的投票权。</w:t>
      </w:r>
    </w:p>
    <w:p w14:paraId="70FB5B35" w14:textId="77777777" w:rsidR="00D04107" w:rsidRDefault="000C2DB0">
      <w:pPr>
        <w:spacing w:line="360" w:lineRule="auto"/>
        <w:ind w:firstLineChars="200" w:firstLine="480"/>
        <w:rPr>
          <w:bCs/>
          <w:sz w:val="24"/>
        </w:rPr>
      </w:pPr>
      <w:r>
        <w:rPr>
          <w:rFonts w:hint="eastAsia"/>
          <w:bCs/>
          <w:sz w:val="24"/>
        </w:rPr>
        <w:t>本基金份额持有人大会不设日常机构。</w:t>
      </w:r>
    </w:p>
    <w:p w14:paraId="75E706AC" w14:textId="77777777" w:rsidR="00D04107" w:rsidRDefault="000C2DB0">
      <w:pPr>
        <w:spacing w:line="360" w:lineRule="auto"/>
        <w:ind w:firstLineChars="200" w:firstLine="480"/>
        <w:rPr>
          <w:bCs/>
          <w:sz w:val="24"/>
        </w:rPr>
      </w:pPr>
      <w:r>
        <w:rPr>
          <w:rFonts w:hint="eastAsia"/>
          <w:bCs/>
          <w:sz w:val="24"/>
        </w:rPr>
        <w:t>一、</w:t>
      </w:r>
      <w:r>
        <w:rPr>
          <w:bCs/>
          <w:sz w:val="24"/>
        </w:rPr>
        <w:t>召开事由</w:t>
      </w:r>
    </w:p>
    <w:p w14:paraId="3AF7EF98" w14:textId="77777777" w:rsidR="00D04107" w:rsidRDefault="000C2DB0">
      <w:pPr>
        <w:spacing w:line="360" w:lineRule="auto"/>
        <w:ind w:firstLineChars="200" w:firstLine="480"/>
        <w:rPr>
          <w:bCs/>
          <w:sz w:val="24"/>
        </w:rPr>
      </w:pPr>
      <w:r>
        <w:rPr>
          <w:bCs/>
          <w:sz w:val="24"/>
        </w:rPr>
        <w:t>1</w:t>
      </w:r>
      <w:r>
        <w:rPr>
          <w:bCs/>
          <w:sz w:val="24"/>
        </w:rPr>
        <w:t>、当出现或需要决定下列事由之一的，应当召开基金份额持有人大会：</w:t>
      </w:r>
    </w:p>
    <w:p w14:paraId="54AF5E7A" w14:textId="77777777" w:rsidR="00D04107" w:rsidRDefault="000C2DB0">
      <w:pPr>
        <w:spacing w:line="440" w:lineRule="atLeast"/>
        <w:ind w:firstLineChars="200" w:firstLine="480"/>
        <w:rPr>
          <w:bCs/>
          <w:sz w:val="24"/>
        </w:rPr>
      </w:pPr>
      <w:r>
        <w:rPr>
          <w:bCs/>
          <w:sz w:val="24"/>
        </w:rPr>
        <w:t>（</w:t>
      </w:r>
      <w:r>
        <w:rPr>
          <w:rFonts w:hint="eastAsia"/>
          <w:bCs/>
          <w:sz w:val="24"/>
        </w:rPr>
        <w:t>1</w:t>
      </w:r>
      <w:r>
        <w:rPr>
          <w:bCs/>
          <w:sz w:val="24"/>
        </w:rPr>
        <w:t>）</w:t>
      </w:r>
      <w:r>
        <w:rPr>
          <w:rFonts w:hint="eastAsia"/>
          <w:bCs/>
          <w:sz w:val="24"/>
        </w:rPr>
        <w:t>终止《基金</w:t>
      </w:r>
      <w:r>
        <w:rPr>
          <w:bCs/>
          <w:sz w:val="24"/>
        </w:rPr>
        <w:t>合同》；</w:t>
      </w:r>
    </w:p>
    <w:p w14:paraId="66C85A5D" w14:textId="77777777" w:rsidR="00D04107" w:rsidRDefault="000C2DB0">
      <w:pPr>
        <w:spacing w:line="440" w:lineRule="atLeast"/>
        <w:ind w:firstLineChars="200" w:firstLine="480"/>
        <w:rPr>
          <w:bCs/>
          <w:sz w:val="24"/>
        </w:rPr>
      </w:pPr>
      <w:r>
        <w:rPr>
          <w:bCs/>
          <w:sz w:val="24"/>
        </w:rPr>
        <w:t>（</w:t>
      </w:r>
      <w:r>
        <w:rPr>
          <w:bCs/>
          <w:sz w:val="24"/>
        </w:rPr>
        <w:t>2</w:t>
      </w:r>
      <w:r>
        <w:rPr>
          <w:bCs/>
          <w:sz w:val="24"/>
        </w:rPr>
        <w:t>）更换基金管理人；</w:t>
      </w:r>
    </w:p>
    <w:p w14:paraId="2F3F9F24" w14:textId="77777777" w:rsidR="00D04107" w:rsidRDefault="000C2DB0">
      <w:pPr>
        <w:spacing w:line="440" w:lineRule="atLeast"/>
        <w:ind w:firstLineChars="200" w:firstLine="480"/>
        <w:rPr>
          <w:bCs/>
          <w:sz w:val="24"/>
        </w:rPr>
      </w:pPr>
      <w:r>
        <w:rPr>
          <w:bCs/>
          <w:sz w:val="24"/>
        </w:rPr>
        <w:t>（</w:t>
      </w:r>
      <w:r>
        <w:rPr>
          <w:bCs/>
          <w:sz w:val="24"/>
        </w:rPr>
        <w:t>3</w:t>
      </w:r>
      <w:r>
        <w:rPr>
          <w:bCs/>
          <w:sz w:val="24"/>
        </w:rPr>
        <w:t>）更换基金托管人；</w:t>
      </w:r>
    </w:p>
    <w:p w14:paraId="36C8FD7F" w14:textId="77777777" w:rsidR="00D04107" w:rsidRDefault="000C2DB0">
      <w:pPr>
        <w:spacing w:line="440" w:lineRule="atLeast"/>
        <w:ind w:firstLineChars="200" w:firstLine="480"/>
        <w:rPr>
          <w:bCs/>
          <w:sz w:val="24"/>
        </w:rPr>
      </w:pPr>
      <w:r>
        <w:rPr>
          <w:bCs/>
          <w:sz w:val="24"/>
        </w:rPr>
        <w:t>（</w:t>
      </w:r>
      <w:r>
        <w:rPr>
          <w:rFonts w:hint="eastAsia"/>
          <w:bCs/>
          <w:sz w:val="24"/>
        </w:rPr>
        <w:t>4</w:t>
      </w:r>
      <w:r>
        <w:rPr>
          <w:bCs/>
          <w:sz w:val="24"/>
        </w:rPr>
        <w:t>）转换基金运作方式</w:t>
      </w:r>
      <w:r>
        <w:rPr>
          <w:rFonts w:hint="eastAsia"/>
          <w:bCs/>
          <w:sz w:val="24"/>
        </w:rPr>
        <w:t>；</w:t>
      </w:r>
    </w:p>
    <w:p w14:paraId="57B1CDAC" w14:textId="77777777" w:rsidR="00D04107" w:rsidRDefault="000C2DB0">
      <w:pPr>
        <w:spacing w:line="440" w:lineRule="atLeast"/>
        <w:ind w:firstLineChars="200" w:firstLine="480"/>
        <w:rPr>
          <w:bCs/>
          <w:sz w:val="24"/>
        </w:rPr>
      </w:pPr>
      <w:r>
        <w:rPr>
          <w:bCs/>
          <w:sz w:val="24"/>
        </w:rPr>
        <w:t>（</w:t>
      </w:r>
      <w:r>
        <w:rPr>
          <w:rFonts w:hint="eastAsia"/>
          <w:bCs/>
          <w:sz w:val="24"/>
        </w:rPr>
        <w:t>5</w:t>
      </w:r>
      <w:r>
        <w:rPr>
          <w:bCs/>
          <w:sz w:val="24"/>
        </w:rPr>
        <w:t>）</w:t>
      </w:r>
      <w:r>
        <w:rPr>
          <w:rFonts w:hint="eastAsia"/>
          <w:bCs/>
          <w:sz w:val="24"/>
        </w:rPr>
        <w:t>调整提高基金管理人、基金托管人的报酬标准；</w:t>
      </w:r>
    </w:p>
    <w:p w14:paraId="5B2C25D6" w14:textId="77777777" w:rsidR="00D04107" w:rsidRDefault="000C2DB0">
      <w:pPr>
        <w:spacing w:line="440" w:lineRule="atLeast"/>
        <w:ind w:firstLineChars="200" w:firstLine="480"/>
        <w:rPr>
          <w:bCs/>
          <w:sz w:val="24"/>
        </w:rPr>
      </w:pPr>
      <w:r>
        <w:rPr>
          <w:bCs/>
          <w:sz w:val="24"/>
        </w:rPr>
        <w:t>（</w:t>
      </w:r>
      <w:r>
        <w:rPr>
          <w:rFonts w:hint="eastAsia"/>
          <w:bCs/>
          <w:sz w:val="24"/>
        </w:rPr>
        <w:t>6</w:t>
      </w:r>
      <w:r>
        <w:rPr>
          <w:bCs/>
          <w:sz w:val="24"/>
        </w:rPr>
        <w:t>）变更基金类别；</w:t>
      </w:r>
    </w:p>
    <w:p w14:paraId="47B4613A" w14:textId="77777777" w:rsidR="00D04107" w:rsidRDefault="000C2DB0">
      <w:pPr>
        <w:spacing w:line="440" w:lineRule="atLeast"/>
        <w:ind w:firstLineChars="200" w:firstLine="480"/>
        <w:rPr>
          <w:bCs/>
          <w:sz w:val="24"/>
        </w:rPr>
      </w:pPr>
      <w:r>
        <w:rPr>
          <w:bCs/>
          <w:sz w:val="24"/>
        </w:rPr>
        <w:t>（</w:t>
      </w:r>
      <w:r>
        <w:rPr>
          <w:rFonts w:hint="eastAsia"/>
          <w:bCs/>
          <w:sz w:val="24"/>
        </w:rPr>
        <w:t>7</w:t>
      </w:r>
      <w:r>
        <w:rPr>
          <w:bCs/>
          <w:sz w:val="24"/>
        </w:rPr>
        <w:t>）本基金与其他基金的合并；</w:t>
      </w:r>
    </w:p>
    <w:p w14:paraId="6E02C9C8"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）变更基金投资目标、范围或策略；</w:t>
      </w:r>
    </w:p>
    <w:p w14:paraId="7C03E414" w14:textId="77777777" w:rsidR="00D04107" w:rsidRDefault="000C2DB0">
      <w:pPr>
        <w:spacing w:line="440" w:lineRule="atLeast"/>
        <w:ind w:firstLineChars="200" w:firstLine="480"/>
        <w:rPr>
          <w:bCs/>
          <w:sz w:val="24"/>
        </w:rPr>
      </w:pPr>
      <w:r>
        <w:rPr>
          <w:bCs/>
          <w:sz w:val="24"/>
        </w:rPr>
        <w:t>（</w:t>
      </w:r>
      <w:r>
        <w:rPr>
          <w:rFonts w:hint="eastAsia"/>
          <w:bCs/>
          <w:sz w:val="24"/>
        </w:rPr>
        <w:t>9</w:t>
      </w:r>
      <w:r>
        <w:rPr>
          <w:bCs/>
          <w:sz w:val="24"/>
        </w:rPr>
        <w:t>）变更基金份额持有人大会程序；</w:t>
      </w:r>
    </w:p>
    <w:p w14:paraId="3C51DF28" w14:textId="77777777" w:rsidR="00D04107" w:rsidRDefault="000C2DB0">
      <w:pPr>
        <w:spacing w:line="440" w:lineRule="atLeast"/>
        <w:ind w:firstLineChars="200" w:firstLine="480"/>
        <w:rPr>
          <w:bCs/>
          <w:sz w:val="24"/>
        </w:rPr>
      </w:pPr>
      <w:r>
        <w:rPr>
          <w:bCs/>
          <w:sz w:val="24"/>
        </w:rPr>
        <w:t>（</w:t>
      </w:r>
      <w:r>
        <w:rPr>
          <w:rFonts w:hint="eastAsia"/>
          <w:bCs/>
          <w:sz w:val="24"/>
        </w:rPr>
        <w:t>10</w:t>
      </w:r>
      <w:r>
        <w:rPr>
          <w:bCs/>
          <w:sz w:val="24"/>
        </w:rPr>
        <w:t>）基金管理人或基金托管人要求召开基金份额持有人大会；</w:t>
      </w:r>
    </w:p>
    <w:p w14:paraId="2BEAE02B"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1</w:t>
      </w:r>
      <w:r>
        <w:rPr>
          <w:bCs/>
          <w:sz w:val="24"/>
        </w:rPr>
        <w:t>）单独或合计持有本基金总份额</w:t>
      </w:r>
      <w:r>
        <w:rPr>
          <w:bCs/>
          <w:sz w:val="24"/>
        </w:rPr>
        <w:t>10%</w:t>
      </w:r>
      <w:r>
        <w:rPr>
          <w:bCs/>
          <w:sz w:val="24"/>
        </w:rPr>
        <w:t>以上（含</w:t>
      </w:r>
      <w:r>
        <w:rPr>
          <w:bCs/>
          <w:sz w:val="24"/>
        </w:rPr>
        <w:t>10%</w:t>
      </w:r>
      <w:r>
        <w:rPr>
          <w:bCs/>
          <w:sz w:val="24"/>
        </w:rPr>
        <w:t>）基金份额的基金份额持有人（以基金管理人收到提议当日的基金份额计算，下同）就同一事项书面要求召开基金份额持有人大会；</w:t>
      </w:r>
    </w:p>
    <w:p w14:paraId="6CA694E8" w14:textId="77777777" w:rsidR="00D04107" w:rsidRDefault="000C2DB0">
      <w:pPr>
        <w:spacing w:line="440" w:lineRule="atLeast"/>
        <w:ind w:firstLineChars="200" w:firstLine="480"/>
        <w:rPr>
          <w:bCs/>
          <w:sz w:val="24"/>
        </w:rPr>
      </w:pPr>
      <w:r>
        <w:rPr>
          <w:bCs/>
          <w:sz w:val="24"/>
        </w:rPr>
        <w:t>（</w:t>
      </w:r>
      <w:r>
        <w:rPr>
          <w:bCs/>
          <w:sz w:val="24"/>
        </w:rPr>
        <w:t>1</w:t>
      </w:r>
      <w:r>
        <w:rPr>
          <w:rFonts w:hint="eastAsia"/>
          <w:bCs/>
          <w:sz w:val="24"/>
        </w:rPr>
        <w:t>2</w:t>
      </w:r>
      <w:r>
        <w:rPr>
          <w:bCs/>
          <w:sz w:val="24"/>
        </w:rPr>
        <w:t>）对基金</w:t>
      </w:r>
      <w:r>
        <w:rPr>
          <w:rFonts w:hint="eastAsia"/>
          <w:bCs/>
          <w:sz w:val="24"/>
        </w:rPr>
        <w:t>合同</w:t>
      </w:r>
      <w:r>
        <w:rPr>
          <w:bCs/>
          <w:sz w:val="24"/>
        </w:rPr>
        <w:t>当事人权利和义务产生重大影响的其他事项；</w:t>
      </w:r>
    </w:p>
    <w:p w14:paraId="4DAB6677" w14:textId="77777777" w:rsidR="00D04107" w:rsidRDefault="000C2DB0">
      <w:pPr>
        <w:spacing w:line="440" w:lineRule="atLeast"/>
        <w:ind w:firstLineChars="200" w:firstLine="480"/>
        <w:rPr>
          <w:bCs/>
          <w:sz w:val="24"/>
        </w:rPr>
      </w:pPr>
      <w:r>
        <w:rPr>
          <w:bCs/>
          <w:sz w:val="24"/>
        </w:rPr>
        <w:t>（</w:t>
      </w:r>
      <w:r>
        <w:rPr>
          <w:bCs/>
          <w:sz w:val="24"/>
        </w:rPr>
        <w:t>12</w:t>
      </w:r>
      <w:r>
        <w:rPr>
          <w:bCs/>
          <w:sz w:val="24"/>
        </w:rPr>
        <w:t>）法律法规、《基金合同》或中国证监会规定的其他应当召开基金份额持有人大会的事项。</w:t>
      </w:r>
    </w:p>
    <w:p w14:paraId="4386C982" w14:textId="77777777" w:rsidR="00D04107" w:rsidRDefault="000C2DB0">
      <w:pPr>
        <w:spacing w:line="440" w:lineRule="atLeast"/>
        <w:ind w:firstLineChars="200" w:firstLine="480"/>
        <w:rPr>
          <w:bCs/>
          <w:sz w:val="24"/>
        </w:rPr>
      </w:pPr>
      <w:r>
        <w:rPr>
          <w:bCs/>
          <w:sz w:val="24"/>
        </w:rPr>
        <w:t>2</w:t>
      </w:r>
      <w:r>
        <w:rPr>
          <w:bCs/>
          <w:sz w:val="24"/>
        </w:rPr>
        <w:t>、以下情况可由基金管理人和基金托管人协商后修改，不需召开基金份额持有人大会：</w:t>
      </w:r>
    </w:p>
    <w:p w14:paraId="24ED57BF" w14:textId="77777777" w:rsidR="00D04107" w:rsidRDefault="000C2DB0">
      <w:pPr>
        <w:spacing w:line="360" w:lineRule="auto"/>
        <w:ind w:firstLineChars="200" w:firstLine="480"/>
        <w:rPr>
          <w:bCs/>
          <w:sz w:val="24"/>
        </w:rPr>
      </w:pPr>
      <w:r>
        <w:rPr>
          <w:bCs/>
          <w:sz w:val="24"/>
        </w:rPr>
        <w:t>（</w:t>
      </w:r>
      <w:r>
        <w:rPr>
          <w:bCs/>
          <w:sz w:val="24"/>
        </w:rPr>
        <w:t>1</w:t>
      </w:r>
      <w:r>
        <w:rPr>
          <w:bCs/>
          <w:sz w:val="24"/>
        </w:rPr>
        <w:t>）调低</w:t>
      </w:r>
      <w:r>
        <w:rPr>
          <w:rFonts w:hint="eastAsia"/>
          <w:bCs/>
          <w:sz w:val="24"/>
        </w:rPr>
        <w:t>除</w:t>
      </w:r>
      <w:r>
        <w:rPr>
          <w:bCs/>
          <w:sz w:val="24"/>
        </w:rPr>
        <w:t>基金管理费、基金托管费</w:t>
      </w:r>
      <w:r>
        <w:rPr>
          <w:rFonts w:hint="eastAsia"/>
          <w:bCs/>
          <w:sz w:val="24"/>
        </w:rPr>
        <w:t>外其他应由基金承担的费用</w:t>
      </w:r>
      <w:r>
        <w:rPr>
          <w:bCs/>
          <w:sz w:val="24"/>
        </w:rPr>
        <w:t>；</w:t>
      </w:r>
    </w:p>
    <w:p w14:paraId="404BF3DB" w14:textId="77777777" w:rsidR="00D04107" w:rsidRDefault="000C2DB0">
      <w:pPr>
        <w:spacing w:line="360" w:lineRule="auto"/>
        <w:ind w:firstLineChars="200" w:firstLine="480"/>
        <w:rPr>
          <w:bCs/>
          <w:sz w:val="24"/>
        </w:rPr>
      </w:pPr>
      <w:r>
        <w:rPr>
          <w:bCs/>
          <w:sz w:val="24"/>
        </w:rPr>
        <w:t>（</w:t>
      </w:r>
      <w:r>
        <w:rPr>
          <w:bCs/>
          <w:sz w:val="24"/>
        </w:rPr>
        <w:t>2</w:t>
      </w:r>
      <w:r>
        <w:rPr>
          <w:bCs/>
          <w:sz w:val="24"/>
        </w:rPr>
        <w:t>）法律法规要求增加的基金费用的收取；</w:t>
      </w:r>
    </w:p>
    <w:p w14:paraId="3CD6FE9D" w14:textId="77777777" w:rsidR="00D04107" w:rsidRDefault="000C2DB0">
      <w:pPr>
        <w:spacing w:line="360" w:lineRule="auto"/>
        <w:ind w:firstLineChars="200" w:firstLine="480"/>
        <w:rPr>
          <w:bCs/>
          <w:sz w:val="24"/>
        </w:rPr>
      </w:pPr>
      <w:r>
        <w:rPr>
          <w:bCs/>
          <w:sz w:val="24"/>
        </w:rPr>
        <w:t>（</w:t>
      </w:r>
      <w:r>
        <w:rPr>
          <w:bCs/>
          <w:sz w:val="24"/>
        </w:rPr>
        <w:t>3</w:t>
      </w:r>
      <w:r>
        <w:rPr>
          <w:bCs/>
          <w:sz w:val="24"/>
        </w:rPr>
        <w:t>）在法律法规和《基金合同》规定的范围内</w:t>
      </w:r>
      <w:r>
        <w:rPr>
          <w:rFonts w:hint="eastAsia"/>
          <w:bCs/>
          <w:sz w:val="24"/>
        </w:rPr>
        <w:t>且对现有基金份额持有人利益无实质性不利影响的前提下变更收费方式或调整基金份额类别设置</w:t>
      </w:r>
      <w:r>
        <w:rPr>
          <w:bCs/>
          <w:sz w:val="24"/>
        </w:rPr>
        <w:t>；</w:t>
      </w:r>
    </w:p>
    <w:p w14:paraId="1EF28FA6" w14:textId="77777777" w:rsidR="00D04107" w:rsidRDefault="000C2DB0">
      <w:pPr>
        <w:spacing w:line="360" w:lineRule="auto"/>
        <w:ind w:firstLineChars="200" w:firstLine="480"/>
        <w:rPr>
          <w:bCs/>
          <w:sz w:val="24"/>
        </w:rPr>
      </w:pPr>
      <w:r>
        <w:rPr>
          <w:bCs/>
          <w:sz w:val="24"/>
        </w:rPr>
        <w:t>（</w:t>
      </w:r>
      <w:r>
        <w:rPr>
          <w:bCs/>
          <w:sz w:val="24"/>
        </w:rPr>
        <w:t>4</w:t>
      </w:r>
      <w:r>
        <w:rPr>
          <w:bCs/>
          <w:sz w:val="24"/>
        </w:rPr>
        <w:t>）因相应的法律法规发生变动而应当对《基金合同》进行修改；</w:t>
      </w:r>
    </w:p>
    <w:p w14:paraId="5A7D9923" w14:textId="77777777" w:rsidR="00D04107" w:rsidRDefault="000C2DB0">
      <w:pPr>
        <w:spacing w:line="360" w:lineRule="auto"/>
        <w:ind w:firstLineChars="200" w:firstLine="480"/>
        <w:rPr>
          <w:bCs/>
          <w:sz w:val="24"/>
        </w:rPr>
      </w:pPr>
      <w:r>
        <w:rPr>
          <w:bCs/>
          <w:sz w:val="24"/>
        </w:rPr>
        <w:lastRenderedPageBreak/>
        <w:t>（</w:t>
      </w:r>
      <w:r>
        <w:rPr>
          <w:bCs/>
          <w:sz w:val="24"/>
        </w:rPr>
        <w:t>5</w:t>
      </w:r>
      <w:r>
        <w:rPr>
          <w:bCs/>
          <w:sz w:val="24"/>
        </w:rPr>
        <w:t>）对《基金合同》的修改对基金份额持有人利益无实质性不利影响或修改不涉及《基金合同》当事人权利义务关系发生</w:t>
      </w:r>
      <w:r>
        <w:rPr>
          <w:rFonts w:hint="eastAsia"/>
          <w:bCs/>
          <w:sz w:val="24"/>
        </w:rPr>
        <w:t>重大</w:t>
      </w:r>
      <w:r>
        <w:rPr>
          <w:bCs/>
          <w:sz w:val="24"/>
        </w:rPr>
        <w:t>变化；</w:t>
      </w:r>
    </w:p>
    <w:p w14:paraId="1F68B8A5" w14:textId="77777777" w:rsidR="00D04107" w:rsidRDefault="000C2DB0">
      <w:pPr>
        <w:spacing w:line="440" w:lineRule="atLeast"/>
        <w:ind w:firstLineChars="200" w:firstLine="480"/>
        <w:rPr>
          <w:bCs/>
          <w:sz w:val="24"/>
        </w:rPr>
      </w:pPr>
      <w:r>
        <w:rPr>
          <w:rFonts w:hint="eastAsia"/>
          <w:bCs/>
          <w:sz w:val="24"/>
        </w:rPr>
        <w:t>（</w:t>
      </w:r>
      <w:r>
        <w:rPr>
          <w:rFonts w:hint="eastAsia"/>
          <w:bCs/>
          <w:sz w:val="24"/>
        </w:rPr>
        <w:t>6</w:t>
      </w:r>
      <w:r>
        <w:rPr>
          <w:rFonts w:hint="eastAsia"/>
          <w:bCs/>
          <w:sz w:val="24"/>
        </w:rPr>
        <w:t>）在不违反法律法规、基金合同且对现有基金份额持有人利益无实质不利影响的前提下，基金管理人、登记机构、基金销售机构调整有关认购、申购、赎回、转换、基金交易、非交易过户、转托管等业务规则；</w:t>
      </w:r>
    </w:p>
    <w:p w14:paraId="0F805F1F" w14:textId="77777777" w:rsidR="00D04107" w:rsidRDefault="000C2DB0">
      <w:pPr>
        <w:spacing w:line="440" w:lineRule="atLeast"/>
        <w:ind w:firstLineChars="200" w:firstLine="480"/>
        <w:rPr>
          <w:bCs/>
          <w:sz w:val="24"/>
        </w:rPr>
      </w:pPr>
      <w:r>
        <w:rPr>
          <w:rFonts w:hint="eastAsia"/>
          <w:bCs/>
          <w:sz w:val="24"/>
        </w:rPr>
        <w:t>（</w:t>
      </w:r>
      <w:r>
        <w:rPr>
          <w:rFonts w:hint="eastAsia"/>
          <w:bCs/>
          <w:sz w:val="24"/>
        </w:rPr>
        <w:t>7</w:t>
      </w:r>
      <w:r>
        <w:rPr>
          <w:rFonts w:hint="eastAsia"/>
          <w:bCs/>
          <w:sz w:val="24"/>
        </w:rPr>
        <w:t>）在法律法规或中国证监会允许的范围内且对现有基金份额持有人利益无实质不利影响的前提下推出新业务或服务；</w:t>
      </w:r>
    </w:p>
    <w:p w14:paraId="4ACDDF2F" w14:textId="77777777" w:rsidR="00D04107" w:rsidRDefault="000C2DB0">
      <w:pPr>
        <w:spacing w:line="440" w:lineRule="atLeast"/>
        <w:ind w:firstLineChars="200" w:firstLine="480"/>
        <w:rPr>
          <w:bCs/>
          <w:sz w:val="24"/>
        </w:rPr>
      </w:pPr>
      <w:r>
        <w:rPr>
          <w:bCs/>
          <w:sz w:val="24"/>
        </w:rPr>
        <w:t>（</w:t>
      </w:r>
      <w:r>
        <w:rPr>
          <w:rFonts w:hint="eastAsia"/>
          <w:bCs/>
          <w:sz w:val="24"/>
        </w:rPr>
        <w:t>8</w:t>
      </w:r>
      <w:r>
        <w:rPr>
          <w:bCs/>
          <w:sz w:val="24"/>
        </w:rPr>
        <w:t>）按照法律法规和《基金合同》规定不需召开基金份额持有人大会的以外的其他情形。</w:t>
      </w:r>
    </w:p>
    <w:p w14:paraId="56F7ED62" w14:textId="77777777" w:rsidR="00D04107" w:rsidRDefault="000C2DB0">
      <w:pPr>
        <w:spacing w:line="360" w:lineRule="auto"/>
        <w:ind w:firstLineChars="200" w:firstLine="480"/>
        <w:rPr>
          <w:bCs/>
          <w:sz w:val="24"/>
        </w:rPr>
      </w:pPr>
      <w:r>
        <w:rPr>
          <w:rFonts w:hint="eastAsia"/>
          <w:bCs/>
          <w:sz w:val="24"/>
        </w:rPr>
        <w:t>3</w:t>
      </w:r>
      <w:r>
        <w:rPr>
          <w:rFonts w:hint="eastAsia"/>
          <w:bCs/>
          <w:sz w:val="24"/>
        </w:rPr>
        <w:t>、当影子定价确定的基金资产净值与摊余成本法计算的基金资产净值的负偏离度绝对值连续两个交易日超过</w:t>
      </w:r>
      <w:r>
        <w:rPr>
          <w:rFonts w:hint="eastAsia"/>
          <w:bCs/>
          <w:sz w:val="24"/>
        </w:rPr>
        <w:t>0.5%</w:t>
      </w:r>
      <w:r>
        <w:rPr>
          <w:rFonts w:hint="eastAsia"/>
          <w:bCs/>
          <w:sz w:val="24"/>
        </w:rPr>
        <w:t>，且基金管理人决定暂停接受所有赎回申请并终止基金合同，则基金合同将根据第十九部分的约定进行基金财产清算并终止，且无须召开基金份额持有人大会。</w:t>
      </w:r>
    </w:p>
    <w:p w14:paraId="005AA43E" w14:textId="77777777" w:rsidR="00D04107" w:rsidRDefault="000C2DB0">
      <w:pPr>
        <w:spacing w:line="360" w:lineRule="auto"/>
        <w:ind w:firstLineChars="200" w:firstLine="480"/>
        <w:rPr>
          <w:bCs/>
          <w:sz w:val="24"/>
        </w:rPr>
      </w:pPr>
      <w:r>
        <w:rPr>
          <w:rFonts w:hint="eastAsia"/>
          <w:bCs/>
          <w:sz w:val="24"/>
        </w:rPr>
        <w:t>（二）</w:t>
      </w:r>
      <w:r>
        <w:rPr>
          <w:bCs/>
          <w:sz w:val="24"/>
        </w:rPr>
        <w:t>会议召集人及召集方式</w:t>
      </w:r>
    </w:p>
    <w:p w14:paraId="305B979F" w14:textId="77777777" w:rsidR="00D04107" w:rsidRDefault="000C2DB0">
      <w:pPr>
        <w:spacing w:line="360" w:lineRule="auto"/>
        <w:ind w:firstLineChars="200" w:firstLine="480"/>
        <w:rPr>
          <w:bCs/>
          <w:sz w:val="24"/>
        </w:rPr>
      </w:pPr>
      <w:r>
        <w:rPr>
          <w:bCs/>
          <w:sz w:val="24"/>
        </w:rPr>
        <w:t>1</w:t>
      </w:r>
      <w:r>
        <w:rPr>
          <w:bCs/>
          <w:sz w:val="24"/>
        </w:rPr>
        <w:t>、除法律法规规定或《基金合同》另有约定外，基金份额持有人大会由基金管理人召集</w:t>
      </w:r>
      <w:r>
        <w:rPr>
          <w:rFonts w:hint="eastAsia"/>
          <w:bCs/>
          <w:sz w:val="24"/>
        </w:rPr>
        <w:t>。</w:t>
      </w:r>
    </w:p>
    <w:p w14:paraId="44D471F9" w14:textId="77777777" w:rsidR="00D04107" w:rsidRDefault="000C2DB0">
      <w:pPr>
        <w:spacing w:line="360" w:lineRule="auto"/>
        <w:ind w:firstLineChars="200" w:firstLine="480"/>
        <w:rPr>
          <w:bCs/>
          <w:sz w:val="24"/>
        </w:rPr>
      </w:pPr>
      <w:r>
        <w:rPr>
          <w:bCs/>
          <w:sz w:val="24"/>
        </w:rPr>
        <w:t>2</w:t>
      </w:r>
      <w:r>
        <w:rPr>
          <w:bCs/>
          <w:sz w:val="24"/>
        </w:rPr>
        <w:t>、基金管理人未按规定召集或不能召集时，由基金托管人召集</w:t>
      </w:r>
      <w:r>
        <w:rPr>
          <w:rFonts w:hint="eastAsia"/>
          <w:bCs/>
          <w:sz w:val="24"/>
        </w:rPr>
        <w:t>。</w:t>
      </w:r>
    </w:p>
    <w:p w14:paraId="25254310" w14:textId="77777777" w:rsidR="00D04107" w:rsidRDefault="000C2DB0" w:rsidP="009A34C5">
      <w:pPr>
        <w:spacing w:line="360" w:lineRule="auto"/>
        <w:ind w:firstLineChars="200" w:firstLine="480"/>
        <w:rPr>
          <w:bCs/>
          <w:sz w:val="24"/>
        </w:rPr>
      </w:pPr>
      <w:r>
        <w:rPr>
          <w:bCs/>
          <w:sz w:val="24"/>
        </w:rPr>
        <w:t>3</w:t>
      </w:r>
      <w:r>
        <w:rPr>
          <w:bCs/>
          <w:sz w:val="24"/>
        </w:rPr>
        <w:t>、基金托管人认为有必要召开基金份额持有人大会的，应当向基金管理人提出书面提议。基金管理人应当自收到书面提议之日起</w:t>
      </w:r>
      <w:r>
        <w:rPr>
          <w:bCs/>
          <w:sz w:val="24"/>
        </w:rPr>
        <w:t xml:space="preserve"> 10</w:t>
      </w:r>
      <w:r>
        <w:rPr>
          <w:bCs/>
          <w:sz w:val="24"/>
        </w:rPr>
        <w:t>日内决定是否召集，并书面告知基金托管人。基金管理人决定召集的，应当自出具书面决定之日起</w:t>
      </w:r>
      <w:r>
        <w:rPr>
          <w:bCs/>
          <w:sz w:val="24"/>
        </w:rPr>
        <w:t>60</w:t>
      </w:r>
      <w:r>
        <w:rPr>
          <w:bCs/>
          <w:sz w:val="24"/>
        </w:rPr>
        <w:t>日内召开；基金管理人决定不召集，基金托管人仍认为有必要召开的，应当由基金托管人自行召集</w:t>
      </w:r>
      <w:r>
        <w:rPr>
          <w:rFonts w:hint="eastAsia"/>
          <w:bCs/>
          <w:sz w:val="24"/>
        </w:rPr>
        <w:t>，并自出具书面决定之日起</w:t>
      </w:r>
      <w:r>
        <w:rPr>
          <w:rFonts w:hint="eastAsia"/>
          <w:bCs/>
          <w:sz w:val="24"/>
        </w:rPr>
        <w:t>60</w:t>
      </w:r>
      <w:r>
        <w:rPr>
          <w:rFonts w:hint="eastAsia"/>
          <w:bCs/>
          <w:sz w:val="24"/>
        </w:rPr>
        <w:t>日内召开并告知基金管理人，基金管理人应当配合</w:t>
      </w:r>
      <w:r>
        <w:rPr>
          <w:bCs/>
          <w:sz w:val="24"/>
        </w:rPr>
        <w:t>。</w:t>
      </w:r>
    </w:p>
    <w:p w14:paraId="218A7BFB" w14:textId="77777777" w:rsidR="00D04107" w:rsidRDefault="000C2DB0" w:rsidP="009A34C5">
      <w:pPr>
        <w:spacing w:line="360" w:lineRule="auto"/>
        <w:ind w:firstLineChars="200" w:firstLine="480"/>
        <w:rPr>
          <w:bCs/>
          <w:sz w:val="24"/>
        </w:rPr>
      </w:pPr>
      <w:r>
        <w:rPr>
          <w:bCs/>
          <w:sz w:val="24"/>
        </w:rPr>
        <w:t>4</w:t>
      </w:r>
      <w:r>
        <w:rPr>
          <w:bCs/>
          <w:sz w:val="24"/>
        </w:rPr>
        <w:t>、代表基金份额</w:t>
      </w:r>
      <w:r>
        <w:rPr>
          <w:bCs/>
          <w:sz w:val="24"/>
        </w:rPr>
        <w:t>10%</w:t>
      </w:r>
      <w:r>
        <w:rPr>
          <w:bCs/>
          <w:sz w:val="24"/>
        </w:rPr>
        <w:t>以上（含</w:t>
      </w:r>
      <w:r>
        <w:rPr>
          <w:bCs/>
          <w:sz w:val="24"/>
        </w:rPr>
        <w:t>10%</w:t>
      </w:r>
      <w:r>
        <w:rPr>
          <w:bCs/>
          <w:sz w:val="24"/>
        </w:rPr>
        <w:t>）的基金份额持有人就同一事项书面要求召开基金份额持有人大会，应当向基金管理人提出书面提议。基金管理人应当自收到书面提议之日起</w:t>
      </w:r>
      <w:r>
        <w:rPr>
          <w:bCs/>
          <w:sz w:val="24"/>
        </w:rPr>
        <w:t>10</w:t>
      </w:r>
      <w:r>
        <w:rPr>
          <w:bCs/>
          <w:sz w:val="24"/>
        </w:rPr>
        <w:t>日内决定是否召集，并书面告知提出提议的基金份额持有人代表和基金托管人。基金管理人决定召集的，应当自出具书面决定之日起</w:t>
      </w:r>
      <w:r>
        <w:rPr>
          <w:bCs/>
          <w:sz w:val="24"/>
        </w:rPr>
        <w:t>60</w:t>
      </w:r>
      <w:r>
        <w:rPr>
          <w:bCs/>
          <w:sz w:val="24"/>
        </w:rPr>
        <w:t>日内召开；基金管理人决定不召集，</w:t>
      </w:r>
      <w:r>
        <w:rPr>
          <w:rFonts w:hint="eastAsia"/>
          <w:bCs/>
          <w:sz w:val="24"/>
        </w:rPr>
        <w:t>单</w:t>
      </w:r>
      <w:r>
        <w:rPr>
          <w:bCs/>
          <w:sz w:val="24"/>
        </w:rPr>
        <w:t>独或合计代表基金份额</w:t>
      </w:r>
      <w:r>
        <w:rPr>
          <w:bCs/>
          <w:sz w:val="24"/>
        </w:rPr>
        <w:t>10%</w:t>
      </w:r>
      <w:r>
        <w:rPr>
          <w:bCs/>
          <w:sz w:val="24"/>
        </w:rPr>
        <w:t>以上（含</w:t>
      </w:r>
      <w:r>
        <w:rPr>
          <w:bCs/>
          <w:sz w:val="24"/>
        </w:rPr>
        <w:t>10%</w:t>
      </w:r>
      <w:r>
        <w:rPr>
          <w:bCs/>
          <w:sz w:val="24"/>
        </w:rPr>
        <w:t>）的基金份额</w:t>
      </w:r>
      <w:r>
        <w:rPr>
          <w:bCs/>
          <w:sz w:val="24"/>
        </w:rPr>
        <w:lastRenderedPageBreak/>
        <w:t>持有人仍认为有必要召开的，应当向基金托管人提出书面提议。基金托管人应当自收到书面提议之日起</w:t>
      </w:r>
      <w:r>
        <w:rPr>
          <w:bCs/>
          <w:sz w:val="24"/>
        </w:rPr>
        <w:t>10</w:t>
      </w:r>
      <w:r>
        <w:rPr>
          <w:bCs/>
          <w:sz w:val="24"/>
        </w:rPr>
        <w:t>日内决定是否召集，并书面告知提出提议的基金份额持有人代表和基金管理人；基金托管人决定召集的，应当自出具书面决定之日起</w:t>
      </w:r>
      <w:r>
        <w:rPr>
          <w:bCs/>
          <w:sz w:val="24"/>
        </w:rPr>
        <w:t>60</w:t>
      </w:r>
      <w:r>
        <w:rPr>
          <w:bCs/>
          <w:sz w:val="24"/>
        </w:rPr>
        <w:t>日内召开。</w:t>
      </w:r>
    </w:p>
    <w:p w14:paraId="58C30461" w14:textId="77777777" w:rsidR="00D04107" w:rsidRDefault="000C2DB0">
      <w:pPr>
        <w:spacing w:line="360" w:lineRule="auto"/>
        <w:ind w:firstLineChars="200" w:firstLine="480"/>
        <w:rPr>
          <w:bCs/>
          <w:sz w:val="24"/>
        </w:rPr>
      </w:pPr>
      <w:r>
        <w:rPr>
          <w:bCs/>
          <w:sz w:val="24"/>
        </w:rPr>
        <w:t>5</w:t>
      </w:r>
      <w:r>
        <w:rPr>
          <w:bCs/>
          <w:sz w:val="24"/>
        </w:rPr>
        <w:t>、</w:t>
      </w:r>
      <w:r>
        <w:rPr>
          <w:rFonts w:ascii="宋体" w:hAnsi="宋体" w:hint="eastAsia"/>
          <w:bCs/>
          <w:sz w:val="24"/>
        </w:rPr>
        <w:t>单独或合计</w:t>
      </w:r>
      <w:r>
        <w:rPr>
          <w:bCs/>
          <w:sz w:val="24"/>
        </w:rPr>
        <w:t>代表基金份额</w:t>
      </w:r>
      <w:r>
        <w:rPr>
          <w:bCs/>
          <w:sz w:val="24"/>
        </w:rPr>
        <w:t>10%</w:t>
      </w:r>
      <w:r>
        <w:rPr>
          <w:bCs/>
          <w:sz w:val="24"/>
        </w:rPr>
        <w:t>以上（含</w:t>
      </w:r>
      <w:r>
        <w:rPr>
          <w:bCs/>
          <w:sz w:val="24"/>
        </w:rPr>
        <w:t>10%</w:t>
      </w:r>
      <w:r>
        <w:rPr>
          <w:bCs/>
          <w:sz w:val="24"/>
        </w:rPr>
        <w:t>）的基金份额持有人就同一事项要求召开基金份额持有人大会，而基金管理人、基金托管人都不召集的，单独或合计代表基金份额</w:t>
      </w:r>
      <w:r>
        <w:rPr>
          <w:bCs/>
          <w:sz w:val="24"/>
        </w:rPr>
        <w:t>10%</w:t>
      </w:r>
      <w:r>
        <w:rPr>
          <w:bCs/>
          <w:sz w:val="24"/>
        </w:rPr>
        <w:t>以上（含</w:t>
      </w:r>
      <w:r>
        <w:rPr>
          <w:bCs/>
          <w:sz w:val="24"/>
        </w:rPr>
        <w:t>10%</w:t>
      </w:r>
      <w:r>
        <w:rPr>
          <w:bCs/>
          <w:sz w:val="24"/>
        </w:rPr>
        <w:t>）的基金份额持有人有权自行召集，并至少提前</w:t>
      </w:r>
      <w:r>
        <w:rPr>
          <w:bCs/>
          <w:sz w:val="24"/>
        </w:rPr>
        <w:t>30</w:t>
      </w:r>
      <w:r>
        <w:rPr>
          <w:bCs/>
          <w:sz w:val="24"/>
        </w:rPr>
        <w:t>日报中国证监会备案。基金份额持有人依法自行召集基金份额持有人大会的，基金管理人、基金托管人应当配合，不得阻碍、干扰。</w:t>
      </w:r>
    </w:p>
    <w:p w14:paraId="4C8BDFEB" w14:textId="77777777" w:rsidR="00D04107" w:rsidRDefault="000C2DB0">
      <w:pPr>
        <w:spacing w:line="360" w:lineRule="auto"/>
        <w:ind w:firstLineChars="200" w:firstLine="480"/>
        <w:rPr>
          <w:bCs/>
          <w:sz w:val="24"/>
        </w:rPr>
      </w:pPr>
      <w:r>
        <w:rPr>
          <w:bCs/>
          <w:sz w:val="24"/>
        </w:rPr>
        <w:t>6</w:t>
      </w:r>
      <w:r>
        <w:rPr>
          <w:bCs/>
          <w:sz w:val="24"/>
        </w:rPr>
        <w:t>、基金份额持有人会议的召集人负责选择确定开会时间、地点、方式和权益登记日。</w:t>
      </w:r>
    </w:p>
    <w:p w14:paraId="2D1A1CAE" w14:textId="77777777" w:rsidR="00D04107" w:rsidRDefault="000C2DB0">
      <w:pPr>
        <w:spacing w:line="360" w:lineRule="auto"/>
        <w:ind w:firstLineChars="200" w:firstLine="480"/>
        <w:rPr>
          <w:bCs/>
          <w:sz w:val="24"/>
        </w:rPr>
      </w:pPr>
      <w:r>
        <w:rPr>
          <w:rFonts w:hint="eastAsia"/>
          <w:bCs/>
          <w:sz w:val="24"/>
        </w:rPr>
        <w:t>三、</w:t>
      </w:r>
      <w:r>
        <w:rPr>
          <w:bCs/>
          <w:sz w:val="24"/>
        </w:rPr>
        <w:t>召开基金份额持有人大会的通知时间、通知内容、通知方式</w:t>
      </w:r>
    </w:p>
    <w:p w14:paraId="5DCAFEAC" w14:textId="77777777" w:rsidR="00D04107" w:rsidRDefault="000C2DB0">
      <w:pPr>
        <w:spacing w:line="360" w:lineRule="auto"/>
        <w:ind w:firstLineChars="200" w:firstLine="480"/>
        <w:rPr>
          <w:bCs/>
          <w:sz w:val="24"/>
        </w:rPr>
      </w:pPr>
      <w:r>
        <w:rPr>
          <w:bCs/>
          <w:sz w:val="24"/>
        </w:rPr>
        <w:t>1</w:t>
      </w:r>
      <w:r>
        <w:rPr>
          <w:bCs/>
          <w:sz w:val="24"/>
        </w:rPr>
        <w:t>、召开基金份额持有人大会，召集人应于会议召开前</w:t>
      </w:r>
      <w:r>
        <w:rPr>
          <w:bCs/>
          <w:sz w:val="24"/>
        </w:rPr>
        <w:t>30</w:t>
      </w:r>
      <w:r>
        <w:rPr>
          <w:bCs/>
          <w:sz w:val="24"/>
        </w:rPr>
        <w:t>日，在指定媒介公告。基金份额持有人大会通知应至少载明以下内容：</w:t>
      </w:r>
    </w:p>
    <w:p w14:paraId="4F9906EB" w14:textId="77777777" w:rsidR="00D04107" w:rsidRDefault="000C2DB0">
      <w:pPr>
        <w:spacing w:line="360" w:lineRule="auto"/>
        <w:ind w:firstLineChars="200" w:firstLine="480"/>
        <w:rPr>
          <w:bCs/>
          <w:sz w:val="24"/>
        </w:rPr>
      </w:pPr>
      <w:r>
        <w:rPr>
          <w:bCs/>
          <w:sz w:val="24"/>
        </w:rPr>
        <w:t>（</w:t>
      </w:r>
      <w:r>
        <w:rPr>
          <w:bCs/>
          <w:sz w:val="24"/>
        </w:rPr>
        <w:t>1</w:t>
      </w:r>
      <w:r>
        <w:rPr>
          <w:bCs/>
          <w:sz w:val="24"/>
        </w:rPr>
        <w:t>）会议召开的时间、地点和会议形式；</w:t>
      </w:r>
    </w:p>
    <w:p w14:paraId="3CAB3791" w14:textId="77777777" w:rsidR="00D04107" w:rsidRDefault="000C2DB0">
      <w:pPr>
        <w:spacing w:line="360" w:lineRule="auto"/>
        <w:ind w:firstLineChars="200" w:firstLine="480"/>
        <w:rPr>
          <w:bCs/>
          <w:sz w:val="24"/>
        </w:rPr>
      </w:pPr>
      <w:r>
        <w:rPr>
          <w:bCs/>
          <w:sz w:val="24"/>
        </w:rPr>
        <w:t>（</w:t>
      </w:r>
      <w:r>
        <w:rPr>
          <w:bCs/>
          <w:sz w:val="24"/>
        </w:rPr>
        <w:t>2</w:t>
      </w:r>
      <w:r>
        <w:rPr>
          <w:bCs/>
          <w:sz w:val="24"/>
        </w:rPr>
        <w:t>）会议拟审议的事项、议事程序和表决方式；</w:t>
      </w:r>
    </w:p>
    <w:p w14:paraId="0F7F997C" w14:textId="77777777" w:rsidR="00D04107" w:rsidRDefault="000C2DB0">
      <w:pPr>
        <w:spacing w:line="360" w:lineRule="auto"/>
        <w:ind w:firstLineChars="200" w:firstLine="480"/>
        <w:rPr>
          <w:bCs/>
          <w:sz w:val="24"/>
        </w:rPr>
      </w:pPr>
      <w:r>
        <w:rPr>
          <w:bCs/>
          <w:sz w:val="24"/>
        </w:rPr>
        <w:t>（</w:t>
      </w:r>
      <w:r>
        <w:rPr>
          <w:bCs/>
          <w:sz w:val="24"/>
        </w:rPr>
        <w:t>3</w:t>
      </w:r>
      <w:r>
        <w:rPr>
          <w:bCs/>
          <w:sz w:val="24"/>
        </w:rPr>
        <w:t>）有权出席基金份额持有人大会的基金份额持有人的权益登记日；</w:t>
      </w:r>
    </w:p>
    <w:p w14:paraId="2D2FDB6D" w14:textId="77777777" w:rsidR="00D04107" w:rsidRDefault="000C2DB0">
      <w:pPr>
        <w:spacing w:line="360" w:lineRule="auto"/>
        <w:ind w:firstLineChars="200" w:firstLine="480"/>
        <w:rPr>
          <w:bCs/>
          <w:sz w:val="24"/>
        </w:rPr>
      </w:pPr>
      <w:r>
        <w:rPr>
          <w:bCs/>
          <w:sz w:val="24"/>
        </w:rPr>
        <w:t>（</w:t>
      </w:r>
      <w:r>
        <w:rPr>
          <w:bCs/>
          <w:sz w:val="24"/>
        </w:rPr>
        <w:t>4</w:t>
      </w:r>
      <w:r>
        <w:rPr>
          <w:bCs/>
          <w:sz w:val="24"/>
        </w:rPr>
        <w:t>）授权委托证明的内容要求（包括但不限于代理人身份，代理权限和代理有效期限等）、送达时间和地点</w:t>
      </w:r>
      <w:r w:rsidR="00557EA8">
        <w:rPr>
          <w:bCs/>
          <w:sz w:val="24"/>
        </w:rPr>
        <w:t>；</w:t>
      </w:r>
    </w:p>
    <w:p w14:paraId="2001B2FA" w14:textId="77777777" w:rsidR="00D04107" w:rsidRDefault="000C2DB0">
      <w:pPr>
        <w:spacing w:line="360" w:lineRule="auto"/>
        <w:ind w:firstLineChars="200" w:firstLine="480"/>
        <w:rPr>
          <w:bCs/>
          <w:sz w:val="24"/>
        </w:rPr>
      </w:pPr>
      <w:r>
        <w:rPr>
          <w:bCs/>
          <w:sz w:val="24"/>
        </w:rPr>
        <w:t>（</w:t>
      </w:r>
      <w:r>
        <w:rPr>
          <w:bCs/>
          <w:sz w:val="24"/>
        </w:rPr>
        <w:t>5</w:t>
      </w:r>
      <w:r>
        <w:rPr>
          <w:bCs/>
          <w:sz w:val="24"/>
        </w:rPr>
        <w:t>）会务常设联系人姓名及联系电话；</w:t>
      </w:r>
    </w:p>
    <w:p w14:paraId="7C3BD425" w14:textId="77777777" w:rsidR="00D04107" w:rsidRDefault="000C2DB0">
      <w:pPr>
        <w:spacing w:line="360" w:lineRule="auto"/>
        <w:ind w:firstLineChars="200" w:firstLine="480"/>
        <w:rPr>
          <w:bCs/>
          <w:sz w:val="24"/>
        </w:rPr>
      </w:pPr>
      <w:r>
        <w:rPr>
          <w:bCs/>
          <w:sz w:val="24"/>
        </w:rPr>
        <w:t>（</w:t>
      </w:r>
      <w:r>
        <w:rPr>
          <w:bCs/>
          <w:sz w:val="24"/>
        </w:rPr>
        <w:t>6</w:t>
      </w:r>
      <w:r>
        <w:rPr>
          <w:bCs/>
          <w:sz w:val="24"/>
        </w:rPr>
        <w:t>）出席会议者必须准备的文件和必须履行的手续；</w:t>
      </w:r>
    </w:p>
    <w:p w14:paraId="1E46798B" w14:textId="77777777" w:rsidR="00D04107" w:rsidRDefault="000C2DB0">
      <w:pPr>
        <w:spacing w:line="360" w:lineRule="auto"/>
        <w:ind w:firstLineChars="200" w:firstLine="480"/>
        <w:rPr>
          <w:bCs/>
          <w:sz w:val="24"/>
        </w:rPr>
      </w:pPr>
      <w:r>
        <w:rPr>
          <w:bCs/>
          <w:sz w:val="24"/>
        </w:rPr>
        <w:t>（</w:t>
      </w:r>
      <w:r>
        <w:rPr>
          <w:bCs/>
          <w:sz w:val="24"/>
        </w:rPr>
        <w:t>7</w:t>
      </w:r>
      <w:r>
        <w:rPr>
          <w:bCs/>
          <w:sz w:val="24"/>
        </w:rPr>
        <w:t>）召集人需要通知的其他事项。</w:t>
      </w:r>
    </w:p>
    <w:p w14:paraId="10B184C5" w14:textId="77777777" w:rsidR="00D04107" w:rsidRDefault="000C2DB0">
      <w:pPr>
        <w:spacing w:line="360" w:lineRule="auto"/>
        <w:ind w:firstLineChars="200" w:firstLine="480"/>
        <w:rPr>
          <w:bCs/>
          <w:sz w:val="24"/>
        </w:rPr>
      </w:pPr>
      <w:r>
        <w:rPr>
          <w:bCs/>
          <w:sz w:val="24"/>
        </w:rPr>
        <w:t>2</w:t>
      </w:r>
      <w:r>
        <w:rPr>
          <w:bCs/>
          <w:sz w:val="24"/>
        </w:rPr>
        <w:t>、采取通讯开会方式并进行表决的情况下，由会议召集人决定在会议通知中说明本次基金份额持有人大会所采取的具体通讯方式、委托的公证机关及其联系方式和联系人、书面表决意见寄交的截止时间和收取方式。</w:t>
      </w:r>
    </w:p>
    <w:p w14:paraId="053F20AF" w14:textId="77777777" w:rsidR="00D04107" w:rsidRDefault="000C2DB0">
      <w:pPr>
        <w:spacing w:line="360" w:lineRule="auto"/>
        <w:ind w:firstLineChars="200" w:firstLine="480"/>
        <w:rPr>
          <w:bCs/>
          <w:sz w:val="24"/>
        </w:rPr>
      </w:pPr>
      <w:r>
        <w:rPr>
          <w:bCs/>
          <w:sz w:val="24"/>
        </w:rPr>
        <w:t>3</w:t>
      </w:r>
      <w:r>
        <w:rPr>
          <w:bCs/>
          <w:sz w:val="24"/>
        </w:rPr>
        <w:t>、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w:t>
      </w:r>
      <w:r>
        <w:rPr>
          <w:bCs/>
          <w:sz w:val="24"/>
        </w:rPr>
        <w:lastRenderedPageBreak/>
        <w:t>基金管理人和基金托管人到指定地点对表决意见的计票进行监督。基金管理人或基金托管人拒不派代表对书面表决意见的计票进行监督的，不影响表决意见的计票效力。</w:t>
      </w:r>
    </w:p>
    <w:p w14:paraId="61D58601" w14:textId="77777777" w:rsidR="00D04107" w:rsidRDefault="000C2DB0">
      <w:pPr>
        <w:spacing w:line="360" w:lineRule="auto"/>
        <w:ind w:firstLineChars="200" w:firstLine="480"/>
        <w:rPr>
          <w:bCs/>
          <w:sz w:val="24"/>
        </w:rPr>
      </w:pPr>
      <w:r>
        <w:rPr>
          <w:rFonts w:hint="eastAsia"/>
          <w:bCs/>
          <w:sz w:val="24"/>
        </w:rPr>
        <w:t>四</w:t>
      </w:r>
      <w:r>
        <w:rPr>
          <w:bCs/>
          <w:sz w:val="24"/>
        </w:rPr>
        <w:t>、基金份额持有人出席会议的方式</w:t>
      </w:r>
    </w:p>
    <w:p w14:paraId="5782C98D" w14:textId="77777777" w:rsidR="00D04107" w:rsidRDefault="000C2DB0">
      <w:pPr>
        <w:spacing w:line="360" w:lineRule="auto"/>
        <w:ind w:firstLineChars="200" w:firstLine="480"/>
        <w:rPr>
          <w:bCs/>
          <w:sz w:val="24"/>
        </w:rPr>
      </w:pPr>
      <w:r>
        <w:rPr>
          <w:bCs/>
          <w:sz w:val="24"/>
        </w:rPr>
        <w:t>基金份额持有人大会可通过现场开会方式</w:t>
      </w:r>
      <w:r>
        <w:rPr>
          <w:rFonts w:hint="eastAsia"/>
          <w:bCs/>
          <w:sz w:val="24"/>
        </w:rPr>
        <w:t>、通讯开会方式或法律法规、监管机构允许的其他</w:t>
      </w:r>
      <w:r>
        <w:rPr>
          <w:bCs/>
          <w:sz w:val="24"/>
        </w:rPr>
        <w:t>方式召开，会议的召开方式由会议召集人确定。</w:t>
      </w:r>
    </w:p>
    <w:p w14:paraId="4F7B035C" w14:textId="77777777" w:rsidR="00D04107" w:rsidRDefault="000C2DB0">
      <w:pPr>
        <w:spacing w:line="360" w:lineRule="auto"/>
        <w:ind w:firstLineChars="200" w:firstLine="480"/>
        <w:rPr>
          <w:bCs/>
          <w:sz w:val="24"/>
        </w:rPr>
      </w:pPr>
      <w:r>
        <w:rPr>
          <w:bCs/>
          <w:sz w:val="24"/>
        </w:rPr>
        <w:t>1</w:t>
      </w:r>
      <w:r>
        <w:rPr>
          <w:bCs/>
          <w:sz w:val="24"/>
        </w:rPr>
        <w:t>、现场开会。由基金份额持有人本人出席或以代理投票授权委托证明委派代表出席，现场开会时基金管理人和基金托管人的授权代表应当列席基金份额持有人大会，基金管理人或</w:t>
      </w:r>
      <w:r>
        <w:rPr>
          <w:rFonts w:hint="eastAsia"/>
          <w:bCs/>
          <w:sz w:val="24"/>
        </w:rPr>
        <w:t>基金</w:t>
      </w:r>
      <w:r>
        <w:rPr>
          <w:bCs/>
          <w:sz w:val="24"/>
        </w:rPr>
        <w:t>托管人不派代表列席的，不影响表决效力。现场开会同时符合以下条件时，可以进行基金份额持有人大会议程：</w:t>
      </w:r>
    </w:p>
    <w:p w14:paraId="3D3CB1CB" w14:textId="77777777" w:rsidR="00D04107" w:rsidRDefault="000C2DB0">
      <w:pPr>
        <w:spacing w:line="360" w:lineRule="auto"/>
        <w:ind w:firstLineChars="200" w:firstLine="480"/>
        <w:rPr>
          <w:bCs/>
          <w:sz w:val="24"/>
        </w:rPr>
      </w:pPr>
      <w:r>
        <w:rPr>
          <w:bCs/>
          <w:sz w:val="24"/>
        </w:rPr>
        <w:t>（</w:t>
      </w:r>
      <w:r>
        <w:rPr>
          <w:bCs/>
          <w:sz w:val="24"/>
        </w:rPr>
        <w:t>1</w:t>
      </w:r>
      <w:r>
        <w:rPr>
          <w:bCs/>
          <w:sz w:val="24"/>
        </w:rPr>
        <w:t>）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5C7D9CA0" w14:textId="77777777" w:rsidR="00D04107" w:rsidRDefault="000C2DB0">
      <w:pPr>
        <w:spacing w:line="360" w:lineRule="auto"/>
        <w:ind w:firstLineChars="200" w:firstLine="480"/>
        <w:rPr>
          <w:bCs/>
          <w:sz w:val="24"/>
        </w:rPr>
      </w:pPr>
      <w:r>
        <w:rPr>
          <w:bCs/>
          <w:sz w:val="24"/>
        </w:rPr>
        <w:t>（</w:t>
      </w:r>
      <w:r>
        <w:rPr>
          <w:bCs/>
          <w:sz w:val="24"/>
        </w:rPr>
        <w:t>2</w:t>
      </w:r>
      <w:r>
        <w:rPr>
          <w:bCs/>
          <w:sz w:val="24"/>
        </w:rPr>
        <w:t>）经核对，汇总到会者出示的在权益登记日持有基金份额的凭证显示，有效的基金份额不少于本基金在权益登记日基金总份额的</w:t>
      </w:r>
      <w:r>
        <w:rPr>
          <w:rFonts w:hint="eastAsia"/>
          <w:bCs/>
          <w:sz w:val="24"/>
        </w:rPr>
        <w:t>二分之一（含二分之一）</w:t>
      </w:r>
      <w:r>
        <w:rPr>
          <w:bCs/>
          <w:sz w:val="24"/>
        </w:rPr>
        <w:t>。</w:t>
      </w:r>
    </w:p>
    <w:p w14:paraId="59EE84D5" w14:textId="77777777" w:rsidR="00D04107" w:rsidRDefault="000C2DB0">
      <w:pPr>
        <w:spacing w:line="360" w:lineRule="auto"/>
        <w:ind w:firstLineChars="200" w:firstLine="480"/>
        <w:rPr>
          <w:bCs/>
          <w:sz w:val="24"/>
        </w:rPr>
      </w:pPr>
      <w:r>
        <w:rPr>
          <w:rFonts w:hint="eastAsia"/>
          <w:bCs/>
          <w:sz w:val="24"/>
        </w:rPr>
        <w:t>参加</w:t>
      </w:r>
      <w:r>
        <w:rPr>
          <w:bCs/>
          <w:sz w:val="24"/>
        </w:rPr>
        <w:t>基金份额持有人大会的基金份额持有人的基金份额低于上述规定比例的，召集人可以在原公告的基金份额持有人大会召开时间的三个月以后、六个月以内，就原定审议事项重新</w:t>
      </w:r>
      <w:r>
        <w:rPr>
          <w:rFonts w:hint="eastAsia"/>
          <w:bCs/>
          <w:sz w:val="24"/>
        </w:rPr>
        <w:t>召集</w:t>
      </w:r>
      <w:r>
        <w:rPr>
          <w:bCs/>
          <w:sz w:val="24"/>
        </w:rPr>
        <w:t>基金份额持有人大会。重新</w:t>
      </w:r>
      <w:r>
        <w:rPr>
          <w:rFonts w:hint="eastAsia"/>
          <w:bCs/>
          <w:sz w:val="24"/>
        </w:rPr>
        <w:t>召集</w:t>
      </w:r>
      <w:r>
        <w:rPr>
          <w:bCs/>
          <w:sz w:val="24"/>
        </w:rPr>
        <w:t>的基金份额持有人大会，应当有代</w:t>
      </w:r>
      <w:r>
        <w:rPr>
          <w:rFonts w:hint="eastAsia"/>
          <w:bCs/>
          <w:sz w:val="24"/>
        </w:rPr>
        <w:t>三分之一（含三分之一）</w:t>
      </w:r>
      <w:r>
        <w:rPr>
          <w:bCs/>
          <w:sz w:val="24"/>
        </w:rPr>
        <w:t>基金份额的基金份额持有人或其代理人参加，方可召开。</w:t>
      </w:r>
    </w:p>
    <w:p w14:paraId="2E6ACFFF" w14:textId="77777777" w:rsidR="00D04107" w:rsidRDefault="000C2DB0">
      <w:pPr>
        <w:spacing w:line="360" w:lineRule="auto"/>
        <w:ind w:firstLineChars="200" w:firstLine="480"/>
        <w:rPr>
          <w:bCs/>
          <w:sz w:val="24"/>
        </w:rPr>
      </w:pPr>
      <w:r>
        <w:rPr>
          <w:bCs/>
          <w:sz w:val="24"/>
        </w:rPr>
        <w:t>2</w:t>
      </w:r>
      <w:r>
        <w:rPr>
          <w:bCs/>
          <w:sz w:val="24"/>
        </w:rPr>
        <w:t>、通讯开会。通讯开会系指基金份额持有人将其对表决事项的投票以书面形式在表决截至日以前送达至召集人指定的地址。通讯开会应以书面方式进行表决。</w:t>
      </w:r>
    </w:p>
    <w:p w14:paraId="52BA43B3" w14:textId="77777777" w:rsidR="00D04107" w:rsidRDefault="000C2DB0">
      <w:pPr>
        <w:spacing w:line="360" w:lineRule="auto"/>
        <w:ind w:firstLineChars="200" w:firstLine="480"/>
        <w:rPr>
          <w:bCs/>
          <w:sz w:val="24"/>
        </w:rPr>
      </w:pPr>
      <w:r>
        <w:rPr>
          <w:bCs/>
          <w:sz w:val="24"/>
        </w:rPr>
        <w:t>在同时符合以下条件时，通讯开会的方式视为有效：</w:t>
      </w:r>
    </w:p>
    <w:p w14:paraId="4EC4109B" w14:textId="77777777" w:rsidR="00D04107" w:rsidRDefault="000C2DB0">
      <w:pPr>
        <w:spacing w:line="360" w:lineRule="auto"/>
        <w:ind w:firstLineChars="200" w:firstLine="480"/>
        <w:rPr>
          <w:bCs/>
          <w:sz w:val="24"/>
        </w:rPr>
      </w:pPr>
      <w:r>
        <w:rPr>
          <w:bCs/>
          <w:sz w:val="24"/>
        </w:rPr>
        <w:t>（</w:t>
      </w:r>
      <w:r>
        <w:rPr>
          <w:bCs/>
          <w:sz w:val="24"/>
        </w:rPr>
        <w:t>1</w:t>
      </w:r>
      <w:r>
        <w:rPr>
          <w:bCs/>
          <w:sz w:val="24"/>
        </w:rPr>
        <w:t>）会议召集人按《基金合同》约定公布会议通知后，在</w:t>
      </w:r>
      <w:r>
        <w:rPr>
          <w:bCs/>
          <w:sz w:val="24"/>
        </w:rPr>
        <w:t>2</w:t>
      </w:r>
      <w:r>
        <w:rPr>
          <w:bCs/>
          <w:sz w:val="24"/>
        </w:rPr>
        <w:t>个工作日内连续公布相关提示性公告；</w:t>
      </w:r>
    </w:p>
    <w:p w14:paraId="52BDD756" w14:textId="77777777" w:rsidR="00D04107" w:rsidRDefault="000C2DB0">
      <w:pPr>
        <w:spacing w:line="360" w:lineRule="auto"/>
        <w:ind w:firstLineChars="200" w:firstLine="480"/>
        <w:rPr>
          <w:bCs/>
          <w:sz w:val="24"/>
        </w:rPr>
      </w:pPr>
      <w:r>
        <w:rPr>
          <w:bCs/>
          <w:sz w:val="24"/>
        </w:rPr>
        <w:t>（</w:t>
      </w:r>
      <w:r>
        <w:rPr>
          <w:bCs/>
          <w:sz w:val="24"/>
        </w:rPr>
        <w:t>2</w:t>
      </w:r>
      <w:r>
        <w:rPr>
          <w:bCs/>
          <w:sz w:val="24"/>
        </w:rPr>
        <w:t>）召集人按基金合同</w:t>
      </w:r>
      <w:r>
        <w:rPr>
          <w:rFonts w:hint="eastAsia"/>
          <w:bCs/>
          <w:sz w:val="24"/>
        </w:rPr>
        <w:t>约</w:t>
      </w:r>
      <w:r>
        <w:rPr>
          <w:bCs/>
          <w:sz w:val="24"/>
        </w:rPr>
        <w:t>定通知基金托管人（如果基金托管人为召集人，则为基金管理人）到指定地点对书面表决意见的计票进行监督。会议召集人在基金托管人（如果基金托管人为召集人，则为基金管理人）和公证机关的监督下按照会议通</w:t>
      </w:r>
      <w:r>
        <w:rPr>
          <w:bCs/>
          <w:sz w:val="24"/>
        </w:rPr>
        <w:lastRenderedPageBreak/>
        <w:t>知规定的方式收取基金份额持有人的书面表决意见；基金托管人或基金管理人经通知不参加收取书面表决意见的，不影响表决效力；</w:t>
      </w:r>
    </w:p>
    <w:p w14:paraId="57FACD97" w14:textId="77777777" w:rsidR="00D04107" w:rsidRDefault="000C2DB0">
      <w:pPr>
        <w:spacing w:line="360" w:lineRule="auto"/>
        <w:ind w:firstLineChars="225" w:firstLine="540"/>
        <w:rPr>
          <w:bCs/>
          <w:sz w:val="24"/>
        </w:rPr>
      </w:pPr>
      <w:r>
        <w:rPr>
          <w:bCs/>
          <w:sz w:val="24"/>
        </w:rPr>
        <w:t>（</w:t>
      </w:r>
      <w:r>
        <w:rPr>
          <w:bCs/>
          <w:sz w:val="24"/>
        </w:rPr>
        <w:t>3</w:t>
      </w:r>
      <w:r>
        <w:rPr>
          <w:bCs/>
          <w:sz w:val="24"/>
        </w:rPr>
        <w:t>）本人直接出具书面意见或授权他人代表出具书面意见的，基金份额持有人所持有的基金份额不小于在权益登记日基金总份额的</w:t>
      </w:r>
      <w:r>
        <w:rPr>
          <w:rFonts w:hint="eastAsia"/>
          <w:bCs/>
          <w:sz w:val="24"/>
        </w:rPr>
        <w:t>二分之一（含二分之一）</w:t>
      </w:r>
      <w:r>
        <w:rPr>
          <w:bCs/>
          <w:sz w:val="24"/>
        </w:rPr>
        <w:t>；</w:t>
      </w:r>
    </w:p>
    <w:p w14:paraId="4BAE0168" w14:textId="77777777" w:rsidR="00D04107" w:rsidRDefault="000C2DB0">
      <w:pPr>
        <w:spacing w:line="360" w:lineRule="auto"/>
        <w:ind w:firstLineChars="225" w:firstLine="540"/>
        <w:rPr>
          <w:bCs/>
          <w:sz w:val="24"/>
        </w:rPr>
      </w:pPr>
      <w:r>
        <w:rPr>
          <w:rFonts w:hint="eastAsia"/>
          <w:bCs/>
          <w:sz w:val="24"/>
        </w:rPr>
        <w:t>参加基金份额持有人大会的基金份额持有人的基金份额低于上述规定比例的，召集人可以在原公告的基金份额持有人大会召开时间的三个月以后、六个月以内，就原定审议事项重新召集基金份额持有人大会。重新召集的基金份额持有人大会，应当有代表三分之一（含三分之一）基金份额的基金份额持有人或其代理人参加，方可召开。</w:t>
      </w:r>
    </w:p>
    <w:p w14:paraId="6D78CDAB" w14:textId="77777777" w:rsidR="00D04107" w:rsidRDefault="000C2DB0">
      <w:pPr>
        <w:spacing w:line="360" w:lineRule="auto"/>
        <w:ind w:firstLineChars="200" w:firstLine="480"/>
        <w:rPr>
          <w:bCs/>
          <w:sz w:val="24"/>
        </w:rPr>
      </w:pPr>
      <w:r>
        <w:rPr>
          <w:bCs/>
          <w:sz w:val="24"/>
        </w:rPr>
        <w:t>（</w:t>
      </w:r>
      <w:r>
        <w:rPr>
          <w:bCs/>
          <w:sz w:val="24"/>
        </w:rPr>
        <w:t>4</w:t>
      </w:r>
      <w:r>
        <w:rPr>
          <w:bCs/>
          <w:sz w:val="24"/>
        </w:rPr>
        <w:t>）上述第（</w:t>
      </w:r>
      <w:r>
        <w:rPr>
          <w:bCs/>
          <w:sz w:val="24"/>
        </w:rPr>
        <w:t>3</w:t>
      </w:r>
      <w:r>
        <w:rPr>
          <w:bCs/>
          <w:sz w:val="24"/>
        </w:rPr>
        <w:t>）项中直接出具书面意见的基金份额持有人或受托代表他人出具书面意见的代理人，同时提交的持有基金份额的凭证、受托出具书面意见的代理人出具的委托人持有基金份额的凭证及委托人的代理投票授权委托证明符合法律法规、《基金合同》和会议通知的规定，并与基金登记机构记录相符</w:t>
      </w:r>
      <w:r>
        <w:rPr>
          <w:rFonts w:hint="eastAsia"/>
          <w:bCs/>
          <w:sz w:val="24"/>
        </w:rPr>
        <w:t>。</w:t>
      </w:r>
    </w:p>
    <w:p w14:paraId="4E76FF9F" w14:textId="77777777" w:rsidR="00D04107" w:rsidRDefault="000C2DB0">
      <w:pPr>
        <w:spacing w:line="360" w:lineRule="auto"/>
        <w:ind w:firstLineChars="200" w:firstLine="480"/>
        <w:rPr>
          <w:bCs/>
          <w:sz w:val="24"/>
        </w:rPr>
      </w:pPr>
      <w:r>
        <w:rPr>
          <w:rFonts w:hint="eastAsia"/>
          <w:bCs/>
          <w:sz w:val="24"/>
        </w:rPr>
        <w:t>3</w:t>
      </w:r>
      <w:r>
        <w:rPr>
          <w:rFonts w:hint="eastAsia"/>
          <w:bCs/>
          <w:sz w:val="24"/>
        </w:rPr>
        <w:t>、在法律法规和监管机关允许的情况下，本基金的基金份额持有人亦可采用其他非书面方式授权其代理人出席基金份额持有人大会，具体方式由会议召集人确定并在会议通知中列明。</w:t>
      </w:r>
    </w:p>
    <w:p w14:paraId="4639632F" w14:textId="77777777" w:rsidR="00D04107" w:rsidRDefault="000C2DB0">
      <w:pPr>
        <w:spacing w:line="360" w:lineRule="auto"/>
        <w:ind w:firstLineChars="200" w:firstLine="480"/>
        <w:rPr>
          <w:bCs/>
          <w:sz w:val="24"/>
        </w:rPr>
      </w:pPr>
      <w:r>
        <w:rPr>
          <w:rFonts w:hint="eastAsia"/>
          <w:bCs/>
          <w:sz w:val="24"/>
        </w:rPr>
        <w:t>4</w:t>
      </w:r>
      <w:r>
        <w:rPr>
          <w:rFonts w:hint="eastAsia"/>
          <w:bCs/>
          <w:sz w:val="24"/>
        </w:rPr>
        <w:t>、在会议召开方式上，本基金亦可采用其他非现场方式或者以现场方式与非现场方式相结合的方式召开基金份额持有人大会，会议程序比照现场开会和通讯方式开会的程序进行。</w:t>
      </w:r>
    </w:p>
    <w:p w14:paraId="229ED58C" w14:textId="77777777" w:rsidR="00D04107" w:rsidRDefault="000C2DB0">
      <w:pPr>
        <w:spacing w:line="360" w:lineRule="auto"/>
        <w:ind w:firstLineChars="200" w:firstLine="480"/>
        <w:rPr>
          <w:bCs/>
          <w:sz w:val="24"/>
        </w:rPr>
      </w:pPr>
      <w:r>
        <w:rPr>
          <w:rFonts w:hint="eastAsia"/>
          <w:bCs/>
          <w:sz w:val="24"/>
        </w:rPr>
        <w:t>五</w:t>
      </w:r>
      <w:r>
        <w:rPr>
          <w:bCs/>
          <w:sz w:val="24"/>
        </w:rPr>
        <w:t>、议事内容与程序</w:t>
      </w:r>
    </w:p>
    <w:p w14:paraId="42731CAC" w14:textId="77777777" w:rsidR="00D04107" w:rsidRDefault="000C2DB0">
      <w:pPr>
        <w:spacing w:line="360" w:lineRule="auto"/>
        <w:ind w:firstLineChars="200" w:firstLine="480"/>
        <w:rPr>
          <w:bCs/>
          <w:sz w:val="24"/>
        </w:rPr>
      </w:pPr>
      <w:r>
        <w:rPr>
          <w:bCs/>
          <w:sz w:val="24"/>
        </w:rPr>
        <w:t>1</w:t>
      </w:r>
      <w:r>
        <w:rPr>
          <w:bCs/>
          <w:sz w:val="24"/>
        </w:rPr>
        <w:t>、议事内容及提案权</w:t>
      </w:r>
    </w:p>
    <w:p w14:paraId="551FD0E5" w14:textId="77777777" w:rsidR="00D04107" w:rsidRDefault="000C2DB0">
      <w:pPr>
        <w:spacing w:line="360" w:lineRule="auto"/>
        <w:ind w:firstLineChars="200" w:firstLine="480"/>
        <w:rPr>
          <w:bCs/>
          <w:sz w:val="24"/>
        </w:rPr>
      </w:pPr>
      <w:r>
        <w:rPr>
          <w:bCs/>
          <w:sz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409DB5F0" w14:textId="77777777" w:rsidR="00D04107" w:rsidRDefault="000C2DB0">
      <w:pPr>
        <w:spacing w:line="360" w:lineRule="auto"/>
        <w:ind w:firstLineChars="200" w:firstLine="480"/>
        <w:rPr>
          <w:bCs/>
          <w:sz w:val="24"/>
        </w:rPr>
      </w:pPr>
      <w:r>
        <w:rPr>
          <w:bCs/>
          <w:sz w:val="24"/>
        </w:rPr>
        <w:t>基金份额持有人大会的召集人发出召集会议的通知后，对原有提案的修改应当在基金份额持有人大会召开前及时公告。</w:t>
      </w:r>
    </w:p>
    <w:p w14:paraId="7D597C5E" w14:textId="77777777" w:rsidR="00D04107" w:rsidRDefault="000C2DB0">
      <w:pPr>
        <w:spacing w:line="360" w:lineRule="auto"/>
        <w:ind w:firstLineChars="200" w:firstLine="480"/>
        <w:rPr>
          <w:bCs/>
          <w:sz w:val="24"/>
        </w:rPr>
      </w:pPr>
      <w:r>
        <w:rPr>
          <w:bCs/>
          <w:sz w:val="24"/>
        </w:rPr>
        <w:t>基金份额持有人大会不得对未事先公告的议事内容进行表决。</w:t>
      </w:r>
    </w:p>
    <w:p w14:paraId="6D052D96" w14:textId="77777777" w:rsidR="00D04107" w:rsidRDefault="000C2DB0">
      <w:pPr>
        <w:spacing w:line="360" w:lineRule="auto"/>
        <w:ind w:firstLineChars="200" w:firstLine="480"/>
        <w:rPr>
          <w:bCs/>
          <w:sz w:val="24"/>
        </w:rPr>
      </w:pPr>
      <w:r>
        <w:rPr>
          <w:bCs/>
          <w:sz w:val="24"/>
        </w:rPr>
        <w:lastRenderedPageBreak/>
        <w:t>2</w:t>
      </w:r>
      <w:r>
        <w:rPr>
          <w:bCs/>
          <w:sz w:val="24"/>
        </w:rPr>
        <w:t>、议事程序</w:t>
      </w:r>
    </w:p>
    <w:p w14:paraId="7AB2D50A" w14:textId="77777777" w:rsidR="00D04107" w:rsidRDefault="000C2DB0">
      <w:pPr>
        <w:spacing w:line="360" w:lineRule="auto"/>
        <w:ind w:firstLineChars="200" w:firstLine="480"/>
        <w:rPr>
          <w:bCs/>
          <w:sz w:val="24"/>
        </w:rPr>
      </w:pPr>
      <w:r>
        <w:rPr>
          <w:bCs/>
          <w:sz w:val="24"/>
        </w:rPr>
        <w:t>（</w:t>
      </w:r>
      <w:r>
        <w:rPr>
          <w:bCs/>
          <w:sz w:val="24"/>
        </w:rPr>
        <w:t>1</w:t>
      </w:r>
      <w:r>
        <w:rPr>
          <w:bCs/>
          <w:sz w:val="24"/>
        </w:rPr>
        <w:t>）现场开会</w:t>
      </w:r>
    </w:p>
    <w:p w14:paraId="39A3E315" w14:textId="77777777" w:rsidR="00D04107" w:rsidRDefault="000C2DB0">
      <w:pPr>
        <w:spacing w:line="360" w:lineRule="auto"/>
        <w:ind w:firstLineChars="200" w:firstLine="480"/>
        <w:rPr>
          <w:bCs/>
          <w:sz w:val="24"/>
        </w:rPr>
      </w:pPr>
      <w:r>
        <w:rPr>
          <w:bCs/>
          <w:sz w:val="24"/>
        </w:rPr>
        <w:t>在现场开会的方式下，首先由大会主持人按照下列第七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Pr>
          <w:rFonts w:hint="eastAsia"/>
          <w:bCs/>
          <w:sz w:val="24"/>
        </w:rPr>
        <w:t>二分之一</w:t>
      </w:r>
      <w:r>
        <w:rPr>
          <w:bCs/>
          <w:sz w:val="24"/>
        </w:rPr>
        <w:t>以上（含</w:t>
      </w:r>
      <w:r>
        <w:rPr>
          <w:rFonts w:hint="eastAsia"/>
          <w:bCs/>
          <w:sz w:val="24"/>
        </w:rPr>
        <w:t>二分之一</w:t>
      </w:r>
      <w:r>
        <w:rPr>
          <w:bCs/>
          <w:sz w:val="24"/>
        </w:rPr>
        <w:t>）选举产生一名基金份额持有人作为该次基金份额持有人大会的主持人。基金管理人和基金托管人拒不出席或主持基金份额持有人大会，不影响基金份额持有人大会作出的决议的效力。</w:t>
      </w:r>
    </w:p>
    <w:p w14:paraId="5F4B7F9C" w14:textId="77777777" w:rsidR="00D04107" w:rsidRDefault="000C2DB0">
      <w:pPr>
        <w:spacing w:line="360" w:lineRule="auto"/>
        <w:ind w:firstLineChars="200" w:firstLine="480"/>
        <w:rPr>
          <w:bCs/>
          <w:sz w:val="24"/>
        </w:rPr>
      </w:pPr>
      <w:r>
        <w:rPr>
          <w:bCs/>
          <w:sz w:val="24"/>
        </w:rPr>
        <w:t>会议召集人应当制作出席会议人员的签名册。签名册载明参加会议人员姓名（或单位名称）、身份证明文件号码、持有或代表有表决权的基金份额、委托人姓名（或单位名称）和联系方式等事项。</w:t>
      </w:r>
    </w:p>
    <w:p w14:paraId="6E6B5B7C" w14:textId="77777777" w:rsidR="00D04107" w:rsidRDefault="000C2DB0">
      <w:pPr>
        <w:spacing w:line="360" w:lineRule="auto"/>
        <w:ind w:firstLineChars="200" w:firstLine="480"/>
        <w:rPr>
          <w:bCs/>
          <w:sz w:val="24"/>
        </w:rPr>
      </w:pPr>
      <w:r>
        <w:rPr>
          <w:bCs/>
          <w:sz w:val="24"/>
        </w:rPr>
        <w:t>（</w:t>
      </w:r>
      <w:r>
        <w:rPr>
          <w:bCs/>
          <w:sz w:val="24"/>
        </w:rPr>
        <w:t>2</w:t>
      </w:r>
      <w:r>
        <w:rPr>
          <w:bCs/>
          <w:sz w:val="24"/>
        </w:rPr>
        <w:t>）通讯开会</w:t>
      </w:r>
    </w:p>
    <w:p w14:paraId="27A19FC1" w14:textId="77777777" w:rsidR="00D04107" w:rsidRDefault="000C2DB0">
      <w:pPr>
        <w:spacing w:line="360" w:lineRule="auto"/>
        <w:ind w:firstLineChars="200" w:firstLine="480"/>
        <w:rPr>
          <w:bCs/>
          <w:sz w:val="24"/>
        </w:rPr>
      </w:pPr>
      <w:r>
        <w:rPr>
          <w:bCs/>
          <w:sz w:val="24"/>
        </w:rPr>
        <w:t>在通讯开会的情况下，首先由召集人提前</w:t>
      </w:r>
      <w:r>
        <w:rPr>
          <w:bCs/>
          <w:sz w:val="24"/>
        </w:rPr>
        <w:t>30</w:t>
      </w:r>
      <w:r>
        <w:rPr>
          <w:bCs/>
          <w:sz w:val="24"/>
        </w:rPr>
        <w:t>日公布提案，在所通知的表决截止日期后</w:t>
      </w:r>
      <w:r>
        <w:rPr>
          <w:bCs/>
          <w:sz w:val="24"/>
        </w:rPr>
        <w:t>2</w:t>
      </w:r>
      <w:r>
        <w:rPr>
          <w:bCs/>
          <w:sz w:val="24"/>
        </w:rPr>
        <w:t>个工作日内在公证机关监督下由召集人统计全部有效表决，在公证机关监督下形成决议。</w:t>
      </w:r>
    </w:p>
    <w:p w14:paraId="7E7A84C1" w14:textId="77777777" w:rsidR="00D04107" w:rsidRDefault="000C2DB0">
      <w:pPr>
        <w:spacing w:line="360" w:lineRule="auto"/>
        <w:ind w:firstLineChars="200" w:firstLine="480"/>
        <w:rPr>
          <w:bCs/>
          <w:sz w:val="24"/>
        </w:rPr>
      </w:pPr>
      <w:r>
        <w:rPr>
          <w:rFonts w:hint="eastAsia"/>
          <w:bCs/>
          <w:sz w:val="24"/>
        </w:rPr>
        <w:t>六、</w:t>
      </w:r>
      <w:r>
        <w:rPr>
          <w:bCs/>
          <w:sz w:val="24"/>
        </w:rPr>
        <w:t>表决</w:t>
      </w:r>
    </w:p>
    <w:p w14:paraId="3D43D18E" w14:textId="77777777" w:rsidR="00D04107" w:rsidRDefault="000C2DB0">
      <w:pPr>
        <w:spacing w:line="360" w:lineRule="auto"/>
        <w:ind w:firstLineChars="200" w:firstLine="480"/>
        <w:rPr>
          <w:bCs/>
          <w:sz w:val="24"/>
        </w:rPr>
      </w:pPr>
      <w:r>
        <w:rPr>
          <w:bCs/>
          <w:sz w:val="24"/>
        </w:rPr>
        <w:t>基金份额持有人所持</w:t>
      </w:r>
      <w:r>
        <w:rPr>
          <w:rFonts w:hint="eastAsia"/>
          <w:bCs/>
          <w:sz w:val="24"/>
        </w:rPr>
        <w:t>每份</w:t>
      </w:r>
      <w:r>
        <w:rPr>
          <w:bCs/>
          <w:sz w:val="24"/>
        </w:rPr>
        <w:t>基金份额有一票表决权。</w:t>
      </w:r>
    </w:p>
    <w:p w14:paraId="6DCB0EB9" w14:textId="77777777" w:rsidR="00D04107" w:rsidRDefault="000C2DB0">
      <w:pPr>
        <w:spacing w:line="360" w:lineRule="auto"/>
        <w:ind w:firstLineChars="200" w:firstLine="480"/>
        <w:rPr>
          <w:bCs/>
          <w:sz w:val="24"/>
        </w:rPr>
      </w:pPr>
      <w:r>
        <w:rPr>
          <w:bCs/>
          <w:sz w:val="24"/>
        </w:rPr>
        <w:t>基金份额持有人大会决议分为一般决议和特别决议：</w:t>
      </w:r>
    </w:p>
    <w:p w14:paraId="2200BCC1" w14:textId="77777777" w:rsidR="00D04107" w:rsidRDefault="000C2DB0">
      <w:pPr>
        <w:spacing w:line="360" w:lineRule="auto"/>
        <w:ind w:firstLineChars="200" w:firstLine="480"/>
        <w:rPr>
          <w:bCs/>
          <w:sz w:val="24"/>
        </w:rPr>
      </w:pPr>
      <w:r>
        <w:rPr>
          <w:bCs/>
          <w:sz w:val="24"/>
        </w:rPr>
        <w:t>1</w:t>
      </w:r>
      <w:r>
        <w:rPr>
          <w:bCs/>
          <w:sz w:val="24"/>
        </w:rPr>
        <w:t>、一般决议，一般决议须经参加大会的基金份额持有人或其代理人所持表决权的</w:t>
      </w:r>
      <w:r>
        <w:rPr>
          <w:rFonts w:hint="eastAsia"/>
          <w:bCs/>
          <w:sz w:val="24"/>
        </w:rPr>
        <w:t>二分之一（含二分之一）以上</w:t>
      </w:r>
      <w:r>
        <w:rPr>
          <w:bCs/>
          <w:sz w:val="24"/>
        </w:rPr>
        <w:t>通过方为有效；除下列第</w:t>
      </w:r>
      <w:r>
        <w:rPr>
          <w:bCs/>
          <w:sz w:val="24"/>
        </w:rPr>
        <w:t>2</w:t>
      </w:r>
      <w:r>
        <w:rPr>
          <w:bCs/>
          <w:sz w:val="24"/>
        </w:rPr>
        <w:t>项所规定的须以特别决议通过事项以外的其他事项均以一般决议的方式通过。</w:t>
      </w:r>
    </w:p>
    <w:p w14:paraId="1156012C" w14:textId="77777777" w:rsidR="00D04107" w:rsidRDefault="000C2DB0">
      <w:pPr>
        <w:spacing w:line="360" w:lineRule="auto"/>
        <w:ind w:firstLineChars="200" w:firstLine="480"/>
        <w:rPr>
          <w:bCs/>
          <w:sz w:val="24"/>
        </w:rPr>
      </w:pPr>
      <w:r>
        <w:rPr>
          <w:bCs/>
          <w:sz w:val="24"/>
        </w:rPr>
        <w:t>2</w:t>
      </w:r>
      <w:r>
        <w:rPr>
          <w:bCs/>
          <w:sz w:val="24"/>
        </w:rPr>
        <w:t>、特别决议，特别决议应当经参加大会的基金份额持有人或其代理人所持表决权的</w:t>
      </w:r>
      <w:r>
        <w:rPr>
          <w:rFonts w:hint="eastAsia"/>
          <w:bCs/>
          <w:sz w:val="24"/>
        </w:rPr>
        <w:t>三</w:t>
      </w:r>
      <w:r>
        <w:rPr>
          <w:bCs/>
          <w:sz w:val="24"/>
        </w:rPr>
        <w:t>分之二</w:t>
      </w:r>
      <w:r>
        <w:rPr>
          <w:rFonts w:hint="eastAsia"/>
          <w:bCs/>
          <w:sz w:val="24"/>
        </w:rPr>
        <w:t>（含三分之二）</w:t>
      </w:r>
      <w:r>
        <w:rPr>
          <w:bCs/>
          <w:sz w:val="24"/>
        </w:rPr>
        <w:t>以上通过方可做出。转换基金运作方式</w:t>
      </w:r>
      <w:r>
        <w:rPr>
          <w:rFonts w:hint="eastAsia"/>
          <w:bCs/>
          <w:sz w:val="24"/>
        </w:rPr>
        <w:t>、与其他基金合并</w:t>
      </w:r>
      <w:r>
        <w:rPr>
          <w:bCs/>
          <w:sz w:val="24"/>
        </w:rPr>
        <w:t>、更换基金管理人或者基金托管人、终止《基金合同》以特别决议通过方为有效。</w:t>
      </w:r>
    </w:p>
    <w:p w14:paraId="2B77AC48" w14:textId="77777777" w:rsidR="00D04107" w:rsidRDefault="000C2DB0">
      <w:pPr>
        <w:spacing w:line="360" w:lineRule="auto"/>
        <w:ind w:firstLineChars="200" w:firstLine="480"/>
        <w:rPr>
          <w:bCs/>
          <w:sz w:val="24"/>
        </w:rPr>
      </w:pPr>
      <w:r>
        <w:rPr>
          <w:bCs/>
          <w:sz w:val="24"/>
        </w:rPr>
        <w:t>基金份额持有人大会采取记名方式进行投票表决。</w:t>
      </w:r>
    </w:p>
    <w:p w14:paraId="291921F2" w14:textId="77777777" w:rsidR="00D04107" w:rsidRDefault="000C2DB0">
      <w:pPr>
        <w:spacing w:line="360" w:lineRule="auto"/>
        <w:ind w:firstLineChars="200" w:firstLine="480"/>
        <w:rPr>
          <w:bCs/>
          <w:sz w:val="24"/>
        </w:rPr>
      </w:pPr>
      <w:r>
        <w:rPr>
          <w:bCs/>
          <w:sz w:val="24"/>
        </w:rPr>
        <w:lastRenderedPageBreak/>
        <w:t>采取通讯方式进行表决时，除非在计票时有充分的相反证据证明，否则提交符合会议通知中规定的确认投资者身份文件的表决视为有效出席的投资者，表面符合会议通知规定的书面表决意见视为有效表决，表决意见模糊不清或相互矛盾的视为弃权表决，但应当计入出具书面意见的基金份额持有人所代表的基金份额总数。</w:t>
      </w:r>
    </w:p>
    <w:p w14:paraId="443807F2" w14:textId="77777777" w:rsidR="00D04107" w:rsidRDefault="000C2DB0">
      <w:pPr>
        <w:spacing w:line="360" w:lineRule="auto"/>
        <w:ind w:firstLineChars="200" w:firstLine="480"/>
        <w:rPr>
          <w:bCs/>
          <w:sz w:val="24"/>
        </w:rPr>
      </w:pPr>
      <w:r>
        <w:rPr>
          <w:bCs/>
          <w:sz w:val="24"/>
        </w:rPr>
        <w:t>基金份额持有人大会的各项提案或同一项提案内并列的各项议题应当分开审议、逐项表决。</w:t>
      </w:r>
    </w:p>
    <w:p w14:paraId="3495B03F" w14:textId="77777777" w:rsidR="00D04107" w:rsidRDefault="000C2DB0">
      <w:pPr>
        <w:spacing w:line="360" w:lineRule="auto"/>
        <w:ind w:firstLineChars="200" w:firstLine="480"/>
        <w:rPr>
          <w:bCs/>
          <w:sz w:val="24"/>
        </w:rPr>
      </w:pPr>
      <w:r>
        <w:rPr>
          <w:rFonts w:hint="eastAsia"/>
          <w:bCs/>
          <w:sz w:val="24"/>
        </w:rPr>
        <w:t>七、</w:t>
      </w:r>
      <w:r>
        <w:rPr>
          <w:bCs/>
          <w:sz w:val="24"/>
        </w:rPr>
        <w:t>计票</w:t>
      </w:r>
    </w:p>
    <w:p w14:paraId="6D9738DA" w14:textId="77777777" w:rsidR="00D04107" w:rsidRDefault="000C2DB0">
      <w:pPr>
        <w:spacing w:line="360" w:lineRule="auto"/>
        <w:ind w:firstLineChars="200" w:firstLine="480"/>
        <w:rPr>
          <w:bCs/>
          <w:sz w:val="24"/>
        </w:rPr>
      </w:pPr>
      <w:r>
        <w:rPr>
          <w:bCs/>
          <w:sz w:val="24"/>
        </w:rPr>
        <w:t>1</w:t>
      </w:r>
      <w:r>
        <w:rPr>
          <w:bCs/>
          <w:sz w:val="24"/>
        </w:rPr>
        <w:t>、现场开会</w:t>
      </w:r>
    </w:p>
    <w:p w14:paraId="5D6CE679" w14:textId="77777777" w:rsidR="00D04107" w:rsidRDefault="000C2DB0">
      <w:pPr>
        <w:spacing w:line="360" w:lineRule="auto"/>
        <w:ind w:firstLineChars="200" w:firstLine="480"/>
        <w:rPr>
          <w:bCs/>
          <w:sz w:val="24"/>
        </w:rPr>
      </w:pPr>
      <w:r>
        <w:rPr>
          <w:bCs/>
          <w:sz w:val="24"/>
        </w:rPr>
        <w:t>（</w:t>
      </w:r>
      <w:r>
        <w:rPr>
          <w:bCs/>
          <w:sz w:val="24"/>
        </w:rPr>
        <w:t>1</w:t>
      </w:r>
      <w:r>
        <w:rPr>
          <w:bCs/>
          <w:sz w:val="24"/>
        </w:rPr>
        <w:t>）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或大会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5D2A3B9" w14:textId="77777777" w:rsidR="00D04107" w:rsidRDefault="000C2DB0">
      <w:pPr>
        <w:spacing w:line="360" w:lineRule="auto"/>
        <w:ind w:firstLineChars="200" w:firstLine="480"/>
        <w:rPr>
          <w:bCs/>
          <w:sz w:val="24"/>
        </w:rPr>
      </w:pPr>
      <w:r>
        <w:rPr>
          <w:bCs/>
          <w:sz w:val="24"/>
        </w:rPr>
        <w:t>（</w:t>
      </w:r>
      <w:r>
        <w:rPr>
          <w:bCs/>
          <w:sz w:val="24"/>
        </w:rPr>
        <w:t>2</w:t>
      </w:r>
      <w:r>
        <w:rPr>
          <w:bCs/>
          <w:sz w:val="24"/>
        </w:rPr>
        <w:t>）监票人应当在基金份额持有人表决后立即进行清点并由大会主持人当场公布计票结果。</w:t>
      </w:r>
    </w:p>
    <w:p w14:paraId="6CDFBC08" w14:textId="77777777" w:rsidR="00D04107" w:rsidRDefault="000C2DB0">
      <w:pPr>
        <w:spacing w:line="360" w:lineRule="auto"/>
        <w:ind w:firstLineChars="200" w:firstLine="480"/>
        <w:rPr>
          <w:bCs/>
          <w:sz w:val="24"/>
        </w:rPr>
      </w:pPr>
      <w:r>
        <w:rPr>
          <w:bCs/>
          <w:sz w:val="24"/>
        </w:rPr>
        <w:t>（</w:t>
      </w:r>
      <w:r>
        <w:rPr>
          <w:bCs/>
          <w:sz w:val="24"/>
        </w:rPr>
        <w:t>3</w:t>
      </w:r>
      <w:r>
        <w:rPr>
          <w:bCs/>
          <w:sz w:val="24"/>
        </w:rPr>
        <w:t>）如果会议主持人或基金份额持有人或代理人对于提交的表决结果有怀疑，可以在宣布表决结果后立即对所投票数要求进行重新清点。监票人应当进行重新清点，重新清点以一次为限。重新清点后，大会主持人应当当场公布重新清点结果。</w:t>
      </w:r>
    </w:p>
    <w:p w14:paraId="5E3D7837" w14:textId="77777777" w:rsidR="00D04107" w:rsidRDefault="000C2DB0">
      <w:pPr>
        <w:spacing w:line="360" w:lineRule="auto"/>
        <w:ind w:firstLineChars="200" w:firstLine="480"/>
        <w:rPr>
          <w:bCs/>
          <w:sz w:val="24"/>
        </w:rPr>
      </w:pPr>
      <w:r>
        <w:rPr>
          <w:bCs/>
          <w:sz w:val="24"/>
        </w:rPr>
        <w:t>（</w:t>
      </w:r>
      <w:r>
        <w:rPr>
          <w:bCs/>
          <w:sz w:val="24"/>
        </w:rPr>
        <w:t>4</w:t>
      </w:r>
      <w:r>
        <w:rPr>
          <w:bCs/>
          <w:sz w:val="24"/>
        </w:rPr>
        <w:t>）计票过程应由公证机关予以公证</w:t>
      </w:r>
      <w:r>
        <w:rPr>
          <w:bCs/>
          <w:sz w:val="24"/>
        </w:rPr>
        <w:t>,</w:t>
      </w:r>
      <w:r>
        <w:rPr>
          <w:bCs/>
          <w:sz w:val="24"/>
        </w:rPr>
        <w:t>基金管理人或基金托管人拒不出席大会的，不影响计票的效力。</w:t>
      </w:r>
    </w:p>
    <w:p w14:paraId="7739B2D0" w14:textId="77777777" w:rsidR="00D04107" w:rsidRDefault="000C2DB0">
      <w:pPr>
        <w:spacing w:line="360" w:lineRule="auto"/>
        <w:ind w:firstLineChars="200" w:firstLine="480"/>
        <w:rPr>
          <w:bCs/>
          <w:sz w:val="24"/>
        </w:rPr>
      </w:pPr>
      <w:r>
        <w:rPr>
          <w:bCs/>
          <w:sz w:val="24"/>
        </w:rPr>
        <w:t>2</w:t>
      </w:r>
      <w:r>
        <w:rPr>
          <w:bCs/>
          <w:sz w:val="24"/>
        </w:rPr>
        <w:t>、通讯开会</w:t>
      </w:r>
    </w:p>
    <w:p w14:paraId="7B8DD7C9" w14:textId="77777777" w:rsidR="00D04107" w:rsidRDefault="000C2DB0">
      <w:pPr>
        <w:spacing w:line="360" w:lineRule="auto"/>
        <w:ind w:firstLineChars="200" w:firstLine="480"/>
        <w:rPr>
          <w:bCs/>
          <w:sz w:val="24"/>
        </w:rPr>
      </w:pPr>
      <w:r>
        <w:rPr>
          <w:bCs/>
          <w:sz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人拒派代表对书面表决意见的计票进行监督的，不影响计票和表决结果。</w:t>
      </w:r>
    </w:p>
    <w:p w14:paraId="0B9C2E89" w14:textId="77777777" w:rsidR="00D04107" w:rsidRDefault="000C2DB0">
      <w:pPr>
        <w:spacing w:line="360" w:lineRule="auto"/>
        <w:ind w:firstLineChars="200" w:firstLine="480"/>
        <w:rPr>
          <w:bCs/>
          <w:sz w:val="24"/>
        </w:rPr>
      </w:pPr>
      <w:r>
        <w:rPr>
          <w:rFonts w:hint="eastAsia"/>
          <w:bCs/>
          <w:sz w:val="24"/>
        </w:rPr>
        <w:t>八、</w:t>
      </w:r>
      <w:r>
        <w:rPr>
          <w:bCs/>
          <w:sz w:val="24"/>
        </w:rPr>
        <w:t>生效与公告</w:t>
      </w:r>
    </w:p>
    <w:p w14:paraId="01B202A2" w14:textId="77777777" w:rsidR="00D04107" w:rsidRDefault="000C2DB0">
      <w:pPr>
        <w:spacing w:line="360" w:lineRule="auto"/>
        <w:ind w:firstLineChars="200" w:firstLine="480"/>
        <w:rPr>
          <w:bCs/>
          <w:sz w:val="24"/>
        </w:rPr>
      </w:pPr>
      <w:r>
        <w:rPr>
          <w:bCs/>
          <w:sz w:val="24"/>
        </w:rPr>
        <w:lastRenderedPageBreak/>
        <w:t>基金份额持有人大会的决议，召集人应当自通过之日起</w:t>
      </w:r>
      <w:r>
        <w:rPr>
          <w:bCs/>
          <w:sz w:val="24"/>
        </w:rPr>
        <w:t>5</w:t>
      </w:r>
      <w:r>
        <w:rPr>
          <w:bCs/>
          <w:sz w:val="24"/>
        </w:rPr>
        <w:t>日内报中国证监会备案。</w:t>
      </w:r>
    </w:p>
    <w:p w14:paraId="251BB18F" w14:textId="77777777" w:rsidR="00D04107" w:rsidRDefault="000C2DB0">
      <w:pPr>
        <w:spacing w:line="360" w:lineRule="auto"/>
        <w:ind w:firstLineChars="200" w:firstLine="480"/>
        <w:rPr>
          <w:bCs/>
          <w:sz w:val="24"/>
        </w:rPr>
      </w:pPr>
      <w:r>
        <w:rPr>
          <w:bCs/>
          <w:sz w:val="24"/>
        </w:rPr>
        <w:t>基金份额持有人大会的决议自</w:t>
      </w:r>
      <w:r>
        <w:rPr>
          <w:rFonts w:hint="eastAsia"/>
          <w:bCs/>
          <w:sz w:val="24"/>
        </w:rPr>
        <w:t>表决通过</w:t>
      </w:r>
      <w:r>
        <w:rPr>
          <w:bCs/>
          <w:sz w:val="24"/>
        </w:rPr>
        <w:t>之日起生效。</w:t>
      </w:r>
    </w:p>
    <w:p w14:paraId="327770FA" w14:textId="77777777" w:rsidR="00D04107" w:rsidRDefault="000C2DB0">
      <w:pPr>
        <w:spacing w:line="360" w:lineRule="auto"/>
        <w:ind w:firstLineChars="200" w:firstLine="480"/>
        <w:rPr>
          <w:bCs/>
          <w:sz w:val="24"/>
        </w:rPr>
      </w:pPr>
      <w:r>
        <w:rPr>
          <w:bCs/>
          <w:sz w:val="24"/>
        </w:rPr>
        <w:t>基金份额持有人大会决议自生效之日起</w:t>
      </w:r>
      <w:r>
        <w:rPr>
          <w:bCs/>
          <w:sz w:val="24"/>
        </w:rPr>
        <w:t xml:space="preserve"> 2 </w:t>
      </w:r>
      <w:r>
        <w:rPr>
          <w:bCs/>
          <w:sz w:val="24"/>
        </w:rPr>
        <w:t>个工作日内在</w:t>
      </w:r>
      <w:r>
        <w:rPr>
          <w:rFonts w:hint="eastAsia"/>
          <w:bCs/>
          <w:sz w:val="24"/>
        </w:rPr>
        <w:t>指定媒介</w:t>
      </w:r>
      <w:r>
        <w:rPr>
          <w:bCs/>
          <w:sz w:val="24"/>
        </w:rPr>
        <w:t>上公告。如果采用通讯方式进行表决，在公告基金份额持有人大会决议时，必须将公证书全文、公证机构、公证员姓名等一同公告。</w:t>
      </w:r>
    </w:p>
    <w:p w14:paraId="2B35EFE1" w14:textId="77777777" w:rsidR="00D04107" w:rsidRDefault="000C2DB0">
      <w:pPr>
        <w:spacing w:line="360" w:lineRule="auto"/>
        <w:ind w:firstLineChars="200" w:firstLine="480"/>
        <w:rPr>
          <w:bCs/>
          <w:sz w:val="24"/>
        </w:rPr>
      </w:pPr>
      <w:r>
        <w:rPr>
          <w:bCs/>
          <w:sz w:val="24"/>
        </w:rPr>
        <w:t>基金管理人、基金托管人和基金份额持有人应当执行生效的基金份额持有人大会的决议。生效的基金份额持有人大会决议对全体基金份额持有人、基金管理人、基金托管人均有约束力。</w:t>
      </w:r>
    </w:p>
    <w:p w14:paraId="4F404209" w14:textId="77777777" w:rsidR="00D04107" w:rsidRDefault="000C2DB0">
      <w:pPr>
        <w:spacing w:line="360" w:lineRule="auto"/>
        <w:ind w:firstLineChars="200" w:firstLine="480"/>
        <w:rPr>
          <w:bCs/>
          <w:sz w:val="24"/>
        </w:rPr>
      </w:pPr>
      <w:r>
        <w:rPr>
          <w:rFonts w:hint="eastAsia"/>
          <w:bCs/>
          <w:sz w:val="24"/>
        </w:rPr>
        <w:t>九、本部分关于基金份额持有人大会召开事由、召开条件、议事程序、表决条件等规定，凡是直接引用法律法规的部分，如将来法律法规修改导致相关内容被取消或变更的，基金管理人提前公告后，可直接对本部分内容进行修改和调整，无需召开基金份额持有人大会审议。</w:t>
      </w:r>
    </w:p>
    <w:p w14:paraId="6F322F0E" w14:textId="77777777" w:rsidR="00D04107" w:rsidRDefault="000C2DB0">
      <w:pPr>
        <w:spacing w:line="360" w:lineRule="auto"/>
        <w:ind w:firstLineChars="200" w:firstLine="480"/>
        <w:rPr>
          <w:rFonts w:ascii="宋体" w:hAnsi="宋体"/>
          <w:sz w:val="24"/>
        </w:rPr>
      </w:pPr>
      <w:r>
        <w:rPr>
          <w:rFonts w:ascii="宋体" w:hAnsi="宋体" w:hint="eastAsia"/>
          <w:sz w:val="24"/>
        </w:rPr>
        <w:t>（三）</w:t>
      </w:r>
      <w:r>
        <w:rPr>
          <w:rFonts w:ascii="宋体" w:hAnsi="宋体"/>
          <w:sz w:val="24"/>
        </w:rPr>
        <w:t>基金合同解除和终止的事由、程序</w:t>
      </w:r>
    </w:p>
    <w:p w14:paraId="7344197A" w14:textId="77777777" w:rsidR="00D04107" w:rsidRDefault="000C2DB0">
      <w:pPr>
        <w:spacing w:line="360" w:lineRule="auto"/>
        <w:ind w:firstLineChars="200" w:firstLine="480"/>
        <w:rPr>
          <w:bCs/>
          <w:sz w:val="24"/>
        </w:rPr>
      </w:pPr>
      <w:r>
        <w:rPr>
          <w:bCs/>
          <w:sz w:val="24"/>
        </w:rPr>
        <w:t>一</w:t>
      </w:r>
      <w:r>
        <w:rPr>
          <w:rFonts w:hint="eastAsia"/>
          <w:bCs/>
          <w:sz w:val="24"/>
        </w:rPr>
        <w:t>、</w:t>
      </w:r>
      <w:r>
        <w:rPr>
          <w:bCs/>
          <w:sz w:val="24"/>
        </w:rPr>
        <w:t>《基金合同》的变更</w:t>
      </w:r>
    </w:p>
    <w:p w14:paraId="16926505" w14:textId="77777777" w:rsidR="00D04107" w:rsidRDefault="000C2DB0">
      <w:pPr>
        <w:autoSpaceDE w:val="0"/>
        <w:autoSpaceDN w:val="0"/>
        <w:adjustRightInd w:val="0"/>
        <w:spacing w:line="360" w:lineRule="auto"/>
        <w:ind w:firstLineChars="200" w:firstLine="480"/>
        <w:jc w:val="left"/>
        <w:rPr>
          <w:bCs/>
          <w:sz w:val="24"/>
        </w:rPr>
      </w:pPr>
      <w:r>
        <w:rPr>
          <w:bCs/>
          <w:sz w:val="24"/>
        </w:rPr>
        <w:t>1</w:t>
      </w:r>
      <w:r>
        <w:rPr>
          <w:bCs/>
          <w:sz w:val="24"/>
        </w:rPr>
        <w:t>、变更基金合同</w:t>
      </w:r>
      <w:r>
        <w:rPr>
          <w:rFonts w:hint="eastAsia"/>
          <w:bCs/>
          <w:sz w:val="24"/>
        </w:rPr>
        <w:t>涉及</w:t>
      </w:r>
      <w:r>
        <w:rPr>
          <w:bCs/>
          <w:sz w:val="24"/>
        </w:rPr>
        <w:t>法律法规规定或本合同约定应经基金份额持有人大会决议通过的事项的，应召开基金份额持有人大会决议通过。对于可不经基金份额持有人大会决议通过的事项，由基金管理人和基金托管人同意后变更并公告，并报中国证监会备案。</w:t>
      </w:r>
    </w:p>
    <w:p w14:paraId="093A227F" w14:textId="77777777" w:rsidR="00D04107" w:rsidRDefault="000C2DB0">
      <w:pPr>
        <w:spacing w:line="360" w:lineRule="auto"/>
        <w:ind w:firstLineChars="200" w:firstLine="480"/>
        <w:rPr>
          <w:bCs/>
          <w:sz w:val="24"/>
        </w:rPr>
      </w:pPr>
      <w:r>
        <w:rPr>
          <w:bCs/>
          <w:sz w:val="24"/>
        </w:rPr>
        <w:t>2</w:t>
      </w:r>
      <w:r>
        <w:rPr>
          <w:bCs/>
          <w:sz w:val="24"/>
        </w:rPr>
        <w:t>、</w:t>
      </w:r>
      <w:r>
        <w:rPr>
          <w:rFonts w:hint="eastAsia"/>
          <w:bCs/>
          <w:sz w:val="24"/>
        </w:rPr>
        <w:t>关于《基金合同》变更的基金份额持有人大会决议自报中国证监会完成备案手续后方可执行，决议生效后依照《信息披露办法》的有关规定在指定媒介公告</w:t>
      </w:r>
      <w:r>
        <w:rPr>
          <w:bCs/>
          <w:sz w:val="24"/>
        </w:rPr>
        <w:t>。</w:t>
      </w:r>
    </w:p>
    <w:p w14:paraId="164A2606" w14:textId="77777777" w:rsidR="00D04107" w:rsidRDefault="000C2DB0">
      <w:pPr>
        <w:spacing w:line="360" w:lineRule="auto"/>
        <w:ind w:firstLineChars="200" w:firstLine="480"/>
        <w:rPr>
          <w:bCs/>
          <w:sz w:val="24"/>
        </w:rPr>
      </w:pPr>
      <w:r>
        <w:rPr>
          <w:bCs/>
          <w:sz w:val="24"/>
        </w:rPr>
        <w:t>二</w:t>
      </w:r>
      <w:r>
        <w:rPr>
          <w:rFonts w:hint="eastAsia"/>
          <w:bCs/>
          <w:sz w:val="24"/>
        </w:rPr>
        <w:t>、</w:t>
      </w:r>
      <w:r>
        <w:rPr>
          <w:bCs/>
          <w:sz w:val="24"/>
        </w:rPr>
        <w:t>《基金合同》的终止事由</w:t>
      </w:r>
    </w:p>
    <w:p w14:paraId="35A17D63" w14:textId="77777777" w:rsidR="00D04107" w:rsidRDefault="000C2DB0">
      <w:pPr>
        <w:spacing w:line="360" w:lineRule="auto"/>
        <w:ind w:firstLineChars="200" w:firstLine="480"/>
        <w:rPr>
          <w:bCs/>
          <w:sz w:val="24"/>
        </w:rPr>
      </w:pPr>
      <w:r>
        <w:rPr>
          <w:bCs/>
          <w:sz w:val="24"/>
        </w:rPr>
        <w:t>有下列情形之一的，《基金合同》应当终止：</w:t>
      </w:r>
    </w:p>
    <w:p w14:paraId="0F540434" w14:textId="77777777" w:rsidR="00D04107" w:rsidRDefault="000C2DB0">
      <w:pPr>
        <w:spacing w:line="360" w:lineRule="auto"/>
        <w:ind w:firstLineChars="200" w:firstLine="480"/>
        <w:rPr>
          <w:bCs/>
          <w:sz w:val="24"/>
        </w:rPr>
      </w:pPr>
      <w:r>
        <w:rPr>
          <w:bCs/>
          <w:sz w:val="24"/>
        </w:rPr>
        <w:t>1</w:t>
      </w:r>
      <w:r>
        <w:rPr>
          <w:bCs/>
          <w:sz w:val="24"/>
        </w:rPr>
        <w:t>、基金份额持有人大会决定终止的；</w:t>
      </w:r>
    </w:p>
    <w:p w14:paraId="2531EC13" w14:textId="77777777" w:rsidR="00D04107" w:rsidRDefault="000C2DB0">
      <w:pPr>
        <w:spacing w:line="360" w:lineRule="auto"/>
        <w:ind w:firstLineChars="200" w:firstLine="480"/>
        <w:rPr>
          <w:bCs/>
          <w:sz w:val="24"/>
        </w:rPr>
      </w:pPr>
      <w:r>
        <w:rPr>
          <w:bCs/>
          <w:sz w:val="24"/>
        </w:rPr>
        <w:t>2</w:t>
      </w:r>
      <w:r>
        <w:rPr>
          <w:bCs/>
          <w:sz w:val="24"/>
        </w:rPr>
        <w:t>、基金管理人、基金托管人职责终止，在</w:t>
      </w:r>
      <w:r>
        <w:rPr>
          <w:bCs/>
          <w:sz w:val="24"/>
        </w:rPr>
        <w:t>6</w:t>
      </w:r>
      <w:r>
        <w:rPr>
          <w:bCs/>
          <w:sz w:val="24"/>
        </w:rPr>
        <w:t>个月内没有新基金管理人、新基金托管人承接的；</w:t>
      </w:r>
    </w:p>
    <w:p w14:paraId="073A5CB0" w14:textId="77777777" w:rsidR="00D04107" w:rsidRDefault="000C2DB0">
      <w:pPr>
        <w:spacing w:line="360" w:lineRule="auto"/>
        <w:ind w:firstLineChars="200" w:firstLine="480"/>
        <w:rPr>
          <w:bCs/>
          <w:sz w:val="24"/>
        </w:rPr>
      </w:pPr>
      <w:r>
        <w:rPr>
          <w:rFonts w:hint="eastAsia"/>
          <w:bCs/>
          <w:sz w:val="24"/>
        </w:rPr>
        <w:t>3</w:t>
      </w:r>
      <w:r>
        <w:rPr>
          <w:bCs/>
          <w:sz w:val="24"/>
        </w:rPr>
        <w:t>、《基金合同》约定的其他情形；</w:t>
      </w:r>
    </w:p>
    <w:p w14:paraId="65027FDC" w14:textId="77777777" w:rsidR="00D04107" w:rsidRDefault="000C2DB0">
      <w:pPr>
        <w:spacing w:line="360" w:lineRule="auto"/>
        <w:ind w:firstLineChars="200" w:firstLine="480"/>
        <w:rPr>
          <w:bCs/>
          <w:sz w:val="24"/>
        </w:rPr>
      </w:pPr>
      <w:r>
        <w:rPr>
          <w:rFonts w:hint="eastAsia"/>
          <w:bCs/>
          <w:sz w:val="24"/>
        </w:rPr>
        <w:t>4</w:t>
      </w:r>
      <w:r>
        <w:rPr>
          <w:rFonts w:hint="eastAsia"/>
          <w:bCs/>
          <w:sz w:val="24"/>
        </w:rPr>
        <w:t>、</w:t>
      </w:r>
      <w:r>
        <w:rPr>
          <w:bCs/>
          <w:sz w:val="24"/>
        </w:rPr>
        <w:t>相关法律法规和中国证监会规定的其他情况。</w:t>
      </w:r>
    </w:p>
    <w:p w14:paraId="2BF01668" w14:textId="77777777" w:rsidR="00D04107" w:rsidRDefault="000C2DB0">
      <w:pPr>
        <w:spacing w:line="360" w:lineRule="auto"/>
        <w:ind w:firstLineChars="200" w:firstLine="480"/>
        <w:rPr>
          <w:bCs/>
          <w:sz w:val="24"/>
        </w:rPr>
      </w:pPr>
      <w:r>
        <w:rPr>
          <w:bCs/>
          <w:sz w:val="24"/>
        </w:rPr>
        <w:lastRenderedPageBreak/>
        <w:t>三</w:t>
      </w:r>
      <w:r>
        <w:rPr>
          <w:rFonts w:hint="eastAsia"/>
          <w:bCs/>
          <w:sz w:val="24"/>
        </w:rPr>
        <w:t>、</w:t>
      </w:r>
      <w:r>
        <w:rPr>
          <w:bCs/>
          <w:sz w:val="24"/>
        </w:rPr>
        <w:t>基金财产的清算</w:t>
      </w:r>
    </w:p>
    <w:p w14:paraId="34985472" w14:textId="77777777" w:rsidR="00D04107" w:rsidRDefault="000C2DB0">
      <w:pPr>
        <w:spacing w:line="360" w:lineRule="auto"/>
        <w:ind w:firstLineChars="200" w:firstLine="480"/>
        <w:rPr>
          <w:bCs/>
          <w:sz w:val="24"/>
        </w:rPr>
      </w:pPr>
      <w:r>
        <w:rPr>
          <w:bCs/>
          <w:sz w:val="24"/>
        </w:rPr>
        <w:t>1</w:t>
      </w:r>
      <w:r>
        <w:rPr>
          <w:bCs/>
          <w:sz w:val="24"/>
        </w:rPr>
        <w:t>、基金财产清算小组：自出现《基金合同》终止事由之日起</w:t>
      </w:r>
      <w:r>
        <w:rPr>
          <w:bCs/>
          <w:sz w:val="24"/>
        </w:rPr>
        <w:t>30</w:t>
      </w:r>
      <w:r>
        <w:rPr>
          <w:bCs/>
          <w:sz w:val="24"/>
        </w:rPr>
        <w:t>个工作日内成立清算小组，基金管理人组织基金财产清算小组并在中国证监会的监督下进行基金清算。</w:t>
      </w:r>
    </w:p>
    <w:p w14:paraId="52EC69E3" w14:textId="77777777" w:rsidR="00D04107" w:rsidRDefault="000C2DB0">
      <w:pPr>
        <w:spacing w:line="360" w:lineRule="auto"/>
        <w:ind w:firstLineChars="200" w:firstLine="480"/>
        <w:rPr>
          <w:bCs/>
          <w:sz w:val="24"/>
        </w:rPr>
      </w:pPr>
      <w:r>
        <w:rPr>
          <w:bCs/>
          <w:sz w:val="24"/>
        </w:rPr>
        <w:t>2</w:t>
      </w:r>
      <w:r>
        <w:rPr>
          <w:bCs/>
          <w:sz w:val="24"/>
        </w:rPr>
        <w:t>、基金财产清算小组组成：基金财产清算小组成员由基金管理人、基金托管人、具有从事证券相关业务资格的注册会计师、律师以及中国证监会指定的人员组成。基金财产清算小组可以聘用必要的工作人员。</w:t>
      </w:r>
    </w:p>
    <w:p w14:paraId="52A70673" w14:textId="77777777" w:rsidR="00D04107" w:rsidRDefault="000C2DB0">
      <w:pPr>
        <w:spacing w:line="360" w:lineRule="auto"/>
        <w:ind w:firstLineChars="200" w:firstLine="480"/>
        <w:rPr>
          <w:bCs/>
          <w:sz w:val="24"/>
        </w:rPr>
      </w:pPr>
      <w:r>
        <w:rPr>
          <w:bCs/>
          <w:sz w:val="24"/>
        </w:rPr>
        <w:t>3</w:t>
      </w:r>
      <w:r>
        <w:rPr>
          <w:bCs/>
          <w:sz w:val="24"/>
        </w:rPr>
        <w:t>、基金财产清算小组职责：基金财产清算小组负责基金财产的保管、清理、估价、变现和分配。基金财产清算小组可以依法进行必要的民事活动。</w:t>
      </w:r>
    </w:p>
    <w:p w14:paraId="6CAF5393" w14:textId="77777777" w:rsidR="00D04107" w:rsidRDefault="000C2DB0">
      <w:pPr>
        <w:spacing w:line="360" w:lineRule="auto"/>
        <w:ind w:firstLineChars="200" w:firstLine="480"/>
        <w:rPr>
          <w:bCs/>
          <w:sz w:val="24"/>
        </w:rPr>
      </w:pPr>
      <w:r>
        <w:rPr>
          <w:bCs/>
          <w:sz w:val="24"/>
        </w:rPr>
        <w:t>4</w:t>
      </w:r>
      <w:r>
        <w:rPr>
          <w:bCs/>
          <w:sz w:val="24"/>
        </w:rPr>
        <w:t>、基金财产清算程序：</w:t>
      </w:r>
    </w:p>
    <w:p w14:paraId="1D261A87" w14:textId="77777777" w:rsidR="00D04107" w:rsidRDefault="000C2DB0">
      <w:pPr>
        <w:spacing w:line="360" w:lineRule="auto"/>
        <w:ind w:firstLineChars="200" w:firstLine="480"/>
        <w:rPr>
          <w:bCs/>
          <w:sz w:val="24"/>
        </w:rPr>
      </w:pPr>
      <w:r>
        <w:rPr>
          <w:bCs/>
          <w:sz w:val="24"/>
        </w:rPr>
        <w:t>（</w:t>
      </w:r>
      <w:r>
        <w:rPr>
          <w:bCs/>
          <w:sz w:val="24"/>
        </w:rPr>
        <w:t>1</w:t>
      </w:r>
      <w:r>
        <w:rPr>
          <w:bCs/>
          <w:sz w:val="24"/>
        </w:rPr>
        <w:t>）《基金合同》终止情形出现时，由基金财产清算小组统一接管基金；</w:t>
      </w:r>
    </w:p>
    <w:p w14:paraId="59D464B7" w14:textId="77777777" w:rsidR="00D04107" w:rsidRDefault="000C2DB0">
      <w:pPr>
        <w:spacing w:line="360" w:lineRule="auto"/>
        <w:ind w:firstLineChars="200" w:firstLine="480"/>
        <w:rPr>
          <w:bCs/>
          <w:sz w:val="24"/>
        </w:rPr>
      </w:pPr>
      <w:r>
        <w:rPr>
          <w:bCs/>
          <w:sz w:val="24"/>
        </w:rPr>
        <w:t>（</w:t>
      </w:r>
      <w:r>
        <w:rPr>
          <w:bCs/>
          <w:sz w:val="24"/>
        </w:rPr>
        <w:t>2</w:t>
      </w:r>
      <w:r>
        <w:rPr>
          <w:bCs/>
          <w:sz w:val="24"/>
        </w:rPr>
        <w:t>）对基金财产和债权债务进行清理和确认；</w:t>
      </w:r>
    </w:p>
    <w:p w14:paraId="442898BF" w14:textId="77777777" w:rsidR="00D04107" w:rsidRDefault="000C2DB0">
      <w:pPr>
        <w:spacing w:line="360" w:lineRule="auto"/>
        <w:ind w:firstLineChars="200" w:firstLine="480"/>
        <w:rPr>
          <w:bCs/>
          <w:sz w:val="24"/>
        </w:rPr>
      </w:pPr>
      <w:r>
        <w:rPr>
          <w:bCs/>
          <w:sz w:val="24"/>
        </w:rPr>
        <w:t>（</w:t>
      </w:r>
      <w:r>
        <w:rPr>
          <w:bCs/>
          <w:sz w:val="24"/>
        </w:rPr>
        <w:t>3</w:t>
      </w:r>
      <w:r>
        <w:rPr>
          <w:bCs/>
          <w:sz w:val="24"/>
        </w:rPr>
        <w:t>）对基金财产进行估值和变现；</w:t>
      </w:r>
    </w:p>
    <w:p w14:paraId="6478B02D" w14:textId="77777777" w:rsidR="00D04107" w:rsidRDefault="000C2DB0">
      <w:pPr>
        <w:spacing w:line="360" w:lineRule="auto"/>
        <w:ind w:firstLineChars="200" w:firstLine="480"/>
        <w:rPr>
          <w:bCs/>
          <w:sz w:val="24"/>
        </w:rPr>
      </w:pPr>
      <w:r>
        <w:rPr>
          <w:bCs/>
          <w:sz w:val="24"/>
        </w:rPr>
        <w:t>（</w:t>
      </w:r>
      <w:r>
        <w:rPr>
          <w:bCs/>
          <w:sz w:val="24"/>
        </w:rPr>
        <w:t>4</w:t>
      </w:r>
      <w:r>
        <w:rPr>
          <w:bCs/>
          <w:sz w:val="24"/>
        </w:rPr>
        <w:t>）制作清算报告；</w:t>
      </w:r>
    </w:p>
    <w:p w14:paraId="050B918E" w14:textId="77777777" w:rsidR="00D04107" w:rsidRDefault="000C2DB0">
      <w:pPr>
        <w:spacing w:line="360" w:lineRule="auto"/>
        <w:ind w:firstLineChars="200" w:firstLine="480"/>
        <w:rPr>
          <w:bCs/>
          <w:sz w:val="24"/>
        </w:rPr>
      </w:pPr>
      <w:r>
        <w:rPr>
          <w:bCs/>
          <w:sz w:val="24"/>
        </w:rPr>
        <w:t>（</w:t>
      </w:r>
      <w:r>
        <w:rPr>
          <w:bCs/>
          <w:sz w:val="24"/>
        </w:rPr>
        <w:t>5</w:t>
      </w:r>
      <w:r>
        <w:rPr>
          <w:bCs/>
          <w:sz w:val="24"/>
        </w:rPr>
        <w:t>）聘请会计师事务所对清算报告进行外部审计，聘请律师事务所对清算报告出具法律意见书；</w:t>
      </w:r>
    </w:p>
    <w:p w14:paraId="27DBBAF2" w14:textId="77777777" w:rsidR="00D04107" w:rsidRDefault="000C2DB0">
      <w:pPr>
        <w:spacing w:line="360" w:lineRule="auto"/>
        <w:ind w:firstLineChars="200" w:firstLine="480"/>
        <w:rPr>
          <w:bCs/>
          <w:sz w:val="24"/>
        </w:rPr>
      </w:pPr>
      <w:r>
        <w:rPr>
          <w:bCs/>
          <w:sz w:val="24"/>
        </w:rPr>
        <w:t>（</w:t>
      </w:r>
      <w:r>
        <w:rPr>
          <w:bCs/>
          <w:sz w:val="24"/>
        </w:rPr>
        <w:t>6</w:t>
      </w:r>
      <w:r>
        <w:rPr>
          <w:bCs/>
          <w:sz w:val="24"/>
        </w:rPr>
        <w:t>）将清算报告报中国证监会备案并公告</w:t>
      </w:r>
      <w:r>
        <w:rPr>
          <w:rFonts w:hint="eastAsia"/>
          <w:bCs/>
          <w:sz w:val="24"/>
        </w:rPr>
        <w:t>；</w:t>
      </w:r>
    </w:p>
    <w:p w14:paraId="339F9EE5" w14:textId="77777777" w:rsidR="00D04107" w:rsidRDefault="000C2DB0">
      <w:pPr>
        <w:spacing w:line="360" w:lineRule="auto"/>
        <w:ind w:firstLineChars="200" w:firstLine="480"/>
        <w:rPr>
          <w:bCs/>
          <w:sz w:val="24"/>
        </w:rPr>
      </w:pPr>
      <w:r>
        <w:rPr>
          <w:bCs/>
          <w:sz w:val="24"/>
        </w:rPr>
        <w:t>（</w:t>
      </w:r>
      <w:r>
        <w:rPr>
          <w:bCs/>
          <w:sz w:val="24"/>
        </w:rPr>
        <w:t>7</w:t>
      </w:r>
      <w:r>
        <w:rPr>
          <w:bCs/>
          <w:sz w:val="24"/>
        </w:rPr>
        <w:t>）对基金</w:t>
      </w:r>
      <w:r>
        <w:rPr>
          <w:rFonts w:hint="eastAsia"/>
          <w:bCs/>
          <w:sz w:val="24"/>
        </w:rPr>
        <w:t>剩余</w:t>
      </w:r>
      <w:r>
        <w:rPr>
          <w:bCs/>
          <w:sz w:val="24"/>
        </w:rPr>
        <w:t>财产进行分配</w:t>
      </w:r>
      <w:r>
        <w:rPr>
          <w:rFonts w:hint="eastAsia"/>
          <w:bCs/>
          <w:sz w:val="24"/>
        </w:rPr>
        <w:t>。</w:t>
      </w:r>
    </w:p>
    <w:p w14:paraId="0D9F8DE3" w14:textId="77777777" w:rsidR="00D04107" w:rsidRDefault="000C2DB0">
      <w:pPr>
        <w:spacing w:line="360" w:lineRule="auto"/>
        <w:ind w:firstLineChars="200" w:firstLine="480"/>
        <w:rPr>
          <w:bCs/>
          <w:sz w:val="24"/>
        </w:rPr>
      </w:pPr>
      <w:r>
        <w:rPr>
          <w:bCs/>
          <w:sz w:val="24"/>
        </w:rPr>
        <w:t>5</w:t>
      </w:r>
      <w:r>
        <w:rPr>
          <w:bCs/>
          <w:sz w:val="24"/>
        </w:rPr>
        <w:t>、基金财产清算的期限为</w:t>
      </w:r>
      <w:r>
        <w:rPr>
          <w:bCs/>
          <w:sz w:val="24"/>
        </w:rPr>
        <w:t>6</w:t>
      </w:r>
      <w:r>
        <w:rPr>
          <w:bCs/>
          <w:sz w:val="24"/>
        </w:rPr>
        <w:t>个月</w:t>
      </w:r>
      <w:r>
        <w:rPr>
          <w:rFonts w:hint="eastAsia"/>
          <w:bCs/>
          <w:sz w:val="24"/>
        </w:rPr>
        <w:t>，但因本基金所持证券的流动性受到限制而不能及时变现的，清算期限相应顺延</w:t>
      </w:r>
      <w:r>
        <w:rPr>
          <w:bCs/>
          <w:sz w:val="24"/>
        </w:rPr>
        <w:t>。</w:t>
      </w:r>
    </w:p>
    <w:p w14:paraId="3D12F703" w14:textId="77777777" w:rsidR="00D04107" w:rsidRDefault="000C2DB0">
      <w:pPr>
        <w:spacing w:line="360" w:lineRule="auto"/>
        <w:ind w:firstLineChars="200" w:firstLine="480"/>
        <w:rPr>
          <w:bCs/>
          <w:sz w:val="24"/>
        </w:rPr>
      </w:pPr>
      <w:r>
        <w:rPr>
          <w:bCs/>
          <w:sz w:val="24"/>
        </w:rPr>
        <w:t>四</w:t>
      </w:r>
      <w:r>
        <w:rPr>
          <w:rFonts w:hint="eastAsia"/>
          <w:bCs/>
          <w:sz w:val="24"/>
        </w:rPr>
        <w:t>、</w:t>
      </w:r>
      <w:r>
        <w:rPr>
          <w:bCs/>
          <w:sz w:val="24"/>
        </w:rPr>
        <w:t>清算费用</w:t>
      </w:r>
    </w:p>
    <w:p w14:paraId="1B9AF4C0" w14:textId="77777777" w:rsidR="00D04107" w:rsidRDefault="000C2DB0">
      <w:pPr>
        <w:spacing w:line="360" w:lineRule="auto"/>
        <w:ind w:firstLineChars="200" w:firstLine="480"/>
        <w:rPr>
          <w:bCs/>
          <w:sz w:val="24"/>
        </w:rPr>
      </w:pPr>
      <w:r>
        <w:rPr>
          <w:bCs/>
          <w:sz w:val="24"/>
        </w:rPr>
        <w:t>清算费用是指基金财产清算小组在进行基金清算过程中发生的所有合理费用，清算费用由基金财产清算小组优先从基金财产中支付。</w:t>
      </w:r>
    </w:p>
    <w:p w14:paraId="22AC283E" w14:textId="77777777" w:rsidR="00D04107" w:rsidRDefault="000C2DB0">
      <w:pPr>
        <w:spacing w:line="360" w:lineRule="auto"/>
        <w:ind w:firstLineChars="200" w:firstLine="480"/>
        <w:rPr>
          <w:bCs/>
          <w:sz w:val="24"/>
        </w:rPr>
      </w:pPr>
      <w:r>
        <w:rPr>
          <w:bCs/>
          <w:sz w:val="24"/>
        </w:rPr>
        <w:t>五</w:t>
      </w:r>
      <w:r>
        <w:rPr>
          <w:rFonts w:hint="eastAsia"/>
          <w:bCs/>
          <w:sz w:val="24"/>
        </w:rPr>
        <w:t>、</w:t>
      </w:r>
      <w:r>
        <w:rPr>
          <w:bCs/>
          <w:sz w:val="24"/>
        </w:rPr>
        <w:t>基金财产清算剩余资产的分配</w:t>
      </w:r>
    </w:p>
    <w:p w14:paraId="419098BB" w14:textId="77777777" w:rsidR="00D04107" w:rsidRDefault="000C2DB0">
      <w:pPr>
        <w:spacing w:line="360" w:lineRule="auto"/>
        <w:ind w:firstLineChars="200" w:firstLine="480"/>
        <w:rPr>
          <w:bCs/>
          <w:sz w:val="24"/>
        </w:rPr>
      </w:pPr>
      <w:r>
        <w:rPr>
          <w:bCs/>
          <w:sz w:val="24"/>
        </w:rPr>
        <w:t>依据基金财产清算的分配方案，将基金财产清算后的全部剩余资产扣除基金财产清算费用、交纳所欠税款并清偿基金债务后，按基金份额持有人持有的基金份额比例进行分配。</w:t>
      </w:r>
    </w:p>
    <w:p w14:paraId="63401F57" w14:textId="77777777" w:rsidR="00D04107" w:rsidRDefault="000C2DB0">
      <w:pPr>
        <w:spacing w:line="360" w:lineRule="auto"/>
        <w:ind w:firstLineChars="200" w:firstLine="480"/>
        <w:rPr>
          <w:bCs/>
          <w:sz w:val="24"/>
        </w:rPr>
      </w:pPr>
      <w:r>
        <w:rPr>
          <w:bCs/>
          <w:sz w:val="24"/>
        </w:rPr>
        <w:t>六</w:t>
      </w:r>
      <w:r>
        <w:rPr>
          <w:rFonts w:hint="eastAsia"/>
          <w:bCs/>
          <w:sz w:val="24"/>
        </w:rPr>
        <w:t>、</w:t>
      </w:r>
      <w:r>
        <w:rPr>
          <w:bCs/>
          <w:sz w:val="24"/>
        </w:rPr>
        <w:t>基金财产清算的公告</w:t>
      </w:r>
    </w:p>
    <w:p w14:paraId="2DFF2B8B" w14:textId="77777777" w:rsidR="00D04107" w:rsidRDefault="000C2DB0">
      <w:pPr>
        <w:spacing w:line="360" w:lineRule="auto"/>
        <w:ind w:firstLineChars="200" w:firstLine="480"/>
        <w:rPr>
          <w:bCs/>
          <w:sz w:val="24"/>
        </w:rPr>
      </w:pPr>
      <w:r>
        <w:rPr>
          <w:bCs/>
          <w:sz w:val="24"/>
        </w:rPr>
        <w:lastRenderedPageBreak/>
        <w:t>清算过程中的有关重大事项须及时公告；基金财产清算报告经会计师事务所审计并由律师事务所出具法律意见书后报中国证监会备案并公告。基金财产清算公告于基金财产清算报告报中国证监会备案后</w:t>
      </w:r>
      <w:r>
        <w:rPr>
          <w:bCs/>
          <w:sz w:val="24"/>
        </w:rPr>
        <w:t>5</w:t>
      </w:r>
      <w:r>
        <w:rPr>
          <w:bCs/>
          <w:sz w:val="24"/>
        </w:rPr>
        <w:t>个工作日内由基金财产清算小组进行公告。</w:t>
      </w:r>
    </w:p>
    <w:p w14:paraId="31362C4B" w14:textId="77777777" w:rsidR="00D04107" w:rsidRDefault="000C2DB0">
      <w:pPr>
        <w:spacing w:line="360" w:lineRule="auto"/>
        <w:ind w:firstLineChars="200" w:firstLine="480"/>
        <w:rPr>
          <w:bCs/>
          <w:sz w:val="24"/>
        </w:rPr>
      </w:pPr>
      <w:r>
        <w:rPr>
          <w:bCs/>
          <w:sz w:val="24"/>
        </w:rPr>
        <w:t>七</w:t>
      </w:r>
      <w:r>
        <w:rPr>
          <w:rFonts w:hint="eastAsia"/>
          <w:bCs/>
          <w:sz w:val="24"/>
        </w:rPr>
        <w:t>、</w:t>
      </w:r>
      <w:r>
        <w:rPr>
          <w:bCs/>
          <w:sz w:val="24"/>
        </w:rPr>
        <w:t>基金财产清算账册及文件的保存</w:t>
      </w:r>
    </w:p>
    <w:p w14:paraId="064E06F3" w14:textId="77777777" w:rsidR="00D04107" w:rsidRDefault="000C2DB0">
      <w:pPr>
        <w:spacing w:line="360" w:lineRule="auto"/>
        <w:ind w:firstLineChars="200" w:firstLine="480"/>
        <w:rPr>
          <w:bCs/>
          <w:sz w:val="24"/>
        </w:rPr>
      </w:pPr>
      <w:r>
        <w:rPr>
          <w:bCs/>
          <w:sz w:val="24"/>
        </w:rPr>
        <w:t>基金财产清算账册及有关文件由基金托管人保存</w:t>
      </w:r>
      <w:r>
        <w:rPr>
          <w:bCs/>
          <w:sz w:val="24"/>
        </w:rPr>
        <w:t>15</w:t>
      </w:r>
      <w:r>
        <w:rPr>
          <w:bCs/>
          <w:sz w:val="24"/>
        </w:rPr>
        <w:t>年以上。</w:t>
      </w:r>
    </w:p>
    <w:p w14:paraId="7A6D599D" w14:textId="77777777" w:rsidR="00D04107" w:rsidRDefault="000C2DB0">
      <w:pPr>
        <w:spacing w:line="360" w:lineRule="auto"/>
        <w:ind w:firstLineChars="176" w:firstLine="422"/>
        <w:rPr>
          <w:rFonts w:ascii="宋体" w:hAnsi="宋体"/>
          <w:sz w:val="24"/>
        </w:rPr>
      </w:pPr>
      <w:r>
        <w:rPr>
          <w:rFonts w:ascii="宋体" w:hAnsi="宋体" w:hint="eastAsia"/>
          <w:sz w:val="24"/>
        </w:rPr>
        <w:t>（四）争议解决方式</w:t>
      </w:r>
    </w:p>
    <w:p w14:paraId="5013C4DC" w14:textId="77777777" w:rsidR="00D04107" w:rsidRDefault="000C2DB0">
      <w:pPr>
        <w:spacing w:line="360" w:lineRule="auto"/>
        <w:ind w:firstLineChars="200" w:firstLine="480"/>
        <w:rPr>
          <w:rFonts w:ascii="宋体" w:hAnsi="宋体"/>
          <w:kern w:val="0"/>
          <w:sz w:val="24"/>
        </w:rPr>
      </w:pPr>
      <w:r>
        <w:rPr>
          <w:bCs/>
          <w:sz w:val="24"/>
        </w:rPr>
        <w:t>各方当事人同意，因</w:t>
      </w:r>
      <w:r>
        <w:rPr>
          <w:rFonts w:hint="eastAsia"/>
          <w:bCs/>
          <w:sz w:val="24"/>
        </w:rPr>
        <w:t>本</w:t>
      </w:r>
      <w:r>
        <w:rPr>
          <w:bCs/>
          <w:sz w:val="24"/>
        </w:rPr>
        <w:t>基金合同而产生的或与</w:t>
      </w:r>
      <w:r>
        <w:rPr>
          <w:rFonts w:hint="eastAsia"/>
          <w:bCs/>
          <w:sz w:val="24"/>
        </w:rPr>
        <w:t>本</w:t>
      </w:r>
      <w:r>
        <w:rPr>
          <w:bCs/>
          <w:sz w:val="24"/>
        </w:rPr>
        <w:t>基金合同有关的一切争议，如经友好协商未能解决的，应提交</w:t>
      </w:r>
      <w:r>
        <w:rPr>
          <w:rFonts w:ascii="宋体" w:hAnsi="宋体" w:hint="eastAsia"/>
          <w:kern w:val="0"/>
          <w:sz w:val="24"/>
        </w:rPr>
        <w:t>华南国际</w:t>
      </w:r>
      <w:r>
        <w:rPr>
          <w:rFonts w:ascii="宋体" w:hAnsi="宋体"/>
          <w:kern w:val="0"/>
          <w:sz w:val="24"/>
        </w:rPr>
        <w:t>经济贸易仲裁委员会</w:t>
      </w:r>
      <w:r>
        <w:rPr>
          <w:rFonts w:ascii="宋体" w:hAnsi="宋体" w:hint="eastAsia"/>
          <w:kern w:val="0"/>
          <w:sz w:val="24"/>
        </w:rPr>
        <w:t>，根据该会当时有效的仲裁规则进行仲裁，仲裁的地点为深圳市，仲裁裁决是终局的，并对相关各方当事人均有约束力。仲裁费用、律师费用由败诉方承担。</w:t>
      </w:r>
    </w:p>
    <w:p w14:paraId="21740A42"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争议处理期间，相关各方当事人应恪守基金管理人和基金托管人职责，继续忠实、勤勉、尽责地履行基金合同规定的义务，维护基金份额持有人的合法权益。</w:t>
      </w:r>
    </w:p>
    <w:p w14:paraId="7BBA53C0" w14:textId="77777777" w:rsidR="00D04107" w:rsidRDefault="000C2DB0">
      <w:pPr>
        <w:spacing w:line="360" w:lineRule="auto"/>
        <w:ind w:firstLineChars="200" w:firstLine="480"/>
        <w:rPr>
          <w:bCs/>
          <w:sz w:val="24"/>
        </w:rPr>
      </w:pPr>
      <w:r>
        <w:rPr>
          <w:bCs/>
          <w:sz w:val="24"/>
        </w:rPr>
        <w:t>《基金合同》受中国法律管辖。</w:t>
      </w:r>
    </w:p>
    <w:p w14:paraId="362BDB6C" w14:textId="77777777" w:rsidR="00D04107" w:rsidRDefault="000C2DB0">
      <w:pPr>
        <w:spacing w:line="360" w:lineRule="auto"/>
        <w:ind w:firstLineChars="200" w:firstLine="480"/>
        <w:rPr>
          <w:rFonts w:ascii="宋体" w:hAnsi="宋体"/>
          <w:sz w:val="24"/>
        </w:rPr>
      </w:pPr>
      <w:r>
        <w:rPr>
          <w:rFonts w:ascii="宋体" w:hAnsi="宋体" w:hint="eastAsia"/>
          <w:sz w:val="24"/>
        </w:rPr>
        <w:t>（五）基金合同存放地和投资人取得基金合同的方式</w:t>
      </w:r>
    </w:p>
    <w:p w14:paraId="4B8D7CA6" w14:textId="77777777" w:rsidR="00D04107" w:rsidRDefault="000C2DB0">
      <w:pPr>
        <w:spacing w:line="360" w:lineRule="auto"/>
        <w:ind w:firstLineChars="200" w:firstLine="480"/>
        <w:rPr>
          <w:rFonts w:ascii="宋体" w:hAnsi="宋体"/>
          <w:color w:val="000000"/>
          <w:kern w:val="0"/>
          <w:sz w:val="24"/>
        </w:rPr>
      </w:pPr>
      <w:r>
        <w:rPr>
          <w:bCs/>
          <w:sz w:val="24"/>
        </w:rPr>
        <w:t>《基金合同》可印制成册，供投资者在基金管理人、基金托管人、销售机构的办公场所和营业场所查阅。</w:t>
      </w:r>
    </w:p>
    <w:p w14:paraId="0DF3D1E9" w14:textId="77777777" w:rsidR="00D04107" w:rsidRDefault="00D04107">
      <w:pPr>
        <w:spacing w:line="360" w:lineRule="auto"/>
        <w:ind w:firstLineChars="200" w:firstLine="480"/>
        <w:rPr>
          <w:rFonts w:ascii="宋体" w:hAnsi="宋体"/>
          <w:color w:val="000000"/>
          <w:kern w:val="0"/>
          <w:sz w:val="24"/>
        </w:rPr>
      </w:pPr>
    </w:p>
    <w:p w14:paraId="5DC896CF" w14:textId="77777777" w:rsidR="00D04107" w:rsidRDefault="000C2DB0">
      <w:pPr>
        <w:pStyle w:val="1"/>
        <w:spacing w:line="360" w:lineRule="auto"/>
        <w:jc w:val="center"/>
        <w:rPr>
          <w:rFonts w:ascii="宋体" w:hAnsi="宋体"/>
          <w:color w:val="000000"/>
          <w:kern w:val="0"/>
          <w:sz w:val="24"/>
          <w:szCs w:val="24"/>
        </w:rPr>
      </w:pPr>
      <w:bookmarkStart w:id="131" w:name="_Hlt88897298"/>
      <w:bookmarkStart w:id="132" w:name="_Hlt88825574"/>
      <w:bookmarkStart w:id="133" w:name="_Hlt88820702"/>
      <w:bookmarkEnd w:id="131"/>
      <w:bookmarkEnd w:id="132"/>
      <w:bookmarkEnd w:id="133"/>
      <w:r>
        <w:rPr>
          <w:rFonts w:ascii="宋体" w:hAnsi="宋体"/>
          <w:color w:val="000000"/>
          <w:kern w:val="0"/>
          <w:sz w:val="24"/>
        </w:rPr>
        <w:br w:type="page"/>
      </w:r>
      <w:bookmarkStart w:id="134" w:name="_Toc256666927"/>
      <w:bookmarkStart w:id="135" w:name="_Toc256666807"/>
      <w:bookmarkStart w:id="136" w:name="_Toc482624808"/>
      <w:bookmarkStart w:id="137" w:name="_Toc27371"/>
      <w:bookmarkStart w:id="138" w:name="_Toc31339"/>
      <w:r>
        <w:rPr>
          <w:rFonts w:ascii="宋体" w:hAnsi="宋体" w:hint="eastAsia"/>
          <w:color w:val="000000"/>
          <w:kern w:val="0"/>
          <w:sz w:val="24"/>
          <w:szCs w:val="24"/>
        </w:rPr>
        <w:lastRenderedPageBreak/>
        <w:t>第十九部分  基金托管协议的内容摘要</w:t>
      </w:r>
      <w:bookmarkEnd w:id="134"/>
      <w:bookmarkEnd w:id="135"/>
      <w:bookmarkEnd w:id="136"/>
      <w:bookmarkEnd w:id="137"/>
      <w:bookmarkEnd w:id="138"/>
    </w:p>
    <w:p w14:paraId="734E61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（一）托管协议当事人</w:t>
      </w:r>
    </w:p>
    <w:p w14:paraId="21093229" w14:textId="77777777" w:rsidR="00D04107" w:rsidRDefault="000C2DB0">
      <w:pPr>
        <w:spacing w:line="360" w:lineRule="auto"/>
        <w:ind w:firstLineChars="200" w:firstLine="480"/>
        <w:rPr>
          <w:rFonts w:ascii="宋体" w:hAnsi="宋体"/>
          <w:color w:val="000000"/>
          <w:kern w:val="0"/>
          <w:sz w:val="24"/>
        </w:rPr>
      </w:pPr>
      <w:bookmarkStart w:id="139" w:name="_Toc88969332"/>
      <w:r>
        <w:rPr>
          <w:rFonts w:ascii="宋体" w:hAnsi="宋体" w:hint="eastAsia"/>
          <w:color w:val="000000"/>
          <w:kern w:val="0"/>
          <w:sz w:val="24"/>
        </w:rPr>
        <w:t>1、基金管理人</w:t>
      </w:r>
      <w:bookmarkEnd w:id="139"/>
    </w:p>
    <w:p w14:paraId="78D60AE9" w14:textId="77777777" w:rsidR="00D04107" w:rsidRDefault="000C2DB0">
      <w:pPr>
        <w:spacing w:line="360" w:lineRule="auto"/>
        <w:ind w:firstLineChars="200" w:firstLine="480"/>
        <w:rPr>
          <w:rFonts w:ascii="宋体" w:hAnsi="宋体"/>
          <w:color w:val="000000"/>
          <w:kern w:val="0"/>
          <w:sz w:val="24"/>
        </w:rPr>
      </w:pPr>
      <w:bookmarkStart w:id="140" w:name="_Toc15118236"/>
      <w:bookmarkStart w:id="141" w:name="_Toc88969333"/>
      <w:r>
        <w:rPr>
          <w:rFonts w:ascii="宋体" w:hAnsi="宋体" w:hint="eastAsia"/>
          <w:color w:val="000000"/>
          <w:kern w:val="0"/>
          <w:sz w:val="24"/>
        </w:rPr>
        <w:t>名称：富荣基金管理有限公司</w:t>
      </w:r>
    </w:p>
    <w:p w14:paraId="466D79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注册地址：广州市南沙区海滨路171号南沙金融大厦11楼1101之一J20室</w:t>
      </w:r>
    </w:p>
    <w:p w14:paraId="70D8B3F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办公地址：深圳市福田区深南大道2012号深圳证券交易所广场3501室</w:t>
      </w:r>
    </w:p>
    <w:p w14:paraId="447E36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邮政编码：518038</w:t>
      </w:r>
    </w:p>
    <w:p w14:paraId="39005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法定代表人：刘志军</w:t>
      </w:r>
    </w:p>
    <w:p w14:paraId="5E5B760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成立日期：2016年1月25日</w:t>
      </w:r>
    </w:p>
    <w:p w14:paraId="75CBD8E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批准设立机关及批准设立文号：中国证券监督管理委员会、证监许可【2015】3118号</w:t>
      </w:r>
    </w:p>
    <w:p w14:paraId="284D51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组织形式：有限责任公司</w:t>
      </w:r>
    </w:p>
    <w:p w14:paraId="39496D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 2亿元人民币</w:t>
      </w:r>
    </w:p>
    <w:p w14:paraId="5108791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存续期间：永续经营</w:t>
      </w:r>
    </w:p>
    <w:p w14:paraId="4D1993C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经营范围：基金募集；基金销售；资产管理以及中国证监会许可的其它业务</w:t>
      </w:r>
      <w:bookmarkEnd w:id="140"/>
    </w:p>
    <w:p w14:paraId="69485818" w14:textId="77777777" w:rsidR="00D04107" w:rsidRDefault="000C2DB0">
      <w:pPr>
        <w:spacing w:line="360" w:lineRule="auto"/>
        <w:ind w:firstLineChars="200" w:firstLine="480"/>
        <w:rPr>
          <w:rFonts w:ascii="宋体" w:hAnsi="宋体"/>
          <w:color w:val="000000"/>
          <w:kern w:val="0"/>
          <w:sz w:val="24"/>
        </w:rPr>
      </w:pPr>
      <w:r>
        <w:rPr>
          <w:rFonts w:ascii="宋体" w:hAnsi="宋体"/>
          <w:color w:val="000000"/>
          <w:kern w:val="0"/>
          <w:sz w:val="24"/>
        </w:rPr>
        <w:t>2</w:t>
      </w:r>
      <w:r>
        <w:rPr>
          <w:rFonts w:ascii="宋体" w:hAnsi="宋体" w:hint="eastAsia"/>
          <w:color w:val="000000"/>
          <w:kern w:val="0"/>
          <w:sz w:val="24"/>
        </w:rPr>
        <w:t>、基金托管人</w:t>
      </w:r>
    </w:p>
    <w:p w14:paraId="17688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名称：中国光大银行股份有限公司</w:t>
      </w:r>
    </w:p>
    <w:p w14:paraId="1F089C6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住所：北京市西城区太平桥大街25号中国光大中心</w:t>
      </w:r>
    </w:p>
    <w:p w14:paraId="2863EA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法定代表人：唐双宁</w:t>
      </w:r>
    </w:p>
    <w:p w14:paraId="1C2E42C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成立时间：1992年8月18日</w:t>
      </w:r>
    </w:p>
    <w:p w14:paraId="35C520B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批准设立机关和批准设立文号：国务院、国函[1992]7号</w:t>
      </w:r>
    </w:p>
    <w:p w14:paraId="6684E4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注册资本：人民币466.79095亿元</w:t>
      </w:r>
    </w:p>
    <w:p w14:paraId="133CCCB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存续期间：持续经营</w:t>
      </w:r>
    </w:p>
    <w:p w14:paraId="1E8595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基金托管资格批文及文号：证监基金字【2002】75号</w:t>
      </w:r>
    </w:p>
    <w:p w14:paraId="05D7F62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联系电话:010-63636363</w:t>
      </w:r>
    </w:p>
    <w:p w14:paraId="490A4D6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（二）基金托管人对基金管理人的业务监督和核查</w:t>
      </w:r>
    </w:p>
    <w:p w14:paraId="2B48DE4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1、基金托管人根据有关法律法规的规定及基金合同的约定，对基金投资范围、投资比例进行监督。</w:t>
      </w:r>
    </w:p>
    <w:p w14:paraId="258362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投资于法律法规允许投资的金融工具，包括现金，期限在1年以内（含1年）的银行存款、债券回购、中央银行票据、同业存单，剩余期限在397天以内（含397天）的债券、非金融企业债务融资工具、资产支持证券，以及中国证监会、中国人民银行认可的其它具有良好流动性的货币市场工具。</w:t>
      </w:r>
    </w:p>
    <w:p w14:paraId="3C627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如法律法规或监管机构以后允许货币市场基金投资其他产品，基金管理人在履行适当的程序后，可以将其纳入投资范围。</w:t>
      </w:r>
    </w:p>
    <w:p w14:paraId="29645D0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2、基金托管人根据有关法律法规的规定及基金合同的约定，对基金投资、融资比例进行监督。基金托管人按下述比例和调整期限进行监督：</w:t>
      </w:r>
    </w:p>
    <w:p w14:paraId="0A5282D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1、组合限制</w:t>
      </w:r>
    </w:p>
    <w:p w14:paraId="1A71E7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基金的投资组合应遵循以下限制：</w:t>
      </w:r>
    </w:p>
    <w:p w14:paraId="1EC3E2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（1）本基金投资组合的平均剩余期限在每个交易日均不得超过120天，平均剩余存续期不得超过240 天；</w:t>
      </w:r>
    </w:p>
    <w:p w14:paraId="5BCC54B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（2）本基金与由基金管理人管理的其他基金持有一家公司发行的证券，不得超过该证券的10%；</w:t>
      </w:r>
    </w:p>
    <w:p w14:paraId="48DB07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（3）本基金投资于固定期限银行存款的比例不得超过基金资产净值的30%，但根据协议可提前支取的银行存款，不受此限制；</w:t>
      </w:r>
    </w:p>
    <w:p w14:paraId="15A8D4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本基金投资于具有基金托管人资格的同一商业银行的银行存款、同业存单占基金资产净值的比例合计不得超过20%，投资于不具有基金托管人资格的同一商业银行的银行存款、同业存单占基金资产净值的比例合计不得超过5%；</w:t>
      </w:r>
    </w:p>
    <w:p w14:paraId="08F4FC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（5）本基金持有一家公司发行的证券，其市值不超过基金资产净值的10％；</w:t>
      </w:r>
    </w:p>
    <w:p w14:paraId="398F037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本基金持有的全部资产支持证券，其市值不得超过基金资产净值的20%；本基金持有的同一（指同一信用级别）资产支持证券的比例，不得超过该资产支持证券规模的10%；本基金投资于同一原始权益人的各类资产支持证券的比例，不得超过基金资产净值的10%；</w:t>
      </w:r>
    </w:p>
    <w:p w14:paraId="3E83EA8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本基金管理人管理的全部基金投资于同一原始权益人的各类资产支持证券，不得超过其各类资产支持证券合计规模的10%；</w:t>
      </w:r>
    </w:p>
    <w:p w14:paraId="65C92D2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（7）除发生巨额赎回、连续3 个交易日累计赎回20%以上或者连续5 个交易日累计赎回30%以上的情形外，本基金债券正回购的资金余额在每个交易日均不得超过基金资产净值的20%；</w:t>
      </w:r>
    </w:p>
    <w:p w14:paraId="71D5675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（8）本基金的基金资产总值不得超过基金资产净值的140%；</w:t>
      </w:r>
    </w:p>
    <w:p w14:paraId="22EB37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（9）同一机构发行的债券、非金融企业债务融资工具及其作为原始权益人的资产支持证券占基金资产净值的比例合计不得超过10%，国债、中央银行票据、政策性金融债券除外；</w:t>
      </w:r>
    </w:p>
    <w:p w14:paraId="34CA4A6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（10）现金、国债、中央银行票据、政策性金融债券占基金资产净值的比例合计不得低于5%；</w:t>
      </w:r>
    </w:p>
    <w:p w14:paraId="4F94878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（11）现金、国债、中央银行票据、政策性金融债券以及五个交易日内到期的其他金融工具占基金资产净值的比例合计不得低于10%；</w:t>
      </w:r>
    </w:p>
    <w:p w14:paraId="10208F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（12）到期日在10 个交易日以上的逆回购、银行定期存款等流动性受限资产投资占基金资产净值的比例合计不得超过30%；</w:t>
      </w:r>
    </w:p>
    <w:p w14:paraId="4C23729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（13）在全国银行间债券市场债券回购的资金余额不得超过基金资产净值的40%；债券回购最长期限为1年，债券回购到期后不得展期；</w:t>
      </w:r>
    </w:p>
    <w:p w14:paraId="06F018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14）本基金投资的资产支持证券须具有评级资质的资信评级机构进行持续信用评级，且其信用评级应不低于国内信用评级机构评定的AAA级或相当于AAA级的信用级别。本基金持有的资产支持证券信用等级下降、不再符合投资标准的，基金管理人应在评级报告发布之日起3个月内对其予以全部卖出。</w:t>
      </w:r>
    </w:p>
    <w:p w14:paraId="43F5F85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（15）本基金持有的全部资产支持证券，其市值不得超过基金资产净值的 20%；本基金持有的同一（指同一信用级别）资产支持证券的比例，不得超过该资产支持证券规模的10%；基金投资于同一原始权益人的各类资产支持证券的比例，不得超过基金资产净值的 10%；基金管理人管理的全部证券投资基金投资于同一原始权益人的各类资产支持证券，不得超过其各类资产支持证券合计规模的 10%；</w:t>
      </w:r>
    </w:p>
    <w:p w14:paraId="4E446A88"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（16）当本基金前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50%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60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120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30%</w:t>
      </w:r>
      <w:r w:rsidRPr="00EF46C4">
        <w:rPr>
          <w:rFonts w:ascii="宋体" w:hAnsi="宋体" w:hint="eastAsia"/>
          <w:color w:val="000000"/>
          <w:kern w:val="0"/>
          <w:sz w:val="24"/>
        </w:rPr>
        <w:t>；</w:t>
      </w:r>
    </w:p>
    <w:p w14:paraId="31B7D034"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lastRenderedPageBreak/>
        <w:t>（17）当本基金前</w:t>
      </w:r>
      <w:r w:rsidRPr="00EF46C4">
        <w:rPr>
          <w:rFonts w:ascii="宋体" w:hAnsi="宋体"/>
          <w:color w:val="000000"/>
          <w:kern w:val="0"/>
          <w:sz w:val="24"/>
        </w:rPr>
        <w:t>10</w:t>
      </w:r>
      <w:r w:rsidRPr="00EF46C4">
        <w:rPr>
          <w:rFonts w:ascii="宋体" w:hAnsi="宋体" w:hint="eastAsia"/>
          <w:color w:val="000000"/>
          <w:kern w:val="0"/>
          <w:sz w:val="24"/>
        </w:rPr>
        <w:t>名份额持有人的持有份额合计超过基金总份额的</w:t>
      </w:r>
      <w:r w:rsidRPr="00EF46C4">
        <w:rPr>
          <w:rFonts w:ascii="宋体" w:hAnsi="宋体"/>
          <w:color w:val="000000"/>
          <w:kern w:val="0"/>
          <w:sz w:val="24"/>
        </w:rPr>
        <w:t>20%</w:t>
      </w:r>
      <w:r w:rsidRPr="00EF46C4">
        <w:rPr>
          <w:rFonts w:ascii="宋体" w:hAnsi="宋体" w:hint="eastAsia"/>
          <w:color w:val="000000"/>
          <w:kern w:val="0"/>
          <w:sz w:val="24"/>
        </w:rPr>
        <w:t>时</w:t>
      </w:r>
      <w:r w:rsidRPr="00EF46C4">
        <w:rPr>
          <w:rFonts w:ascii="宋体" w:hAnsi="宋体"/>
          <w:color w:val="000000"/>
          <w:kern w:val="0"/>
          <w:sz w:val="24"/>
        </w:rPr>
        <w:t xml:space="preserve">, </w:t>
      </w:r>
      <w:r w:rsidRPr="00EF46C4">
        <w:rPr>
          <w:rFonts w:ascii="宋体" w:hAnsi="宋体" w:hint="eastAsia"/>
          <w:color w:val="000000"/>
          <w:kern w:val="0"/>
          <w:sz w:val="24"/>
        </w:rPr>
        <w:t>本基金投资组合的平均剩余期限不得超过</w:t>
      </w:r>
      <w:r w:rsidRPr="00EF46C4">
        <w:rPr>
          <w:rFonts w:ascii="宋体" w:hAnsi="宋体"/>
          <w:color w:val="000000"/>
          <w:kern w:val="0"/>
          <w:sz w:val="24"/>
        </w:rPr>
        <w:t>90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平均剩余存续期不得超过</w:t>
      </w:r>
      <w:r w:rsidRPr="00EF46C4">
        <w:rPr>
          <w:rFonts w:ascii="宋体" w:hAnsi="宋体"/>
          <w:color w:val="000000"/>
          <w:kern w:val="0"/>
          <w:sz w:val="24"/>
        </w:rPr>
        <w:t>180</w:t>
      </w:r>
      <w:r w:rsidRPr="00EF46C4">
        <w:rPr>
          <w:rFonts w:ascii="宋体" w:hAnsi="宋体" w:hint="eastAsia"/>
          <w:color w:val="000000"/>
          <w:kern w:val="0"/>
          <w:sz w:val="24"/>
        </w:rPr>
        <w:t>天</w:t>
      </w:r>
      <w:r w:rsidRPr="00EF46C4">
        <w:rPr>
          <w:rFonts w:ascii="宋体" w:hAnsi="宋体"/>
          <w:color w:val="000000"/>
          <w:kern w:val="0"/>
          <w:sz w:val="24"/>
        </w:rPr>
        <w:t xml:space="preserve">; </w:t>
      </w:r>
      <w:r w:rsidRPr="00EF46C4">
        <w:rPr>
          <w:rFonts w:ascii="宋体" w:hAnsi="宋体" w:hint="eastAsia"/>
          <w:color w:val="000000"/>
          <w:kern w:val="0"/>
          <w:sz w:val="24"/>
        </w:rPr>
        <w:t>投资组合中现金、国债、中央银行票据、政策性金融债券以及</w:t>
      </w:r>
      <w:r w:rsidRPr="00EF46C4">
        <w:rPr>
          <w:rFonts w:ascii="宋体" w:hAnsi="宋体"/>
          <w:color w:val="000000"/>
          <w:kern w:val="0"/>
          <w:sz w:val="24"/>
        </w:rPr>
        <w:t>5</w:t>
      </w:r>
      <w:r w:rsidRPr="00EF46C4">
        <w:rPr>
          <w:rFonts w:ascii="宋体" w:hAnsi="宋体" w:hint="eastAsia"/>
          <w:color w:val="000000"/>
          <w:kern w:val="0"/>
          <w:sz w:val="24"/>
        </w:rPr>
        <w:t>个交易日内到期的其他金融工具占基金资产净值的比例合计不得低于</w:t>
      </w:r>
      <w:r w:rsidRPr="00EF46C4">
        <w:rPr>
          <w:rFonts w:ascii="宋体" w:hAnsi="宋体"/>
          <w:color w:val="000000"/>
          <w:kern w:val="0"/>
          <w:sz w:val="24"/>
        </w:rPr>
        <w:t>20%</w:t>
      </w:r>
      <w:r w:rsidRPr="00EF46C4">
        <w:rPr>
          <w:rFonts w:ascii="宋体" w:hAnsi="宋体" w:hint="eastAsia"/>
          <w:color w:val="000000"/>
          <w:kern w:val="0"/>
          <w:sz w:val="24"/>
        </w:rPr>
        <w:t>；</w:t>
      </w:r>
    </w:p>
    <w:p w14:paraId="73BB2AD6"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（18）本基金主动投资于流动性受限资产的市值合计不得超过基金资产净值的</w:t>
      </w:r>
      <w:r w:rsidRPr="00EF46C4">
        <w:rPr>
          <w:rFonts w:ascii="宋体" w:hAnsi="宋体"/>
          <w:color w:val="000000"/>
          <w:kern w:val="0"/>
          <w:sz w:val="24"/>
        </w:rPr>
        <w:t>10%</w:t>
      </w:r>
      <w:r w:rsidRPr="00EF46C4">
        <w:rPr>
          <w:rFonts w:ascii="宋体" w:hAnsi="宋体" w:hint="eastAsia"/>
          <w:color w:val="000000"/>
          <w:kern w:val="0"/>
          <w:sz w:val="24"/>
        </w:rPr>
        <w:t>；因证券市场波动、基金规模变动等基金管理人之外的因素致使基金不符合前款所规定比例限制的</w:t>
      </w:r>
      <w:r w:rsidRPr="00EF46C4">
        <w:rPr>
          <w:rFonts w:ascii="宋体" w:hAnsi="宋体"/>
          <w:color w:val="000000"/>
          <w:kern w:val="0"/>
          <w:sz w:val="24"/>
        </w:rPr>
        <w:t xml:space="preserve">, </w:t>
      </w:r>
      <w:r w:rsidRPr="00EF46C4">
        <w:rPr>
          <w:rFonts w:ascii="宋体" w:hAnsi="宋体" w:hint="eastAsia"/>
          <w:color w:val="000000"/>
          <w:kern w:val="0"/>
          <w:sz w:val="24"/>
        </w:rPr>
        <w:t>基金管理人不得主动新增流动性受限资产的投资；</w:t>
      </w:r>
    </w:p>
    <w:p w14:paraId="6E674CA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（19）同一基金管理人管理的全部货币市场基金投资于同一商业银行的银行存款及其发行的同业存单与债券</w:t>
      </w:r>
      <w:r w:rsidRPr="00EF46C4">
        <w:rPr>
          <w:rFonts w:ascii="宋体" w:hAnsi="宋体"/>
          <w:color w:val="000000"/>
          <w:kern w:val="0"/>
          <w:sz w:val="24"/>
        </w:rPr>
        <w:t xml:space="preserve">, </w:t>
      </w:r>
      <w:r w:rsidRPr="00EF46C4">
        <w:rPr>
          <w:rFonts w:ascii="宋体" w:hAnsi="宋体" w:hint="eastAsia"/>
          <w:color w:val="000000"/>
          <w:kern w:val="0"/>
          <w:sz w:val="24"/>
        </w:rPr>
        <w:t>不得超过该商业银行最近一个季度末净资产的</w:t>
      </w:r>
      <w:r w:rsidRPr="00EF46C4">
        <w:rPr>
          <w:rFonts w:ascii="宋体" w:hAnsi="宋体"/>
          <w:color w:val="000000"/>
          <w:kern w:val="0"/>
          <w:sz w:val="24"/>
        </w:rPr>
        <w:t>10%</w:t>
      </w:r>
      <w:r w:rsidRPr="00EF46C4">
        <w:rPr>
          <w:rFonts w:ascii="宋体" w:hAnsi="宋体" w:hint="eastAsia"/>
          <w:color w:val="000000"/>
          <w:kern w:val="0"/>
          <w:sz w:val="24"/>
        </w:rPr>
        <w:t>；</w:t>
      </w:r>
    </w:p>
    <w:p w14:paraId="0BF56949"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（20）本基金投资于主体信用评级低于</w:t>
      </w:r>
      <w:r w:rsidRPr="00EF46C4">
        <w:rPr>
          <w:rFonts w:ascii="宋体" w:hAnsi="宋体"/>
          <w:color w:val="000000"/>
          <w:kern w:val="0"/>
          <w:sz w:val="24"/>
        </w:rPr>
        <w:t>AAA</w:t>
      </w:r>
      <w:r w:rsidRPr="00EF46C4">
        <w:rPr>
          <w:rFonts w:ascii="宋体" w:hAnsi="宋体" w:hint="eastAsia"/>
          <w:color w:val="000000"/>
          <w:kern w:val="0"/>
          <w:sz w:val="24"/>
        </w:rPr>
        <w:t>的机构发行的金融工具占基金资产净值的比例合计不得超过</w:t>
      </w:r>
      <w:r w:rsidRPr="00EF46C4">
        <w:rPr>
          <w:rFonts w:ascii="宋体" w:hAnsi="宋体"/>
          <w:color w:val="000000"/>
          <w:kern w:val="0"/>
          <w:sz w:val="24"/>
        </w:rPr>
        <w:t xml:space="preserve">10%, </w:t>
      </w:r>
      <w:r w:rsidRPr="00EF46C4">
        <w:rPr>
          <w:rFonts w:ascii="宋体" w:hAnsi="宋体" w:hint="eastAsia"/>
          <w:color w:val="000000"/>
          <w:kern w:val="0"/>
          <w:sz w:val="24"/>
        </w:rPr>
        <w:t>其中单一机构发行的金融工具占基金资产净值的比例合计不得超过</w:t>
      </w:r>
      <w:r w:rsidRPr="00EF46C4">
        <w:rPr>
          <w:rFonts w:ascii="宋体" w:hAnsi="宋体"/>
          <w:color w:val="000000"/>
          <w:kern w:val="0"/>
          <w:sz w:val="24"/>
        </w:rPr>
        <w:t xml:space="preserve">2%; </w:t>
      </w:r>
      <w:r w:rsidRPr="00EF46C4">
        <w:rPr>
          <w:rFonts w:ascii="宋体" w:hAnsi="宋体" w:hint="eastAsia"/>
          <w:color w:val="000000"/>
          <w:kern w:val="0"/>
          <w:sz w:val="24"/>
        </w:rPr>
        <w:t>前述金融工具包括债券、非金融企业债务融资工具、银行存款、同业存单、相关机构作为原始权益人的资产支持证券及中国证监会认定的其他品种；</w:t>
      </w:r>
    </w:p>
    <w:p w14:paraId="60D4C04D"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（21）本基金与私募类证券资管产品及中国证监会认定的其他主体为交易对手开展逆回购交易的</w:t>
      </w:r>
      <w:r w:rsidRPr="00EF46C4">
        <w:rPr>
          <w:rFonts w:ascii="宋体" w:hAnsi="宋体"/>
          <w:color w:val="000000"/>
          <w:kern w:val="0"/>
          <w:sz w:val="24"/>
        </w:rPr>
        <w:t xml:space="preserve">, </w:t>
      </w:r>
      <w:r w:rsidRPr="00EF46C4">
        <w:rPr>
          <w:rFonts w:ascii="宋体" w:hAnsi="宋体" w:hint="eastAsia"/>
          <w:color w:val="000000"/>
          <w:kern w:val="0"/>
          <w:sz w:val="24"/>
        </w:rPr>
        <w:t>可接受质押品的资质要求应当与基金合同约定的投资范围保持一致；</w:t>
      </w:r>
    </w:p>
    <w:p w14:paraId="5CE23F4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22</w:t>
      </w:r>
      <w:r>
        <w:rPr>
          <w:rFonts w:ascii="宋体" w:hAnsi="宋体" w:hint="eastAsia"/>
          <w:color w:val="000000"/>
          <w:kern w:val="0"/>
          <w:sz w:val="24"/>
        </w:rPr>
        <w:t>）法律法规及中国证监会规定的和《基金合同》约定的其他投资限制。</w:t>
      </w:r>
    </w:p>
    <w:p w14:paraId="6EA3A4C5" w14:textId="77777777" w:rsidR="00EF46C4" w:rsidRPr="00EF46C4" w:rsidRDefault="00EF46C4" w:rsidP="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除上述第（</w:t>
      </w:r>
      <w:r w:rsidRPr="00EF46C4">
        <w:rPr>
          <w:rFonts w:ascii="宋体" w:hAnsi="宋体"/>
          <w:color w:val="000000"/>
          <w:kern w:val="0"/>
          <w:sz w:val="24"/>
        </w:rPr>
        <w:t>1</w:t>
      </w:r>
      <w:r w:rsidRPr="00EF46C4">
        <w:rPr>
          <w:rFonts w:ascii="宋体" w:hAnsi="宋体" w:hint="eastAsia"/>
          <w:color w:val="000000"/>
          <w:kern w:val="0"/>
          <w:sz w:val="24"/>
        </w:rPr>
        <w:t>）、（</w:t>
      </w:r>
      <w:r w:rsidRPr="00EF46C4">
        <w:rPr>
          <w:rFonts w:ascii="宋体" w:hAnsi="宋体"/>
          <w:color w:val="000000"/>
          <w:kern w:val="0"/>
          <w:sz w:val="24"/>
        </w:rPr>
        <w:t>10</w:t>
      </w:r>
      <w:r w:rsidRPr="00EF46C4">
        <w:rPr>
          <w:rFonts w:ascii="宋体" w:hAnsi="宋体" w:hint="eastAsia"/>
          <w:color w:val="000000"/>
          <w:kern w:val="0"/>
          <w:sz w:val="24"/>
        </w:rPr>
        <w:t>）、（</w:t>
      </w:r>
      <w:r w:rsidRPr="00EF46C4">
        <w:rPr>
          <w:rFonts w:ascii="宋体" w:hAnsi="宋体"/>
          <w:color w:val="000000"/>
          <w:kern w:val="0"/>
          <w:sz w:val="24"/>
        </w:rPr>
        <w:t>14</w:t>
      </w:r>
      <w:r w:rsidRPr="00EF46C4">
        <w:rPr>
          <w:rFonts w:ascii="宋体" w:hAnsi="宋体" w:hint="eastAsia"/>
          <w:color w:val="000000"/>
          <w:kern w:val="0"/>
          <w:sz w:val="24"/>
        </w:rPr>
        <w:t>）、（</w:t>
      </w:r>
      <w:r w:rsidRPr="00EF46C4">
        <w:rPr>
          <w:rFonts w:ascii="宋体" w:hAnsi="宋体"/>
          <w:color w:val="000000"/>
          <w:kern w:val="0"/>
          <w:sz w:val="24"/>
        </w:rPr>
        <w:t>18</w:t>
      </w:r>
      <w:r w:rsidRPr="00EF46C4">
        <w:rPr>
          <w:rFonts w:ascii="宋体" w:hAnsi="宋体" w:hint="eastAsia"/>
          <w:color w:val="000000"/>
          <w:kern w:val="0"/>
          <w:sz w:val="24"/>
        </w:rPr>
        <w:t>）、（</w:t>
      </w:r>
      <w:r w:rsidRPr="00EF46C4">
        <w:rPr>
          <w:rFonts w:ascii="宋体" w:hAnsi="宋体"/>
          <w:color w:val="000000"/>
          <w:kern w:val="0"/>
          <w:sz w:val="24"/>
        </w:rPr>
        <w:t>21</w:t>
      </w:r>
      <w:r w:rsidRPr="00EF46C4">
        <w:rPr>
          <w:rFonts w:ascii="宋体" w:hAnsi="宋体" w:hint="eastAsia"/>
          <w:color w:val="000000"/>
          <w:kern w:val="0"/>
          <w:sz w:val="24"/>
        </w:rPr>
        <w:t>）条外，因基金规模或市场变化导致本基金投资组合不符合以上比例限制的，基金管理人应在</w:t>
      </w:r>
      <w:r w:rsidRPr="00EF46C4">
        <w:rPr>
          <w:rFonts w:ascii="宋体" w:hAnsi="宋体"/>
          <w:color w:val="000000"/>
          <w:kern w:val="0"/>
          <w:sz w:val="24"/>
        </w:rPr>
        <w:t>10</w:t>
      </w:r>
      <w:r w:rsidRPr="00EF46C4">
        <w:rPr>
          <w:rFonts w:ascii="宋体" w:hAnsi="宋体" w:hint="eastAsia"/>
          <w:color w:val="000000"/>
          <w:kern w:val="0"/>
          <w:sz w:val="24"/>
        </w:rPr>
        <w:t>个交易日内调整完毕，以达到上述标准，但中国证监会规定的特殊情形除外。法律法规另有规定时，从其规定。</w:t>
      </w:r>
    </w:p>
    <w:p w14:paraId="16F5091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当自基金合同生效日起6个月内使基金的投资组合比例符合基金合同的有关约定。期间，基金的投资范围、投资策略应当符合基金合同的约定。基金托管人对基金的投资的监督与检查自基金合同生效之日起开始。</w:t>
      </w:r>
    </w:p>
    <w:p w14:paraId="5169691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法律法规或监管部门调整上述限制，则本基金投资将按照调整后的规则执行。</w:t>
      </w:r>
    </w:p>
    <w:p w14:paraId="53F0FBE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2、本基金不得投资于以下金融工具：</w:t>
      </w:r>
    </w:p>
    <w:p w14:paraId="5EFDC7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（1）股票和权证；</w:t>
      </w:r>
    </w:p>
    <w:p w14:paraId="48D1003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（2）可转换债券、可交换债券；</w:t>
      </w:r>
    </w:p>
    <w:p w14:paraId="150334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（3）剩余期限超过397天的债券、资产支持证券、非金融企业债务融资工具；</w:t>
      </w:r>
    </w:p>
    <w:p w14:paraId="36F83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（4）信用等级在AA+级以下的债券与非金融企业债务融资工具；</w:t>
      </w:r>
    </w:p>
    <w:p w14:paraId="6BD77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（5）以定期存款利率为基准利率的浮动利率债券，已进入最后一个利率调整期的除外；</w:t>
      </w:r>
    </w:p>
    <w:p w14:paraId="437F04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（6）非在全国银行间债券交易市场或证券交易所交易的资产支持证券；</w:t>
      </w:r>
    </w:p>
    <w:p w14:paraId="7AD8C3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（7）流通受限证券；</w:t>
      </w:r>
    </w:p>
    <w:p w14:paraId="68DE53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（8）中国证监会、中国人民银行禁止投资的其他金融工具。</w:t>
      </w:r>
    </w:p>
    <w:p w14:paraId="342D463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如果法律法规或监管部门取消上述限制，则本基金投资不再受相关限制。</w:t>
      </w:r>
    </w:p>
    <w:p w14:paraId="47EBCF7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基金托管人根据有关法律法规的规定及基金合同的约定，对本托管协议第十五条第（十二）款基金投资禁止行为进行监督。</w:t>
      </w:r>
    </w:p>
    <w:p w14:paraId="3C833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119B434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4、基金托管人根据有关法律法规的规定及基金合同的约定，对基金管理人参与银行间债券市场进行监督。</w:t>
      </w:r>
    </w:p>
    <w:p w14:paraId="0C70E0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在基金投资运作之前按照规定的数据格式向基金托管人提供符合法律法规及行业标准的、经慎重选择的、本基金适用的银行间债券市场交易对手名单，并约定各交易对手所适用的交易结算方式。基金管理人应严格按照交易对手名单的范围在银行间债券市场选择交易对手。基金托管人事后监督基金管理人是否按事前提供的银行间债券市场交易对手名单进行交易。基金管理人可以每半年对银行间债券市场交易对手名单及结算方式进行更新，新名单确定前已与本次剔除的交易对手所进行但尚未结算的交易，仍应按照协议进行结算。如基金管理人根据市场情况需要临时调整银行间债券市场交易对手名单及结算方式的，应向基金托管人说明</w:t>
      </w:r>
      <w:r>
        <w:rPr>
          <w:rFonts w:ascii="宋体" w:hAnsi="宋体" w:hint="eastAsia"/>
          <w:color w:val="000000"/>
          <w:kern w:val="0"/>
          <w:sz w:val="24"/>
        </w:rPr>
        <w:lastRenderedPageBreak/>
        <w:t>理由，并在与交易对手发生交易前3个工作日内与基金托管人协商解决。</w:t>
      </w:r>
    </w:p>
    <w:p w14:paraId="614F08D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负责对交易对手的资信控制，按银行间债券市场的交易规则进行交易，并承担交易对手不履行合同造成的损失，基金托管人则根据银行间债券市场成交单对合同履行情况进行监督。如基金托管人事后发现基金管理人没有按照事先约定的交易对手进行交易时，基金托管人应及时提醒基金管理人，基金托管人不承担由此造成的任何损失和责任。</w:t>
      </w:r>
    </w:p>
    <w:p w14:paraId="3013F97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管理人投资银行定期存款应符合相关法律法规约定。基金管理人应根据本协议的规定与基金托管人签订投资银行定期存款风险控制补充协议。基金管理人在投资银行定期存款的过程中，必须符合补充协议就投资品种、投资比例、存款期限等方面的限制。在投资过程中，基金托管人将严格按照补充协议中的约定对相关业务进行监督和审核。</w:t>
      </w:r>
    </w:p>
    <w:p w14:paraId="0955919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管理人投资中期票据应符合相关法律法规约定。基金管理人应根据本协议的规定与基金托管人签订投资中期票据风险控制补充协议。基金管理人在投资中期票据的过程中，必须严格按照补充协议中的限制性约定进行投资。在投资过程中，基金托管人将严格按照补充协议中的约定对相关业务进行监督和审核。</w:t>
      </w:r>
    </w:p>
    <w:p w14:paraId="32BEF50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7、基金托管人发现基金管理人的上述事项及投资指令或实际投资运作违反法律法规、基金合同和本托管协议的规定，应及时以电话提醒或书面提示等方式通知基金管理人限期纠正。</w:t>
      </w:r>
    </w:p>
    <w:p w14:paraId="62CB80C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积极配合和协助基金托管人的监督和核查。基金管理人收到书面通知后应在下一工作日前及时核对并以书面形式给基金托管人发出回函，就基金托管人合理的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341783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8、基金管理人有义务配合和协助基金托管人依照法律法规、基金合同和本托管协议对基金业务执行核查。</w:t>
      </w:r>
    </w:p>
    <w:p w14:paraId="051E490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对基金托管人发出的书面提示，基金管理人应在规定时间内答复并改正，或就基金托管人合理的疑义进行解释或举证；对基金托管人按照法律法规、基金合同和</w:t>
      </w:r>
      <w:r>
        <w:rPr>
          <w:rFonts w:ascii="宋体" w:hAnsi="宋体" w:hint="eastAsia"/>
          <w:color w:val="000000"/>
          <w:kern w:val="0"/>
          <w:sz w:val="24"/>
        </w:rPr>
        <w:lastRenderedPageBreak/>
        <w:t>本托管协议的要求需向中国证监会报送基金监督报告的事项，基金管理人应积极配合提供相关数据资料和制度等。</w:t>
      </w:r>
    </w:p>
    <w:p w14:paraId="75E39F9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9、若基金托管人发现基金管理人依据交易程序已经生效的指令违反法律、行政法规和其他有关规定，或者违反基金合同约定的，应当立即通知基金管理人。</w:t>
      </w:r>
    </w:p>
    <w:p w14:paraId="386DC0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10、基金托管人发现基金管理人有重大违规行为，应及时报告中国证监会，同时通知基金管理人限期纠正，并将纠正结果报告中国证监会。</w:t>
      </w:r>
    </w:p>
    <w:p w14:paraId="656D20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基金管理人无正当理由，拒绝、阻挠对方根据本托管协议规定行使监督权，或采取拖延、欺诈等手段妨碍对方进行有效监督，情节严重或经基金托管人提出警告仍不改正的，基金托管人应报告中国证监会。</w:t>
      </w:r>
    </w:p>
    <w:p w14:paraId="267F7C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（三）基金管理人对基金托管人的业务核查</w:t>
      </w:r>
    </w:p>
    <w:p w14:paraId="03E0EFD3"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管理人对基金托管人履行托管职责情况进行核查，核查事项包括基金托管人安全保管基金财产、开设基金财产的资金账户和证券账户、复核基金管理人计算的基金资产净值和7日年化收益率、每万份基金已实现收益、根据基金管理人指令办理清算交收、相关信息披露和监督基金投资运作等行为。</w:t>
      </w:r>
    </w:p>
    <w:p w14:paraId="675D15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管理人发现基金托管人擅自挪用基金财产、未对基金财产实行分账管理、未执行或无故延迟执行基金管理人资金划拨指令、泄露基金投资信息等违反《基金法》、基金合同、本协议及其他有关规定时，应及时以书面形式通知基金托管人限期纠正。</w:t>
      </w:r>
    </w:p>
    <w:p w14:paraId="79132F6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托管人收到通知后应及时核对并以书面形式给基金管理人发出回函，说明违规原因及纠正期限，并保证在规定期限内及时改正。在上述规定期限内，基金管理人有权随时对通知事项进行复查，督促基金托管人改正。基金托管人应积极配合基金管理人的核查行为，包括但不限于：提交相关资料以供基金管理人核查托管财产的完整性和真实性，在规定时间内答复基金管理人并改正。</w:t>
      </w:r>
    </w:p>
    <w:p w14:paraId="700F716A"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3、基金管理人发现基金托管人有重大违规行为，应及时报告中国证监会，同时通知基金托管人限期纠正，并将纠正结果报告中国证监会。</w:t>
      </w:r>
    </w:p>
    <w:p w14:paraId="1B7EE36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基金托管人无正当理由，拒绝、阻挠对方根据本协议规定行使监督权，或采取拖延、欺诈等手段妨碍对方进行有效监督，情节严重或经基金管理人提出警告仍不改正的，基金管理人应报告中国证监会。</w:t>
      </w:r>
    </w:p>
    <w:p w14:paraId="6DE78012" w14:textId="77777777" w:rsidR="00D04107" w:rsidRDefault="000C2DB0">
      <w:pPr>
        <w:spacing w:line="360" w:lineRule="auto"/>
        <w:ind w:firstLineChars="200" w:firstLine="480"/>
        <w:rPr>
          <w:rFonts w:ascii="宋体" w:hAnsi="宋体"/>
          <w:color w:val="000000"/>
          <w:kern w:val="0"/>
          <w:sz w:val="24"/>
        </w:rPr>
      </w:pPr>
      <w:bookmarkStart w:id="142" w:name="_Hlt88903324"/>
      <w:bookmarkEnd w:id="142"/>
      <w:r>
        <w:rPr>
          <w:rFonts w:ascii="宋体" w:hAnsi="宋体" w:hint="eastAsia"/>
          <w:color w:val="000000"/>
          <w:kern w:val="0"/>
          <w:sz w:val="24"/>
        </w:rPr>
        <w:lastRenderedPageBreak/>
        <w:t>（四）基金财产的保管</w:t>
      </w:r>
      <w:bookmarkStart w:id="143" w:name="_Toc37159173"/>
    </w:p>
    <w:p w14:paraId="65292A9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1、基金财产保管的原则</w:t>
      </w:r>
    </w:p>
    <w:p w14:paraId="775322F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（1）基金财产应独立于基金管理人、基金托管人的固有财产；</w:t>
      </w:r>
    </w:p>
    <w:p w14:paraId="4B7053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（2）基金托管人应安全保管基金财产；</w:t>
      </w:r>
    </w:p>
    <w:p w14:paraId="2F4857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（3）基金托管人按照规定开设基金财产的资金账户、证券账户以及投资所需的其他账户；</w:t>
      </w:r>
    </w:p>
    <w:p w14:paraId="0543DAB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 xml:space="preserve">（4）基金托管人对所托管的不同基金财产分别设置账户，确保基金财产的完整与独立； </w:t>
      </w:r>
    </w:p>
    <w:p w14:paraId="172B7CA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（5）基金托管人根据基金管理人的指令，按照基金合同和本协议的约定保管基金财产，如有特殊情况双方可另行协商解决；</w:t>
      </w:r>
    </w:p>
    <w:p w14:paraId="7A58B2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对于因为基金投资产生的应收资产，应由基金管理人负责与有关当事人确定到账日期并通知基金托管人，到账日基金财产没有到达基金账户的，基金托管人应及时通知并配合基金管理人采取措施进行催收。由此给基金财产造成损失的，基金管理人应负责向有关当事人追偿基金财产的损失；</w:t>
      </w:r>
    </w:p>
    <w:p w14:paraId="37B8876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（7）除依据法律法规和基金合同的规定外，基金托管人不得委托第三人托管基金财产。</w:t>
      </w:r>
    </w:p>
    <w:p w14:paraId="3D3005B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2、基金募集期间及募集资金的验资</w:t>
      </w:r>
    </w:p>
    <w:p w14:paraId="7657076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（1）基金募集期间募集的资金应存于基金管理人开立的“基金募集专户”。该账户由基金管理人开立并管理。</w:t>
      </w:r>
    </w:p>
    <w:p w14:paraId="03C3EB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募集期满或基金停止募集时，募集的基金份额总额、基金募集金额、基金份额持有人人数符合《基金法》、《运作办法》等有关规定后，基金管理人应将属于基金财产的全部资金划入基金托管人开立的基金托管专户，同时在规定时间内，聘请具有从事证券相关业务资格的会计师事务所进行验资，出具验资报告。出具的验资报告由参加验资的2名或2名以上中国注册会计师签字方为有效。</w:t>
      </w:r>
    </w:p>
    <w:p w14:paraId="0E39511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（3）若基金募集期限届满，未能达到基金合同生效的条件，由基金管理人按规定办理退款等事宜。</w:t>
      </w:r>
    </w:p>
    <w:p w14:paraId="47E9B03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w:t>
      </w:r>
    </w:p>
    <w:p w14:paraId="6B1ABA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基金托管专户的名称:富荣货币市场基金</w:t>
      </w:r>
    </w:p>
    <w:p w14:paraId="7B6FA0A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托管账户开户行:中国光大银行深圳分行营业部</w:t>
      </w:r>
    </w:p>
    <w:p w14:paraId="0472D64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以基金的名义在其营业机构开设基金托管专户，保管基金的银行存款。本基金的一切货币收支活动，包括但不限于投资、支付赎回金额、支付基金收益、收取申购款，均需通过基金托管专户进行。</w:t>
      </w:r>
    </w:p>
    <w:p w14:paraId="449215E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（2）基金托管专户的开立和使用，限于满足开展本基金业务的需要。基金托管人和基金管理人不得假借本基金的名义开立任何其他银行账户；亦不得使用基金的任何账户进行本基金业务以外的活动。</w:t>
      </w:r>
    </w:p>
    <w:p w14:paraId="335F827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（3）基金托管专户的开立和管理应符合有关法律法规以及银行业监督管理机构的其他有关规定。</w:t>
      </w:r>
    </w:p>
    <w:p w14:paraId="721D85A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4、基金证券账户和结算备付金账户的开立和管理</w:t>
      </w:r>
    </w:p>
    <w:p w14:paraId="719DDAE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（1）基金托管人在中国证券登记结算有限责任公司上海分公司、深圳分公司为基金开立基金托管人与基金联名的证券账户。</w:t>
      </w:r>
    </w:p>
    <w:p w14:paraId="4FE455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（2）基金证券账户的开立和使用，仅限于满足开展本基金业务的需要。基金托管人和基金管理人不得出借或未经对方同意擅自转让基金的任何证券账户，亦不得使用基金的任何账户进行本基金业务以外的活动。</w:t>
      </w:r>
    </w:p>
    <w:p w14:paraId="05B0A0D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（3）基金证券账户的开立和证券账户卡的保管由基金托管人负责，账户资产的管理和运用由基金管理人负责。</w:t>
      </w:r>
    </w:p>
    <w:p w14:paraId="6415FD7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托管人以基金托管人的名义在中国证券登记结算有限责任公司开立结算备付金账户，并代表所托管的基金完成与中国证券登记结算有限责任公司的一级法人清算工作，基金管理人应予以积极协助。结算备付金、交收价差资金等的收取按照中国证券登记结算有限责任公司的规定执行。</w:t>
      </w:r>
    </w:p>
    <w:p w14:paraId="3AA9970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（5）若中国证监会或其他监管机构在本托管协议订立日之后允许基金从事其他投资品种的投资业务，涉及相关账户的开立、使用的，若无相关规定，则基金托管人比照上述关于账户开立、使用的规定执行。</w:t>
      </w:r>
    </w:p>
    <w:p w14:paraId="17137E0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5、银行间债券托管专户的开设和管理</w:t>
      </w:r>
    </w:p>
    <w:p w14:paraId="61D672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生效后，基金管理人负责以基金的名义申请并取得进入全国银行间同业拆借市场的交易资格，并代表基金进行交易；基金托管人负责以本基金的名义在中央国债登记结算有限责任公司和银行间市场清算所股份有限公司开设银行间债券</w:t>
      </w:r>
      <w:r>
        <w:rPr>
          <w:rFonts w:ascii="宋体" w:hAnsi="宋体" w:hint="eastAsia"/>
          <w:color w:val="000000"/>
          <w:kern w:val="0"/>
          <w:sz w:val="24"/>
        </w:rPr>
        <w:lastRenderedPageBreak/>
        <w:t>市场债券托管账户，并代表基金进行银行间市场债券的结算。基金管理人和基金托管人共同代表基金签订全国银行间债券市场债券回购主协议，基金托管人保管协议正本，基金管理人保存协议副本。</w:t>
      </w:r>
    </w:p>
    <w:p w14:paraId="7AF4E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6、其他账户的开立和管理</w:t>
      </w:r>
    </w:p>
    <w:p w14:paraId="1F6CEC3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在本托管协议签订日之后，本基金被允许从事符合法律法规规定和《基金合同》约定的其他投资品种的投资业务时，如果涉及相关账户的开设和使用，由基金管理人协助基金托管人根据有关法律法规的规定和《基金合同》的约定，开立有关账户。该账户按有关规则使用并管理。</w:t>
      </w:r>
    </w:p>
    <w:p w14:paraId="30AF4D0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7、基金财产投资的有关有价凭证等的保管</w:t>
      </w:r>
    </w:p>
    <w:p w14:paraId="502BDFB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财产投资的有关实物证券等有价凭证由基金托管人存放于基金托管人的保管库，也可存入中央国债登记结算有限责任公司、中国证券登记结算有限责任公司上海分公司/深圳分公司、银行间清算所股份有限公司或票据营业中心的代保管库，保管凭证由基金托管人持有。实物证券等有价凭证的购买和转让，由基金管理人和基金托管人共同办理。基金托管人对由基金托管人及基金托管人委托保管的机构以外机构实际有效控制的证券不承担保管责任。</w:t>
      </w:r>
    </w:p>
    <w:p w14:paraId="3E3229D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8、与基金财产有关的重大合同的保管</w:t>
      </w:r>
    </w:p>
    <w:p w14:paraId="257C56C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与基金财产有关的重大合同的签署，由基金管理人负责。由基金管理人代表基金签署的、与基金财产有关的重大合同的原件分别由基金管理人、基金托管人保管。除本协议另有规定外，基金管理人代表基金签署的与基金财产有关的重大合同包括但不限于基金年度审计合同、基金信息披露协议及基金投资业务中产生的重大合同，基金管理人应保证基金管理人和基金托管人至少各持有一份正本的原件。基金管理人应在重大合同签署后及时将重大合同传真给基金托管人，并在30个工作日内将正本送达基金托管人处。重大合同的保管期限为基金合同终止后15年。</w:t>
      </w:r>
    </w:p>
    <w:p w14:paraId="2E19EE2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对于无法取得二份以上正本的，基金管理人应向基金托管人提供与合同原件核对一致的加盖公章的合同传真件，未经双方协商一致或未在合同约定范围内，合同原件不得转移。</w:t>
      </w:r>
      <w:bookmarkStart w:id="144" w:name="_Hlt89689505"/>
      <w:bookmarkStart w:id="145" w:name="_Hlt89687912"/>
      <w:bookmarkStart w:id="146" w:name="_Hlt88902859"/>
      <w:bookmarkStart w:id="147" w:name="_Hlt88903033"/>
      <w:bookmarkEnd w:id="143"/>
      <w:bookmarkEnd w:id="144"/>
      <w:bookmarkEnd w:id="145"/>
      <w:bookmarkEnd w:id="146"/>
      <w:bookmarkEnd w:id="147"/>
    </w:p>
    <w:p w14:paraId="33D325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（五）基金资产净值计算和会计核算</w:t>
      </w:r>
    </w:p>
    <w:p w14:paraId="4640D1A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1、基金资产净值的计算、复核与完成的时间及程序</w:t>
      </w:r>
    </w:p>
    <w:p w14:paraId="3FB849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（1）基金资产净值</w:t>
      </w:r>
    </w:p>
    <w:p w14:paraId="1BDD906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资产净值是指基金资产总值减去负债后的金额。每万份基金已实现收益是按照相关法规计算的每万份基金份额的日已实现收益，精确到小数点后第4位，小数点后第5位四舍五入。7日年化收益率是以最近7日(含节假日)收益所折算的年资产收益率，精确到0.001%，百分号内小数点后第4位四舍五入。国家另有规定的，从其规定。</w:t>
      </w:r>
    </w:p>
    <w:p w14:paraId="1DF8CB6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基金管理人每个交易日计算基金资产净值、每万份基金已实现收益及7日年化收益率，并按规定公告。</w:t>
      </w:r>
    </w:p>
    <w:p w14:paraId="6CA10DE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（2）复核程序</w:t>
      </w:r>
    </w:p>
    <w:p w14:paraId="799F5A0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每交易日对基金资产估值。但基金管理人根据法律法规或《基金合同》的规定暂停估值时除外。基金管理人每个交易日对基金资产估值后，将基金份额净值结果发送基金托管人，经基金托管人复核无误后，由基金管理人对外公布。</w:t>
      </w:r>
    </w:p>
    <w:p w14:paraId="714E2D0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有关法律法规，基金资产净值计算和基金会计核算的义务由基金管理人承担。本基金的基金会计责任方由基金管理人担任，因此，就与本基金有关的会计问题，如经相关各方在平等基础上充分讨论后，仍无法达成一致意见的，按照基金管理人对基金资产净值的计算结果对外予以公布。</w:t>
      </w:r>
    </w:p>
    <w:p w14:paraId="5F22B8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2、基金资产估值方法和特殊情形的处理</w:t>
      </w:r>
    </w:p>
    <w:p w14:paraId="521712D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（1）估值对象</w:t>
      </w:r>
    </w:p>
    <w:p w14:paraId="5A3AA19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基金所拥有的各类证券和银行存款本息、应收款项、其它投资等资产及负债。</w:t>
      </w:r>
    </w:p>
    <w:p w14:paraId="1654FAE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（2）估值方法</w:t>
      </w:r>
    </w:p>
    <w:p w14:paraId="5529ADA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本基金估值采用“摊余成本法”，即计价对象以买入成本列示，按照票面利率或协议利率并考虑其买入时的溢价与折价，在剩余存续期内按实际利率法进行摊销，每日计提损益。本基金不采用市场利率和上市交易的债券和票据的市价计算基金资产净值。</w:t>
      </w:r>
    </w:p>
    <w:p w14:paraId="3AF8D68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为了避免采用“摊余成本法”计算的基金资产净值与按市场利率和交易市价计算的基金资产净值发生重大偏离，从而对基金份额持有人的利益产生稀释和不公平的结果，基金管理人于每一估值日，采用估值技术，对基金持有的估值对象进行重新评估，即“影子定价”。当“影子定价”确定的基金资产净值与“摊余成本法”</w:t>
      </w:r>
      <w:r>
        <w:rPr>
          <w:rFonts w:ascii="宋体" w:hAnsi="宋体" w:hint="eastAsia"/>
          <w:color w:val="000000"/>
          <w:kern w:val="0"/>
          <w:sz w:val="24"/>
        </w:rPr>
        <w:lastRenderedPageBreak/>
        <w:t>计算的基金资产净值的负偏离度达到0.25%时，基金管理人应当在5个交易日内将负偏离度绝对值调整到0.25%以内。当正偏离度绝对值达到0.5%时，基金管理人应当暂停接受申购并在5个交易日内将正偏离度绝对值调整到0.5%以内。当负偏离度绝对值达到0.5%时，基金管理人应当使用风险准备金或者固有资金弥补潜在资产损失，将负偏离度绝对值控制在0.5%以内。当负偏离度绝对值连续两个交易日超过0.5%时，基金管理人应当采用公允价值估值方法对持有投资组合的账面价值进行调整，或在履行适当程序后采取暂停接受所有赎回申请并终止基金合同进行财产清算等措施。当前述情形发生时，基金管理人应履行信息披露义务。</w:t>
      </w:r>
    </w:p>
    <w:p w14:paraId="774B15F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3）如有确凿证据表明按上述方法进行估值不能客观反映其公允价值的，基金管理人可根据具体情况与基金托管人商定后，按最能反映公允价值的价格估值。</w:t>
      </w:r>
    </w:p>
    <w:p w14:paraId="1695A6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4）相关法律法规以及监管部门有强制规定的，从其规定。如有新增事项，按国家最新规定估值。</w:t>
      </w:r>
    </w:p>
    <w:p w14:paraId="060F2E8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0F792F5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根据有关法律法规，基金资产净值、每万份基金已实现收益及7日年化收益率计算和基金会计核算的义务由基金管理人承担。本基金的基金会计责任方由基金管理人担任，因此，就与本基金有关的会计问题，如经相关各方在平等基础上充分讨论后，仍无法达成一致的意见，按照基金管理人对基金资产净值、各类基金份额的每万份基金已实现收益和7日年化收益率的计算结果对外予以公布。</w:t>
      </w:r>
    </w:p>
    <w:p w14:paraId="371AC45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（3）特殊情形的处理</w:t>
      </w:r>
    </w:p>
    <w:p w14:paraId="18EB61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基金管理人、基金托管人按估值方法的第3）项进行估值时，所造成的误差不作为基金份额净值错误处理。</w:t>
      </w:r>
    </w:p>
    <w:p w14:paraId="190FE1E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由于不可抗力，或证券交易所、登记结算公司发送的数据错误等原因，基金管理人和基金托管人虽然已经采取必要、适当、合理的措施进行检查，但是未能发现该错误而造成的基金份额净值计算错误，基金管理人、基金托管人免除赔偿责任。但基金管理人、基金托管人应积极采取必要的措施消除或减轻由此造成的影响。</w:t>
      </w:r>
    </w:p>
    <w:p w14:paraId="115B090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3、基金份额净值错误的处理方式</w:t>
      </w:r>
    </w:p>
    <w:p w14:paraId="6C7639C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基金管理人和基金托管人将采取必要、适当、合理的措施确保基金资产估值的准确性、及时性。当基金资产的计价导致每万份基金已实现收益小数点后4位或7日年化收益率百分号内小数点后3位以内发生差错时，视为估值错误。</w:t>
      </w:r>
    </w:p>
    <w:p w14:paraId="0E9307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基金合同的当事人应按照以下约定处理：</w:t>
      </w:r>
    </w:p>
    <w:p w14:paraId="399161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（1）估值错误类型</w:t>
      </w:r>
    </w:p>
    <w:p w14:paraId="19688B3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本基金运作过程中，如果由于基金管理人或基金托管人、或登记机构、或销售机构、或投资人自身的过错造成估值错误，导致其他当事人遭受损失的，过错的责任人应当对由于该估值错误遭受损失当事人(“受损方”)的直接损失按下述“估值错误处理原则”给予赔偿，承担赔偿责任。</w:t>
      </w:r>
    </w:p>
    <w:p w14:paraId="5AB0825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上述估值错误的主要类型包括但不限于：资料申报差错、数据传输差错、数据计算差错、系统故障差错、下达指令差错等。</w:t>
      </w:r>
    </w:p>
    <w:p w14:paraId="4084E52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（2）估值错误处理原则</w:t>
      </w:r>
    </w:p>
    <w:p w14:paraId="4558B13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7693317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2）估值错误的责任方对有关当事人的直接损失负责，不对间接损失负责，并且仅对估值错误的有关直接当事人负责，不对第三方负责。</w:t>
      </w:r>
    </w:p>
    <w:p w14:paraId="07DE96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因估值错误而获得不当得利的当事人负有及时返还不当得利的义务。但估值错误责任方仍应对估值错误负责。如果由于获得不当得利的当事人不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14268BB"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4）估值错误调整采用尽量恢复至假设未发生估值错误的正确情形的方式。</w:t>
      </w:r>
    </w:p>
    <w:p w14:paraId="6BB888AD"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5）估值错误责任方拒绝进行赔偿时，如果因基金管理人过错造成基金资产损失时，基金托管人应为基金的利益向基金管理人追偿，如果因基金托管人过错造成基金资产损失时，基金管理人应为基金的利益向基金托管人追偿。除基金管理人和托管人之外的第三方造成基金资产的损失，并拒绝进行赔偿时，由基金管理人负责向差错方追偿。</w:t>
      </w:r>
    </w:p>
    <w:p w14:paraId="21603E4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如果出现估值错误的当事人未按规定对受损方进行赔偿，并且依据法律、行政法规、《基金合同》或其他规定，基金管理人自行或依据法院判决、仲裁裁决对受损方承担了赔偿责任，则基金管理人有权向出现过错的当事人进行追索，并有权要求其赔偿或补偿由此发生的费用和遭受的损失。</w:t>
      </w:r>
    </w:p>
    <w:p w14:paraId="0441D85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7）按法律法规规定的其他原则处理估值错误。</w:t>
      </w:r>
    </w:p>
    <w:p w14:paraId="6D14B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（3）估值错误处理程序</w:t>
      </w:r>
    </w:p>
    <w:p w14:paraId="4F3AEC4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估值错误被发现后，有关的当事人应当及时进行处理，处理的程序如下：</w:t>
      </w:r>
    </w:p>
    <w:p w14:paraId="2286C8A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1）查明估值错误发生的原因，列明所有的当事人，并根据估值错误发生的原因确定估值错误的责任方；</w:t>
      </w:r>
    </w:p>
    <w:p w14:paraId="27CC108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2）根据估值错误处理原则或当事人协商的方法对因估值错误造成的损失进行评估；</w:t>
      </w:r>
    </w:p>
    <w:p w14:paraId="5AA3A3F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3）根据估值错误处理原则或当事人协商的方法由估值错误的责任方进行更正和赔偿损失；</w:t>
      </w:r>
    </w:p>
    <w:p w14:paraId="52D579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4）根据估值错误处理的方法，需要修改基金登记机构交易数据的，由基金登记机构进行更正，并就估值错误的更正向有关当事人进行确认。</w:t>
      </w:r>
    </w:p>
    <w:p w14:paraId="62B5E18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（4）基金份额净值估值错误处理的方法如下：</w:t>
      </w:r>
    </w:p>
    <w:p w14:paraId="7699291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1）基金份额净值计算出现错误时，基金管理人应当立即予以纠正，通报基金托管人，并采取合理的措施防止损失进一步扩大。</w:t>
      </w:r>
    </w:p>
    <w:p w14:paraId="6CC9602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2）错误偏差达到基金资产净值的0.25%时，基金管理人应当通报基金托管人并报中国证监会备案；错误偏差达到基金资产净值的0.5%时，基金管理人应当公告。</w:t>
      </w:r>
    </w:p>
    <w:p w14:paraId="047A45B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3）前述内容如法律法规或监管机关另有规定的，从其规定处理。</w:t>
      </w:r>
    </w:p>
    <w:p w14:paraId="61D1EC2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4、暂停估值的情形</w:t>
      </w:r>
    </w:p>
    <w:p w14:paraId="4D5C759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（1）基金投资所涉及的证券交易市场遇法定节假日或因其他原因暂停营业时；</w:t>
      </w:r>
    </w:p>
    <w:p w14:paraId="6F1921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lastRenderedPageBreak/>
        <w:t>（2）因不可抗力致使基金管理人、基金托管人无法准确评估基金资产价值时；</w:t>
      </w:r>
    </w:p>
    <w:p w14:paraId="321832E6" w14:textId="77777777" w:rsidR="00EF46C4" w:rsidRPr="00EF46C4" w:rsidRDefault="00EF46C4">
      <w:pPr>
        <w:spacing w:line="360" w:lineRule="auto"/>
        <w:ind w:firstLineChars="200" w:firstLine="480"/>
        <w:rPr>
          <w:rFonts w:ascii="宋体" w:hAnsi="宋体"/>
          <w:color w:val="000000"/>
          <w:kern w:val="0"/>
          <w:sz w:val="24"/>
        </w:rPr>
      </w:pPr>
      <w:r w:rsidRPr="00EF46C4">
        <w:rPr>
          <w:rFonts w:ascii="宋体" w:hAnsi="宋体" w:hint="eastAsia"/>
          <w:color w:val="000000"/>
          <w:kern w:val="0"/>
          <w:sz w:val="24"/>
        </w:rPr>
        <w:t>（3）</w:t>
      </w:r>
      <w:r w:rsidRPr="00EF46C4">
        <w:rPr>
          <w:rFonts w:ascii="宋体" w:hAnsi="宋体" w:hint="eastAsia"/>
          <w:kern w:val="0"/>
          <w:sz w:val="24"/>
        </w:rPr>
        <w:t>当前一估值日基金资产净值</w:t>
      </w:r>
      <w:r w:rsidRPr="00EF46C4">
        <w:rPr>
          <w:rFonts w:ascii="宋体" w:hAnsi="宋体"/>
          <w:kern w:val="0"/>
          <w:sz w:val="24"/>
        </w:rPr>
        <w:t>50%</w:t>
      </w:r>
      <w:r w:rsidRPr="00EF46C4">
        <w:rPr>
          <w:rFonts w:ascii="宋体" w:hAnsi="宋体" w:hint="eastAsia"/>
          <w:kern w:val="0"/>
          <w:sz w:val="24"/>
        </w:rPr>
        <w:t>以上的资产出现无可参考的活跃市场价格且采用估值技术仍导致公允价值存在重大不确定性时</w:t>
      </w:r>
      <w:r w:rsidRPr="00EF46C4">
        <w:rPr>
          <w:rFonts w:ascii="宋体" w:hAnsi="宋体"/>
          <w:kern w:val="0"/>
          <w:sz w:val="24"/>
        </w:rPr>
        <w:t xml:space="preserve">, </w:t>
      </w:r>
      <w:r w:rsidRPr="00EF46C4">
        <w:rPr>
          <w:rFonts w:ascii="宋体" w:hAnsi="宋体" w:hint="eastAsia"/>
          <w:kern w:val="0"/>
          <w:sz w:val="24"/>
        </w:rPr>
        <w:t>基金管理人经与基金托管人协商确认的；</w:t>
      </w:r>
    </w:p>
    <w:p w14:paraId="6565619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sidR="00EF46C4">
        <w:rPr>
          <w:rFonts w:ascii="宋体" w:hAnsi="宋体" w:hint="eastAsia"/>
          <w:color w:val="000000"/>
          <w:kern w:val="0"/>
          <w:sz w:val="24"/>
        </w:rPr>
        <w:t>4</w:t>
      </w:r>
      <w:r>
        <w:rPr>
          <w:rFonts w:ascii="宋体" w:hAnsi="宋体" w:hint="eastAsia"/>
          <w:color w:val="000000"/>
          <w:kern w:val="0"/>
          <w:sz w:val="24"/>
        </w:rPr>
        <w:t>）中国证监会和基金合同认定的其它情形。</w:t>
      </w:r>
    </w:p>
    <w:p w14:paraId="7D5ECFD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5、基金会计制度</w:t>
      </w:r>
    </w:p>
    <w:p w14:paraId="3958B5C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按国家有关部门规定的会计制度执行。</w:t>
      </w:r>
    </w:p>
    <w:p w14:paraId="1B42C6E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6、基金账册的建立</w:t>
      </w:r>
    </w:p>
    <w:p w14:paraId="6BD52817"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进行基金会计核算并编制基金财务会计报告。基金管理人独立地设置、记录和保管本基金的全套账册。若基金管理人和基金托管人对会计处理方法存在分歧，应以基金管理人的处理方法为准。若当日核对不符，暂时无法查找到错账的原因而影响到基金资产净值的计算和公告的，以基金管理人的账册为准。</w:t>
      </w:r>
    </w:p>
    <w:p w14:paraId="6B6FDF95"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7、基金财务报表与报告的编制和复核</w:t>
      </w:r>
    </w:p>
    <w:p w14:paraId="3DE14041"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（1）财务报表的编制</w:t>
      </w:r>
    </w:p>
    <w:p w14:paraId="056AD17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基金财务报表由基金管理人编制，基金托管人复核。</w:t>
      </w:r>
    </w:p>
    <w:p w14:paraId="6DF25928"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（2）报表复核</w:t>
      </w:r>
    </w:p>
    <w:p w14:paraId="055343B4"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基金托管人在收到基金管理人编制的基金财务报表后，进行独立的复核。核对不符时，应及时通知基金管理人共同查出原因，进行调整，直至双方数据完全一致。</w:t>
      </w:r>
    </w:p>
    <w:p w14:paraId="665900B8" w14:textId="77777777" w:rsidR="00D04107" w:rsidRDefault="000C2DB0">
      <w:pPr>
        <w:spacing w:line="540" w:lineRule="exact"/>
        <w:ind w:firstLineChars="200" w:firstLine="480"/>
        <w:rPr>
          <w:rFonts w:ascii="宋体" w:hAnsi="宋体"/>
          <w:color w:val="000000"/>
          <w:kern w:val="0"/>
          <w:sz w:val="24"/>
        </w:rPr>
      </w:pPr>
      <w:r>
        <w:rPr>
          <w:rFonts w:ascii="宋体" w:hAnsi="宋体"/>
          <w:color w:val="000000"/>
          <w:kern w:val="0"/>
          <w:sz w:val="24"/>
        </w:rPr>
        <w:t>(</w:t>
      </w:r>
      <w:r>
        <w:rPr>
          <w:rFonts w:ascii="宋体" w:hAnsi="宋体" w:hint="eastAsia"/>
          <w:color w:val="000000"/>
          <w:kern w:val="0"/>
          <w:sz w:val="24"/>
        </w:rPr>
        <w:t>3)财务报表的编制与复核时间安排</w:t>
      </w:r>
    </w:p>
    <w:p w14:paraId="7F7D72C0"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1）报表的编制</w:t>
      </w:r>
    </w:p>
    <w:p w14:paraId="0AA81CC6"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t>基金管理人应当在每月结束后5个工作日内完成月度报表的编制；在每个季度结束之日起15个工作日内完成基金季度报告的编制；在上半年结束之日起60日内完成基金半年度报告的编制；在每年结束之日起90日内完成基金年度报告的编制。基金年度报告的财务会计报告应当经过审计。基金合同生效不足两个月的，基金管理人可以不编制当期季度报告、半年度报告或者年度报告。</w:t>
      </w:r>
    </w:p>
    <w:p w14:paraId="6E64967E" w14:textId="77777777" w:rsidR="00D04107" w:rsidRDefault="000C2DB0">
      <w:pPr>
        <w:spacing w:line="540" w:lineRule="exact"/>
        <w:ind w:firstLineChars="200" w:firstLine="480"/>
        <w:rPr>
          <w:rFonts w:ascii="宋体" w:hAnsi="宋体"/>
          <w:color w:val="000000"/>
          <w:kern w:val="0"/>
          <w:sz w:val="24"/>
        </w:rPr>
      </w:pPr>
      <w:r>
        <w:rPr>
          <w:rFonts w:ascii="宋体" w:hAnsi="宋体" w:hint="eastAsia"/>
          <w:color w:val="000000"/>
          <w:kern w:val="0"/>
          <w:sz w:val="24"/>
        </w:rPr>
        <w:lastRenderedPageBreak/>
        <w:t>2）报表的复核</w:t>
      </w:r>
    </w:p>
    <w:p w14:paraId="23EE53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基金管理人应及时完成报表编制，将有关报表提供基金托管人复核；基金托管人在复核过程中，发现双方的报表存在不符时，基金管理人和基金托管人应共同查明原因，进行调整，调整以国家有关规定为准。</w:t>
      </w:r>
    </w:p>
    <w:p w14:paraId="08FF018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基金管理人应留足充分的时间，便于基金托管人复核相关报表及报告。</w:t>
      </w:r>
    </w:p>
    <w:p w14:paraId="39E95262" w14:textId="77777777" w:rsidR="00D04107" w:rsidRDefault="000C2DB0">
      <w:pPr>
        <w:spacing w:line="360" w:lineRule="auto"/>
        <w:ind w:firstLineChars="200" w:firstLine="480"/>
        <w:rPr>
          <w:rFonts w:ascii="宋体" w:hAnsi="宋体"/>
          <w:color w:val="000000"/>
          <w:kern w:val="0"/>
          <w:sz w:val="24"/>
        </w:rPr>
      </w:pPr>
      <w:bookmarkStart w:id="148" w:name="_Hlt88821719"/>
      <w:bookmarkEnd w:id="148"/>
      <w:r>
        <w:rPr>
          <w:rFonts w:ascii="宋体" w:hAnsi="宋体" w:hint="eastAsia"/>
          <w:color w:val="000000"/>
          <w:kern w:val="0"/>
          <w:sz w:val="24"/>
        </w:rPr>
        <w:t>（六）基金份额持有人名册的登记与保管</w:t>
      </w:r>
    </w:p>
    <w:p w14:paraId="470A4CFF" w14:textId="77777777" w:rsidR="00D04107" w:rsidRDefault="000C2DB0">
      <w:pPr>
        <w:spacing w:line="360" w:lineRule="auto"/>
        <w:ind w:firstLineChars="200" w:firstLine="480"/>
        <w:rPr>
          <w:rFonts w:ascii="宋体" w:hAnsi="宋体"/>
          <w:sz w:val="24"/>
        </w:rPr>
      </w:pPr>
      <w:bookmarkStart w:id="149" w:name="_Hlt112616834"/>
      <w:bookmarkEnd w:id="149"/>
      <w:r>
        <w:rPr>
          <w:rFonts w:ascii="宋体" w:hAnsi="宋体" w:hint="eastAsia"/>
          <w:sz w:val="24"/>
        </w:rPr>
        <w:t>基金份额持有人名册至少应包括基金份额持有人的名称和持有的基金份额。基金份额持有人名册由基金登记机构根据基金管理人的指令编制和保管，基金管理人应定期向基金托管人提供基金份额持有人名册，基金托管人得到基金管理人提供的持有人名册后与基金管理人分别进行保管。保管方式可以采用电子或文档的形式，保存期不少于15年。如不能妥善保管，则按相关法规承担责任。法律法规另有规定或有权机关另有要求的除外。</w:t>
      </w:r>
    </w:p>
    <w:p w14:paraId="7138B2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基金托管人因编制基金定期报告等合理原因要求基金管理人提供相关资料时，基金管理人应将有关资料送交基金托管人，不得无故拒绝或延误提供，并保证其真实性、准确性和完整性。基金托管人不得将所保管的基金份额持有人名册用于基金托管业务以外的其他用途，并应遵守保密义务。</w:t>
      </w:r>
    </w:p>
    <w:p w14:paraId="2731EB00"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（七）争议解决方式</w:t>
      </w:r>
    </w:p>
    <w:p w14:paraId="41113372" w14:textId="77777777" w:rsidR="00D04107" w:rsidRDefault="000C2DB0">
      <w:pPr>
        <w:spacing w:line="360" w:lineRule="auto"/>
        <w:ind w:firstLineChars="200" w:firstLine="480"/>
        <w:rPr>
          <w:rFonts w:ascii="宋体" w:hAnsi="宋体"/>
          <w:sz w:val="24"/>
        </w:rPr>
      </w:pPr>
      <w:r>
        <w:rPr>
          <w:rFonts w:ascii="宋体" w:hAnsi="宋体" w:hint="eastAsia"/>
          <w:sz w:val="24"/>
        </w:rPr>
        <w:t>各方当事人同意，因基金合同而产生的或与基金合同有关的一切争议，如经友好协商未能解决的，任何一方均有权将争议提交华南国际经济贸易仲裁委员会，按照该会届时有效的仲裁规则进行仲裁。仲裁地点为深圳市。仲裁裁决是终局的，并对相关各方当事人均有约束力，仲裁费用和律师费用由败诉方承担。</w:t>
      </w:r>
    </w:p>
    <w:p w14:paraId="4BEF6B17" w14:textId="77777777" w:rsidR="00D04107" w:rsidRDefault="000C2DB0">
      <w:pPr>
        <w:spacing w:line="360" w:lineRule="auto"/>
        <w:ind w:firstLineChars="200" w:firstLine="480"/>
        <w:rPr>
          <w:rFonts w:ascii="宋体" w:hAnsi="宋体"/>
          <w:sz w:val="24"/>
        </w:rPr>
      </w:pPr>
      <w:r>
        <w:rPr>
          <w:rFonts w:ascii="宋体" w:hAnsi="宋体" w:hint="eastAsia"/>
          <w:sz w:val="24"/>
        </w:rPr>
        <w:t>争议处理期间，双方当事人应恪守基金管理人和基金托管人职责，各自继续忠实、勤勉、尽责地履行基金合同和本托管协议规定的义务，维护基金份额持有人的合法权益。</w:t>
      </w:r>
    </w:p>
    <w:p w14:paraId="3AEC208E" w14:textId="77777777" w:rsidR="00D04107" w:rsidRDefault="000C2DB0">
      <w:pPr>
        <w:spacing w:line="360" w:lineRule="auto"/>
        <w:ind w:firstLineChars="200" w:firstLine="480"/>
        <w:rPr>
          <w:rFonts w:ascii="宋体" w:hAnsi="宋体"/>
          <w:color w:val="000000"/>
          <w:kern w:val="0"/>
          <w:sz w:val="24"/>
        </w:rPr>
      </w:pPr>
      <w:r>
        <w:rPr>
          <w:rFonts w:ascii="宋体" w:hAnsi="宋体" w:hint="eastAsia"/>
          <w:sz w:val="24"/>
        </w:rPr>
        <w:t>本协议受中国法律管辖。</w:t>
      </w:r>
    </w:p>
    <w:p w14:paraId="0FA9C13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（八）托管协议的变更、终止与基金财产的清算</w:t>
      </w:r>
    </w:p>
    <w:p w14:paraId="7E65A4A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1、托管协议的变更程序</w:t>
      </w:r>
    </w:p>
    <w:p w14:paraId="1C6AA6C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lastRenderedPageBreak/>
        <w:t>本协议双方当事人经协商一致，可以对协议进行修改。修改后的新协议，其内容不得与基金合同的规定有任何冲突。基金托管协议的变更报中国备案。。</w:t>
      </w:r>
    </w:p>
    <w:p w14:paraId="428D3A4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2、基金托管协议终止出现的情形</w:t>
      </w:r>
    </w:p>
    <w:p w14:paraId="3F014D5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（1）基金合同终止；</w:t>
      </w:r>
    </w:p>
    <w:p w14:paraId="30001DF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（2）基金托管人解散、依法被撤销、破产或由其他基金托管人接管基金资产；</w:t>
      </w:r>
    </w:p>
    <w:p w14:paraId="0F8ADBD6"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（3）基金管理人解散、依法被撤销、破产或由其他基金管理人接管基金管理权；</w:t>
      </w:r>
    </w:p>
    <w:p w14:paraId="5D205651"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（4）发生法律法规或基金合同规定的终止事项。</w:t>
      </w:r>
    </w:p>
    <w:p w14:paraId="3C9C3665"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3、基金财产的清算</w:t>
      </w:r>
    </w:p>
    <w:p w14:paraId="4FDF99C8"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（1）基金财产清算组：</w:t>
      </w:r>
    </w:p>
    <w:p w14:paraId="501B665F"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1）自出现基金合同终止事由之日起30个工作日内成立清算组，基金管理人组织基金财产清算组在中国证监会的监督下进行基金清算。</w:t>
      </w:r>
    </w:p>
    <w:p w14:paraId="463326C0"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2）基金财产清算组成员由基金管理人、基金托管人、具有从事证券相关业务资格的注册会计师、律师以及中国证监会指定的人员组成。基金财产清算组可以聘用必要的工作人员。</w:t>
      </w:r>
    </w:p>
    <w:p w14:paraId="33625E3B" w14:textId="77777777" w:rsidR="00D04107" w:rsidRDefault="000C2DB0">
      <w:pPr>
        <w:spacing w:line="360" w:lineRule="auto"/>
        <w:ind w:firstLineChars="200" w:firstLine="480"/>
        <w:rPr>
          <w:rFonts w:ascii="宋体" w:hAnsi="宋体"/>
          <w:kern w:val="0"/>
          <w:sz w:val="24"/>
        </w:rPr>
      </w:pPr>
      <w:r>
        <w:rPr>
          <w:rFonts w:ascii="宋体" w:hAnsi="宋体" w:hint="eastAsia"/>
          <w:kern w:val="0"/>
          <w:sz w:val="24"/>
        </w:rPr>
        <w:t>3）在基金财产清算过程中，基金管理人和基金托管人应各自履行职责，继续忠实、勤勉、尽责地履行基金合同和本托管协议规定的义务，维护基金份额持有人的合法权益。</w:t>
      </w:r>
    </w:p>
    <w:p w14:paraId="5FC5C60A" w14:textId="77777777" w:rsidR="00D04107" w:rsidRDefault="000C2DB0">
      <w:pPr>
        <w:spacing w:line="360" w:lineRule="auto"/>
        <w:ind w:firstLineChars="200" w:firstLine="480"/>
        <w:rPr>
          <w:rFonts w:ascii="宋体" w:hAnsi="宋体"/>
          <w:color w:val="0D0D0D"/>
          <w:kern w:val="0"/>
          <w:sz w:val="24"/>
        </w:rPr>
      </w:pPr>
      <w:r>
        <w:rPr>
          <w:rFonts w:ascii="宋体" w:hAnsi="宋体" w:hint="eastAsia"/>
          <w:kern w:val="0"/>
          <w:sz w:val="24"/>
        </w:rPr>
        <w:t>4）基金财产清算组负责基金财产的保管、清理、估价、变现和分配。基金财产清算组可以依法进行必要的民事活动。</w:t>
      </w:r>
    </w:p>
    <w:p w14:paraId="414B47D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（2）基金财产清算程序</w:t>
      </w:r>
    </w:p>
    <w:p w14:paraId="00101DFD"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基金合同终止，应当按法律法规和基金合同的有关规定对基金财产进行清算。基金财产清算程序主要包括：</w:t>
      </w:r>
    </w:p>
    <w:p w14:paraId="055B11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（1）《基金合同》终止情形出现时，由基金财产清算小组统一接管基金；</w:t>
      </w:r>
    </w:p>
    <w:p w14:paraId="11B4B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（2）对基金财产和债权债务进行清理和确认；</w:t>
      </w:r>
    </w:p>
    <w:p w14:paraId="5D4F99F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（3）对基金财产进行估值和变现；</w:t>
      </w:r>
    </w:p>
    <w:p w14:paraId="51D32AFC"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（4）制作清算报告；</w:t>
      </w:r>
    </w:p>
    <w:p w14:paraId="2D24F664"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（5）聘请会计师事务所对清算报告进行外部审计，聘请律师事务所对清算报告出具法律意见书；</w:t>
      </w:r>
    </w:p>
    <w:p w14:paraId="7E0D22E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lastRenderedPageBreak/>
        <w:t>（6）将清算报告报中国证监会备案并公告；</w:t>
      </w:r>
    </w:p>
    <w:p w14:paraId="5902050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（7）对基金剩余财产进行分配。</w:t>
      </w:r>
    </w:p>
    <w:p w14:paraId="3D881EC9"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基金财产清算的期限为6个月，但因本基金所持证券的流动性受到限制而不能及时变现的，清算期限相应顺延。</w:t>
      </w:r>
    </w:p>
    <w:p w14:paraId="2A11C9C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（3）清算费用</w:t>
      </w:r>
    </w:p>
    <w:p w14:paraId="0777B3F0"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清算费用是指基金财产清算组在进行基金财产清算过程中发生的所有合理费用，清算费用由基金财产清算组优先从基金剩余财产中支付。</w:t>
      </w:r>
    </w:p>
    <w:p w14:paraId="163EB856"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4</w:t>
      </w:r>
      <w:r>
        <w:rPr>
          <w:rFonts w:ascii="宋体" w:hAnsi="宋体" w:hint="eastAsia"/>
          <w:color w:val="0D0D0D"/>
          <w:kern w:val="0"/>
          <w:sz w:val="24"/>
        </w:rPr>
        <w:t>）基金财产按下列顺序清偿：</w:t>
      </w:r>
    </w:p>
    <w:p w14:paraId="7F326CEB"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1）支付清算费用；</w:t>
      </w:r>
    </w:p>
    <w:p w14:paraId="4C895D9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2）交纳所欠税款；</w:t>
      </w:r>
    </w:p>
    <w:p w14:paraId="4CD9661E"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3）清偿基金债务；</w:t>
      </w:r>
    </w:p>
    <w:p w14:paraId="4B2F6012"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4）按基金份额持有人持有的基金份额比例进行分配。</w:t>
      </w:r>
    </w:p>
    <w:p w14:paraId="73855DD7"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基金财产未按前款1）－3）项规定清偿前，不分配给基金份额持有人。</w:t>
      </w:r>
    </w:p>
    <w:p w14:paraId="5E6DEFFF" w14:textId="77777777" w:rsidR="00D04107" w:rsidRDefault="000C2DB0">
      <w:pPr>
        <w:spacing w:line="360" w:lineRule="auto"/>
        <w:ind w:firstLineChars="200" w:firstLine="480"/>
        <w:rPr>
          <w:rFonts w:ascii="宋体" w:hAnsi="宋体"/>
          <w:color w:val="0D0D0D"/>
          <w:kern w:val="0"/>
          <w:sz w:val="24"/>
        </w:rPr>
      </w:pPr>
      <w:r>
        <w:rPr>
          <w:rFonts w:ascii="宋体" w:hAnsi="宋体" w:hint="eastAsia"/>
          <w:color w:val="0D0D0D"/>
          <w:kern w:val="0"/>
          <w:sz w:val="24"/>
        </w:rPr>
        <w:t>（</w:t>
      </w:r>
      <w:r>
        <w:rPr>
          <w:rFonts w:ascii="宋体" w:hAnsi="宋体"/>
          <w:color w:val="0D0D0D"/>
          <w:kern w:val="0"/>
          <w:sz w:val="24"/>
        </w:rPr>
        <w:t>5</w:t>
      </w:r>
      <w:r>
        <w:rPr>
          <w:rFonts w:ascii="宋体" w:hAnsi="宋体" w:hint="eastAsia"/>
          <w:color w:val="0D0D0D"/>
          <w:kern w:val="0"/>
          <w:sz w:val="24"/>
        </w:rPr>
        <w:t>）基金财产清算的公告</w:t>
      </w:r>
    </w:p>
    <w:p w14:paraId="3A9D033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D0D0D"/>
          <w:kern w:val="0"/>
          <w:sz w:val="24"/>
        </w:rPr>
        <w:t>基金财产清算公告于基金合同终止并报中国证监会备案后5个工作日内由基金财产清算组公告；清算过程中的有关重大事项须及时公告；基金财产清算结果经会计师事务所审计，律师事务所出具法律意见书后，由基金财产清算组报中国证监会备案并公告。</w:t>
      </w:r>
    </w:p>
    <w:p w14:paraId="34925A29"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w:t>
      </w:r>
      <w:r>
        <w:rPr>
          <w:rFonts w:ascii="宋体" w:hAnsi="宋体"/>
          <w:color w:val="000000"/>
          <w:kern w:val="0"/>
          <w:sz w:val="24"/>
        </w:rPr>
        <w:t>6</w:t>
      </w:r>
      <w:r>
        <w:rPr>
          <w:rFonts w:ascii="宋体" w:hAnsi="宋体" w:hint="eastAsia"/>
          <w:color w:val="000000"/>
          <w:kern w:val="0"/>
          <w:sz w:val="24"/>
        </w:rPr>
        <w:t>）基金财产清算账册及文件的保存</w:t>
      </w:r>
    </w:p>
    <w:p w14:paraId="6D999B4D" w14:textId="77777777" w:rsidR="00D04107" w:rsidRDefault="000C2DB0">
      <w:pPr>
        <w:spacing w:line="360" w:lineRule="auto"/>
        <w:ind w:firstLineChars="200" w:firstLine="480"/>
      </w:pPr>
      <w:r>
        <w:rPr>
          <w:rFonts w:ascii="宋体" w:hAnsi="宋体" w:hint="eastAsia"/>
          <w:color w:val="000000"/>
          <w:kern w:val="0"/>
          <w:sz w:val="24"/>
        </w:rPr>
        <w:t>基金财产清算账册及有关文件由基金托管人保存15年以上。</w:t>
      </w:r>
      <w:bookmarkStart w:id="150" w:name="_Toc256666808"/>
      <w:bookmarkStart w:id="151" w:name="_Toc256666928"/>
      <w:bookmarkEnd w:id="141"/>
    </w:p>
    <w:p w14:paraId="38E7D2F5" w14:textId="77777777" w:rsidR="00D04107" w:rsidRDefault="00D04107">
      <w:pPr>
        <w:pStyle w:val="1"/>
        <w:spacing w:beforeLines="50" w:before="120" w:after="0" w:line="360" w:lineRule="auto"/>
        <w:ind w:firstLine="420"/>
        <w:jc w:val="center"/>
        <w:rPr>
          <w:rFonts w:ascii="宋体" w:hAnsi="宋体"/>
          <w:color w:val="000000"/>
          <w:kern w:val="0"/>
          <w:sz w:val="24"/>
          <w:szCs w:val="24"/>
        </w:rPr>
        <w:sectPr w:rsidR="00D04107">
          <w:pgSz w:w="12240" w:h="15840"/>
          <w:pgMar w:top="1440" w:right="1800" w:bottom="1440" w:left="1800" w:header="720" w:footer="720" w:gutter="0"/>
          <w:cols w:space="720"/>
          <w:docGrid w:linePitch="286"/>
        </w:sectPr>
      </w:pPr>
    </w:p>
    <w:p w14:paraId="3094CFC1" w14:textId="77777777" w:rsidR="00D04107" w:rsidRDefault="000C2DB0">
      <w:pPr>
        <w:pStyle w:val="1"/>
        <w:spacing w:line="360" w:lineRule="auto"/>
        <w:jc w:val="center"/>
        <w:rPr>
          <w:rFonts w:ascii="宋体" w:hAnsi="宋体"/>
          <w:color w:val="000000"/>
          <w:kern w:val="0"/>
          <w:sz w:val="24"/>
          <w:szCs w:val="24"/>
        </w:rPr>
      </w:pPr>
      <w:bookmarkStart w:id="152" w:name="_Toc482624809"/>
      <w:bookmarkStart w:id="153" w:name="_Toc1031"/>
      <w:bookmarkStart w:id="154" w:name="_Toc28110"/>
      <w:r>
        <w:rPr>
          <w:rFonts w:ascii="宋体" w:hAnsi="宋体" w:hint="eastAsia"/>
          <w:color w:val="000000"/>
          <w:kern w:val="0"/>
          <w:sz w:val="24"/>
          <w:szCs w:val="24"/>
        </w:rPr>
        <w:lastRenderedPageBreak/>
        <w:t>第二十部分  对基金份额持有人的服务</w:t>
      </w:r>
      <w:bookmarkEnd w:id="150"/>
      <w:bookmarkEnd w:id="151"/>
      <w:bookmarkEnd w:id="152"/>
      <w:bookmarkEnd w:id="153"/>
      <w:bookmarkEnd w:id="154"/>
    </w:p>
    <w:p w14:paraId="57F2F548" w14:textId="77777777" w:rsidR="00D04107" w:rsidRDefault="00D04107"/>
    <w:p w14:paraId="1EB8A0A7" w14:textId="77777777" w:rsidR="00D04107" w:rsidRDefault="000C2DB0" w:rsidP="00165EFD">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基金管理人承诺为基金份额持有人提供一系列服务，基金管理人根据基金份额持有人的需要和市场的变化，有权增加或变更服务项目。主要服务内容如下：</w:t>
      </w:r>
    </w:p>
    <w:p w14:paraId="2BF7E3D0"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（一）电话人工咨询服务</w:t>
      </w:r>
    </w:p>
    <w:p w14:paraId="5FEB5E6E"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以通过拨打基金管理人客服热线转人工坐席，进行基金业务的相关咨询，人工坐席服务时间为每周一至周五上午9:00-11:30，下午13:00-17:00（法定节假日及因此导致的证券交易所休市日除外）。针对非人工服务时间内的电话留言，基金管理人将设有专员进行及时回复。</w:t>
      </w:r>
    </w:p>
    <w:p w14:paraId="639280D1"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（二）自助查询服务</w:t>
      </w:r>
    </w:p>
    <w:p w14:paraId="0664D07C"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投资者可通过基金管理人呼叫中心自动语音系统、基金管理人网上账户查询系统进行账户余额、交易情况、基金净值等信息查询。</w:t>
      </w:r>
    </w:p>
    <w:p w14:paraId="649ED081"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（三）邮件咨询服务</w:t>
      </w:r>
    </w:p>
    <w:p w14:paraId="3BB1CC31"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投资者可通过电子邮件的形式向基金管理人提出疑问，针对投资者的问题，基金管理人将设有专员进行及时回复。</w:t>
      </w:r>
    </w:p>
    <w:p w14:paraId="2EF339C9"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（四）免费信息订阅服务</w:t>
      </w:r>
    </w:p>
    <w:p w14:paraId="43FCA085"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4DA6F99D"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（五）资料邮寄服务</w:t>
      </w:r>
    </w:p>
    <w:p w14:paraId="19C2DA13"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基金管理人可免费为基金投资人提供基金持有证明和交易对账单邮寄服务。投</w:t>
      </w:r>
      <w:r>
        <w:rPr>
          <w:rFonts w:ascii="宋体" w:hAnsi="宋体" w:hint="eastAsia"/>
          <w:color w:val="000000"/>
          <w:kern w:val="0"/>
          <w:sz w:val="24"/>
        </w:rPr>
        <w:lastRenderedPageBreak/>
        <w:t>资者可根据需要，通过基金管理人网站或客服热线定制、修改或取消该服务。</w:t>
      </w:r>
    </w:p>
    <w:p w14:paraId="6334BCCE"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（六）客户投诉受理服务</w:t>
      </w:r>
    </w:p>
    <w:p w14:paraId="793C039F"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投资人可以通过客服热线、书信、电子邮件等渠道，对基金管理人和销售机构所提供的服务进行投诉。</w:t>
      </w:r>
    </w:p>
    <w:p w14:paraId="0E63F455"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对于工作日期间受理的投诉，以“及时回复”为处理原则，对于不能及时回复的投诉，基金管理人承诺在 3 个工作日之内对基金投资人的投诉做出回复。对于非工作日提出的投诉，基金管理人将在顺延到下 1 个工作日进行回复。</w:t>
      </w:r>
    </w:p>
    <w:p w14:paraId="2BA1273D"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 xml:space="preserve">（七）基金管理人联系方式 </w:t>
      </w:r>
    </w:p>
    <w:p w14:paraId="606B1823"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公司网址： www.furamc.com .cn</w:t>
      </w:r>
    </w:p>
    <w:p w14:paraId="0789F3C6"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电子信箱：service@furamc.com.cn</w:t>
      </w:r>
    </w:p>
    <w:p w14:paraId="5259AC79"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客服热线：4006855600</w:t>
      </w:r>
    </w:p>
    <w:p w14:paraId="553A8AFA"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客户服务部门地址：深圳市福田区深南大道2012号深圳证券交易所广场3501，富荣基金管理有限公司客户服务部门（收）</w:t>
      </w:r>
    </w:p>
    <w:p w14:paraId="41F27DAD" w14:textId="77777777" w:rsidR="005004CD" w:rsidRDefault="000C2DB0">
      <w:pPr>
        <w:spacing w:beforeLines="50" w:before="120" w:line="360" w:lineRule="auto"/>
        <w:ind w:firstLineChars="200" w:firstLine="480"/>
        <w:rPr>
          <w:rFonts w:ascii="宋体" w:hAnsi="宋体"/>
          <w:color w:val="000000"/>
          <w:kern w:val="0"/>
          <w:sz w:val="24"/>
        </w:rPr>
      </w:pPr>
      <w:r>
        <w:rPr>
          <w:rFonts w:ascii="宋体" w:hAnsi="宋体" w:hint="eastAsia"/>
          <w:color w:val="000000"/>
          <w:kern w:val="0"/>
          <w:sz w:val="24"/>
        </w:rPr>
        <w:t>邮编：518038</w:t>
      </w:r>
    </w:p>
    <w:p w14:paraId="0ECC1C0F"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（八）如本招募说明书存在任何您/贵机构无法理解的内容，请通过上述联系方式联系基金管理人。请确保投资前，您/贵机构已经全面理解了本招募说明书。</w:t>
      </w:r>
    </w:p>
    <w:p w14:paraId="475D267E" w14:textId="77777777" w:rsidR="00D04107" w:rsidRDefault="00D04107">
      <w:pPr>
        <w:spacing w:line="360" w:lineRule="auto"/>
        <w:ind w:firstLineChars="200" w:firstLine="480"/>
        <w:rPr>
          <w:rFonts w:ascii="宋体" w:hAnsi="宋体"/>
          <w:color w:val="000000"/>
          <w:kern w:val="0"/>
          <w:sz w:val="24"/>
        </w:rPr>
      </w:pPr>
    </w:p>
    <w:p w14:paraId="5B9A8EB5" w14:textId="77777777" w:rsidR="00D04107" w:rsidRDefault="000C2DB0">
      <w:pPr>
        <w:pStyle w:val="1"/>
        <w:spacing w:line="360" w:lineRule="auto"/>
        <w:jc w:val="center"/>
        <w:rPr>
          <w:rFonts w:ascii="宋体" w:hAnsi="宋体"/>
          <w:color w:val="000000"/>
          <w:kern w:val="0"/>
          <w:sz w:val="24"/>
          <w:szCs w:val="24"/>
        </w:rPr>
      </w:pPr>
      <w:r>
        <w:rPr>
          <w:rFonts w:ascii="宋体" w:hAnsi="宋体"/>
          <w:color w:val="000000"/>
          <w:kern w:val="0"/>
          <w:sz w:val="24"/>
          <w:szCs w:val="24"/>
        </w:rPr>
        <w:br w:type="page"/>
      </w:r>
      <w:bookmarkStart w:id="155" w:name="_Toc30359"/>
      <w:bookmarkStart w:id="156" w:name="_Toc256666929"/>
      <w:bookmarkStart w:id="157" w:name="_Toc32243"/>
      <w:bookmarkStart w:id="158" w:name="_Toc256666809"/>
      <w:bookmarkStart w:id="159" w:name="_Toc482624810"/>
      <w:r>
        <w:rPr>
          <w:rFonts w:ascii="宋体" w:hAnsi="宋体" w:hint="eastAsia"/>
          <w:color w:val="000000"/>
          <w:kern w:val="0"/>
          <w:sz w:val="24"/>
          <w:szCs w:val="24"/>
        </w:rPr>
        <w:lastRenderedPageBreak/>
        <w:t>第二十一部分  其他应披露事项</w:t>
      </w:r>
      <w:bookmarkEnd w:id="155"/>
      <w:bookmarkEnd w:id="156"/>
      <w:bookmarkEnd w:id="157"/>
      <w:bookmarkEnd w:id="158"/>
      <w:bookmarkEnd w:id="159"/>
    </w:p>
    <w:p w14:paraId="536194E9" w14:textId="77777777" w:rsidR="00D04107" w:rsidRDefault="00D04107"/>
    <w:p w14:paraId="619AA2B5" w14:textId="77777777" w:rsidR="00D04107" w:rsidRDefault="000C2DB0">
      <w:pPr>
        <w:spacing w:line="360" w:lineRule="auto"/>
        <w:ind w:firstLineChars="201" w:firstLine="482"/>
        <w:jc w:val="left"/>
        <w:rPr>
          <w:sz w:val="24"/>
        </w:rPr>
      </w:pPr>
      <w:r>
        <w:rPr>
          <w:rFonts w:hint="eastAsia"/>
          <w:sz w:val="24"/>
        </w:rPr>
        <w:t>报告期内本基金及基金管理人的有关更新公告：</w:t>
      </w:r>
    </w:p>
    <w:tbl>
      <w:tblPr>
        <w:tblStyle w:val="af8"/>
        <w:tblW w:w="0" w:type="auto"/>
        <w:tblLayout w:type="fixed"/>
        <w:tblLook w:val="04A0" w:firstRow="1" w:lastRow="0" w:firstColumn="1" w:lastColumn="0" w:noHBand="0" w:noVBand="1"/>
      </w:tblPr>
      <w:tblGrid>
        <w:gridCol w:w="817"/>
        <w:gridCol w:w="5528"/>
        <w:gridCol w:w="2511"/>
      </w:tblGrid>
      <w:tr w:rsidR="00D04107" w14:paraId="79CE1314" w14:textId="77777777" w:rsidTr="007122BE">
        <w:tc>
          <w:tcPr>
            <w:tcW w:w="817" w:type="dxa"/>
          </w:tcPr>
          <w:p w14:paraId="0460E175"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序号</w:t>
            </w:r>
          </w:p>
        </w:tc>
        <w:tc>
          <w:tcPr>
            <w:tcW w:w="5528" w:type="dxa"/>
          </w:tcPr>
          <w:p w14:paraId="13B607F8"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公告事项</w:t>
            </w:r>
          </w:p>
        </w:tc>
        <w:tc>
          <w:tcPr>
            <w:tcW w:w="2511" w:type="dxa"/>
          </w:tcPr>
          <w:p w14:paraId="495C6CFD" w14:textId="77777777" w:rsidR="00D04107" w:rsidRDefault="000C2DB0">
            <w:pPr>
              <w:jc w:val="center"/>
              <w:rPr>
                <w:rFonts w:asciiTheme="minorEastAsia" w:eastAsiaTheme="minorEastAsia" w:hAnsiTheme="minorEastAsia"/>
                <w:sz w:val="24"/>
              </w:rPr>
            </w:pPr>
            <w:r>
              <w:rPr>
                <w:rFonts w:asciiTheme="minorEastAsia" w:eastAsiaTheme="minorEastAsia" w:hAnsiTheme="minorEastAsia" w:hint="eastAsia"/>
                <w:sz w:val="24"/>
              </w:rPr>
              <w:t>披露日期</w:t>
            </w:r>
          </w:p>
        </w:tc>
      </w:tr>
      <w:tr w:rsidR="002D3D6E" w14:paraId="79844784" w14:textId="77777777" w:rsidTr="007122BE">
        <w:tc>
          <w:tcPr>
            <w:tcW w:w="817" w:type="dxa"/>
          </w:tcPr>
          <w:p w14:paraId="71BED90E" w14:textId="77777777" w:rsidR="002D3D6E" w:rsidRDefault="00BF4A41">
            <w:pPr>
              <w:jc w:val="left"/>
              <w:rPr>
                <w:rFonts w:asciiTheme="minorEastAsia" w:eastAsiaTheme="minorEastAsia" w:hAnsiTheme="minorEastAsia"/>
                <w:sz w:val="24"/>
              </w:rPr>
            </w:pPr>
            <w:r>
              <w:rPr>
                <w:rFonts w:asciiTheme="minorEastAsia" w:eastAsiaTheme="minorEastAsia" w:hAnsiTheme="minorEastAsia" w:hint="eastAsia"/>
                <w:sz w:val="24"/>
              </w:rPr>
              <w:t>1</w:t>
            </w:r>
          </w:p>
        </w:tc>
        <w:tc>
          <w:tcPr>
            <w:tcW w:w="5528" w:type="dxa"/>
          </w:tcPr>
          <w:p w14:paraId="4199D26A" w14:textId="0D27F44A" w:rsidR="002D3D6E" w:rsidRPr="00E74241" w:rsidRDefault="000B2A8C" w:rsidP="00106B87">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富荣基金管理有限公司关于旗下部分基金新增深圳众禄基金销售股份有限公司为销售机构并开通基金定投转换业务的公告</w:t>
            </w:r>
          </w:p>
        </w:tc>
        <w:tc>
          <w:tcPr>
            <w:tcW w:w="2511" w:type="dxa"/>
          </w:tcPr>
          <w:p w14:paraId="452A0EBD" w14:textId="47E79124" w:rsidR="002D3D6E" w:rsidRPr="00E74241" w:rsidRDefault="002D3D6E"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sidR="000B2A8C">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0日</w:t>
            </w:r>
          </w:p>
        </w:tc>
      </w:tr>
      <w:tr w:rsidR="004D3B14" w14:paraId="466EE0D0" w14:textId="77777777" w:rsidTr="007122BE">
        <w:tc>
          <w:tcPr>
            <w:tcW w:w="817" w:type="dxa"/>
          </w:tcPr>
          <w:p w14:paraId="62B89181" w14:textId="77777777" w:rsidR="004D3B14" w:rsidRDefault="00B668DD">
            <w:pPr>
              <w:jc w:val="left"/>
              <w:rPr>
                <w:rFonts w:asciiTheme="minorEastAsia" w:eastAsiaTheme="minorEastAsia" w:hAnsiTheme="minorEastAsia"/>
                <w:sz w:val="24"/>
              </w:rPr>
            </w:pPr>
            <w:r>
              <w:rPr>
                <w:rFonts w:asciiTheme="minorEastAsia" w:eastAsiaTheme="minorEastAsia" w:hAnsiTheme="minorEastAsia" w:hint="eastAsia"/>
                <w:sz w:val="24"/>
              </w:rPr>
              <w:t>2</w:t>
            </w:r>
          </w:p>
        </w:tc>
        <w:tc>
          <w:tcPr>
            <w:tcW w:w="5528" w:type="dxa"/>
          </w:tcPr>
          <w:p w14:paraId="5DB2FA1F" w14:textId="19B7E70D" w:rsidR="004D3B14" w:rsidRDefault="000B2A8C" w:rsidP="00106B87">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富荣货币市场基金2018年第四季度报告</w:t>
            </w:r>
          </w:p>
        </w:tc>
        <w:tc>
          <w:tcPr>
            <w:tcW w:w="2511" w:type="dxa"/>
          </w:tcPr>
          <w:p w14:paraId="3632658F" w14:textId="27651203" w:rsidR="004D3B14" w:rsidRDefault="004D3B14" w:rsidP="007122BE">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sidR="000B2A8C">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sidR="000B2A8C">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8日</w:t>
            </w:r>
          </w:p>
        </w:tc>
      </w:tr>
      <w:tr w:rsidR="005E35E5" w14:paraId="6C397B88" w14:textId="77777777" w:rsidTr="007122BE">
        <w:tc>
          <w:tcPr>
            <w:tcW w:w="817" w:type="dxa"/>
          </w:tcPr>
          <w:p w14:paraId="26B35871" w14:textId="77777777" w:rsidR="005E35E5" w:rsidRDefault="009B3AB3" w:rsidP="005E35E5">
            <w:pPr>
              <w:jc w:val="left"/>
              <w:rPr>
                <w:rFonts w:asciiTheme="minorEastAsia" w:eastAsiaTheme="minorEastAsia" w:hAnsiTheme="minorEastAsia"/>
                <w:sz w:val="24"/>
              </w:rPr>
            </w:pPr>
            <w:r>
              <w:rPr>
                <w:rFonts w:asciiTheme="minorEastAsia" w:eastAsiaTheme="minorEastAsia" w:hAnsiTheme="minorEastAsia" w:hint="eastAsia"/>
                <w:sz w:val="24"/>
              </w:rPr>
              <w:t>3</w:t>
            </w:r>
          </w:p>
        </w:tc>
        <w:tc>
          <w:tcPr>
            <w:tcW w:w="5528" w:type="dxa"/>
          </w:tcPr>
          <w:p w14:paraId="4954A877" w14:textId="77777777" w:rsidR="005E35E5" w:rsidRPr="000B2A8C" w:rsidRDefault="005E35E5" w:rsidP="005E35E5">
            <w:pPr>
              <w:jc w:val="left"/>
              <w:rPr>
                <w:rFonts w:asciiTheme="minorEastAsia" w:eastAsiaTheme="minorEastAsia" w:hAnsiTheme="minorEastAsia"/>
                <w:bCs/>
                <w:color w:val="333333"/>
                <w:sz w:val="24"/>
              </w:rPr>
            </w:pPr>
            <w:r w:rsidRPr="005E35E5">
              <w:rPr>
                <w:rFonts w:asciiTheme="minorEastAsia" w:eastAsiaTheme="minorEastAsia" w:hAnsiTheme="minorEastAsia" w:hint="eastAsia"/>
                <w:bCs/>
                <w:color w:val="333333"/>
                <w:sz w:val="24"/>
              </w:rPr>
              <w:t>富荣基金关于董事长变更的公告</w:t>
            </w:r>
          </w:p>
        </w:tc>
        <w:tc>
          <w:tcPr>
            <w:tcW w:w="2511" w:type="dxa"/>
          </w:tcPr>
          <w:p w14:paraId="4FCFA6A9" w14:textId="7777777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24</w:t>
            </w:r>
            <w:r>
              <w:rPr>
                <w:rFonts w:asciiTheme="minorEastAsia" w:eastAsiaTheme="minorEastAsia" w:hAnsiTheme="minorEastAsia" w:hint="eastAsia"/>
                <w:color w:val="000000" w:themeColor="text1"/>
                <w:sz w:val="24"/>
              </w:rPr>
              <w:t>日</w:t>
            </w:r>
          </w:p>
        </w:tc>
      </w:tr>
      <w:tr w:rsidR="005E35E5" w14:paraId="386A1FD0" w14:textId="77777777" w:rsidTr="007122BE">
        <w:tc>
          <w:tcPr>
            <w:tcW w:w="817" w:type="dxa"/>
          </w:tcPr>
          <w:p w14:paraId="7444FDF3" w14:textId="6B70C7A4"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4</w:t>
            </w:r>
          </w:p>
        </w:tc>
        <w:tc>
          <w:tcPr>
            <w:tcW w:w="5528" w:type="dxa"/>
          </w:tcPr>
          <w:p w14:paraId="15CF42B3" w14:textId="60A7D483" w:rsidR="005E35E5" w:rsidRPr="00E74241" w:rsidRDefault="005E35E5" w:rsidP="005E35E5">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富荣货币市场基金更新的招募说明书(2018年第2号)</w:t>
            </w:r>
          </w:p>
        </w:tc>
        <w:tc>
          <w:tcPr>
            <w:tcW w:w="2511" w:type="dxa"/>
          </w:tcPr>
          <w:p w14:paraId="4B3E8466" w14:textId="770EBD81" w:rsidR="005E35E5" w:rsidRPr="00E74241"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28</w:t>
            </w:r>
            <w:r>
              <w:rPr>
                <w:rFonts w:asciiTheme="minorEastAsia" w:eastAsiaTheme="minorEastAsia" w:hAnsiTheme="minorEastAsia" w:hint="eastAsia"/>
                <w:color w:val="000000" w:themeColor="text1"/>
                <w:sz w:val="24"/>
              </w:rPr>
              <w:t>日</w:t>
            </w:r>
          </w:p>
        </w:tc>
      </w:tr>
      <w:tr w:rsidR="005E35E5" w14:paraId="3A0B3F91" w14:textId="77777777" w:rsidTr="007122BE">
        <w:tc>
          <w:tcPr>
            <w:tcW w:w="817" w:type="dxa"/>
          </w:tcPr>
          <w:p w14:paraId="5A533179" w14:textId="0B8906D6"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5</w:t>
            </w:r>
          </w:p>
        </w:tc>
        <w:tc>
          <w:tcPr>
            <w:tcW w:w="5528" w:type="dxa"/>
          </w:tcPr>
          <w:p w14:paraId="449DD0AA" w14:textId="22D7F4B8" w:rsidR="005E35E5" w:rsidRPr="009A0FB6" w:rsidRDefault="005E35E5" w:rsidP="005E35E5">
            <w:pPr>
              <w:jc w:val="left"/>
              <w:rPr>
                <w:rFonts w:asciiTheme="minorEastAsia" w:eastAsiaTheme="minorEastAsia" w:hAnsiTheme="minorEastAsia"/>
                <w:bCs/>
                <w:color w:val="333333"/>
                <w:sz w:val="24"/>
              </w:rPr>
            </w:pPr>
            <w:r w:rsidRPr="000B2A8C">
              <w:rPr>
                <w:rFonts w:asciiTheme="minorEastAsia" w:eastAsiaTheme="minorEastAsia" w:hAnsiTheme="minorEastAsia" w:hint="eastAsia"/>
                <w:bCs/>
                <w:color w:val="333333"/>
                <w:sz w:val="24"/>
              </w:rPr>
              <w:t>富荣货币市场基金更新的招募说明书摘要（2018年第2号）</w:t>
            </w:r>
          </w:p>
        </w:tc>
        <w:tc>
          <w:tcPr>
            <w:tcW w:w="2511" w:type="dxa"/>
          </w:tcPr>
          <w:p w14:paraId="755ADE33" w14:textId="1386FFC1"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28</w:t>
            </w:r>
            <w:r>
              <w:rPr>
                <w:rFonts w:asciiTheme="minorEastAsia" w:eastAsiaTheme="minorEastAsia" w:hAnsiTheme="minorEastAsia" w:hint="eastAsia"/>
                <w:color w:val="000000" w:themeColor="text1"/>
                <w:sz w:val="24"/>
              </w:rPr>
              <w:t>日</w:t>
            </w:r>
          </w:p>
        </w:tc>
      </w:tr>
      <w:tr w:rsidR="005E35E5" w14:paraId="7678D4DD" w14:textId="77777777" w:rsidTr="007122BE">
        <w:tc>
          <w:tcPr>
            <w:tcW w:w="817" w:type="dxa"/>
          </w:tcPr>
          <w:p w14:paraId="5C926D06" w14:textId="3D0E3ACC"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6</w:t>
            </w:r>
          </w:p>
        </w:tc>
        <w:tc>
          <w:tcPr>
            <w:tcW w:w="5528" w:type="dxa"/>
          </w:tcPr>
          <w:p w14:paraId="786D66BA" w14:textId="65F279FA" w:rsidR="005E35E5"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富荣货币市场基金2019年“春节”假期前暂停申购、定期定额投资、转换转入业务的公告</w:t>
            </w:r>
          </w:p>
        </w:tc>
        <w:tc>
          <w:tcPr>
            <w:tcW w:w="2511" w:type="dxa"/>
          </w:tcPr>
          <w:p w14:paraId="180AEED3" w14:textId="4ACBEE99"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1</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30</w:t>
            </w:r>
            <w:r>
              <w:rPr>
                <w:rFonts w:asciiTheme="minorEastAsia" w:eastAsiaTheme="minorEastAsia" w:hAnsiTheme="minorEastAsia" w:hint="eastAsia"/>
                <w:color w:val="000000" w:themeColor="text1"/>
                <w:sz w:val="24"/>
              </w:rPr>
              <w:t>日</w:t>
            </w:r>
          </w:p>
        </w:tc>
      </w:tr>
      <w:tr w:rsidR="005E35E5" w14:paraId="04E3FD5F" w14:textId="77777777" w:rsidTr="007122BE">
        <w:tc>
          <w:tcPr>
            <w:tcW w:w="817" w:type="dxa"/>
          </w:tcPr>
          <w:p w14:paraId="148B15AD" w14:textId="0C8D5088"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7</w:t>
            </w:r>
          </w:p>
        </w:tc>
        <w:tc>
          <w:tcPr>
            <w:tcW w:w="5528" w:type="dxa"/>
          </w:tcPr>
          <w:p w14:paraId="36CB5D33" w14:textId="245728EE" w:rsidR="005E35E5" w:rsidRPr="005207EF"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富荣基金管理有限公司关于旗下部分基金参加北京蛋卷基金销售有限公司基金转换费率优惠活动的公告</w:t>
            </w:r>
          </w:p>
        </w:tc>
        <w:tc>
          <w:tcPr>
            <w:tcW w:w="2511" w:type="dxa"/>
          </w:tcPr>
          <w:p w14:paraId="32C32EB7" w14:textId="51106EF6"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2</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27</w:t>
            </w:r>
            <w:r>
              <w:rPr>
                <w:rFonts w:asciiTheme="minorEastAsia" w:eastAsiaTheme="minorEastAsia" w:hAnsiTheme="minorEastAsia" w:hint="eastAsia"/>
                <w:color w:val="000000" w:themeColor="text1"/>
                <w:sz w:val="24"/>
              </w:rPr>
              <w:t>日</w:t>
            </w:r>
          </w:p>
        </w:tc>
      </w:tr>
      <w:tr w:rsidR="005E35E5" w14:paraId="190612D0" w14:textId="77777777" w:rsidTr="007122BE">
        <w:tc>
          <w:tcPr>
            <w:tcW w:w="817" w:type="dxa"/>
          </w:tcPr>
          <w:p w14:paraId="397BE5A7" w14:textId="7E7DC721"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8</w:t>
            </w:r>
          </w:p>
        </w:tc>
        <w:tc>
          <w:tcPr>
            <w:tcW w:w="5528" w:type="dxa"/>
          </w:tcPr>
          <w:p w14:paraId="6125FDB9" w14:textId="3A4D2F2E" w:rsidR="005E35E5" w:rsidRPr="005207EF"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富荣基金管理有限公司关于旗下部分基金新增北京蛋卷基金销售有限公司为销售机构并开通基金定投转换业务的公告</w:t>
            </w:r>
          </w:p>
        </w:tc>
        <w:tc>
          <w:tcPr>
            <w:tcW w:w="2511" w:type="dxa"/>
          </w:tcPr>
          <w:p w14:paraId="09839C0B" w14:textId="0D62752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2</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27</w:t>
            </w:r>
            <w:r>
              <w:rPr>
                <w:rFonts w:asciiTheme="minorEastAsia" w:eastAsiaTheme="minorEastAsia" w:hAnsiTheme="minorEastAsia" w:hint="eastAsia"/>
                <w:color w:val="000000" w:themeColor="text1"/>
                <w:sz w:val="24"/>
              </w:rPr>
              <w:t>日</w:t>
            </w:r>
          </w:p>
        </w:tc>
      </w:tr>
      <w:tr w:rsidR="005E35E5" w14:paraId="59E8352A" w14:textId="77777777" w:rsidTr="007122BE">
        <w:tc>
          <w:tcPr>
            <w:tcW w:w="817" w:type="dxa"/>
          </w:tcPr>
          <w:p w14:paraId="190C6D9D" w14:textId="153500CF"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9</w:t>
            </w:r>
          </w:p>
        </w:tc>
        <w:tc>
          <w:tcPr>
            <w:tcW w:w="5528" w:type="dxa"/>
          </w:tcPr>
          <w:p w14:paraId="0CD5CE6B" w14:textId="2D6CBC0C" w:rsidR="005E35E5" w:rsidRPr="005207EF"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富荣基金管理有限公司关于旗下部分基金新增北京恒天明泽基金销售有限公司为销售机构并开通基金定投转换业务的公告</w:t>
            </w:r>
          </w:p>
        </w:tc>
        <w:tc>
          <w:tcPr>
            <w:tcW w:w="2511" w:type="dxa"/>
          </w:tcPr>
          <w:p w14:paraId="015CA30F" w14:textId="6204681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2</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28</w:t>
            </w:r>
            <w:r>
              <w:rPr>
                <w:rFonts w:asciiTheme="minorEastAsia" w:eastAsiaTheme="minorEastAsia" w:hAnsiTheme="minorEastAsia" w:hint="eastAsia"/>
                <w:color w:val="000000" w:themeColor="text1"/>
                <w:sz w:val="24"/>
              </w:rPr>
              <w:t>日</w:t>
            </w:r>
          </w:p>
        </w:tc>
      </w:tr>
      <w:tr w:rsidR="005E35E5" w14:paraId="26305ECF" w14:textId="77777777" w:rsidTr="007122BE">
        <w:tc>
          <w:tcPr>
            <w:tcW w:w="817" w:type="dxa"/>
          </w:tcPr>
          <w:p w14:paraId="3C4C675F" w14:textId="5E1A1C49"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10</w:t>
            </w:r>
          </w:p>
        </w:tc>
        <w:tc>
          <w:tcPr>
            <w:tcW w:w="5528" w:type="dxa"/>
          </w:tcPr>
          <w:p w14:paraId="5A268805" w14:textId="2ABC05DF" w:rsidR="005E35E5" w:rsidRDefault="005E35E5" w:rsidP="005E35E5">
            <w:pPr>
              <w:jc w:val="left"/>
              <w:rPr>
                <w:rFonts w:asciiTheme="minorEastAsia" w:eastAsiaTheme="minorEastAsia" w:hAnsiTheme="minorEastAsia"/>
                <w:bCs/>
                <w:color w:val="333333"/>
                <w:sz w:val="24"/>
              </w:rPr>
            </w:pPr>
            <w:r w:rsidRPr="00643701">
              <w:rPr>
                <w:rFonts w:asciiTheme="minorEastAsia" w:eastAsiaTheme="minorEastAsia" w:hAnsiTheme="minorEastAsia" w:hint="eastAsia"/>
                <w:bCs/>
                <w:color w:val="333333"/>
                <w:sz w:val="24"/>
              </w:rPr>
              <w:t>富荣基金管理有限公司关于旗下部分基金参加深圳前海财厚基金销售有限公司基金转换费率优惠活动的公告</w:t>
            </w:r>
          </w:p>
        </w:tc>
        <w:tc>
          <w:tcPr>
            <w:tcW w:w="2511" w:type="dxa"/>
          </w:tcPr>
          <w:p w14:paraId="133CFFDC" w14:textId="0CD9C560"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月1</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日</w:t>
            </w:r>
          </w:p>
        </w:tc>
      </w:tr>
      <w:tr w:rsidR="005E35E5" w14:paraId="78A797C7" w14:textId="77777777" w:rsidTr="007122BE">
        <w:tc>
          <w:tcPr>
            <w:tcW w:w="817" w:type="dxa"/>
          </w:tcPr>
          <w:p w14:paraId="28B1F468" w14:textId="19759944"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1</w:t>
            </w:r>
            <w:r w:rsidR="009B3AB3">
              <w:rPr>
                <w:rFonts w:asciiTheme="minorEastAsia" w:eastAsiaTheme="minorEastAsia" w:hAnsiTheme="minorEastAsia"/>
                <w:sz w:val="24"/>
              </w:rPr>
              <w:t>1</w:t>
            </w:r>
          </w:p>
        </w:tc>
        <w:tc>
          <w:tcPr>
            <w:tcW w:w="5528" w:type="dxa"/>
          </w:tcPr>
          <w:p w14:paraId="4DF9FF04" w14:textId="4F8591AE" w:rsidR="005E35E5" w:rsidRPr="005207EF" w:rsidRDefault="005E35E5" w:rsidP="005E35E5">
            <w:pPr>
              <w:jc w:val="left"/>
              <w:rPr>
                <w:rFonts w:asciiTheme="minorEastAsia" w:eastAsiaTheme="minorEastAsia" w:hAnsiTheme="minorEastAsia"/>
                <w:bCs/>
                <w:color w:val="333333"/>
                <w:sz w:val="24"/>
              </w:rPr>
            </w:pPr>
            <w:r w:rsidRPr="00D9517E">
              <w:rPr>
                <w:rFonts w:asciiTheme="minorEastAsia" w:eastAsiaTheme="minorEastAsia" w:hAnsiTheme="minorEastAsia" w:hint="eastAsia"/>
                <w:bCs/>
                <w:color w:val="333333"/>
                <w:sz w:val="24"/>
              </w:rPr>
              <w:t>富荣基金管理有限公司关于旗下部分基金新增深圳前海财厚基金销售有限公司为销售机构并开通基金定投转换业务的公告</w:t>
            </w:r>
          </w:p>
        </w:tc>
        <w:tc>
          <w:tcPr>
            <w:tcW w:w="2511" w:type="dxa"/>
          </w:tcPr>
          <w:p w14:paraId="0AB91000" w14:textId="24FF1A23"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月1</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日</w:t>
            </w:r>
          </w:p>
        </w:tc>
      </w:tr>
      <w:tr w:rsidR="005E35E5" w14:paraId="15C72231" w14:textId="77777777" w:rsidTr="007122BE">
        <w:tc>
          <w:tcPr>
            <w:tcW w:w="817" w:type="dxa"/>
          </w:tcPr>
          <w:p w14:paraId="5076ADF2" w14:textId="699A823C"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1</w:t>
            </w:r>
            <w:r w:rsidR="009B3AB3">
              <w:rPr>
                <w:rFonts w:asciiTheme="minorEastAsia" w:eastAsiaTheme="minorEastAsia" w:hAnsiTheme="minorEastAsia"/>
                <w:sz w:val="24"/>
              </w:rPr>
              <w:t>2</w:t>
            </w:r>
          </w:p>
        </w:tc>
        <w:tc>
          <w:tcPr>
            <w:tcW w:w="5528" w:type="dxa"/>
          </w:tcPr>
          <w:p w14:paraId="73FBF21B" w14:textId="6783299C" w:rsidR="005E35E5" w:rsidRPr="005207EF" w:rsidRDefault="005E35E5" w:rsidP="005E35E5">
            <w:pPr>
              <w:jc w:val="left"/>
              <w:rPr>
                <w:rFonts w:asciiTheme="minorEastAsia" w:eastAsiaTheme="minorEastAsia" w:hAnsiTheme="minorEastAsia"/>
                <w:bCs/>
                <w:color w:val="333333"/>
                <w:sz w:val="24"/>
              </w:rPr>
            </w:pPr>
            <w:r w:rsidRPr="00D9517E">
              <w:rPr>
                <w:rFonts w:asciiTheme="minorEastAsia" w:eastAsiaTheme="minorEastAsia" w:hAnsiTheme="minorEastAsia" w:hint="eastAsia"/>
                <w:bCs/>
                <w:color w:val="333333"/>
                <w:sz w:val="24"/>
              </w:rPr>
              <w:t>富荣基金管理有限公司关于旗下部分基金新增上海基煜基金销售有限公司为销售机构并开通基金定投转换业务的公告</w:t>
            </w:r>
          </w:p>
        </w:tc>
        <w:tc>
          <w:tcPr>
            <w:tcW w:w="2511" w:type="dxa"/>
          </w:tcPr>
          <w:p w14:paraId="2383E3CE" w14:textId="2D9362BE"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月1</w:t>
            </w:r>
            <w:r>
              <w:rPr>
                <w:rFonts w:asciiTheme="minorEastAsia" w:eastAsiaTheme="minorEastAsia" w:hAnsiTheme="minorEastAsia"/>
                <w:color w:val="000000" w:themeColor="text1"/>
                <w:sz w:val="24"/>
              </w:rPr>
              <w:t>6</w:t>
            </w:r>
            <w:r>
              <w:rPr>
                <w:rFonts w:asciiTheme="minorEastAsia" w:eastAsiaTheme="minorEastAsia" w:hAnsiTheme="minorEastAsia" w:hint="eastAsia"/>
                <w:color w:val="000000" w:themeColor="text1"/>
                <w:sz w:val="24"/>
              </w:rPr>
              <w:t>日</w:t>
            </w:r>
          </w:p>
        </w:tc>
      </w:tr>
      <w:tr w:rsidR="005E35E5" w14:paraId="67296784" w14:textId="77777777" w:rsidTr="007122BE">
        <w:tc>
          <w:tcPr>
            <w:tcW w:w="817" w:type="dxa"/>
          </w:tcPr>
          <w:p w14:paraId="137768CD" w14:textId="0A3FD3EA"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1</w:t>
            </w:r>
            <w:r w:rsidR="009B3AB3">
              <w:rPr>
                <w:rFonts w:asciiTheme="minorEastAsia" w:eastAsiaTheme="minorEastAsia" w:hAnsiTheme="minorEastAsia"/>
                <w:sz w:val="24"/>
              </w:rPr>
              <w:t>3</w:t>
            </w:r>
          </w:p>
        </w:tc>
        <w:tc>
          <w:tcPr>
            <w:tcW w:w="5528" w:type="dxa"/>
          </w:tcPr>
          <w:p w14:paraId="66FC4062" w14:textId="4DB17706" w:rsidR="005E35E5" w:rsidRDefault="005E35E5" w:rsidP="005E35E5">
            <w:pPr>
              <w:jc w:val="left"/>
              <w:rPr>
                <w:rFonts w:ascii="微软雅黑" w:eastAsia="微软雅黑" w:hAnsi="微软雅黑"/>
                <w:color w:val="555555"/>
                <w:szCs w:val="21"/>
              </w:rPr>
            </w:pPr>
            <w:r w:rsidRPr="00D9517E">
              <w:rPr>
                <w:rFonts w:asciiTheme="minorEastAsia" w:eastAsiaTheme="minorEastAsia" w:hAnsiTheme="minorEastAsia" w:hint="eastAsia"/>
                <w:bCs/>
                <w:color w:val="333333"/>
                <w:sz w:val="24"/>
              </w:rPr>
              <w:t>富荣基金管理有限公司关于旗下部分基金新增深圳盈信基金销售有限公司为销售机构并开通基金定投转换业务的公告</w:t>
            </w:r>
          </w:p>
        </w:tc>
        <w:tc>
          <w:tcPr>
            <w:tcW w:w="2511" w:type="dxa"/>
          </w:tcPr>
          <w:p w14:paraId="763EED7A" w14:textId="1B62DF25"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月20日</w:t>
            </w:r>
          </w:p>
        </w:tc>
      </w:tr>
      <w:tr w:rsidR="005E35E5" w14:paraId="18A974D2" w14:textId="77777777" w:rsidTr="007122BE">
        <w:tc>
          <w:tcPr>
            <w:tcW w:w="817" w:type="dxa"/>
          </w:tcPr>
          <w:p w14:paraId="3A751915" w14:textId="3B1748BC"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4</w:t>
            </w:r>
          </w:p>
        </w:tc>
        <w:tc>
          <w:tcPr>
            <w:tcW w:w="5528" w:type="dxa"/>
          </w:tcPr>
          <w:p w14:paraId="39500436" w14:textId="074E3A47" w:rsidR="005E35E5" w:rsidRPr="002D3D6E" w:rsidRDefault="005E35E5" w:rsidP="005E35E5">
            <w:pPr>
              <w:jc w:val="left"/>
              <w:rPr>
                <w:rFonts w:asciiTheme="minorEastAsia" w:eastAsiaTheme="minorEastAsia" w:hAnsiTheme="minorEastAsia"/>
                <w:bCs/>
                <w:color w:val="333333"/>
                <w:sz w:val="24"/>
              </w:rPr>
            </w:pPr>
            <w:r w:rsidRPr="00857123">
              <w:rPr>
                <w:rFonts w:asciiTheme="minorEastAsia" w:eastAsiaTheme="minorEastAsia" w:hAnsiTheme="minorEastAsia" w:hint="eastAsia"/>
                <w:bCs/>
                <w:color w:val="333333"/>
                <w:sz w:val="24"/>
              </w:rPr>
              <w:t>富荣货币市场基金2018年年度报告</w:t>
            </w:r>
          </w:p>
        </w:tc>
        <w:tc>
          <w:tcPr>
            <w:tcW w:w="2511" w:type="dxa"/>
          </w:tcPr>
          <w:p w14:paraId="4DBE4D54" w14:textId="274292B0"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月29日</w:t>
            </w:r>
          </w:p>
        </w:tc>
      </w:tr>
      <w:tr w:rsidR="005E35E5" w14:paraId="4307A672" w14:textId="77777777" w:rsidTr="007122BE">
        <w:tc>
          <w:tcPr>
            <w:tcW w:w="817" w:type="dxa"/>
          </w:tcPr>
          <w:p w14:paraId="37F365F2" w14:textId="400230D2"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5</w:t>
            </w:r>
          </w:p>
        </w:tc>
        <w:tc>
          <w:tcPr>
            <w:tcW w:w="5528" w:type="dxa"/>
          </w:tcPr>
          <w:p w14:paraId="0F9ABD99" w14:textId="2F17BBB0" w:rsidR="005E35E5" w:rsidRPr="002D3D6E" w:rsidRDefault="005E35E5" w:rsidP="005E35E5">
            <w:pPr>
              <w:jc w:val="left"/>
              <w:rPr>
                <w:rFonts w:asciiTheme="minorEastAsia" w:eastAsiaTheme="minorEastAsia" w:hAnsiTheme="minorEastAsia"/>
                <w:bCs/>
                <w:color w:val="333333"/>
                <w:sz w:val="24"/>
              </w:rPr>
            </w:pPr>
            <w:r w:rsidRPr="00857123">
              <w:rPr>
                <w:rFonts w:asciiTheme="minorEastAsia" w:eastAsiaTheme="minorEastAsia" w:hAnsiTheme="minorEastAsia" w:hint="eastAsia"/>
                <w:bCs/>
                <w:color w:val="333333"/>
                <w:sz w:val="24"/>
              </w:rPr>
              <w:t>富荣货币市场基金2018年年度报告摘要</w:t>
            </w:r>
          </w:p>
        </w:tc>
        <w:tc>
          <w:tcPr>
            <w:tcW w:w="2511" w:type="dxa"/>
          </w:tcPr>
          <w:p w14:paraId="3E685167" w14:textId="610C402F"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3</w:t>
            </w:r>
            <w:r>
              <w:rPr>
                <w:rFonts w:asciiTheme="minorEastAsia" w:eastAsiaTheme="minorEastAsia" w:hAnsiTheme="minorEastAsia" w:hint="eastAsia"/>
                <w:color w:val="000000" w:themeColor="text1"/>
                <w:sz w:val="24"/>
              </w:rPr>
              <w:t>月29日</w:t>
            </w:r>
          </w:p>
        </w:tc>
      </w:tr>
      <w:tr w:rsidR="005E35E5" w14:paraId="16A325BA" w14:textId="77777777" w:rsidTr="007122BE">
        <w:tc>
          <w:tcPr>
            <w:tcW w:w="817" w:type="dxa"/>
          </w:tcPr>
          <w:p w14:paraId="17894EF0" w14:textId="2E0731BA"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lastRenderedPageBreak/>
              <w:t>1</w:t>
            </w:r>
            <w:r w:rsidR="009B3AB3">
              <w:rPr>
                <w:rFonts w:asciiTheme="minorEastAsia" w:eastAsiaTheme="minorEastAsia" w:hAnsiTheme="minorEastAsia"/>
                <w:sz w:val="24"/>
              </w:rPr>
              <w:t>6</w:t>
            </w:r>
          </w:p>
        </w:tc>
        <w:tc>
          <w:tcPr>
            <w:tcW w:w="5528" w:type="dxa"/>
          </w:tcPr>
          <w:p w14:paraId="09A619C5" w14:textId="650B8090" w:rsidR="005E35E5" w:rsidRPr="005207EF" w:rsidRDefault="005E35E5" w:rsidP="005E35E5">
            <w:pPr>
              <w:jc w:val="left"/>
              <w:rPr>
                <w:rFonts w:asciiTheme="minorEastAsia" w:eastAsiaTheme="minorEastAsia" w:hAnsiTheme="minorEastAsia"/>
                <w:bCs/>
                <w:color w:val="333333"/>
                <w:sz w:val="24"/>
              </w:rPr>
            </w:pPr>
            <w:r w:rsidRPr="00794A3F">
              <w:rPr>
                <w:rFonts w:asciiTheme="minorEastAsia" w:eastAsiaTheme="minorEastAsia" w:hAnsiTheme="minorEastAsia" w:hint="eastAsia"/>
                <w:bCs/>
                <w:color w:val="333333"/>
                <w:sz w:val="24"/>
              </w:rPr>
              <w:t>富荣基金管理有限公司关于旗下部分基金新增华鑫证券有限责任公司为销售机构并开通基金定投转换业务的公告</w:t>
            </w:r>
          </w:p>
        </w:tc>
        <w:tc>
          <w:tcPr>
            <w:tcW w:w="2511" w:type="dxa"/>
          </w:tcPr>
          <w:p w14:paraId="4437401B" w14:textId="6762EC73"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年0</w:t>
            </w:r>
            <w:r>
              <w:rPr>
                <w:rFonts w:asciiTheme="minorEastAsia" w:eastAsiaTheme="minorEastAsia" w:hAnsiTheme="minorEastAsia"/>
                <w:color w:val="000000" w:themeColor="text1"/>
                <w:sz w:val="24"/>
              </w:rPr>
              <w:t>4</w:t>
            </w:r>
            <w:r>
              <w:rPr>
                <w:rFonts w:asciiTheme="minorEastAsia" w:eastAsiaTheme="minorEastAsia" w:hAnsiTheme="minorEastAsia" w:hint="eastAsia"/>
                <w:color w:val="000000" w:themeColor="text1"/>
                <w:sz w:val="24"/>
              </w:rPr>
              <w:t>月09日</w:t>
            </w:r>
          </w:p>
        </w:tc>
      </w:tr>
      <w:tr w:rsidR="005E35E5" w14:paraId="5E0CAC97" w14:textId="77777777" w:rsidTr="007122BE">
        <w:tc>
          <w:tcPr>
            <w:tcW w:w="817" w:type="dxa"/>
          </w:tcPr>
          <w:p w14:paraId="0BEB02DA" w14:textId="5915EB04"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7</w:t>
            </w:r>
          </w:p>
        </w:tc>
        <w:tc>
          <w:tcPr>
            <w:tcW w:w="5528" w:type="dxa"/>
          </w:tcPr>
          <w:p w14:paraId="51D9141A" w14:textId="38E5E03B"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富荣基金管理有限公司关于旗下部分基金新增诺亚正行基金销售有限公司为销售机构并开通基金定投业务的公告</w:t>
            </w:r>
          </w:p>
        </w:tc>
        <w:tc>
          <w:tcPr>
            <w:tcW w:w="2511" w:type="dxa"/>
          </w:tcPr>
          <w:p w14:paraId="0FE4F80C" w14:textId="3C3834C8"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18</w:t>
            </w:r>
            <w:r>
              <w:rPr>
                <w:rFonts w:asciiTheme="minorEastAsia" w:eastAsiaTheme="minorEastAsia" w:hAnsiTheme="minorEastAsia" w:hint="eastAsia"/>
                <w:color w:val="000000" w:themeColor="text1"/>
                <w:sz w:val="24"/>
              </w:rPr>
              <w:t>日</w:t>
            </w:r>
          </w:p>
        </w:tc>
      </w:tr>
      <w:tr w:rsidR="005E35E5" w14:paraId="1B7C67A0" w14:textId="77777777" w:rsidTr="007122BE">
        <w:tc>
          <w:tcPr>
            <w:tcW w:w="817" w:type="dxa"/>
          </w:tcPr>
          <w:p w14:paraId="2745FA98" w14:textId="534DA590"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8</w:t>
            </w:r>
          </w:p>
        </w:tc>
        <w:tc>
          <w:tcPr>
            <w:tcW w:w="5528" w:type="dxa"/>
          </w:tcPr>
          <w:p w14:paraId="42AB559C" w14:textId="22933642"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富荣基金管理有限公司关于旗下部分基金新增上海挖财基金销售有限公司为销售机构并开通基金定投转换业务的公告</w:t>
            </w:r>
          </w:p>
        </w:tc>
        <w:tc>
          <w:tcPr>
            <w:tcW w:w="2511" w:type="dxa"/>
          </w:tcPr>
          <w:p w14:paraId="42002AF2" w14:textId="435CBF49"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18</w:t>
            </w:r>
            <w:r>
              <w:rPr>
                <w:rFonts w:asciiTheme="minorEastAsia" w:eastAsiaTheme="minorEastAsia" w:hAnsiTheme="minorEastAsia" w:hint="eastAsia"/>
                <w:color w:val="000000" w:themeColor="text1"/>
                <w:sz w:val="24"/>
              </w:rPr>
              <w:t>日</w:t>
            </w:r>
          </w:p>
        </w:tc>
      </w:tr>
      <w:tr w:rsidR="005E35E5" w14:paraId="43FD7802" w14:textId="77777777" w:rsidTr="007122BE">
        <w:tc>
          <w:tcPr>
            <w:tcW w:w="817" w:type="dxa"/>
          </w:tcPr>
          <w:p w14:paraId="0EA01336" w14:textId="58232E7B"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1</w:t>
            </w:r>
            <w:r w:rsidR="009B3AB3">
              <w:rPr>
                <w:rFonts w:asciiTheme="minorEastAsia" w:eastAsiaTheme="minorEastAsia" w:hAnsiTheme="minorEastAsia"/>
                <w:sz w:val="24"/>
              </w:rPr>
              <w:t>9</w:t>
            </w:r>
          </w:p>
        </w:tc>
        <w:tc>
          <w:tcPr>
            <w:tcW w:w="5528" w:type="dxa"/>
          </w:tcPr>
          <w:p w14:paraId="2E0DA6EE" w14:textId="58BB1227" w:rsidR="005E35E5" w:rsidRPr="005207EF"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富荣货币市场基金2019年第一季度报告</w:t>
            </w:r>
          </w:p>
        </w:tc>
        <w:tc>
          <w:tcPr>
            <w:tcW w:w="2511" w:type="dxa"/>
          </w:tcPr>
          <w:p w14:paraId="5CC9C7A9" w14:textId="1C4A3F95"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20</w:t>
            </w:r>
            <w:r>
              <w:rPr>
                <w:rFonts w:asciiTheme="minorEastAsia" w:eastAsiaTheme="minorEastAsia" w:hAnsiTheme="minorEastAsia" w:hint="eastAsia"/>
                <w:color w:val="000000" w:themeColor="text1"/>
                <w:sz w:val="24"/>
              </w:rPr>
              <w:t>日</w:t>
            </w:r>
          </w:p>
        </w:tc>
      </w:tr>
      <w:tr w:rsidR="005E35E5" w14:paraId="4F46D564" w14:textId="77777777" w:rsidTr="007122BE">
        <w:tc>
          <w:tcPr>
            <w:tcW w:w="817" w:type="dxa"/>
          </w:tcPr>
          <w:p w14:paraId="6DF1C7DB" w14:textId="3553A457" w:rsidR="005E35E5" w:rsidRDefault="009B3AB3" w:rsidP="005E35E5">
            <w:pPr>
              <w:jc w:val="left"/>
              <w:rPr>
                <w:rFonts w:asciiTheme="minorEastAsia" w:eastAsiaTheme="minorEastAsia" w:hAnsiTheme="minorEastAsia"/>
                <w:sz w:val="24"/>
              </w:rPr>
            </w:pPr>
            <w:r>
              <w:rPr>
                <w:rFonts w:asciiTheme="minorEastAsia" w:eastAsiaTheme="minorEastAsia" w:hAnsiTheme="minorEastAsia"/>
                <w:sz w:val="24"/>
              </w:rPr>
              <w:t>20</w:t>
            </w:r>
          </w:p>
        </w:tc>
        <w:tc>
          <w:tcPr>
            <w:tcW w:w="5528" w:type="dxa"/>
          </w:tcPr>
          <w:p w14:paraId="6F8D024F" w14:textId="64D4605D"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富荣货币市场基金2019年“五一”假期前暂停申购、定期定额投资、转换转入业务的公告</w:t>
            </w:r>
          </w:p>
        </w:tc>
        <w:tc>
          <w:tcPr>
            <w:tcW w:w="2511" w:type="dxa"/>
          </w:tcPr>
          <w:p w14:paraId="0F9E8451" w14:textId="76E222CD"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04</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29</w:t>
            </w:r>
            <w:r>
              <w:rPr>
                <w:rFonts w:asciiTheme="minorEastAsia" w:eastAsiaTheme="minorEastAsia" w:hAnsiTheme="minorEastAsia" w:hint="eastAsia"/>
                <w:color w:val="000000" w:themeColor="text1"/>
                <w:sz w:val="24"/>
              </w:rPr>
              <w:t>日</w:t>
            </w:r>
          </w:p>
        </w:tc>
      </w:tr>
      <w:tr w:rsidR="005E35E5" w14:paraId="6D1B8DD1" w14:textId="77777777" w:rsidTr="007122BE">
        <w:tc>
          <w:tcPr>
            <w:tcW w:w="817" w:type="dxa"/>
          </w:tcPr>
          <w:p w14:paraId="6B753F7B" w14:textId="5C5E1B71"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2</w:t>
            </w:r>
            <w:r w:rsidR="009B3AB3">
              <w:rPr>
                <w:rFonts w:asciiTheme="minorEastAsia" w:eastAsiaTheme="minorEastAsia" w:hAnsiTheme="minorEastAsia"/>
                <w:sz w:val="24"/>
              </w:rPr>
              <w:t>1</w:t>
            </w:r>
          </w:p>
        </w:tc>
        <w:tc>
          <w:tcPr>
            <w:tcW w:w="5528" w:type="dxa"/>
          </w:tcPr>
          <w:p w14:paraId="0C114FF1" w14:textId="214F9964" w:rsidR="005E35E5" w:rsidRPr="005207EF"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富荣基金管理有限公司关于旗下部分基金新增上海凯石财富基金销售有限公司为销售机构并开通基金定投转换业务的公告</w:t>
            </w:r>
          </w:p>
        </w:tc>
        <w:tc>
          <w:tcPr>
            <w:tcW w:w="2511" w:type="dxa"/>
          </w:tcPr>
          <w:p w14:paraId="0F348694" w14:textId="4E47971C"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05</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07</w:t>
            </w:r>
            <w:r>
              <w:rPr>
                <w:rFonts w:asciiTheme="minorEastAsia" w:eastAsiaTheme="minorEastAsia" w:hAnsiTheme="minorEastAsia" w:hint="eastAsia"/>
                <w:color w:val="000000" w:themeColor="text1"/>
                <w:sz w:val="24"/>
              </w:rPr>
              <w:t>日</w:t>
            </w:r>
          </w:p>
        </w:tc>
      </w:tr>
      <w:tr w:rsidR="005E35E5" w14:paraId="118CA033" w14:textId="77777777" w:rsidTr="007122BE">
        <w:tc>
          <w:tcPr>
            <w:tcW w:w="817" w:type="dxa"/>
          </w:tcPr>
          <w:p w14:paraId="551C71A7" w14:textId="2B7CDF38" w:rsidR="005E35E5" w:rsidRDefault="005E35E5" w:rsidP="005E35E5">
            <w:pPr>
              <w:jc w:val="left"/>
              <w:rPr>
                <w:rFonts w:asciiTheme="minorEastAsia" w:eastAsiaTheme="minorEastAsia" w:hAnsiTheme="minorEastAsia"/>
                <w:sz w:val="24"/>
              </w:rPr>
            </w:pPr>
            <w:r>
              <w:rPr>
                <w:rFonts w:asciiTheme="minorEastAsia" w:eastAsiaTheme="minorEastAsia" w:hAnsiTheme="minorEastAsia" w:hint="eastAsia"/>
                <w:sz w:val="24"/>
              </w:rPr>
              <w:t>2</w:t>
            </w:r>
            <w:r w:rsidR="009B3AB3">
              <w:rPr>
                <w:rFonts w:asciiTheme="minorEastAsia" w:eastAsiaTheme="minorEastAsia" w:hAnsiTheme="minorEastAsia"/>
                <w:sz w:val="24"/>
              </w:rPr>
              <w:t>2</w:t>
            </w:r>
          </w:p>
        </w:tc>
        <w:tc>
          <w:tcPr>
            <w:tcW w:w="5528" w:type="dxa"/>
          </w:tcPr>
          <w:p w14:paraId="3F40EEB5" w14:textId="708C3D35" w:rsidR="005E35E5" w:rsidRPr="004D3B14"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富荣基金管理有限公司关于旗下部分基金新增泰信财富基金销售有限公司为销售机构并开通基金定投转换业务的公告</w:t>
            </w:r>
          </w:p>
        </w:tc>
        <w:tc>
          <w:tcPr>
            <w:tcW w:w="2511" w:type="dxa"/>
          </w:tcPr>
          <w:p w14:paraId="391263D4" w14:textId="7B3BA504"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05</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14</w:t>
            </w:r>
            <w:r>
              <w:rPr>
                <w:rFonts w:asciiTheme="minorEastAsia" w:eastAsiaTheme="minorEastAsia" w:hAnsiTheme="minorEastAsia" w:hint="eastAsia"/>
                <w:color w:val="000000" w:themeColor="text1"/>
                <w:sz w:val="24"/>
              </w:rPr>
              <w:t>日</w:t>
            </w:r>
          </w:p>
        </w:tc>
      </w:tr>
      <w:tr w:rsidR="005E35E5" w14:paraId="47F9DC90" w14:textId="77777777" w:rsidTr="007122BE">
        <w:tc>
          <w:tcPr>
            <w:tcW w:w="817" w:type="dxa"/>
          </w:tcPr>
          <w:p w14:paraId="5AEA7262" w14:textId="77777777" w:rsidR="005E35E5" w:rsidRDefault="009B3AB3" w:rsidP="005E35E5">
            <w:pPr>
              <w:jc w:val="left"/>
              <w:rPr>
                <w:rFonts w:asciiTheme="minorEastAsia" w:eastAsiaTheme="minorEastAsia" w:hAnsiTheme="minorEastAsia"/>
                <w:sz w:val="24"/>
              </w:rPr>
            </w:pPr>
            <w:r>
              <w:rPr>
                <w:rFonts w:asciiTheme="minorEastAsia" w:eastAsiaTheme="minorEastAsia" w:hAnsiTheme="minorEastAsia" w:hint="eastAsia"/>
                <w:sz w:val="24"/>
              </w:rPr>
              <w:t>23</w:t>
            </w:r>
          </w:p>
        </w:tc>
        <w:tc>
          <w:tcPr>
            <w:tcW w:w="5528" w:type="dxa"/>
          </w:tcPr>
          <w:p w14:paraId="6F32F9BB" w14:textId="77777777" w:rsidR="005E35E5" w:rsidRPr="0014699C" w:rsidRDefault="005E35E5" w:rsidP="005E35E5">
            <w:pPr>
              <w:jc w:val="left"/>
              <w:rPr>
                <w:rFonts w:asciiTheme="minorEastAsia" w:eastAsiaTheme="minorEastAsia" w:hAnsiTheme="minorEastAsia"/>
                <w:bCs/>
                <w:color w:val="333333"/>
                <w:sz w:val="24"/>
              </w:rPr>
            </w:pPr>
            <w:r w:rsidRPr="005E35E5">
              <w:rPr>
                <w:rFonts w:asciiTheme="minorEastAsia" w:eastAsiaTheme="minorEastAsia" w:hAnsiTheme="minorEastAsia" w:hint="eastAsia"/>
                <w:bCs/>
                <w:color w:val="333333"/>
                <w:sz w:val="24"/>
              </w:rPr>
              <w:t>富荣基金管理有限公司关于增聘副总经理的公告</w:t>
            </w:r>
          </w:p>
        </w:tc>
        <w:tc>
          <w:tcPr>
            <w:tcW w:w="2511" w:type="dxa"/>
          </w:tcPr>
          <w:p w14:paraId="11A37CDD" w14:textId="77777777"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06</w:t>
            </w:r>
            <w:r>
              <w:rPr>
                <w:rFonts w:asciiTheme="minorEastAsia" w:eastAsiaTheme="minorEastAsia" w:hAnsiTheme="minorEastAsia" w:hint="eastAsia"/>
                <w:color w:val="000000" w:themeColor="text1"/>
                <w:sz w:val="24"/>
              </w:rPr>
              <w:t>月15日</w:t>
            </w:r>
          </w:p>
        </w:tc>
      </w:tr>
      <w:tr w:rsidR="005E35E5" w14:paraId="635E59FE" w14:textId="77777777" w:rsidTr="007122BE">
        <w:tc>
          <w:tcPr>
            <w:tcW w:w="817" w:type="dxa"/>
          </w:tcPr>
          <w:p w14:paraId="578F5594" w14:textId="3A367D3E" w:rsidR="005E35E5" w:rsidRDefault="005E35E5" w:rsidP="005E35E5">
            <w:pPr>
              <w:jc w:val="left"/>
              <w:rPr>
                <w:rFonts w:asciiTheme="minorEastAsia" w:eastAsiaTheme="minorEastAsia" w:hAnsiTheme="minorEastAsia"/>
                <w:sz w:val="24"/>
              </w:rPr>
            </w:pPr>
            <w:r>
              <w:rPr>
                <w:rFonts w:asciiTheme="minorEastAsia" w:eastAsiaTheme="minorEastAsia" w:hAnsiTheme="minorEastAsia"/>
                <w:sz w:val="24"/>
              </w:rPr>
              <w:t>2</w:t>
            </w:r>
            <w:r w:rsidR="009B3AB3">
              <w:rPr>
                <w:rFonts w:asciiTheme="minorEastAsia" w:eastAsiaTheme="minorEastAsia" w:hAnsiTheme="minorEastAsia"/>
                <w:sz w:val="24"/>
              </w:rPr>
              <w:t>4</w:t>
            </w:r>
          </w:p>
        </w:tc>
        <w:tc>
          <w:tcPr>
            <w:tcW w:w="5528" w:type="dxa"/>
          </w:tcPr>
          <w:p w14:paraId="30D303BB" w14:textId="576F97DA" w:rsidR="005E35E5" w:rsidRPr="002D3D6E" w:rsidRDefault="005E35E5" w:rsidP="005E35E5">
            <w:pPr>
              <w:jc w:val="left"/>
              <w:rPr>
                <w:rFonts w:asciiTheme="minorEastAsia" w:eastAsiaTheme="minorEastAsia" w:hAnsiTheme="minorEastAsia"/>
                <w:bCs/>
                <w:color w:val="333333"/>
                <w:sz w:val="24"/>
              </w:rPr>
            </w:pPr>
            <w:r w:rsidRPr="0014699C">
              <w:rPr>
                <w:rFonts w:asciiTheme="minorEastAsia" w:eastAsiaTheme="minorEastAsia" w:hAnsiTheme="minorEastAsia" w:hint="eastAsia"/>
                <w:bCs/>
                <w:color w:val="333333"/>
                <w:sz w:val="24"/>
              </w:rPr>
              <w:t>富荣基金管理有限公司关于旗下部分基金新增长城证券股份有限公司为销售机构并开通基金转换业务的公告</w:t>
            </w:r>
          </w:p>
        </w:tc>
        <w:tc>
          <w:tcPr>
            <w:tcW w:w="2511" w:type="dxa"/>
          </w:tcPr>
          <w:p w14:paraId="2A42E52B" w14:textId="26D0360C" w:rsidR="005E35E5" w:rsidRDefault="005E35E5" w:rsidP="005E35E5">
            <w:pPr>
              <w:jc w:val="center"/>
              <w:rPr>
                <w:rFonts w:asciiTheme="minorEastAsia" w:eastAsiaTheme="minorEastAsia" w:hAnsiTheme="minorEastAsia"/>
                <w:color w:val="000000" w:themeColor="text1"/>
                <w:sz w:val="24"/>
              </w:rPr>
            </w:pPr>
            <w:r>
              <w:rPr>
                <w:rFonts w:asciiTheme="minorEastAsia" w:eastAsiaTheme="minorEastAsia" w:hAnsiTheme="minorEastAsia" w:hint="eastAsia"/>
                <w:color w:val="000000" w:themeColor="text1"/>
                <w:sz w:val="24"/>
              </w:rPr>
              <w:t>201</w:t>
            </w:r>
            <w:r>
              <w:rPr>
                <w:rFonts w:asciiTheme="minorEastAsia" w:eastAsiaTheme="minorEastAsia" w:hAnsiTheme="minorEastAsia"/>
                <w:color w:val="000000" w:themeColor="text1"/>
                <w:sz w:val="24"/>
              </w:rPr>
              <w:t>9</w:t>
            </w:r>
            <w:r>
              <w:rPr>
                <w:rFonts w:asciiTheme="minorEastAsia" w:eastAsiaTheme="minorEastAsia" w:hAnsiTheme="minorEastAsia" w:hint="eastAsia"/>
                <w:color w:val="000000" w:themeColor="text1"/>
                <w:sz w:val="24"/>
              </w:rPr>
              <w:t>年</w:t>
            </w:r>
            <w:r>
              <w:rPr>
                <w:rFonts w:asciiTheme="minorEastAsia" w:eastAsiaTheme="minorEastAsia" w:hAnsiTheme="minorEastAsia"/>
                <w:color w:val="000000" w:themeColor="text1"/>
                <w:sz w:val="24"/>
              </w:rPr>
              <w:t>06</w:t>
            </w:r>
            <w:r>
              <w:rPr>
                <w:rFonts w:asciiTheme="minorEastAsia" w:eastAsiaTheme="minorEastAsia" w:hAnsiTheme="minorEastAsia" w:hint="eastAsia"/>
                <w:color w:val="000000" w:themeColor="text1"/>
                <w:sz w:val="24"/>
              </w:rPr>
              <w:t>月</w:t>
            </w:r>
            <w:r>
              <w:rPr>
                <w:rFonts w:asciiTheme="minorEastAsia" w:eastAsiaTheme="minorEastAsia" w:hAnsiTheme="minorEastAsia"/>
                <w:color w:val="000000" w:themeColor="text1"/>
                <w:sz w:val="24"/>
              </w:rPr>
              <w:t>21</w:t>
            </w:r>
            <w:r>
              <w:rPr>
                <w:rFonts w:asciiTheme="minorEastAsia" w:eastAsiaTheme="minorEastAsia" w:hAnsiTheme="minorEastAsia" w:hint="eastAsia"/>
                <w:color w:val="000000" w:themeColor="text1"/>
                <w:sz w:val="24"/>
              </w:rPr>
              <w:t>日</w:t>
            </w:r>
          </w:p>
        </w:tc>
      </w:tr>
    </w:tbl>
    <w:p w14:paraId="6A1A208A" w14:textId="77777777" w:rsidR="00D04107" w:rsidRDefault="00D04107">
      <w:pPr>
        <w:ind w:firstLine="484"/>
        <w:jc w:val="left"/>
        <w:rPr>
          <w:b/>
          <w:bCs/>
          <w:kern w:val="44"/>
          <w:sz w:val="24"/>
          <w:szCs w:val="44"/>
        </w:rPr>
      </w:pPr>
    </w:p>
    <w:p w14:paraId="075F42A6" w14:textId="77777777" w:rsidR="00D04107" w:rsidRDefault="000C2DB0">
      <w:pPr>
        <w:pStyle w:val="1"/>
        <w:spacing w:line="360" w:lineRule="auto"/>
        <w:jc w:val="center"/>
        <w:rPr>
          <w:b w:val="0"/>
          <w:bCs w:val="0"/>
          <w:sz w:val="24"/>
        </w:rPr>
      </w:pPr>
      <w:r>
        <w:br w:type="page"/>
      </w:r>
      <w:bookmarkStart w:id="160" w:name="_Toc1903"/>
      <w:bookmarkStart w:id="161" w:name="_Toc482624811"/>
      <w:bookmarkStart w:id="162" w:name="_Toc31436"/>
      <w:bookmarkStart w:id="163" w:name="_Toc256666811"/>
      <w:bookmarkStart w:id="164" w:name="_Toc256666931"/>
      <w:r>
        <w:rPr>
          <w:rFonts w:ascii="宋体" w:hAnsi="宋体" w:hint="eastAsia"/>
          <w:color w:val="000000"/>
          <w:kern w:val="0"/>
          <w:sz w:val="24"/>
          <w:szCs w:val="24"/>
        </w:rPr>
        <w:lastRenderedPageBreak/>
        <w:t>第二十二部分</w:t>
      </w:r>
      <w:r>
        <w:rPr>
          <w:rFonts w:ascii="宋体" w:hAnsi="宋体"/>
          <w:color w:val="000000"/>
          <w:kern w:val="0"/>
          <w:sz w:val="24"/>
          <w:szCs w:val="24"/>
        </w:rPr>
        <w:t xml:space="preserve">  </w:t>
      </w:r>
      <w:r>
        <w:rPr>
          <w:rFonts w:ascii="宋体" w:hAnsi="宋体" w:hint="eastAsia"/>
          <w:color w:val="000000"/>
          <w:kern w:val="0"/>
          <w:sz w:val="24"/>
          <w:szCs w:val="24"/>
        </w:rPr>
        <w:t>招募说明书存放及查阅方式</w:t>
      </w:r>
      <w:bookmarkEnd w:id="160"/>
      <w:bookmarkEnd w:id="161"/>
      <w:bookmarkEnd w:id="162"/>
    </w:p>
    <w:p w14:paraId="6C8C9F16" w14:textId="77777777" w:rsidR="00FB75B6" w:rsidRDefault="000C2DB0">
      <w:pPr>
        <w:spacing w:line="360" w:lineRule="auto"/>
        <w:ind w:firstLineChars="200" w:firstLine="480"/>
        <w:rPr>
          <w:bCs/>
          <w:sz w:val="24"/>
        </w:rPr>
        <w:sectPr w:rsidR="00FB75B6">
          <w:pgSz w:w="12240" w:h="15840"/>
          <w:pgMar w:top="1440" w:right="1800" w:bottom="1440" w:left="1800" w:header="720" w:footer="720" w:gutter="0"/>
          <w:cols w:space="720"/>
          <w:docGrid w:linePitch="286"/>
        </w:sectPr>
      </w:pPr>
      <w:r>
        <w:rPr>
          <w:rFonts w:hint="eastAsia"/>
          <w:bCs/>
          <w:sz w:val="24"/>
        </w:rPr>
        <w:t>本招募说明书存放在基金管理人、基金托管人和销售机构的住所，投资人可以在办公时间免费查阅。在支付工本费后，可在合理时间内取得上述文件的复制件或复印件。招募说明书条款及内容应以招募说明书正本为准。</w:t>
      </w:r>
    </w:p>
    <w:p w14:paraId="69C00574" w14:textId="77777777" w:rsidR="00D04107" w:rsidRDefault="000C2DB0">
      <w:pPr>
        <w:pStyle w:val="1"/>
        <w:spacing w:line="360" w:lineRule="auto"/>
        <w:jc w:val="center"/>
        <w:rPr>
          <w:rFonts w:ascii="宋体" w:hAnsi="宋体"/>
          <w:color w:val="000000"/>
          <w:kern w:val="0"/>
          <w:sz w:val="24"/>
          <w:szCs w:val="24"/>
        </w:rPr>
      </w:pPr>
      <w:bookmarkStart w:id="165" w:name="_Toc30681"/>
      <w:bookmarkStart w:id="166" w:name="_Toc29888"/>
      <w:bookmarkStart w:id="167" w:name="_Toc482624812"/>
      <w:r>
        <w:rPr>
          <w:rFonts w:ascii="宋体" w:hAnsi="宋体" w:hint="eastAsia"/>
          <w:color w:val="000000"/>
          <w:kern w:val="0"/>
          <w:sz w:val="24"/>
          <w:szCs w:val="24"/>
        </w:rPr>
        <w:lastRenderedPageBreak/>
        <w:t>第二十三部分</w:t>
      </w:r>
      <w:r>
        <w:rPr>
          <w:rFonts w:ascii="宋体" w:hAnsi="宋体"/>
          <w:color w:val="000000"/>
          <w:kern w:val="0"/>
          <w:sz w:val="24"/>
          <w:szCs w:val="24"/>
        </w:rPr>
        <w:t xml:space="preserve">  </w:t>
      </w:r>
      <w:r>
        <w:rPr>
          <w:rFonts w:ascii="宋体" w:hAnsi="宋体" w:hint="eastAsia"/>
          <w:color w:val="000000"/>
          <w:kern w:val="0"/>
          <w:sz w:val="24"/>
          <w:szCs w:val="24"/>
        </w:rPr>
        <w:t>备查文件</w:t>
      </w:r>
      <w:bookmarkEnd w:id="163"/>
      <w:bookmarkEnd w:id="164"/>
      <w:bookmarkEnd w:id="165"/>
      <w:bookmarkEnd w:id="166"/>
      <w:bookmarkEnd w:id="167"/>
    </w:p>
    <w:p w14:paraId="069E13BA"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（一）中国证监会准予</w:t>
      </w:r>
      <w:r>
        <w:rPr>
          <w:rFonts w:hint="eastAsia"/>
          <w:bCs/>
          <w:sz w:val="24"/>
        </w:rPr>
        <w:t>富荣货币市场基金</w:t>
      </w:r>
      <w:r>
        <w:rPr>
          <w:rFonts w:ascii="宋体" w:hAnsi="宋体" w:hint="eastAsia"/>
          <w:color w:val="000000"/>
          <w:kern w:val="0"/>
          <w:sz w:val="24"/>
        </w:rPr>
        <w:t>募集注册的文件</w:t>
      </w:r>
    </w:p>
    <w:p w14:paraId="79677F37"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（二）《</w:t>
      </w:r>
      <w:r>
        <w:rPr>
          <w:rFonts w:hint="eastAsia"/>
          <w:bCs/>
          <w:sz w:val="24"/>
        </w:rPr>
        <w:t>富荣货币市场基金</w:t>
      </w:r>
      <w:r>
        <w:rPr>
          <w:rFonts w:ascii="宋体" w:hAnsi="宋体" w:hint="eastAsia"/>
          <w:color w:val="000000"/>
          <w:kern w:val="0"/>
          <w:sz w:val="24"/>
        </w:rPr>
        <w:t>基金合同》</w:t>
      </w:r>
    </w:p>
    <w:p w14:paraId="1288471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（三）《</w:t>
      </w:r>
      <w:r>
        <w:rPr>
          <w:rFonts w:hint="eastAsia"/>
          <w:bCs/>
          <w:sz w:val="24"/>
        </w:rPr>
        <w:t>富荣货币市场基金</w:t>
      </w:r>
      <w:r>
        <w:rPr>
          <w:rFonts w:ascii="宋体" w:hAnsi="宋体" w:hint="eastAsia"/>
          <w:color w:val="000000"/>
          <w:kern w:val="0"/>
          <w:sz w:val="24"/>
        </w:rPr>
        <w:t>托管协议》</w:t>
      </w:r>
    </w:p>
    <w:p w14:paraId="111CC6D4"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（四）关于申请募集</w:t>
      </w:r>
      <w:r>
        <w:rPr>
          <w:rFonts w:hint="eastAsia"/>
          <w:bCs/>
          <w:sz w:val="24"/>
        </w:rPr>
        <w:t>富荣货币市场基金</w:t>
      </w:r>
      <w:r>
        <w:rPr>
          <w:rFonts w:ascii="宋体" w:hAnsi="宋体" w:hint="eastAsia"/>
          <w:color w:val="000000"/>
          <w:kern w:val="0"/>
          <w:sz w:val="24"/>
        </w:rPr>
        <w:t>之法律意见</w:t>
      </w:r>
    </w:p>
    <w:p w14:paraId="18047BB3"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（五）基金管理人业务资格批件、营业执照</w:t>
      </w:r>
    </w:p>
    <w:p w14:paraId="7F0A3CD8"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（六）基金托管人业务资格批件、营业执照</w:t>
      </w:r>
    </w:p>
    <w:p w14:paraId="46CD1ADC"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（七）中国证监会要求的其他文件</w:t>
      </w:r>
    </w:p>
    <w:p w14:paraId="458C5572"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存放地点：上述备查文件存放在基金管理人、基金托管人的办公场所。</w:t>
      </w:r>
    </w:p>
    <w:p w14:paraId="33B6C2FE" w14:textId="77777777" w:rsidR="00D04107" w:rsidRDefault="000C2DB0">
      <w:pPr>
        <w:spacing w:line="360" w:lineRule="auto"/>
        <w:ind w:firstLineChars="200" w:firstLine="480"/>
        <w:rPr>
          <w:rFonts w:ascii="宋体" w:hAnsi="宋体"/>
          <w:color w:val="000000"/>
          <w:kern w:val="0"/>
          <w:sz w:val="24"/>
        </w:rPr>
      </w:pPr>
      <w:r>
        <w:rPr>
          <w:rFonts w:ascii="宋体" w:hAnsi="宋体" w:hint="eastAsia"/>
          <w:color w:val="000000"/>
          <w:kern w:val="0"/>
          <w:sz w:val="24"/>
        </w:rPr>
        <w:t>查阅方式：投资人可以在办公时间免费查询；也可按工本费购买本基金备查文件复制件或复印件，但应以基金备查文件正本为准。</w:t>
      </w:r>
    </w:p>
    <w:p w14:paraId="0563562E" w14:textId="77777777" w:rsidR="00D04107" w:rsidRDefault="00D04107">
      <w:pPr>
        <w:spacing w:line="360" w:lineRule="auto"/>
        <w:rPr>
          <w:rFonts w:ascii="宋体" w:hAnsi="宋体"/>
          <w:color w:val="000000"/>
          <w:sz w:val="24"/>
        </w:rPr>
      </w:pPr>
    </w:p>
    <w:p w14:paraId="4EEDD643" w14:textId="77777777" w:rsidR="00D04107" w:rsidRDefault="00D04107">
      <w:pPr>
        <w:spacing w:line="360" w:lineRule="auto"/>
        <w:rPr>
          <w:rFonts w:ascii="宋体" w:hAnsi="宋体"/>
          <w:color w:val="000000"/>
          <w:sz w:val="24"/>
        </w:rPr>
      </w:pPr>
    </w:p>
    <w:p w14:paraId="1541A0FC" w14:textId="77777777" w:rsidR="00D04107" w:rsidRDefault="00D04107">
      <w:pPr>
        <w:spacing w:line="360" w:lineRule="auto"/>
        <w:rPr>
          <w:rFonts w:ascii="宋体" w:hAnsi="宋体"/>
          <w:color w:val="000000"/>
          <w:sz w:val="24"/>
        </w:rPr>
      </w:pPr>
    </w:p>
    <w:p w14:paraId="11C99275" w14:textId="77777777" w:rsidR="00D04107" w:rsidRDefault="00D04107">
      <w:pPr>
        <w:spacing w:line="360" w:lineRule="auto"/>
        <w:rPr>
          <w:rFonts w:ascii="宋体" w:hAnsi="宋体"/>
          <w:color w:val="000000"/>
          <w:sz w:val="24"/>
        </w:rPr>
      </w:pPr>
    </w:p>
    <w:p w14:paraId="7D043ABD" w14:textId="77777777" w:rsidR="00D04107" w:rsidRDefault="000C2DB0">
      <w:pPr>
        <w:spacing w:line="360" w:lineRule="auto"/>
        <w:ind w:firstLineChars="200" w:firstLine="480"/>
        <w:jc w:val="right"/>
        <w:rPr>
          <w:rFonts w:ascii="宋体" w:hAnsi="宋体"/>
          <w:color w:val="000000"/>
          <w:kern w:val="0"/>
          <w:sz w:val="24"/>
        </w:rPr>
      </w:pPr>
      <w:r>
        <w:rPr>
          <w:rFonts w:ascii="宋体" w:hAnsi="宋体" w:hint="eastAsia"/>
          <w:color w:val="000000"/>
          <w:kern w:val="0"/>
          <w:sz w:val="24"/>
        </w:rPr>
        <w:t>富荣基金管理有限公司</w:t>
      </w:r>
    </w:p>
    <w:p w14:paraId="264E5342" w14:textId="1B470518" w:rsidR="00D04107" w:rsidRDefault="00FA0A86" w:rsidP="005207EF">
      <w:pPr>
        <w:spacing w:line="360" w:lineRule="auto"/>
        <w:jc w:val="right"/>
        <w:rPr>
          <w:rFonts w:ascii="宋体" w:hAnsi="宋体"/>
          <w:color w:val="000000"/>
          <w:sz w:val="24"/>
        </w:rPr>
      </w:pPr>
      <w:r>
        <w:rPr>
          <w:rFonts w:ascii="宋体" w:hAnsi="宋体" w:hint="eastAsia"/>
          <w:color w:val="000000"/>
          <w:kern w:val="0"/>
          <w:sz w:val="24"/>
        </w:rPr>
        <w:t>二〇一九年</w:t>
      </w:r>
      <w:r w:rsidR="003405BB">
        <w:rPr>
          <w:rFonts w:ascii="宋体" w:hAnsi="宋体" w:hint="eastAsia"/>
          <w:color w:val="000000"/>
          <w:kern w:val="0"/>
          <w:sz w:val="24"/>
        </w:rPr>
        <w:t>八</w:t>
      </w:r>
      <w:r>
        <w:rPr>
          <w:rFonts w:ascii="宋体" w:hAnsi="宋体" w:hint="eastAsia"/>
          <w:color w:val="000000"/>
          <w:kern w:val="0"/>
          <w:sz w:val="24"/>
        </w:rPr>
        <w:t>月</w:t>
      </w:r>
      <w:r w:rsidR="003405BB">
        <w:rPr>
          <w:rFonts w:ascii="宋体" w:hAnsi="宋体" w:hint="eastAsia"/>
          <w:color w:val="000000"/>
          <w:kern w:val="0"/>
          <w:sz w:val="24"/>
        </w:rPr>
        <w:t>八</w:t>
      </w:r>
      <w:r w:rsidR="001D2A4E">
        <w:rPr>
          <w:rFonts w:ascii="宋体" w:hAnsi="宋体" w:hint="eastAsia"/>
          <w:color w:val="000000"/>
          <w:kern w:val="0"/>
          <w:sz w:val="24"/>
        </w:rPr>
        <w:t>日</w:t>
      </w:r>
    </w:p>
    <w:p w14:paraId="25DCC25A" w14:textId="77777777" w:rsidR="00D04107" w:rsidRPr="009609E8" w:rsidRDefault="00D04107">
      <w:pPr>
        <w:spacing w:line="360" w:lineRule="auto"/>
        <w:jc w:val="right"/>
        <w:rPr>
          <w:rFonts w:ascii="宋体" w:hAnsi="宋体"/>
          <w:color w:val="000000"/>
          <w:sz w:val="24"/>
        </w:rPr>
      </w:pPr>
    </w:p>
    <w:sectPr w:rsidR="00D04107" w:rsidRPr="009609E8" w:rsidSect="000E52DA">
      <w:pgSz w:w="12240" w:h="15840"/>
      <w:pgMar w:top="1440" w:right="1800" w:bottom="1440" w:left="1800" w:header="720" w:footer="720" w:gutter="0"/>
      <w:cols w:space="720"/>
      <w:docGrid w:linePitch="28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2C4C44" w14:textId="77777777" w:rsidR="006014C9" w:rsidRDefault="006014C9">
      <w:r>
        <w:separator/>
      </w:r>
    </w:p>
  </w:endnote>
  <w:endnote w:type="continuationSeparator" w:id="0">
    <w:p w14:paraId="5F8ABD1B" w14:textId="77777777" w:rsidR="006014C9" w:rsidRDefault="006014C9">
      <w:r>
        <w:continuationSeparator/>
      </w:r>
    </w:p>
  </w:endnote>
  <w:endnote w:type="continuationNotice" w:id="1">
    <w:p w14:paraId="6A0B61F4" w14:textId="77777777" w:rsidR="006014C9" w:rsidRDefault="006014C9"/>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Bold">
    <w:altName w:val="Arial"/>
    <w:panose1 w:val="020B0704020202020204"/>
    <w:charset w:val="00"/>
    <w:family w:val="roman"/>
    <w:pitch w:val="default"/>
    <w:sig w:usb0="00000000" w:usb1="00000000" w:usb2="00000000"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10002FF" w:usb1="4000ACFF" w:usb2="00000009" w:usb3="00000000" w:csb0="0000019F" w:csb1="00000000"/>
  </w:font>
  <w:font w:name="微软雅黑">
    <w:panose1 w:val="020B0503020204020204"/>
    <w:charset w:val="86"/>
    <w:family w:val="swiss"/>
    <w:pitch w:val="variable"/>
    <w:sig w:usb0="80000287" w:usb1="280F3C52" w:usb2="00000016" w:usb3="00000000" w:csb0="0004001F" w:csb1="00000000"/>
  </w:font>
  <w:font w:name="华文细黑">
    <w:panose1 w:val="02010600040101010101"/>
    <w:charset w:val="86"/>
    <w:family w:val="auto"/>
    <w:pitch w:val="variable"/>
    <w:sig w:usb0="00000287" w:usb1="080F0000" w:usb2="00000010" w:usb3="00000000" w:csb0="0004009F" w:csb1="00000000"/>
  </w:font>
  <w:font w:name="仿宋_GB2312">
    <w:altName w:val="仿宋"/>
    <w:charset w:val="86"/>
    <w:family w:val="modern"/>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D18802" w14:textId="77777777" w:rsidR="006B50F9" w:rsidRDefault="006B50F9">
    <w:pPr>
      <w:pStyle w:val="ae"/>
      <w:jc w:val="cen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5B01F7" w14:textId="77777777" w:rsidR="006B50F9" w:rsidRDefault="006B50F9">
    <w:pPr>
      <w:pStyle w:val="ae"/>
      <w:jc w:val="center"/>
      <w:rPr>
        <w:rFonts w:ascii="宋体" w:hAnsi="宋体"/>
        <w:sz w:val="21"/>
        <w:szCs w:val="21"/>
      </w:rP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DE03FFF" w14:textId="2A742EDC" w:rsidR="006B50F9" w:rsidRDefault="006B50F9">
    <w:pPr>
      <w:pStyle w:val="ae"/>
      <w:jc w:val="center"/>
    </w:pPr>
    <w:r>
      <w:fldChar w:fldCharType="begin"/>
    </w:r>
    <w:r>
      <w:instrText>PAGE   \* MERGEFORMAT</w:instrText>
    </w:r>
    <w:r>
      <w:fldChar w:fldCharType="separate"/>
    </w:r>
    <w:r w:rsidR="0080003E" w:rsidRPr="0080003E">
      <w:rPr>
        <w:noProof/>
        <w:lang w:val="zh-CN"/>
      </w:rPr>
      <w:t>1</w:t>
    </w:r>
    <w:r>
      <w:rPr>
        <w:lang w:val="zh-CN"/>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657CE2F" w14:textId="77777777" w:rsidR="006014C9" w:rsidRDefault="006014C9">
      <w:r>
        <w:separator/>
      </w:r>
    </w:p>
  </w:footnote>
  <w:footnote w:type="continuationSeparator" w:id="0">
    <w:p w14:paraId="03A1E7B2" w14:textId="77777777" w:rsidR="006014C9" w:rsidRDefault="006014C9">
      <w:r>
        <w:continuationSeparator/>
      </w:r>
    </w:p>
  </w:footnote>
  <w:footnote w:type="continuationNotice" w:id="1">
    <w:p w14:paraId="0A04A45E" w14:textId="77777777" w:rsidR="006014C9" w:rsidRDefault="006014C9"/>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997F5A4" w14:textId="53C0FBB0" w:rsidR="006B50F9" w:rsidRDefault="006B50F9">
    <w:pPr>
      <w:pStyle w:val="af0"/>
      <w:jc w:val="left"/>
    </w:pPr>
    <w:r>
      <w:rPr>
        <w:rFonts w:hint="eastAsia"/>
      </w:rPr>
      <w:t>富荣货币市场基金更新的招募说明书（</w:t>
    </w:r>
    <w:r>
      <w:rPr>
        <w:rFonts w:hint="eastAsia"/>
      </w:rPr>
      <w:t>201</w:t>
    </w:r>
    <w:r>
      <w:t>9</w:t>
    </w:r>
    <w:r>
      <w:rPr>
        <w:rFonts w:hint="eastAsia"/>
      </w:rPr>
      <w:t>年第</w:t>
    </w:r>
    <w:r>
      <w:t>1</w:t>
    </w:r>
    <w:r>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0E3A912" w14:textId="77777777" w:rsidR="006B50F9" w:rsidRDefault="006B50F9">
    <w:pPr>
      <w:pStyle w:val="af0"/>
      <w:pBdr>
        <w:bottom w:val="none" w:sz="0" w:space="0" w:color="auto"/>
      </w:pBdr>
      <w:jc w:val="right"/>
      <w:rPr>
        <w:sz w:val="21"/>
        <w:szCs w:val="21"/>
      </w:rP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24F2C86"/>
    <w:multiLevelType w:val="multilevel"/>
    <w:tmpl w:val="324F2C86"/>
    <w:lvl w:ilvl="0">
      <w:start w:val="1"/>
      <w:numFmt w:val="decimal"/>
      <w:lvlText w:val="%1、"/>
      <w:lvlJc w:val="left"/>
      <w:pPr>
        <w:ind w:left="840" w:hanging="360"/>
      </w:pPr>
      <w:rPr>
        <w:rFonts w:ascii="宋体" w:eastAsia="宋体" w:hAnsi="宋体" w:hint="default"/>
        <w:sz w:val="24"/>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1" w15:restartNumberingAfterBreak="0">
    <w:nsid w:val="3A3E1F68"/>
    <w:multiLevelType w:val="multilevel"/>
    <w:tmpl w:val="3A3E1F68"/>
    <w:lvl w:ilvl="0">
      <w:start w:val="1"/>
      <w:numFmt w:val="decimalEnclosedCircle"/>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5C1A15CA"/>
    <w:multiLevelType w:val="multilevel"/>
    <w:tmpl w:val="90B8681C"/>
    <w:lvl w:ilvl="0">
      <w:start w:val="1"/>
      <w:numFmt w:val="decimal"/>
      <w:lvlText w:val="%1、"/>
      <w:lvlJc w:val="left"/>
      <w:pPr>
        <w:ind w:left="5322" w:hanging="360"/>
      </w:pPr>
      <w:rPr>
        <w:rFonts w:ascii="宋体" w:eastAsia="宋体" w:hAnsi="宋体"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3" w15:restartNumberingAfterBreak="0">
    <w:nsid w:val="5C6F4B3E"/>
    <w:multiLevelType w:val="multilevel"/>
    <w:tmpl w:val="5C6F4B3E"/>
    <w:lvl w:ilvl="0">
      <w:start w:val="1"/>
      <w:numFmt w:val="japaneseCounting"/>
      <w:lvlText w:val="（%1）"/>
      <w:lvlJc w:val="left"/>
      <w:pPr>
        <w:ind w:left="1200" w:hanging="72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4" w15:restartNumberingAfterBreak="0">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5" w15:restartNumberingAfterBreak="0">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4"/>
  </w:num>
  <w:num w:numId="2">
    <w:abstractNumId w:val="5"/>
  </w:num>
  <w:num w:numId="3">
    <w:abstractNumId w:val="2"/>
  </w:num>
  <w:num w:numId="4">
    <w:abstractNumId w:val="1"/>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bordersDoNotSurroundHeader/>
  <w:bordersDoNotSurroundFooter/>
  <w:hideSpellingErrors/>
  <w:defaultTabStop w:val="210"/>
  <w:drawingGridHorizontalSpacing w:val="105"/>
  <w:drawingGridVerticalSpacing w:val="156"/>
  <w:noPunctuationKerning/>
  <w:characterSpacingControl w:val="compressPunctuation"/>
  <w:doNotValidateAgainstSchema/>
  <w:doNotDemarcateInvalidXml/>
  <w:hdrShapeDefaults>
    <o:shapedefaults v:ext="edit" spidmax="10241"/>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4E3"/>
    <w:rsid w:val="00023798"/>
    <w:rsid w:val="00023BA9"/>
    <w:rsid w:val="00024605"/>
    <w:rsid w:val="00024BDD"/>
    <w:rsid w:val="00024D67"/>
    <w:rsid w:val="00024D99"/>
    <w:rsid w:val="000254F5"/>
    <w:rsid w:val="00025602"/>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7D9"/>
    <w:rsid w:val="000368A3"/>
    <w:rsid w:val="000369BD"/>
    <w:rsid w:val="00036AAE"/>
    <w:rsid w:val="000373B5"/>
    <w:rsid w:val="00037AF3"/>
    <w:rsid w:val="00037C7A"/>
    <w:rsid w:val="00037D86"/>
    <w:rsid w:val="00040359"/>
    <w:rsid w:val="00040AD5"/>
    <w:rsid w:val="000425CB"/>
    <w:rsid w:val="00042999"/>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1B2"/>
    <w:rsid w:val="00057577"/>
    <w:rsid w:val="00057C18"/>
    <w:rsid w:val="00057F3D"/>
    <w:rsid w:val="00060168"/>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C1C"/>
    <w:rsid w:val="00082DD0"/>
    <w:rsid w:val="000832B4"/>
    <w:rsid w:val="0008357A"/>
    <w:rsid w:val="00084C68"/>
    <w:rsid w:val="00084E3B"/>
    <w:rsid w:val="0008519E"/>
    <w:rsid w:val="00085564"/>
    <w:rsid w:val="00085DF5"/>
    <w:rsid w:val="00086766"/>
    <w:rsid w:val="00086D1A"/>
    <w:rsid w:val="000873CB"/>
    <w:rsid w:val="00090961"/>
    <w:rsid w:val="00090CF2"/>
    <w:rsid w:val="000921AF"/>
    <w:rsid w:val="000937F4"/>
    <w:rsid w:val="00093868"/>
    <w:rsid w:val="000938FB"/>
    <w:rsid w:val="00093917"/>
    <w:rsid w:val="00093A2C"/>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2A8C"/>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DB0"/>
    <w:rsid w:val="000C2F3B"/>
    <w:rsid w:val="000C32FE"/>
    <w:rsid w:val="000C3E53"/>
    <w:rsid w:val="000C3FC7"/>
    <w:rsid w:val="000C3FE5"/>
    <w:rsid w:val="000C4F77"/>
    <w:rsid w:val="000C4FF9"/>
    <w:rsid w:val="000C6308"/>
    <w:rsid w:val="000C682D"/>
    <w:rsid w:val="000C689F"/>
    <w:rsid w:val="000C6B1E"/>
    <w:rsid w:val="000C7B4F"/>
    <w:rsid w:val="000D0D9A"/>
    <w:rsid w:val="000D1694"/>
    <w:rsid w:val="000D19BC"/>
    <w:rsid w:val="000D22D7"/>
    <w:rsid w:val="000D263F"/>
    <w:rsid w:val="000D2F41"/>
    <w:rsid w:val="000D30E7"/>
    <w:rsid w:val="000D4975"/>
    <w:rsid w:val="000D4A6D"/>
    <w:rsid w:val="000D7691"/>
    <w:rsid w:val="000D76C9"/>
    <w:rsid w:val="000D7832"/>
    <w:rsid w:val="000D7C36"/>
    <w:rsid w:val="000D7C67"/>
    <w:rsid w:val="000D7D20"/>
    <w:rsid w:val="000D7F72"/>
    <w:rsid w:val="000D7FBA"/>
    <w:rsid w:val="000E06BC"/>
    <w:rsid w:val="000E0ABC"/>
    <w:rsid w:val="000E0F78"/>
    <w:rsid w:val="000E1171"/>
    <w:rsid w:val="000E12A6"/>
    <w:rsid w:val="000E1A47"/>
    <w:rsid w:val="000E245B"/>
    <w:rsid w:val="000E24EA"/>
    <w:rsid w:val="000E2562"/>
    <w:rsid w:val="000E40C0"/>
    <w:rsid w:val="000E52DA"/>
    <w:rsid w:val="000E58CC"/>
    <w:rsid w:val="000E69CC"/>
    <w:rsid w:val="000E6B6F"/>
    <w:rsid w:val="000E7168"/>
    <w:rsid w:val="000E76C7"/>
    <w:rsid w:val="000F04AB"/>
    <w:rsid w:val="000F09DD"/>
    <w:rsid w:val="000F1352"/>
    <w:rsid w:val="000F23B8"/>
    <w:rsid w:val="000F254D"/>
    <w:rsid w:val="000F275E"/>
    <w:rsid w:val="000F392C"/>
    <w:rsid w:val="000F3D88"/>
    <w:rsid w:val="000F4559"/>
    <w:rsid w:val="000F4570"/>
    <w:rsid w:val="000F457D"/>
    <w:rsid w:val="000F4A25"/>
    <w:rsid w:val="000F4E27"/>
    <w:rsid w:val="000F4F40"/>
    <w:rsid w:val="000F6104"/>
    <w:rsid w:val="000F660C"/>
    <w:rsid w:val="000F707B"/>
    <w:rsid w:val="0010100A"/>
    <w:rsid w:val="00101C2A"/>
    <w:rsid w:val="00101CC8"/>
    <w:rsid w:val="00102273"/>
    <w:rsid w:val="00102949"/>
    <w:rsid w:val="00102AA0"/>
    <w:rsid w:val="00102C54"/>
    <w:rsid w:val="00103A35"/>
    <w:rsid w:val="001040A0"/>
    <w:rsid w:val="0010450A"/>
    <w:rsid w:val="00104B40"/>
    <w:rsid w:val="00105548"/>
    <w:rsid w:val="001057A5"/>
    <w:rsid w:val="00105A9C"/>
    <w:rsid w:val="001060FE"/>
    <w:rsid w:val="00106170"/>
    <w:rsid w:val="00106224"/>
    <w:rsid w:val="00106980"/>
    <w:rsid w:val="00106AB1"/>
    <w:rsid w:val="00106B32"/>
    <w:rsid w:val="00106B39"/>
    <w:rsid w:val="00106B87"/>
    <w:rsid w:val="00106BB6"/>
    <w:rsid w:val="00107039"/>
    <w:rsid w:val="001077D4"/>
    <w:rsid w:val="00107E28"/>
    <w:rsid w:val="001102D9"/>
    <w:rsid w:val="00110BFF"/>
    <w:rsid w:val="00110FED"/>
    <w:rsid w:val="001110A8"/>
    <w:rsid w:val="001118BD"/>
    <w:rsid w:val="00111D68"/>
    <w:rsid w:val="001124FE"/>
    <w:rsid w:val="001132F2"/>
    <w:rsid w:val="0011347D"/>
    <w:rsid w:val="00113591"/>
    <w:rsid w:val="001137B8"/>
    <w:rsid w:val="00114D9E"/>
    <w:rsid w:val="0011502A"/>
    <w:rsid w:val="00115F87"/>
    <w:rsid w:val="0011611E"/>
    <w:rsid w:val="00116125"/>
    <w:rsid w:val="00116430"/>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159"/>
    <w:rsid w:val="001234D7"/>
    <w:rsid w:val="00123BB8"/>
    <w:rsid w:val="00124C8B"/>
    <w:rsid w:val="001257E4"/>
    <w:rsid w:val="00125BB2"/>
    <w:rsid w:val="00125EF8"/>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699C"/>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0FF9"/>
    <w:rsid w:val="00161DAE"/>
    <w:rsid w:val="00162F3C"/>
    <w:rsid w:val="0016407E"/>
    <w:rsid w:val="00165BD3"/>
    <w:rsid w:val="00165EFD"/>
    <w:rsid w:val="001670D0"/>
    <w:rsid w:val="001676AA"/>
    <w:rsid w:val="00167705"/>
    <w:rsid w:val="0016799D"/>
    <w:rsid w:val="00167DCD"/>
    <w:rsid w:val="001704DB"/>
    <w:rsid w:val="00170503"/>
    <w:rsid w:val="00170A69"/>
    <w:rsid w:val="001712E6"/>
    <w:rsid w:val="00171561"/>
    <w:rsid w:val="00171A41"/>
    <w:rsid w:val="00171CE1"/>
    <w:rsid w:val="0017209C"/>
    <w:rsid w:val="00172664"/>
    <w:rsid w:val="00172919"/>
    <w:rsid w:val="0017322F"/>
    <w:rsid w:val="001732AD"/>
    <w:rsid w:val="00174429"/>
    <w:rsid w:val="00174F1D"/>
    <w:rsid w:val="0017520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218"/>
    <w:rsid w:val="00191501"/>
    <w:rsid w:val="001929E5"/>
    <w:rsid w:val="00192AEB"/>
    <w:rsid w:val="00192F27"/>
    <w:rsid w:val="00193137"/>
    <w:rsid w:val="001935EF"/>
    <w:rsid w:val="00193B46"/>
    <w:rsid w:val="00193CE6"/>
    <w:rsid w:val="001943E8"/>
    <w:rsid w:val="001945B0"/>
    <w:rsid w:val="00194812"/>
    <w:rsid w:val="00194F4E"/>
    <w:rsid w:val="00195575"/>
    <w:rsid w:val="00196146"/>
    <w:rsid w:val="001964B7"/>
    <w:rsid w:val="0019697F"/>
    <w:rsid w:val="001969B2"/>
    <w:rsid w:val="001A0826"/>
    <w:rsid w:val="001A0F3E"/>
    <w:rsid w:val="001A0F5F"/>
    <w:rsid w:val="001A15DB"/>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6A47"/>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A4E"/>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7696"/>
    <w:rsid w:val="001F03CE"/>
    <w:rsid w:val="001F03F5"/>
    <w:rsid w:val="001F0DE1"/>
    <w:rsid w:val="001F1336"/>
    <w:rsid w:val="001F1DFA"/>
    <w:rsid w:val="001F255D"/>
    <w:rsid w:val="001F2665"/>
    <w:rsid w:val="001F277D"/>
    <w:rsid w:val="001F2AD7"/>
    <w:rsid w:val="001F2B69"/>
    <w:rsid w:val="001F2F00"/>
    <w:rsid w:val="001F33F9"/>
    <w:rsid w:val="001F436E"/>
    <w:rsid w:val="001F502B"/>
    <w:rsid w:val="001F585A"/>
    <w:rsid w:val="001F661E"/>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2CA"/>
    <w:rsid w:val="002077E2"/>
    <w:rsid w:val="00207B0A"/>
    <w:rsid w:val="00207C37"/>
    <w:rsid w:val="00210113"/>
    <w:rsid w:val="00210822"/>
    <w:rsid w:val="002116B7"/>
    <w:rsid w:val="00211953"/>
    <w:rsid w:val="00211C4E"/>
    <w:rsid w:val="00211F83"/>
    <w:rsid w:val="002128D6"/>
    <w:rsid w:val="00212CAC"/>
    <w:rsid w:val="00213A7B"/>
    <w:rsid w:val="00213A7C"/>
    <w:rsid w:val="00213E85"/>
    <w:rsid w:val="0021546B"/>
    <w:rsid w:val="00215A29"/>
    <w:rsid w:val="00215D03"/>
    <w:rsid w:val="00216B63"/>
    <w:rsid w:val="00217046"/>
    <w:rsid w:val="002177AE"/>
    <w:rsid w:val="0022005C"/>
    <w:rsid w:val="00220BF2"/>
    <w:rsid w:val="0022114E"/>
    <w:rsid w:val="00221282"/>
    <w:rsid w:val="00221724"/>
    <w:rsid w:val="0022194C"/>
    <w:rsid w:val="0022257E"/>
    <w:rsid w:val="00222B10"/>
    <w:rsid w:val="00222FFB"/>
    <w:rsid w:val="002236F5"/>
    <w:rsid w:val="002237FA"/>
    <w:rsid w:val="00223A0A"/>
    <w:rsid w:val="00223AC9"/>
    <w:rsid w:val="00225224"/>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37895"/>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D43"/>
    <w:rsid w:val="00252682"/>
    <w:rsid w:val="00252DF9"/>
    <w:rsid w:val="0025329E"/>
    <w:rsid w:val="00254A3F"/>
    <w:rsid w:val="00255333"/>
    <w:rsid w:val="00255458"/>
    <w:rsid w:val="00255690"/>
    <w:rsid w:val="00256940"/>
    <w:rsid w:val="00256AB5"/>
    <w:rsid w:val="00256FFE"/>
    <w:rsid w:val="00257280"/>
    <w:rsid w:val="00260D29"/>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6564"/>
    <w:rsid w:val="00297215"/>
    <w:rsid w:val="0029732D"/>
    <w:rsid w:val="00297473"/>
    <w:rsid w:val="002A12E3"/>
    <w:rsid w:val="002A136F"/>
    <w:rsid w:val="002A1D69"/>
    <w:rsid w:val="002A27FB"/>
    <w:rsid w:val="002A30A3"/>
    <w:rsid w:val="002A318E"/>
    <w:rsid w:val="002A325B"/>
    <w:rsid w:val="002A455C"/>
    <w:rsid w:val="002A4805"/>
    <w:rsid w:val="002A4849"/>
    <w:rsid w:val="002A4B48"/>
    <w:rsid w:val="002A5F83"/>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8AD"/>
    <w:rsid w:val="002C3989"/>
    <w:rsid w:val="002C4262"/>
    <w:rsid w:val="002C45A3"/>
    <w:rsid w:val="002C4DF5"/>
    <w:rsid w:val="002C4FD7"/>
    <w:rsid w:val="002C554D"/>
    <w:rsid w:val="002C5D6C"/>
    <w:rsid w:val="002C64D8"/>
    <w:rsid w:val="002C6F32"/>
    <w:rsid w:val="002C7003"/>
    <w:rsid w:val="002C74FD"/>
    <w:rsid w:val="002C7BAB"/>
    <w:rsid w:val="002D0451"/>
    <w:rsid w:val="002D0829"/>
    <w:rsid w:val="002D1223"/>
    <w:rsid w:val="002D1B6A"/>
    <w:rsid w:val="002D2179"/>
    <w:rsid w:val="002D2408"/>
    <w:rsid w:val="002D2515"/>
    <w:rsid w:val="002D27AF"/>
    <w:rsid w:val="002D355D"/>
    <w:rsid w:val="002D3D6E"/>
    <w:rsid w:val="002D507E"/>
    <w:rsid w:val="002D6043"/>
    <w:rsid w:val="002D6055"/>
    <w:rsid w:val="002D696E"/>
    <w:rsid w:val="002D6AC9"/>
    <w:rsid w:val="002E06DC"/>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0DA"/>
    <w:rsid w:val="002F5A37"/>
    <w:rsid w:val="002F6A7B"/>
    <w:rsid w:val="002F6E29"/>
    <w:rsid w:val="002F7251"/>
    <w:rsid w:val="002F75EB"/>
    <w:rsid w:val="00300358"/>
    <w:rsid w:val="00300C56"/>
    <w:rsid w:val="00300F98"/>
    <w:rsid w:val="00301211"/>
    <w:rsid w:val="0030128B"/>
    <w:rsid w:val="00302D0A"/>
    <w:rsid w:val="00303D0A"/>
    <w:rsid w:val="00304A1B"/>
    <w:rsid w:val="0030594C"/>
    <w:rsid w:val="00306328"/>
    <w:rsid w:val="003066F5"/>
    <w:rsid w:val="00307263"/>
    <w:rsid w:val="003074D0"/>
    <w:rsid w:val="0030768E"/>
    <w:rsid w:val="003076B8"/>
    <w:rsid w:val="00307C6D"/>
    <w:rsid w:val="00307CB9"/>
    <w:rsid w:val="00307EC3"/>
    <w:rsid w:val="0031087E"/>
    <w:rsid w:val="00310B3B"/>
    <w:rsid w:val="00310BFA"/>
    <w:rsid w:val="00311A0D"/>
    <w:rsid w:val="00311A5A"/>
    <w:rsid w:val="00311DEC"/>
    <w:rsid w:val="00312527"/>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399"/>
    <w:rsid w:val="003219CC"/>
    <w:rsid w:val="00321A5A"/>
    <w:rsid w:val="00321AE8"/>
    <w:rsid w:val="00321B83"/>
    <w:rsid w:val="00321EBE"/>
    <w:rsid w:val="003221EB"/>
    <w:rsid w:val="0032229B"/>
    <w:rsid w:val="0032395F"/>
    <w:rsid w:val="00324570"/>
    <w:rsid w:val="00324C40"/>
    <w:rsid w:val="00325265"/>
    <w:rsid w:val="0032556A"/>
    <w:rsid w:val="003257C1"/>
    <w:rsid w:val="00325E36"/>
    <w:rsid w:val="00325E4C"/>
    <w:rsid w:val="00326761"/>
    <w:rsid w:val="003267E1"/>
    <w:rsid w:val="00327D8B"/>
    <w:rsid w:val="003303C3"/>
    <w:rsid w:val="00330407"/>
    <w:rsid w:val="00330BA8"/>
    <w:rsid w:val="00331210"/>
    <w:rsid w:val="0033123E"/>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808"/>
    <w:rsid w:val="00336F09"/>
    <w:rsid w:val="00337561"/>
    <w:rsid w:val="003375FC"/>
    <w:rsid w:val="003405BB"/>
    <w:rsid w:val="00340848"/>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B71"/>
    <w:rsid w:val="00352E46"/>
    <w:rsid w:val="00353087"/>
    <w:rsid w:val="00353D23"/>
    <w:rsid w:val="00354576"/>
    <w:rsid w:val="003546C1"/>
    <w:rsid w:val="003554D6"/>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8CA"/>
    <w:rsid w:val="00364EFF"/>
    <w:rsid w:val="003651CA"/>
    <w:rsid w:val="00365313"/>
    <w:rsid w:val="0036546F"/>
    <w:rsid w:val="0036690B"/>
    <w:rsid w:val="00366EB6"/>
    <w:rsid w:val="0036774E"/>
    <w:rsid w:val="00367CE2"/>
    <w:rsid w:val="00367DB0"/>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A70"/>
    <w:rsid w:val="003A4CB2"/>
    <w:rsid w:val="003A5D3C"/>
    <w:rsid w:val="003A6D00"/>
    <w:rsid w:val="003A704D"/>
    <w:rsid w:val="003A7A80"/>
    <w:rsid w:val="003A7A90"/>
    <w:rsid w:val="003B00FB"/>
    <w:rsid w:val="003B05E4"/>
    <w:rsid w:val="003B0B85"/>
    <w:rsid w:val="003B1243"/>
    <w:rsid w:val="003B1AE0"/>
    <w:rsid w:val="003B1F13"/>
    <w:rsid w:val="003B2127"/>
    <w:rsid w:val="003B2F06"/>
    <w:rsid w:val="003B313D"/>
    <w:rsid w:val="003B3314"/>
    <w:rsid w:val="003B348F"/>
    <w:rsid w:val="003B49F1"/>
    <w:rsid w:val="003B541E"/>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50D"/>
    <w:rsid w:val="003D06AC"/>
    <w:rsid w:val="003D0940"/>
    <w:rsid w:val="003D0D7B"/>
    <w:rsid w:val="003D2359"/>
    <w:rsid w:val="003D242C"/>
    <w:rsid w:val="003D3B0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5B9"/>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3F7C26"/>
    <w:rsid w:val="0040047D"/>
    <w:rsid w:val="004005CE"/>
    <w:rsid w:val="004012B6"/>
    <w:rsid w:val="004017CC"/>
    <w:rsid w:val="00401EA4"/>
    <w:rsid w:val="00402676"/>
    <w:rsid w:val="0040342E"/>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8C3"/>
    <w:rsid w:val="00420ED2"/>
    <w:rsid w:val="0042132A"/>
    <w:rsid w:val="004218AC"/>
    <w:rsid w:val="00422D94"/>
    <w:rsid w:val="0042360D"/>
    <w:rsid w:val="00424E65"/>
    <w:rsid w:val="0042580E"/>
    <w:rsid w:val="004258EF"/>
    <w:rsid w:val="00425968"/>
    <w:rsid w:val="00427085"/>
    <w:rsid w:val="0042717B"/>
    <w:rsid w:val="0042767E"/>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7453"/>
    <w:rsid w:val="0043752E"/>
    <w:rsid w:val="004375AC"/>
    <w:rsid w:val="004377C1"/>
    <w:rsid w:val="004377C7"/>
    <w:rsid w:val="00437ABE"/>
    <w:rsid w:val="0044059F"/>
    <w:rsid w:val="00440FB7"/>
    <w:rsid w:val="00441418"/>
    <w:rsid w:val="00441828"/>
    <w:rsid w:val="00441E1E"/>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7E9"/>
    <w:rsid w:val="00456926"/>
    <w:rsid w:val="00456E31"/>
    <w:rsid w:val="00456F57"/>
    <w:rsid w:val="00457CCF"/>
    <w:rsid w:val="0046140C"/>
    <w:rsid w:val="004618C5"/>
    <w:rsid w:val="00461B6B"/>
    <w:rsid w:val="00461BEE"/>
    <w:rsid w:val="00461F38"/>
    <w:rsid w:val="0046303A"/>
    <w:rsid w:val="004631C3"/>
    <w:rsid w:val="00463275"/>
    <w:rsid w:val="00463CFC"/>
    <w:rsid w:val="0046438D"/>
    <w:rsid w:val="00464682"/>
    <w:rsid w:val="004658B3"/>
    <w:rsid w:val="00465E27"/>
    <w:rsid w:val="00465F76"/>
    <w:rsid w:val="0046627F"/>
    <w:rsid w:val="00466388"/>
    <w:rsid w:val="00466D01"/>
    <w:rsid w:val="00466E6D"/>
    <w:rsid w:val="00467E50"/>
    <w:rsid w:val="0047151C"/>
    <w:rsid w:val="004715DE"/>
    <w:rsid w:val="00471934"/>
    <w:rsid w:val="00471BD0"/>
    <w:rsid w:val="00471E58"/>
    <w:rsid w:val="00471F22"/>
    <w:rsid w:val="00472800"/>
    <w:rsid w:val="00473133"/>
    <w:rsid w:val="00473CB8"/>
    <w:rsid w:val="00474190"/>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0C96"/>
    <w:rsid w:val="00491137"/>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1544"/>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F7B"/>
    <w:rsid w:val="004C272D"/>
    <w:rsid w:val="004C281C"/>
    <w:rsid w:val="004C33DF"/>
    <w:rsid w:val="004C449C"/>
    <w:rsid w:val="004C48A0"/>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B14"/>
    <w:rsid w:val="004D45F6"/>
    <w:rsid w:val="004D4D82"/>
    <w:rsid w:val="004D5CF7"/>
    <w:rsid w:val="004D604E"/>
    <w:rsid w:val="004D6795"/>
    <w:rsid w:val="004D7A31"/>
    <w:rsid w:val="004D7E0D"/>
    <w:rsid w:val="004E14A2"/>
    <w:rsid w:val="004E1F27"/>
    <w:rsid w:val="004E2631"/>
    <w:rsid w:val="004E263D"/>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1FEE"/>
    <w:rsid w:val="004F307F"/>
    <w:rsid w:val="004F31F4"/>
    <w:rsid w:val="004F36FB"/>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4CD"/>
    <w:rsid w:val="00500F1D"/>
    <w:rsid w:val="00501448"/>
    <w:rsid w:val="00502265"/>
    <w:rsid w:val="00502818"/>
    <w:rsid w:val="005053D8"/>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717"/>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832"/>
    <w:rsid w:val="00514E0F"/>
    <w:rsid w:val="00514EB8"/>
    <w:rsid w:val="0051577B"/>
    <w:rsid w:val="00515BB6"/>
    <w:rsid w:val="00516031"/>
    <w:rsid w:val="005167BF"/>
    <w:rsid w:val="00517443"/>
    <w:rsid w:val="00517602"/>
    <w:rsid w:val="00517F25"/>
    <w:rsid w:val="0052021B"/>
    <w:rsid w:val="00520725"/>
    <w:rsid w:val="005207EF"/>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A7D"/>
    <w:rsid w:val="00536A9F"/>
    <w:rsid w:val="00537212"/>
    <w:rsid w:val="00537430"/>
    <w:rsid w:val="005377E4"/>
    <w:rsid w:val="00537DE2"/>
    <w:rsid w:val="0054073F"/>
    <w:rsid w:val="00540832"/>
    <w:rsid w:val="00540CC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1EFC"/>
    <w:rsid w:val="00552351"/>
    <w:rsid w:val="00552758"/>
    <w:rsid w:val="00553089"/>
    <w:rsid w:val="00553FC9"/>
    <w:rsid w:val="00554ABB"/>
    <w:rsid w:val="00555456"/>
    <w:rsid w:val="00555603"/>
    <w:rsid w:val="005556B6"/>
    <w:rsid w:val="00555A34"/>
    <w:rsid w:val="00557373"/>
    <w:rsid w:val="00557696"/>
    <w:rsid w:val="005577EB"/>
    <w:rsid w:val="00557957"/>
    <w:rsid w:val="00557EA8"/>
    <w:rsid w:val="0056013A"/>
    <w:rsid w:val="00560992"/>
    <w:rsid w:val="00560D75"/>
    <w:rsid w:val="00560F7E"/>
    <w:rsid w:val="00561440"/>
    <w:rsid w:val="005614C2"/>
    <w:rsid w:val="00561AF0"/>
    <w:rsid w:val="00561FC6"/>
    <w:rsid w:val="00562199"/>
    <w:rsid w:val="005621BA"/>
    <w:rsid w:val="0056239F"/>
    <w:rsid w:val="005627D0"/>
    <w:rsid w:val="00562A19"/>
    <w:rsid w:val="00562E8A"/>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58"/>
    <w:rsid w:val="00575D83"/>
    <w:rsid w:val="00576300"/>
    <w:rsid w:val="005767F3"/>
    <w:rsid w:val="0057690E"/>
    <w:rsid w:val="005778C5"/>
    <w:rsid w:val="005779D8"/>
    <w:rsid w:val="00577B47"/>
    <w:rsid w:val="00577DCF"/>
    <w:rsid w:val="00577ECC"/>
    <w:rsid w:val="005807BF"/>
    <w:rsid w:val="005812C5"/>
    <w:rsid w:val="00581CD5"/>
    <w:rsid w:val="00582272"/>
    <w:rsid w:val="00582705"/>
    <w:rsid w:val="00582F20"/>
    <w:rsid w:val="00582FE0"/>
    <w:rsid w:val="00583F23"/>
    <w:rsid w:val="005840D7"/>
    <w:rsid w:val="0058436B"/>
    <w:rsid w:val="00584512"/>
    <w:rsid w:val="00584524"/>
    <w:rsid w:val="00584637"/>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292"/>
    <w:rsid w:val="0059572E"/>
    <w:rsid w:val="0059730C"/>
    <w:rsid w:val="00597FDB"/>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02F"/>
    <w:rsid w:val="005A721C"/>
    <w:rsid w:val="005A753D"/>
    <w:rsid w:val="005B09FF"/>
    <w:rsid w:val="005B0B84"/>
    <w:rsid w:val="005B0BBC"/>
    <w:rsid w:val="005B0EF6"/>
    <w:rsid w:val="005B1679"/>
    <w:rsid w:val="005B175A"/>
    <w:rsid w:val="005B18F6"/>
    <w:rsid w:val="005B1A82"/>
    <w:rsid w:val="005B1B73"/>
    <w:rsid w:val="005B237E"/>
    <w:rsid w:val="005B2D00"/>
    <w:rsid w:val="005B31D3"/>
    <w:rsid w:val="005B3420"/>
    <w:rsid w:val="005B553B"/>
    <w:rsid w:val="005B6634"/>
    <w:rsid w:val="005B6EBE"/>
    <w:rsid w:val="005B733E"/>
    <w:rsid w:val="005B7345"/>
    <w:rsid w:val="005B7AF8"/>
    <w:rsid w:val="005B7D8B"/>
    <w:rsid w:val="005C0242"/>
    <w:rsid w:val="005C04F3"/>
    <w:rsid w:val="005C065F"/>
    <w:rsid w:val="005C1C6B"/>
    <w:rsid w:val="005C202B"/>
    <w:rsid w:val="005C22F5"/>
    <w:rsid w:val="005C368A"/>
    <w:rsid w:val="005C387B"/>
    <w:rsid w:val="005C3FA1"/>
    <w:rsid w:val="005C4ED0"/>
    <w:rsid w:val="005C565C"/>
    <w:rsid w:val="005C5BC9"/>
    <w:rsid w:val="005C64F7"/>
    <w:rsid w:val="005C71EF"/>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1693"/>
    <w:rsid w:val="005E20E0"/>
    <w:rsid w:val="005E2209"/>
    <w:rsid w:val="005E25AA"/>
    <w:rsid w:val="005E29B5"/>
    <w:rsid w:val="005E2C9F"/>
    <w:rsid w:val="005E2DED"/>
    <w:rsid w:val="005E35E5"/>
    <w:rsid w:val="005E388C"/>
    <w:rsid w:val="005E4260"/>
    <w:rsid w:val="005E4AF1"/>
    <w:rsid w:val="005E5457"/>
    <w:rsid w:val="005E579A"/>
    <w:rsid w:val="005E57C9"/>
    <w:rsid w:val="005E61D0"/>
    <w:rsid w:val="005E62B0"/>
    <w:rsid w:val="005E69E1"/>
    <w:rsid w:val="005E69EB"/>
    <w:rsid w:val="005F0A72"/>
    <w:rsid w:val="005F13A9"/>
    <w:rsid w:val="005F1423"/>
    <w:rsid w:val="005F1BC2"/>
    <w:rsid w:val="005F1C0A"/>
    <w:rsid w:val="005F20EA"/>
    <w:rsid w:val="005F22F8"/>
    <w:rsid w:val="005F25A0"/>
    <w:rsid w:val="005F3D19"/>
    <w:rsid w:val="005F3EFA"/>
    <w:rsid w:val="005F3FE4"/>
    <w:rsid w:val="005F4475"/>
    <w:rsid w:val="005F4A45"/>
    <w:rsid w:val="005F5298"/>
    <w:rsid w:val="005F616B"/>
    <w:rsid w:val="005F617B"/>
    <w:rsid w:val="005F6237"/>
    <w:rsid w:val="005F7760"/>
    <w:rsid w:val="0060064E"/>
    <w:rsid w:val="0060146E"/>
    <w:rsid w:val="006014C9"/>
    <w:rsid w:val="00601B87"/>
    <w:rsid w:val="006023AC"/>
    <w:rsid w:val="00602546"/>
    <w:rsid w:val="006029F9"/>
    <w:rsid w:val="00603DFA"/>
    <w:rsid w:val="006040F8"/>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7FD"/>
    <w:rsid w:val="00636892"/>
    <w:rsid w:val="0063715C"/>
    <w:rsid w:val="00637184"/>
    <w:rsid w:val="00637200"/>
    <w:rsid w:val="00637376"/>
    <w:rsid w:val="00637449"/>
    <w:rsid w:val="006378BA"/>
    <w:rsid w:val="006379EA"/>
    <w:rsid w:val="006379F0"/>
    <w:rsid w:val="00637E77"/>
    <w:rsid w:val="00637EA3"/>
    <w:rsid w:val="0064041B"/>
    <w:rsid w:val="006409F0"/>
    <w:rsid w:val="00640F5E"/>
    <w:rsid w:val="0064101D"/>
    <w:rsid w:val="006413EB"/>
    <w:rsid w:val="006417A8"/>
    <w:rsid w:val="00641F8A"/>
    <w:rsid w:val="006420A9"/>
    <w:rsid w:val="00642657"/>
    <w:rsid w:val="00643701"/>
    <w:rsid w:val="00644082"/>
    <w:rsid w:val="00644621"/>
    <w:rsid w:val="006456E6"/>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6E79"/>
    <w:rsid w:val="0065744F"/>
    <w:rsid w:val="00657CC6"/>
    <w:rsid w:val="00660001"/>
    <w:rsid w:val="00660799"/>
    <w:rsid w:val="00661410"/>
    <w:rsid w:val="00661A7B"/>
    <w:rsid w:val="006621EF"/>
    <w:rsid w:val="0066298B"/>
    <w:rsid w:val="00662A69"/>
    <w:rsid w:val="0066317E"/>
    <w:rsid w:val="0066337E"/>
    <w:rsid w:val="00663887"/>
    <w:rsid w:val="006639F6"/>
    <w:rsid w:val="00663B67"/>
    <w:rsid w:val="0066525C"/>
    <w:rsid w:val="006653DB"/>
    <w:rsid w:val="00666352"/>
    <w:rsid w:val="006669C9"/>
    <w:rsid w:val="006669F3"/>
    <w:rsid w:val="00666C69"/>
    <w:rsid w:val="00667569"/>
    <w:rsid w:val="00667D35"/>
    <w:rsid w:val="006714B3"/>
    <w:rsid w:val="00671CFC"/>
    <w:rsid w:val="006737C0"/>
    <w:rsid w:val="006739F9"/>
    <w:rsid w:val="00673E8C"/>
    <w:rsid w:val="00674649"/>
    <w:rsid w:val="006747BB"/>
    <w:rsid w:val="00675F97"/>
    <w:rsid w:val="00676245"/>
    <w:rsid w:val="00676CAC"/>
    <w:rsid w:val="00676FB7"/>
    <w:rsid w:val="00677F2F"/>
    <w:rsid w:val="00677FC7"/>
    <w:rsid w:val="00680074"/>
    <w:rsid w:val="0068063F"/>
    <w:rsid w:val="006809CE"/>
    <w:rsid w:val="0068100F"/>
    <w:rsid w:val="006810DA"/>
    <w:rsid w:val="00681131"/>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C35"/>
    <w:rsid w:val="00690E52"/>
    <w:rsid w:val="00690F76"/>
    <w:rsid w:val="006913C4"/>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0F9"/>
    <w:rsid w:val="006B563F"/>
    <w:rsid w:val="006B5931"/>
    <w:rsid w:val="006B60EC"/>
    <w:rsid w:val="006B65F4"/>
    <w:rsid w:val="006B6D9F"/>
    <w:rsid w:val="006B7227"/>
    <w:rsid w:val="006B76FF"/>
    <w:rsid w:val="006B7877"/>
    <w:rsid w:val="006B7D2E"/>
    <w:rsid w:val="006C0439"/>
    <w:rsid w:val="006C070B"/>
    <w:rsid w:val="006C136D"/>
    <w:rsid w:val="006C1CAF"/>
    <w:rsid w:val="006C1E11"/>
    <w:rsid w:val="006C2388"/>
    <w:rsid w:val="006C36AB"/>
    <w:rsid w:val="006C37BD"/>
    <w:rsid w:val="006C3F96"/>
    <w:rsid w:val="006C4906"/>
    <w:rsid w:val="006C57F5"/>
    <w:rsid w:val="006C6C52"/>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0B3"/>
    <w:rsid w:val="006D73BF"/>
    <w:rsid w:val="006D7B4A"/>
    <w:rsid w:val="006D7F61"/>
    <w:rsid w:val="006E0362"/>
    <w:rsid w:val="006E0B4B"/>
    <w:rsid w:val="006E18D7"/>
    <w:rsid w:val="006E1C81"/>
    <w:rsid w:val="006E1E59"/>
    <w:rsid w:val="006E3236"/>
    <w:rsid w:val="006E34A4"/>
    <w:rsid w:val="006E3AFA"/>
    <w:rsid w:val="006E3F76"/>
    <w:rsid w:val="006E40C8"/>
    <w:rsid w:val="006E410B"/>
    <w:rsid w:val="006E46A8"/>
    <w:rsid w:val="006E4D3D"/>
    <w:rsid w:val="006E4F00"/>
    <w:rsid w:val="006E56F6"/>
    <w:rsid w:val="006E597C"/>
    <w:rsid w:val="006E63E3"/>
    <w:rsid w:val="006E649F"/>
    <w:rsid w:val="006E68D2"/>
    <w:rsid w:val="006E744E"/>
    <w:rsid w:val="006F04CC"/>
    <w:rsid w:val="006F07A9"/>
    <w:rsid w:val="006F0EFA"/>
    <w:rsid w:val="006F1131"/>
    <w:rsid w:val="006F12CB"/>
    <w:rsid w:val="006F16C7"/>
    <w:rsid w:val="006F17C4"/>
    <w:rsid w:val="006F1AB7"/>
    <w:rsid w:val="006F1F77"/>
    <w:rsid w:val="006F3304"/>
    <w:rsid w:val="006F3D14"/>
    <w:rsid w:val="006F3DD0"/>
    <w:rsid w:val="006F4438"/>
    <w:rsid w:val="006F477A"/>
    <w:rsid w:val="006F4D10"/>
    <w:rsid w:val="006F4E48"/>
    <w:rsid w:val="006F5273"/>
    <w:rsid w:val="006F58AA"/>
    <w:rsid w:val="006F58DE"/>
    <w:rsid w:val="006F5ABB"/>
    <w:rsid w:val="006F61D9"/>
    <w:rsid w:val="006F657E"/>
    <w:rsid w:val="006F66DA"/>
    <w:rsid w:val="006F69DD"/>
    <w:rsid w:val="006F7426"/>
    <w:rsid w:val="006F7E46"/>
    <w:rsid w:val="00700510"/>
    <w:rsid w:val="0070125B"/>
    <w:rsid w:val="00701E4A"/>
    <w:rsid w:val="00702021"/>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22BE"/>
    <w:rsid w:val="00713570"/>
    <w:rsid w:val="00713618"/>
    <w:rsid w:val="007138A4"/>
    <w:rsid w:val="00713DCD"/>
    <w:rsid w:val="0071420A"/>
    <w:rsid w:val="007145C5"/>
    <w:rsid w:val="0071691D"/>
    <w:rsid w:val="0071694B"/>
    <w:rsid w:val="00716FFC"/>
    <w:rsid w:val="00717428"/>
    <w:rsid w:val="00717907"/>
    <w:rsid w:val="00717EC1"/>
    <w:rsid w:val="00720363"/>
    <w:rsid w:val="00720BAB"/>
    <w:rsid w:val="00721A00"/>
    <w:rsid w:val="00722988"/>
    <w:rsid w:val="00722991"/>
    <w:rsid w:val="00722DE2"/>
    <w:rsid w:val="0072400C"/>
    <w:rsid w:val="007241B5"/>
    <w:rsid w:val="00724EF9"/>
    <w:rsid w:val="007254FF"/>
    <w:rsid w:val="007264CC"/>
    <w:rsid w:val="00726D96"/>
    <w:rsid w:val="00726DEE"/>
    <w:rsid w:val="00726FF1"/>
    <w:rsid w:val="0072712F"/>
    <w:rsid w:val="007276A9"/>
    <w:rsid w:val="00730A5A"/>
    <w:rsid w:val="00730AE7"/>
    <w:rsid w:val="00730DD8"/>
    <w:rsid w:val="00731155"/>
    <w:rsid w:val="007315CC"/>
    <w:rsid w:val="00731B46"/>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200"/>
    <w:rsid w:val="00737341"/>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94E"/>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450"/>
    <w:rsid w:val="00757521"/>
    <w:rsid w:val="007604A9"/>
    <w:rsid w:val="00760A97"/>
    <w:rsid w:val="00761EC6"/>
    <w:rsid w:val="00762015"/>
    <w:rsid w:val="0076301A"/>
    <w:rsid w:val="00763427"/>
    <w:rsid w:val="00763A0C"/>
    <w:rsid w:val="0076413F"/>
    <w:rsid w:val="00764479"/>
    <w:rsid w:val="00764887"/>
    <w:rsid w:val="007649BD"/>
    <w:rsid w:val="0076599D"/>
    <w:rsid w:val="00765E39"/>
    <w:rsid w:val="00765ECE"/>
    <w:rsid w:val="00765F68"/>
    <w:rsid w:val="00766AFE"/>
    <w:rsid w:val="00770512"/>
    <w:rsid w:val="00770596"/>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13"/>
    <w:rsid w:val="007843E1"/>
    <w:rsid w:val="00784773"/>
    <w:rsid w:val="00784EDE"/>
    <w:rsid w:val="0078540A"/>
    <w:rsid w:val="00785468"/>
    <w:rsid w:val="00786009"/>
    <w:rsid w:val="00786ADD"/>
    <w:rsid w:val="00786B6E"/>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3F"/>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1F49"/>
    <w:rsid w:val="007A231F"/>
    <w:rsid w:val="007A2ADC"/>
    <w:rsid w:val="007A3271"/>
    <w:rsid w:val="007A3D10"/>
    <w:rsid w:val="007A40DC"/>
    <w:rsid w:val="007A470D"/>
    <w:rsid w:val="007A4973"/>
    <w:rsid w:val="007A4C00"/>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7160"/>
    <w:rsid w:val="007D7D50"/>
    <w:rsid w:val="007D7F84"/>
    <w:rsid w:val="007E09D1"/>
    <w:rsid w:val="007E0CA8"/>
    <w:rsid w:val="007E0F10"/>
    <w:rsid w:val="007E10AF"/>
    <w:rsid w:val="007E10F1"/>
    <w:rsid w:val="007E13A9"/>
    <w:rsid w:val="007E1A5A"/>
    <w:rsid w:val="007E2248"/>
    <w:rsid w:val="007E2380"/>
    <w:rsid w:val="007E3855"/>
    <w:rsid w:val="007E3B2F"/>
    <w:rsid w:val="007E44C4"/>
    <w:rsid w:val="007E4591"/>
    <w:rsid w:val="007E4C8F"/>
    <w:rsid w:val="007E51C4"/>
    <w:rsid w:val="007E5223"/>
    <w:rsid w:val="007E52DB"/>
    <w:rsid w:val="007E590B"/>
    <w:rsid w:val="007E6877"/>
    <w:rsid w:val="007E7324"/>
    <w:rsid w:val="007E7B68"/>
    <w:rsid w:val="007F043D"/>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7F6F69"/>
    <w:rsid w:val="0080003E"/>
    <w:rsid w:val="008006C9"/>
    <w:rsid w:val="0080104C"/>
    <w:rsid w:val="0080144D"/>
    <w:rsid w:val="00801A48"/>
    <w:rsid w:val="00801FB1"/>
    <w:rsid w:val="00802AB6"/>
    <w:rsid w:val="008032C0"/>
    <w:rsid w:val="00803558"/>
    <w:rsid w:val="00804066"/>
    <w:rsid w:val="00804887"/>
    <w:rsid w:val="00804B8D"/>
    <w:rsid w:val="00804D20"/>
    <w:rsid w:val="00805E4D"/>
    <w:rsid w:val="00806DCE"/>
    <w:rsid w:val="008079E1"/>
    <w:rsid w:val="00810092"/>
    <w:rsid w:val="0081040B"/>
    <w:rsid w:val="00810B15"/>
    <w:rsid w:val="00811532"/>
    <w:rsid w:val="00812199"/>
    <w:rsid w:val="00812441"/>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119B"/>
    <w:rsid w:val="0083187D"/>
    <w:rsid w:val="008327E6"/>
    <w:rsid w:val="00832DAF"/>
    <w:rsid w:val="00833149"/>
    <w:rsid w:val="00833A7E"/>
    <w:rsid w:val="00834D15"/>
    <w:rsid w:val="00834D55"/>
    <w:rsid w:val="008351B9"/>
    <w:rsid w:val="0083572D"/>
    <w:rsid w:val="0083574F"/>
    <w:rsid w:val="00836537"/>
    <w:rsid w:val="0083673A"/>
    <w:rsid w:val="00836DF4"/>
    <w:rsid w:val="0083760E"/>
    <w:rsid w:val="008402B0"/>
    <w:rsid w:val="008403E0"/>
    <w:rsid w:val="00840831"/>
    <w:rsid w:val="00841ED7"/>
    <w:rsid w:val="008421DF"/>
    <w:rsid w:val="00843AE4"/>
    <w:rsid w:val="00844745"/>
    <w:rsid w:val="008448A5"/>
    <w:rsid w:val="008455FA"/>
    <w:rsid w:val="00845603"/>
    <w:rsid w:val="00846681"/>
    <w:rsid w:val="008469D0"/>
    <w:rsid w:val="0085017F"/>
    <w:rsid w:val="0085046D"/>
    <w:rsid w:val="00850BE0"/>
    <w:rsid w:val="00852038"/>
    <w:rsid w:val="00852146"/>
    <w:rsid w:val="008526B9"/>
    <w:rsid w:val="00852852"/>
    <w:rsid w:val="00852B9D"/>
    <w:rsid w:val="00853940"/>
    <w:rsid w:val="00853AF3"/>
    <w:rsid w:val="00853B48"/>
    <w:rsid w:val="00853D3F"/>
    <w:rsid w:val="00854065"/>
    <w:rsid w:val="0085420E"/>
    <w:rsid w:val="00854551"/>
    <w:rsid w:val="00854E4E"/>
    <w:rsid w:val="008556CE"/>
    <w:rsid w:val="008559BA"/>
    <w:rsid w:val="00856F82"/>
    <w:rsid w:val="00857123"/>
    <w:rsid w:val="00857B15"/>
    <w:rsid w:val="00857BDC"/>
    <w:rsid w:val="00860E06"/>
    <w:rsid w:val="00861029"/>
    <w:rsid w:val="008610F3"/>
    <w:rsid w:val="00862AEF"/>
    <w:rsid w:val="00863CC7"/>
    <w:rsid w:val="00864FD2"/>
    <w:rsid w:val="0086568D"/>
    <w:rsid w:val="00865B2F"/>
    <w:rsid w:val="00865DD0"/>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1F9E"/>
    <w:rsid w:val="008721C7"/>
    <w:rsid w:val="00872228"/>
    <w:rsid w:val="00872934"/>
    <w:rsid w:val="00872936"/>
    <w:rsid w:val="00873171"/>
    <w:rsid w:val="008742D5"/>
    <w:rsid w:val="008747EB"/>
    <w:rsid w:val="00874890"/>
    <w:rsid w:val="00876142"/>
    <w:rsid w:val="00876583"/>
    <w:rsid w:val="00876E9E"/>
    <w:rsid w:val="0087760B"/>
    <w:rsid w:val="00877E2E"/>
    <w:rsid w:val="00877F7E"/>
    <w:rsid w:val="008801EF"/>
    <w:rsid w:val="00880857"/>
    <w:rsid w:val="00880973"/>
    <w:rsid w:val="00880A0F"/>
    <w:rsid w:val="00880CAB"/>
    <w:rsid w:val="00880CF4"/>
    <w:rsid w:val="00880D67"/>
    <w:rsid w:val="0088170A"/>
    <w:rsid w:val="00881CAE"/>
    <w:rsid w:val="00881F81"/>
    <w:rsid w:val="0088213C"/>
    <w:rsid w:val="0088298B"/>
    <w:rsid w:val="008836A0"/>
    <w:rsid w:val="00883CC9"/>
    <w:rsid w:val="00883EAA"/>
    <w:rsid w:val="00884932"/>
    <w:rsid w:val="00884E60"/>
    <w:rsid w:val="0088555F"/>
    <w:rsid w:val="00885B3D"/>
    <w:rsid w:val="0088601E"/>
    <w:rsid w:val="00886287"/>
    <w:rsid w:val="00886476"/>
    <w:rsid w:val="0088687C"/>
    <w:rsid w:val="00887051"/>
    <w:rsid w:val="00887351"/>
    <w:rsid w:val="00890017"/>
    <w:rsid w:val="00890DC3"/>
    <w:rsid w:val="008912FA"/>
    <w:rsid w:val="0089164F"/>
    <w:rsid w:val="00891D5A"/>
    <w:rsid w:val="0089201F"/>
    <w:rsid w:val="008923F9"/>
    <w:rsid w:val="008924DB"/>
    <w:rsid w:val="00892948"/>
    <w:rsid w:val="008936FF"/>
    <w:rsid w:val="00894E11"/>
    <w:rsid w:val="00895EC4"/>
    <w:rsid w:val="00895F24"/>
    <w:rsid w:val="00896592"/>
    <w:rsid w:val="0089692E"/>
    <w:rsid w:val="00896942"/>
    <w:rsid w:val="00896BCB"/>
    <w:rsid w:val="00897F03"/>
    <w:rsid w:val="008A01C7"/>
    <w:rsid w:val="008A0286"/>
    <w:rsid w:val="008A08E0"/>
    <w:rsid w:val="008A1750"/>
    <w:rsid w:val="008A1C6D"/>
    <w:rsid w:val="008A2151"/>
    <w:rsid w:val="008A280A"/>
    <w:rsid w:val="008A28DE"/>
    <w:rsid w:val="008A2A5A"/>
    <w:rsid w:val="008A418A"/>
    <w:rsid w:val="008A4AF5"/>
    <w:rsid w:val="008A4CBC"/>
    <w:rsid w:val="008A5037"/>
    <w:rsid w:val="008A51C8"/>
    <w:rsid w:val="008A530D"/>
    <w:rsid w:val="008A7004"/>
    <w:rsid w:val="008A755B"/>
    <w:rsid w:val="008A787B"/>
    <w:rsid w:val="008A7AA2"/>
    <w:rsid w:val="008B0961"/>
    <w:rsid w:val="008B1284"/>
    <w:rsid w:val="008B1BC6"/>
    <w:rsid w:val="008B305C"/>
    <w:rsid w:val="008B44B1"/>
    <w:rsid w:val="008B4797"/>
    <w:rsid w:val="008B595F"/>
    <w:rsid w:val="008B6201"/>
    <w:rsid w:val="008B6262"/>
    <w:rsid w:val="008B640F"/>
    <w:rsid w:val="008B66EF"/>
    <w:rsid w:val="008B684A"/>
    <w:rsid w:val="008B731A"/>
    <w:rsid w:val="008B754C"/>
    <w:rsid w:val="008B75A8"/>
    <w:rsid w:val="008B7878"/>
    <w:rsid w:val="008B7944"/>
    <w:rsid w:val="008B7C40"/>
    <w:rsid w:val="008B7C9C"/>
    <w:rsid w:val="008C1C65"/>
    <w:rsid w:val="008C36C6"/>
    <w:rsid w:val="008C3897"/>
    <w:rsid w:val="008C3F76"/>
    <w:rsid w:val="008C4E84"/>
    <w:rsid w:val="008C508F"/>
    <w:rsid w:val="008C530C"/>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32BD"/>
    <w:rsid w:val="008F3635"/>
    <w:rsid w:val="008F3D0A"/>
    <w:rsid w:val="008F3E30"/>
    <w:rsid w:val="008F3FDB"/>
    <w:rsid w:val="008F4C6F"/>
    <w:rsid w:val="008F4F86"/>
    <w:rsid w:val="008F5F56"/>
    <w:rsid w:val="008F65EE"/>
    <w:rsid w:val="008F6915"/>
    <w:rsid w:val="008F6DD9"/>
    <w:rsid w:val="008F795B"/>
    <w:rsid w:val="008F79B2"/>
    <w:rsid w:val="008F7B95"/>
    <w:rsid w:val="009000F5"/>
    <w:rsid w:val="00900892"/>
    <w:rsid w:val="00900D4C"/>
    <w:rsid w:val="0090114E"/>
    <w:rsid w:val="00901752"/>
    <w:rsid w:val="00901BFE"/>
    <w:rsid w:val="009027ED"/>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3F62"/>
    <w:rsid w:val="009142DD"/>
    <w:rsid w:val="009143C3"/>
    <w:rsid w:val="00914AD1"/>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6279"/>
    <w:rsid w:val="0092637C"/>
    <w:rsid w:val="00926647"/>
    <w:rsid w:val="0092667D"/>
    <w:rsid w:val="009267FC"/>
    <w:rsid w:val="00926A85"/>
    <w:rsid w:val="00927159"/>
    <w:rsid w:val="00927459"/>
    <w:rsid w:val="009275DF"/>
    <w:rsid w:val="00927D54"/>
    <w:rsid w:val="00930DB4"/>
    <w:rsid w:val="0093113A"/>
    <w:rsid w:val="009320A0"/>
    <w:rsid w:val="009327AE"/>
    <w:rsid w:val="00932995"/>
    <w:rsid w:val="00932CC6"/>
    <w:rsid w:val="00933756"/>
    <w:rsid w:val="0093399A"/>
    <w:rsid w:val="009344F4"/>
    <w:rsid w:val="0093483A"/>
    <w:rsid w:val="009348A4"/>
    <w:rsid w:val="00934E3F"/>
    <w:rsid w:val="009350DC"/>
    <w:rsid w:val="009350F7"/>
    <w:rsid w:val="00935534"/>
    <w:rsid w:val="009357AB"/>
    <w:rsid w:val="009361D9"/>
    <w:rsid w:val="00936551"/>
    <w:rsid w:val="009368FE"/>
    <w:rsid w:val="00936964"/>
    <w:rsid w:val="00936E6F"/>
    <w:rsid w:val="0093755D"/>
    <w:rsid w:val="0094085F"/>
    <w:rsid w:val="00941B86"/>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4E9"/>
    <w:rsid w:val="00950C55"/>
    <w:rsid w:val="00951E06"/>
    <w:rsid w:val="00952693"/>
    <w:rsid w:val="00952F44"/>
    <w:rsid w:val="009532EB"/>
    <w:rsid w:val="00953383"/>
    <w:rsid w:val="009536CE"/>
    <w:rsid w:val="00954412"/>
    <w:rsid w:val="009557F4"/>
    <w:rsid w:val="009558AB"/>
    <w:rsid w:val="009558ED"/>
    <w:rsid w:val="00955B2E"/>
    <w:rsid w:val="00955D7D"/>
    <w:rsid w:val="0095689D"/>
    <w:rsid w:val="00956D35"/>
    <w:rsid w:val="00956DA1"/>
    <w:rsid w:val="00957300"/>
    <w:rsid w:val="009579C1"/>
    <w:rsid w:val="00957BDD"/>
    <w:rsid w:val="00957D12"/>
    <w:rsid w:val="009600E3"/>
    <w:rsid w:val="009603AC"/>
    <w:rsid w:val="009609E8"/>
    <w:rsid w:val="00960B3E"/>
    <w:rsid w:val="00960D3A"/>
    <w:rsid w:val="00960E47"/>
    <w:rsid w:val="009612E1"/>
    <w:rsid w:val="00962C91"/>
    <w:rsid w:val="00962D88"/>
    <w:rsid w:val="00962D8F"/>
    <w:rsid w:val="00962DF3"/>
    <w:rsid w:val="00963197"/>
    <w:rsid w:val="00963646"/>
    <w:rsid w:val="00963D52"/>
    <w:rsid w:val="00964223"/>
    <w:rsid w:val="0096469E"/>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587E"/>
    <w:rsid w:val="00985F91"/>
    <w:rsid w:val="0098668E"/>
    <w:rsid w:val="00986A10"/>
    <w:rsid w:val="00990270"/>
    <w:rsid w:val="009909DE"/>
    <w:rsid w:val="00990B49"/>
    <w:rsid w:val="00990E87"/>
    <w:rsid w:val="009913C1"/>
    <w:rsid w:val="00991BDC"/>
    <w:rsid w:val="0099258E"/>
    <w:rsid w:val="009927CE"/>
    <w:rsid w:val="00992C68"/>
    <w:rsid w:val="009932E6"/>
    <w:rsid w:val="00993320"/>
    <w:rsid w:val="009936CD"/>
    <w:rsid w:val="00993A3C"/>
    <w:rsid w:val="00993D79"/>
    <w:rsid w:val="00994A27"/>
    <w:rsid w:val="0099619A"/>
    <w:rsid w:val="009965B0"/>
    <w:rsid w:val="009972B2"/>
    <w:rsid w:val="00997F76"/>
    <w:rsid w:val="009A0187"/>
    <w:rsid w:val="009A0519"/>
    <w:rsid w:val="009A0FB6"/>
    <w:rsid w:val="009A1778"/>
    <w:rsid w:val="009A18A2"/>
    <w:rsid w:val="009A1A02"/>
    <w:rsid w:val="009A1F1B"/>
    <w:rsid w:val="009A334D"/>
    <w:rsid w:val="009A34C5"/>
    <w:rsid w:val="009A5C0A"/>
    <w:rsid w:val="009A669F"/>
    <w:rsid w:val="009A68AD"/>
    <w:rsid w:val="009A719B"/>
    <w:rsid w:val="009B0169"/>
    <w:rsid w:val="009B0203"/>
    <w:rsid w:val="009B0C4B"/>
    <w:rsid w:val="009B109B"/>
    <w:rsid w:val="009B1FE6"/>
    <w:rsid w:val="009B2F99"/>
    <w:rsid w:val="009B2FD4"/>
    <w:rsid w:val="009B3680"/>
    <w:rsid w:val="009B37E3"/>
    <w:rsid w:val="009B3AB3"/>
    <w:rsid w:val="009B3EE3"/>
    <w:rsid w:val="009B4570"/>
    <w:rsid w:val="009B47E4"/>
    <w:rsid w:val="009B4B55"/>
    <w:rsid w:val="009B4D84"/>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D43"/>
    <w:rsid w:val="009C5E67"/>
    <w:rsid w:val="009C65E2"/>
    <w:rsid w:val="009C6DB2"/>
    <w:rsid w:val="009C6EB3"/>
    <w:rsid w:val="009C6F2C"/>
    <w:rsid w:val="009C7047"/>
    <w:rsid w:val="009C77E6"/>
    <w:rsid w:val="009D0556"/>
    <w:rsid w:val="009D0B67"/>
    <w:rsid w:val="009D0F23"/>
    <w:rsid w:val="009D0FE7"/>
    <w:rsid w:val="009D139C"/>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A8D"/>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38B2"/>
    <w:rsid w:val="009F42BD"/>
    <w:rsid w:val="009F461C"/>
    <w:rsid w:val="009F4CCD"/>
    <w:rsid w:val="009F56BD"/>
    <w:rsid w:val="009F6106"/>
    <w:rsid w:val="009F65A0"/>
    <w:rsid w:val="009F66FF"/>
    <w:rsid w:val="009F6935"/>
    <w:rsid w:val="009F761C"/>
    <w:rsid w:val="009F7CCC"/>
    <w:rsid w:val="00A00821"/>
    <w:rsid w:val="00A009C7"/>
    <w:rsid w:val="00A019A2"/>
    <w:rsid w:val="00A01A83"/>
    <w:rsid w:val="00A01F79"/>
    <w:rsid w:val="00A020E7"/>
    <w:rsid w:val="00A02692"/>
    <w:rsid w:val="00A0306D"/>
    <w:rsid w:val="00A04735"/>
    <w:rsid w:val="00A04FDA"/>
    <w:rsid w:val="00A05D38"/>
    <w:rsid w:val="00A05E31"/>
    <w:rsid w:val="00A0620F"/>
    <w:rsid w:val="00A063CD"/>
    <w:rsid w:val="00A065AC"/>
    <w:rsid w:val="00A06AA8"/>
    <w:rsid w:val="00A0734A"/>
    <w:rsid w:val="00A077C2"/>
    <w:rsid w:val="00A07883"/>
    <w:rsid w:val="00A07A4C"/>
    <w:rsid w:val="00A07BC3"/>
    <w:rsid w:val="00A07D26"/>
    <w:rsid w:val="00A07DFA"/>
    <w:rsid w:val="00A1010D"/>
    <w:rsid w:val="00A1031C"/>
    <w:rsid w:val="00A10887"/>
    <w:rsid w:val="00A10E5C"/>
    <w:rsid w:val="00A10E81"/>
    <w:rsid w:val="00A10FB2"/>
    <w:rsid w:val="00A10FDD"/>
    <w:rsid w:val="00A1101B"/>
    <w:rsid w:val="00A117AD"/>
    <w:rsid w:val="00A1252E"/>
    <w:rsid w:val="00A12788"/>
    <w:rsid w:val="00A13906"/>
    <w:rsid w:val="00A139B4"/>
    <w:rsid w:val="00A1487E"/>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A02"/>
    <w:rsid w:val="00A22E9C"/>
    <w:rsid w:val="00A23428"/>
    <w:rsid w:val="00A238E6"/>
    <w:rsid w:val="00A240E8"/>
    <w:rsid w:val="00A244A4"/>
    <w:rsid w:val="00A25299"/>
    <w:rsid w:val="00A257FB"/>
    <w:rsid w:val="00A25A70"/>
    <w:rsid w:val="00A25BAE"/>
    <w:rsid w:val="00A26C95"/>
    <w:rsid w:val="00A26F24"/>
    <w:rsid w:val="00A27FD6"/>
    <w:rsid w:val="00A30212"/>
    <w:rsid w:val="00A302B5"/>
    <w:rsid w:val="00A308FF"/>
    <w:rsid w:val="00A3094C"/>
    <w:rsid w:val="00A30C04"/>
    <w:rsid w:val="00A319E1"/>
    <w:rsid w:val="00A31A25"/>
    <w:rsid w:val="00A323E4"/>
    <w:rsid w:val="00A32F50"/>
    <w:rsid w:val="00A33765"/>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499C"/>
    <w:rsid w:val="00A44F56"/>
    <w:rsid w:val="00A4586B"/>
    <w:rsid w:val="00A458DA"/>
    <w:rsid w:val="00A45E3B"/>
    <w:rsid w:val="00A466F7"/>
    <w:rsid w:val="00A4694B"/>
    <w:rsid w:val="00A4722F"/>
    <w:rsid w:val="00A476CC"/>
    <w:rsid w:val="00A505BD"/>
    <w:rsid w:val="00A506CC"/>
    <w:rsid w:val="00A50C4A"/>
    <w:rsid w:val="00A50C5B"/>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2A5"/>
    <w:rsid w:val="00A62C6A"/>
    <w:rsid w:val="00A64B46"/>
    <w:rsid w:val="00A655D9"/>
    <w:rsid w:val="00A65E4A"/>
    <w:rsid w:val="00A6608C"/>
    <w:rsid w:val="00A6655C"/>
    <w:rsid w:val="00A6679A"/>
    <w:rsid w:val="00A67384"/>
    <w:rsid w:val="00A67704"/>
    <w:rsid w:val="00A678D5"/>
    <w:rsid w:val="00A70318"/>
    <w:rsid w:val="00A70463"/>
    <w:rsid w:val="00A70576"/>
    <w:rsid w:val="00A70EA5"/>
    <w:rsid w:val="00A716C2"/>
    <w:rsid w:val="00A71A1D"/>
    <w:rsid w:val="00A72401"/>
    <w:rsid w:val="00A72A24"/>
    <w:rsid w:val="00A739A5"/>
    <w:rsid w:val="00A73B59"/>
    <w:rsid w:val="00A73C50"/>
    <w:rsid w:val="00A73F8C"/>
    <w:rsid w:val="00A742EF"/>
    <w:rsid w:val="00A7435B"/>
    <w:rsid w:val="00A74637"/>
    <w:rsid w:val="00A7484A"/>
    <w:rsid w:val="00A74FB9"/>
    <w:rsid w:val="00A75432"/>
    <w:rsid w:val="00A7662C"/>
    <w:rsid w:val="00A7666A"/>
    <w:rsid w:val="00A76BD8"/>
    <w:rsid w:val="00A77629"/>
    <w:rsid w:val="00A77664"/>
    <w:rsid w:val="00A77FE5"/>
    <w:rsid w:val="00A808EB"/>
    <w:rsid w:val="00A816B4"/>
    <w:rsid w:val="00A816C8"/>
    <w:rsid w:val="00A818D7"/>
    <w:rsid w:val="00A820D2"/>
    <w:rsid w:val="00A829F8"/>
    <w:rsid w:val="00A82FCA"/>
    <w:rsid w:val="00A83905"/>
    <w:rsid w:val="00A83B5E"/>
    <w:rsid w:val="00A84014"/>
    <w:rsid w:val="00A8427B"/>
    <w:rsid w:val="00A845C5"/>
    <w:rsid w:val="00A85797"/>
    <w:rsid w:val="00A86AA2"/>
    <w:rsid w:val="00A872C6"/>
    <w:rsid w:val="00A8763E"/>
    <w:rsid w:val="00A8791F"/>
    <w:rsid w:val="00A87947"/>
    <w:rsid w:val="00A87DDB"/>
    <w:rsid w:val="00A87F10"/>
    <w:rsid w:val="00A9022F"/>
    <w:rsid w:val="00A9024A"/>
    <w:rsid w:val="00A90805"/>
    <w:rsid w:val="00A908F9"/>
    <w:rsid w:val="00A90BE6"/>
    <w:rsid w:val="00A91871"/>
    <w:rsid w:val="00A91950"/>
    <w:rsid w:val="00A91CEE"/>
    <w:rsid w:val="00A91EAA"/>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15E"/>
    <w:rsid w:val="00AA2612"/>
    <w:rsid w:val="00AA2AE6"/>
    <w:rsid w:val="00AA2B25"/>
    <w:rsid w:val="00AA3996"/>
    <w:rsid w:val="00AA3EA2"/>
    <w:rsid w:val="00AA65BC"/>
    <w:rsid w:val="00AA65C1"/>
    <w:rsid w:val="00AA75BF"/>
    <w:rsid w:val="00AB0091"/>
    <w:rsid w:val="00AB08AC"/>
    <w:rsid w:val="00AB0B35"/>
    <w:rsid w:val="00AB1D36"/>
    <w:rsid w:val="00AB1F4D"/>
    <w:rsid w:val="00AB2157"/>
    <w:rsid w:val="00AB22BA"/>
    <w:rsid w:val="00AB3C5E"/>
    <w:rsid w:val="00AB4509"/>
    <w:rsid w:val="00AB45E3"/>
    <w:rsid w:val="00AB4B7F"/>
    <w:rsid w:val="00AB52B6"/>
    <w:rsid w:val="00AB58D3"/>
    <w:rsid w:val="00AB5B84"/>
    <w:rsid w:val="00AB5FE5"/>
    <w:rsid w:val="00AB6020"/>
    <w:rsid w:val="00AB65FB"/>
    <w:rsid w:val="00AB683F"/>
    <w:rsid w:val="00AB6C5A"/>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85A"/>
    <w:rsid w:val="00AE1EEF"/>
    <w:rsid w:val="00AE23BF"/>
    <w:rsid w:val="00AE2836"/>
    <w:rsid w:val="00AE2E91"/>
    <w:rsid w:val="00AE3048"/>
    <w:rsid w:val="00AE3F68"/>
    <w:rsid w:val="00AE593C"/>
    <w:rsid w:val="00AE59B4"/>
    <w:rsid w:val="00AE5DE3"/>
    <w:rsid w:val="00AE63E6"/>
    <w:rsid w:val="00AE6428"/>
    <w:rsid w:val="00AE6448"/>
    <w:rsid w:val="00AE69FC"/>
    <w:rsid w:val="00AE7297"/>
    <w:rsid w:val="00AE75C1"/>
    <w:rsid w:val="00AE7C3B"/>
    <w:rsid w:val="00AE7D2E"/>
    <w:rsid w:val="00AF00FE"/>
    <w:rsid w:val="00AF0204"/>
    <w:rsid w:val="00AF15AA"/>
    <w:rsid w:val="00AF16B5"/>
    <w:rsid w:val="00AF1747"/>
    <w:rsid w:val="00AF1F56"/>
    <w:rsid w:val="00AF222E"/>
    <w:rsid w:val="00AF22E9"/>
    <w:rsid w:val="00AF246B"/>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0F1D"/>
    <w:rsid w:val="00B01448"/>
    <w:rsid w:val="00B0204C"/>
    <w:rsid w:val="00B02EA9"/>
    <w:rsid w:val="00B03493"/>
    <w:rsid w:val="00B036FE"/>
    <w:rsid w:val="00B04032"/>
    <w:rsid w:val="00B05646"/>
    <w:rsid w:val="00B05D17"/>
    <w:rsid w:val="00B0657B"/>
    <w:rsid w:val="00B067DE"/>
    <w:rsid w:val="00B079FB"/>
    <w:rsid w:val="00B07B61"/>
    <w:rsid w:val="00B07C53"/>
    <w:rsid w:val="00B1032E"/>
    <w:rsid w:val="00B1040D"/>
    <w:rsid w:val="00B109E3"/>
    <w:rsid w:val="00B1105A"/>
    <w:rsid w:val="00B11390"/>
    <w:rsid w:val="00B12064"/>
    <w:rsid w:val="00B122B1"/>
    <w:rsid w:val="00B1265D"/>
    <w:rsid w:val="00B12C7A"/>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2B68"/>
    <w:rsid w:val="00B2368F"/>
    <w:rsid w:val="00B24A47"/>
    <w:rsid w:val="00B2560D"/>
    <w:rsid w:val="00B25923"/>
    <w:rsid w:val="00B25A72"/>
    <w:rsid w:val="00B2649D"/>
    <w:rsid w:val="00B26698"/>
    <w:rsid w:val="00B26A3B"/>
    <w:rsid w:val="00B26D60"/>
    <w:rsid w:val="00B26E38"/>
    <w:rsid w:val="00B26EC3"/>
    <w:rsid w:val="00B27942"/>
    <w:rsid w:val="00B30C3F"/>
    <w:rsid w:val="00B30E5A"/>
    <w:rsid w:val="00B31D9A"/>
    <w:rsid w:val="00B32536"/>
    <w:rsid w:val="00B328D1"/>
    <w:rsid w:val="00B32EF0"/>
    <w:rsid w:val="00B33E1C"/>
    <w:rsid w:val="00B3444B"/>
    <w:rsid w:val="00B34E19"/>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1A0"/>
    <w:rsid w:val="00B448C0"/>
    <w:rsid w:val="00B44E05"/>
    <w:rsid w:val="00B4688E"/>
    <w:rsid w:val="00B46DAB"/>
    <w:rsid w:val="00B47605"/>
    <w:rsid w:val="00B47B55"/>
    <w:rsid w:val="00B50437"/>
    <w:rsid w:val="00B50558"/>
    <w:rsid w:val="00B50BF6"/>
    <w:rsid w:val="00B50F09"/>
    <w:rsid w:val="00B51CED"/>
    <w:rsid w:val="00B51F1F"/>
    <w:rsid w:val="00B520A1"/>
    <w:rsid w:val="00B521BC"/>
    <w:rsid w:val="00B524EC"/>
    <w:rsid w:val="00B525D7"/>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B5F"/>
    <w:rsid w:val="00B61C51"/>
    <w:rsid w:val="00B61D63"/>
    <w:rsid w:val="00B6368E"/>
    <w:rsid w:val="00B63FB4"/>
    <w:rsid w:val="00B64E88"/>
    <w:rsid w:val="00B656F8"/>
    <w:rsid w:val="00B658C9"/>
    <w:rsid w:val="00B65E4D"/>
    <w:rsid w:val="00B66020"/>
    <w:rsid w:val="00B668DD"/>
    <w:rsid w:val="00B66914"/>
    <w:rsid w:val="00B66C0B"/>
    <w:rsid w:val="00B672E4"/>
    <w:rsid w:val="00B674ED"/>
    <w:rsid w:val="00B67659"/>
    <w:rsid w:val="00B7007A"/>
    <w:rsid w:val="00B703A5"/>
    <w:rsid w:val="00B70A16"/>
    <w:rsid w:val="00B70B57"/>
    <w:rsid w:val="00B710C6"/>
    <w:rsid w:val="00B7266C"/>
    <w:rsid w:val="00B72A11"/>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0FC3"/>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46F9"/>
    <w:rsid w:val="00B95408"/>
    <w:rsid w:val="00B95544"/>
    <w:rsid w:val="00B955D9"/>
    <w:rsid w:val="00B95EC8"/>
    <w:rsid w:val="00B96337"/>
    <w:rsid w:val="00B96464"/>
    <w:rsid w:val="00B968C7"/>
    <w:rsid w:val="00B968F1"/>
    <w:rsid w:val="00BA0003"/>
    <w:rsid w:val="00BA032C"/>
    <w:rsid w:val="00BA0CD2"/>
    <w:rsid w:val="00BA0E41"/>
    <w:rsid w:val="00BA132C"/>
    <w:rsid w:val="00BA150E"/>
    <w:rsid w:val="00BA182F"/>
    <w:rsid w:val="00BA1FE0"/>
    <w:rsid w:val="00BA2211"/>
    <w:rsid w:val="00BA2D5C"/>
    <w:rsid w:val="00BA38E5"/>
    <w:rsid w:val="00BA398D"/>
    <w:rsid w:val="00BA475F"/>
    <w:rsid w:val="00BA4E62"/>
    <w:rsid w:val="00BA531F"/>
    <w:rsid w:val="00BA5CFA"/>
    <w:rsid w:val="00BA6073"/>
    <w:rsid w:val="00BA6406"/>
    <w:rsid w:val="00BA6904"/>
    <w:rsid w:val="00BA6F09"/>
    <w:rsid w:val="00BA6FFE"/>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82"/>
    <w:rsid w:val="00BC039B"/>
    <w:rsid w:val="00BC109B"/>
    <w:rsid w:val="00BC1190"/>
    <w:rsid w:val="00BC1E05"/>
    <w:rsid w:val="00BC2D4C"/>
    <w:rsid w:val="00BC3196"/>
    <w:rsid w:val="00BC3298"/>
    <w:rsid w:val="00BC399E"/>
    <w:rsid w:val="00BC3CDE"/>
    <w:rsid w:val="00BC3D40"/>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5D44"/>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705D"/>
    <w:rsid w:val="00BE7250"/>
    <w:rsid w:val="00BE77E6"/>
    <w:rsid w:val="00BE7ACA"/>
    <w:rsid w:val="00BF1253"/>
    <w:rsid w:val="00BF1268"/>
    <w:rsid w:val="00BF12C0"/>
    <w:rsid w:val="00BF220A"/>
    <w:rsid w:val="00BF2501"/>
    <w:rsid w:val="00BF2B61"/>
    <w:rsid w:val="00BF2DE1"/>
    <w:rsid w:val="00BF3481"/>
    <w:rsid w:val="00BF3516"/>
    <w:rsid w:val="00BF39FF"/>
    <w:rsid w:val="00BF3E9B"/>
    <w:rsid w:val="00BF4618"/>
    <w:rsid w:val="00BF4A41"/>
    <w:rsid w:val="00BF50AA"/>
    <w:rsid w:val="00BF5AE4"/>
    <w:rsid w:val="00BF5DD4"/>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1831"/>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D"/>
    <w:rsid w:val="00C30DD0"/>
    <w:rsid w:val="00C32BDF"/>
    <w:rsid w:val="00C32DEE"/>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2A4"/>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3E23"/>
    <w:rsid w:val="00C642C3"/>
    <w:rsid w:val="00C6504C"/>
    <w:rsid w:val="00C65106"/>
    <w:rsid w:val="00C66421"/>
    <w:rsid w:val="00C6710E"/>
    <w:rsid w:val="00C676E2"/>
    <w:rsid w:val="00C70BDB"/>
    <w:rsid w:val="00C70CBA"/>
    <w:rsid w:val="00C70EA8"/>
    <w:rsid w:val="00C71F82"/>
    <w:rsid w:val="00C71FA4"/>
    <w:rsid w:val="00C728A0"/>
    <w:rsid w:val="00C7372E"/>
    <w:rsid w:val="00C741EA"/>
    <w:rsid w:val="00C741F8"/>
    <w:rsid w:val="00C74417"/>
    <w:rsid w:val="00C75167"/>
    <w:rsid w:val="00C7587D"/>
    <w:rsid w:val="00C76735"/>
    <w:rsid w:val="00C77160"/>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4D8"/>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183"/>
    <w:rsid w:val="00CF0669"/>
    <w:rsid w:val="00CF0C4A"/>
    <w:rsid w:val="00CF0D0B"/>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3C66"/>
    <w:rsid w:val="00D03EF5"/>
    <w:rsid w:val="00D04107"/>
    <w:rsid w:val="00D043DF"/>
    <w:rsid w:val="00D048A3"/>
    <w:rsid w:val="00D0493C"/>
    <w:rsid w:val="00D04EB0"/>
    <w:rsid w:val="00D051C9"/>
    <w:rsid w:val="00D052A7"/>
    <w:rsid w:val="00D06671"/>
    <w:rsid w:val="00D06B0F"/>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24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E7E"/>
    <w:rsid w:val="00D24FC3"/>
    <w:rsid w:val="00D25067"/>
    <w:rsid w:val="00D25797"/>
    <w:rsid w:val="00D25DB4"/>
    <w:rsid w:val="00D26460"/>
    <w:rsid w:val="00D26C4A"/>
    <w:rsid w:val="00D274F3"/>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65D1"/>
    <w:rsid w:val="00D5710E"/>
    <w:rsid w:val="00D5758C"/>
    <w:rsid w:val="00D6031A"/>
    <w:rsid w:val="00D609CD"/>
    <w:rsid w:val="00D61879"/>
    <w:rsid w:val="00D62ABE"/>
    <w:rsid w:val="00D62BAC"/>
    <w:rsid w:val="00D62C78"/>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C2B"/>
    <w:rsid w:val="00D92DAA"/>
    <w:rsid w:val="00D93026"/>
    <w:rsid w:val="00D94341"/>
    <w:rsid w:val="00D946AF"/>
    <w:rsid w:val="00D9517E"/>
    <w:rsid w:val="00D951C8"/>
    <w:rsid w:val="00D95267"/>
    <w:rsid w:val="00D96572"/>
    <w:rsid w:val="00D96D39"/>
    <w:rsid w:val="00D96F2C"/>
    <w:rsid w:val="00D97461"/>
    <w:rsid w:val="00D97611"/>
    <w:rsid w:val="00D97E6C"/>
    <w:rsid w:val="00DA0531"/>
    <w:rsid w:val="00DA05C0"/>
    <w:rsid w:val="00DA0F1A"/>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3EF6"/>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0DC"/>
    <w:rsid w:val="00DD213A"/>
    <w:rsid w:val="00DD29AF"/>
    <w:rsid w:val="00DD2A89"/>
    <w:rsid w:val="00DD3075"/>
    <w:rsid w:val="00DD30E8"/>
    <w:rsid w:val="00DD384B"/>
    <w:rsid w:val="00DD3DC8"/>
    <w:rsid w:val="00DD4AA3"/>
    <w:rsid w:val="00DD4BD9"/>
    <w:rsid w:val="00DD5717"/>
    <w:rsid w:val="00DD5A9D"/>
    <w:rsid w:val="00DD5AD7"/>
    <w:rsid w:val="00DD5CC3"/>
    <w:rsid w:val="00DD5F66"/>
    <w:rsid w:val="00DD645A"/>
    <w:rsid w:val="00DD7293"/>
    <w:rsid w:val="00DD7E57"/>
    <w:rsid w:val="00DE06AA"/>
    <w:rsid w:val="00DE0F48"/>
    <w:rsid w:val="00DE0FE1"/>
    <w:rsid w:val="00DE128A"/>
    <w:rsid w:val="00DE157F"/>
    <w:rsid w:val="00DE16BE"/>
    <w:rsid w:val="00DE1B2B"/>
    <w:rsid w:val="00DE22EB"/>
    <w:rsid w:val="00DE296E"/>
    <w:rsid w:val="00DE2DAF"/>
    <w:rsid w:val="00DE315C"/>
    <w:rsid w:val="00DE3228"/>
    <w:rsid w:val="00DE35B6"/>
    <w:rsid w:val="00DE3764"/>
    <w:rsid w:val="00DE4077"/>
    <w:rsid w:val="00DE47EB"/>
    <w:rsid w:val="00DE4C70"/>
    <w:rsid w:val="00DE5404"/>
    <w:rsid w:val="00DE5627"/>
    <w:rsid w:val="00DE568E"/>
    <w:rsid w:val="00DE5913"/>
    <w:rsid w:val="00DE5BB3"/>
    <w:rsid w:val="00DE5FD5"/>
    <w:rsid w:val="00DE65F8"/>
    <w:rsid w:val="00DE6ABA"/>
    <w:rsid w:val="00DE6E02"/>
    <w:rsid w:val="00DE7320"/>
    <w:rsid w:val="00DE77B9"/>
    <w:rsid w:val="00DE78FB"/>
    <w:rsid w:val="00DE7DA2"/>
    <w:rsid w:val="00DE7E51"/>
    <w:rsid w:val="00DF08F7"/>
    <w:rsid w:val="00DF0A2F"/>
    <w:rsid w:val="00DF0B69"/>
    <w:rsid w:val="00DF0B6D"/>
    <w:rsid w:val="00DF161C"/>
    <w:rsid w:val="00DF19E9"/>
    <w:rsid w:val="00DF1A0D"/>
    <w:rsid w:val="00DF1BC8"/>
    <w:rsid w:val="00DF216C"/>
    <w:rsid w:val="00DF317C"/>
    <w:rsid w:val="00DF3736"/>
    <w:rsid w:val="00DF397D"/>
    <w:rsid w:val="00DF447A"/>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60EB"/>
    <w:rsid w:val="00E16269"/>
    <w:rsid w:val="00E166D4"/>
    <w:rsid w:val="00E1679B"/>
    <w:rsid w:val="00E16E67"/>
    <w:rsid w:val="00E17569"/>
    <w:rsid w:val="00E2003E"/>
    <w:rsid w:val="00E20778"/>
    <w:rsid w:val="00E217BC"/>
    <w:rsid w:val="00E21930"/>
    <w:rsid w:val="00E21C5A"/>
    <w:rsid w:val="00E221EE"/>
    <w:rsid w:val="00E22306"/>
    <w:rsid w:val="00E22BC3"/>
    <w:rsid w:val="00E22E38"/>
    <w:rsid w:val="00E23796"/>
    <w:rsid w:val="00E23877"/>
    <w:rsid w:val="00E24AE2"/>
    <w:rsid w:val="00E250C8"/>
    <w:rsid w:val="00E27A26"/>
    <w:rsid w:val="00E27A47"/>
    <w:rsid w:val="00E3014F"/>
    <w:rsid w:val="00E301E2"/>
    <w:rsid w:val="00E30277"/>
    <w:rsid w:val="00E308F2"/>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335"/>
    <w:rsid w:val="00E40A7E"/>
    <w:rsid w:val="00E41110"/>
    <w:rsid w:val="00E4139F"/>
    <w:rsid w:val="00E419BD"/>
    <w:rsid w:val="00E4200D"/>
    <w:rsid w:val="00E42653"/>
    <w:rsid w:val="00E43318"/>
    <w:rsid w:val="00E454EB"/>
    <w:rsid w:val="00E457D6"/>
    <w:rsid w:val="00E46C30"/>
    <w:rsid w:val="00E47A49"/>
    <w:rsid w:val="00E47B64"/>
    <w:rsid w:val="00E47E72"/>
    <w:rsid w:val="00E506DE"/>
    <w:rsid w:val="00E50A54"/>
    <w:rsid w:val="00E50AC2"/>
    <w:rsid w:val="00E50FE4"/>
    <w:rsid w:val="00E51627"/>
    <w:rsid w:val="00E5214C"/>
    <w:rsid w:val="00E5219F"/>
    <w:rsid w:val="00E521A3"/>
    <w:rsid w:val="00E521D6"/>
    <w:rsid w:val="00E525BC"/>
    <w:rsid w:val="00E5281B"/>
    <w:rsid w:val="00E52EE9"/>
    <w:rsid w:val="00E5398D"/>
    <w:rsid w:val="00E53E0A"/>
    <w:rsid w:val="00E54324"/>
    <w:rsid w:val="00E55868"/>
    <w:rsid w:val="00E55EA4"/>
    <w:rsid w:val="00E56D6F"/>
    <w:rsid w:val="00E5749D"/>
    <w:rsid w:val="00E576FE"/>
    <w:rsid w:val="00E57E5A"/>
    <w:rsid w:val="00E60433"/>
    <w:rsid w:val="00E614ED"/>
    <w:rsid w:val="00E615A2"/>
    <w:rsid w:val="00E618B2"/>
    <w:rsid w:val="00E62E91"/>
    <w:rsid w:val="00E6306F"/>
    <w:rsid w:val="00E63550"/>
    <w:rsid w:val="00E6357A"/>
    <w:rsid w:val="00E63686"/>
    <w:rsid w:val="00E639BC"/>
    <w:rsid w:val="00E63A0D"/>
    <w:rsid w:val="00E643C4"/>
    <w:rsid w:val="00E6475E"/>
    <w:rsid w:val="00E650BB"/>
    <w:rsid w:val="00E65B0E"/>
    <w:rsid w:val="00E6614C"/>
    <w:rsid w:val="00E66FD4"/>
    <w:rsid w:val="00E67118"/>
    <w:rsid w:val="00E67283"/>
    <w:rsid w:val="00E70662"/>
    <w:rsid w:val="00E70976"/>
    <w:rsid w:val="00E70C1C"/>
    <w:rsid w:val="00E717EC"/>
    <w:rsid w:val="00E72031"/>
    <w:rsid w:val="00E7272A"/>
    <w:rsid w:val="00E73C15"/>
    <w:rsid w:val="00E7421F"/>
    <w:rsid w:val="00E74241"/>
    <w:rsid w:val="00E74520"/>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968"/>
    <w:rsid w:val="00E83A96"/>
    <w:rsid w:val="00E84016"/>
    <w:rsid w:val="00E84ABE"/>
    <w:rsid w:val="00E84F36"/>
    <w:rsid w:val="00E8549A"/>
    <w:rsid w:val="00E855E1"/>
    <w:rsid w:val="00E856DE"/>
    <w:rsid w:val="00E85CAE"/>
    <w:rsid w:val="00E8625E"/>
    <w:rsid w:val="00E87372"/>
    <w:rsid w:val="00E878B3"/>
    <w:rsid w:val="00E90196"/>
    <w:rsid w:val="00E90736"/>
    <w:rsid w:val="00E90DDD"/>
    <w:rsid w:val="00E913A9"/>
    <w:rsid w:val="00E916A7"/>
    <w:rsid w:val="00E91983"/>
    <w:rsid w:val="00E92041"/>
    <w:rsid w:val="00E92A96"/>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5C1"/>
    <w:rsid w:val="00EB6BA6"/>
    <w:rsid w:val="00EB6E37"/>
    <w:rsid w:val="00EB6EE2"/>
    <w:rsid w:val="00EB70D7"/>
    <w:rsid w:val="00EB7C10"/>
    <w:rsid w:val="00EC1C55"/>
    <w:rsid w:val="00EC2405"/>
    <w:rsid w:val="00EC2C24"/>
    <w:rsid w:val="00EC2DFE"/>
    <w:rsid w:val="00EC3A6A"/>
    <w:rsid w:val="00EC3B3E"/>
    <w:rsid w:val="00EC3BCD"/>
    <w:rsid w:val="00EC3E8B"/>
    <w:rsid w:val="00EC4E49"/>
    <w:rsid w:val="00EC4F36"/>
    <w:rsid w:val="00EC5E0A"/>
    <w:rsid w:val="00EC62B0"/>
    <w:rsid w:val="00EC64A9"/>
    <w:rsid w:val="00EC6957"/>
    <w:rsid w:val="00EC6B92"/>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3C07"/>
    <w:rsid w:val="00ED3E3C"/>
    <w:rsid w:val="00ED40D6"/>
    <w:rsid w:val="00ED578D"/>
    <w:rsid w:val="00ED5A46"/>
    <w:rsid w:val="00ED5F98"/>
    <w:rsid w:val="00ED6761"/>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6C4"/>
    <w:rsid w:val="00EF4DB0"/>
    <w:rsid w:val="00EF68B2"/>
    <w:rsid w:val="00EF73BD"/>
    <w:rsid w:val="00EF75B9"/>
    <w:rsid w:val="00F00755"/>
    <w:rsid w:val="00F00860"/>
    <w:rsid w:val="00F016DB"/>
    <w:rsid w:val="00F019D8"/>
    <w:rsid w:val="00F01F00"/>
    <w:rsid w:val="00F01FC0"/>
    <w:rsid w:val="00F02F5E"/>
    <w:rsid w:val="00F031A4"/>
    <w:rsid w:val="00F032D7"/>
    <w:rsid w:val="00F038DF"/>
    <w:rsid w:val="00F03B78"/>
    <w:rsid w:val="00F03D76"/>
    <w:rsid w:val="00F04EB1"/>
    <w:rsid w:val="00F061FB"/>
    <w:rsid w:val="00F068CE"/>
    <w:rsid w:val="00F06D76"/>
    <w:rsid w:val="00F0708C"/>
    <w:rsid w:val="00F0778F"/>
    <w:rsid w:val="00F10C00"/>
    <w:rsid w:val="00F1174D"/>
    <w:rsid w:val="00F12261"/>
    <w:rsid w:val="00F124AE"/>
    <w:rsid w:val="00F12817"/>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212E"/>
    <w:rsid w:val="00F22C88"/>
    <w:rsid w:val="00F2330E"/>
    <w:rsid w:val="00F243E3"/>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6C5"/>
    <w:rsid w:val="00F40AEB"/>
    <w:rsid w:val="00F40B92"/>
    <w:rsid w:val="00F40DD9"/>
    <w:rsid w:val="00F40DEC"/>
    <w:rsid w:val="00F4106F"/>
    <w:rsid w:val="00F41103"/>
    <w:rsid w:val="00F41414"/>
    <w:rsid w:val="00F415D6"/>
    <w:rsid w:val="00F42525"/>
    <w:rsid w:val="00F434F4"/>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DB5"/>
    <w:rsid w:val="00F635CF"/>
    <w:rsid w:val="00F6392C"/>
    <w:rsid w:val="00F63FD7"/>
    <w:rsid w:val="00F6443A"/>
    <w:rsid w:val="00F646CD"/>
    <w:rsid w:val="00F64A9F"/>
    <w:rsid w:val="00F658EA"/>
    <w:rsid w:val="00F65A65"/>
    <w:rsid w:val="00F65EC8"/>
    <w:rsid w:val="00F66195"/>
    <w:rsid w:val="00F6651A"/>
    <w:rsid w:val="00F6672F"/>
    <w:rsid w:val="00F668EB"/>
    <w:rsid w:val="00F66D9B"/>
    <w:rsid w:val="00F67464"/>
    <w:rsid w:val="00F67C6C"/>
    <w:rsid w:val="00F7038B"/>
    <w:rsid w:val="00F708B6"/>
    <w:rsid w:val="00F70A1C"/>
    <w:rsid w:val="00F71137"/>
    <w:rsid w:val="00F71CC7"/>
    <w:rsid w:val="00F72173"/>
    <w:rsid w:val="00F72E40"/>
    <w:rsid w:val="00F7328C"/>
    <w:rsid w:val="00F73B2E"/>
    <w:rsid w:val="00F745E6"/>
    <w:rsid w:val="00F74662"/>
    <w:rsid w:val="00F74A2C"/>
    <w:rsid w:val="00F74CFE"/>
    <w:rsid w:val="00F74FE6"/>
    <w:rsid w:val="00F751C4"/>
    <w:rsid w:val="00F76246"/>
    <w:rsid w:val="00F766CA"/>
    <w:rsid w:val="00F77010"/>
    <w:rsid w:val="00F771A5"/>
    <w:rsid w:val="00F777F2"/>
    <w:rsid w:val="00F7798E"/>
    <w:rsid w:val="00F77CF8"/>
    <w:rsid w:val="00F80081"/>
    <w:rsid w:val="00F80373"/>
    <w:rsid w:val="00F80387"/>
    <w:rsid w:val="00F80E18"/>
    <w:rsid w:val="00F81A09"/>
    <w:rsid w:val="00F82186"/>
    <w:rsid w:val="00F83807"/>
    <w:rsid w:val="00F83BCD"/>
    <w:rsid w:val="00F84928"/>
    <w:rsid w:val="00F853CC"/>
    <w:rsid w:val="00F85B6B"/>
    <w:rsid w:val="00F86149"/>
    <w:rsid w:val="00F86980"/>
    <w:rsid w:val="00F870C7"/>
    <w:rsid w:val="00F87D53"/>
    <w:rsid w:val="00F9037E"/>
    <w:rsid w:val="00F9141C"/>
    <w:rsid w:val="00F92296"/>
    <w:rsid w:val="00F922E6"/>
    <w:rsid w:val="00F928E5"/>
    <w:rsid w:val="00F92A02"/>
    <w:rsid w:val="00F92A72"/>
    <w:rsid w:val="00F92AD1"/>
    <w:rsid w:val="00F92F22"/>
    <w:rsid w:val="00F93951"/>
    <w:rsid w:val="00F93DC0"/>
    <w:rsid w:val="00F94387"/>
    <w:rsid w:val="00F94C40"/>
    <w:rsid w:val="00F95718"/>
    <w:rsid w:val="00F95747"/>
    <w:rsid w:val="00F9648F"/>
    <w:rsid w:val="00F969A2"/>
    <w:rsid w:val="00F96FC3"/>
    <w:rsid w:val="00F97CF9"/>
    <w:rsid w:val="00FA0491"/>
    <w:rsid w:val="00FA0A86"/>
    <w:rsid w:val="00FA0C54"/>
    <w:rsid w:val="00FA0E80"/>
    <w:rsid w:val="00FA0EEA"/>
    <w:rsid w:val="00FA1DF7"/>
    <w:rsid w:val="00FA231B"/>
    <w:rsid w:val="00FA2975"/>
    <w:rsid w:val="00FA2B5B"/>
    <w:rsid w:val="00FA30C7"/>
    <w:rsid w:val="00FA369F"/>
    <w:rsid w:val="00FA4908"/>
    <w:rsid w:val="00FA4AE3"/>
    <w:rsid w:val="00FA530A"/>
    <w:rsid w:val="00FA5CE0"/>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B75B6"/>
    <w:rsid w:val="00FC003F"/>
    <w:rsid w:val="00FC05E9"/>
    <w:rsid w:val="00FC0E2D"/>
    <w:rsid w:val="00FC1150"/>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DB1"/>
    <w:rsid w:val="00FD5113"/>
    <w:rsid w:val="00FD5381"/>
    <w:rsid w:val="00FD5527"/>
    <w:rsid w:val="00FD57BD"/>
    <w:rsid w:val="00FD591E"/>
    <w:rsid w:val="00FD5B11"/>
    <w:rsid w:val="00FD5F23"/>
    <w:rsid w:val="00FD6108"/>
    <w:rsid w:val="00FD62C6"/>
    <w:rsid w:val="00FD664D"/>
    <w:rsid w:val="00FD6CC4"/>
    <w:rsid w:val="00FD7150"/>
    <w:rsid w:val="00FD720C"/>
    <w:rsid w:val="00FD7371"/>
    <w:rsid w:val="00FE000B"/>
    <w:rsid w:val="00FE04B4"/>
    <w:rsid w:val="00FE0B36"/>
    <w:rsid w:val="00FE124C"/>
    <w:rsid w:val="00FE1A48"/>
    <w:rsid w:val="00FE2013"/>
    <w:rsid w:val="00FE2F7F"/>
    <w:rsid w:val="00FE32CE"/>
    <w:rsid w:val="00FE4A3F"/>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B50"/>
    <w:rsid w:val="00FF6CA6"/>
    <w:rsid w:val="00FF7389"/>
    <w:rsid w:val="00FF73F7"/>
    <w:rsid w:val="010C3DC8"/>
    <w:rsid w:val="012104EA"/>
    <w:rsid w:val="015C73B3"/>
    <w:rsid w:val="01780EF9"/>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13E3458"/>
    <w:rsid w:val="11807745"/>
    <w:rsid w:val="11C101AE"/>
    <w:rsid w:val="11D70154"/>
    <w:rsid w:val="12491BA5"/>
    <w:rsid w:val="12A63CA4"/>
    <w:rsid w:val="131C29E9"/>
    <w:rsid w:val="133C549C"/>
    <w:rsid w:val="140164DF"/>
    <w:rsid w:val="140B4870"/>
    <w:rsid w:val="1457366A"/>
    <w:rsid w:val="146C3610"/>
    <w:rsid w:val="14775224"/>
    <w:rsid w:val="14D05CA0"/>
    <w:rsid w:val="14EE06E6"/>
    <w:rsid w:val="1505030B"/>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255DC"/>
    <w:rsid w:val="19376A6C"/>
    <w:rsid w:val="195E736E"/>
    <w:rsid w:val="198310E9"/>
    <w:rsid w:val="19A10856"/>
    <w:rsid w:val="19BA37C2"/>
    <w:rsid w:val="19DA1AF8"/>
    <w:rsid w:val="1A065E3F"/>
    <w:rsid w:val="1A302507"/>
    <w:rsid w:val="1A4768A9"/>
    <w:rsid w:val="1AB339DA"/>
    <w:rsid w:val="1AE81CB5"/>
    <w:rsid w:val="1B0A43E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B163BB5"/>
    <w:rsid w:val="2B470F10"/>
    <w:rsid w:val="2B5B47F7"/>
    <w:rsid w:val="2B6739C3"/>
    <w:rsid w:val="2BEB6B74"/>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5022E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103EE5"/>
    <w:rsid w:val="3730221B"/>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4C4D97"/>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AC5DB7"/>
    <w:rsid w:val="3FB60916"/>
    <w:rsid w:val="3FCD4CB7"/>
    <w:rsid w:val="400D1324"/>
    <w:rsid w:val="40A16606"/>
    <w:rsid w:val="40FD2E2B"/>
    <w:rsid w:val="41831B26"/>
    <w:rsid w:val="41BB1F13"/>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0E616D"/>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322ED7"/>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772781"/>
    <w:rsid w:val="53840791"/>
    <w:rsid w:val="53936BC5"/>
    <w:rsid w:val="53DA11A0"/>
    <w:rsid w:val="53E74AC2"/>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6B0C38"/>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A13A8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707BF4"/>
    <w:rsid w:val="73C64D7F"/>
    <w:rsid w:val="741D578E"/>
    <w:rsid w:val="74491AD5"/>
    <w:rsid w:val="745F6056"/>
    <w:rsid w:val="748B5DC2"/>
    <w:rsid w:val="74E267D1"/>
    <w:rsid w:val="75011284"/>
    <w:rsid w:val="750C2E98"/>
    <w:rsid w:val="754E280E"/>
    <w:rsid w:val="754E3901"/>
    <w:rsid w:val="75787FC9"/>
    <w:rsid w:val="759926FC"/>
    <w:rsid w:val="75AF26A1"/>
    <w:rsid w:val="75DB69E8"/>
    <w:rsid w:val="75F1698E"/>
    <w:rsid w:val="7647739D"/>
    <w:rsid w:val="76D46C00"/>
    <w:rsid w:val="774B5945"/>
    <w:rsid w:val="77B204A9"/>
    <w:rsid w:val="77CE269B"/>
    <w:rsid w:val="782530AA"/>
    <w:rsid w:val="784F7772"/>
    <w:rsid w:val="785173F2"/>
    <w:rsid w:val="785C244C"/>
    <w:rsid w:val="787C3AB9"/>
    <w:rsid w:val="78F227FE"/>
    <w:rsid w:val="78FF080F"/>
    <w:rsid w:val="79415644"/>
    <w:rsid w:val="798A3C76"/>
    <w:rsid w:val="79C11BD2"/>
    <w:rsid w:val="7A2D6D03"/>
    <w:rsid w:val="7A795AFD"/>
    <w:rsid w:val="7A9B3AB3"/>
    <w:rsid w:val="7AC5017B"/>
    <w:rsid w:val="7AF244C2"/>
    <w:rsid w:val="7AFA2663"/>
    <w:rsid w:val="7B7D7F7C"/>
    <w:rsid w:val="7BAF6ECE"/>
    <w:rsid w:val="7BCA1FA7"/>
    <w:rsid w:val="7C4250E9"/>
    <w:rsid w:val="7C6E1430"/>
    <w:rsid w:val="7C8313D5"/>
    <w:rsid w:val="7C8C3D6F"/>
    <w:rsid w:val="7C985AF7"/>
    <w:rsid w:val="7CB74D32"/>
    <w:rsid w:val="7CCF01D0"/>
    <w:rsid w:val="7CEF6506"/>
    <w:rsid w:val="7CFA011A"/>
    <w:rsid w:val="7D306F70"/>
    <w:rsid w:val="7D684ECB"/>
    <w:rsid w:val="7DBE58DA"/>
    <w:rsid w:val="7E4C42E5"/>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14:docId w14:val="1DE620C8"/>
  <w15:docId w15:val="{8DB647DE-8270-44D6-9866-847F7A3BFB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E52DA"/>
    <w:pPr>
      <w:widowControl w:val="0"/>
      <w:jc w:val="both"/>
    </w:pPr>
    <w:rPr>
      <w:kern w:val="2"/>
      <w:sz w:val="21"/>
      <w:szCs w:val="24"/>
    </w:rPr>
  </w:style>
  <w:style w:type="paragraph" w:styleId="1">
    <w:name w:val="heading 1"/>
    <w:basedOn w:val="a"/>
    <w:next w:val="a"/>
    <w:link w:val="10"/>
    <w:uiPriority w:val="9"/>
    <w:qFormat/>
    <w:rsid w:val="000E52DA"/>
    <w:pPr>
      <w:keepNext/>
      <w:keepLines/>
      <w:spacing w:before="340" w:after="330" w:line="578" w:lineRule="auto"/>
      <w:outlineLvl w:val="0"/>
    </w:pPr>
    <w:rPr>
      <w:b/>
      <w:bCs/>
      <w:kern w:val="44"/>
      <w:sz w:val="44"/>
      <w:szCs w:val="44"/>
    </w:rPr>
  </w:style>
  <w:style w:type="paragraph" w:styleId="20">
    <w:name w:val="heading 2"/>
    <w:basedOn w:val="a"/>
    <w:next w:val="a"/>
    <w:qFormat/>
    <w:rsid w:val="000E52DA"/>
    <w:pPr>
      <w:autoSpaceDE w:val="0"/>
      <w:autoSpaceDN w:val="0"/>
      <w:adjustRightInd w:val="0"/>
      <w:jc w:val="left"/>
      <w:outlineLvl w:val="1"/>
    </w:pPr>
    <w:rPr>
      <w:rFonts w:ascii="宋体"/>
      <w:kern w:val="0"/>
      <w:sz w:val="20"/>
    </w:rPr>
  </w:style>
  <w:style w:type="paragraph" w:styleId="3">
    <w:name w:val="heading 3"/>
    <w:basedOn w:val="a"/>
    <w:next w:val="a"/>
    <w:qFormat/>
    <w:rsid w:val="000E52DA"/>
    <w:pPr>
      <w:spacing w:before="120" w:after="120" w:line="360" w:lineRule="auto"/>
      <w:outlineLvl w:val="2"/>
    </w:pPr>
    <w:rPr>
      <w:rFonts w:ascii="宋体"/>
      <w:b/>
      <w:szCs w:val="20"/>
    </w:rPr>
  </w:style>
  <w:style w:type="paragraph" w:styleId="4">
    <w:name w:val="heading 4"/>
    <w:basedOn w:val="a"/>
    <w:next w:val="a"/>
    <w:qFormat/>
    <w:rsid w:val="000E52DA"/>
    <w:pPr>
      <w:keepNext/>
      <w:keepLines/>
      <w:spacing w:line="360" w:lineRule="auto"/>
      <w:outlineLvl w:val="3"/>
    </w:pPr>
    <w:rPr>
      <w:rFonts w:ascii="Arial" w:hAnsi="Arial"/>
      <w:szCs w:val="20"/>
    </w:rPr>
  </w:style>
  <w:style w:type="paragraph" w:styleId="5">
    <w:name w:val="heading 5"/>
    <w:basedOn w:val="a"/>
    <w:next w:val="a"/>
    <w:qFormat/>
    <w:rsid w:val="000E52DA"/>
    <w:pPr>
      <w:keepNext/>
      <w:keepLines/>
      <w:adjustRightInd w:val="0"/>
      <w:snapToGrid w:val="0"/>
      <w:spacing w:line="360" w:lineRule="auto"/>
      <w:outlineLvl w:val="4"/>
    </w:pPr>
    <w:rPr>
      <w:szCs w:val="20"/>
    </w:rPr>
  </w:style>
  <w:style w:type="paragraph" w:styleId="6">
    <w:name w:val="heading 6"/>
    <w:basedOn w:val="a"/>
    <w:next w:val="a"/>
    <w:qFormat/>
    <w:rsid w:val="000E52DA"/>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rsid w:val="000E52DA"/>
    <w:pPr>
      <w:keepNext/>
      <w:keepLines/>
      <w:spacing w:before="240" w:after="64" w:line="320" w:lineRule="auto"/>
      <w:outlineLvl w:val="6"/>
    </w:pPr>
    <w:rPr>
      <w:b/>
      <w:sz w:val="24"/>
      <w:szCs w:val="20"/>
    </w:rPr>
  </w:style>
  <w:style w:type="paragraph" w:styleId="8">
    <w:name w:val="heading 8"/>
    <w:basedOn w:val="a"/>
    <w:next w:val="a"/>
    <w:qFormat/>
    <w:rsid w:val="000E52DA"/>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rsid w:val="000E52DA"/>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sid w:val="000E52DA"/>
    <w:rPr>
      <w:b/>
      <w:bCs/>
    </w:rPr>
  </w:style>
  <w:style w:type="paragraph" w:styleId="a4">
    <w:name w:val="annotation text"/>
    <w:basedOn w:val="a"/>
    <w:link w:val="a5"/>
    <w:uiPriority w:val="99"/>
    <w:qFormat/>
    <w:rsid w:val="000E52DA"/>
    <w:pPr>
      <w:jc w:val="left"/>
    </w:pPr>
  </w:style>
  <w:style w:type="paragraph" w:styleId="a6">
    <w:name w:val="Normal Indent"/>
    <w:basedOn w:val="a"/>
    <w:qFormat/>
    <w:rsid w:val="000E52DA"/>
    <w:pPr>
      <w:ind w:firstLine="420"/>
    </w:pPr>
    <w:rPr>
      <w:szCs w:val="20"/>
    </w:rPr>
  </w:style>
  <w:style w:type="paragraph" w:styleId="a7">
    <w:name w:val="Document Map"/>
    <w:basedOn w:val="a"/>
    <w:semiHidden/>
    <w:qFormat/>
    <w:rsid w:val="000E52DA"/>
    <w:pPr>
      <w:shd w:val="clear" w:color="auto" w:fill="000080"/>
    </w:pPr>
  </w:style>
  <w:style w:type="paragraph" w:styleId="a8">
    <w:name w:val="Body Text"/>
    <w:basedOn w:val="a"/>
    <w:qFormat/>
    <w:rsid w:val="000E52DA"/>
    <w:pPr>
      <w:spacing w:after="120"/>
    </w:pPr>
  </w:style>
  <w:style w:type="paragraph" w:styleId="a9">
    <w:name w:val="Body Text Indent"/>
    <w:basedOn w:val="a"/>
    <w:link w:val="aa"/>
    <w:qFormat/>
    <w:rsid w:val="000E52DA"/>
    <w:pPr>
      <w:spacing w:after="120"/>
      <w:ind w:leftChars="200" w:left="420"/>
    </w:pPr>
  </w:style>
  <w:style w:type="paragraph" w:styleId="ab">
    <w:name w:val="Plain Text"/>
    <w:basedOn w:val="a"/>
    <w:link w:val="ac"/>
    <w:qFormat/>
    <w:rsid w:val="000E52DA"/>
    <w:rPr>
      <w:rFonts w:ascii="宋体" w:hAnsi="Courier New"/>
      <w:szCs w:val="21"/>
    </w:rPr>
  </w:style>
  <w:style w:type="paragraph" w:styleId="21">
    <w:name w:val="Body Text Indent 2"/>
    <w:basedOn w:val="a"/>
    <w:qFormat/>
    <w:rsid w:val="000E52DA"/>
    <w:pPr>
      <w:autoSpaceDE w:val="0"/>
      <w:autoSpaceDN w:val="0"/>
      <w:adjustRightInd w:val="0"/>
      <w:spacing w:line="360" w:lineRule="auto"/>
      <w:ind w:firstLineChars="200" w:firstLine="420"/>
    </w:pPr>
    <w:rPr>
      <w:rFonts w:ascii="宋体" w:hAnsi="宋体"/>
      <w:color w:val="0000FF"/>
    </w:rPr>
  </w:style>
  <w:style w:type="paragraph" w:styleId="ad">
    <w:name w:val="Balloon Text"/>
    <w:basedOn w:val="a"/>
    <w:semiHidden/>
    <w:qFormat/>
    <w:rsid w:val="000E52DA"/>
    <w:rPr>
      <w:sz w:val="18"/>
      <w:szCs w:val="18"/>
    </w:rPr>
  </w:style>
  <w:style w:type="paragraph" w:styleId="ae">
    <w:name w:val="footer"/>
    <w:basedOn w:val="a"/>
    <w:link w:val="af"/>
    <w:uiPriority w:val="99"/>
    <w:qFormat/>
    <w:rsid w:val="000E52DA"/>
    <w:pPr>
      <w:tabs>
        <w:tab w:val="center" w:pos="4153"/>
        <w:tab w:val="right" w:pos="8306"/>
      </w:tabs>
      <w:snapToGrid w:val="0"/>
      <w:jc w:val="left"/>
    </w:pPr>
    <w:rPr>
      <w:sz w:val="18"/>
      <w:szCs w:val="18"/>
    </w:rPr>
  </w:style>
  <w:style w:type="paragraph" w:styleId="af0">
    <w:name w:val="header"/>
    <w:basedOn w:val="a"/>
    <w:qFormat/>
    <w:rsid w:val="000E52DA"/>
    <w:pPr>
      <w:pBdr>
        <w:bottom w:val="single" w:sz="6" w:space="1" w:color="auto"/>
      </w:pBdr>
      <w:tabs>
        <w:tab w:val="center" w:pos="4153"/>
        <w:tab w:val="right" w:pos="8306"/>
      </w:tabs>
      <w:snapToGrid w:val="0"/>
      <w:jc w:val="center"/>
    </w:pPr>
    <w:rPr>
      <w:sz w:val="18"/>
      <w:szCs w:val="18"/>
    </w:rPr>
  </w:style>
  <w:style w:type="paragraph" w:styleId="11">
    <w:name w:val="toc 1"/>
    <w:basedOn w:val="a"/>
    <w:next w:val="a"/>
    <w:uiPriority w:val="39"/>
    <w:qFormat/>
    <w:rsid w:val="000E52DA"/>
    <w:pPr>
      <w:tabs>
        <w:tab w:val="right" w:leader="dot" w:pos="8630"/>
      </w:tabs>
      <w:spacing w:before="120" w:after="120" w:line="360" w:lineRule="auto"/>
      <w:jc w:val="left"/>
    </w:pPr>
    <w:rPr>
      <w:b/>
      <w:bCs/>
      <w:caps/>
      <w:sz w:val="20"/>
      <w:szCs w:val="20"/>
    </w:rPr>
  </w:style>
  <w:style w:type="paragraph" w:styleId="30">
    <w:name w:val="Body Text Indent 3"/>
    <w:basedOn w:val="a"/>
    <w:qFormat/>
    <w:rsid w:val="000E52DA"/>
    <w:pPr>
      <w:spacing w:after="120"/>
      <w:ind w:leftChars="200" w:left="420"/>
    </w:pPr>
    <w:rPr>
      <w:sz w:val="16"/>
      <w:szCs w:val="16"/>
    </w:rPr>
  </w:style>
  <w:style w:type="paragraph" w:styleId="22">
    <w:name w:val="Body Text 2"/>
    <w:basedOn w:val="a"/>
    <w:qFormat/>
    <w:rsid w:val="000E52DA"/>
    <w:pPr>
      <w:spacing w:after="120" w:line="480" w:lineRule="auto"/>
    </w:pPr>
  </w:style>
  <w:style w:type="paragraph" w:styleId="af1">
    <w:name w:val="Normal (Web)"/>
    <w:basedOn w:val="a"/>
    <w:uiPriority w:val="99"/>
    <w:qFormat/>
    <w:rsid w:val="000E52DA"/>
    <w:pPr>
      <w:widowControl/>
      <w:spacing w:before="100" w:beforeAutospacing="1" w:after="100" w:afterAutospacing="1"/>
      <w:jc w:val="left"/>
    </w:pPr>
    <w:rPr>
      <w:rFonts w:ascii="宋体" w:hAnsi="宋体" w:cs="宋体"/>
      <w:kern w:val="0"/>
      <w:sz w:val="24"/>
    </w:rPr>
  </w:style>
  <w:style w:type="paragraph" w:styleId="af2">
    <w:name w:val="Title"/>
    <w:basedOn w:val="a"/>
    <w:qFormat/>
    <w:rsid w:val="000E52DA"/>
    <w:pPr>
      <w:spacing w:before="240" w:after="60"/>
      <w:jc w:val="center"/>
      <w:outlineLvl w:val="0"/>
    </w:pPr>
    <w:rPr>
      <w:rFonts w:ascii="Arial" w:hAnsi="Arial" w:cs="Arial"/>
      <w:b/>
      <w:bCs/>
      <w:sz w:val="32"/>
      <w:szCs w:val="32"/>
    </w:rPr>
  </w:style>
  <w:style w:type="character" w:styleId="af3">
    <w:name w:val="Strong"/>
    <w:basedOn w:val="a0"/>
    <w:uiPriority w:val="22"/>
    <w:qFormat/>
    <w:rsid w:val="000E52DA"/>
    <w:rPr>
      <w:b/>
      <w:bCs/>
    </w:rPr>
  </w:style>
  <w:style w:type="character" w:styleId="af4">
    <w:name w:val="page number"/>
    <w:basedOn w:val="a0"/>
    <w:qFormat/>
    <w:rsid w:val="000E52DA"/>
  </w:style>
  <w:style w:type="character" w:styleId="af5">
    <w:name w:val="FollowedHyperlink"/>
    <w:qFormat/>
    <w:rsid w:val="000E52DA"/>
    <w:rPr>
      <w:color w:val="800080"/>
      <w:u w:val="single"/>
    </w:rPr>
  </w:style>
  <w:style w:type="character" w:styleId="af6">
    <w:name w:val="Hyperlink"/>
    <w:uiPriority w:val="99"/>
    <w:qFormat/>
    <w:rsid w:val="000E52DA"/>
    <w:rPr>
      <w:color w:val="0000FF"/>
      <w:u w:val="single"/>
    </w:rPr>
  </w:style>
  <w:style w:type="character" w:styleId="af7">
    <w:name w:val="annotation reference"/>
    <w:uiPriority w:val="99"/>
    <w:qFormat/>
    <w:rsid w:val="000E52DA"/>
    <w:rPr>
      <w:sz w:val="21"/>
      <w:szCs w:val="21"/>
    </w:rPr>
  </w:style>
  <w:style w:type="table" w:styleId="af8">
    <w:name w:val="Table Grid"/>
    <w:basedOn w:val="a1"/>
    <w:qFormat/>
    <w:rsid w:val="000E5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rsid w:val="000E52DA"/>
  </w:style>
  <w:style w:type="character" w:customStyle="1" w:styleId="10">
    <w:name w:val="标题 1 字符"/>
    <w:link w:val="1"/>
    <w:uiPriority w:val="9"/>
    <w:qFormat/>
    <w:rsid w:val="000E52DA"/>
    <w:rPr>
      <w:rFonts w:eastAsia="宋体"/>
      <w:b/>
      <w:bCs/>
      <w:kern w:val="44"/>
      <w:sz w:val="44"/>
      <w:szCs w:val="44"/>
      <w:lang w:val="en-US" w:eastAsia="zh-CN" w:bidi="ar-SA"/>
    </w:rPr>
  </w:style>
  <w:style w:type="character" w:customStyle="1" w:styleId="tt11">
    <w:name w:val="tt11"/>
    <w:qFormat/>
    <w:rsid w:val="000E52DA"/>
    <w:rPr>
      <w:sz w:val="22"/>
      <w:szCs w:val="22"/>
    </w:rPr>
  </w:style>
  <w:style w:type="character" w:customStyle="1" w:styleId="a5">
    <w:name w:val="批注文字 字符"/>
    <w:link w:val="a4"/>
    <w:uiPriority w:val="99"/>
    <w:qFormat/>
    <w:rsid w:val="000E52DA"/>
    <w:rPr>
      <w:kern w:val="2"/>
      <w:sz w:val="21"/>
      <w:szCs w:val="24"/>
    </w:rPr>
  </w:style>
  <w:style w:type="character" w:customStyle="1" w:styleId="big1">
    <w:name w:val="big1"/>
    <w:qFormat/>
    <w:rsid w:val="000E52DA"/>
    <w:rPr>
      <w:sz w:val="22"/>
      <w:szCs w:val="22"/>
    </w:rPr>
  </w:style>
  <w:style w:type="character" w:customStyle="1" w:styleId="unnamed11">
    <w:name w:val="unnamed11"/>
    <w:qFormat/>
    <w:rsid w:val="000E52DA"/>
    <w:rPr>
      <w:rFonts w:ascii="宋体" w:eastAsia="宋体" w:hAnsi="宋体" w:hint="eastAsia"/>
      <w:sz w:val="18"/>
      <w:szCs w:val="18"/>
    </w:rPr>
  </w:style>
  <w:style w:type="character" w:customStyle="1" w:styleId="aa">
    <w:name w:val="正文文本缩进 字符"/>
    <w:link w:val="a9"/>
    <w:qFormat/>
    <w:rsid w:val="000E52DA"/>
    <w:rPr>
      <w:kern w:val="2"/>
      <w:sz w:val="21"/>
      <w:szCs w:val="24"/>
    </w:rPr>
  </w:style>
  <w:style w:type="character" w:customStyle="1" w:styleId="af">
    <w:name w:val="页脚 字符"/>
    <w:link w:val="ae"/>
    <w:uiPriority w:val="99"/>
    <w:qFormat/>
    <w:rsid w:val="000E52DA"/>
    <w:rPr>
      <w:kern w:val="2"/>
      <w:sz w:val="18"/>
      <w:szCs w:val="18"/>
    </w:rPr>
  </w:style>
  <w:style w:type="paragraph" w:customStyle="1" w:styleId="Level3">
    <w:name w:val="Level 3"/>
    <w:basedOn w:val="a"/>
    <w:qFormat/>
    <w:rsid w:val="000E52DA"/>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rsid w:val="000E52DA"/>
    <w:pPr>
      <w:widowControl/>
      <w:jc w:val="left"/>
    </w:pPr>
    <w:rPr>
      <w:rFonts w:ascii="Tahoma" w:hAnsi="Tahoma"/>
      <w:color w:val="000000"/>
      <w:kern w:val="0"/>
      <w:sz w:val="24"/>
      <w:szCs w:val="20"/>
    </w:rPr>
  </w:style>
  <w:style w:type="paragraph" w:customStyle="1" w:styleId="Char2">
    <w:name w:val="Char2"/>
    <w:basedOn w:val="a"/>
    <w:qFormat/>
    <w:rsid w:val="000E52DA"/>
  </w:style>
  <w:style w:type="paragraph" w:customStyle="1" w:styleId="Level5">
    <w:name w:val="Level 5"/>
    <w:basedOn w:val="a"/>
    <w:qFormat/>
    <w:rsid w:val="000E52DA"/>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rsid w:val="000E52DA"/>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rsid w:val="000E52DA"/>
    <w:pPr>
      <w:tabs>
        <w:tab w:val="left" w:pos="360"/>
      </w:tabs>
    </w:pPr>
    <w:rPr>
      <w:sz w:val="24"/>
    </w:rPr>
  </w:style>
  <w:style w:type="paragraph" w:customStyle="1" w:styleId="12">
    <w:name w:val="修订1"/>
    <w:uiPriority w:val="99"/>
    <w:semiHidden/>
    <w:qFormat/>
    <w:rsid w:val="000E52DA"/>
    <w:rPr>
      <w:kern w:val="2"/>
      <w:sz w:val="21"/>
      <w:szCs w:val="24"/>
    </w:rPr>
  </w:style>
  <w:style w:type="paragraph" w:customStyle="1" w:styleId="af9">
    <w:name w:val="正文所"/>
    <w:basedOn w:val="a"/>
    <w:qFormat/>
    <w:rsid w:val="000E52DA"/>
    <w:pPr>
      <w:spacing w:line="360" w:lineRule="auto"/>
      <w:ind w:firstLineChars="200" w:firstLine="420"/>
    </w:pPr>
    <w:rPr>
      <w:rFonts w:ascii="宋体"/>
      <w:szCs w:val="20"/>
    </w:rPr>
  </w:style>
  <w:style w:type="paragraph" w:customStyle="1" w:styleId="Level9">
    <w:name w:val="Level 9"/>
    <w:basedOn w:val="a"/>
    <w:qFormat/>
    <w:rsid w:val="000E52DA"/>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rsid w:val="000E52DA"/>
    <w:pPr>
      <w:spacing w:line="360" w:lineRule="auto"/>
    </w:pPr>
    <w:rPr>
      <w:rFonts w:ascii="宋体" w:hAnsi="宋体"/>
      <w:sz w:val="24"/>
      <w:szCs w:val="20"/>
    </w:rPr>
  </w:style>
  <w:style w:type="paragraph" w:customStyle="1" w:styleId="ParaChar">
    <w:name w:val="默认段落字体 Para Char"/>
    <w:basedOn w:val="a"/>
    <w:qFormat/>
    <w:rsid w:val="000E52DA"/>
    <w:pPr>
      <w:tabs>
        <w:tab w:val="left" w:pos="840"/>
      </w:tabs>
      <w:ind w:left="840" w:hanging="420"/>
    </w:pPr>
    <w:rPr>
      <w:sz w:val="24"/>
    </w:rPr>
  </w:style>
  <w:style w:type="paragraph" w:customStyle="1" w:styleId="Level7">
    <w:name w:val="Level 7"/>
    <w:basedOn w:val="a"/>
    <w:qFormat/>
    <w:rsid w:val="000E52DA"/>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rsid w:val="000E52DA"/>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f2"/>
    <w:qFormat/>
    <w:rsid w:val="000E52DA"/>
    <w:pPr>
      <w:numPr>
        <w:numId w:val="2"/>
      </w:numPr>
      <w:spacing w:line="360" w:lineRule="auto"/>
    </w:pPr>
    <w:rPr>
      <w:rFonts w:ascii="宋体"/>
      <w:szCs w:val="20"/>
    </w:rPr>
  </w:style>
  <w:style w:type="paragraph" w:customStyle="1" w:styleId="Level2">
    <w:name w:val="Level 2"/>
    <w:basedOn w:val="a"/>
    <w:qFormat/>
    <w:rsid w:val="000E52DA"/>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rsid w:val="000E52DA"/>
    <w:pPr>
      <w:tabs>
        <w:tab w:val="left" w:pos="360"/>
      </w:tabs>
    </w:pPr>
    <w:rPr>
      <w:sz w:val="24"/>
    </w:rPr>
  </w:style>
  <w:style w:type="paragraph" w:customStyle="1" w:styleId="CharChar">
    <w:name w:val="Char Char"/>
    <w:basedOn w:val="a"/>
    <w:qFormat/>
    <w:rsid w:val="000E52DA"/>
    <w:rPr>
      <w:szCs w:val="20"/>
    </w:rPr>
  </w:style>
  <w:style w:type="paragraph" w:customStyle="1" w:styleId="13">
    <w:name w:val="正文1"/>
    <w:basedOn w:val="a"/>
    <w:qFormat/>
    <w:rsid w:val="000E52DA"/>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rsid w:val="000E52DA"/>
    <w:pPr>
      <w:tabs>
        <w:tab w:val="left" w:pos="840"/>
      </w:tabs>
      <w:ind w:left="840" w:hanging="360"/>
    </w:pPr>
    <w:rPr>
      <w:sz w:val="24"/>
    </w:rPr>
  </w:style>
  <w:style w:type="paragraph" w:customStyle="1" w:styleId="Default">
    <w:name w:val="Default"/>
    <w:qFormat/>
    <w:rsid w:val="000E52DA"/>
    <w:pPr>
      <w:widowControl w:val="0"/>
      <w:autoSpaceDE w:val="0"/>
      <w:autoSpaceDN w:val="0"/>
      <w:adjustRightInd w:val="0"/>
    </w:pPr>
    <w:rPr>
      <w:rFonts w:ascii="宋体" w:cs="宋体"/>
      <w:color w:val="000000"/>
      <w:sz w:val="24"/>
      <w:szCs w:val="24"/>
    </w:rPr>
  </w:style>
  <w:style w:type="paragraph" w:customStyle="1" w:styleId="Level8">
    <w:name w:val="Level 8"/>
    <w:basedOn w:val="a"/>
    <w:qFormat/>
    <w:rsid w:val="000E52DA"/>
    <w:pPr>
      <w:widowControl/>
      <w:numPr>
        <w:ilvl w:val="7"/>
        <w:numId w:val="1"/>
      </w:numPr>
      <w:spacing w:after="140" w:line="290" w:lineRule="auto"/>
      <w:outlineLvl w:val="7"/>
    </w:pPr>
    <w:rPr>
      <w:rFonts w:ascii="Arial" w:hAnsi="Arial"/>
      <w:kern w:val="20"/>
      <w:sz w:val="20"/>
      <w:lang w:val="en-GB" w:eastAsia="en-US"/>
    </w:rPr>
  </w:style>
  <w:style w:type="paragraph" w:customStyle="1" w:styleId="Char">
    <w:name w:val="Char"/>
    <w:basedOn w:val="a"/>
    <w:qFormat/>
    <w:rsid w:val="000E52DA"/>
  </w:style>
  <w:style w:type="paragraph" w:customStyle="1" w:styleId="afa">
    <w:name w:val="正文正文"/>
    <w:basedOn w:val="a"/>
    <w:qFormat/>
    <w:rsid w:val="000E52DA"/>
    <w:pPr>
      <w:spacing w:afterLines="25" w:line="360" w:lineRule="auto"/>
      <w:ind w:firstLineChars="200" w:firstLine="200"/>
    </w:pPr>
    <w:rPr>
      <w:sz w:val="24"/>
    </w:rPr>
  </w:style>
  <w:style w:type="paragraph" w:customStyle="1" w:styleId="xl25">
    <w:name w:val="xl25"/>
    <w:basedOn w:val="a"/>
    <w:qFormat/>
    <w:rsid w:val="000E52DA"/>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rsid w:val="000E52DA"/>
    <w:pPr>
      <w:autoSpaceDE w:val="0"/>
      <w:autoSpaceDN w:val="0"/>
      <w:adjustRightInd w:val="0"/>
      <w:jc w:val="left"/>
    </w:pPr>
    <w:rPr>
      <w:rFonts w:ascii="宋体"/>
      <w:kern w:val="0"/>
      <w:sz w:val="24"/>
    </w:rPr>
  </w:style>
  <w:style w:type="paragraph" w:customStyle="1" w:styleId="afb">
    <w:name w:val="第三级标题"/>
    <w:basedOn w:val="afa"/>
    <w:next w:val="afa"/>
    <w:qFormat/>
    <w:rsid w:val="000E52DA"/>
    <w:pPr>
      <w:keepNext/>
      <w:outlineLvl w:val="2"/>
    </w:pPr>
    <w:rPr>
      <w:b/>
    </w:rPr>
  </w:style>
  <w:style w:type="paragraph" w:customStyle="1" w:styleId="14">
    <w:name w:val="无间隔1"/>
    <w:uiPriority w:val="1"/>
    <w:qFormat/>
    <w:rsid w:val="000E52DA"/>
    <w:pPr>
      <w:widowControl w:val="0"/>
      <w:jc w:val="both"/>
    </w:pPr>
    <w:rPr>
      <w:kern w:val="2"/>
      <w:sz w:val="21"/>
      <w:szCs w:val="24"/>
    </w:rPr>
  </w:style>
  <w:style w:type="character" w:customStyle="1" w:styleId="ac">
    <w:name w:val="纯文本 字符"/>
    <w:link w:val="ab"/>
    <w:qFormat/>
    <w:rsid w:val="000E52DA"/>
    <w:rPr>
      <w:rFonts w:ascii="宋体" w:hAnsi="Courier New"/>
      <w:kern w:val="2"/>
      <w:sz w:val="21"/>
      <w:szCs w:val="21"/>
    </w:rPr>
  </w:style>
  <w:style w:type="paragraph" w:customStyle="1" w:styleId="16">
    <w:name w:val="列出段落1"/>
    <w:basedOn w:val="a"/>
    <w:uiPriority w:val="99"/>
    <w:qFormat/>
    <w:rsid w:val="000E52DA"/>
    <w:pPr>
      <w:ind w:firstLineChars="200" w:firstLine="420"/>
    </w:pPr>
  </w:style>
  <w:style w:type="character" w:customStyle="1" w:styleId="apple-converted-space">
    <w:name w:val="apple-converted-space"/>
    <w:basedOn w:val="a0"/>
    <w:qFormat/>
    <w:rsid w:val="000E52DA"/>
  </w:style>
  <w:style w:type="paragraph" w:customStyle="1" w:styleId="biaogeleft">
    <w:name w:val="biaoge_left"/>
    <w:basedOn w:val="a"/>
    <w:qFormat/>
    <w:rsid w:val="000E52DA"/>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rsid w:val="000E52DA"/>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rsid w:val="000E52DA"/>
    <w:pPr>
      <w:widowControl/>
      <w:autoSpaceDE w:val="0"/>
      <w:autoSpaceDN w:val="0"/>
      <w:adjustRightInd w:val="0"/>
      <w:spacing w:before="29" w:line="288" w:lineRule="auto"/>
      <w:ind w:left="15"/>
      <w:jc w:val="right"/>
    </w:pPr>
    <w:rPr>
      <w:rFonts w:ascii="宋体" w:hAnsi="宋体" w:cs="宋体"/>
      <w:kern w:val="0"/>
      <w:sz w:val="24"/>
    </w:rPr>
  </w:style>
  <w:style w:type="paragraph" w:styleId="afc">
    <w:name w:val="Revision"/>
    <w:hidden/>
    <w:uiPriority w:val="99"/>
    <w:unhideWhenUsed/>
    <w:rsid w:val="00E4139F"/>
    <w:rPr>
      <w:kern w:val="2"/>
      <w:sz w:val="21"/>
      <w:szCs w:val="24"/>
    </w:rPr>
  </w:style>
  <w:style w:type="paragraph" w:styleId="afd">
    <w:name w:val="List Paragraph"/>
    <w:basedOn w:val="a"/>
    <w:uiPriority w:val="99"/>
    <w:unhideWhenUsed/>
    <w:rsid w:val="00042999"/>
    <w:pPr>
      <w:ind w:firstLineChars="200" w:firstLine="420"/>
    </w:pPr>
  </w:style>
  <w:style w:type="paragraph" w:customStyle="1" w:styleId="neirong">
    <w:name w:val="neirong"/>
    <w:basedOn w:val="a"/>
    <w:rsid w:val="00042999"/>
    <w:pPr>
      <w:widowControl/>
      <w:autoSpaceDE w:val="0"/>
      <w:autoSpaceDN w:val="0"/>
      <w:adjustRightInd w:val="0"/>
      <w:spacing w:before="29" w:line="288" w:lineRule="auto"/>
      <w:ind w:left="15"/>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16995524">
      <w:bodyDiv w:val="1"/>
      <w:marLeft w:val="0"/>
      <w:marRight w:val="0"/>
      <w:marTop w:val="0"/>
      <w:marBottom w:val="0"/>
      <w:divBdr>
        <w:top w:val="none" w:sz="0" w:space="0" w:color="auto"/>
        <w:left w:val="none" w:sz="0" w:space="0" w:color="auto"/>
        <w:bottom w:val="none" w:sz="0" w:space="0" w:color="auto"/>
        <w:right w:val="none" w:sz="0" w:space="0" w:color="auto"/>
      </w:divBdr>
    </w:div>
    <w:div w:id="205338866">
      <w:bodyDiv w:val="1"/>
      <w:marLeft w:val="0"/>
      <w:marRight w:val="0"/>
      <w:marTop w:val="0"/>
      <w:marBottom w:val="0"/>
      <w:divBdr>
        <w:top w:val="none" w:sz="0" w:space="0" w:color="auto"/>
        <w:left w:val="none" w:sz="0" w:space="0" w:color="auto"/>
        <w:bottom w:val="none" w:sz="0" w:space="0" w:color="auto"/>
        <w:right w:val="none" w:sz="0" w:space="0" w:color="auto"/>
      </w:divBdr>
    </w:div>
    <w:div w:id="306907229">
      <w:bodyDiv w:val="1"/>
      <w:marLeft w:val="0"/>
      <w:marRight w:val="0"/>
      <w:marTop w:val="0"/>
      <w:marBottom w:val="0"/>
      <w:divBdr>
        <w:top w:val="none" w:sz="0" w:space="0" w:color="auto"/>
        <w:left w:val="none" w:sz="0" w:space="0" w:color="auto"/>
        <w:bottom w:val="none" w:sz="0" w:space="0" w:color="auto"/>
        <w:right w:val="none" w:sz="0" w:space="0" w:color="auto"/>
      </w:divBdr>
    </w:div>
    <w:div w:id="362629559">
      <w:bodyDiv w:val="1"/>
      <w:marLeft w:val="0"/>
      <w:marRight w:val="0"/>
      <w:marTop w:val="0"/>
      <w:marBottom w:val="0"/>
      <w:divBdr>
        <w:top w:val="none" w:sz="0" w:space="0" w:color="auto"/>
        <w:left w:val="none" w:sz="0" w:space="0" w:color="auto"/>
        <w:bottom w:val="none" w:sz="0" w:space="0" w:color="auto"/>
        <w:right w:val="none" w:sz="0" w:space="0" w:color="auto"/>
      </w:divBdr>
    </w:div>
    <w:div w:id="500241464">
      <w:bodyDiv w:val="1"/>
      <w:marLeft w:val="0"/>
      <w:marRight w:val="0"/>
      <w:marTop w:val="0"/>
      <w:marBottom w:val="0"/>
      <w:divBdr>
        <w:top w:val="none" w:sz="0" w:space="0" w:color="auto"/>
        <w:left w:val="none" w:sz="0" w:space="0" w:color="auto"/>
        <w:bottom w:val="none" w:sz="0" w:space="0" w:color="auto"/>
        <w:right w:val="none" w:sz="0" w:space="0" w:color="auto"/>
      </w:divBdr>
    </w:div>
    <w:div w:id="927151957">
      <w:bodyDiv w:val="1"/>
      <w:marLeft w:val="0"/>
      <w:marRight w:val="0"/>
      <w:marTop w:val="0"/>
      <w:marBottom w:val="0"/>
      <w:divBdr>
        <w:top w:val="none" w:sz="0" w:space="0" w:color="auto"/>
        <w:left w:val="none" w:sz="0" w:space="0" w:color="auto"/>
        <w:bottom w:val="none" w:sz="0" w:space="0" w:color="auto"/>
        <w:right w:val="none" w:sz="0" w:space="0" w:color="auto"/>
      </w:divBdr>
    </w:div>
    <w:div w:id="962006238">
      <w:bodyDiv w:val="1"/>
      <w:marLeft w:val="0"/>
      <w:marRight w:val="0"/>
      <w:marTop w:val="0"/>
      <w:marBottom w:val="0"/>
      <w:divBdr>
        <w:top w:val="none" w:sz="0" w:space="0" w:color="auto"/>
        <w:left w:val="none" w:sz="0" w:space="0" w:color="auto"/>
        <w:bottom w:val="none" w:sz="0" w:space="0" w:color="auto"/>
        <w:right w:val="none" w:sz="0" w:space="0" w:color="auto"/>
      </w:divBdr>
    </w:div>
    <w:div w:id="1070038432">
      <w:bodyDiv w:val="1"/>
      <w:marLeft w:val="0"/>
      <w:marRight w:val="0"/>
      <w:marTop w:val="0"/>
      <w:marBottom w:val="0"/>
      <w:divBdr>
        <w:top w:val="none" w:sz="0" w:space="0" w:color="auto"/>
        <w:left w:val="none" w:sz="0" w:space="0" w:color="auto"/>
        <w:bottom w:val="none" w:sz="0" w:space="0" w:color="auto"/>
        <w:right w:val="none" w:sz="0" w:space="0" w:color="auto"/>
      </w:divBdr>
    </w:div>
    <w:div w:id="1206982991">
      <w:bodyDiv w:val="1"/>
      <w:marLeft w:val="0"/>
      <w:marRight w:val="0"/>
      <w:marTop w:val="0"/>
      <w:marBottom w:val="0"/>
      <w:divBdr>
        <w:top w:val="none" w:sz="0" w:space="0" w:color="auto"/>
        <w:left w:val="none" w:sz="0" w:space="0" w:color="auto"/>
        <w:bottom w:val="none" w:sz="0" w:space="0" w:color="auto"/>
        <w:right w:val="none" w:sz="0" w:space="0" w:color="auto"/>
      </w:divBdr>
    </w:div>
    <w:div w:id="1280720624">
      <w:bodyDiv w:val="1"/>
      <w:marLeft w:val="0"/>
      <w:marRight w:val="0"/>
      <w:marTop w:val="0"/>
      <w:marBottom w:val="0"/>
      <w:divBdr>
        <w:top w:val="none" w:sz="0" w:space="0" w:color="auto"/>
        <w:left w:val="none" w:sz="0" w:space="0" w:color="auto"/>
        <w:bottom w:val="none" w:sz="0" w:space="0" w:color="auto"/>
        <w:right w:val="none" w:sz="0" w:space="0" w:color="auto"/>
      </w:divBdr>
    </w:div>
    <w:div w:id="1470708243">
      <w:bodyDiv w:val="1"/>
      <w:marLeft w:val="0"/>
      <w:marRight w:val="0"/>
      <w:marTop w:val="0"/>
      <w:marBottom w:val="0"/>
      <w:divBdr>
        <w:top w:val="none" w:sz="0" w:space="0" w:color="auto"/>
        <w:left w:val="none" w:sz="0" w:space="0" w:color="auto"/>
        <w:bottom w:val="none" w:sz="0" w:space="0" w:color="auto"/>
        <w:right w:val="none" w:sz="0" w:space="0" w:color="auto"/>
      </w:divBdr>
    </w:div>
    <w:div w:id="1491097163">
      <w:bodyDiv w:val="1"/>
      <w:marLeft w:val="0"/>
      <w:marRight w:val="0"/>
      <w:marTop w:val="0"/>
      <w:marBottom w:val="0"/>
      <w:divBdr>
        <w:top w:val="none" w:sz="0" w:space="0" w:color="auto"/>
        <w:left w:val="none" w:sz="0" w:space="0" w:color="auto"/>
        <w:bottom w:val="none" w:sz="0" w:space="0" w:color="auto"/>
        <w:right w:val="none" w:sz="0" w:space="0" w:color="auto"/>
      </w:divBdr>
    </w:div>
    <w:div w:id="1531260353">
      <w:bodyDiv w:val="1"/>
      <w:marLeft w:val="0"/>
      <w:marRight w:val="0"/>
      <w:marTop w:val="0"/>
      <w:marBottom w:val="0"/>
      <w:divBdr>
        <w:top w:val="none" w:sz="0" w:space="0" w:color="auto"/>
        <w:left w:val="none" w:sz="0" w:space="0" w:color="auto"/>
        <w:bottom w:val="none" w:sz="0" w:space="0" w:color="auto"/>
        <w:right w:val="none" w:sz="0" w:space="0" w:color="auto"/>
      </w:divBdr>
    </w:div>
    <w:div w:id="21049587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tyles" Target="styles.xml"/><Relationship Id="rId13" Type="http://schemas.openxmlformats.org/officeDocument/2006/relationships/header" Target="header1.xml"/><Relationship Id="rId18" Type="http://schemas.openxmlformats.org/officeDocument/2006/relationships/hyperlink" Target="http://www.bsb.com.cn" TargetMode="External"/><Relationship Id="rId26" Type="http://schemas.openxmlformats.org/officeDocument/2006/relationships/hyperlink" Target="http://www.wacaijijin.com" TargetMode="External"/><Relationship Id="rId3" Type="http://schemas.openxmlformats.org/officeDocument/2006/relationships/customXml" Target="../customXml/item3.xml"/><Relationship Id="rId21" Type="http://schemas.openxmlformats.org/officeDocument/2006/relationships/hyperlink" Target="http://www.taichengcaifu.com" TargetMode="External"/><Relationship Id="rId7" Type="http://schemas.openxmlformats.org/officeDocument/2006/relationships/numbering" Target="numbering.xml"/><Relationship Id="rId12" Type="http://schemas.openxmlformats.org/officeDocument/2006/relationships/endnotes" Target="endnotes.xml"/><Relationship Id="rId17" Type="http://schemas.openxmlformats.org/officeDocument/2006/relationships/footer" Target="footer3.xml"/><Relationship Id="rId25" Type="http://schemas.openxmlformats.org/officeDocument/2006/relationships/hyperlink" Target="http://danjuanapp.com/" TargetMode="External"/><Relationship Id="rId2" Type="http://schemas.openxmlformats.org/officeDocument/2006/relationships/customXml" Target="../customXml/item2.xml"/><Relationship Id="rId16" Type="http://schemas.openxmlformats.org/officeDocument/2006/relationships/footer" Target="footer2.xml"/><Relationship Id="rId20" Type="http://schemas.openxmlformats.org/officeDocument/2006/relationships/hyperlink" Target="http://www.jiyufund.com.cn/" TargetMode="External"/><Relationship Id="rId29" Type="http://schemas.openxmlformats.org/officeDocument/2006/relationships/image" Target="media/image2.jpeg"/><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footnotes" Target="footnotes.xml"/><Relationship Id="rId24" Type="http://schemas.openxmlformats.org/officeDocument/2006/relationships/hyperlink" Target="http://www.jjmmw.com"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eader" Target="header2.xml"/><Relationship Id="rId23" Type="http://schemas.openxmlformats.org/officeDocument/2006/relationships/hyperlink" Target="http://www.zlfund.cn" TargetMode="External"/><Relationship Id="rId28" Type="http://schemas.openxmlformats.org/officeDocument/2006/relationships/image" Target="media/image1.jpeg"/><Relationship Id="rId10" Type="http://schemas.openxmlformats.org/officeDocument/2006/relationships/webSettings" Target="webSettings.xml"/><Relationship Id="rId19" Type="http://schemas.openxmlformats.org/officeDocument/2006/relationships/hyperlink" Target="http://www.bank.pingan.com"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settings" Target="settings.xml"/><Relationship Id="rId14" Type="http://schemas.openxmlformats.org/officeDocument/2006/relationships/footer" Target="footer1.xml"/><Relationship Id="rId22" Type="http://schemas.openxmlformats.org/officeDocument/2006/relationships/hyperlink" Target="http://www.jianfortune.com" TargetMode="External"/><Relationship Id="rId27" Type="http://schemas.openxmlformats.org/officeDocument/2006/relationships/hyperlink" Target="http://www.vstonewealth.com" TargetMode="External"/><Relationship Id="rId30"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B52813D-5043-44DE-A70D-29B880BEC4DC}">
  <ds:schemaRefs>
    <ds:schemaRef ds:uri="http://schemas.openxmlformats.org/officeDocument/2006/bibliography"/>
  </ds:schemaRefs>
</ds:datastoreItem>
</file>

<file path=customXml/itemProps3.xml><?xml version="1.0" encoding="utf-8"?>
<ds:datastoreItem xmlns:ds="http://schemas.openxmlformats.org/officeDocument/2006/customXml" ds:itemID="{C8875D39-7529-4703-986F-82614133461B}">
  <ds:schemaRefs>
    <ds:schemaRef ds:uri="http://schemas.openxmlformats.org/officeDocument/2006/bibliography"/>
  </ds:schemaRefs>
</ds:datastoreItem>
</file>

<file path=customXml/itemProps4.xml><?xml version="1.0" encoding="utf-8"?>
<ds:datastoreItem xmlns:ds="http://schemas.openxmlformats.org/officeDocument/2006/customXml" ds:itemID="{9BC1E53D-84E7-41B4-BDBC-15F68A4D4062}">
  <ds:schemaRefs>
    <ds:schemaRef ds:uri="http://schemas.openxmlformats.org/officeDocument/2006/bibliography"/>
  </ds:schemaRefs>
</ds:datastoreItem>
</file>

<file path=customXml/itemProps5.xml><?xml version="1.0" encoding="utf-8"?>
<ds:datastoreItem xmlns:ds="http://schemas.openxmlformats.org/officeDocument/2006/customXml" ds:itemID="{19CA2B73-AE87-4B57-B561-64E3FC9C3FC6}">
  <ds:schemaRefs>
    <ds:schemaRef ds:uri="http://schemas.openxmlformats.org/officeDocument/2006/bibliography"/>
  </ds:schemaRefs>
</ds:datastoreItem>
</file>

<file path=customXml/itemProps6.xml><?xml version="1.0" encoding="utf-8"?>
<ds:datastoreItem xmlns:ds="http://schemas.openxmlformats.org/officeDocument/2006/customXml" ds:itemID="{9564151A-6D56-4678-9C2B-6BA6488A9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1570</TotalTime>
  <Pages>124</Pages>
  <Words>12321</Words>
  <Characters>70235</Characters>
  <Application>Microsoft Office Word</Application>
  <DocSecurity>0</DocSecurity>
  <Lines>585</Lines>
  <Paragraphs>164</Paragraphs>
  <ScaleCrop>false</ScaleCrop>
  <Company>Microsoft</Company>
  <LinksUpToDate>false</LinksUpToDate>
  <CharactersWithSpaces>82392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富荣货币市场基金</dc:title>
  <dc:creator>xieyanping</dc:creator>
  <cp:lastModifiedBy>于 连驰</cp:lastModifiedBy>
  <cp:revision>138</cp:revision>
  <cp:lastPrinted>2019-01-30T02:17:00Z</cp:lastPrinted>
  <dcterms:created xsi:type="dcterms:W3CDTF">2018-06-27T06:33:00Z</dcterms:created>
  <dcterms:modified xsi:type="dcterms:W3CDTF">2019-07-24T05:08:00Z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