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C6F2F4F" w14:textId="77777777" w:rsidR="003E4D36" w:rsidRDefault="003E4D36">
      <w:pPr>
        <w:tabs>
          <w:tab w:val="left" w:pos="6660"/>
        </w:tabs>
        <w:spacing w:line="360" w:lineRule="auto"/>
        <w:jc w:val="center"/>
        <w:rPr>
          <w:rFonts w:asciiTheme="minorEastAsia" w:hAnsiTheme="minorEastAsia" w:cs="Times New Roman"/>
          <w:bCs/>
          <w:sz w:val="48"/>
          <w:szCs w:val="48"/>
        </w:rPr>
      </w:pPr>
    </w:p>
    <w:p w14:paraId="2076ABDD" w14:textId="77777777" w:rsidR="003E4D36" w:rsidRDefault="003E4D36">
      <w:pPr>
        <w:spacing w:line="360" w:lineRule="auto"/>
        <w:jc w:val="center"/>
        <w:rPr>
          <w:rFonts w:asciiTheme="minorEastAsia" w:hAnsiTheme="minorEastAsia" w:cs="Times New Roman"/>
          <w:b/>
          <w:sz w:val="48"/>
          <w:szCs w:val="48"/>
        </w:rPr>
      </w:pPr>
    </w:p>
    <w:p w14:paraId="03ABFFAD" w14:textId="77777777" w:rsidR="003E4D36" w:rsidRDefault="003E4D36">
      <w:pPr>
        <w:adjustRightInd w:val="0"/>
        <w:snapToGrid w:val="0"/>
        <w:spacing w:line="360" w:lineRule="auto"/>
        <w:jc w:val="center"/>
        <w:rPr>
          <w:rFonts w:asciiTheme="minorEastAsia" w:hAnsiTheme="minorEastAsia" w:cs="Arial"/>
          <w:sz w:val="48"/>
          <w:szCs w:val="48"/>
        </w:rPr>
      </w:pPr>
      <w:bookmarkStart w:id="0" w:name="_Toc123112227"/>
      <w:bookmarkStart w:id="1" w:name="_Toc123112266"/>
      <w:bookmarkStart w:id="2" w:name="_Toc123701386"/>
      <w:bookmarkStart w:id="3" w:name="_Toc139991729"/>
    </w:p>
    <w:p w14:paraId="787C40C6" w14:textId="77777777" w:rsidR="003E4D36" w:rsidRDefault="00E729B5">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富荣福鑫灵活配置混合型证券投资基金</w:t>
      </w:r>
    </w:p>
    <w:p w14:paraId="51CDDD38" w14:textId="77777777" w:rsidR="003E4D36" w:rsidRDefault="00E729B5">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更新</w:t>
      </w:r>
      <w:r>
        <w:rPr>
          <w:rFonts w:ascii="Arial" w:eastAsia="宋体" w:hAnsi="宋体" w:cs="Arial"/>
          <w:b/>
          <w:sz w:val="48"/>
          <w:szCs w:val="48"/>
        </w:rPr>
        <w:t>的</w:t>
      </w:r>
      <w:r>
        <w:rPr>
          <w:rFonts w:ascii="Arial" w:eastAsia="宋体" w:hAnsi="宋体" w:cs="Arial" w:hint="eastAsia"/>
          <w:b/>
          <w:sz w:val="48"/>
          <w:szCs w:val="48"/>
        </w:rPr>
        <w:t>招募说明书</w:t>
      </w:r>
    </w:p>
    <w:p w14:paraId="61AC9FC2" w14:textId="7488A5C9" w:rsidR="003E4D36" w:rsidRDefault="00E729B5">
      <w:pPr>
        <w:adjustRightInd w:val="0"/>
        <w:snapToGrid w:val="0"/>
        <w:spacing w:line="360" w:lineRule="auto"/>
        <w:jc w:val="center"/>
        <w:rPr>
          <w:rFonts w:asciiTheme="minorEastAsia" w:hAnsiTheme="minorEastAsia" w:cs="Times New Roman"/>
          <w:b/>
          <w:sz w:val="36"/>
          <w:szCs w:val="36"/>
        </w:rPr>
      </w:pPr>
      <w:r>
        <w:rPr>
          <w:rFonts w:asciiTheme="minorEastAsia" w:hAnsiTheme="minorEastAsia" w:cs="Times New Roman" w:hint="eastAsia"/>
          <w:b/>
          <w:sz w:val="36"/>
          <w:szCs w:val="36"/>
        </w:rPr>
        <w:t>（</w:t>
      </w:r>
      <w:r w:rsidR="007F62EE">
        <w:rPr>
          <w:rFonts w:asciiTheme="minorEastAsia" w:hAnsiTheme="minorEastAsia" w:cs="Times New Roman" w:hint="eastAsia"/>
          <w:b/>
          <w:sz w:val="36"/>
          <w:szCs w:val="36"/>
        </w:rPr>
        <w:t>2019</w:t>
      </w:r>
      <w:r>
        <w:rPr>
          <w:rFonts w:asciiTheme="minorEastAsia" w:hAnsiTheme="minorEastAsia" w:cs="Times New Roman" w:hint="eastAsia"/>
          <w:b/>
          <w:sz w:val="36"/>
          <w:szCs w:val="36"/>
        </w:rPr>
        <w:t>年</w:t>
      </w:r>
      <w:r w:rsidR="00345D8B">
        <w:rPr>
          <w:rFonts w:asciiTheme="minorEastAsia" w:hAnsiTheme="minorEastAsia" w:cs="Times New Roman" w:hint="eastAsia"/>
          <w:b/>
          <w:sz w:val="36"/>
          <w:szCs w:val="36"/>
        </w:rPr>
        <w:t>第</w:t>
      </w:r>
      <w:r w:rsidR="00345D8B">
        <w:rPr>
          <w:rFonts w:asciiTheme="minorEastAsia" w:hAnsiTheme="minorEastAsia" w:cs="Times New Roman"/>
          <w:b/>
          <w:sz w:val="36"/>
          <w:szCs w:val="36"/>
        </w:rPr>
        <w:t>3</w:t>
      </w:r>
      <w:r>
        <w:rPr>
          <w:rFonts w:asciiTheme="minorEastAsia" w:hAnsiTheme="minorEastAsia" w:cs="Times New Roman" w:hint="eastAsia"/>
          <w:b/>
          <w:sz w:val="36"/>
          <w:szCs w:val="36"/>
        </w:rPr>
        <w:t>号）</w:t>
      </w:r>
    </w:p>
    <w:p w14:paraId="3679BD54" w14:textId="77777777" w:rsidR="003E4D36" w:rsidRPr="007F62EE" w:rsidRDefault="003E4D36">
      <w:pPr>
        <w:adjustRightInd w:val="0"/>
        <w:snapToGrid w:val="0"/>
        <w:spacing w:line="360" w:lineRule="auto"/>
        <w:jc w:val="center"/>
        <w:rPr>
          <w:rFonts w:asciiTheme="minorEastAsia" w:hAnsiTheme="minorEastAsia" w:cs="Arial"/>
          <w:sz w:val="36"/>
          <w:szCs w:val="36"/>
        </w:rPr>
      </w:pPr>
    </w:p>
    <w:p w14:paraId="77610FE9" w14:textId="77777777" w:rsidR="003E4D36" w:rsidRDefault="003E4D36">
      <w:pPr>
        <w:adjustRightInd w:val="0"/>
        <w:snapToGrid w:val="0"/>
        <w:spacing w:line="360" w:lineRule="auto"/>
        <w:jc w:val="center"/>
        <w:rPr>
          <w:rFonts w:asciiTheme="minorEastAsia" w:hAnsiTheme="minorEastAsia" w:cs="Arial"/>
          <w:sz w:val="36"/>
          <w:szCs w:val="36"/>
        </w:rPr>
      </w:pPr>
    </w:p>
    <w:p w14:paraId="61AC5A06" w14:textId="77777777" w:rsidR="003E4D36" w:rsidRDefault="003E4D36">
      <w:pPr>
        <w:adjustRightInd w:val="0"/>
        <w:snapToGrid w:val="0"/>
        <w:spacing w:line="360" w:lineRule="auto"/>
        <w:jc w:val="center"/>
        <w:rPr>
          <w:rFonts w:asciiTheme="minorEastAsia" w:hAnsiTheme="minorEastAsia" w:cs="Arial"/>
          <w:sz w:val="36"/>
          <w:szCs w:val="36"/>
        </w:rPr>
      </w:pPr>
    </w:p>
    <w:p w14:paraId="2C06861A" w14:textId="77777777" w:rsidR="003E4D36" w:rsidRDefault="003E4D36">
      <w:pPr>
        <w:adjustRightInd w:val="0"/>
        <w:snapToGrid w:val="0"/>
        <w:spacing w:line="360" w:lineRule="auto"/>
        <w:jc w:val="center"/>
        <w:rPr>
          <w:rFonts w:asciiTheme="minorEastAsia" w:hAnsiTheme="minorEastAsia" w:cs="Arial"/>
          <w:sz w:val="36"/>
          <w:szCs w:val="36"/>
        </w:rPr>
      </w:pPr>
    </w:p>
    <w:p w14:paraId="115358D5" w14:textId="77777777" w:rsidR="003E4D36" w:rsidRDefault="003E4D36">
      <w:pPr>
        <w:adjustRightInd w:val="0"/>
        <w:snapToGrid w:val="0"/>
        <w:spacing w:line="360" w:lineRule="auto"/>
        <w:jc w:val="center"/>
        <w:rPr>
          <w:rFonts w:asciiTheme="minorEastAsia" w:hAnsiTheme="minorEastAsia" w:cs="Arial"/>
          <w:sz w:val="36"/>
          <w:szCs w:val="36"/>
        </w:rPr>
      </w:pPr>
    </w:p>
    <w:p w14:paraId="45839E7F" w14:textId="77777777" w:rsidR="003E4D36" w:rsidRDefault="003E4D36">
      <w:pPr>
        <w:adjustRightInd w:val="0"/>
        <w:snapToGrid w:val="0"/>
        <w:spacing w:line="360" w:lineRule="auto"/>
        <w:jc w:val="center"/>
        <w:rPr>
          <w:rFonts w:asciiTheme="minorEastAsia" w:hAnsiTheme="minorEastAsia" w:cs="Arial"/>
          <w:sz w:val="36"/>
          <w:szCs w:val="36"/>
        </w:rPr>
      </w:pPr>
    </w:p>
    <w:p w14:paraId="6564540A" w14:textId="77777777" w:rsidR="003E4D36" w:rsidRDefault="00E729B5">
      <w:pPr>
        <w:snapToGrid w:val="0"/>
        <w:spacing w:line="360" w:lineRule="auto"/>
        <w:jc w:val="center"/>
        <w:rPr>
          <w:rFonts w:ascii="Arial" w:eastAsia="宋体" w:hAnsi="Arial" w:cs="Times New Roman"/>
          <w:b/>
          <w:sz w:val="36"/>
          <w:szCs w:val="36"/>
        </w:rPr>
      </w:pPr>
      <w:bookmarkStart w:id="4" w:name="_Toc139991726"/>
      <w:bookmarkStart w:id="5" w:name="_Toc139992301"/>
      <w:bookmarkStart w:id="6" w:name="_Toc123701383"/>
      <w:bookmarkStart w:id="7" w:name="_Toc123112224"/>
      <w:bookmarkStart w:id="8" w:name="_Toc123112263"/>
      <w:r>
        <w:rPr>
          <w:rFonts w:ascii="Arial" w:eastAsia="宋体" w:hAnsi="Arial" w:cs="Times New Roman" w:hint="eastAsia"/>
          <w:b/>
          <w:sz w:val="36"/>
          <w:szCs w:val="36"/>
        </w:rPr>
        <w:t>基金管理人：</w:t>
      </w:r>
      <w:bookmarkEnd w:id="4"/>
      <w:bookmarkEnd w:id="5"/>
      <w:bookmarkEnd w:id="6"/>
      <w:bookmarkEnd w:id="7"/>
      <w:bookmarkEnd w:id="8"/>
      <w:r>
        <w:rPr>
          <w:rFonts w:ascii="Arial" w:eastAsia="宋体" w:hAnsi="Arial" w:cs="Times New Roman" w:hint="eastAsia"/>
          <w:b/>
          <w:sz w:val="36"/>
          <w:szCs w:val="36"/>
        </w:rPr>
        <w:t>富荣基金管理有限公司</w:t>
      </w:r>
    </w:p>
    <w:p w14:paraId="54F8DEAB" w14:textId="77777777" w:rsidR="003E4D36" w:rsidRDefault="00E729B5">
      <w:pPr>
        <w:autoSpaceDE w:val="0"/>
        <w:autoSpaceDN w:val="0"/>
        <w:adjustRightInd w:val="0"/>
        <w:snapToGrid w:val="0"/>
        <w:spacing w:line="360" w:lineRule="auto"/>
        <w:jc w:val="center"/>
        <w:rPr>
          <w:rFonts w:ascii="Arial" w:eastAsia="宋体" w:hAnsi="Arial" w:cs="Arial"/>
          <w:b/>
          <w:bCs/>
          <w:sz w:val="36"/>
          <w:szCs w:val="36"/>
        </w:rPr>
      </w:pPr>
      <w:bookmarkStart w:id="9" w:name="_Toc123701384"/>
      <w:bookmarkStart w:id="10" w:name="_Toc123112225"/>
      <w:bookmarkStart w:id="11" w:name="_Toc123112264"/>
      <w:bookmarkStart w:id="12" w:name="_Toc139992302"/>
      <w:bookmarkStart w:id="13" w:name="_Toc139991727"/>
      <w:r>
        <w:rPr>
          <w:rFonts w:ascii="Arial" w:eastAsia="宋体" w:hAnsi="Arial" w:cs="Times New Roman" w:hint="eastAsia"/>
          <w:b/>
          <w:sz w:val="36"/>
          <w:szCs w:val="36"/>
        </w:rPr>
        <w:t>基金托管人：</w:t>
      </w:r>
      <w:bookmarkEnd w:id="9"/>
      <w:bookmarkEnd w:id="10"/>
      <w:bookmarkEnd w:id="11"/>
      <w:bookmarkEnd w:id="12"/>
      <w:bookmarkEnd w:id="13"/>
      <w:r>
        <w:rPr>
          <w:rFonts w:ascii="Arial" w:eastAsia="宋体" w:hAnsi="Arial" w:cs="Times New Roman" w:hint="eastAsia"/>
          <w:b/>
          <w:sz w:val="36"/>
          <w:szCs w:val="36"/>
        </w:rPr>
        <w:t>平安银行股份有限公司</w:t>
      </w:r>
    </w:p>
    <w:p w14:paraId="6A833A8F" w14:textId="77777777" w:rsidR="003E4D36" w:rsidRDefault="003E4D36">
      <w:pPr>
        <w:autoSpaceDE w:val="0"/>
        <w:autoSpaceDN w:val="0"/>
        <w:adjustRightInd w:val="0"/>
        <w:snapToGrid w:val="0"/>
        <w:spacing w:line="360" w:lineRule="auto"/>
        <w:jc w:val="center"/>
        <w:rPr>
          <w:rFonts w:asciiTheme="minorEastAsia" w:hAnsiTheme="minorEastAsia" w:cs="Arial"/>
          <w:b/>
          <w:bCs/>
          <w:sz w:val="28"/>
          <w:szCs w:val="28"/>
        </w:rPr>
      </w:pPr>
    </w:p>
    <w:p w14:paraId="476A6421" w14:textId="77777777" w:rsidR="003E4D36" w:rsidRDefault="003E4D36">
      <w:pPr>
        <w:autoSpaceDE w:val="0"/>
        <w:autoSpaceDN w:val="0"/>
        <w:adjustRightInd w:val="0"/>
        <w:snapToGrid w:val="0"/>
        <w:spacing w:line="360" w:lineRule="auto"/>
        <w:jc w:val="center"/>
        <w:rPr>
          <w:rFonts w:asciiTheme="minorEastAsia" w:hAnsiTheme="minorEastAsia" w:cs="Arial"/>
          <w:b/>
          <w:bCs/>
          <w:sz w:val="28"/>
          <w:szCs w:val="28"/>
        </w:rPr>
      </w:pPr>
    </w:p>
    <w:p w14:paraId="57901A35" w14:textId="77777777" w:rsidR="003E4D36" w:rsidRDefault="003E4D36">
      <w:pPr>
        <w:autoSpaceDE w:val="0"/>
        <w:autoSpaceDN w:val="0"/>
        <w:adjustRightInd w:val="0"/>
        <w:snapToGrid w:val="0"/>
        <w:spacing w:line="360" w:lineRule="auto"/>
        <w:jc w:val="center"/>
        <w:rPr>
          <w:rFonts w:asciiTheme="minorEastAsia" w:hAnsiTheme="minorEastAsia" w:cs="Arial"/>
          <w:b/>
          <w:bCs/>
          <w:sz w:val="28"/>
          <w:szCs w:val="28"/>
        </w:rPr>
      </w:pPr>
    </w:p>
    <w:p w14:paraId="4E4A4363" w14:textId="77777777" w:rsidR="003E4D36" w:rsidRDefault="003E4D36">
      <w:pPr>
        <w:widowControl/>
        <w:spacing w:line="360" w:lineRule="auto"/>
        <w:rPr>
          <w:rFonts w:ascii="Arial" w:eastAsia="宋体" w:hAnsi="Arial" w:cs="Arial"/>
          <w:b/>
          <w:bCs/>
          <w:kern w:val="0"/>
          <w:sz w:val="28"/>
          <w:szCs w:val="28"/>
        </w:rPr>
        <w:sectPr w:rsidR="003E4D36">
          <w:headerReference w:type="default" r:id="rId9"/>
          <w:footerReference w:type="default" r:id="rId10"/>
          <w:pgSz w:w="11906" w:h="16838"/>
          <w:pgMar w:top="1440" w:right="1800" w:bottom="1440" w:left="1800" w:header="851" w:footer="992" w:gutter="0"/>
          <w:pgNumType w:start="1"/>
          <w:cols w:space="720"/>
          <w:titlePg/>
          <w:docGrid w:type="lines" w:linePitch="312"/>
        </w:sectPr>
      </w:pPr>
    </w:p>
    <w:p w14:paraId="12080888" w14:textId="77777777" w:rsidR="003E4D36" w:rsidRDefault="00E729B5">
      <w:pPr>
        <w:autoSpaceDE w:val="0"/>
        <w:autoSpaceDN w:val="0"/>
        <w:adjustRightInd w:val="0"/>
        <w:snapToGrid w:val="0"/>
        <w:spacing w:line="360" w:lineRule="auto"/>
        <w:jc w:val="center"/>
        <w:rPr>
          <w:rFonts w:ascii="Arial" w:eastAsia="宋体" w:hAnsi="Arial" w:cs="Arial"/>
          <w:b/>
          <w:bCs/>
          <w:sz w:val="30"/>
          <w:szCs w:val="30"/>
        </w:rPr>
      </w:pPr>
      <w:r>
        <w:rPr>
          <w:rFonts w:ascii="Arial" w:eastAsia="宋体" w:hAnsi="Arial" w:cs="Arial" w:hint="eastAsia"/>
          <w:b/>
          <w:bCs/>
          <w:sz w:val="30"/>
          <w:szCs w:val="30"/>
        </w:rPr>
        <w:lastRenderedPageBreak/>
        <w:t>【重要提示】</w:t>
      </w:r>
    </w:p>
    <w:p w14:paraId="593BFB88" w14:textId="77777777" w:rsidR="003E4D36" w:rsidRDefault="003E4D36">
      <w:pPr>
        <w:autoSpaceDE w:val="0"/>
        <w:autoSpaceDN w:val="0"/>
        <w:adjustRightInd w:val="0"/>
        <w:snapToGrid w:val="0"/>
        <w:spacing w:line="360" w:lineRule="auto"/>
        <w:jc w:val="center"/>
        <w:rPr>
          <w:rFonts w:ascii="Arial" w:eastAsia="宋体" w:hAnsi="Arial" w:cs="Arial"/>
          <w:b/>
          <w:bCs/>
          <w:szCs w:val="21"/>
        </w:rPr>
      </w:pPr>
    </w:p>
    <w:p w14:paraId="6D2D7E19" w14:textId="77777777" w:rsidR="003E4D36" w:rsidRDefault="00E729B5">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bCs/>
          <w:color w:val="000000"/>
          <w:sz w:val="24"/>
          <w:szCs w:val="24"/>
        </w:rPr>
        <w:t>本基金经中国证监会2017年5月12日证监许可[2017]700号文准予注册。本基金于2018年2月13日正式生效。</w:t>
      </w:r>
    </w:p>
    <w:p w14:paraId="054B824B" w14:textId="77777777" w:rsidR="003E4D36" w:rsidRDefault="00E729B5">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管理人保证招募说明书的内容真实、准确、完整。本招募说明书经中国证监会注册，但中国证监会对本基金募集的注册，并不表明其对本基金的投资价值、市场前景和收益作出实质性判断或保证，也不表明投资于本基金没有风险。</w:t>
      </w:r>
    </w:p>
    <w:p w14:paraId="3CD21871" w14:textId="77777777" w:rsidR="003E4D36" w:rsidRDefault="00E729B5">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规性风险、本基金特定投资策略带来的风险及其他风险等。本基金属于混合型基金，其预期的风险和收益高于货币市场基金、债券基金，低于股票型基金，属于证券投资基金中中高风险、中高预期收益的品种。</w:t>
      </w:r>
    </w:p>
    <w:p w14:paraId="63006C6F" w14:textId="77777777" w:rsidR="003E4D36" w:rsidRDefault="00E729B5">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可投资中小企业私募债券，其发行人是非上市中小微企业，发行方式为面向特定对象的私募发行。当基金所投资的中小企业私募债券之债务人出现违约，或在交易过程中发生交收违约，或由于中小企业私募债券信用质量降低导致价格下降等，可能造成基金财产损失。中小企业私募债券较传统企业债的信用风险及流动性风险更大，从而增加了本基金整体的债券投资风险。</w:t>
      </w:r>
    </w:p>
    <w:p w14:paraId="224CBFCF" w14:textId="77777777" w:rsidR="003E4D36" w:rsidRDefault="00E729B5">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本基金以</w:t>
      </w:r>
      <w:r>
        <w:rPr>
          <w:rFonts w:asciiTheme="minorEastAsia" w:hAnsiTheme="minorEastAsia" w:cs="Arial"/>
          <w:sz w:val="24"/>
          <w:szCs w:val="24"/>
        </w:rPr>
        <w:t>1.00</w:t>
      </w:r>
      <w:r>
        <w:rPr>
          <w:rFonts w:asciiTheme="minorEastAsia" w:hAnsiTheme="minorEastAsia" w:cs="Arial" w:hint="eastAsia"/>
          <w:sz w:val="24"/>
          <w:szCs w:val="24"/>
        </w:rPr>
        <w:t>元初始面值募集基金份额，在市场波动等因素的影响下，基金投资有可能出现亏损或基金份额净值低于初始面值。</w:t>
      </w:r>
    </w:p>
    <w:p w14:paraId="756727BC" w14:textId="77777777" w:rsidR="003E4D36" w:rsidRDefault="00E729B5">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有风险，投资人认购（或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14:paraId="116C58B4" w14:textId="77777777" w:rsidR="003E4D36" w:rsidRDefault="00E729B5">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Pr>
          <w:rFonts w:asciiTheme="minorEastAsia" w:hAnsiTheme="minorEastAsia" w:cs="Arial"/>
          <w:sz w:val="24"/>
          <w:szCs w:val="24"/>
        </w:rPr>
        <w:t>“</w:t>
      </w:r>
      <w:r>
        <w:rPr>
          <w:rFonts w:asciiTheme="minorEastAsia" w:hAnsiTheme="minorEastAsia" w:cs="Arial" w:hint="eastAsia"/>
          <w:sz w:val="24"/>
          <w:szCs w:val="24"/>
        </w:rPr>
        <w:t>买者自负</w:t>
      </w:r>
      <w:r>
        <w:rPr>
          <w:rFonts w:asciiTheme="minorEastAsia" w:hAnsiTheme="minorEastAsia" w:cs="Arial"/>
          <w:sz w:val="24"/>
          <w:szCs w:val="24"/>
        </w:rPr>
        <w:t>”</w:t>
      </w:r>
      <w:r>
        <w:rPr>
          <w:rFonts w:asciiTheme="minorEastAsia" w:hAnsiTheme="minorEastAsia" w:cs="Arial" w:hint="eastAsia"/>
          <w:sz w:val="24"/>
          <w:szCs w:val="24"/>
        </w:rPr>
        <w:t>原则，在作出投资决策后，基金运营状况与基金净值变化引致的投资风险，由投资者自行承担。</w:t>
      </w:r>
    </w:p>
    <w:p w14:paraId="0493992E" w14:textId="53E116F3" w:rsidR="003E4D36" w:rsidRDefault="00293EA5" w:rsidP="00327B0A">
      <w:pPr>
        <w:autoSpaceDE w:val="0"/>
        <w:autoSpaceDN w:val="0"/>
        <w:adjustRightInd w:val="0"/>
        <w:snapToGrid w:val="0"/>
        <w:spacing w:line="360" w:lineRule="auto"/>
        <w:ind w:firstLineChars="200" w:firstLine="480"/>
        <w:rPr>
          <w:rFonts w:asciiTheme="minorEastAsia" w:hAnsiTheme="minorEastAsia" w:cs="Arial"/>
          <w:sz w:val="24"/>
          <w:szCs w:val="24"/>
        </w:rPr>
      </w:pPr>
      <w:r w:rsidRPr="00293EA5">
        <w:rPr>
          <w:rFonts w:asciiTheme="minorEastAsia" w:hAnsiTheme="minorEastAsia" w:cs="Arial" w:hint="eastAsia"/>
          <w:sz w:val="24"/>
          <w:szCs w:val="24"/>
        </w:rPr>
        <w:t>本招募说明书根据《公开募集证券投资基金信息披露管理办法》主要对本基金信息披露相关内容的修改进行更新。</w:t>
      </w:r>
      <w:r w:rsidR="00E729B5">
        <w:rPr>
          <w:rFonts w:asciiTheme="minorEastAsia" w:hAnsiTheme="minorEastAsia" w:cs="Arial" w:hint="eastAsia"/>
          <w:sz w:val="24"/>
          <w:szCs w:val="24"/>
        </w:rPr>
        <w:t>本招募说明书</w:t>
      </w:r>
      <w:r w:rsidR="00076F0A" w:rsidRPr="00076F0A">
        <w:rPr>
          <w:rFonts w:asciiTheme="minorEastAsia" w:hAnsiTheme="minorEastAsia" w:cs="Arial" w:hint="eastAsia"/>
          <w:sz w:val="24"/>
          <w:szCs w:val="24"/>
        </w:rPr>
        <w:t>的其它内容</w:t>
      </w:r>
      <w:r w:rsidR="00E729B5">
        <w:rPr>
          <w:rFonts w:asciiTheme="minorEastAsia" w:hAnsiTheme="minorEastAsia" w:cs="Arial" w:hint="eastAsia"/>
          <w:sz w:val="24"/>
          <w:szCs w:val="24"/>
        </w:rPr>
        <w:t>截止日为</w:t>
      </w:r>
      <w:r w:rsidR="00DD7E43">
        <w:rPr>
          <w:rFonts w:asciiTheme="minorEastAsia" w:hAnsiTheme="minorEastAsia" w:cs="Arial" w:hint="eastAsia"/>
          <w:sz w:val="24"/>
          <w:szCs w:val="24"/>
        </w:rPr>
        <w:t>2019</w:t>
      </w:r>
      <w:r w:rsidR="00DD7E43">
        <w:rPr>
          <w:rFonts w:asciiTheme="minorEastAsia" w:hAnsiTheme="minorEastAsia" w:cs="Arial" w:hint="eastAsia"/>
          <w:sz w:val="24"/>
          <w:szCs w:val="24"/>
        </w:rPr>
        <w:lastRenderedPageBreak/>
        <w:t>年</w:t>
      </w:r>
      <w:r w:rsidR="00DD7E43">
        <w:rPr>
          <w:rFonts w:asciiTheme="minorEastAsia" w:hAnsiTheme="minorEastAsia" w:cs="Arial"/>
          <w:sz w:val="24"/>
          <w:szCs w:val="24"/>
        </w:rPr>
        <w:t>8</w:t>
      </w:r>
      <w:r w:rsidR="00E729B5">
        <w:rPr>
          <w:rFonts w:asciiTheme="minorEastAsia" w:hAnsiTheme="minorEastAsia" w:cs="Arial" w:hint="eastAsia"/>
          <w:sz w:val="24"/>
          <w:szCs w:val="24"/>
        </w:rPr>
        <w:t>月13日，有关财务数据截止日为</w:t>
      </w:r>
      <w:r w:rsidR="000219D5">
        <w:rPr>
          <w:rFonts w:asciiTheme="minorEastAsia" w:hAnsiTheme="minorEastAsia" w:cs="Arial" w:hint="eastAsia"/>
          <w:sz w:val="24"/>
          <w:szCs w:val="24"/>
        </w:rPr>
        <w:t>2019年6月30日</w:t>
      </w:r>
      <w:r w:rsidR="00E729B5">
        <w:rPr>
          <w:rFonts w:asciiTheme="minorEastAsia" w:hAnsiTheme="minorEastAsia" w:cs="Arial" w:hint="eastAsia"/>
          <w:sz w:val="24"/>
          <w:szCs w:val="24"/>
        </w:rPr>
        <w:t>，净值表现截止日为</w:t>
      </w:r>
      <w:r w:rsidR="000219D5">
        <w:rPr>
          <w:rFonts w:asciiTheme="minorEastAsia" w:hAnsiTheme="minorEastAsia" w:cs="Arial" w:hint="eastAsia"/>
          <w:sz w:val="24"/>
          <w:szCs w:val="24"/>
        </w:rPr>
        <w:t>2019年6月30日</w:t>
      </w:r>
      <w:r w:rsidR="00E729B5">
        <w:rPr>
          <w:rFonts w:asciiTheme="minorEastAsia" w:hAnsiTheme="minorEastAsia" w:cs="Arial" w:hint="eastAsia"/>
          <w:sz w:val="24"/>
          <w:szCs w:val="24"/>
        </w:rPr>
        <w:t>，本报告中所列财务数据未经审计。</w:t>
      </w:r>
    </w:p>
    <w:p w14:paraId="2D683E7F" w14:textId="7F040221" w:rsidR="003E4D36" w:rsidRDefault="00E729B5">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本基金托管人平安银行股份有限公司已于</w:t>
      </w:r>
      <w:r w:rsidR="007D5AB6">
        <w:rPr>
          <w:rFonts w:asciiTheme="minorEastAsia" w:hAnsiTheme="minorEastAsia" w:cs="Arial" w:hint="eastAsia"/>
          <w:sz w:val="24"/>
          <w:szCs w:val="24"/>
        </w:rPr>
        <w:t>2019年</w:t>
      </w:r>
      <w:r w:rsidR="0092781B">
        <w:rPr>
          <w:rFonts w:asciiTheme="minorEastAsia" w:hAnsiTheme="minorEastAsia" w:cs="Arial"/>
          <w:sz w:val="24"/>
          <w:szCs w:val="24"/>
        </w:rPr>
        <w:t>11</w:t>
      </w:r>
      <w:r>
        <w:rPr>
          <w:rFonts w:asciiTheme="minorEastAsia" w:hAnsiTheme="minorEastAsia" w:cs="Arial" w:hint="eastAsia"/>
          <w:sz w:val="24"/>
          <w:szCs w:val="24"/>
        </w:rPr>
        <w:t>月</w:t>
      </w:r>
      <w:r w:rsidR="0092781B">
        <w:rPr>
          <w:rFonts w:asciiTheme="minorEastAsia" w:hAnsiTheme="minorEastAsia" w:cs="Arial"/>
          <w:sz w:val="24"/>
          <w:szCs w:val="24"/>
        </w:rPr>
        <w:t>26</w:t>
      </w:r>
      <w:r>
        <w:rPr>
          <w:rFonts w:asciiTheme="minorEastAsia" w:hAnsiTheme="minorEastAsia" w:cs="Arial" w:hint="eastAsia"/>
          <w:sz w:val="24"/>
          <w:szCs w:val="24"/>
        </w:rPr>
        <w:t>日复核了本次更新的招募说明书。</w:t>
      </w:r>
    </w:p>
    <w:p w14:paraId="13325E3D" w14:textId="77777777" w:rsidR="003E4D36" w:rsidRDefault="003E4D36">
      <w:pPr>
        <w:autoSpaceDE w:val="0"/>
        <w:autoSpaceDN w:val="0"/>
        <w:adjustRightInd w:val="0"/>
        <w:snapToGrid w:val="0"/>
        <w:spacing w:line="360" w:lineRule="auto"/>
        <w:jc w:val="center"/>
        <w:rPr>
          <w:rFonts w:ascii="Arial" w:eastAsia="宋体" w:hAnsi="Arial" w:cs="Arial"/>
          <w:b/>
          <w:bCs/>
          <w:sz w:val="28"/>
          <w:szCs w:val="28"/>
        </w:rPr>
      </w:pPr>
    </w:p>
    <w:p w14:paraId="0E56044F" w14:textId="77777777" w:rsidR="003E4D36" w:rsidRDefault="003E4D36">
      <w:pPr>
        <w:widowControl/>
        <w:spacing w:line="360" w:lineRule="auto"/>
        <w:jc w:val="left"/>
        <w:rPr>
          <w:rFonts w:ascii="Times New Roman" w:eastAsia="宋体" w:hAnsi="Times New Roman" w:cs="Times New Roman"/>
          <w:b/>
          <w:kern w:val="0"/>
          <w:sz w:val="30"/>
          <w:szCs w:val="30"/>
        </w:rPr>
        <w:sectPr w:rsidR="003E4D36">
          <w:pgSz w:w="11906" w:h="16838"/>
          <w:pgMar w:top="1440" w:right="1800" w:bottom="1440" w:left="1800" w:header="851" w:footer="992" w:gutter="0"/>
          <w:pgNumType w:start="1"/>
          <w:cols w:space="720"/>
          <w:docGrid w:type="lines" w:linePitch="312"/>
        </w:sectPr>
      </w:pPr>
      <w:bookmarkStart w:id="14" w:name="_Toc4867"/>
      <w:bookmarkStart w:id="15" w:name="_Toc139991730"/>
      <w:bookmarkStart w:id="16" w:name="_Toc11660"/>
      <w:bookmarkStart w:id="17" w:name="_Toc23386"/>
      <w:bookmarkStart w:id="18" w:name="_Toc8727"/>
      <w:bookmarkStart w:id="19" w:name="_Toc15517"/>
      <w:bookmarkStart w:id="20" w:name="_Toc6306"/>
      <w:bookmarkStart w:id="21" w:name="_Toc123701389"/>
      <w:bookmarkStart w:id="22" w:name="_Toc352229746"/>
      <w:bookmarkStart w:id="23" w:name="_Toc4966"/>
      <w:bookmarkStart w:id="24" w:name="_Toc141703880"/>
      <w:bookmarkStart w:id="25" w:name="_Toc123112229"/>
      <w:bookmarkStart w:id="26" w:name="_Toc29629"/>
      <w:bookmarkStart w:id="27" w:name="_Toc123112268"/>
      <w:bookmarkStart w:id="28" w:name="_Toc32639"/>
      <w:bookmarkStart w:id="29" w:name="_Toc30935"/>
      <w:bookmarkStart w:id="30" w:name="_Toc26897"/>
      <w:bookmarkStart w:id="31" w:name="_Toc233456271"/>
      <w:bookmarkEnd w:id="0"/>
      <w:bookmarkEnd w:id="1"/>
      <w:bookmarkEnd w:id="2"/>
      <w:bookmarkEnd w:id="3"/>
    </w:p>
    <w:p w14:paraId="14EFFC61" w14:textId="77777777" w:rsidR="003E4D36" w:rsidRDefault="00E729B5">
      <w:pPr>
        <w:jc w:val="center"/>
        <w:rPr>
          <w:b/>
          <w:bCs/>
          <w:sz w:val="24"/>
        </w:rPr>
      </w:pPr>
      <w:r>
        <w:rPr>
          <w:b/>
          <w:bCs/>
          <w:sz w:val="24"/>
        </w:rPr>
        <w:lastRenderedPageBreak/>
        <w:t>目</w:t>
      </w:r>
      <w:r>
        <w:rPr>
          <w:b/>
          <w:bCs/>
          <w:sz w:val="24"/>
        </w:rPr>
        <w:t xml:space="preserve">    </w:t>
      </w:r>
      <w:r>
        <w:rPr>
          <w:b/>
          <w:bCs/>
          <w:sz w:val="24"/>
        </w:rPr>
        <w:t>录</w:t>
      </w:r>
    </w:p>
    <w:p w14:paraId="55B1D91F" w14:textId="423545C0" w:rsidR="003E4D36" w:rsidRDefault="00B50748">
      <w:pPr>
        <w:pStyle w:val="11"/>
        <w:rPr>
          <w:rFonts w:asciiTheme="minorHAnsi" w:eastAsiaTheme="minorEastAsia" w:hAnsiTheme="minorHAnsi" w:cstheme="minorBidi"/>
          <w:noProof/>
          <w:szCs w:val="22"/>
        </w:rPr>
      </w:pPr>
      <w:r>
        <w:rPr>
          <w:bCs/>
        </w:rPr>
        <w:fldChar w:fldCharType="begin"/>
      </w:r>
      <w:r w:rsidR="00E729B5">
        <w:rPr>
          <w:bCs/>
        </w:rPr>
        <w:instrText xml:space="preserve"> TOC \o "1-1" \h \z \u </w:instrText>
      </w:r>
      <w:r>
        <w:rPr>
          <w:bCs/>
        </w:rPr>
        <w:fldChar w:fldCharType="separate"/>
      </w:r>
      <w:hyperlink w:anchor="_Toc523243816" w:history="1">
        <w:r w:rsidR="00E729B5">
          <w:rPr>
            <w:rStyle w:val="af9"/>
            <w:noProof/>
          </w:rPr>
          <w:t>第一部分</w:t>
        </w:r>
        <w:r w:rsidR="00E729B5">
          <w:rPr>
            <w:rStyle w:val="af9"/>
            <w:noProof/>
          </w:rPr>
          <w:t xml:space="preserve">  </w:t>
        </w:r>
        <w:r w:rsidR="00E729B5">
          <w:rPr>
            <w:rStyle w:val="af9"/>
            <w:noProof/>
          </w:rPr>
          <w:t>绪言</w:t>
        </w:r>
        <w:r w:rsidR="00E729B5">
          <w:rPr>
            <w:noProof/>
          </w:rPr>
          <w:tab/>
        </w:r>
        <w:r>
          <w:rPr>
            <w:noProof/>
          </w:rPr>
          <w:fldChar w:fldCharType="begin"/>
        </w:r>
        <w:r w:rsidR="00E729B5">
          <w:rPr>
            <w:noProof/>
          </w:rPr>
          <w:instrText xml:space="preserve"> PAGEREF _Toc523243816 \h </w:instrText>
        </w:r>
        <w:r>
          <w:rPr>
            <w:noProof/>
          </w:rPr>
        </w:r>
        <w:r>
          <w:rPr>
            <w:noProof/>
          </w:rPr>
          <w:fldChar w:fldCharType="separate"/>
        </w:r>
        <w:r w:rsidR="007474CE">
          <w:rPr>
            <w:noProof/>
          </w:rPr>
          <w:t>1</w:t>
        </w:r>
        <w:r>
          <w:rPr>
            <w:noProof/>
          </w:rPr>
          <w:fldChar w:fldCharType="end"/>
        </w:r>
      </w:hyperlink>
    </w:p>
    <w:p w14:paraId="22E369D5" w14:textId="58BB564A" w:rsidR="003E4D36" w:rsidRDefault="008B5FB7">
      <w:pPr>
        <w:pStyle w:val="11"/>
        <w:rPr>
          <w:rFonts w:asciiTheme="minorHAnsi" w:eastAsiaTheme="minorEastAsia" w:hAnsiTheme="minorHAnsi" w:cstheme="minorBidi"/>
          <w:noProof/>
          <w:szCs w:val="22"/>
        </w:rPr>
      </w:pPr>
      <w:hyperlink w:anchor="_Toc523243817" w:history="1">
        <w:r w:rsidR="00E729B5">
          <w:rPr>
            <w:rStyle w:val="af9"/>
            <w:noProof/>
          </w:rPr>
          <w:t>第二部分</w:t>
        </w:r>
        <w:r w:rsidR="00E729B5">
          <w:rPr>
            <w:rStyle w:val="af9"/>
            <w:noProof/>
          </w:rPr>
          <w:t xml:space="preserve">  </w:t>
        </w:r>
        <w:r w:rsidR="00E729B5">
          <w:rPr>
            <w:rStyle w:val="af9"/>
            <w:noProof/>
          </w:rPr>
          <w:t>释义</w:t>
        </w:r>
        <w:r w:rsidR="00E729B5">
          <w:rPr>
            <w:noProof/>
          </w:rPr>
          <w:tab/>
        </w:r>
        <w:r w:rsidR="00B50748">
          <w:rPr>
            <w:noProof/>
          </w:rPr>
          <w:fldChar w:fldCharType="begin"/>
        </w:r>
        <w:r w:rsidR="00E729B5">
          <w:rPr>
            <w:noProof/>
          </w:rPr>
          <w:instrText xml:space="preserve"> PAGEREF _Toc523243817 \h </w:instrText>
        </w:r>
        <w:r w:rsidR="00B50748">
          <w:rPr>
            <w:noProof/>
          </w:rPr>
        </w:r>
        <w:r w:rsidR="00B50748">
          <w:rPr>
            <w:noProof/>
          </w:rPr>
          <w:fldChar w:fldCharType="separate"/>
        </w:r>
        <w:r w:rsidR="007474CE">
          <w:rPr>
            <w:noProof/>
          </w:rPr>
          <w:t>2</w:t>
        </w:r>
        <w:r w:rsidR="00B50748">
          <w:rPr>
            <w:noProof/>
          </w:rPr>
          <w:fldChar w:fldCharType="end"/>
        </w:r>
      </w:hyperlink>
    </w:p>
    <w:p w14:paraId="095FD59E" w14:textId="24DB57B3" w:rsidR="003E4D36" w:rsidRDefault="008B5FB7">
      <w:pPr>
        <w:pStyle w:val="11"/>
        <w:rPr>
          <w:rFonts w:asciiTheme="minorHAnsi" w:eastAsiaTheme="minorEastAsia" w:hAnsiTheme="minorHAnsi" w:cstheme="minorBidi"/>
          <w:noProof/>
          <w:szCs w:val="22"/>
        </w:rPr>
      </w:pPr>
      <w:hyperlink w:anchor="_Toc523243818" w:history="1">
        <w:r w:rsidR="00E729B5">
          <w:rPr>
            <w:rStyle w:val="af9"/>
            <w:noProof/>
          </w:rPr>
          <w:t>第三部分</w:t>
        </w:r>
        <w:r w:rsidR="00E729B5">
          <w:rPr>
            <w:rStyle w:val="af9"/>
            <w:noProof/>
          </w:rPr>
          <w:t xml:space="preserve">  </w:t>
        </w:r>
        <w:r w:rsidR="00E729B5">
          <w:rPr>
            <w:rStyle w:val="af9"/>
            <w:noProof/>
          </w:rPr>
          <w:t>基金管理人</w:t>
        </w:r>
        <w:r w:rsidR="00E729B5">
          <w:rPr>
            <w:noProof/>
          </w:rPr>
          <w:tab/>
        </w:r>
        <w:r w:rsidR="00B50748">
          <w:rPr>
            <w:noProof/>
          </w:rPr>
          <w:fldChar w:fldCharType="begin"/>
        </w:r>
        <w:r w:rsidR="00E729B5">
          <w:rPr>
            <w:noProof/>
          </w:rPr>
          <w:instrText xml:space="preserve"> PAGEREF _Toc523243818 \h </w:instrText>
        </w:r>
        <w:r w:rsidR="00B50748">
          <w:rPr>
            <w:noProof/>
          </w:rPr>
        </w:r>
        <w:r w:rsidR="00B50748">
          <w:rPr>
            <w:noProof/>
          </w:rPr>
          <w:fldChar w:fldCharType="separate"/>
        </w:r>
        <w:r w:rsidR="007474CE">
          <w:rPr>
            <w:noProof/>
          </w:rPr>
          <w:t>7</w:t>
        </w:r>
        <w:r w:rsidR="00B50748">
          <w:rPr>
            <w:noProof/>
          </w:rPr>
          <w:fldChar w:fldCharType="end"/>
        </w:r>
      </w:hyperlink>
    </w:p>
    <w:p w14:paraId="3C92BB95" w14:textId="20E5EB9D" w:rsidR="003E4D36" w:rsidRDefault="008B5FB7">
      <w:pPr>
        <w:pStyle w:val="11"/>
        <w:rPr>
          <w:rFonts w:asciiTheme="minorHAnsi" w:eastAsiaTheme="minorEastAsia" w:hAnsiTheme="minorHAnsi" w:cstheme="minorBidi"/>
          <w:noProof/>
          <w:szCs w:val="22"/>
        </w:rPr>
      </w:pPr>
      <w:hyperlink w:anchor="_Toc523243819" w:history="1">
        <w:r w:rsidR="00E729B5">
          <w:rPr>
            <w:rStyle w:val="af9"/>
            <w:noProof/>
          </w:rPr>
          <w:t>第四部分</w:t>
        </w:r>
        <w:r w:rsidR="00E729B5">
          <w:rPr>
            <w:rStyle w:val="af9"/>
            <w:noProof/>
          </w:rPr>
          <w:t xml:space="preserve">  </w:t>
        </w:r>
        <w:r w:rsidR="00E729B5">
          <w:rPr>
            <w:rStyle w:val="af9"/>
            <w:noProof/>
          </w:rPr>
          <w:t>基金托管人</w:t>
        </w:r>
        <w:r w:rsidR="00E729B5">
          <w:rPr>
            <w:noProof/>
          </w:rPr>
          <w:tab/>
        </w:r>
        <w:r w:rsidR="00B50748">
          <w:rPr>
            <w:noProof/>
          </w:rPr>
          <w:fldChar w:fldCharType="begin"/>
        </w:r>
        <w:r w:rsidR="00E729B5">
          <w:rPr>
            <w:noProof/>
          </w:rPr>
          <w:instrText xml:space="preserve"> PAGEREF _Toc523243819 \h </w:instrText>
        </w:r>
        <w:r w:rsidR="00B50748">
          <w:rPr>
            <w:noProof/>
          </w:rPr>
        </w:r>
        <w:r w:rsidR="00B50748">
          <w:rPr>
            <w:noProof/>
          </w:rPr>
          <w:fldChar w:fldCharType="separate"/>
        </w:r>
        <w:r w:rsidR="007474CE">
          <w:rPr>
            <w:noProof/>
          </w:rPr>
          <w:t>18</w:t>
        </w:r>
        <w:r w:rsidR="00B50748">
          <w:rPr>
            <w:noProof/>
          </w:rPr>
          <w:fldChar w:fldCharType="end"/>
        </w:r>
      </w:hyperlink>
    </w:p>
    <w:p w14:paraId="64330AE9" w14:textId="4093A0A2" w:rsidR="003E4D36" w:rsidRDefault="008B5FB7">
      <w:pPr>
        <w:pStyle w:val="11"/>
        <w:rPr>
          <w:rFonts w:asciiTheme="minorHAnsi" w:eastAsiaTheme="minorEastAsia" w:hAnsiTheme="minorHAnsi" w:cstheme="minorBidi"/>
          <w:noProof/>
          <w:szCs w:val="22"/>
        </w:rPr>
      </w:pPr>
      <w:hyperlink w:anchor="_Toc523243820" w:history="1">
        <w:r w:rsidR="00E729B5">
          <w:rPr>
            <w:rStyle w:val="af9"/>
            <w:noProof/>
          </w:rPr>
          <w:t>第五部分</w:t>
        </w:r>
        <w:r w:rsidR="00E729B5">
          <w:rPr>
            <w:rStyle w:val="af9"/>
            <w:noProof/>
          </w:rPr>
          <w:t xml:space="preserve">  </w:t>
        </w:r>
        <w:r w:rsidR="00E729B5">
          <w:rPr>
            <w:rStyle w:val="af9"/>
            <w:noProof/>
          </w:rPr>
          <w:t>相关服务机构</w:t>
        </w:r>
        <w:r w:rsidR="00E729B5">
          <w:rPr>
            <w:noProof/>
          </w:rPr>
          <w:tab/>
        </w:r>
        <w:r w:rsidR="00B50748">
          <w:rPr>
            <w:noProof/>
          </w:rPr>
          <w:fldChar w:fldCharType="begin"/>
        </w:r>
        <w:r w:rsidR="00E729B5">
          <w:rPr>
            <w:noProof/>
          </w:rPr>
          <w:instrText xml:space="preserve"> PAGEREF _Toc523243820 \h </w:instrText>
        </w:r>
        <w:r w:rsidR="00B50748">
          <w:rPr>
            <w:noProof/>
          </w:rPr>
        </w:r>
        <w:r w:rsidR="00B50748">
          <w:rPr>
            <w:noProof/>
          </w:rPr>
          <w:fldChar w:fldCharType="separate"/>
        </w:r>
        <w:r w:rsidR="007474CE">
          <w:rPr>
            <w:noProof/>
          </w:rPr>
          <w:t>24</w:t>
        </w:r>
        <w:r w:rsidR="00B50748">
          <w:rPr>
            <w:noProof/>
          </w:rPr>
          <w:fldChar w:fldCharType="end"/>
        </w:r>
      </w:hyperlink>
    </w:p>
    <w:p w14:paraId="153666F0" w14:textId="096A0F20" w:rsidR="003E4D36" w:rsidRDefault="008B5FB7">
      <w:pPr>
        <w:pStyle w:val="11"/>
        <w:rPr>
          <w:rFonts w:asciiTheme="minorHAnsi" w:eastAsiaTheme="minorEastAsia" w:hAnsiTheme="minorHAnsi" w:cstheme="minorBidi"/>
          <w:noProof/>
          <w:szCs w:val="22"/>
        </w:rPr>
      </w:pPr>
      <w:hyperlink w:anchor="_Toc523243821" w:history="1">
        <w:r w:rsidR="00E729B5">
          <w:rPr>
            <w:rStyle w:val="af9"/>
            <w:noProof/>
          </w:rPr>
          <w:t>第六部分</w:t>
        </w:r>
        <w:r w:rsidR="00E729B5">
          <w:rPr>
            <w:rStyle w:val="af9"/>
            <w:noProof/>
          </w:rPr>
          <w:t xml:space="preserve">  </w:t>
        </w:r>
        <w:r w:rsidR="00E729B5">
          <w:rPr>
            <w:rStyle w:val="af9"/>
            <w:noProof/>
          </w:rPr>
          <w:t>基金的募集</w:t>
        </w:r>
        <w:r w:rsidR="00E729B5">
          <w:rPr>
            <w:noProof/>
          </w:rPr>
          <w:tab/>
        </w:r>
        <w:r w:rsidR="00B50748">
          <w:rPr>
            <w:noProof/>
          </w:rPr>
          <w:fldChar w:fldCharType="begin"/>
        </w:r>
        <w:r w:rsidR="00E729B5">
          <w:rPr>
            <w:noProof/>
          </w:rPr>
          <w:instrText xml:space="preserve"> PAGEREF _Toc523243821 \h </w:instrText>
        </w:r>
        <w:r w:rsidR="00B50748">
          <w:rPr>
            <w:noProof/>
          </w:rPr>
        </w:r>
        <w:r w:rsidR="00B50748">
          <w:rPr>
            <w:noProof/>
          </w:rPr>
          <w:fldChar w:fldCharType="separate"/>
        </w:r>
        <w:r w:rsidR="007474CE">
          <w:rPr>
            <w:noProof/>
          </w:rPr>
          <w:t>31</w:t>
        </w:r>
        <w:r w:rsidR="00B50748">
          <w:rPr>
            <w:noProof/>
          </w:rPr>
          <w:fldChar w:fldCharType="end"/>
        </w:r>
      </w:hyperlink>
    </w:p>
    <w:p w14:paraId="6317B3F1" w14:textId="6CE092A1" w:rsidR="003E4D36" w:rsidRDefault="008B5FB7">
      <w:pPr>
        <w:pStyle w:val="11"/>
        <w:rPr>
          <w:rFonts w:asciiTheme="minorHAnsi" w:eastAsiaTheme="minorEastAsia" w:hAnsiTheme="minorHAnsi" w:cstheme="minorBidi"/>
          <w:noProof/>
          <w:szCs w:val="22"/>
        </w:rPr>
      </w:pPr>
      <w:hyperlink w:anchor="_Toc523243822" w:history="1">
        <w:r w:rsidR="00E729B5">
          <w:rPr>
            <w:rStyle w:val="af9"/>
            <w:noProof/>
          </w:rPr>
          <w:t>第七部分</w:t>
        </w:r>
        <w:r w:rsidR="00E729B5">
          <w:rPr>
            <w:rStyle w:val="af9"/>
            <w:noProof/>
          </w:rPr>
          <w:t xml:space="preserve">  </w:t>
        </w:r>
        <w:r w:rsidR="00E729B5">
          <w:rPr>
            <w:rStyle w:val="af9"/>
            <w:noProof/>
          </w:rPr>
          <w:t>基金合同的生效</w:t>
        </w:r>
        <w:r w:rsidR="00E729B5">
          <w:rPr>
            <w:noProof/>
          </w:rPr>
          <w:tab/>
        </w:r>
        <w:r w:rsidR="00B50748">
          <w:rPr>
            <w:noProof/>
          </w:rPr>
          <w:fldChar w:fldCharType="begin"/>
        </w:r>
        <w:r w:rsidR="00E729B5">
          <w:rPr>
            <w:noProof/>
          </w:rPr>
          <w:instrText xml:space="preserve"> PAGEREF _Toc523243822 \h </w:instrText>
        </w:r>
        <w:r w:rsidR="00B50748">
          <w:rPr>
            <w:noProof/>
          </w:rPr>
        </w:r>
        <w:r w:rsidR="00B50748">
          <w:rPr>
            <w:noProof/>
          </w:rPr>
          <w:fldChar w:fldCharType="separate"/>
        </w:r>
        <w:r w:rsidR="007474CE">
          <w:rPr>
            <w:noProof/>
          </w:rPr>
          <w:t>32</w:t>
        </w:r>
        <w:r w:rsidR="00B50748">
          <w:rPr>
            <w:noProof/>
          </w:rPr>
          <w:fldChar w:fldCharType="end"/>
        </w:r>
      </w:hyperlink>
    </w:p>
    <w:p w14:paraId="1F5F0B94" w14:textId="30415CE5" w:rsidR="003E4D36" w:rsidRDefault="008B5FB7">
      <w:pPr>
        <w:pStyle w:val="11"/>
        <w:rPr>
          <w:rFonts w:asciiTheme="minorHAnsi" w:eastAsiaTheme="minorEastAsia" w:hAnsiTheme="minorHAnsi" w:cstheme="minorBidi"/>
          <w:noProof/>
          <w:szCs w:val="22"/>
        </w:rPr>
      </w:pPr>
      <w:hyperlink w:anchor="_Toc523243823" w:history="1">
        <w:r w:rsidR="00E729B5">
          <w:rPr>
            <w:rStyle w:val="af9"/>
            <w:noProof/>
          </w:rPr>
          <w:t>第八部分</w:t>
        </w:r>
        <w:r w:rsidR="00E729B5">
          <w:rPr>
            <w:rStyle w:val="af9"/>
            <w:noProof/>
          </w:rPr>
          <w:t xml:space="preserve">  </w:t>
        </w:r>
        <w:r w:rsidR="00E729B5">
          <w:rPr>
            <w:rStyle w:val="af9"/>
            <w:noProof/>
          </w:rPr>
          <w:t>基金份额的申购与赎回</w:t>
        </w:r>
        <w:r w:rsidR="00E729B5">
          <w:rPr>
            <w:noProof/>
          </w:rPr>
          <w:tab/>
        </w:r>
        <w:r w:rsidR="00B50748">
          <w:rPr>
            <w:noProof/>
          </w:rPr>
          <w:fldChar w:fldCharType="begin"/>
        </w:r>
        <w:r w:rsidR="00E729B5">
          <w:rPr>
            <w:noProof/>
          </w:rPr>
          <w:instrText xml:space="preserve"> PAGEREF _Toc523243823 \h </w:instrText>
        </w:r>
        <w:r w:rsidR="00B50748">
          <w:rPr>
            <w:noProof/>
          </w:rPr>
        </w:r>
        <w:r w:rsidR="00B50748">
          <w:rPr>
            <w:noProof/>
          </w:rPr>
          <w:fldChar w:fldCharType="separate"/>
        </w:r>
        <w:r w:rsidR="007474CE">
          <w:rPr>
            <w:noProof/>
          </w:rPr>
          <w:t>33</w:t>
        </w:r>
        <w:r w:rsidR="00B50748">
          <w:rPr>
            <w:noProof/>
          </w:rPr>
          <w:fldChar w:fldCharType="end"/>
        </w:r>
      </w:hyperlink>
    </w:p>
    <w:p w14:paraId="1C4BFD3E" w14:textId="4123BE5C" w:rsidR="003E4D36" w:rsidRDefault="008B5FB7">
      <w:pPr>
        <w:pStyle w:val="11"/>
        <w:rPr>
          <w:rFonts w:asciiTheme="minorHAnsi" w:eastAsiaTheme="minorEastAsia" w:hAnsiTheme="minorHAnsi" w:cstheme="minorBidi"/>
          <w:noProof/>
          <w:szCs w:val="22"/>
        </w:rPr>
      </w:pPr>
      <w:hyperlink w:anchor="_Toc523243824" w:history="1">
        <w:r w:rsidR="00E729B5">
          <w:rPr>
            <w:rStyle w:val="af9"/>
            <w:noProof/>
          </w:rPr>
          <w:t>第九部分</w:t>
        </w:r>
        <w:r w:rsidR="00E729B5">
          <w:rPr>
            <w:rStyle w:val="af9"/>
            <w:noProof/>
          </w:rPr>
          <w:t xml:space="preserve">  </w:t>
        </w:r>
        <w:r w:rsidR="00E729B5">
          <w:rPr>
            <w:rStyle w:val="af9"/>
            <w:noProof/>
          </w:rPr>
          <w:t>基金的投资</w:t>
        </w:r>
        <w:r w:rsidR="00E729B5">
          <w:rPr>
            <w:noProof/>
          </w:rPr>
          <w:tab/>
        </w:r>
        <w:r w:rsidR="00B50748">
          <w:rPr>
            <w:noProof/>
          </w:rPr>
          <w:fldChar w:fldCharType="begin"/>
        </w:r>
        <w:r w:rsidR="00E729B5">
          <w:rPr>
            <w:noProof/>
          </w:rPr>
          <w:instrText xml:space="preserve"> PAGEREF _Toc523243824 \h </w:instrText>
        </w:r>
        <w:r w:rsidR="00B50748">
          <w:rPr>
            <w:noProof/>
          </w:rPr>
        </w:r>
        <w:r w:rsidR="00B50748">
          <w:rPr>
            <w:noProof/>
          </w:rPr>
          <w:fldChar w:fldCharType="separate"/>
        </w:r>
        <w:r w:rsidR="007474CE">
          <w:rPr>
            <w:noProof/>
          </w:rPr>
          <w:t>44</w:t>
        </w:r>
        <w:r w:rsidR="00B50748">
          <w:rPr>
            <w:noProof/>
          </w:rPr>
          <w:fldChar w:fldCharType="end"/>
        </w:r>
      </w:hyperlink>
    </w:p>
    <w:p w14:paraId="2A3EEA26" w14:textId="2FBCDE80" w:rsidR="003E4D36" w:rsidRDefault="008B5FB7">
      <w:pPr>
        <w:pStyle w:val="11"/>
        <w:rPr>
          <w:rFonts w:asciiTheme="minorHAnsi" w:eastAsiaTheme="minorEastAsia" w:hAnsiTheme="minorHAnsi" w:cstheme="minorBidi"/>
          <w:noProof/>
          <w:szCs w:val="22"/>
        </w:rPr>
      </w:pPr>
      <w:hyperlink w:anchor="_Toc523243825" w:history="1">
        <w:r w:rsidR="00E729B5">
          <w:rPr>
            <w:rStyle w:val="af9"/>
            <w:noProof/>
          </w:rPr>
          <w:t>第十部分</w:t>
        </w:r>
        <w:r w:rsidR="00E729B5">
          <w:rPr>
            <w:rStyle w:val="af9"/>
            <w:noProof/>
          </w:rPr>
          <w:t xml:space="preserve">  </w:t>
        </w:r>
        <w:r w:rsidR="00E729B5">
          <w:rPr>
            <w:rStyle w:val="af9"/>
            <w:noProof/>
          </w:rPr>
          <w:t>基金的财产</w:t>
        </w:r>
        <w:r w:rsidR="00E729B5">
          <w:rPr>
            <w:noProof/>
          </w:rPr>
          <w:tab/>
        </w:r>
        <w:r w:rsidR="00B50748">
          <w:rPr>
            <w:noProof/>
          </w:rPr>
          <w:fldChar w:fldCharType="begin"/>
        </w:r>
        <w:r w:rsidR="00E729B5">
          <w:rPr>
            <w:noProof/>
          </w:rPr>
          <w:instrText xml:space="preserve"> PAGEREF _Toc523243825 \h </w:instrText>
        </w:r>
        <w:r w:rsidR="00B50748">
          <w:rPr>
            <w:noProof/>
          </w:rPr>
        </w:r>
        <w:r w:rsidR="00B50748">
          <w:rPr>
            <w:noProof/>
          </w:rPr>
          <w:fldChar w:fldCharType="separate"/>
        </w:r>
        <w:r w:rsidR="007474CE">
          <w:rPr>
            <w:noProof/>
          </w:rPr>
          <w:t>58</w:t>
        </w:r>
        <w:r w:rsidR="00B50748">
          <w:rPr>
            <w:noProof/>
          </w:rPr>
          <w:fldChar w:fldCharType="end"/>
        </w:r>
      </w:hyperlink>
    </w:p>
    <w:p w14:paraId="4AA9773D" w14:textId="412073AE" w:rsidR="003E4D36" w:rsidRDefault="008B5FB7">
      <w:pPr>
        <w:pStyle w:val="11"/>
        <w:rPr>
          <w:rFonts w:asciiTheme="minorHAnsi" w:eastAsiaTheme="minorEastAsia" w:hAnsiTheme="minorHAnsi" w:cstheme="minorBidi"/>
          <w:noProof/>
          <w:szCs w:val="22"/>
        </w:rPr>
      </w:pPr>
      <w:hyperlink w:anchor="_Toc523243826" w:history="1">
        <w:r w:rsidR="00E729B5">
          <w:rPr>
            <w:rStyle w:val="af9"/>
            <w:noProof/>
          </w:rPr>
          <w:t>第十一部分</w:t>
        </w:r>
        <w:r w:rsidR="00E729B5">
          <w:rPr>
            <w:rStyle w:val="af9"/>
            <w:noProof/>
          </w:rPr>
          <w:t xml:space="preserve">  </w:t>
        </w:r>
        <w:r w:rsidR="00E729B5">
          <w:rPr>
            <w:rStyle w:val="af9"/>
            <w:noProof/>
          </w:rPr>
          <w:t>基金资产的估值</w:t>
        </w:r>
        <w:r w:rsidR="00E729B5">
          <w:rPr>
            <w:noProof/>
          </w:rPr>
          <w:tab/>
        </w:r>
        <w:r w:rsidR="00B50748">
          <w:rPr>
            <w:noProof/>
          </w:rPr>
          <w:fldChar w:fldCharType="begin"/>
        </w:r>
        <w:r w:rsidR="00E729B5">
          <w:rPr>
            <w:noProof/>
          </w:rPr>
          <w:instrText xml:space="preserve"> PAGEREF _Toc523243826 \h </w:instrText>
        </w:r>
        <w:r w:rsidR="00B50748">
          <w:rPr>
            <w:noProof/>
          </w:rPr>
        </w:r>
        <w:r w:rsidR="00B50748">
          <w:rPr>
            <w:noProof/>
          </w:rPr>
          <w:fldChar w:fldCharType="separate"/>
        </w:r>
        <w:r w:rsidR="007474CE">
          <w:rPr>
            <w:noProof/>
          </w:rPr>
          <w:t>59</w:t>
        </w:r>
        <w:r w:rsidR="00B50748">
          <w:rPr>
            <w:noProof/>
          </w:rPr>
          <w:fldChar w:fldCharType="end"/>
        </w:r>
      </w:hyperlink>
    </w:p>
    <w:p w14:paraId="62504B48" w14:textId="213E455E" w:rsidR="003E4D36" w:rsidRDefault="008B5FB7">
      <w:pPr>
        <w:pStyle w:val="11"/>
        <w:rPr>
          <w:rFonts w:asciiTheme="minorHAnsi" w:eastAsiaTheme="minorEastAsia" w:hAnsiTheme="minorHAnsi" w:cstheme="minorBidi"/>
          <w:noProof/>
          <w:szCs w:val="22"/>
        </w:rPr>
      </w:pPr>
      <w:hyperlink w:anchor="_Toc523243827" w:history="1">
        <w:r w:rsidR="00E729B5">
          <w:rPr>
            <w:rStyle w:val="af9"/>
            <w:noProof/>
          </w:rPr>
          <w:t>第十二部分</w:t>
        </w:r>
        <w:r w:rsidR="00E729B5">
          <w:rPr>
            <w:rStyle w:val="af9"/>
            <w:noProof/>
          </w:rPr>
          <w:t xml:space="preserve">  </w:t>
        </w:r>
        <w:r w:rsidR="00E729B5">
          <w:rPr>
            <w:rStyle w:val="af9"/>
            <w:noProof/>
          </w:rPr>
          <w:t>基金的收益分配</w:t>
        </w:r>
        <w:r w:rsidR="00E729B5">
          <w:rPr>
            <w:noProof/>
          </w:rPr>
          <w:tab/>
        </w:r>
        <w:r w:rsidR="00B50748">
          <w:rPr>
            <w:noProof/>
          </w:rPr>
          <w:fldChar w:fldCharType="begin"/>
        </w:r>
        <w:r w:rsidR="00E729B5">
          <w:rPr>
            <w:noProof/>
          </w:rPr>
          <w:instrText xml:space="preserve"> PAGEREF _Toc523243827 \h </w:instrText>
        </w:r>
        <w:r w:rsidR="00B50748">
          <w:rPr>
            <w:noProof/>
          </w:rPr>
        </w:r>
        <w:r w:rsidR="00B50748">
          <w:rPr>
            <w:noProof/>
          </w:rPr>
          <w:fldChar w:fldCharType="separate"/>
        </w:r>
        <w:r w:rsidR="007474CE">
          <w:rPr>
            <w:noProof/>
          </w:rPr>
          <w:t>65</w:t>
        </w:r>
        <w:r w:rsidR="00B50748">
          <w:rPr>
            <w:noProof/>
          </w:rPr>
          <w:fldChar w:fldCharType="end"/>
        </w:r>
      </w:hyperlink>
    </w:p>
    <w:p w14:paraId="3D64E71E" w14:textId="7BD5BA6E" w:rsidR="003E4D36" w:rsidRDefault="008B5FB7">
      <w:pPr>
        <w:pStyle w:val="11"/>
        <w:rPr>
          <w:rFonts w:asciiTheme="minorHAnsi" w:eastAsiaTheme="minorEastAsia" w:hAnsiTheme="minorHAnsi" w:cstheme="minorBidi"/>
          <w:noProof/>
          <w:szCs w:val="22"/>
        </w:rPr>
      </w:pPr>
      <w:hyperlink w:anchor="_Toc523243828" w:history="1">
        <w:r w:rsidR="00E729B5">
          <w:rPr>
            <w:rStyle w:val="af9"/>
            <w:noProof/>
          </w:rPr>
          <w:t>第十三部分</w:t>
        </w:r>
        <w:r w:rsidR="00E729B5">
          <w:rPr>
            <w:rStyle w:val="af9"/>
            <w:noProof/>
          </w:rPr>
          <w:t xml:space="preserve">  </w:t>
        </w:r>
        <w:r w:rsidR="00E729B5">
          <w:rPr>
            <w:rStyle w:val="af9"/>
            <w:noProof/>
          </w:rPr>
          <w:t>基金费用与税收</w:t>
        </w:r>
        <w:r w:rsidR="00E729B5">
          <w:rPr>
            <w:noProof/>
          </w:rPr>
          <w:tab/>
        </w:r>
        <w:r w:rsidR="00B50748">
          <w:rPr>
            <w:noProof/>
          </w:rPr>
          <w:fldChar w:fldCharType="begin"/>
        </w:r>
        <w:r w:rsidR="00E729B5">
          <w:rPr>
            <w:noProof/>
          </w:rPr>
          <w:instrText xml:space="preserve"> PAGEREF _Toc523243828 \h </w:instrText>
        </w:r>
        <w:r w:rsidR="00B50748">
          <w:rPr>
            <w:noProof/>
          </w:rPr>
        </w:r>
        <w:r w:rsidR="00B50748">
          <w:rPr>
            <w:noProof/>
          </w:rPr>
          <w:fldChar w:fldCharType="separate"/>
        </w:r>
        <w:r w:rsidR="007474CE">
          <w:rPr>
            <w:noProof/>
          </w:rPr>
          <w:t>67</w:t>
        </w:r>
        <w:r w:rsidR="00B50748">
          <w:rPr>
            <w:noProof/>
          </w:rPr>
          <w:fldChar w:fldCharType="end"/>
        </w:r>
      </w:hyperlink>
    </w:p>
    <w:p w14:paraId="63033B32" w14:textId="2171A613" w:rsidR="003E4D36" w:rsidRDefault="008B5FB7">
      <w:pPr>
        <w:pStyle w:val="11"/>
        <w:rPr>
          <w:rFonts w:asciiTheme="minorHAnsi" w:eastAsiaTheme="minorEastAsia" w:hAnsiTheme="minorHAnsi" w:cstheme="minorBidi"/>
          <w:noProof/>
          <w:szCs w:val="22"/>
        </w:rPr>
      </w:pPr>
      <w:hyperlink w:anchor="_Toc523243829" w:history="1">
        <w:r w:rsidR="00E729B5">
          <w:rPr>
            <w:rStyle w:val="af9"/>
            <w:noProof/>
          </w:rPr>
          <w:t>第十四部分</w:t>
        </w:r>
        <w:r w:rsidR="00E729B5">
          <w:rPr>
            <w:rStyle w:val="af9"/>
            <w:noProof/>
          </w:rPr>
          <w:t xml:space="preserve">  </w:t>
        </w:r>
        <w:r w:rsidR="00E729B5">
          <w:rPr>
            <w:rStyle w:val="af9"/>
            <w:noProof/>
          </w:rPr>
          <w:t>基金的会计与审计</w:t>
        </w:r>
        <w:r w:rsidR="00E729B5">
          <w:rPr>
            <w:noProof/>
          </w:rPr>
          <w:tab/>
        </w:r>
        <w:r w:rsidR="00B50748">
          <w:rPr>
            <w:noProof/>
          </w:rPr>
          <w:fldChar w:fldCharType="begin"/>
        </w:r>
        <w:r w:rsidR="00E729B5">
          <w:rPr>
            <w:noProof/>
          </w:rPr>
          <w:instrText xml:space="preserve"> PAGEREF _Toc523243829 \h </w:instrText>
        </w:r>
        <w:r w:rsidR="00B50748">
          <w:rPr>
            <w:noProof/>
          </w:rPr>
        </w:r>
        <w:r w:rsidR="00B50748">
          <w:rPr>
            <w:noProof/>
          </w:rPr>
          <w:fldChar w:fldCharType="separate"/>
        </w:r>
        <w:r w:rsidR="007474CE">
          <w:rPr>
            <w:noProof/>
          </w:rPr>
          <w:t>70</w:t>
        </w:r>
        <w:r w:rsidR="00B50748">
          <w:rPr>
            <w:noProof/>
          </w:rPr>
          <w:fldChar w:fldCharType="end"/>
        </w:r>
      </w:hyperlink>
    </w:p>
    <w:p w14:paraId="0E02CA14" w14:textId="44C81096" w:rsidR="003E4D36" w:rsidRDefault="008B5FB7">
      <w:pPr>
        <w:pStyle w:val="11"/>
        <w:rPr>
          <w:rFonts w:asciiTheme="minorHAnsi" w:eastAsiaTheme="minorEastAsia" w:hAnsiTheme="minorHAnsi" w:cstheme="minorBidi"/>
          <w:noProof/>
          <w:szCs w:val="22"/>
        </w:rPr>
      </w:pPr>
      <w:hyperlink w:anchor="_Toc523243830" w:history="1">
        <w:r w:rsidR="00E729B5">
          <w:rPr>
            <w:rStyle w:val="af9"/>
            <w:noProof/>
          </w:rPr>
          <w:t>第十五部分</w:t>
        </w:r>
        <w:r w:rsidR="00E729B5">
          <w:rPr>
            <w:rStyle w:val="af9"/>
            <w:noProof/>
          </w:rPr>
          <w:t xml:space="preserve">  </w:t>
        </w:r>
        <w:r w:rsidR="00E729B5">
          <w:rPr>
            <w:rStyle w:val="af9"/>
            <w:noProof/>
          </w:rPr>
          <w:t>基金的信息披露</w:t>
        </w:r>
        <w:r w:rsidR="00E729B5">
          <w:rPr>
            <w:noProof/>
          </w:rPr>
          <w:tab/>
        </w:r>
        <w:r w:rsidR="00B50748">
          <w:rPr>
            <w:noProof/>
          </w:rPr>
          <w:fldChar w:fldCharType="begin"/>
        </w:r>
        <w:r w:rsidR="00E729B5">
          <w:rPr>
            <w:noProof/>
          </w:rPr>
          <w:instrText xml:space="preserve"> PAGEREF _Toc523243830 \h </w:instrText>
        </w:r>
        <w:r w:rsidR="00B50748">
          <w:rPr>
            <w:noProof/>
          </w:rPr>
        </w:r>
        <w:r w:rsidR="00B50748">
          <w:rPr>
            <w:noProof/>
          </w:rPr>
          <w:fldChar w:fldCharType="separate"/>
        </w:r>
        <w:r w:rsidR="007474CE">
          <w:rPr>
            <w:noProof/>
          </w:rPr>
          <w:t>71</w:t>
        </w:r>
        <w:r w:rsidR="00B50748">
          <w:rPr>
            <w:noProof/>
          </w:rPr>
          <w:fldChar w:fldCharType="end"/>
        </w:r>
      </w:hyperlink>
    </w:p>
    <w:p w14:paraId="1C0F1DBC" w14:textId="5CF4E3E6" w:rsidR="003E4D36" w:rsidRDefault="008B5FB7">
      <w:pPr>
        <w:pStyle w:val="11"/>
        <w:rPr>
          <w:rFonts w:asciiTheme="minorHAnsi" w:eastAsiaTheme="minorEastAsia" w:hAnsiTheme="minorHAnsi" w:cstheme="minorBidi"/>
          <w:noProof/>
          <w:szCs w:val="22"/>
        </w:rPr>
      </w:pPr>
      <w:hyperlink w:anchor="_Toc523243831" w:history="1">
        <w:r w:rsidR="00E729B5">
          <w:rPr>
            <w:rStyle w:val="af9"/>
            <w:noProof/>
          </w:rPr>
          <w:t>第十六部分</w:t>
        </w:r>
        <w:r w:rsidR="00E729B5">
          <w:rPr>
            <w:rStyle w:val="af9"/>
            <w:noProof/>
          </w:rPr>
          <w:t xml:space="preserve">  </w:t>
        </w:r>
        <w:r w:rsidR="00E729B5">
          <w:rPr>
            <w:rStyle w:val="af9"/>
            <w:noProof/>
          </w:rPr>
          <w:t>风险揭示</w:t>
        </w:r>
        <w:r w:rsidR="00E729B5">
          <w:rPr>
            <w:noProof/>
          </w:rPr>
          <w:tab/>
        </w:r>
        <w:r w:rsidR="00B50748">
          <w:rPr>
            <w:noProof/>
          </w:rPr>
          <w:fldChar w:fldCharType="begin"/>
        </w:r>
        <w:r w:rsidR="00E729B5">
          <w:rPr>
            <w:noProof/>
          </w:rPr>
          <w:instrText xml:space="preserve"> PAGEREF _Toc523243831 \h </w:instrText>
        </w:r>
        <w:r w:rsidR="00B50748">
          <w:rPr>
            <w:noProof/>
          </w:rPr>
        </w:r>
        <w:r w:rsidR="00B50748">
          <w:rPr>
            <w:noProof/>
          </w:rPr>
          <w:fldChar w:fldCharType="separate"/>
        </w:r>
        <w:r w:rsidR="007474CE">
          <w:rPr>
            <w:noProof/>
          </w:rPr>
          <w:t>77</w:t>
        </w:r>
        <w:r w:rsidR="00B50748">
          <w:rPr>
            <w:noProof/>
          </w:rPr>
          <w:fldChar w:fldCharType="end"/>
        </w:r>
      </w:hyperlink>
    </w:p>
    <w:p w14:paraId="0AF47F2E" w14:textId="293A9951" w:rsidR="003E4D36" w:rsidRDefault="008B5FB7">
      <w:pPr>
        <w:pStyle w:val="11"/>
        <w:rPr>
          <w:rFonts w:asciiTheme="minorHAnsi" w:eastAsiaTheme="minorEastAsia" w:hAnsiTheme="minorHAnsi" w:cstheme="minorBidi"/>
          <w:noProof/>
          <w:szCs w:val="22"/>
        </w:rPr>
      </w:pPr>
      <w:hyperlink w:anchor="_Toc523243832" w:history="1">
        <w:r w:rsidR="00E729B5">
          <w:rPr>
            <w:rStyle w:val="af9"/>
            <w:noProof/>
          </w:rPr>
          <w:t>第十七部分</w:t>
        </w:r>
        <w:r w:rsidR="00E729B5">
          <w:rPr>
            <w:rStyle w:val="af9"/>
            <w:noProof/>
          </w:rPr>
          <w:t xml:space="preserve">  </w:t>
        </w:r>
        <w:r w:rsidR="00E729B5">
          <w:rPr>
            <w:rStyle w:val="af9"/>
            <w:noProof/>
          </w:rPr>
          <w:t>基金合同的变更、终止与基金财产的清算</w:t>
        </w:r>
        <w:r w:rsidR="00E729B5">
          <w:rPr>
            <w:noProof/>
          </w:rPr>
          <w:tab/>
        </w:r>
        <w:r w:rsidR="00B50748">
          <w:rPr>
            <w:noProof/>
          </w:rPr>
          <w:fldChar w:fldCharType="begin"/>
        </w:r>
        <w:r w:rsidR="00E729B5">
          <w:rPr>
            <w:noProof/>
          </w:rPr>
          <w:instrText xml:space="preserve"> PAGEREF _Toc523243832 \h </w:instrText>
        </w:r>
        <w:r w:rsidR="00B50748">
          <w:rPr>
            <w:noProof/>
          </w:rPr>
        </w:r>
        <w:r w:rsidR="00B50748">
          <w:rPr>
            <w:noProof/>
          </w:rPr>
          <w:fldChar w:fldCharType="separate"/>
        </w:r>
        <w:r w:rsidR="007474CE">
          <w:rPr>
            <w:noProof/>
          </w:rPr>
          <w:t>82</w:t>
        </w:r>
        <w:r w:rsidR="00B50748">
          <w:rPr>
            <w:noProof/>
          </w:rPr>
          <w:fldChar w:fldCharType="end"/>
        </w:r>
      </w:hyperlink>
    </w:p>
    <w:p w14:paraId="60BFBEEE" w14:textId="70FAF485" w:rsidR="003E4D36" w:rsidRDefault="008B5FB7">
      <w:pPr>
        <w:pStyle w:val="11"/>
        <w:rPr>
          <w:rFonts w:asciiTheme="minorHAnsi" w:eastAsiaTheme="minorEastAsia" w:hAnsiTheme="minorHAnsi" w:cstheme="minorBidi"/>
          <w:noProof/>
          <w:szCs w:val="22"/>
        </w:rPr>
      </w:pPr>
      <w:hyperlink w:anchor="_Toc523243833" w:history="1">
        <w:r w:rsidR="00E729B5">
          <w:rPr>
            <w:rStyle w:val="af9"/>
            <w:noProof/>
          </w:rPr>
          <w:t>第十八部分</w:t>
        </w:r>
        <w:r w:rsidR="00E729B5">
          <w:rPr>
            <w:rStyle w:val="af9"/>
            <w:noProof/>
          </w:rPr>
          <w:t xml:space="preserve">  </w:t>
        </w:r>
        <w:r w:rsidR="00E729B5">
          <w:rPr>
            <w:rStyle w:val="af9"/>
            <w:noProof/>
          </w:rPr>
          <w:t>基金合同的内容摘要</w:t>
        </w:r>
        <w:r w:rsidR="00E729B5">
          <w:rPr>
            <w:noProof/>
          </w:rPr>
          <w:tab/>
        </w:r>
        <w:r w:rsidR="00B50748">
          <w:rPr>
            <w:noProof/>
          </w:rPr>
          <w:fldChar w:fldCharType="begin"/>
        </w:r>
        <w:r w:rsidR="00E729B5">
          <w:rPr>
            <w:noProof/>
          </w:rPr>
          <w:instrText xml:space="preserve"> PAGEREF _Toc523243833 \h </w:instrText>
        </w:r>
        <w:r w:rsidR="00B50748">
          <w:rPr>
            <w:noProof/>
          </w:rPr>
        </w:r>
        <w:r w:rsidR="00B50748">
          <w:rPr>
            <w:noProof/>
          </w:rPr>
          <w:fldChar w:fldCharType="separate"/>
        </w:r>
        <w:r w:rsidR="007474CE">
          <w:rPr>
            <w:noProof/>
          </w:rPr>
          <w:t>84</w:t>
        </w:r>
        <w:r w:rsidR="00B50748">
          <w:rPr>
            <w:noProof/>
          </w:rPr>
          <w:fldChar w:fldCharType="end"/>
        </w:r>
      </w:hyperlink>
    </w:p>
    <w:p w14:paraId="370CABA5" w14:textId="5F317A4D" w:rsidR="003E4D36" w:rsidRDefault="008B5FB7">
      <w:pPr>
        <w:pStyle w:val="11"/>
        <w:rPr>
          <w:rFonts w:asciiTheme="minorHAnsi" w:eastAsiaTheme="minorEastAsia" w:hAnsiTheme="minorHAnsi" w:cstheme="minorBidi"/>
          <w:noProof/>
          <w:szCs w:val="22"/>
        </w:rPr>
      </w:pPr>
      <w:hyperlink w:anchor="_Toc523243834" w:history="1">
        <w:r w:rsidR="00E729B5">
          <w:rPr>
            <w:rStyle w:val="af9"/>
            <w:noProof/>
          </w:rPr>
          <w:t>第十九部分</w:t>
        </w:r>
        <w:r w:rsidR="00E729B5">
          <w:rPr>
            <w:rStyle w:val="af9"/>
            <w:noProof/>
          </w:rPr>
          <w:t xml:space="preserve">  </w:t>
        </w:r>
        <w:r w:rsidR="00E729B5">
          <w:rPr>
            <w:rStyle w:val="af9"/>
            <w:noProof/>
          </w:rPr>
          <w:t>基金托管协议的内容摘要</w:t>
        </w:r>
        <w:r w:rsidR="00E729B5">
          <w:rPr>
            <w:noProof/>
          </w:rPr>
          <w:tab/>
        </w:r>
        <w:r w:rsidR="00B50748">
          <w:rPr>
            <w:noProof/>
          </w:rPr>
          <w:fldChar w:fldCharType="begin"/>
        </w:r>
        <w:r w:rsidR="00E729B5">
          <w:rPr>
            <w:noProof/>
          </w:rPr>
          <w:instrText xml:space="preserve"> PAGEREF _Toc523243834 \h </w:instrText>
        </w:r>
        <w:r w:rsidR="00B50748">
          <w:rPr>
            <w:noProof/>
          </w:rPr>
        </w:r>
        <w:r w:rsidR="00B50748">
          <w:rPr>
            <w:noProof/>
          </w:rPr>
          <w:fldChar w:fldCharType="separate"/>
        </w:r>
        <w:r w:rsidR="007474CE">
          <w:rPr>
            <w:noProof/>
          </w:rPr>
          <w:t>100</w:t>
        </w:r>
        <w:r w:rsidR="00B50748">
          <w:rPr>
            <w:noProof/>
          </w:rPr>
          <w:fldChar w:fldCharType="end"/>
        </w:r>
      </w:hyperlink>
    </w:p>
    <w:p w14:paraId="7C21A417" w14:textId="611FAAA2" w:rsidR="003E4D36" w:rsidRDefault="008B5FB7">
      <w:pPr>
        <w:pStyle w:val="11"/>
        <w:rPr>
          <w:rFonts w:asciiTheme="minorHAnsi" w:eastAsiaTheme="minorEastAsia" w:hAnsiTheme="minorHAnsi" w:cstheme="minorBidi"/>
          <w:noProof/>
          <w:szCs w:val="22"/>
        </w:rPr>
      </w:pPr>
      <w:hyperlink w:anchor="_Toc523243835" w:history="1">
        <w:r w:rsidR="00E729B5">
          <w:rPr>
            <w:rStyle w:val="af9"/>
            <w:noProof/>
          </w:rPr>
          <w:t>第二十部分</w:t>
        </w:r>
        <w:r w:rsidR="00E729B5">
          <w:rPr>
            <w:rStyle w:val="af9"/>
            <w:noProof/>
          </w:rPr>
          <w:t xml:space="preserve">  </w:t>
        </w:r>
        <w:r w:rsidR="00E729B5">
          <w:rPr>
            <w:rStyle w:val="af9"/>
            <w:noProof/>
          </w:rPr>
          <w:t>对基金份额持有人的服务</w:t>
        </w:r>
        <w:r w:rsidR="00E729B5">
          <w:rPr>
            <w:noProof/>
          </w:rPr>
          <w:tab/>
        </w:r>
        <w:r w:rsidR="00B50748">
          <w:rPr>
            <w:noProof/>
          </w:rPr>
          <w:fldChar w:fldCharType="begin"/>
        </w:r>
        <w:r w:rsidR="00E729B5">
          <w:rPr>
            <w:noProof/>
          </w:rPr>
          <w:instrText xml:space="preserve"> PAGEREF _Toc523243835 \h </w:instrText>
        </w:r>
        <w:r w:rsidR="00B50748">
          <w:rPr>
            <w:noProof/>
          </w:rPr>
        </w:r>
        <w:r w:rsidR="00B50748">
          <w:rPr>
            <w:noProof/>
          </w:rPr>
          <w:fldChar w:fldCharType="separate"/>
        </w:r>
        <w:r w:rsidR="007474CE">
          <w:rPr>
            <w:noProof/>
          </w:rPr>
          <w:t>114</w:t>
        </w:r>
        <w:r w:rsidR="00B50748">
          <w:rPr>
            <w:noProof/>
          </w:rPr>
          <w:fldChar w:fldCharType="end"/>
        </w:r>
      </w:hyperlink>
    </w:p>
    <w:p w14:paraId="31A10DAD" w14:textId="737D4990" w:rsidR="003E4D36" w:rsidRDefault="008B5FB7">
      <w:pPr>
        <w:pStyle w:val="11"/>
        <w:rPr>
          <w:rFonts w:asciiTheme="minorHAnsi" w:eastAsiaTheme="minorEastAsia" w:hAnsiTheme="minorHAnsi" w:cstheme="minorBidi"/>
          <w:noProof/>
          <w:szCs w:val="22"/>
        </w:rPr>
      </w:pPr>
      <w:hyperlink w:anchor="_Toc523243836" w:history="1">
        <w:r w:rsidR="00E729B5">
          <w:rPr>
            <w:rStyle w:val="af9"/>
            <w:noProof/>
          </w:rPr>
          <w:t>第二十一部分</w:t>
        </w:r>
        <w:r w:rsidR="00E729B5">
          <w:rPr>
            <w:rStyle w:val="af9"/>
            <w:noProof/>
          </w:rPr>
          <w:t xml:space="preserve">  </w:t>
        </w:r>
        <w:r w:rsidR="00E729B5">
          <w:rPr>
            <w:rStyle w:val="af9"/>
            <w:noProof/>
          </w:rPr>
          <w:t>其他应披露事项</w:t>
        </w:r>
        <w:r w:rsidR="00E729B5">
          <w:rPr>
            <w:noProof/>
          </w:rPr>
          <w:tab/>
        </w:r>
        <w:r w:rsidR="00B50748">
          <w:rPr>
            <w:noProof/>
          </w:rPr>
          <w:fldChar w:fldCharType="begin"/>
        </w:r>
        <w:r w:rsidR="00E729B5">
          <w:rPr>
            <w:noProof/>
          </w:rPr>
          <w:instrText xml:space="preserve"> PAGEREF _Toc523243836 \h </w:instrText>
        </w:r>
        <w:r w:rsidR="00B50748">
          <w:rPr>
            <w:noProof/>
          </w:rPr>
        </w:r>
        <w:r w:rsidR="00B50748">
          <w:rPr>
            <w:noProof/>
          </w:rPr>
          <w:fldChar w:fldCharType="separate"/>
        </w:r>
        <w:r w:rsidR="007474CE">
          <w:rPr>
            <w:noProof/>
          </w:rPr>
          <w:t>116</w:t>
        </w:r>
        <w:r w:rsidR="00B50748">
          <w:rPr>
            <w:noProof/>
          </w:rPr>
          <w:fldChar w:fldCharType="end"/>
        </w:r>
      </w:hyperlink>
    </w:p>
    <w:p w14:paraId="0A96817D" w14:textId="3BF44E63" w:rsidR="003E4D36" w:rsidRDefault="008B5FB7">
      <w:pPr>
        <w:pStyle w:val="11"/>
        <w:rPr>
          <w:rFonts w:asciiTheme="minorHAnsi" w:eastAsiaTheme="minorEastAsia" w:hAnsiTheme="minorHAnsi" w:cstheme="minorBidi"/>
          <w:noProof/>
          <w:szCs w:val="22"/>
        </w:rPr>
      </w:pPr>
      <w:hyperlink w:anchor="_Toc523243837" w:history="1">
        <w:r w:rsidR="00E729B5">
          <w:rPr>
            <w:rStyle w:val="af9"/>
            <w:noProof/>
          </w:rPr>
          <w:t>第二十二部分</w:t>
        </w:r>
        <w:r w:rsidR="00E729B5">
          <w:rPr>
            <w:rStyle w:val="af9"/>
            <w:noProof/>
          </w:rPr>
          <w:t xml:space="preserve">  </w:t>
        </w:r>
        <w:r w:rsidR="00E729B5">
          <w:rPr>
            <w:rStyle w:val="af9"/>
            <w:noProof/>
          </w:rPr>
          <w:t>招募说明书存放及查阅方式</w:t>
        </w:r>
        <w:r w:rsidR="00E729B5">
          <w:rPr>
            <w:noProof/>
          </w:rPr>
          <w:tab/>
        </w:r>
        <w:r w:rsidR="00B50748">
          <w:rPr>
            <w:noProof/>
          </w:rPr>
          <w:fldChar w:fldCharType="begin"/>
        </w:r>
        <w:r w:rsidR="00E729B5">
          <w:rPr>
            <w:noProof/>
          </w:rPr>
          <w:instrText xml:space="preserve"> PAGEREF _Toc523243837 \h </w:instrText>
        </w:r>
        <w:r w:rsidR="00B50748">
          <w:rPr>
            <w:noProof/>
          </w:rPr>
        </w:r>
        <w:r w:rsidR="00B50748">
          <w:rPr>
            <w:noProof/>
          </w:rPr>
          <w:fldChar w:fldCharType="separate"/>
        </w:r>
        <w:r w:rsidR="007474CE">
          <w:rPr>
            <w:noProof/>
          </w:rPr>
          <w:t>119</w:t>
        </w:r>
        <w:r w:rsidR="00B50748">
          <w:rPr>
            <w:noProof/>
          </w:rPr>
          <w:fldChar w:fldCharType="end"/>
        </w:r>
      </w:hyperlink>
    </w:p>
    <w:p w14:paraId="4AF25181" w14:textId="32C69F92" w:rsidR="003E4D36" w:rsidRDefault="008B5FB7">
      <w:pPr>
        <w:pStyle w:val="11"/>
        <w:rPr>
          <w:rFonts w:asciiTheme="minorHAnsi" w:eastAsiaTheme="minorEastAsia" w:hAnsiTheme="minorHAnsi" w:cstheme="minorBidi"/>
          <w:noProof/>
          <w:szCs w:val="22"/>
        </w:rPr>
      </w:pPr>
      <w:hyperlink w:anchor="_Toc523243838" w:history="1">
        <w:r w:rsidR="00E729B5">
          <w:rPr>
            <w:rStyle w:val="af9"/>
            <w:noProof/>
          </w:rPr>
          <w:t>第二十三部分</w:t>
        </w:r>
        <w:r w:rsidR="00E729B5">
          <w:rPr>
            <w:rStyle w:val="af9"/>
            <w:noProof/>
          </w:rPr>
          <w:t xml:space="preserve">  </w:t>
        </w:r>
        <w:r w:rsidR="00E729B5">
          <w:rPr>
            <w:rStyle w:val="af9"/>
            <w:noProof/>
          </w:rPr>
          <w:t>备查文件</w:t>
        </w:r>
        <w:r w:rsidR="00E729B5">
          <w:rPr>
            <w:noProof/>
          </w:rPr>
          <w:tab/>
        </w:r>
        <w:r w:rsidR="00B50748">
          <w:rPr>
            <w:noProof/>
          </w:rPr>
          <w:fldChar w:fldCharType="begin"/>
        </w:r>
        <w:r w:rsidR="00E729B5">
          <w:rPr>
            <w:noProof/>
          </w:rPr>
          <w:instrText xml:space="preserve"> PAGEREF _Toc523243838 \h </w:instrText>
        </w:r>
        <w:r w:rsidR="00B50748">
          <w:rPr>
            <w:noProof/>
          </w:rPr>
        </w:r>
        <w:r w:rsidR="00B50748">
          <w:rPr>
            <w:noProof/>
          </w:rPr>
          <w:fldChar w:fldCharType="separate"/>
        </w:r>
        <w:r w:rsidR="007474CE">
          <w:rPr>
            <w:noProof/>
          </w:rPr>
          <w:t>120</w:t>
        </w:r>
        <w:r w:rsidR="00B50748">
          <w:rPr>
            <w:noProof/>
          </w:rPr>
          <w:fldChar w:fldCharType="end"/>
        </w:r>
      </w:hyperlink>
    </w:p>
    <w:p w14:paraId="4D2DAB70" w14:textId="77777777" w:rsidR="003E4D36" w:rsidRDefault="00B50748">
      <w:r>
        <w:fldChar w:fldCharType="end"/>
      </w:r>
      <w:bookmarkStart w:id="32" w:name="_Toc416264537"/>
      <w:bookmarkStart w:id="33" w:name="_Toc263092309"/>
      <w:bookmarkStart w:id="34" w:name="_Toc819"/>
      <w:bookmarkStart w:id="35" w:name="_Toc15067"/>
      <w:bookmarkStart w:id="36" w:name="_Toc24860"/>
      <w:bookmarkStart w:id="37" w:name="_Toc258829399"/>
      <w:bookmarkStart w:id="38" w:name="_Toc19592"/>
      <w:bookmarkStart w:id="39" w:name="_Toc3224"/>
      <w:bookmarkStart w:id="40" w:name="_Toc352229747"/>
      <w:bookmarkStart w:id="41" w:name="_Toc2465"/>
      <w:bookmarkStart w:id="42" w:name="_Toc13020"/>
      <w:bookmarkStart w:id="43" w:name="_Toc21301"/>
      <w:bookmarkStart w:id="44" w:name="_Toc6617"/>
      <w:bookmarkStart w:id="45" w:name="_Toc31551"/>
      <w:bookmarkStart w:id="46" w:name="_Toc22864"/>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14:paraId="6C16BEE7" w14:textId="77777777" w:rsidR="003E4D36" w:rsidRDefault="00E729B5">
      <w:pPr>
        <w:tabs>
          <w:tab w:val="left" w:pos="900"/>
        </w:tabs>
      </w:pPr>
      <w:r>
        <w:tab/>
      </w:r>
    </w:p>
    <w:p w14:paraId="3FA68E3E" w14:textId="77777777" w:rsidR="003E4D36" w:rsidRDefault="00E729B5">
      <w:pPr>
        <w:tabs>
          <w:tab w:val="left" w:pos="900"/>
        </w:tabs>
        <w:sectPr w:rsidR="003E4D36">
          <w:pgSz w:w="11906" w:h="16838"/>
          <w:pgMar w:top="1440" w:right="1800" w:bottom="1440" w:left="1800" w:header="851" w:footer="992" w:gutter="0"/>
          <w:pgNumType w:start="1" w:chapStyle="1"/>
          <w:cols w:space="720"/>
          <w:docGrid w:type="lines" w:linePitch="312"/>
        </w:sectPr>
      </w:pPr>
      <w:r>
        <w:tab/>
      </w:r>
    </w:p>
    <w:p w14:paraId="73ABB0C5" w14:textId="77777777" w:rsidR="003E4D36" w:rsidRDefault="00E729B5">
      <w:pPr>
        <w:pStyle w:val="1"/>
        <w:jc w:val="center"/>
        <w:rPr>
          <w:sz w:val="30"/>
          <w:szCs w:val="30"/>
        </w:rPr>
      </w:pPr>
      <w:bookmarkStart w:id="47" w:name="_Toc523243816"/>
      <w:r>
        <w:rPr>
          <w:rFonts w:hint="eastAsia"/>
          <w:sz w:val="30"/>
          <w:szCs w:val="30"/>
        </w:rPr>
        <w:lastRenderedPageBreak/>
        <w:t>第一部分</w:t>
      </w:r>
      <w:r>
        <w:rPr>
          <w:sz w:val="30"/>
          <w:szCs w:val="30"/>
        </w:rPr>
        <w:t xml:space="preserve">  </w:t>
      </w:r>
      <w:r>
        <w:rPr>
          <w:rFonts w:hint="eastAsia"/>
          <w:sz w:val="30"/>
          <w:szCs w:val="30"/>
        </w:rPr>
        <w:t>绪言</w:t>
      </w:r>
      <w:bookmarkEnd w:id="32"/>
      <w:bookmarkEnd w:id="33"/>
      <w:bookmarkEnd w:id="47"/>
    </w:p>
    <w:p w14:paraId="1CA96403" w14:textId="020DC1B5" w:rsidR="003E4D36" w:rsidRDefault="00E729B5">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福鑫灵活配置混合型证券投资基金招募说明书》（以下简称“招募说明书”或“本招募说明书”）依照《中华人民共和国证券投资基金法》（以下简称“《基金法》”）、《公开募集证券投资基金运作管理办法》（以下简称“《运作办法》”）、《</w:t>
      </w:r>
      <w:r w:rsidR="007D5AB6" w:rsidRPr="007D5AB6">
        <w:rPr>
          <w:rFonts w:asciiTheme="minorEastAsia" w:hAnsiTheme="minorEastAsia" w:cs="Arial" w:hint="eastAsia"/>
          <w:sz w:val="24"/>
          <w:szCs w:val="24"/>
        </w:rPr>
        <w:t>公开募集证券投资基金信息披露管理办法</w:t>
      </w:r>
      <w:r>
        <w:rPr>
          <w:rFonts w:asciiTheme="minorEastAsia" w:hAnsiTheme="minorEastAsia" w:cs="Arial" w:hint="eastAsia"/>
          <w:sz w:val="24"/>
          <w:szCs w:val="24"/>
        </w:rPr>
        <w:t>》（以下简称“《销售办法》”）、《证券投资基金信息披露管理办法》（以下简称“《信息披露办法》”）、《公开募集开放式证券投资基金流动性风险管理规定》（以下简称“《管理规定》”）以及《富荣福鑫灵活配置混合型证券投资基金基金合同》（以下简称“基金合同”）编写。</w:t>
      </w:r>
    </w:p>
    <w:p w14:paraId="296E970A" w14:textId="77777777" w:rsidR="003E4D36" w:rsidRDefault="00E729B5">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12A52D35" w14:textId="77777777" w:rsidR="003E4D36" w:rsidRDefault="00E729B5">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福鑫灵活配置混合型证券投资基金（以下简称“基金”或“本基金”）是根据本招募说明书所载明的资料申请募集的。本基金管理人没有委托或授权任何其他人提供未在本招募说明书中载明的信息，或对本招募说明书作任何解释或者说明。</w:t>
      </w:r>
    </w:p>
    <w:p w14:paraId="65C4042C" w14:textId="77777777" w:rsidR="003E4D36" w:rsidRDefault="00E729B5">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投资人自依基金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14:paraId="2BE0F57C" w14:textId="77777777" w:rsidR="003E4D36" w:rsidRDefault="00E729B5">
      <w:pPr>
        <w:widowControl/>
        <w:jc w:val="left"/>
        <w:rPr>
          <w:rFonts w:asciiTheme="minorEastAsia" w:hAnsiTheme="minorEastAsia" w:cs="Arial"/>
          <w:sz w:val="24"/>
          <w:szCs w:val="24"/>
        </w:rPr>
      </w:pPr>
      <w:r>
        <w:rPr>
          <w:rFonts w:asciiTheme="minorEastAsia" w:hAnsiTheme="minorEastAsia" w:cs="Arial"/>
          <w:sz w:val="24"/>
          <w:szCs w:val="24"/>
        </w:rPr>
        <w:br w:type="page"/>
      </w:r>
    </w:p>
    <w:p w14:paraId="7036664B" w14:textId="77777777" w:rsidR="003E4D36" w:rsidRDefault="00E729B5">
      <w:pPr>
        <w:pStyle w:val="1"/>
        <w:jc w:val="center"/>
        <w:rPr>
          <w:sz w:val="30"/>
          <w:szCs w:val="30"/>
        </w:rPr>
      </w:pPr>
      <w:bookmarkStart w:id="48" w:name="_Toc523243817"/>
      <w:bookmarkStart w:id="49" w:name="_Toc18631"/>
      <w:bookmarkStart w:id="50" w:name="_Toc5246"/>
      <w:bookmarkStart w:id="51" w:name="_Toc733"/>
      <w:bookmarkStart w:id="52" w:name="_Toc20318"/>
      <w:bookmarkStart w:id="53" w:name="_Toc6683"/>
      <w:bookmarkStart w:id="54" w:name="_Toc352229748"/>
      <w:bookmarkStart w:id="55" w:name="_Toc24571"/>
      <w:bookmarkStart w:id="56" w:name="_Toc13288"/>
      <w:bookmarkStart w:id="57" w:name="_Toc22708"/>
      <w:bookmarkStart w:id="58" w:name="_Toc6149"/>
      <w:bookmarkStart w:id="59" w:name="_Toc20627"/>
      <w:bookmarkStart w:id="60" w:name="_Toc545"/>
      <w:bookmarkStart w:id="61" w:name="_Toc233456272"/>
      <w:bookmarkStart w:id="62" w:name="_Toc258829400"/>
      <w:bookmarkEnd w:id="31"/>
      <w:bookmarkEnd w:id="34"/>
      <w:bookmarkEnd w:id="35"/>
      <w:bookmarkEnd w:id="36"/>
      <w:bookmarkEnd w:id="37"/>
      <w:bookmarkEnd w:id="38"/>
      <w:bookmarkEnd w:id="39"/>
      <w:bookmarkEnd w:id="40"/>
      <w:bookmarkEnd w:id="41"/>
      <w:bookmarkEnd w:id="42"/>
      <w:bookmarkEnd w:id="43"/>
      <w:bookmarkEnd w:id="44"/>
      <w:bookmarkEnd w:id="45"/>
      <w:bookmarkEnd w:id="46"/>
      <w:r>
        <w:rPr>
          <w:rFonts w:hint="eastAsia"/>
          <w:sz w:val="30"/>
          <w:szCs w:val="30"/>
        </w:rPr>
        <w:lastRenderedPageBreak/>
        <w:t>第二部分</w:t>
      </w:r>
      <w:r>
        <w:rPr>
          <w:sz w:val="30"/>
          <w:szCs w:val="30"/>
        </w:rPr>
        <w:t xml:space="preserve">  </w:t>
      </w:r>
      <w:r>
        <w:rPr>
          <w:rFonts w:hint="eastAsia"/>
          <w:sz w:val="30"/>
          <w:szCs w:val="30"/>
        </w:rPr>
        <w:t>释义</w:t>
      </w:r>
      <w:bookmarkEnd w:id="48"/>
    </w:p>
    <w:p w14:paraId="71FF39B0"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在本招募说明书中，除非文意另有所指，下列词语或简称具有如下含义：</w:t>
      </w:r>
    </w:p>
    <w:p w14:paraId="67550B3F"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w:t>
      </w:r>
      <w:r>
        <w:rPr>
          <w:rFonts w:asciiTheme="minorEastAsia" w:hAnsiTheme="minorEastAsia" w:cs="Times New Roman" w:hint="eastAsia"/>
          <w:sz w:val="24"/>
          <w:szCs w:val="24"/>
        </w:rPr>
        <w:t>、基金或本基金：指富荣福鑫灵活配置混合型证券投资基金</w:t>
      </w:r>
    </w:p>
    <w:p w14:paraId="449D68E5"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Pr>
          <w:rFonts w:asciiTheme="minorEastAsia" w:hAnsiTheme="minorEastAsia" w:cs="Times New Roman" w:hint="eastAsia"/>
          <w:sz w:val="24"/>
          <w:szCs w:val="24"/>
        </w:rPr>
        <w:t>、基金管理人：指富荣基金管理有限公司</w:t>
      </w:r>
    </w:p>
    <w:p w14:paraId="65CE0071"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、基金托管人：指平安银行股份有限公司</w:t>
      </w:r>
    </w:p>
    <w:p w14:paraId="2AF3D46E"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w:t>
      </w:r>
      <w:r>
        <w:rPr>
          <w:rFonts w:asciiTheme="minorEastAsia" w:hAnsiTheme="minorEastAsia" w:cs="Times New Roman" w:hint="eastAsia"/>
          <w:sz w:val="24"/>
          <w:szCs w:val="24"/>
        </w:rPr>
        <w:t>、基金合同：指《富荣福鑫灵活配置混合型证券投资基金基金合同》及对基金合同的任何有效修订和补充</w:t>
      </w:r>
    </w:p>
    <w:p w14:paraId="67295095"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w:t>
      </w:r>
      <w:r>
        <w:rPr>
          <w:rFonts w:asciiTheme="minorEastAsia" w:hAnsiTheme="minorEastAsia" w:cs="Times New Roman" w:hint="eastAsia"/>
          <w:sz w:val="24"/>
          <w:szCs w:val="24"/>
        </w:rPr>
        <w:t>、托管协议：指基金管理人与基金托管人就本基金签订之《富荣福鑫灵活配置混合型证券投资基金托管协议》及对该托管协议的任何有效修订和补充</w:t>
      </w:r>
    </w:p>
    <w:p w14:paraId="37054F0D" w14:textId="64CCDE2C"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6</w:t>
      </w:r>
      <w:r>
        <w:rPr>
          <w:rFonts w:asciiTheme="minorEastAsia" w:hAnsiTheme="minorEastAsia" w:cs="Times New Roman" w:hint="eastAsia"/>
          <w:sz w:val="24"/>
          <w:szCs w:val="24"/>
        </w:rPr>
        <w:t>、招募说明书或本招募说明书：指《富荣福鑫灵活配置混合型证券投资基金招募说明书》及其更新</w:t>
      </w:r>
    </w:p>
    <w:p w14:paraId="465912BB" w14:textId="4B435DD8" w:rsidR="007D5AB6" w:rsidRDefault="007D5AB6">
      <w:pPr>
        <w:adjustRightInd w:val="0"/>
        <w:snapToGrid w:val="0"/>
        <w:spacing w:line="360" w:lineRule="auto"/>
        <w:ind w:firstLineChars="200" w:firstLine="480"/>
        <w:rPr>
          <w:rFonts w:asciiTheme="minorEastAsia" w:hAnsiTheme="minorEastAsia" w:cs="Times New Roman"/>
          <w:sz w:val="24"/>
          <w:szCs w:val="24"/>
        </w:rPr>
      </w:pPr>
      <w:r w:rsidRPr="007D5AB6">
        <w:rPr>
          <w:rFonts w:asciiTheme="minorEastAsia" w:hAnsiTheme="minorEastAsia" w:cs="Times New Roman" w:hint="eastAsia"/>
          <w:sz w:val="24"/>
          <w:szCs w:val="24"/>
        </w:rPr>
        <w:t>7、基金产品资料概要：指《</w:t>
      </w:r>
      <w:r w:rsidR="00F26472">
        <w:rPr>
          <w:rFonts w:asciiTheme="minorEastAsia" w:hAnsiTheme="minorEastAsia" w:cs="Times New Roman" w:hint="eastAsia"/>
          <w:sz w:val="24"/>
          <w:szCs w:val="24"/>
        </w:rPr>
        <w:t>富荣福鑫灵活配置混合型证券投资基金</w:t>
      </w:r>
      <w:r w:rsidRPr="007D5AB6">
        <w:rPr>
          <w:rFonts w:asciiTheme="minorEastAsia" w:hAnsiTheme="minorEastAsia" w:cs="Times New Roman" w:hint="eastAsia"/>
          <w:sz w:val="24"/>
          <w:szCs w:val="24"/>
        </w:rPr>
        <w:t>基金产品资料概要》及其更新</w:t>
      </w:r>
    </w:p>
    <w:p w14:paraId="61B68747" w14:textId="22741847" w:rsidR="003E4D36" w:rsidRDefault="007D5AB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8</w:t>
      </w:r>
      <w:r w:rsidR="00E729B5">
        <w:rPr>
          <w:rFonts w:asciiTheme="minorEastAsia" w:hAnsiTheme="minorEastAsia" w:cs="Times New Roman" w:hint="eastAsia"/>
          <w:sz w:val="24"/>
          <w:szCs w:val="24"/>
        </w:rPr>
        <w:t>、基金份额发售公告：指《富荣福鑫灵活配置混合型证券投资基金基金份额发售公告》</w:t>
      </w:r>
    </w:p>
    <w:p w14:paraId="32709BAA" w14:textId="5AD4218D" w:rsidR="003E4D36" w:rsidRDefault="007D5AB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9</w:t>
      </w:r>
      <w:r w:rsidR="00E729B5">
        <w:rPr>
          <w:rFonts w:asciiTheme="minorEastAsia" w:hAnsiTheme="minorEastAsia" w:cs="Times New Roman" w:hint="eastAsia"/>
          <w:sz w:val="24"/>
          <w:szCs w:val="24"/>
        </w:rPr>
        <w:t>、法律法规：指中国现行有效并公布实施的法律、行政法规、规范性文件、司法解释、行政规章以及其他对基金合同当事人有约束力的决定、决议、通知等</w:t>
      </w:r>
    </w:p>
    <w:p w14:paraId="25109FAD" w14:textId="1717FC30" w:rsidR="003E4D36" w:rsidRDefault="007D5AB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10</w:t>
      </w:r>
      <w:r w:rsidR="00E729B5">
        <w:rPr>
          <w:rFonts w:asciiTheme="minorEastAsia" w:hAnsiTheme="minorEastAsia" w:cs="Times New Roman" w:hint="eastAsia"/>
          <w:sz w:val="24"/>
          <w:szCs w:val="24"/>
        </w:rPr>
        <w:t>、《基金法》：指2003年10月28日经第十届全国人民代表大会常务委员会第五次会议通过，并经2012年12月28日第十一届全国人民代表大会常务委员会第三十次会议修订，自2013年6月1日起实施的《中华人民共和国证券投资基金法》及颁布机关对其不时做出的修订</w:t>
      </w:r>
    </w:p>
    <w:p w14:paraId="09CA7E4D" w14:textId="0E326860"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w:t>
      </w:r>
      <w:r w:rsidR="007D5AB6">
        <w:rPr>
          <w:rFonts w:asciiTheme="minorEastAsia" w:hAnsiTheme="minorEastAsia" w:cs="Times New Roman"/>
          <w:sz w:val="24"/>
          <w:szCs w:val="24"/>
        </w:rPr>
        <w:t>1</w:t>
      </w:r>
      <w:r>
        <w:rPr>
          <w:rFonts w:asciiTheme="minorEastAsia" w:hAnsiTheme="minorEastAsia" w:cs="Times New Roman" w:hint="eastAsia"/>
          <w:sz w:val="24"/>
          <w:szCs w:val="24"/>
        </w:rPr>
        <w:t>、《销售办法》：指中国证监会</w:t>
      </w:r>
      <w:r>
        <w:rPr>
          <w:rFonts w:asciiTheme="minorEastAsia" w:hAnsiTheme="minorEastAsia" w:cs="Times New Roman"/>
          <w:sz w:val="24"/>
          <w:szCs w:val="24"/>
        </w:rPr>
        <w:t>2013</w:t>
      </w:r>
      <w:r>
        <w:rPr>
          <w:rFonts w:asciiTheme="minorEastAsia" w:hAnsiTheme="minorEastAsia" w:cs="Times New Roman" w:hint="eastAsia"/>
          <w:sz w:val="24"/>
          <w:szCs w:val="24"/>
        </w:rPr>
        <w:t>年</w:t>
      </w:r>
      <w:r>
        <w:rPr>
          <w:rFonts w:asciiTheme="minorEastAsia" w:hAnsiTheme="minorEastAsia" w:cs="Times New Roman"/>
          <w:sz w:val="24"/>
          <w:szCs w:val="24"/>
        </w:rPr>
        <w:t>3</w:t>
      </w:r>
      <w:r>
        <w:rPr>
          <w:rFonts w:asciiTheme="minorEastAsia" w:hAnsiTheme="minorEastAsia" w:cs="Times New Roman" w:hint="eastAsia"/>
          <w:sz w:val="24"/>
          <w:szCs w:val="24"/>
        </w:rPr>
        <w:t>月</w:t>
      </w:r>
      <w:r>
        <w:rPr>
          <w:rFonts w:asciiTheme="minorEastAsia" w:hAnsiTheme="minorEastAsia" w:cs="Times New Roman"/>
          <w:sz w:val="24"/>
          <w:szCs w:val="24"/>
        </w:rPr>
        <w:t>15</w:t>
      </w:r>
      <w:r>
        <w:rPr>
          <w:rFonts w:asciiTheme="minorEastAsia" w:hAnsiTheme="minorEastAsia" w:cs="Times New Roman" w:hint="eastAsia"/>
          <w:sz w:val="24"/>
          <w:szCs w:val="24"/>
        </w:rPr>
        <w:t>日颁布、同年</w:t>
      </w:r>
      <w:r>
        <w:rPr>
          <w:rFonts w:asciiTheme="minorEastAsia" w:hAnsiTheme="minorEastAsia" w:cs="Times New Roman"/>
          <w:sz w:val="24"/>
          <w:szCs w:val="24"/>
        </w:rPr>
        <w:t>6</w:t>
      </w:r>
      <w:r>
        <w:rPr>
          <w:rFonts w:asciiTheme="minorEastAsia" w:hAnsiTheme="minorEastAsia" w:cs="Times New Roman" w:hint="eastAsia"/>
          <w:sz w:val="24"/>
          <w:szCs w:val="24"/>
        </w:rPr>
        <w:t>月</w:t>
      </w:r>
      <w:r>
        <w:rPr>
          <w:rFonts w:asciiTheme="minorEastAsia" w:hAnsiTheme="minorEastAsia" w:cs="Times New Roman"/>
          <w:sz w:val="24"/>
          <w:szCs w:val="24"/>
        </w:rPr>
        <w:t>1</w:t>
      </w:r>
      <w:r>
        <w:rPr>
          <w:rFonts w:asciiTheme="minorEastAsia" w:hAnsiTheme="minorEastAsia" w:cs="Times New Roman" w:hint="eastAsia"/>
          <w:sz w:val="24"/>
          <w:szCs w:val="24"/>
        </w:rPr>
        <w:t>日实施的《证券投资基金销售管理办法》及颁布机关对其不时做出的修订</w:t>
      </w:r>
    </w:p>
    <w:p w14:paraId="385C0A45" w14:textId="74E858DE"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w:t>
      </w:r>
      <w:r w:rsidR="007D5AB6">
        <w:rPr>
          <w:rFonts w:asciiTheme="minorEastAsia" w:hAnsiTheme="minorEastAsia" w:cs="Times New Roman"/>
          <w:sz w:val="24"/>
          <w:szCs w:val="24"/>
        </w:rPr>
        <w:t>2</w:t>
      </w:r>
      <w:r>
        <w:rPr>
          <w:rFonts w:asciiTheme="minorEastAsia" w:hAnsiTheme="minorEastAsia" w:cs="Times New Roman" w:hint="eastAsia"/>
          <w:sz w:val="24"/>
          <w:szCs w:val="24"/>
        </w:rPr>
        <w:t>、《信息披露办法》：</w:t>
      </w:r>
      <w:r w:rsidR="007D5AB6" w:rsidRPr="007D5AB6">
        <w:rPr>
          <w:rFonts w:asciiTheme="minorEastAsia" w:hAnsiTheme="minorEastAsia" w:cs="Times New Roman" w:hint="eastAsia"/>
          <w:sz w:val="24"/>
          <w:szCs w:val="24"/>
        </w:rPr>
        <w:t>指中国证监会2019年7月26日颁布、同年9月1日实施的《公开募集证券投资基金信息披露管理办法》</w:t>
      </w:r>
      <w:r>
        <w:rPr>
          <w:rFonts w:asciiTheme="minorEastAsia" w:hAnsiTheme="minorEastAsia" w:cs="Times New Roman" w:hint="eastAsia"/>
          <w:sz w:val="24"/>
          <w:szCs w:val="24"/>
        </w:rPr>
        <w:t>及颁布机关对其不时做出的修订</w:t>
      </w:r>
    </w:p>
    <w:p w14:paraId="3E02B8AE" w14:textId="10A6244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w:t>
      </w:r>
      <w:r w:rsidR="007D5AB6">
        <w:rPr>
          <w:rFonts w:asciiTheme="minorEastAsia" w:hAnsiTheme="minorEastAsia" w:cs="Times New Roman"/>
          <w:sz w:val="24"/>
          <w:szCs w:val="24"/>
        </w:rPr>
        <w:t>3</w:t>
      </w:r>
      <w:r>
        <w:rPr>
          <w:rFonts w:asciiTheme="minorEastAsia" w:hAnsiTheme="minorEastAsia" w:cs="Times New Roman" w:hint="eastAsia"/>
          <w:sz w:val="24"/>
          <w:szCs w:val="24"/>
        </w:rPr>
        <w:t>、《运作办法》：指中国证监会</w:t>
      </w:r>
      <w:r>
        <w:rPr>
          <w:rFonts w:asciiTheme="minorEastAsia" w:hAnsiTheme="minorEastAsia" w:cs="Times New Roman"/>
          <w:sz w:val="24"/>
          <w:szCs w:val="24"/>
        </w:rPr>
        <w:t>2014</w:t>
      </w:r>
      <w:r>
        <w:rPr>
          <w:rFonts w:asciiTheme="minorEastAsia" w:hAnsiTheme="minorEastAsia" w:cs="Times New Roman" w:hint="eastAsia"/>
          <w:sz w:val="24"/>
          <w:szCs w:val="24"/>
        </w:rPr>
        <w:t>年</w:t>
      </w:r>
      <w:r>
        <w:rPr>
          <w:rFonts w:asciiTheme="minorEastAsia" w:hAnsiTheme="minorEastAsia" w:cs="Times New Roman"/>
          <w:sz w:val="24"/>
          <w:szCs w:val="24"/>
        </w:rPr>
        <w:t>7</w:t>
      </w:r>
      <w:r>
        <w:rPr>
          <w:rFonts w:asciiTheme="minorEastAsia" w:hAnsiTheme="minorEastAsia" w:cs="Times New Roman" w:hint="eastAsia"/>
          <w:sz w:val="24"/>
          <w:szCs w:val="24"/>
        </w:rPr>
        <w:t>月</w:t>
      </w:r>
      <w:r>
        <w:rPr>
          <w:rFonts w:asciiTheme="minorEastAsia" w:hAnsiTheme="minorEastAsia" w:cs="Times New Roman"/>
          <w:sz w:val="24"/>
          <w:szCs w:val="24"/>
        </w:rPr>
        <w:t>7</w:t>
      </w:r>
      <w:r>
        <w:rPr>
          <w:rFonts w:asciiTheme="minorEastAsia" w:hAnsiTheme="minorEastAsia" w:cs="Times New Roman" w:hint="eastAsia"/>
          <w:sz w:val="24"/>
          <w:szCs w:val="24"/>
        </w:rPr>
        <w:t>日颁布、同年</w:t>
      </w:r>
      <w:r>
        <w:rPr>
          <w:rFonts w:asciiTheme="minorEastAsia" w:hAnsiTheme="minorEastAsia" w:cs="Times New Roman"/>
          <w:sz w:val="24"/>
          <w:szCs w:val="24"/>
        </w:rPr>
        <w:t>8</w:t>
      </w:r>
      <w:r>
        <w:rPr>
          <w:rFonts w:asciiTheme="minorEastAsia" w:hAnsiTheme="minorEastAsia" w:cs="Times New Roman" w:hint="eastAsia"/>
          <w:sz w:val="24"/>
          <w:szCs w:val="24"/>
        </w:rPr>
        <w:t>月</w:t>
      </w:r>
      <w:r>
        <w:rPr>
          <w:rFonts w:asciiTheme="minorEastAsia" w:hAnsiTheme="minorEastAsia" w:cs="Times New Roman"/>
          <w:sz w:val="24"/>
          <w:szCs w:val="24"/>
        </w:rPr>
        <w:t>8</w:t>
      </w:r>
      <w:r>
        <w:rPr>
          <w:rFonts w:asciiTheme="minorEastAsia" w:hAnsiTheme="minorEastAsia" w:cs="Times New Roman" w:hint="eastAsia"/>
          <w:sz w:val="24"/>
          <w:szCs w:val="24"/>
        </w:rPr>
        <w:t>日实施的《公开募集证券投资基金运作管理办法》及颁布机关对其不时做出的修订</w:t>
      </w:r>
    </w:p>
    <w:p w14:paraId="0973CD39" w14:textId="50CA735C"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w:t>
      </w:r>
      <w:r w:rsidR="007D5AB6">
        <w:rPr>
          <w:rFonts w:asciiTheme="minorEastAsia" w:hAnsiTheme="minorEastAsia" w:cs="Times New Roman"/>
          <w:sz w:val="24"/>
          <w:szCs w:val="24"/>
        </w:rPr>
        <w:t>4</w:t>
      </w:r>
      <w:r>
        <w:rPr>
          <w:rFonts w:asciiTheme="minorEastAsia" w:hAnsiTheme="minorEastAsia" w:cs="Times New Roman" w:hint="eastAsia"/>
          <w:sz w:val="24"/>
          <w:szCs w:val="24"/>
        </w:rPr>
        <w:t>、《管理规定》：指中国证监会2017年8月31日颁布、同年10月1日</w:t>
      </w:r>
      <w:r>
        <w:rPr>
          <w:rFonts w:asciiTheme="minorEastAsia" w:hAnsiTheme="minorEastAsia" w:cs="Times New Roman" w:hint="eastAsia"/>
          <w:sz w:val="24"/>
          <w:szCs w:val="24"/>
        </w:rPr>
        <w:lastRenderedPageBreak/>
        <w:t>实施的《公开募集开放式证券投资基金流动性风险管理规定》及颁布机关对其不时做出的修订</w:t>
      </w:r>
    </w:p>
    <w:p w14:paraId="3A94A74C" w14:textId="01B879C6"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w:t>
      </w:r>
      <w:r w:rsidR="007D5AB6">
        <w:rPr>
          <w:rFonts w:asciiTheme="minorEastAsia" w:hAnsiTheme="minorEastAsia" w:cs="Times New Roman"/>
          <w:sz w:val="24"/>
          <w:szCs w:val="24"/>
        </w:rPr>
        <w:t>5</w:t>
      </w:r>
      <w:r>
        <w:rPr>
          <w:rFonts w:asciiTheme="minorEastAsia" w:hAnsiTheme="minorEastAsia" w:cs="Times New Roman" w:hint="eastAsia"/>
          <w:sz w:val="24"/>
          <w:szCs w:val="24"/>
        </w:rPr>
        <w:t>、中国证监会：指中国证券监督管理委员会</w:t>
      </w:r>
    </w:p>
    <w:p w14:paraId="73E2F329" w14:textId="1D24633E"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w:t>
      </w:r>
      <w:r w:rsidR="007D5AB6">
        <w:rPr>
          <w:rFonts w:asciiTheme="minorEastAsia" w:hAnsiTheme="minorEastAsia" w:cs="Times New Roman"/>
          <w:sz w:val="24"/>
          <w:szCs w:val="24"/>
        </w:rPr>
        <w:t>6</w:t>
      </w:r>
      <w:r>
        <w:rPr>
          <w:rFonts w:asciiTheme="minorEastAsia" w:hAnsiTheme="minorEastAsia" w:cs="Times New Roman" w:hint="eastAsia"/>
          <w:sz w:val="24"/>
          <w:szCs w:val="24"/>
        </w:rPr>
        <w:t>、银行业监督管理机构：指中国人民银行和</w:t>
      </w:r>
      <w:r>
        <w:rPr>
          <w:rFonts w:asciiTheme="minorEastAsia" w:hAnsiTheme="minorEastAsia" w:cs="Times New Roman"/>
          <w:sz w:val="24"/>
          <w:szCs w:val="24"/>
        </w:rPr>
        <w:t>/</w:t>
      </w:r>
      <w:r>
        <w:rPr>
          <w:rFonts w:asciiTheme="minorEastAsia" w:hAnsiTheme="minorEastAsia" w:cs="Times New Roman" w:hint="eastAsia"/>
          <w:sz w:val="24"/>
          <w:szCs w:val="24"/>
        </w:rPr>
        <w:t>或</w:t>
      </w:r>
      <w:r w:rsidR="00150907">
        <w:rPr>
          <w:rFonts w:asciiTheme="minorEastAsia" w:hAnsiTheme="minorEastAsia" w:cs="Times New Roman" w:hint="eastAsia"/>
          <w:sz w:val="24"/>
          <w:szCs w:val="24"/>
        </w:rPr>
        <w:t>中国银行保险监督管理委员会</w:t>
      </w:r>
    </w:p>
    <w:p w14:paraId="649762F4" w14:textId="180011DA"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w:t>
      </w:r>
      <w:r w:rsidR="007D5AB6">
        <w:rPr>
          <w:rFonts w:asciiTheme="minorEastAsia" w:hAnsiTheme="minorEastAsia" w:cs="Times New Roman"/>
          <w:sz w:val="24"/>
          <w:szCs w:val="24"/>
        </w:rPr>
        <w:t>7</w:t>
      </w:r>
      <w:r>
        <w:rPr>
          <w:rFonts w:asciiTheme="minorEastAsia" w:hAnsiTheme="minorEastAsia" w:cs="Times New Roman" w:hint="eastAsia"/>
          <w:sz w:val="24"/>
          <w:szCs w:val="24"/>
        </w:rPr>
        <w:t>、基金合同当事人：指受基金合同约束，根据基金合同享有权利并承担义务的法律主体，包括基金管理人、基金托管人和基金份额持有人</w:t>
      </w:r>
    </w:p>
    <w:p w14:paraId="1EBC1C9C" w14:textId="55B997E2"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w:t>
      </w:r>
      <w:r w:rsidR="007D5AB6">
        <w:rPr>
          <w:rFonts w:asciiTheme="minorEastAsia" w:hAnsiTheme="minorEastAsia" w:cs="Times New Roman"/>
          <w:sz w:val="24"/>
          <w:szCs w:val="24"/>
        </w:rPr>
        <w:t>8</w:t>
      </w:r>
      <w:r>
        <w:rPr>
          <w:rFonts w:asciiTheme="minorEastAsia" w:hAnsiTheme="minorEastAsia" w:cs="Times New Roman" w:hint="eastAsia"/>
          <w:sz w:val="24"/>
          <w:szCs w:val="24"/>
        </w:rPr>
        <w:t>、个人投资者：指依据有关法律法规规定可投资于证券投资基金的自然人</w:t>
      </w:r>
    </w:p>
    <w:p w14:paraId="31A24AB7" w14:textId="4C04A213"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w:t>
      </w:r>
      <w:r w:rsidR="007D5AB6">
        <w:rPr>
          <w:rFonts w:asciiTheme="minorEastAsia" w:hAnsiTheme="minorEastAsia" w:cs="Times New Roman"/>
          <w:sz w:val="24"/>
          <w:szCs w:val="24"/>
        </w:rPr>
        <w:t>9</w:t>
      </w:r>
      <w:r>
        <w:rPr>
          <w:rFonts w:asciiTheme="minorEastAsia" w:hAnsiTheme="minorEastAsia" w:cs="Times New Roman" w:hint="eastAsia"/>
          <w:sz w:val="24"/>
          <w:szCs w:val="24"/>
        </w:rPr>
        <w:t>、机构投资者：指依法可以投资证券投资基金的、在中华人民共和国境内合法登记并存续或经有关政府部门批准设立并存续的企业法人、事业法人、社会团体或其他组织</w:t>
      </w:r>
    </w:p>
    <w:p w14:paraId="3A19113E" w14:textId="40466703" w:rsidR="003E4D36" w:rsidRDefault="007D5AB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20</w:t>
      </w:r>
      <w:r w:rsidR="00E729B5">
        <w:rPr>
          <w:rFonts w:asciiTheme="minorEastAsia" w:hAnsiTheme="minorEastAsia" w:cs="Times New Roman" w:hint="eastAsia"/>
          <w:sz w:val="24"/>
          <w:szCs w:val="24"/>
        </w:rPr>
        <w:t>、合格境外机构投资者：指符合《合格境外机构投资者境内证券投资管理办法》及相关法律法规规定可以投资于在中国境内依法募集的证券投资基金的中国境外的机构投资者</w:t>
      </w:r>
    </w:p>
    <w:p w14:paraId="6EB74B4A" w14:textId="67EAAB44"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w:t>
      </w:r>
      <w:r w:rsidR="007D5AB6">
        <w:rPr>
          <w:rFonts w:asciiTheme="minorEastAsia" w:hAnsiTheme="minorEastAsia" w:cs="Times New Roman"/>
          <w:sz w:val="24"/>
          <w:szCs w:val="24"/>
        </w:rPr>
        <w:t>1</w:t>
      </w:r>
      <w:r>
        <w:rPr>
          <w:rFonts w:asciiTheme="minorEastAsia" w:hAnsiTheme="minorEastAsia" w:cs="Times New Roman" w:hint="eastAsia"/>
          <w:sz w:val="24"/>
          <w:szCs w:val="24"/>
        </w:rPr>
        <w:t>、投资人：指个人投资者、机构投资者和合格境外机构投资者以及法律法规或中国证监会允许购买证券投资基金的其他投资人的合称</w:t>
      </w:r>
    </w:p>
    <w:p w14:paraId="08D058F0" w14:textId="30B92CFD"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sidR="007D5AB6">
        <w:rPr>
          <w:rFonts w:asciiTheme="minorEastAsia" w:hAnsiTheme="minorEastAsia" w:cs="Times New Roman"/>
          <w:sz w:val="24"/>
          <w:szCs w:val="24"/>
        </w:rPr>
        <w:t>2</w:t>
      </w:r>
      <w:r>
        <w:rPr>
          <w:rFonts w:asciiTheme="minorEastAsia" w:hAnsiTheme="minorEastAsia" w:cs="Times New Roman" w:hint="eastAsia"/>
          <w:sz w:val="24"/>
          <w:szCs w:val="24"/>
        </w:rPr>
        <w:t>、基金份额持有人：指依基金合同和招募说明书合法取得基金份额的投资人</w:t>
      </w:r>
    </w:p>
    <w:p w14:paraId="3BF096D3" w14:textId="4AFFC538"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sidR="007D5AB6">
        <w:rPr>
          <w:rFonts w:asciiTheme="minorEastAsia" w:hAnsiTheme="minorEastAsia" w:cs="Times New Roman"/>
          <w:sz w:val="24"/>
          <w:szCs w:val="24"/>
        </w:rPr>
        <w:t>3</w:t>
      </w:r>
      <w:r>
        <w:rPr>
          <w:rFonts w:asciiTheme="minorEastAsia" w:hAnsiTheme="minorEastAsia" w:cs="Times New Roman" w:hint="eastAsia"/>
          <w:sz w:val="24"/>
          <w:szCs w:val="24"/>
        </w:rPr>
        <w:t>、基金销售业务：指基金管理人或销售机构宣传推介基金，发售基金份额，办理基金份额的申购、赎回、转换、转托管及定期定额投资等业务</w:t>
      </w:r>
    </w:p>
    <w:p w14:paraId="17D6F9DE" w14:textId="513DD0FB"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sidR="007D5AB6">
        <w:rPr>
          <w:rFonts w:asciiTheme="minorEastAsia" w:hAnsiTheme="minorEastAsia" w:cs="Times New Roman"/>
          <w:sz w:val="24"/>
          <w:szCs w:val="24"/>
        </w:rPr>
        <w:t>4</w:t>
      </w:r>
      <w:r>
        <w:rPr>
          <w:rFonts w:asciiTheme="minorEastAsia" w:hAnsiTheme="minorEastAsia" w:cs="Times New Roman" w:hint="eastAsia"/>
          <w:sz w:val="24"/>
          <w:szCs w:val="24"/>
        </w:rPr>
        <w:t>、销售机构：指富荣基金管理有限公司以及符合《销售办法》和中国证监会规定的其他条件，取得基金销售业务资格并与基金管理人签订了基金销售服务协议，办理基金销售业务的机构</w:t>
      </w:r>
    </w:p>
    <w:p w14:paraId="2D3C6BA1" w14:textId="4B870CA4"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sidR="007D5AB6">
        <w:rPr>
          <w:rFonts w:asciiTheme="minorEastAsia" w:hAnsiTheme="minorEastAsia" w:cs="Times New Roman"/>
          <w:sz w:val="24"/>
          <w:szCs w:val="24"/>
        </w:rPr>
        <w:t>5</w:t>
      </w:r>
      <w:r>
        <w:rPr>
          <w:rFonts w:asciiTheme="minorEastAsia" w:hAnsiTheme="minorEastAsia" w:cs="Times New Roman" w:hint="eastAsia"/>
          <w:sz w:val="24"/>
          <w:szCs w:val="24"/>
        </w:rPr>
        <w:t>、登记业务：指基金登记、存管、过户、清算和结算业务，具体内容包括投资人基金账户的建立和管理、基金份额登记、基金销售业务的确认、清算和结算、代理发放红利、建立并保管基金份额持有人名册和办理非交易过户等</w:t>
      </w:r>
    </w:p>
    <w:p w14:paraId="01F9B8E3" w14:textId="16FCD928"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sidR="007D5AB6">
        <w:rPr>
          <w:rFonts w:asciiTheme="minorEastAsia" w:hAnsiTheme="minorEastAsia" w:cs="Times New Roman"/>
          <w:sz w:val="24"/>
          <w:szCs w:val="24"/>
        </w:rPr>
        <w:t>6</w:t>
      </w:r>
      <w:r>
        <w:rPr>
          <w:rFonts w:asciiTheme="minorEastAsia" w:hAnsiTheme="minorEastAsia" w:cs="Times New Roman" w:hint="eastAsia"/>
          <w:sz w:val="24"/>
          <w:szCs w:val="24"/>
        </w:rPr>
        <w:t>、登记机构：指办理登记业务的机构。本基金的登记机构为富荣基金管理有限公司或接受富荣基金管理有限公司委托代为办理登记业务的机构</w:t>
      </w:r>
    </w:p>
    <w:p w14:paraId="6436952F" w14:textId="7D238462"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sidR="007D5AB6">
        <w:rPr>
          <w:rFonts w:asciiTheme="minorEastAsia" w:hAnsiTheme="minorEastAsia" w:cs="Times New Roman"/>
          <w:sz w:val="24"/>
          <w:szCs w:val="24"/>
        </w:rPr>
        <w:t>7</w:t>
      </w:r>
      <w:r>
        <w:rPr>
          <w:rFonts w:asciiTheme="minorEastAsia" w:hAnsiTheme="minorEastAsia" w:cs="Times New Roman" w:hint="eastAsia"/>
          <w:sz w:val="24"/>
          <w:szCs w:val="24"/>
        </w:rPr>
        <w:t>、基金账户：指登记机构为投资人开立的、记录其持有的、基金管理人所管理的基金份额余额及其变动情况的账户</w:t>
      </w:r>
    </w:p>
    <w:p w14:paraId="1D06192D" w14:textId="569A8DEC"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lastRenderedPageBreak/>
        <w:t>2</w:t>
      </w:r>
      <w:r w:rsidR="007D5AB6">
        <w:rPr>
          <w:rFonts w:asciiTheme="minorEastAsia" w:hAnsiTheme="minorEastAsia" w:cs="Times New Roman"/>
          <w:sz w:val="24"/>
          <w:szCs w:val="24"/>
        </w:rPr>
        <w:t>8</w:t>
      </w:r>
      <w:r>
        <w:rPr>
          <w:rFonts w:asciiTheme="minorEastAsia" w:hAnsiTheme="minorEastAsia" w:cs="Times New Roman" w:hint="eastAsia"/>
          <w:sz w:val="24"/>
          <w:szCs w:val="24"/>
        </w:rPr>
        <w:t>、基金交易账户：指销售机构为投资人开立的、记录投资人通过该销售机构办理认购、申购、赎回、转换、转托管及定期定额投资等业务而引起的基金份额变动及结余情况的账户</w:t>
      </w:r>
    </w:p>
    <w:p w14:paraId="0E008973" w14:textId="02438D5A"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sidR="007D5AB6">
        <w:rPr>
          <w:rFonts w:asciiTheme="minorEastAsia" w:hAnsiTheme="minorEastAsia" w:cs="Times New Roman"/>
          <w:sz w:val="24"/>
          <w:szCs w:val="24"/>
        </w:rPr>
        <w:t>9</w:t>
      </w:r>
      <w:r>
        <w:rPr>
          <w:rFonts w:asciiTheme="minorEastAsia" w:hAnsiTheme="minorEastAsia" w:cs="Times New Roman" w:hint="eastAsia"/>
          <w:sz w:val="24"/>
          <w:szCs w:val="24"/>
        </w:rPr>
        <w:t>、基金合同生效日：指基金募集达到法律法规规定及基金合同规定的条件，基金管理人向中国证监会办理基金备案手续完毕，并获得中国证监会书面确认的日期</w:t>
      </w:r>
    </w:p>
    <w:p w14:paraId="45A5B9CC" w14:textId="2D304D4F" w:rsidR="003E4D36" w:rsidRDefault="007D5AB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30</w:t>
      </w:r>
      <w:r w:rsidR="00E729B5">
        <w:rPr>
          <w:rFonts w:asciiTheme="minorEastAsia" w:hAnsiTheme="minorEastAsia" w:cs="Times New Roman" w:hint="eastAsia"/>
          <w:sz w:val="24"/>
          <w:szCs w:val="24"/>
        </w:rPr>
        <w:t>、基金合同终止日：指基金合同规定的基金合同终止事由出现后，基金财产清算完毕，清算结果报中国证监会备案并予以公告的日期</w:t>
      </w:r>
    </w:p>
    <w:p w14:paraId="01D5A9B8" w14:textId="3112AB56"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w:t>
      </w:r>
      <w:r w:rsidR="007D5AB6">
        <w:rPr>
          <w:rFonts w:asciiTheme="minorEastAsia" w:hAnsiTheme="minorEastAsia" w:cs="Times New Roman"/>
          <w:sz w:val="24"/>
          <w:szCs w:val="24"/>
        </w:rPr>
        <w:t>1</w:t>
      </w:r>
      <w:r>
        <w:rPr>
          <w:rFonts w:asciiTheme="minorEastAsia" w:hAnsiTheme="minorEastAsia" w:cs="Times New Roman" w:hint="eastAsia"/>
          <w:sz w:val="24"/>
          <w:szCs w:val="24"/>
        </w:rPr>
        <w:t>、基金募集期：指自基金份额发售之日起至发售结束之日止的期间，最长不得超过</w:t>
      </w:r>
      <w:r>
        <w:rPr>
          <w:rFonts w:asciiTheme="minorEastAsia" w:hAnsiTheme="minorEastAsia" w:cs="Times New Roman"/>
          <w:sz w:val="24"/>
          <w:szCs w:val="24"/>
        </w:rPr>
        <w:t>3</w:t>
      </w:r>
      <w:r>
        <w:rPr>
          <w:rFonts w:asciiTheme="minorEastAsia" w:hAnsiTheme="minorEastAsia" w:cs="Times New Roman" w:hint="eastAsia"/>
          <w:sz w:val="24"/>
          <w:szCs w:val="24"/>
        </w:rPr>
        <w:t>个月</w:t>
      </w:r>
    </w:p>
    <w:p w14:paraId="7CDCACD1" w14:textId="3443E1B4"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sidR="007D5AB6">
        <w:rPr>
          <w:rFonts w:asciiTheme="minorEastAsia" w:hAnsiTheme="minorEastAsia" w:cs="Times New Roman"/>
          <w:sz w:val="24"/>
          <w:szCs w:val="24"/>
        </w:rPr>
        <w:t>2</w:t>
      </w:r>
      <w:r>
        <w:rPr>
          <w:rFonts w:asciiTheme="minorEastAsia" w:hAnsiTheme="minorEastAsia" w:cs="Times New Roman" w:hint="eastAsia"/>
          <w:sz w:val="24"/>
          <w:szCs w:val="24"/>
        </w:rPr>
        <w:t>、存续期：指基金合同生效至终止之间的不定期期限</w:t>
      </w:r>
    </w:p>
    <w:p w14:paraId="38DEB7E1" w14:textId="2B36799A"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sidR="007D5AB6">
        <w:rPr>
          <w:rFonts w:asciiTheme="minorEastAsia" w:hAnsiTheme="minorEastAsia" w:cs="Times New Roman"/>
          <w:sz w:val="24"/>
          <w:szCs w:val="24"/>
        </w:rPr>
        <w:t>3</w:t>
      </w:r>
      <w:r>
        <w:rPr>
          <w:rFonts w:asciiTheme="minorEastAsia" w:hAnsiTheme="minorEastAsia" w:cs="Times New Roman" w:hint="eastAsia"/>
          <w:sz w:val="24"/>
          <w:szCs w:val="24"/>
        </w:rPr>
        <w:t>、工作日：指上海证券交易所、深圳证券交易所的正常交易日</w:t>
      </w:r>
    </w:p>
    <w:p w14:paraId="5340F726" w14:textId="63E3E029"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sidR="007D5AB6">
        <w:rPr>
          <w:rFonts w:asciiTheme="minorEastAsia" w:hAnsiTheme="minorEastAsia" w:cs="Times New Roman"/>
          <w:sz w:val="24"/>
          <w:szCs w:val="24"/>
        </w:rPr>
        <w:t>4</w:t>
      </w:r>
      <w:r>
        <w:rPr>
          <w:rFonts w:asciiTheme="minorEastAsia" w:hAnsiTheme="minorEastAsia" w:cs="Times New Roman" w:hint="eastAsia"/>
          <w:sz w:val="24"/>
          <w:szCs w:val="24"/>
        </w:rPr>
        <w:t>、</w:t>
      </w:r>
      <w:r>
        <w:rPr>
          <w:rFonts w:asciiTheme="minorEastAsia" w:hAnsiTheme="minorEastAsia" w:cs="Times New Roman"/>
          <w:sz w:val="24"/>
          <w:szCs w:val="24"/>
        </w:rPr>
        <w:t>T</w:t>
      </w:r>
      <w:r>
        <w:rPr>
          <w:rFonts w:asciiTheme="minorEastAsia" w:hAnsiTheme="minorEastAsia" w:cs="Times New Roman" w:hint="eastAsia"/>
          <w:sz w:val="24"/>
          <w:szCs w:val="24"/>
        </w:rPr>
        <w:t>日：指销售机构在规定时间受理投资人申购、赎回或其他业务申请的开放日</w:t>
      </w:r>
    </w:p>
    <w:p w14:paraId="7E56406C" w14:textId="381B6F38"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sidR="007D5AB6">
        <w:rPr>
          <w:rFonts w:asciiTheme="minorEastAsia" w:hAnsiTheme="minorEastAsia" w:cs="Times New Roman"/>
          <w:sz w:val="24"/>
          <w:szCs w:val="24"/>
        </w:rPr>
        <w:t>5</w:t>
      </w:r>
      <w:r>
        <w:rPr>
          <w:rFonts w:asciiTheme="minorEastAsia" w:hAnsiTheme="minorEastAsia" w:cs="Times New Roman" w:hint="eastAsia"/>
          <w:sz w:val="24"/>
          <w:szCs w:val="24"/>
        </w:rPr>
        <w:t>、</w:t>
      </w:r>
      <w:r>
        <w:rPr>
          <w:rFonts w:asciiTheme="minorEastAsia" w:hAnsiTheme="minorEastAsia" w:cs="Times New Roman"/>
          <w:sz w:val="24"/>
          <w:szCs w:val="24"/>
        </w:rPr>
        <w:t>T+n</w:t>
      </w:r>
      <w:r>
        <w:rPr>
          <w:rFonts w:asciiTheme="minorEastAsia" w:hAnsiTheme="minorEastAsia" w:cs="Times New Roman" w:hint="eastAsia"/>
          <w:sz w:val="24"/>
          <w:szCs w:val="24"/>
        </w:rPr>
        <w:t>日：指自</w:t>
      </w:r>
      <w:r>
        <w:rPr>
          <w:rFonts w:asciiTheme="minorEastAsia" w:hAnsiTheme="minorEastAsia" w:cs="Times New Roman"/>
          <w:sz w:val="24"/>
          <w:szCs w:val="24"/>
        </w:rPr>
        <w:t>T</w:t>
      </w:r>
      <w:r>
        <w:rPr>
          <w:rFonts w:asciiTheme="minorEastAsia" w:hAnsiTheme="minorEastAsia" w:cs="Times New Roman" w:hint="eastAsia"/>
          <w:sz w:val="24"/>
          <w:szCs w:val="24"/>
        </w:rPr>
        <w:t>日起第</w:t>
      </w:r>
      <w:r>
        <w:rPr>
          <w:rFonts w:asciiTheme="minorEastAsia" w:hAnsiTheme="minorEastAsia" w:cs="Times New Roman"/>
          <w:sz w:val="24"/>
          <w:szCs w:val="24"/>
        </w:rPr>
        <w:t>n</w:t>
      </w:r>
      <w:r>
        <w:rPr>
          <w:rFonts w:asciiTheme="minorEastAsia" w:hAnsiTheme="minorEastAsia" w:cs="Times New Roman" w:hint="eastAsia"/>
          <w:sz w:val="24"/>
          <w:szCs w:val="24"/>
        </w:rPr>
        <w:t>个工作日（不包含</w:t>
      </w:r>
      <w:r>
        <w:rPr>
          <w:rFonts w:asciiTheme="minorEastAsia" w:hAnsiTheme="minorEastAsia" w:cs="Times New Roman"/>
          <w:sz w:val="24"/>
          <w:szCs w:val="24"/>
        </w:rPr>
        <w:t>T</w:t>
      </w:r>
      <w:r>
        <w:rPr>
          <w:rFonts w:asciiTheme="minorEastAsia" w:hAnsiTheme="minorEastAsia" w:cs="Times New Roman" w:hint="eastAsia"/>
          <w:sz w:val="24"/>
          <w:szCs w:val="24"/>
        </w:rPr>
        <w:t>日）</w:t>
      </w:r>
    </w:p>
    <w:p w14:paraId="4DF26459" w14:textId="0F868785"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sidR="007D5AB6">
        <w:rPr>
          <w:rFonts w:asciiTheme="minorEastAsia" w:hAnsiTheme="minorEastAsia" w:cs="Times New Roman"/>
          <w:sz w:val="24"/>
          <w:szCs w:val="24"/>
        </w:rPr>
        <w:t>6</w:t>
      </w:r>
      <w:r>
        <w:rPr>
          <w:rFonts w:asciiTheme="minorEastAsia" w:hAnsiTheme="minorEastAsia" w:cs="Times New Roman" w:hint="eastAsia"/>
          <w:sz w:val="24"/>
          <w:szCs w:val="24"/>
        </w:rPr>
        <w:t>、开放日：指为投资人办理基金份额申购、赎回或其他业务的工作日</w:t>
      </w:r>
    </w:p>
    <w:p w14:paraId="67008093" w14:textId="3709BA6E"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sidR="007D5AB6">
        <w:rPr>
          <w:rFonts w:asciiTheme="minorEastAsia" w:hAnsiTheme="minorEastAsia" w:cs="Times New Roman"/>
          <w:sz w:val="24"/>
          <w:szCs w:val="24"/>
        </w:rPr>
        <w:t>7</w:t>
      </w:r>
      <w:r>
        <w:rPr>
          <w:rFonts w:asciiTheme="minorEastAsia" w:hAnsiTheme="minorEastAsia" w:cs="Times New Roman" w:hint="eastAsia"/>
          <w:sz w:val="24"/>
          <w:szCs w:val="24"/>
        </w:rPr>
        <w:t>、开放时间：指开放日基金接受申购、赎回或其他交易的时间段</w:t>
      </w:r>
    </w:p>
    <w:p w14:paraId="195163DE" w14:textId="0B41E1E2"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sidR="007D5AB6">
        <w:rPr>
          <w:rFonts w:asciiTheme="minorEastAsia" w:hAnsiTheme="minorEastAsia" w:cs="Times New Roman"/>
          <w:sz w:val="24"/>
          <w:szCs w:val="24"/>
        </w:rPr>
        <w:t>8</w:t>
      </w:r>
      <w:r>
        <w:rPr>
          <w:rFonts w:asciiTheme="minorEastAsia" w:hAnsiTheme="minorEastAsia" w:cs="Times New Roman" w:hint="eastAsia"/>
          <w:sz w:val="24"/>
          <w:szCs w:val="24"/>
        </w:rPr>
        <w:t>、《业务规则》：指《富荣基金管理有限公司开放式基金业务规则》，是规范基金管理人所管理的开放式证券投资基金登记方面的业务规则，由基金管理人和投资人共同遵守</w:t>
      </w:r>
    </w:p>
    <w:p w14:paraId="6270F4AB" w14:textId="79835F5C"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sidR="007D5AB6">
        <w:rPr>
          <w:rFonts w:asciiTheme="minorEastAsia" w:hAnsiTheme="minorEastAsia" w:cs="Times New Roman"/>
          <w:sz w:val="24"/>
          <w:szCs w:val="24"/>
        </w:rPr>
        <w:t>9</w:t>
      </w:r>
      <w:r>
        <w:rPr>
          <w:rFonts w:asciiTheme="minorEastAsia" w:hAnsiTheme="minorEastAsia" w:cs="Times New Roman" w:hint="eastAsia"/>
          <w:sz w:val="24"/>
          <w:szCs w:val="24"/>
        </w:rPr>
        <w:t>、认购：指在基金募集期内，投资人根据基金合同和招募说明书的规定申请购买基金份额的行为</w:t>
      </w:r>
    </w:p>
    <w:p w14:paraId="226726BB" w14:textId="30F92ABD" w:rsidR="003E4D36" w:rsidRDefault="007D5AB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40</w:t>
      </w:r>
      <w:r w:rsidR="00E729B5">
        <w:rPr>
          <w:rFonts w:asciiTheme="minorEastAsia" w:hAnsiTheme="minorEastAsia" w:cs="Times New Roman" w:hint="eastAsia"/>
          <w:sz w:val="24"/>
          <w:szCs w:val="24"/>
        </w:rPr>
        <w:t>、申购：指基金合同生效后，投资人根据基金合同和招募说明书的规定申请购买基金份额的行为</w:t>
      </w:r>
    </w:p>
    <w:p w14:paraId="6A4588E8" w14:textId="61E951A6"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w:t>
      </w:r>
      <w:r w:rsidR="007D5AB6">
        <w:rPr>
          <w:rFonts w:asciiTheme="minorEastAsia" w:hAnsiTheme="minorEastAsia" w:cs="Times New Roman"/>
          <w:sz w:val="24"/>
          <w:szCs w:val="24"/>
        </w:rPr>
        <w:t>1</w:t>
      </w:r>
      <w:r>
        <w:rPr>
          <w:rFonts w:asciiTheme="minorEastAsia" w:hAnsiTheme="minorEastAsia" w:cs="Times New Roman" w:hint="eastAsia"/>
          <w:sz w:val="24"/>
          <w:szCs w:val="24"/>
        </w:rPr>
        <w:t>、赎回：指基金合同生效后，基金份额持有人按基金合同和招募说明书规定的条件要求将基金份额兑换为现金的行为</w:t>
      </w:r>
    </w:p>
    <w:p w14:paraId="08A2163C" w14:textId="4EEE47F6"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w:t>
      </w:r>
      <w:r w:rsidR="007D5AB6">
        <w:rPr>
          <w:rFonts w:asciiTheme="minorEastAsia" w:hAnsiTheme="minorEastAsia" w:cs="Times New Roman"/>
          <w:sz w:val="24"/>
          <w:szCs w:val="24"/>
        </w:rPr>
        <w:t>2</w:t>
      </w:r>
      <w:r>
        <w:rPr>
          <w:rFonts w:asciiTheme="minorEastAsia" w:hAnsiTheme="minorEastAsia" w:cs="Times New Roman" w:hint="eastAsia"/>
          <w:sz w:val="24"/>
          <w:szCs w:val="24"/>
        </w:rPr>
        <w:t>、基金转换：指基金份额持有人按照基金合同和基金管理人届时有效公告规定的条件，申请将其持有基金管理人管理的、某一基金的基金份额转换为基金管理人管理的其他基金基金份额的行为</w:t>
      </w:r>
    </w:p>
    <w:p w14:paraId="4D3BA921" w14:textId="264B8F78"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w:t>
      </w:r>
      <w:r w:rsidR="007D5AB6">
        <w:rPr>
          <w:rFonts w:asciiTheme="minorEastAsia" w:hAnsiTheme="minorEastAsia" w:cs="Times New Roman"/>
          <w:sz w:val="24"/>
          <w:szCs w:val="24"/>
        </w:rPr>
        <w:t>3</w:t>
      </w:r>
      <w:r>
        <w:rPr>
          <w:rFonts w:asciiTheme="minorEastAsia" w:hAnsiTheme="minorEastAsia" w:cs="Times New Roman" w:hint="eastAsia"/>
          <w:sz w:val="24"/>
          <w:szCs w:val="24"/>
        </w:rPr>
        <w:t>、转托管：指基金份额持有人在本基金的不同销售机构之间实施的变更所</w:t>
      </w:r>
      <w:r>
        <w:rPr>
          <w:rFonts w:asciiTheme="minorEastAsia" w:hAnsiTheme="minorEastAsia" w:cs="Times New Roman" w:hint="eastAsia"/>
          <w:sz w:val="24"/>
          <w:szCs w:val="24"/>
        </w:rPr>
        <w:lastRenderedPageBreak/>
        <w:t>持基金份额销售机构的操作</w:t>
      </w:r>
    </w:p>
    <w:p w14:paraId="04D42CB6" w14:textId="3BCBC609"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w:t>
      </w:r>
      <w:r w:rsidR="007D5AB6">
        <w:rPr>
          <w:rFonts w:asciiTheme="minorEastAsia" w:hAnsiTheme="minorEastAsia" w:cs="Times New Roman"/>
          <w:sz w:val="24"/>
          <w:szCs w:val="24"/>
        </w:rPr>
        <w:t>4</w:t>
      </w:r>
      <w:r>
        <w:rPr>
          <w:rFonts w:asciiTheme="minorEastAsia" w:hAnsiTheme="minorEastAsia" w:cs="Times New Roman" w:hint="eastAsia"/>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5AC3EDCD" w14:textId="13792023"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w:t>
      </w:r>
      <w:r w:rsidR="007D5AB6">
        <w:rPr>
          <w:rFonts w:asciiTheme="minorEastAsia" w:hAnsiTheme="minorEastAsia" w:cs="Times New Roman"/>
          <w:sz w:val="24"/>
          <w:szCs w:val="24"/>
        </w:rPr>
        <w:t>5</w:t>
      </w:r>
      <w:r>
        <w:rPr>
          <w:rFonts w:asciiTheme="minorEastAsia" w:hAnsiTheme="minorEastAsia" w:cs="Times New Roman" w:hint="eastAsia"/>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Pr>
          <w:rFonts w:asciiTheme="minorEastAsia" w:hAnsiTheme="minorEastAsia" w:cs="Times New Roman"/>
          <w:sz w:val="24"/>
          <w:szCs w:val="24"/>
        </w:rPr>
        <w:t>10%</w:t>
      </w:r>
    </w:p>
    <w:p w14:paraId="2986A758" w14:textId="28D2A287" w:rsidR="003E4D36" w:rsidRDefault="00E729B5">
      <w:pPr>
        <w:adjustRightInd w:val="0"/>
        <w:snapToGrid w:val="0"/>
        <w:spacing w:line="360" w:lineRule="auto"/>
        <w:ind w:left="420"/>
        <w:rPr>
          <w:rFonts w:asciiTheme="minorEastAsia" w:hAnsiTheme="minorEastAsia" w:cs="Times New Roman"/>
          <w:sz w:val="24"/>
          <w:szCs w:val="24"/>
        </w:rPr>
      </w:pPr>
      <w:r>
        <w:rPr>
          <w:rFonts w:asciiTheme="minorEastAsia" w:hAnsiTheme="minorEastAsia" w:cs="Times New Roman"/>
          <w:sz w:val="24"/>
          <w:szCs w:val="24"/>
        </w:rPr>
        <w:t>4</w:t>
      </w:r>
      <w:r w:rsidR="007D5AB6">
        <w:rPr>
          <w:rFonts w:asciiTheme="minorEastAsia" w:hAnsiTheme="minorEastAsia" w:cs="Times New Roman"/>
          <w:sz w:val="24"/>
          <w:szCs w:val="24"/>
        </w:rPr>
        <w:t>6</w:t>
      </w:r>
      <w:r>
        <w:rPr>
          <w:rFonts w:asciiTheme="minorEastAsia" w:hAnsiTheme="minorEastAsia" w:cs="Times New Roman" w:hint="eastAsia"/>
          <w:sz w:val="24"/>
          <w:szCs w:val="24"/>
        </w:rPr>
        <w:t>、元：指人民币元</w:t>
      </w:r>
    </w:p>
    <w:p w14:paraId="2DCE9497" w14:textId="33B1D748"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w:t>
      </w:r>
      <w:r w:rsidR="007D5AB6">
        <w:rPr>
          <w:rFonts w:asciiTheme="minorEastAsia" w:hAnsiTheme="minorEastAsia" w:cs="Times New Roman"/>
          <w:sz w:val="24"/>
          <w:szCs w:val="24"/>
        </w:rPr>
        <w:t>7</w:t>
      </w:r>
      <w:r>
        <w:rPr>
          <w:rFonts w:asciiTheme="minorEastAsia" w:hAnsiTheme="minorEastAsia" w:cs="Times New Roman" w:hint="eastAsia"/>
          <w:sz w:val="24"/>
          <w:szCs w:val="24"/>
        </w:rPr>
        <w:t>、基金收益：指基金投资所得红利、股息、债券利息、买卖证券价差、银行存款利息、已实现的其他合法收入及因运用基金财产带来的成本和费用的节约</w:t>
      </w:r>
    </w:p>
    <w:p w14:paraId="6927327B" w14:textId="489CAE83"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w:t>
      </w:r>
      <w:r w:rsidR="007D5AB6">
        <w:rPr>
          <w:rFonts w:asciiTheme="minorEastAsia" w:hAnsiTheme="minorEastAsia" w:cs="Times New Roman"/>
          <w:sz w:val="24"/>
          <w:szCs w:val="24"/>
        </w:rPr>
        <w:t>8</w:t>
      </w:r>
      <w:r>
        <w:rPr>
          <w:rFonts w:asciiTheme="minorEastAsia" w:hAnsiTheme="minorEastAsia" w:cs="Times New Roman" w:hint="eastAsia"/>
          <w:sz w:val="24"/>
          <w:szCs w:val="24"/>
        </w:rPr>
        <w:t>、销售服务费：指本基金用于持续销售和服务基金份额持有人的费用，该笔费用从C类份额的基金财产中计提，属于基金的营运费用</w:t>
      </w:r>
    </w:p>
    <w:p w14:paraId="1FC8796B" w14:textId="3DDFAAC3"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w:t>
      </w:r>
      <w:r w:rsidR="007D5AB6">
        <w:rPr>
          <w:rFonts w:asciiTheme="minorEastAsia" w:hAnsiTheme="minorEastAsia" w:cs="Times New Roman"/>
          <w:sz w:val="24"/>
          <w:szCs w:val="24"/>
        </w:rPr>
        <w:t>9</w:t>
      </w:r>
      <w:r>
        <w:rPr>
          <w:rFonts w:asciiTheme="minorEastAsia" w:hAnsiTheme="minorEastAsia" w:cs="Times New Roman" w:hint="eastAsia"/>
          <w:sz w:val="24"/>
          <w:szCs w:val="24"/>
        </w:rPr>
        <w:t>、基金资产总值：指基金拥有的各类有价证券、银行存款本息、基金应收申购款及其他资产的价值总和</w:t>
      </w:r>
    </w:p>
    <w:p w14:paraId="68E6C474" w14:textId="410C41F9" w:rsidR="003E4D36" w:rsidRDefault="007D5AB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50</w:t>
      </w:r>
      <w:r w:rsidR="00E729B5">
        <w:rPr>
          <w:rFonts w:asciiTheme="minorEastAsia" w:hAnsiTheme="minorEastAsia" w:cs="Times New Roman" w:hint="eastAsia"/>
          <w:sz w:val="24"/>
          <w:szCs w:val="24"/>
        </w:rPr>
        <w:t>、基金资产净值：指基金资产总值减去基金负债后的价值</w:t>
      </w:r>
    </w:p>
    <w:p w14:paraId="780B7406" w14:textId="0E4BC0B5"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sidR="007D5AB6">
        <w:rPr>
          <w:rFonts w:asciiTheme="minorEastAsia" w:hAnsiTheme="minorEastAsia" w:cs="Times New Roman"/>
          <w:sz w:val="24"/>
          <w:szCs w:val="24"/>
        </w:rPr>
        <w:t>1</w:t>
      </w:r>
      <w:r>
        <w:rPr>
          <w:rFonts w:asciiTheme="minorEastAsia" w:hAnsiTheme="minorEastAsia" w:cs="Times New Roman" w:hint="eastAsia"/>
          <w:sz w:val="24"/>
          <w:szCs w:val="24"/>
        </w:rPr>
        <w:t>、基金份额净值：指计算日基金资产净值除以计算日基金份额总数</w:t>
      </w:r>
    </w:p>
    <w:p w14:paraId="6A6EFADF" w14:textId="0B2C8BAA"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sidR="007D5AB6">
        <w:rPr>
          <w:rFonts w:asciiTheme="minorEastAsia" w:hAnsiTheme="minorEastAsia" w:cs="Times New Roman"/>
          <w:sz w:val="24"/>
          <w:szCs w:val="24"/>
        </w:rPr>
        <w:t>2</w:t>
      </w:r>
      <w:r>
        <w:rPr>
          <w:rFonts w:asciiTheme="minorEastAsia" w:hAnsiTheme="minorEastAsia" w:cs="Times New Roman" w:hint="eastAsia"/>
          <w:sz w:val="24"/>
          <w:szCs w:val="24"/>
        </w:rPr>
        <w:t>、基金资产估值：指计算评估基金资产和负债的价值，以确定基金资产净值和基金份额净值的过程</w:t>
      </w:r>
    </w:p>
    <w:p w14:paraId="3E9B1E0B" w14:textId="46F6BD2B"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sidR="007D5AB6">
        <w:rPr>
          <w:rFonts w:asciiTheme="minorEastAsia" w:hAnsiTheme="minorEastAsia" w:cs="Times New Roman"/>
          <w:sz w:val="24"/>
          <w:szCs w:val="24"/>
        </w:rPr>
        <w:t>3</w:t>
      </w:r>
      <w:r>
        <w:rPr>
          <w:rFonts w:asciiTheme="minorEastAsia" w:hAnsiTheme="minorEastAsia" w:cs="Times New Roman" w:hint="eastAsia"/>
          <w:sz w:val="24"/>
          <w:szCs w:val="24"/>
        </w:rPr>
        <w:t>、基金份额的类别：指本基金根据销售服务费收取方式的不同，将基金份额分为不同的类别</w:t>
      </w:r>
    </w:p>
    <w:p w14:paraId="5FDC6E73" w14:textId="02C3EE3F"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w:t>
      </w:r>
      <w:r w:rsidR="007D5AB6">
        <w:rPr>
          <w:rFonts w:asciiTheme="minorEastAsia" w:hAnsiTheme="minorEastAsia" w:cs="Times New Roman"/>
          <w:sz w:val="24"/>
          <w:szCs w:val="24"/>
        </w:rPr>
        <w:t>4</w:t>
      </w:r>
      <w:r>
        <w:rPr>
          <w:rFonts w:asciiTheme="minorEastAsia" w:hAnsiTheme="minorEastAsia" w:cs="Times New Roman" w:hint="eastAsia"/>
          <w:sz w:val="24"/>
          <w:szCs w:val="24"/>
        </w:rPr>
        <w:t>、</w:t>
      </w:r>
      <w:r>
        <w:rPr>
          <w:rFonts w:asciiTheme="minorEastAsia" w:hAnsiTheme="minorEastAsia" w:cs="Times New Roman"/>
          <w:sz w:val="24"/>
          <w:szCs w:val="24"/>
        </w:rPr>
        <w:t>A</w:t>
      </w:r>
      <w:r>
        <w:rPr>
          <w:rFonts w:asciiTheme="minorEastAsia" w:hAnsiTheme="minorEastAsia" w:cs="Times New Roman" w:hint="eastAsia"/>
          <w:sz w:val="24"/>
          <w:szCs w:val="24"/>
        </w:rPr>
        <w:t>类基金份额：指在投资者认购、申购时收取前端认购、申购费用而不从本类别基金资产中计提销售服务费的，称为A类基金份额</w:t>
      </w:r>
    </w:p>
    <w:p w14:paraId="2686258B" w14:textId="31978F46"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w:t>
      </w:r>
      <w:r w:rsidR="007D5AB6">
        <w:rPr>
          <w:rFonts w:asciiTheme="minorEastAsia" w:hAnsiTheme="minorEastAsia" w:cs="Times New Roman"/>
          <w:sz w:val="24"/>
          <w:szCs w:val="24"/>
        </w:rPr>
        <w:t>5</w:t>
      </w:r>
      <w:r>
        <w:rPr>
          <w:rFonts w:asciiTheme="minorEastAsia" w:hAnsiTheme="minorEastAsia" w:cs="Times New Roman" w:hint="eastAsia"/>
          <w:sz w:val="24"/>
          <w:szCs w:val="24"/>
        </w:rPr>
        <w:t>、</w:t>
      </w:r>
      <w:r>
        <w:rPr>
          <w:rFonts w:asciiTheme="minorEastAsia" w:hAnsiTheme="minorEastAsia" w:cs="Times New Roman"/>
          <w:sz w:val="24"/>
          <w:szCs w:val="24"/>
        </w:rPr>
        <w:t>C</w:t>
      </w:r>
      <w:r>
        <w:rPr>
          <w:rFonts w:asciiTheme="minorEastAsia" w:hAnsiTheme="minorEastAsia" w:cs="Times New Roman" w:hint="eastAsia"/>
          <w:sz w:val="24"/>
          <w:szCs w:val="24"/>
        </w:rPr>
        <w:t>类基金份额：指在投资者认购、申购时不收取前后端认购、申购费用，而从本类别基金资产中计提销售服务费的，称为C类基金份额</w:t>
      </w:r>
    </w:p>
    <w:p w14:paraId="035B1154" w14:textId="1E60469A" w:rsidR="003E4D36" w:rsidRDefault="00E729B5">
      <w:pPr>
        <w:spacing w:line="360" w:lineRule="auto"/>
        <w:ind w:firstLineChars="200" w:firstLine="480"/>
        <w:rPr>
          <w:bCs/>
          <w:sz w:val="24"/>
          <w:szCs w:val="24"/>
        </w:rPr>
      </w:pPr>
      <w:r>
        <w:rPr>
          <w:rFonts w:hint="eastAsia"/>
          <w:bCs/>
          <w:sz w:val="24"/>
          <w:szCs w:val="24"/>
        </w:rPr>
        <w:t>5</w:t>
      </w:r>
      <w:r w:rsidR="007D5AB6">
        <w:rPr>
          <w:bCs/>
          <w:sz w:val="24"/>
          <w:szCs w:val="24"/>
        </w:rPr>
        <w:t>6</w:t>
      </w:r>
      <w:r>
        <w:rPr>
          <w:rFonts w:hint="eastAsia"/>
          <w:bCs/>
          <w:sz w:val="24"/>
          <w:szCs w:val="24"/>
        </w:rPr>
        <w:t>、流动性受限资产：是指由于法律法规、监管、合同或操作障碍等原因无法以合理价格予以变现的资产，包括但不限于到期日在</w:t>
      </w:r>
      <w:r>
        <w:rPr>
          <w:rFonts w:hint="eastAsia"/>
          <w:bCs/>
          <w:sz w:val="24"/>
          <w:szCs w:val="24"/>
        </w:rPr>
        <w:t xml:space="preserve">10 </w:t>
      </w:r>
      <w:r>
        <w:rPr>
          <w:rFonts w:hint="eastAsia"/>
          <w:bCs/>
          <w:sz w:val="24"/>
          <w:szCs w:val="24"/>
        </w:rPr>
        <w:t>个交易日以上的逆回购与银行定期存款（含协议约定有条件提前支取的银行存款）、停牌股票、流通受限的新股及非公开发行股票、资产支持证券、因发行人债务违约无法进行转让或交易的债券等</w:t>
      </w:r>
    </w:p>
    <w:p w14:paraId="57B47019" w14:textId="6E814813" w:rsidR="003E4D36" w:rsidRDefault="00E729B5">
      <w:pPr>
        <w:spacing w:line="360" w:lineRule="auto"/>
        <w:ind w:firstLineChars="200" w:firstLine="480"/>
        <w:rPr>
          <w:bCs/>
          <w:sz w:val="24"/>
          <w:szCs w:val="24"/>
        </w:rPr>
      </w:pPr>
      <w:r>
        <w:rPr>
          <w:rFonts w:hint="eastAsia"/>
          <w:bCs/>
          <w:sz w:val="24"/>
          <w:szCs w:val="24"/>
        </w:rPr>
        <w:t>5</w:t>
      </w:r>
      <w:r w:rsidR="007D5AB6">
        <w:rPr>
          <w:bCs/>
          <w:sz w:val="24"/>
          <w:szCs w:val="24"/>
        </w:rPr>
        <w:t>7</w:t>
      </w:r>
      <w:r>
        <w:rPr>
          <w:rFonts w:hint="eastAsia"/>
          <w:bCs/>
          <w:sz w:val="24"/>
          <w:szCs w:val="24"/>
        </w:rPr>
        <w:t>、摆动定价机制：是指当开放式基金遭遇大额申购赎回时，通过调整基金</w:t>
      </w:r>
      <w:r>
        <w:rPr>
          <w:rFonts w:hint="eastAsia"/>
          <w:bCs/>
          <w:sz w:val="24"/>
          <w:szCs w:val="24"/>
        </w:rPr>
        <w:lastRenderedPageBreak/>
        <w:t>份额净值的方式，将基金调整投资组合的市场冲击成本分配给实际申购、赎回的投资者，从而减少对存量基金份额持有人利益的不利影响，确保投资者的合法权益不受损害并得到公平对待</w:t>
      </w:r>
    </w:p>
    <w:p w14:paraId="403D4BD8" w14:textId="3DB08925" w:rsidR="003E4D36" w:rsidRDefault="00E729B5">
      <w:pPr>
        <w:spacing w:line="360" w:lineRule="auto"/>
        <w:ind w:firstLineChars="200" w:firstLine="460"/>
        <w:rPr>
          <w:bCs/>
          <w:sz w:val="24"/>
          <w:szCs w:val="24"/>
        </w:rPr>
      </w:pPr>
      <w:r>
        <w:rPr>
          <w:kern w:val="0"/>
          <w:sz w:val="23"/>
          <w:szCs w:val="23"/>
        </w:rPr>
        <w:t>5</w:t>
      </w:r>
      <w:r w:rsidR="007D5AB6">
        <w:rPr>
          <w:kern w:val="0"/>
          <w:sz w:val="23"/>
          <w:szCs w:val="23"/>
        </w:rPr>
        <w:t>8</w:t>
      </w:r>
      <w:r>
        <w:rPr>
          <w:rFonts w:hint="eastAsia"/>
          <w:bCs/>
          <w:sz w:val="24"/>
          <w:szCs w:val="24"/>
        </w:rPr>
        <w:t>、</w:t>
      </w:r>
      <w:r>
        <w:rPr>
          <w:bCs/>
          <w:sz w:val="24"/>
          <w:szCs w:val="24"/>
        </w:rPr>
        <w:t>指定媒</w:t>
      </w:r>
      <w:r>
        <w:rPr>
          <w:rFonts w:hint="eastAsia"/>
          <w:bCs/>
          <w:sz w:val="24"/>
          <w:szCs w:val="24"/>
        </w:rPr>
        <w:t>介</w:t>
      </w:r>
      <w:r>
        <w:rPr>
          <w:bCs/>
          <w:sz w:val="24"/>
          <w:szCs w:val="24"/>
        </w:rPr>
        <w:t>：</w:t>
      </w:r>
      <w:r w:rsidR="007D5AB6" w:rsidRPr="007D5AB6">
        <w:rPr>
          <w:rFonts w:hint="eastAsia"/>
          <w:bCs/>
          <w:sz w:val="24"/>
          <w:szCs w:val="24"/>
        </w:rPr>
        <w:t>指中国证监会指定的用以进行信息披露的全国性报刊及指定互联网网站（包括基金管理人网站、基金托管人网站、中国证监会基金电子披露网站）等媒介</w:t>
      </w:r>
    </w:p>
    <w:p w14:paraId="0A93725E" w14:textId="388A2483" w:rsidR="003E4D36" w:rsidRDefault="00E729B5">
      <w:pPr>
        <w:spacing w:line="360" w:lineRule="auto"/>
        <w:ind w:firstLineChars="200" w:firstLine="480"/>
        <w:rPr>
          <w:bCs/>
          <w:sz w:val="24"/>
          <w:szCs w:val="24"/>
        </w:rPr>
      </w:pPr>
      <w:r>
        <w:rPr>
          <w:bCs/>
          <w:sz w:val="24"/>
          <w:szCs w:val="24"/>
        </w:rPr>
        <w:t>5</w:t>
      </w:r>
      <w:r w:rsidR="007D5AB6">
        <w:rPr>
          <w:bCs/>
          <w:sz w:val="24"/>
          <w:szCs w:val="24"/>
        </w:rPr>
        <w:t>9</w:t>
      </w:r>
      <w:r>
        <w:rPr>
          <w:rFonts w:hint="eastAsia"/>
          <w:bCs/>
          <w:sz w:val="24"/>
          <w:szCs w:val="24"/>
        </w:rPr>
        <w:t>、</w:t>
      </w:r>
      <w:r>
        <w:rPr>
          <w:bCs/>
          <w:sz w:val="24"/>
          <w:szCs w:val="24"/>
        </w:rPr>
        <w:t>不可抗力：指本</w:t>
      </w:r>
      <w:r>
        <w:rPr>
          <w:rFonts w:hint="eastAsia"/>
          <w:bCs/>
          <w:sz w:val="24"/>
          <w:szCs w:val="24"/>
        </w:rPr>
        <w:t>基金</w:t>
      </w:r>
      <w:r>
        <w:rPr>
          <w:bCs/>
          <w:sz w:val="24"/>
          <w:szCs w:val="24"/>
        </w:rPr>
        <w:t>合同当事人不能预见、不能避免且不能克服的客观事件</w:t>
      </w:r>
    </w:p>
    <w:p w14:paraId="55972BE8" w14:textId="77777777" w:rsidR="003E4D36" w:rsidRDefault="00E729B5">
      <w:pPr>
        <w:widowControl/>
        <w:jc w:val="left"/>
        <w:rPr>
          <w:bCs/>
          <w:sz w:val="24"/>
          <w:szCs w:val="24"/>
        </w:rPr>
      </w:pPr>
      <w:r>
        <w:rPr>
          <w:bCs/>
          <w:sz w:val="24"/>
          <w:szCs w:val="24"/>
        </w:rPr>
        <w:br w:type="page"/>
      </w:r>
    </w:p>
    <w:p w14:paraId="237C401F" w14:textId="77777777" w:rsidR="003E4D36" w:rsidRDefault="00E729B5">
      <w:pPr>
        <w:pStyle w:val="1"/>
        <w:jc w:val="center"/>
        <w:rPr>
          <w:sz w:val="30"/>
          <w:szCs w:val="30"/>
        </w:rPr>
      </w:pPr>
      <w:bookmarkStart w:id="63" w:name="_Toc416264539"/>
      <w:bookmarkStart w:id="64" w:name="_Toc523243818"/>
      <w:bookmarkStart w:id="65" w:name="_Toc263092311"/>
      <w:bookmarkStart w:id="66" w:name="_Toc410197817"/>
      <w:bookmarkStart w:id="67" w:name="_Toc24682"/>
      <w:bookmarkStart w:id="68" w:name="_Toc352229749"/>
      <w:bookmarkStart w:id="69" w:name="_Toc29784"/>
      <w:bookmarkStart w:id="70" w:name="_Toc22074"/>
      <w:bookmarkStart w:id="71" w:name="_Toc27189"/>
      <w:bookmarkStart w:id="72" w:name="_Toc16265"/>
      <w:bookmarkStart w:id="73" w:name="_Toc15203"/>
      <w:bookmarkStart w:id="74" w:name="_Toc90742390"/>
      <w:bookmarkStart w:id="75" w:name="_Toc29948"/>
      <w:bookmarkStart w:id="76" w:name="_Toc3266"/>
      <w:bookmarkStart w:id="77" w:name="_Toc27226"/>
      <w:bookmarkStart w:id="78" w:name="_Toc6714"/>
      <w:bookmarkStart w:id="79" w:name="_Toc90742321"/>
      <w:bookmarkStart w:id="80" w:name="_Toc7151"/>
      <w:bookmarkStart w:id="81" w:name="_Toc90742688"/>
      <w:bookmarkEnd w:id="49"/>
      <w:bookmarkEnd w:id="50"/>
      <w:bookmarkEnd w:id="51"/>
      <w:bookmarkEnd w:id="52"/>
      <w:bookmarkEnd w:id="53"/>
      <w:bookmarkEnd w:id="54"/>
      <w:bookmarkEnd w:id="55"/>
      <w:bookmarkEnd w:id="56"/>
      <w:bookmarkEnd w:id="57"/>
      <w:bookmarkEnd w:id="58"/>
      <w:bookmarkEnd w:id="59"/>
      <w:bookmarkEnd w:id="60"/>
      <w:r>
        <w:rPr>
          <w:rFonts w:hint="eastAsia"/>
          <w:sz w:val="30"/>
          <w:szCs w:val="30"/>
        </w:rPr>
        <w:lastRenderedPageBreak/>
        <w:t>第三部分</w:t>
      </w:r>
      <w:r>
        <w:rPr>
          <w:sz w:val="30"/>
          <w:szCs w:val="30"/>
        </w:rPr>
        <w:t xml:space="preserve">  </w:t>
      </w:r>
      <w:r>
        <w:rPr>
          <w:rFonts w:hint="eastAsia"/>
          <w:sz w:val="30"/>
          <w:szCs w:val="30"/>
        </w:rPr>
        <w:t>基金管理人</w:t>
      </w:r>
      <w:bookmarkEnd w:id="63"/>
      <w:bookmarkEnd w:id="64"/>
      <w:bookmarkEnd w:id="65"/>
    </w:p>
    <w:p w14:paraId="70B49AC2" w14:textId="77777777" w:rsidR="003E4D36" w:rsidRDefault="00E729B5">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一、基金管理人概况</w:t>
      </w:r>
    </w:p>
    <w:p w14:paraId="5BA1F8D7" w14:textId="77777777" w:rsidR="003E4D36" w:rsidRDefault="00E729B5">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名称：富荣基金管理有限公司</w:t>
      </w:r>
    </w:p>
    <w:p w14:paraId="6FD42D63" w14:textId="77777777" w:rsidR="003E4D36" w:rsidRDefault="00E729B5">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住所：广州市南沙区海滨路171号南沙金融大厦11楼1101之一J20室</w:t>
      </w:r>
    </w:p>
    <w:p w14:paraId="39DE34A3" w14:textId="77777777" w:rsidR="003E4D36" w:rsidRDefault="00E729B5">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办公地址：深圳市福田区深南大道2012号深圳交易所大厦3501室</w:t>
      </w:r>
    </w:p>
    <w:p w14:paraId="1C962CDB" w14:textId="77777777" w:rsidR="003E4D36" w:rsidRDefault="00E729B5">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法定代表人：</w:t>
      </w:r>
      <w:r w:rsidR="00980F20">
        <w:rPr>
          <w:rFonts w:asciiTheme="minorEastAsia" w:hAnsiTheme="minorEastAsia" w:cs="Times New Roman" w:hint="eastAsia"/>
          <w:kern w:val="0"/>
          <w:sz w:val="24"/>
          <w:szCs w:val="24"/>
        </w:rPr>
        <w:t>杨小舟</w:t>
      </w:r>
    </w:p>
    <w:p w14:paraId="484386A7" w14:textId="77777777" w:rsidR="003E4D36" w:rsidRDefault="00E729B5">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成立时间：2016年1月25日</w:t>
      </w:r>
    </w:p>
    <w:p w14:paraId="61919E3D" w14:textId="77777777" w:rsidR="003E4D36" w:rsidRDefault="00E729B5">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注册资本：2亿元人民币</w:t>
      </w:r>
    </w:p>
    <w:p w14:paraId="2A7087BE" w14:textId="77777777" w:rsidR="003E4D36" w:rsidRDefault="00E729B5">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存续期间：持续经营</w:t>
      </w:r>
    </w:p>
    <w:p w14:paraId="3A1447FC" w14:textId="26A787CA" w:rsidR="003E4D36" w:rsidRDefault="00E729B5">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联系人：</w:t>
      </w:r>
      <w:r w:rsidR="00835957" w:rsidRPr="00835957">
        <w:rPr>
          <w:rFonts w:asciiTheme="minorEastAsia" w:hAnsiTheme="minorEastAsia" w:cs="Times New Roman" w:hint="eastAsia"/>
          <w:kern w:val="0"/>
          <w:sz w:val="24"/>
          <w:szCs w:val="24"/>
        </w:rPr>
        <w:t>蔡晓忠</w:t>
      </w:r>
    </w:p>
    <w:p w14:paraId="371A5EB9" w14:textId="04110DD4" w:rsidR="003E4D36" w:rsidRDefault="00E729B5">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联系电话：（0755）</w:t>
      </w:r>
      <w:r>
        <w:rPr>
          <w:rFonts w:asciiTheme="minorEastAsia" w:hAnsiTheme="minorEastAsia" w:cs="Times New Roman"/>
          <w:kern w:val="0"/>
          <w:sz w:val="24"/>
          <w:szCs w:val="24"/>
        </w:rPr>
        <w:t>8435 663</w:t>
      </w:r>
      <w:r w:rsidR="00835957">
        <w:rPr>
          <w:rFonts w:asciiTheme="minorEastAsia" w:hAnsiTheme="minorEastAsia" w:cs="Times New Roman"/>
          <w:kern w:val="0"/>
          <w:sz w:val="24"/>
          <w:szCs w:val="24"/>
        </w:rPr>
        <w:t>6</w:t>
      </w:r>
    </w:p>
    <w:p w14:paraId="09B0A053" w14:textId="77777777" w:rsidR="003E4D36" w:rsidRDefault="00E729B5">
      <w:pPr>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 xml:space="preserve">股权结构： </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3E4D36" w14:paraId="6BB6D5EB"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58033DB5" w14:textId="77777777" w:rsidR="003E4D36" w:rsidRDefault="00E729B5">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0F633361" w14:textId="77777777" w:rsidR="003E4D36" w:rsidRDefault="00E729B5">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出资比例</w:t>
            </w:r>
          </w:p>
        </w:tc>
      </w:tr>
      <w:tr w:rsidR="003E4D36" w14:paraId="3EEE0751"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603995B9" w14:textId="77777777" w:rsidR="003E4D36" w:rsidRDefault="00E729B5">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1C31D611" w14:textId="77777777" w:rsidR="003E4D36" w:rsidRDefault="00E729B5">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50%</w:t>
            </w:r>
          </w:p>
        </w:tc>
      </w:tr>
      <w:tr w:rsidR="003E4D36" w14:paraId="0D171206"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4C9B90A8" w14:textId="77777777" w:rsidR="003E4D36" w:rsidRDefault="00E729B5">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07095BE5" w14:textId="77777777" w:rsidR="003E4D36" w:rsidRDefault="00E729B5">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45.1%</w:t>
            </w:r>
          </w:p>
        </w:tc>
      </w:tr>
      <w:tr w:rsidR="003E4D36" w14:paraId="1060517B"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491B1BA3" w14:textId="77777777" w:rsidR="003E4D36" w:rsidRDefault="00E729B5">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湖南省典勤投资开发有限公司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3000238B" w14:textId="77777777" w:rsidR="003E4D36" w:rsidRDefault="00E729B5">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4.9%</w:t>
            </w:r>
          </w:p>
        </w:tc>
      </w:tr>
    </w:tbl>
    <w:p w14:paraId="5A22A82F" w14:textId="77777777" w:rsidR="003E4D36" w:rsidRDefault="003E4D36">
      <w:pPr>
        <w:adjustRightInd w:val="0"/>
        <w:snapToGrid w:val="0"/>
        <w:spacing w:line="360" w:lineRule="auto"/>
        <w:ind w:firstLineChars="200" w:firstLine="480"/>
        <w:rPr>
          <w:rFonts w:asciiTheme="minorEastAsia" w:hAnsiTheme="minorEastAsia" w:cs="Arial"/>
          <w:kern w:val="0"/>
          <w:sz w:val="24"/>
          <w:szCs w:val="24"/>
        </w:rPr>
      </w:pPr>
    </w:p>
    <w:p w14:paraId="7E9AFE5E" w14:textId="77777777" w:rsidR="003E4D36" w:rsidRDefault="00E729B5">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二、主要成员情况</w:t>
      </w:r>
    </w:p>
    <w:p w14:paraId="1B1D608D" w14:textId="77777777" w:rsidR="003E4D36" w:rsidRDefault="00E729B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1、董事会成员</w:t>
      </w:r>
    </w:p>
    <w:p w14:paraId="510DB333" w14:textId="77777777" w:rsidR="002453CC" w:rsidRDefault="002453CC">
      <w:pPr>
        <w:adjustRightInd w:val="0"/>
        <w:snapToGrid w:val="0"/>
        <w:spacing w:line="360" w:lineRule="auto"/>
        <w:ind w:firstLineChars="200" w:firstLine="480"/>
        <w:rPr>
          <w:rFonts w:asciiTheme="minorEastAsia" w:hAnsiTheme="minorEastAsia" w:cs="Arial"/>
          <w:kern w:val="0"/>
          <w:sz w:val="24"/>
          <w:szCs w:val="24"/>
        </w:rPr>
      </w:pPr>
      <w:r w:rsidRPr="002453CC">
        <w:rPr>
          <w:rFonts w:asciiTheme="minorEastAsia" w:hAnsiTheme="minorEastAsia" w:cs="Arial" w:hint="eastAsia"/>
          <w:kern w:val="0"/>
          <w:sz w:val="24"/>
          <w:szCs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15A08B4A" w14:textId="77777777" w:rsidR="003E4D36" w:rsidRDefault="00E729B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郭容辰女士，董事，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14:paraId="4B0C4E9A" w14:textId="77777777" w:rsidR="003E4D36" w:rsidRDefault="00E729B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罗劲先生，董事，湖南大学工商管理硕士。曾任广州农村商业银行股份有限公司华夏支行集团客户事业部副总经理。现任广州汇垠澳丰股权投资基金管理有</w:t>
      </w:r>
      <w:r>
        <w:rPr>
          <w:rFonts w:asciiTheme="minorEastAsia" w:hAnsiTheme="minorEastAsia" w:cs="Arial" w:hint="eastAsia"/>
          <w:kern w:val="0"/>
          <w:sz w:val="24"/>
          <w:szCs w:val="24"/>
        </w:rPr>
        <w:lastRenderedPageBreak/>
        <w:t>限公司常务副总经理、四川汇源光通信股份有限公司董事长、富荣基金管理有限公司董事。</w:t>
      </w:r>
    </w:p>
    <w:p w14:paraId="3230570B" w14:textId="77777777" w:rsidR="003E4D36" w:rsidRDefault="00E729B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郭涛先生，董事，上海高级金融学院研究生（在读）。现任深圳市益德置业有限公司总经理、深圳福元德租赁有限公司董事长兼总经理、深圳融博融资租赁有限公司董事长兼总经理、深圳市天汇鑫达担保有限公司总经理、深圳市亿尔德投资有限公司法人、嘉年实业股份有限公司董事、富荣基金管理有限公司董事。</w:t>
      </w:r>
    </w:p>
    <w:p w14:paraId="03880675" w14:textId="12AC9DF6" w:rsidR="003E4D36" w:rsidRDefault="00DD7E43">
      <w:pPr>
        <w:adjustRightInd w:val="0"/>
        <w:snapToGrid w:val="0"/>
        <w:spacing w:line="360" w:lineRule="auto"/>
        <w:ind w:firstLineChars="200" w:firstLine="480"/>
        <w:rPr>
          <w:rFonts w:asciiTheme="minorEastAsia" w:hAnsiTheme="minorEastAsia" w:cs="Arial"/>
          <w:kern w:val="0"/>
          <w:sz w:val="24"/>
          <w:szCs w:val="24"/>
        </w:rPr>
      </w:pPr>
      <w:r w:rsidRPr="00DD7E43">
        <w:rPr>
          <w:rFonts w:asciiTheme="minorEastAsia" w:hAnsiTheme="minorEastAsia" w:cs="Arial" w:hint="eastAsia"/>
          <w:kern w:val="0"/>
          <w:sz w:val="24"/>
          <w:szCs w:val="24"/>
        </w:rPr>
        <w:t>李金声先生</w:t>
      </w:r>
      <w:r w:rsidR="00150907">
        <w:rPr>
          <w:rFonts w:asciiTheme="minorEastAsia" w:hAnsiTheme="minorEastAsia" w:cs="Arial" w:hint="eastAsia"/>
          <w:kern w:val="0"/>
          <w:sz w:val="24"/>
          <w:szCs w:val="24"/>
        </w:rPr>
        <w:t>，独立董事，</w:t>
      </w:r>
      <w:r w:rsidRPr="00DD7E43">
        <w:rPr>
          <w:rFonts w:asciiTheme="minorEastAsia" w:hAnsiTheme="minorEastAsia" w:cs="Arial" w:hint="eastAsia"/>
          <w:kern w:val="0"/>
          <w:sz w:val="24"/>
          <w:szCs w:val="24"/>
        </w:rPr>
        <w:t>研究生博士。于2016年2月起退休。历任黑龙江阿城糖厂电站汽轮发电工人、黑龙江财政厅商业处商业会计财务干部、黑龙江省府财办、办公厅三办、省长办干部。中国银行哈尔滨分行办公室副主任、广发银行总行办公室主任、广发银行总行稽核部总经理、广发银行总行资金部总经理、筹建广发银行广州分行筹备组副组长、广发银行广州分行副行长、党委书记、行长；广发银行总稽核、党委委员、监事会负责人、监事长职务。</w:t>
      </w:r>
    </w:p>
    <w:p w14:paraId="146C7898" w14:textId="0334B3B2" w:rsidR="003E4D36" w:rsidRDefault="00DD7E43">
      <w:pPr>
        <w:adjustRightInd w:val="0"/>
        <w:snapToGrid w:val="0"/>
        <w:spacing w:line="360" w:lineRule="auto"/>
        <w:ind w:firstLineChars="200" w:firstLine="480"/>
        <w:rPr>
          <w:rFonts w:asciiTheme="minorEastAsia" w:hAnsiTheme="minorEastAsia" w:cs="Arial"/>
          <w:kern w:val="0"/>
          <w:sz w:val="24"/>
          <w:szCs w:val="24"/>
        </w:rPr>
      </w:pPr>
      <w:r w:rsidRPr="00DD7E43">
        <w:rPr>
          <w:rFonts w:asciiTheme="minorEastAsia" w:hAnsiTheme="minorEastAsia" w:cs="Arial" w:hint="eastAsia"/>
          <w:kern w:val="0"/>
          <w:sz w:val="24"/>
          <w:szCs w:val="24"/>
        </w:rPr>
        <w:t>李晓英女士</w:t>
      </w:r>
      <w:r w:rsidR="00150907">
        <w:rPr>
          <w:rFonts w:asciiTheme="minorEastAsia" w:hAnsiTheme="minorEastAsia" w:cs="Arial" w:hint="eastAsia"/>
          <w:kern w:val="0"/>
          <w:sz w:val="24"/>
          <w:szCs w:val="24"/>
        </w:rPr>
        <w:t>，独立董事，</w:t>
      </w:r>
      <w:r w:rsidRPr="00DD7E43">
        <w:rPr>
          <w:rFonts w:asciiTheme="minorEastAsia" w:hAnsiTheme="minorEastAsia" w:cs="Arial" w:hint="eastAsia"/>
          <w:kern w:val="0"/>
          <w:sz w:val="24"/>
          <w:szCs w:val="24"/>
        </w:rPr>
        <w:t>大学本科学士。现任广东一粤律师事务所专职律师。曾任广东同益律师事务所专职律师。主要从事法律顾问、商事诉讼、仲裁等。</w:t>
      </w:r>
    </w:p>
    <w:p w14:paraId="205B1AA4" w14:textId="77777777" w:rsidR="003E4D36" w:rsidRDefault="00E729B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余关健先生，独立董事，西南财经大学工业经济硕士研究生。曾任中国银行深圳分行信贷处处长、中国银行深圳分行风险管理处处长、深圳赛格、深圳特发集团董事、邦信资产管理公司董事总经理、对外贸易集团股份有限公司董事长、东方资产管理公司办事处总经理，现任东银实业（深圳）有限公司董事、深圳金田股份有限公司独立董事、富荣基金管理有限公司独立董事。</w:t>
      </w:r>
    </w:p>
    <w:p w14:paraId="6219BAA0" w14:textId="77777777" w:rsidR="003E4D36" w:rsidRDefault="00E729B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2、监事会成员</w:t>
      </w:r>
    </w:p>
    <w:p w14:paraId="10197D0C" w14:textId="77777777" w:rsidR="003E4D36" w:rsidRDefault="00E729B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基金管理人不设监事会，设监事两名，其中一名为职工监事。</w:t>
      </w:r>
    </w:p>
    <w:p w14:paraId="3CDEDE92" w14:textId="77777777" w:rsidR="003E4D36" w:rsidRDefault="00E729B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卢伟女士，监事，大专。在盈投控股有限公司任职，现任富荣基金管理有限公司监事。</w:t>
      </w:r>
    </w:p>
    <w:p w14:paraId="4D0D5D22" w14:textId="77777777" w:rsidR="003E4D36" w:rsidRDefault="00E729B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毛志华先生，职工监事，本科。现任富荣基金管理有限公司监事。</w:t>
      </w:r>
    </w:p>
    <w:p w14:paraId="14BAAFE1" w14:textId="77777777" w:rsidR="003E4D36" w:rsidRDefault="00E729B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3、高级管理人员</w:t>
      </w:r>
    </w:p>
    <w:p w14:paraId="58FA0C00" w14:textId="77777777" w:rsidR="002453CC" w:rsidRPr="002453CC" w:rsidRDefault="002453CC" w:rsidP="002453CC">
      <w:pPr>
        <w:adjustRightInd w:val="0"/>
        <w:snapToGrid w:val="0"/>
        <w:spacing w:line="360" w:lineRule="auto"/>
        <w:ind w:firstLineChars="200" w:firstLine="480"/>
        <w:rPr>
          <w:rFonts w:asciiTheme="minorEastAsia" w:hAnsiTheme="minorEastAsia" w:cs="Arial"/>
          <w:kern w:val="0"/>
          <w:sz w:val="24"/>
          <w:szCs w:val="24"/>
        </w:rPr>
      </w:pPr>
      <w:r w:rsidRPr="002453CC">
        <w:rPr>
          <w:rFonts w:asciiTheme="minorEastAsia" w:hAnsiTheme="minorEastAsia" w:cs="Arial" w:hint="eastAsia"/>
          <w:kern w:val="0"/>
          <w:sz w:val="24"/>
          <w:szCs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0BAB3DDC" w14:textId="77777777" w:rsidR="002453CC" w:rsidRPr="002453CC" w:rsidRDefault="002453CC" w:rsidP="002453CC">
      <w:pPr>
        <w:adjustRightInd w:val="0"/>
        <w:snapToGrid w:val="0"/>
        <w:spacing w:line="360" w:lineRule="auto"/>
        <w:ind w:firstLineChars="200" w:firstLine="480"/>
        <w:rPr>
          <w:rFonts w:asciiTheme="minorEastAsia" w:hAnsiTheme="minorEastAsia" w:cs="Arial"/>
          <w:kern w:val="0"/>
          <w:sz w:val="24"/>
          <w:szCs w:val="24"/>
        </w:rPr>
      </w:pPr>
      <w:r w:rsidRPr="002453CC">
        <w:rPr>
          <w:rFonts w:asciiTheme="minorEastAsia" w:hAnsiTheme="minorEastAsia" w:cs="Arial" w:hint="eastAsia"/>
          <w:kern w:val="0"/>
          <w:sz w:val="24"/>
          <w:szCs w:val="24"/>
        </w:rPr>
        <w:t>郭容辰女士，总经理，北京大学法学硕士，历任交通银行深圳福田支行行长、</w:t>
      </w:r>
      <w:r w:rsidRPr="002453CC">
        <w:rPr>
          <w:rFonts w:asciiTheme="minorEastAsia" w:hAnsiTheme="minorEastAsia" w:cs="Arial" w:hint="eastAsia"/>
          <w:kern w:val="0"/>
          <w:sz w:val="24"/>
          <w:szCs w:val="24"/>
        </w:rPr>
        <w:lastRenderedPageBreak/>
        <w:t>深圳分行零售信贷部总经理、个人金融部总经理、华夏银行深圳分行个人金融部总经理、金鹰基金管理有限公司副总经理，现任富荣基金管理有限公司总经理。</w:t>
      </w:r>
    </w:p>
    <w:p w14:paraId="4370DCF1" w14:textId="77777777" w:rsidR="002453CC" w:rsidRPr="002453CC" w:rsidRDefault="002453CC" w:rsidP="002453CC">
      <w:pPr>
        <w:adjustRightInd w:val="0"/>
        <w:snapToGrid w:val="0"/>
        <w:spacing w:line="360" w:lineRule="auto"/>
        <w:ind w:firstLineChars="200" w:firstLine="480"/>
        <w:rPr>
          <w:rFonts w:asciiTheme="minorEastAsia" w:hAnsiTheme="minorEastAsia" w:cs="Arial"/>
          <w:kern w:val="0"/>
          <w:sz w:val="24"/>
          <w:szCs w:val="24"/>
        </w:rPr>
      </w:pPr>
      <w:r w:rsidRPr="002453CC">
        <w:rPr>
          <w:rFonts w:asciiTheme="minorEastAsia" w:hAnsiTheme="minorEastAsia" w:cs="Arial" w:hint="eastAsia"/>
          <w:kern w:val="0"/>
          <w:sz w:val="24"/>
          <w:szCs w:val="24"/>
        </w:rPr>
        <w:t>苏春华先生,副总经理、首席投资官，中山大学硕士研究生，曾任广州期货贸易有限公司期货研究员、君安证券广州营业部高级分析员、光大银行广州证券部副经理兼研究室主任、广州银行资金营运中心总经理兼首席交易员，历任广东华兴银行金融市场部总经理、金融市场条线业务总监、总行副行长，现任富荣基金管理有限公司副总经理、首席投资官。</w:t>
      </w:r>
    </w:p>
    <w:p w14:paraId="5BD8CFFB" w14:textId="77777777" w:rsidR="002453CC" w:rsidRDefault="002453CC" w:rsidP="002453CC">
      <w:pPr>
        <w:adjustRightInd w:val="0"/>
        <w:snapToGrid w:val="0"/>
        <w:spacing w:line="360" w:lineRule="auto"/>
        <w:ind w:firstLineChars="200" w:firstLine="480"/>
        <w:rPr>
          <w:rFonts w:asciiTheme="minorEastAsia" w:hAnsiTheme="minorEastAsia" w:cs="Arial"/>
          <w:kern w:val="0"/>
          <w:sz w:val="24"/>
          <w:szCs w:val="24"/>
        </w:rPr>
      </w:pPr>
      <w:r w:rsidRPr="002453CC">
        <w:rPr>
          <w:rFonts w:asciiTheme="minorEastAsia" w:hAnsiTheme="minorEastAsia" w:cs="Arial" w:hint="eastAsia"/>
          <w:kern w:val="0"/>
          <w:sz w:val="24"/>
          <w:szCs w:val="24"/>
        </w:rPr>
        <w:t>林峰先生，副总经理，法学专业本科。曾任中国银行广州分行行员、广州白云支行会计，民生银行广州分行会计结算科负责人、系统财务科科长、越秀支行行长，广东省农村信用社联合社历任资金调剂营运中心总经理助理、副总经理、负责人等，现任富荣基金管理有限公司副总经理。</w:t>
      </w:r>
    </w:p>
    <w:p w14:paraId="27AFC67F" w14:textId="77777777" w:rsidR="00DD7E43" w:rsidRPr="002453CC" w:rsidRDefault="00DD7E43" w:rsidP="002453CC">
      <w:pPr>
        <w:adjustRightInd w:val="0"/>
        <w:snapToGrid w:val="0"/>
        <w:spacing w:line="360" w:lineRule="auto"/>
        <w:ind w:firstLineChars="200" w:firstLine="480"/>
        <w:rPr>
          <w:rFonts w:asciiTheme="minorEastAsia" w:hAnsiTheme="minorEastAsia" w:cs="Arial"/>
          <w:kern w:val="0"/>
          <w:sz w:val="24"/>
          <w:szCs w:val="24"/>
        </w:rPr>
      </w:pPr>
      <w:r w:rsidRPr="00D67437">
        <w:rPr>
          <w:rFonts w:ascii="宋体" w:hAnsi="宋体" w:hint="eastAsia"/>
          <w:color w:val="000000"/>
          <w:kern w:val="0"/>
          <w:sz w:val="24"/>
        </w:rPr>
        <w:t>李东育先生，副总经理，中山大学岭南学院EMBA硕士，曾任银河基金管理有限公司华南地区渠道销售销售总监，泰达宏利基金管理有限公司华南区总经理，金信基金管理有限公司总经理助理，华润元大基金管理有限公司总经理助理。现任富荣基金管理有限公司副总经理，分管市场、信息技术、基金事务管理等板块工作。</w:t>
      </w:r>
    </w:p>
    <w:p w14:paraId="1D5EC8B6" w14:textId="77777777" w:rsidR="002453CC" w:rsidRDefault="002453CC" w:rsidP="002453CC">
      <w:pPr>
        <w:adjustRightInd w:val="0"/>
        <w:snapToGrid w:val="0"/>
        <w:spacing w:line="360" w:lineRule="auto"/>
        <w:ind w:firstLineChars="200" w:firstLine="480"/>
        <w:rPr>
          <w:rFonts w:asciiTheme="minorEastAsia" w:hAnsiTheme="minorEastAsia" w:cs="Arial"/>
          <w:kern w:val="0"/>
          <w:sz w:val="24"/>
          <w:szCs w:val="24"/>
        </w:rPr>
      </w:pPr>
      <w:r w:rsidRPr="002453CC">
        <w:rPr>
          <w:rFonts w:asciiTheme="minorEastAsia" w:hAnsiTheme="minorEastAsia" w:cs="Arial" w:hint="eastAsia"/>
          <w:kern w:val="0"/>
          <w:sz w:val="24"/>
          <w:szCs w:val="24"/>
        </w:rPr>
        <w:t>滕大江先生，督察长，中南大学工学学士，先后供职于平安证券、平安大华基金管理有限公司、前海开源基金管理有限公司监察稽核部门。现任富荣基金管理有限公司督察长。</w:t>
      </w:r>
    </w:p>
    <w:p w14:paraId="5846A809" w14:textId="77777777" w:rsidR="003E4D36" w:rsidRDefault="00E729B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4、本基金基金经理</w:t>
      </w:r>
    </w:p>
    <w:p w14:paraId="29A94AC5" w14:textId="77777777" w:rsidR="003E4D36" w:rsidRDefault="00E729B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邓宇翔先生，权益投资部兼研究部总监</w:t>
      </w:r>
      <w:r>
        <w:rPr>
          <w:rFonts w:asciiTheme="minorEastAsia" w:hAnsiTheme="minorEastAsia" w:cs="Arial"/>
          <w:kern w:val="0"/>
          <w:sz w:val="24"/>
          <w:szCs w:val="24"/>
        </w:rPr>
        <w:t>，</w:t>
      </w:r>
      <w:r>
        <w:rPr>
          <w:rFonts w:asciiTheme="minorEastAsia" w:hAnsiTheme="minorEastAsia" w:cs="Arial" w:hint="eastAsia"/>
          <w:kern w:val="0"/>
          <w:sz w:val="24"/>
          <w:szCs w:val="24"/>
        </w:rPr>
        <w:t>中国科学技术大学理学硕士，曾任西南证券股份有限公司资深投资经理、深圳展博投资有限公司投资经理、深圳东新佳投资有限公司投资经理。现任富荣基金管理有限公司权益投资部兼研究部总监、基金经理。</w:t>
      </w:r>
    </w:p>
    <w:p w14:paraId="5EA637D0" w14:textId="77777777" w:rsidR="003E4D36" w:rsidRDefault="00E729B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5、投资决策委员会成员的姓名、职务</w:t>
      </w:r>
    </w:p>
    <w:p w14:paraId="29B81502" w14:textId="77777777" w:rsidR="00C1630A" w:rsidRPr="00C1630A" w:rsidRDefault="00C1630A" w:rsidP="00C1630A">
      <w:pPr>
        <w:adjustRightInd w:val="0"/>
        <w:snapToGrid w:val="0"/>
        <w:spacing w:line="360" w:lineRule="auto"/>
        <w:ind w:firstLineChars="200" w:firstLine="480"/>
        <w:rPr>
          <w:rFonts w:asciiTheme="minorEastAsia" w:hAnsiTheme="minorEastAsia" w:cs="Arial"/>
          <w:kern w:val="0"/>
          <w:sz w:val="24"/>
          <w:szCs w:val="24"/>
        </w:rPr>
      </w:pPr>
      <w:r w:rsidRPr="00C1630A">
        <w:rPr>
          <w:rFonts w:asciiTheme="minorEastAsia" w:hAnsiTheme="minorEastAsia" w:cs="Arial" w:hint="eastAsia"/>
          <w:kern w:val="0"/>
          <w:sz w:val="24"/>
          <w:szCs w:val="24"/>
        </w:rPr>
        <w:t>郭容辰女士，投资决策委员会主任委员、总经理。</w:t>
      </w:r>
    </w:p>
    <w:p w14:paraId="160ABD87" w14:textId="77777777" w:rsidR="00C1630A" w:rsidRPr="00C1630A" w:rsidRDefault="00C1630A" w:rsidP="00C1630A">
      <w:pPr>
        <w:adjustRightInd w:val="0"/>
        <w:snapToGrid w:val="0"/>
        <w:spacing w:line="360" w:lineRule="auto"/>
        <w:ind w:firstLineChars="200" w:firstLine="480"/>
        <w:rPr>
          <w:rFonts w:asciiTheme="minorEastAsia" w:hAnsiTheme="minorEastAsia" w:cs="Arial"/>
          <w:kern w:val="0"/>
          <w:sz w:val="24"/>
          <w:szCs w:val="24"/>
        </w:rPr>
      </w:pPr>
      <w:r w:rsidRPr="00C1630A">
        <w:rPr>
          <w:rFonts w:asciiTheme="minorEastAsia" w:hAnsiTheme="minorEastAsia" w:cs="Arial" w:hint="eastAsia"/>
          <w:kern w:val="0"/>
          <w:sz w:val="24"/>
          <w:szCs w:val="24"/>
        </w:rPr>
        <w:t>苏春华先生，投资决策委员会副主任委员、副总经理、首席投资官。</w:t>
      </w:r>
    </w:p>
    <w:p w14:paraId="3515A8AE" w14:textId="77777777" w:rsidR="00C1630A" w:rsidRPr="00C1630A" w:rsidRDefault="00C1630A" w:rsidP="00C1630A">
      <w:pPr>
        <w:adjustRightInd w:val="0"/>
        <w:snapToGrid w:val="0"/>
        <w:spacing w:line="360" w:lineRule="auto"/>
        <w:ind w:firstLineChars="200" w:firstLine="480"/>
        <w:rPr>
          <w:rFonts w:asciiTheme="minorEastAsia" w:hAnsiTheme="minorEastAsia" w:cs="Arial"/>
          <w:kern w:val="0"/>
          <w:sz w:val="24"/>
          <w:szCs w:val="24"/>
        </w:rPr>
      </w:pPr>
      <w:r w:rsidRPr="00C1630A">
        <w:rPr>
          <w:rFonts w:asciiTheme="minorEastAsia" w:hAnsiTheme="minorEastAsia" w:cs="Arial" w:hint="eastAsia"/>
          <w:kern w:val="0"/>
          <w:sz w:val="24"/>
          <w:szCs w:val="24"/>
        </w:rPr>
        <w:t>林峰先生，投资决策委员会委员、副总经理。</w:t>
      </w:r>
    </w:p>
    <w:p w14:paraId="1AF4DD60" w14:textId="77777777" w:rsidR="00C1630A" w:rsidRPr="00C1630A" w:rsidRDefault="00C1630A" w:rsidP="00C1630A">
      <w:pPr>
        <w:adjustRightInd w:val="0"/>
        <w:snapToGrid w:val="0"/>
        <w:spacing w:line="360" w:lineRule="auto"/>
        <w:ind w:firstLineChars="200" w:firstLine="480"/>
        <w:rPr>
          <w:rFonts w:asciiTheme="minorEastAsia" w:hAnsiTheme="minorEastAsia" w:cs="Arial"/>
          <w:kern w:val="0"/>
          <w:sz w:val="24"/>
          <w:szCs w:val="24"/>
        </w:rPr>
      </w:pPr>
      <w:r w:rsidRPr="00C1630A">
        <w:rPr>
          <w:rFonts w:asciiTheme="minorEastAsia" w:hAnsiTheme="minorEastAsia" w:cs="Arial" w:hint="eastAsia"/>
          <w:kern w:val="0"/>
          <w:sz w:val="24"/>
          <w:szCs w:val="24"/>
        </w:rPr>
        <w:t>吕晓蓉女士，投资决策委员会委员、基金经理。</w:t>
      </w:r>
    </w:p>
    <w:p w14:paraId="3EDD6E43" w14:textId="77777777" w:rsidR="00C1630A" w:rsidRPr="00C1630A" w:rsidRDefault="00C1630A" w:rsidP="00C1630A">
      <w:pPr>
        <w:adjustRightInd w:val="0"/>
        <w:snapToGrid w:val="0"/>
        <w:spacing w:line="360" w:lineRule="auto"/>
        <w:ind w:firstLineChars="200" w:firstLine="480"/>
        <w:rPr>
          <w:rFonts w:asciiTheme="minorEastAsia" w:hAnsiTheme="minorEastAsia" w:cs="Arial"/>
          <w:kern w:val="0"/>
          <w:sz w:val="24"/>
          <w:szCs w:val="24"/>
        </w:rPr>
      </w:pPr>
      <w:r w:rsidRPr="00C1630A">
        <w:rPr>
          <w:rFonts w:asciiTheme="minorEastAsia" w:hAnsiTheme="minorEastAsia" w:cs="Arial" w:hint="eastAsia"/>
          <w:kern w:val="0"/>
          <w:sz w:val="24"/>
          <w:szCs w:val="24"/>
        </w:rPr>
        <w:t>邓宇翔先生，投资决策委员会委员、权益投资部总监、研究部总监、基金经</w:t>
      </w:r>
      <w:r w:rsidRPr="00C1630A">
        <w:rPr>
          <w:rFonts w:asciiTheme="minorEastAsia" w:hAnsiTheme="minorEastAsia" w:cs="Arial" w:hint="eastAsia"/>
          <w:kern w:val="0"/>
          <w:sz w:val="24"/>
          <w:szCs w:val="24"/>
        </w:rPr>
        <w:lastRenderedPageBreak/>
        <w:t>理。</w:t>
      </w:r>
    </w:p>
    <w:p w14:paraId="4FDBD7A1" w14:textId="77777777" w:rsidR="00C1630A" w:rsidRDefault="00C1630A" w:rsidP="00C1630A">
      <w:pPr>
        <w:adjustRightInd w:val="0"/>
        <w:snapToGrid w:val="0"/>
        <w:spacing w:line="360" w:lineRule="auto"/>
        <w:ind w:firstLineChars="200" w:firstLine="480"/>
        <w:rPr>
          <w:rFonts w:asciiTheme="minorEastAsia" w:hAnsiTheme="minorEastAsia" w:cs="Arial"/>
          <w:kern w:val="0"/>
          <w:sz w:val="24"/>
          <w:szCs w:val="24"/>
        </w:rPr>
      </w:pPr>
      <w:r w:rsidRPr="00C1630A">
        <w:rPr>
          <w:rFonts w:asciiTheme="minorEastAsia" w:hAnsiTheme="minorEastAsia" w:cs="Arial" w:hint="eastAsia"/>
          <w:kern w:val="0"/>
          <w:sz w:val="24"/>
          <w:szCs w:val="24"/>
        </w:rPr>
        <w:t>万方毅女士，投资决策委员会委员、固定收益部</w:t>
      </w:r>
      <w:r w:rsidR="00DD7E43">
        <w:rPr>
          <w:rFonts w:asciiTheme="minorEastAsia" w:hAnsiTheme="minorEastAsia" w:cs="Arial" w:hint="eastAsia"/>
          <w:kern w:val="0"/>
          <w:sz w:val="24"/>
          <w:szCs w:val="24"/>
        </w:rPr>
        <w:t>副</w:t>
      </w:r>
      <w:r w:rsidRPr="00C1630A">
        <w:rPr>
          <w:rFonts w:asciiTheme="minorEastAsia" w:hAnsiTheme="minorEastAsia" w:cs="Arial" w:hint="eastAsia"/>
          <w:kern w:val="0"/>
          <w:sz w:val="24"/>
          <w:szCs w:val="24"/>
        </w:rPr>
        <w:t>总监。</w:t>
      </w:r>
    </w:p>
    <w:p w14:paraId="3FEC2CC8"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6、上述人员之间不存在近亲属关系。</w:t>
      </w:r>
    </w:p>
    <w:p w14:paraId="627EC0B5" w14:textId="77777777" w:rsidR="003E4D36" w:rsidRDefault="00E729B5">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三、基金管理人的职责</w:t>
      </w:r>
    </w:p>
    <w:p w14:paraId="33B3C79B"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1、依法募集资金，办理或者委托经中国证监会认定的其他机构代为办理基金份额的发售、申购、赎回和登记事宜；</w:t>
      </w:r>
    </w:p>
    <w:p w14:paraId="12FD55B6"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2、办理基金备案手续；</w:t>
      </w:r>
    </w:p>
    <w:p w14:paraId="1BCDD6C6" w14:textId="77777777" w:rsidR="003E4D36" w:rsidRDefault="00E729B5">
      <w:pPr>
        <w:autoSpaceDE w:val="0"/>
        <w:autoSpaceDN w:val="0"/>
        <w:adjustRightInd w:val="0"/>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3、自《基金合同》生效之日起，以诚实信用、谨慎勤勉的原则管理和运用基金财产；</w:t>
      </w:r>
    </w:p>
    <w:p w14:paraId="42B5317D"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4、配备足够的具有专业资格的人员进行基金投资分析、决策，以专业化的经营方式管理和运作基金财产；</w:t>
      </w:r>
    </w:p>
    <w:p w14:paraId="3C384DCB"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5、建立健全内部风险控制、监察与稽核、财务管理及人事管理等制度，保证所管理的基金财产和基金管理人的财产相互独立，对所管理的不同基金分别管理，分别记账，进行证券投资；</w:t>
      </w:r>
    </w:p>
    <w:p w14:paraId="570D463A"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6、除依据《基金法》、《基金合同》及其他有关规定外，不得利用基金财产为自己及任何第三人牟取利益，不得委托第三人运作基金财产；</w:t>
      </w:r>
    </w:p>
    <w:p w14:paraId="334C04F9"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7、依法接受基金托管人的监督；</w:t>
      </w:r>
    </w:p>
    <w:p w14:paraId="06679F80" w14:textId="0EC30412"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8、采取适当合理的措施使计算基金份额认购、申购、赎回和注销价格的方法符合《基金合同》等法律文件的规定，按有关规定计算并公告基金净值</w:t>
      </w:r>
      <w:r w:rsidR="005A3450">
        <w:rPr>
          <w:rFonts w:asciiTheme="minorEastAsia" w:hAnsiTheme="minorEastAsia" w:cs="Times New Roman" w:hint="eastAsia"/>
          <w:sz w:val="24"/>
          <w:szCs w:val="24"/>
        </w:rPr>
        <w:t>信息</w:t>
      </w:r>
      <w:r>
        <w:rPr>
          <w:rFonts w:asciiTheme="minorEastAsia" w:hAnsiTheme="minorEastAsia" w:cs="Times New Roman" w:hint="eastAsia"/>
          <w:sz w:val="24"/>
          <w:szCs w:val="24"/>
        </w:rPr>
        <w:t>，确定基金份额申购、赎回</w:t>
      </w:r>
      <w:r w:rsidR="005A3450" w:rsidRPr="00175EFD">
        <w:rPr>
          <w:rFonts w:asciiTheme="minorEastAsia" w:hAnsiTheme="minorEastAsia" w:cs="Times New Roman" w:hint="eastAsia"/>
          <w:sz w:val="24"/>
          <w:szCs w:val="24"/>
        </w:rPr>
        <w:t>对价，编制申购赎回清单</w:t>
      </w:r>
      <w:r>
        <w:rPr>
          <w:rFonts w:asciiTheme="minorEastAsia" w:hAnsiTheme="minorEastAsia" w:cs="Times New Roman" w:hint="eastAsia"/>
          <w:sz w:val="24"/>
          <w:szCs w:val="24"/>
        </w:rPr>
        <w:t>；</w:t>
      </w:r>
    </w:p>
    <w:p w14:paraId="505E9936"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9、进行基金会计核算并编制基金财务会计报告；</w:t>
      </w:r>
    </w:p>
    <w:p w14:paraId="582890CC" w14:textId="45D5DD62"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10、编制季度</w:t>
      </w:r>
      <w:r w:rsidR="00A73B39">
        <w:rPr>
          <w:rFonts w:asciiTheme="minorEastAsia" w:hAnsiTheme="minorEastAsia" w:cs="Times New Roman" w:hint="eastAsia"/>
          <w:sz w:val="24"/>
          <w:szCs w:val="24"/>
        </w:rPr>
        <w:t>报告</w:t>
      </w:r>
      <w:r>
        <w:rPr>
          <w:rFonts w:asciiTheme="minorEastAsia" w:hAnsiTheme="minorEastAsia" w:cs="Times New Roman" w:hint="eastAsia"/>
          <w:sz w:val="24"/>
          <w:szCs w:val="24"/>
        </w:rPr>
        <w:t>、</w:t>
      </w:r>
      <w:r w:rsidR="00A73B39">
        <w:rPr>
          <w:rFonts w:asciiTheme="minorEastAsia" w:hAnsiTheme="minorEastAsia" w:cs="Times New Roman" w:hint="eastAsia"/>
          <w:sz w:val="24"/>
          <w:szCs w:val="24"/>
        </w:rPr>
        <w:t>中期报告</w:t>
      </w:r>
      <w:r>
        <w:rPr>
          <w:rFonts w:asciiTheme="minorEastAsia" w:hAnsiTheme="minorEastAsia" w:cs="Times New Roman" w:hint="eastAsia"/>
          <w:sz w:val="24"/>
          <w:szCs w:val="24"/>
        </w:rPr>
        <w:t>和年度报告；</w:t>
      </w:r>
    </w:p>
    <w:p w14:paraId="2747B655"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11、严格按照《基金法》、《基金合同》及其他有关规定，履行信息披露及报告义务；</w:t>
      </w:r>
    </w:p>
    <w:p w14:paraId="052A94A7"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12、保守基金商业秘密，不泄露基金投资计划、投资意向等。除《基金法》、《基金合同》及其他有关规定另有规定外，在基金信息公开披露前应予保密，不向他人泄露；</w:t>
      </w:r>
    </w:p>
    <w:p w14:paraId="4D957FDE"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13、按《基金合同》的约定确定基金收益分配方案，及时向基金份额持有人分配基金收益；</w:t>
      </w:r>
    </w:p>
    <w:p w14:paraId="7B574023"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14、按规定受理申购与赎回申请，及时、足额支付赎回款项；</w:t>
      </w:r>
    </w:p>
    <w:p w14:paraId="5D446C69"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15、依据《基金法》、《基金合同》及其他有关规定召集基金份额持有人大会或配合基金托管人、基金份额持有人依法召集基金份额持有人大会；</w:t>
      </w:r>
    </w:p>
    <w:p w14:paraId="24FFCEFD"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16、按规定保存基金财产管理业务活动的会计账册、报表、记录和其他相关资料15年以上；</w:t>
      </w:r>
    </w:p>
    <w:p w14:paraId="04B48765"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1CBAEC1C"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18、组织并参加基金财产清算小组，参与基金财产的保管、清理、估价、变现和分配；</w:t>
      </w:r>
    </w:p>
    <w:p w14:paraId="4A00AD69"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19、面临解散、依法被撤销或者被依法宣告破产时，及时报告中国证监会并通知基金托管人；</w:t>
      </w:r>
    </w:p>
    <w:p w14:paraId="17097AAD"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14:paraId="61B3F70B"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21、监督基金托管人按法律法规和《基金合同》规定履行自己的义务，基金托管人违反《基金合同》造成基金财产损失时，基金管理人应为基金份额持有人利益向基金托管人追偿；</w:t>
      </w:r>
    </w:p>
    <w:p w14:paraId="501943AD"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22、当基金管理人将其义务委托第三方处理时，应当对第三方处理有关基金事务的行为承担责任；</w:t>
      </w:r>
    </w:p>
    <w:p w14:paraId="74462627"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23、以基金管理人名义，代表基金份额持有人利益行使诉讼权利或实施其他法律行为；</w:t>
      </w:r>
    </w:p>
    <w:p w14:paraId="42328BFF"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24、基金管理人在募集期间未能达到基金的备案条件，《基金合同》不能生效，基金管理人承担全部募集费用，将已募集资金加计银行同期存款利息在基金募集期结束后30日内退还基金认购人；</w:t>
      </w:r>
    </w:p>
    <w:p w14:paraId="283189C8"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25、执行生效的基金份额持有人大会的决议；</w:t>
      </w:r>
    </w:p>
    <w:p w14:paraId="0F7F96D3"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26、建立并保存基金份额持有人名册；</w:t>
      </w:r>
    </w:p>
    <w:p w14:paraId="2CC9D5F9"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27、法律法规及中国证监会规定的和《基金合同》约定的其他义务。</w:t>
      </w:r>
    </w:p>
    <w:p w14:paraId="56228992" w14:textId="77777777" w:rsidR="003E4D36" w:rsidRDefault="00E729B5">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四、基金管理人的承诺</w:t>
      </w:r>
    </w:p>
    <w:p w14:paraId="06049742"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1、基金管理人承诺不从事违反《中华人民共和国证券法》的行为，并承诺建立健全内部控制制度，采取有效措施，防止违反《中华人民共和国证券法》行</w:t>
      </w:r>
      <w:r>
        <w:rPr>
          <w:rFonts w:asciiTheme="minorEastAsia" w:hAnsiTheme="minorEastAsia" w:cs="Times New Roman" w:hint="eastAsia"/>
          <w:sz w:val="24"/>
          <w:szCs w:val="24"/>
        </w:rPr>
        <w:lastRenderedPageBreak/>
        <w:t xml:space="preserve">为的发生； </w:t>
      </w:r>
    </w:p>
    <w:p w14:paraId="792B840F"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2、基金管理人承诺不从事违反《基金法》的行为，并承诺建立健全内部风险控制制度，采取有效措施，防止下列行为的发生：</w:t>
      </w:r>
    </w:p>
    <w:p w14:paraId="15761F6C"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（1）将基金管理人固有财产或者他人财产混同于基金财产从事证券投资；</w:t>
      </w:r>
    </w:p>
    <w:p w14:paraId="6FA04255"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（2）不公平地对待管理的不同基金财产；</w:t>
      </w:r>
    </w:p>
    <w:p w14:paraId="721D9762"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（3）利用基金财产或者职务之便为基金份额持有人以外的第三人牟取利益；</w:t>
      </w:r>
    </w:p>
    <w:p w14:paraId="74458901"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（4）向基金份额持有人违规承诺收益或者承担损失；</w:t>
      </w:r>
    </w:p>
    <w:p w14:paraId="2AA5D5B0"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（5）侵占、挪用基金财产；</w:t>
      </w:r>
    </w:p>
    <w:p w14:paraId="37039130"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（6）泄露因职务便利获取的未公开信息、利用该信息从事或者明示、暗示他人从事相关的交易活动；</w:t>
      </w:r>
    </w:p>
    <w:p w14:paraId="1EE5A685"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（7）玩忽职守，不按照规定履行职责；</w:t>
      </w:r>
    </w:p>
    <w:p w14:paraId="6B320C1D"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（8）法律、行政法规和中国证监会规定禁止的其他行为。 </w:t>
      </w:r>
    </w:p>
    <w:p w14:paraId="7A079F88"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3、基金管理人承诺严格遵守基金合同，并承诺建立健全内部控制制度，采取有效措施，防止违反基金合同行为的发生； </w:t>
      </w:r>
    </w:p>
    <w:p w14:paraId="11800CEF"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14:paraId="787CEF48"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5、基金管理人承诺不从事其他法规规定禁止从事的行为。 </w:t>
      </w:r>
    </w:p>
    <w:p w14:paraId="6BF4A1C7" w14:textId="77777777" w:rsidR="003E4D36" w:rsidRDefault="00E729B5">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Pr>
          <w:rFonts w:asciiTheme="minorEastAsia" w:hAnsiTheme="minorEastAsia" w:cs="Arial" w:hint="eastAsia"/>
          <w:b/>
          <w:sz w:val="24"/>
          <w:szCs w:val="24"/>
        </w:rPr>
        <w:t>五、基金经理承诺</w:t>
      </w:r>
    </w:p>
    <w:p w14:paraId="22EF3C9E"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1、依照有关法律法规和基金合同的规定，本着谨慎的原则为基金份额持有人谋取最大利益；</w:t>
      </w:r>
    </w:p>
    <w:p w14:paraId="4EF52D79"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2、不利用职务之便为自己、受雇人或任何第三者牟取利益； </w:t>
      </w:r>
    </w:p>
    <w:p w14:paraId="2EDE5E03"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3、不泄露在任职期间知悉的有关证券、基金的商业秘密，尚未依法公开的基金投资内容、基金投资计划等信息，或利用该信息从事或者明示、暗示他人从事相关的交易活动；</w:t>
      </w:r>
    </w:p>
    <w:p w14:paraId="23C977E0"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4、不以任何形式为其他组织或个人进行证券交易。</w:t>
      </w:r>
    </w:p>
    <w:p w14:paraId="03089D9A" w14:textId="77777777" w:rsidR="003E4D36" w:rsidRDefault="00E729B5">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六、基金管理人的内部控制制度</w:t>
      </w:r>
    </w:p>
    <w:p w14:paraId="7C92CC85"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2" w:name="_Toc263092312"/>
      <w:bookmarkStart w:id="83" w:name="_Toc416264540"/>
      <w:bookmarkStart w:id="84" w:name="_Toc352229750"/>
      <w:bookmarkStart w:id="85" w:name="_Toc410197818"/>
      <w:bookmarkEnd w:id="66"/>
      <w:bookmarkEnd w:id="67"/>
      <w:bookmarkEnd w:id="68"/>
      <w:r>
        <w:rPr>
          <w:rFonts w:asciiTheme="minorEastAsia" w:hAnsiTheme="minorEastAsia" w:cs="Arial" w:hint="eastAsia"/>
          <w:sz w:val="24"/>
          <w:szCs w:val="24"/>
        </w:rPr>
        <w:t>1、风险控制目标</w:t>
      </w:r>
    </w:p>
    <w:p w14:paraId="26BD17A3"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（1）在有效控制风险的前提下，实现基金份额持有人利益最大化；</w:t>
      </w:r>
    </w:p>
    <w:p w14:paraId="3F40826F"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（2）确保国家有关法律法规、行业规章和公司各项规章制度的贯彻执行；</w:t>
      </w:r>
    </w:p>
    <w:p w14:paraId="28D8BB56"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（3）建立符合现代企业制度要求的法人治理结构，形成科学合理的决策机</w:t>
      </w:r>
      <w:r>
        <w:rPr>
          <w:rFonts w:asciiTheme="minorEastAsia" w:hAnsiTheme="minorEastAsia" w:cs="Arial" w:hint="eastAsia"/>
          <w:sz w:val="24"/>
          <w:szCs w:val="24"/>
        </w:rPr>
        <w:lastRenderedPageBreak/>
        <w:t>制、执行机制和监督机制；</w:t>
      </w:r>
    </w:p>
    <w:p w14:paraId="1D979202"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（4）将各种风险控制在合理的范围内，保障公司发展战略和经营目标的全面实施，维护基金份额持有人、公司及公司股东的合法权益；</w:t>
      </w:r>
    </w:p>
    <w:p w14:paraId="5AC9204E"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（5）建立行之有效的风险控制系统，保障业务稳健运行，减轻或规避各种风险对公司发展战略和经营目标的干扰。</w:t>
      </w:r>
    </w:p>
    <w:p w14:paraId="70E93869"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2、建立风险控制制度应遵循的原则</w:t>
      </w:r>
    </w:p>
    <w:p w14:paraId="3E25F973"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（1）全面性原则：风险控制制度应覆盖公司的各项业务、各个部门和各级人员，并渗透到决策、执行、监督、反馈等各个经营环节；</w:t>
      </w:r>
    </w:p>
    <w:p w14:paraId="51DF7A6E"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（2）审慎性原则：内部风险控制的核心是有效防范各种风险，公司组织体系的构成、内部管理制度的建立都要以防范风险、审慎经营为出发点；</w:t>
      </w:r>
    </w:p>
    <w:p w14:paraId="0568BD02"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14:paraId="1E27B08C"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73ACB4E3"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（5）适时性原则：内部风险控制应随着公司经营战略、经营方针、经营理念等内部环境的变化和国家法律、法规、政策制度等外部环境的改变及时进行相应的修改和完善；</w:t>
      </w:r>
    </w:p>
    <w:p w14:paraId="43A453FD"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3、风险控制体系</w:t>
      </w:r>
    </w:p>
    <w:p w14:paraId="1236DD91"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（1）风险控制制度体系</w:t>
      </w:r>
    </w:p>
    <w:p w14:paraId="5DDEB02F"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4319D0DE"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（2）风险控制组织体系</w:t>
      </w:r>
    </w:p>
    <w:p w14:paraId="506EADAA"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风险控制组织体系包括两个层次：</w:t>
      </w:r>
    </w:p>
    <w:p w14:paraId="41092481"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16CA4939"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w:t>
      </w:r>
      <w:r>
        <w:rPr>
          <w:rFonts w:asciiTheme="minorEastAsia" w:hAnsiTheme="minorEastAsia" w:cs="Arial" w:hint="eastAsia"/>
          <w:sz w:val="24"/>
          <w:szCs w:val="24"/>
        </w:rPr>
        <w:lastRenderedPageBreak/>
        <w:t>行研究并提出处理意见；提议聘请或更换外部审计机构；对重大关联交易进行审计；指导经理层所设立的风险管理委员会的工作；董事会赋予的其他职责。</w:t>
      </w:r>
    </w:p>
    <w:p w14:paraId="6967D9CF"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督察长履行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501BCCB0"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第二层次：公司经营管理层包括风险控制委员会、监察稽核部及各职能部门对经营风险的预防和控制。</w:t>
      </w:r>
    </w:p>
    <w:p w14:paraId="55886AC1" w14:textId="77777777" w:rsidR="003E4D36" w:rsidRDefault="00E729B5">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规风险、市场风险和操作风险等重大风险，确保公司各项业务符合法律法规、监管要求、公司制度及受托资产合同的规定；审批基金投资的关联方证券名单和关联交易；风险管理委员会认为其他需关注的事项。</w:t>
      </w:r>
    </w:p>
    <w:p w14:paraId="6D7460C0"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监察稽核部的主要职责是在督察长的领导下，组织和协调公司内部控制制度的编写、修订工作，确保公司内部控制制度合规、完善；检查公司内部控制制度和业务流程的执行情况，出具监察稽核报告；负责信息披露事务的管理；调查基金及其他类型产品的异常投资和交易以及对违规行为的调查；负责公司的法律事务、合规咨询、合规培训、离任审查等工作。</w:t>
      </w:r>
    </w:p>
    <w:p w14:paraId="24B0A282"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27571957"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4、关于授权、研究、投资、交易等方面的控制点</w:t>
      </w:r>
    </w:p>
    <w:p w14:paraId="5373D65A"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（1）授权制度</w:t>
      </w:r>
    </w:p>
    <w:p w14:paraId="1DF319EE"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w:t>
      </w:r>
      <w:r>
        <w:rPr>
          <w:rFonts w:asciiTheme="minorEastAsia" w:hAnsiTheme="minorEastAsia" w:cs="Arial" w:hint="eastAsia"/>
          <w:sz w:val="24"/>
          <w:szCs w:val="24"/>
        </w:rPr>
        <w:lastRenderedPageBreak/>
        <w:t>式，授权书应当明确授权内容和时效；公司授权要适当，对已获授权的部门和人员应建立有效的评价和反馈机制，对已不适用的授权应及时修改或取消授权。</w:t>
      </w:r>
    </w:p>
    <w:p w14:paraId="12369422"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（2）研究业务</w:t>
      </w:r>
    </w:p>
    <w:p w14:paraId="52DD9991"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1A5938E1"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（3）基金投资业务</w:t>
      </w:r>
    </w:p>
    <w:p w14:paraId="6BE7C41C"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限相应的约束制度和考核制度；建立严格的投资禁止和投资限制制度，保证基金投资的合法合规性；建立投资风险评估与管理制度，将重点投资限制在一定的风险权限额度内；对于投资结果建立科学的投资管理业绩评价体系。</w:t>
      </w:r>
    </w:p>
    <w:p w14:paraId="355B651A"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（4）交易业务</w:t>
      </w:r>
    </w:p>
    <w:p w14:paraId="0E4264E6"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242585DA"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（5）基金会计核算</w:t>
      </w:r>
    </w:p>
    <w:p w14:paraId="4E8CBBCF"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080DD636"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（6）信息披露</w:t>
      </w:r>
    </w:p>
    <w:p w14:paraId="15DF7936"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3939CACF"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（7）监察稽核</w:t>
      </w:r>
    </w:p>
    <w:p w14:paraId="792637E5"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lastRenderedPageBreak/>
        <w:t>公司设立督察长。督察长由董事会聘任或解聘，报中国证监会或其指定的机构备案，并向董事会负责。督察长依据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4A3B3E15"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5DC98910"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5、风险管理和内部控制的措施</w:t>
      </w:r>
    </w:p>
    <w:p w14:paraId="179C1810"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（1）建立内控结构，完善内控制度：公司建立、健全了内控结构，高管人员具有明确的内控分工，确保各项业务活动有恰当的组织和授权，确保监察活动的独立进行，并得到高管人员的支持。</w:t>
      </w:r>
    </w:p>
    <w:p w14:paraId="5A53CAD8"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5B99A0AD"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（3）建立、健全岗位责任制：建立、健全了岗位责任制，使每个员工都明确自己的任务、职责，并及时将各自工作领域中的风险隐患上报，以防范和减少风险。</w:t>
      </w:r>
    </w:p>
    <w:p w14:paraId="2FB5EF61"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71AD309B"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14:paraId="1C2E9861"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429894A2"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lastRenderedPageBreak/>
        <w:t>（7）提供足够的培训：制定了完整的培训计划，为所有员工提供足够和适当的培训，使员工明确其职责所在，控制风险。</w:t>
      </w:r>
    </w:p>
    <w:p w14:paraId="728AEB0F" w14:textId="77777777" w:rsidR="003E4D36" w:rsidRDefault="00E729B5">
      <w:pPr>
        <w:widowControl/>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6、基金管理人承诺上述关于内部控制的披露真实、准确，并承诺将根据市场环境的变化及公司的发展不断完善合规控制。</w:t>
      </w:r>
      <w:bookmarkStart w:id="86" w:name="_Toc238013745"/>
      <w:bookmarkStart w:id="87" w:name="_Toc238027832"/>
      <w:bookmarkEnd w:id="86"/>
      <w:bookmarkEnd w:id="87"/>
    </w:p>
    <w:p w14:paraId="566880FB" w14:textId="77777777" w:rsidR="003E4D36" w:rsidRDefault="00E729B5">
      <w:pPr>
        <w:widowControl/>
        <w:jc w:val="left"/>
        <w:rPr>
          <w:rFonts w:asciiTheme="minorEastAsia" w:hAnsiTheme="minorEastAsia" w:cs="Arial"/>
          <w:sz w:val="24"/>
          <w:szCs w:val="24"/>
        </w:rPr>
      </w:pPr>
      <w:r>
        <w:rPr>
          <w:rFonts w:asciiTheme="minorEastAsia" w:hAnsiTheme="minorEastAsia" w:cs="Arial"/>
          <w:sz w:val="24"/>
          <w:szCs w:val="24"/>
        </w:rPr>
        <w:br w:type="page"/>
      </w:r>
    </w:p>
    <w:p w14:paraId="0228F1A2" w14:textId="77777777" w:rsidR="003E4D36" w:rsidRDefault="00E729B5">
      <w:pPr>
        <w:pStyle w:val="1"/>
        <w:jc w:val="center"/>
        <w:rPr>
          <w:sz w:val="30"/>
          <w:szCs w:val="30"/>
        </w:rPr>
      </w:pPr>
      <w:bookmarkStart w:id="88" w:name="_Toc523243819"/>
      <w:r>
        <w:rPr>
          <w:rFonts w:hint="eastAsia"/>
          <w:sz w:val="30"/>
          <w:szCs w:val="30"/>
        </w:rPr>
        <w:lastRenderedPageBreak/>
        <w:t>第四部分</w:t>
      </w:r>
      <w:r>
        <w:rPr>
          <w:sz w:val="30"/>
          <w:szCs w:val="30"/>
        </w:rPr>
        <w:t xml:space="preserve">  </w:t>
      </w:r>
      <w:r>
        <w:rPr>
          <w:rFonts w:hint="eastAsia"/>
          <w:sz w:val="30"/>
          <w:szCs w:val="30"/>
        </w:rPr>
        <w:t>基金托管人</w:t>
      </w:r>
      <w:bookmarkEnd w:id="88"/>
    </w:p>
    <w:p w14:paraId="77CA7C29" w14:textId="77777777" w:rsidR="003E4D36" w:rsidRDefault="00E729B5">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一、基金托管人概况</w:t>
      </w:r>
    </w:p>
    <w:p w14:paraId="2E0A2676" w14:textId="77777777"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E30437">
        <w:rPr>
          <w:rFonts w:asciiTheme="minorEastAsia" w:hAnsiTheme="minorEastAsia" w:cs="Times New Roman" w:hint="eastAsia"/>
          <w:sz w:val="24"/>
          <w:szCs w:val="24"/>
        </w:rPr>
        <w:t>1、基本情况</w:t>
      </w:r>
    </w:p>
    <w:p w14:paraId="5672471F" w14:textId="77777777"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E30437">
        <w:rPr>
          <w:rFonts w:asciiTheme="minorEastAsia" w:hAnsiTheme="minorEastAsia" w:cs="Times New Roman" w:hint="eastAsia"/>
          <w:sz w:val="24"/>
          <w:szCs w:val="24"/>
        </w:rPr>
        <w:t>名称：平安银行股份有限公司</w:t>
      </w:r>
    </w:p>
    <w:p w14:paraId="791F4A53" w14:textId="77777777"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E30437">
        <w:rPr>
          <w:rFonts w:asciiTheme="minorEastAsia" w:hAnsiTheme="minorEastAsia" w:cs="Times New Roman" w:hint="eastAsia"/>
          <w:sz w:val="24"/>
          <w:szCs w:val="24"/>
        </w:rPr>
        <w:t>住所：广东省深圳市罗湖区深南东路5047号</w:t>
      </w:r>
    </w:p>
    <w:p w14:paraId="407338BB" w14:textId="77777777"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E30437">
        <w:rPr>
          <w:rFonts w:asciiTheme="minorEastAsia" w:hAnsiTheme="minorEastAsia" w:cs="Times New Roman" w:hint="eastAsia"/>
          <w:sz w:val="24"/>
          <w:szCs w:val="24"/>
        </w:rPr>
        <w:t>办公地址：广东省深圳市罗湖区深南东路5047号</w:t>
      </w:r>
    </w:p>
    <w:p w14:paraId="1F542B0A" w14:textId="77777777"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E30437">
        <w:rPr>
          <w:rFonts w:asciiTheme="minorEastAsia" w:hAnsiTheme="minorEastAsia" w:cs="Times New Roman" w:hint="eastAsia"/>
          <w:sz w:val="24"/>
          <w:szCs w:val="24"/>
        </w:rPr>
        <w:t>法定代表人：谢永林</w:t>
      </w:r>
    </w:p>
    <w:p w14:paraId="7B03CE95" w14:textId="77777777"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E30437">
        <w:rPr>
          <w:rFonts w:asciiTheme="minorEastAsia" w:hAnsiTheme="minorEastAsia" w:cs="Times New Roman" w:hint="eastAsia"/>
          <w:sz w:val="24"/>
          <w:szCs w:val="24"/>
        </w:rPr>
        <w:t>成立日期：1987年12月22日</w:t>
      </w:r>
    </w:p>
    <w:p w14:paraId="5C1933EC" w14:textId="77777777"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E30437">
        <w:rPr>
          <w:rFonts w:asciiTheme="minorEastAsia" w:hAnsiTheme="minorEastAsia" w:cs="Times New Roman" w:hint="eastAsia"/>
          <w:sz w:val="24"/>
          <w:szCs w:val="24"/>
        </w:rPr>
        <w:t>组织形式：股份有限公司</w:t>
      </w:r>
    </w:p>
    <w:p w14:paraId="4DE9C012" w14:textId="77777777"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E30437">
        <w:rPr>
          <w:rFonts w:asciiTheme="minorEastAsia" w:hAnsiTheme="minorEastAsia" w:cs="Times New Roman" w:hint="eastAsia"/>
          <w:sz w:val="24"/>
          <w:szCs w:val="24"/>
        </w:rPr>
        <w:t>注册资本：17,170,411,366元</w:t>
      </w:r>
    </w:p>
    <w:p w14:paraId="1B7A5C7D" w14:textId="77777777"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E30437">
        <w:rPr>
          <w:rFonts w:asciiTheme="minorEastAsia" w:hAnsiTheme="minorEastAsia" w:cs="Times New Roman" w:hint="eastAsia"/>
          <w:sz w:val="24"/>
          <w:szCs w:val="24"/>
        </w:rPr>
        <w:t>存续期间：持续经营</w:t>
      </w:r>
    </w:p>
    <w:p w14:paraId="403AFB1B" w14:textId="77777777"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E30437">
        <w:rPr>
          <w:rFonts w:asciiTheme="minorEastAsia" w:hAnsiTheme="minorEastAsia" w:cs="Times New Roman" w:hint="eastAsia"/>
          <w:sz w:val="24"/>
          <w:szCs w:val="24"/>
        </w:rPr>
        <w:t>基金托管资格批文及文号：中国证监会证监许可[2008]1037 号</w:t>
      </w:r>
    </w:p>
    <w:p w14:paraId="31C01087" w14:textId="77777777"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E30437">
        <w:rPr>
          <w:rFonts w:asciiTheme="minorEastAsia" w:hAnsiTheme="minorEastAsia" w:cs="Times New Roman" w:hint="eastAsia"/>
          <w:sz w:val="24"/>
          <w:szCs w:val="24"/>
        </w:rPr>
        <w:t>联系人：高希泉</w:t>
      </w:r>
    </w:p>
    <w:p w14:paraId="3046DD17" w14:textId="77777777"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E30437">
        <w:rPr>
          <w:rFonts w:asciiTheme="minorEastAsia" w:hAnsiTheme="minorEastAsia" w:cs="Times New Roman" w:hint="eastAsia"/>
          <w:sz w:val="24"/>
          <w:szCs w:val="24"/>
        </w:rPr>
        <w:t>联系电话：(0755) 2219 7701</w:t>
      </w:r>
    </w:p>
    <w:p w14:paraId="299C913A" w14:textId="77777777"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E30437">
        <w:rPr>
          <w:rFonts w:asciiTheme="minorEastAsia" w:hAnsiTheme="minorEastAsia" w:cs="Times New Roman" w:hint="eastAsia"/>
          <w:sz w:val="24"/>
          <w:szCs w:val="24"/>
        </w:rPr>
        <w:t>1、平安银行基本情况</w:t>
      </w:r>
    </w:p>
    <w:p w14:paraId="532A7670" w14:textId="77777777" w:rsidR="009673D0" w:rsidRPr="009673D0" w:rsidRDefault="009673D0" w:rsidP="009673D0">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9673D0">
        <w:rPr>
          <w:rFonts w:asciiTheme="minorEastAsia" w:hAnsiTheme="minorEastAsia" w:cs="Times New Roman" w:hint="eastAsia"/>
          <w:sz w:val="24"/>
          <w:szCs w:val="24"/>
        </w:rPr>
        <w:t>平安银行股份有限公司是一家总部设在深圳的全国性股份制商业银行（深圳证券交易所简称：平安银行，证券代码000001）。其前身是深圳发展银行股份有限公司，于2012年6月吸收合并原平安银行并于同年7月更名为平安银行。中国平安保险（集团）股份有限公司及其子公司合计持有平安银行58%的股份，为平安银行的控股股东。截至2018年末，平安银行有80家分行,共1,057家营业机构。</w:t>
      </w:r>
    </w:p>
    <w:p w14:paraId="1F0E76CA" w14:textId="77777777" w:rsidR="009673D0" w:rsidRPr="009673D0" w:rsidRDefault="009673D0" w:rsidP="009673D0">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9673D0">
        <w:rPr>
          <w:rFonts w:asciiTheme="minorEastAsia" w:hAnsiTheme="minorEastAsia" w:cs="Times New Roman" w:hint="eastAsia"/>
          <w:sz w:val="24"/>
          <w:szCs w:val="24"/>
        </w:rPr>
        <w:t>2018年，平安银行实现营业收入1,167.16亿元（同比增长10.3%）、净利润248.18亿元（同比增长7.0%）、资产总额34,185.92亿元（较上年末增长5.2%）、吸收存款余额21,285.57亿元（较上年末增长6.4%）、发放贷款和垫款总额（含贴现）19,975.29亿元（较上年末增幅17.2%）。</w:t>
      </w:r>
    </w:p>
    <w:p w14:paraId="1C349AD5" w14:textId="5B7694EF" w:rsidR="00E30437" w:rsidRPr="00E30437" w:rsidRDefault="009673D0" w:rsidP="00E30437">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9673D0">
        <w:rPr>
          <w:rFonts w:asciiTheme="minorEastAsia" w:hAnsiTheme="minorEastAsia" w:cs="Times New Roman" w:hint="eastAsia"/>
          <w:sz w:val="24"/>
          <w:szCs w:val="24"/>
        </w:rPr>
        <w:t>平安银行总行设资产托管事业部，下设市场拓展处、创新发展处、估值核算处、资金清算处、规划发展处、IT系统支持处、督察合规处、基金服务中心8 个处室，目前部门人员为60人。</w:t>
      </w:r>
    </w:p>
    <w:p w14:paraId="2924A3F7" w14:textId="77777777"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E30437">
        <w:rPr>
          <w:rFonts w:asciiTheme="minorEastAsia" w:hAnsiTheme="minorEastAsia" w:cs="Times New Roman" w:hint="eastAsia"/>
          <w:sz w:val="24"/>
          <w:szCs w:val="24"/>
        </w:rPr>
        <w:t>2、主要人员情况</w:t>
      </w:r>
    </w:p>
    <w:p w14:paraId="7DB2F240" w14:textId="77777777"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E30437">
        <w:rPr>
          <w:rFonts w:asciiTheme="minorEastAsia" w:hAnsiTheme="minorEastAsia" w:cs="Times New Roman" w:hint="eastAsia"/>
          <w:sz w:val="24"/>
          <w:szCs w:val="24"/>
        </w:rPr>
        <w:lastRenderedPageBreak/>
        <w:t>陈正涛,男,中共党员，经济学硕士、高级经济师、高级理财规划师、国际注册私人银行家，具备《中国证券业执业证书》。长期从事商业银行工作，具有本外币资金清算，银行经营管理及基金托管业务的经营管理经验。1985年7月至1993年2月在武汉金融高等专科学校任教；1993年3月至1993年7月在招商银行武汉分行任客户经理；1993年8月至1999年2月在招行武汉分行武昌支行任计划信贷部经理、行长助理；1999年3月－2000年1月在招行武汉分行青山支行任行长助理；2000年2月至2001年7月在招行武汉分行公司银行部任副总经理；2001年8月至2003年2月在招行武汉分行解放公园支行任行长；2003年3月至2005年4月在招行武汉分行机构业务部任总经理；2005年5月至2007年6月在招行武汉分行硚口支行任行长；2007年7月至2008年1月在招行武汉分行同业银行部任总经理；自2008年2月加盟平安银行先后任公司业务部总经理助理、产品及交易银行部副总经理，一直负责公司银行产品开发与管理，全面掌握银行产品包括托管业务产品的运作、营销和管理，尤其是对商业银行有关的各项监管政策比较熟悉。2011年12月任平安银行资产托管部副总经理；2013年5月起任平安银行资产托管事业部副总裁（主持工作）；2015年3月5日起任平安银行资产托管事业部总裁。</w:t>
      </w:r>
    </w:p>
    <w:p w14:paraId="550471F1" w14:textId="77777777"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E30437">
        <w:rPr>
          <w:rFonts w:asciiTheme="minorEastAsia" w:hAnsiTheme="minorEastAsia" w:cs="Times New Roman" w:hint="eastAsia"/>
          <w:sz w:val="24"/>
          <w:szCs w:val="24"/>
        </w:rPr>
        <w:t>3、基金托管业务经营情况</w:t>
      </w:r>
    </w:p>
    <w:p w14:paraId="56DA470D" w14:textId="77777777" w:rsidR="009673D0" w:rsidRPr="009673D0" w:rsidRDefault="009673D0" w:rsidP="009673D0">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9673D0">
        <w:rPr>
          <w:rFonts w:asciiTheme="minorEastAsia" w:hAnsiTheme="minorEastAsia" w:cs="Times New Roman" w:hint="eastAsia"/>
          <w:sz w:val="24"/>
          <w:szCs w:val="24"/>
        </w:rPr>
        <w:t>2008年8月15日获得中国证监会、银监会核准开办证券投资基金托管业务。</w:t>
      </w:r>
    </w:p>
    <w:p w14:paraId="188D3596" w14:textId="5F4026F3" w:rsidR="00E30437" w:rsidRDefault="009673D0" w:rsidP="00E30437">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9673D0">
        <w:rPr>
          <w:rFonts w:asciiTheme="minorEastAsia" w:hAnsiTheme="minorEastAsia" w:cs="Times New Roman" w:hint="eastAsia"/>
          <w:sz w:val="24"/>
          <w:szCs w:val="24"/>
        </w:rPr>
        <w:t>截至2019年6月末，平安银行股份有限公司托管净值规模合计5.58万亿，托管证券投资基金共113只，具体包括华富价值增长灵活配置混合型证券投资基金、华富量子生命力股票型证券投资基金、长信可转债债券型证券投资基金、招商保证金快线货币市场基金、平安日增利货币市场基金、新华鑫益灵活配置混合型证券投资基金、东吴中证可转换债券指数分级证券投资基金、平安财富宝货币市场基金、红塔红土盛世普益灵活配置混合型发起式证券投资基金、新华活期添利货币市场证券投资基金、民生加银优选股票型证券投资基金、新华增盈回报债券型证券投资基金、鹏华安盈宝货币市场基金、平安新鑫先锋混合型证券投资基金、新华万银多元策略灵活配置混合型证券投资基金、中海进取收益灵活配置混合型证券投资基金、东吴移动互联灵活配置混合型证券投资基金、平安智慧中国灵活配置混合型证券投资基金、国金通用鑫新灵活配置混合型证券投资基金（LOF）、嘉合磐石混合型证券投资基金、平安鑫享混合型证券投资基金、广发</w:t>
      </w:r>
      <w:r w:rsidRPr="009673D0">
        <w:rPr>
          <w:rFonts w:asciiTheme="minorEastAsia" w:hAnsiTheme="minorEastAsia" w:cs="Times New Roman" w:hint="eastAsia"/>
          <w:sz w:val="24"/>
          <w:szCs w:val="24"/>
        </w:rPr>
        <w:lastRenderedPageBreak/>
        <w:t>聚盛灵活配置混合型证券投资基金、鹏华弘安灵活配置混合型证券投资基金、博时裕泰纯债债券型证券投资基金、中海顺鑫保本混合型证券投资基金、东方红睿轩沪港深灵活配置混合型证券投资基金、浙商汇金转型升级灵活配置混合型证券投资基金、广发安泽回报纯债债券型证券投资基金、博时裕景纯债债券型证券投资基金、平安惠盈纯债债券型证券投资基金、长城久源保本混合型证券投资基金、平安安盈保本混合型证券投资基金、嘉实稳盛债券型证券投资基金、长信先锐债券型证券投资基金、华润元大现金通货币市场基金、平安鼎信定期开放债券型证券投资基金、平安鼎泰灵活配置混合型证券投资基金(LOF)、南方荣欢定期开放混合型发起式证券投资基金、长信富平纯债一年定期开放债券型证券投资基金、中海合嘉增强收益债券型证券投资基金、富兰克林国海新活力灵活配置混合型证券投资基金、南方颐元债券型发起式证券投资基金、鹏华弘惠灵活配置混合型证券投资基金、鹏华兴安定期开放灵活配置混合型证券投资基金、西部利得天添利货币市场基金、博时安祺一年定期开放债券型证券投资基金、安信活期宝货币市场基金、广发鑫源灵活配置混合型证券投资基金、平安惠享纯债债券型证券投资基金、广发安悦回报灵活配置混合型证券投资基金、平安惠融纯债债券型证券投资基金、广发沪港深新起点股票型证券投资基金、平安惠金定期开放债券型证券投资基金、博时丰达纯债6个月定期开放债券型发起式证券投资基金、英大睿鑫灵活配置混合型证券投资基金、西部利得新动力灵活配置混合型证券投资基金、平安惠利纯债债券型证券投资基金、长盛盛丰灵活配置混合型证券投资基金、鹏华丰盈债券型证券投资基金、平安惠隆纯债债券型证券投资基金、平安金管家货币市场基金、平安鑫利定期开放灵活配置混合型证券投资基金、华泰柏瑞享利灵活配置混合型证券投资基金、广发汇平一年定期开放债券型证券投资基金、平安中证沪港深高股息精选指数型证券投资基金、前海开源聚财宝货币市场基金、前海开源沪港深隆鑫灵活配置混合型证券投资基金、金鹰添荣纯债债券型证券投资基金、西部利得汇享债券型证券投资基金、鹏华丰玉债券型证券投资基金、华安睿安定期开放混合型证券投资基金、西部利得久安回报灵活配置混合型证券投资基金、广发汇安18个月定期开放债券型证券投资基金、上投摩根岁岁金定期开放债券型证券投资基金、平安转型创新灵活配置混合型证券投资基金、南方和元债券型证券投资基金、兴银消费新趋势灵活配置混合型证券投资基金、南方高元债券型发起式证券投资基金、易方达瑞智灵活配置混合型证券投资基金、平安惠</w:t>
      </w:r>
      <w:r w:rsidRPr="009673D0">
        <w:rPr>
          <w:rFonts w:asciiTheme="minorEastAsia" w:hAnsiTheme="minorEastAsia" w:cs="Times New Roman" w:hint="eastAsia"/>
          <w:sz w:val="24"/>
          <w:szCs w:val="24"/>
        </w:rPr>
        <w:lastRenderedPageBreak/>
        <w:t>泽纯债债券型证券投资基金、南方智造未来股票型证券投资基金、万家安弘纯债一年定期开放债券型证券投资基金、平安量化先锋混合型发起式证券投资基金、平安沪深300指数量化增强证券投资基金、平安合正定期开放纯债债券型发起式证券投资基金、嘉合磐通债券型证券投资基金、华夏鼎旺三个月定期开放债券型发起式证券投资基金、博时富安纯债3个月定期开放债券型发起式证券投资基金、富荣福鑫灵活配置混合型证券投资基金、富荣福锦混合型证券投资基金、前海开源丰鑫灵活配置混合型证券投资基金、平安中证500交易型开放式指数证券投资基金（ETF）、汇添富鑫成定期开放债券型发起式证券投资基金、平安合韵定期开放纯债债券型发起式证券投资基金、易方达恒安定期开放债券型发起式证券投资基金、中银证券汇享定期开放债券型发起式证券投资基金、平安MSCI中国A股低波动交易型开放式指数证券投资基金（ETF）、平安合悦定期开放债券型发起式证券投资基金、平安中证500交易型开放式指数证券投资基金联接基金、中金瑞祥灵活配置混合型证券投资基金、招商添荣3个月定期开放债券型发起式证券投资基金、平安中证5-10年期国债活跃券交易型开放式指数证券投资基金、平安中债-中高等级公司债利差因子交易型开放式指数证券投资基金、平安季添盈三个月定期开放债券型证券投资基金、人保鑫泽纯债债券型证券投资基金、长江量化匠心甄选股票型证券投资基金、华夏中债1-3年政策性金融债指数证券投资基金、兴业养老目标日期2035三年持有期混合型发起式基金中基金（FOF）、诺德策略精选混合型证券投资基金、国泰瑞安三个月定期开放债券型发起式证券投资基金、西部利得添盈短债债券型证券投资基金、华安安平6个月定期开放债券型发起式证券投资基金。</w:t>
      </w:r>
    </w:p>
    <w:p w14:paraId="7C4D88E4" w14:textId="77777777" w:rsid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sz w:val="24"/>
          <w:szCs w:val="24"/>
        </w:rPr>
      </w:pPr>
    </w:p>
    <w:p w14:paraId="45898505" w14:textId="77777777" w:rsidR="003E4D36" w:rsidRDefault="00E729B5">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二、基金托管人的内部风险控制制度说明</w:t>
      </w:r>
    </w:p>
    <w:p w14:paraId="47C0E3C3" w14:textId="77777777"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color w:val="000000"/>
          <w:sz w:val="24"/>
          <w:szCs w:val="24"/>
        </w:rPr>
      </w:pPr>
      <w:r w:rsidRPr="00E30437">
        <w:rPr>
          <w:rFonts w:asciiTheme="minorEastAsia" w:hAnsiTheme="minorEastAsia" w:cs="Times New Roman" w:hint="eastAsia"/>
          <w:color w:val="000000"/>
          <w:sz w:val="24"/>
          <w:szCs w:val="24"/>
        </w:rPr>
        <w:t>1、内部控制目标</w:t>
      </w:r>
    </w:p>
    <w:p w14:paraId="4DEE8C9A" w14:textId="77777777"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color w:val="000000"/>
          <w:sz w:val="24"/>
          <w:szCs w:val="24"/>
        </w:rPr>
      </w:pPr>
      <w:r w:rsidRPr="00E30437">
        <w:rPr>
          <w:rFonts w:asciiTheme="minorEastAsia" w:hAnsiTheme="minorEastAsia" w:cs="Times New Roman" w:hint="eastAsia"/>
          <w:color w:val="000000"/>
          <w:sz w:val="24"/>
          <w:szCs w:val="24"/>
        </w:rPr>
        <w:t>作为基金托管人，平安银行股份有限公司严格遵守国家有关托管业务的法律法规、行业监管要求，自觉形成守法经营、规范运作的经营理念和经营风格；确保基金财产的安全完整，确保有关信息的真实、准确、完整、及时，保护基金份额持有人的合法权益；确保内部控制和风险管理体系的有效性；防范和化解经营风险，确保业务的安全、稳健运行，促进经营目标的实现。</w:t>
      </w:r>
    </w:p>
    <w:p w14:paraId="5394C4D7" w14:textId="77777777"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color w:val="000000"/>
          <w:sz w:val="24"/>
          <w:szCs w:val="24"/>
        </w:rPr>
      </w:pPr>
      <w:r w:rsidRPr="00E30437">
        <w:rPr>
          <w:rFonts w:asciiTheme="minorEastAsia" w:hAnsiTheme="minorEastAsia" w:cs="Times New Roman" w:hint="eastAsia"/>
          <w:color w:val="000000"/>
          <w:sz w:val="24"/>
          <w:szCs w:val="24"/>
        </w:rPr>
        <w:t>2、内部控制组织结构</w:t>
      </w:r>
    </w:p>
    <w:p w14:paraId="0D503E3B" w14:textId="77777777"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color w:val="000000"/>
          <w:sz w:val="24"/>
          <w:szCs w:val="24"/>
        </w:rPr>
      </w:pPr>
      <w:r w:rsidRPr="00E30437">
        <w:rPr>
          <w:rFonts w:asciiTheme="minorEastAsia" w:hAnsiTheme="minorEastAsia" w:cs="Times New Roman" w:hint="eastAsia"/>
          <w:color w:val="000000"/>
          <w:sz w:val="24"/>
          <w:szCs w:val="24"/>
        </w:rPr>
        <w:lastRenderedPageBreak/>
        <w:t>平安银行股份有限公司设有总行独立一级部门资产托管事业部，是全行资产托管业务的管理和运营部门，专门配备了专职内部监察稽核人员负责托管业务的内部控制和风险管理工作，具有独立行使监督稽核工作的职权和能力。</w:t>
      </w:r>
    </w:p>
    <w:p w14:paraId="5A7013E8" w14:textId="77777777"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color w:val="000000"/>
          <w:sz w:val="24"/>
          <w:szCs w:val="24"/>
        </w:rPr>
      </w:pPr>
      <w:r w:rsidRPr="00E30437">
        <w:rPr>
          <w:rFonts w:asciiTheme="minorEastAsia" w:hAnsiTheme="minorEastAsia" w:cs="Times New Roman" w:hint="eastAsia"/>
          <w:color w:val="000000"/>
          <w:sz w:val="24"/>
          <w:szCs w:val="24"/>
        </w:rPr>
        <w:t>3、内部控制制度及措施</w:t>
      </w:r>
    </w:p>
    <w:p w14:paraId="18B88725" w14:textId="77777777" w:rsid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color w:val="000000"/>
          <w:sz w:val="24"/>
          <w:szCs w:val="24"/>
        </w:rPr>
      </w:pPr>
      <w:r w:rsidRPr="00E30437">
        <w:rPr>
          <w:rFonts w:asciiTheme="minorEastAsia" w:hAnsiTheme="minorEastAsia" w:cs="Times New Roman" w:hint="eastAsia"/>
          <w:color w:val="000000"/>
          <w:sz w:val="24"/>
          <w:szCs w:val="24"/>
        </w:rPr>
        <w:t>资产托管事业部具备系统、完善的制度控制体系，建立了管理制度、控制制度、岗位职责、业务操作流程，可以保证托管业务的规范操作和顺利进行；取得基金从业资格的人员符合监管要求；业务管理严格实行复核、审核、检查制度，授权工作实行集中控制，业务印章按规程保管、存放、使用，账户资料严格保管，制约机制严格有效；业务操作区专门设置，封闭管理，实施音像监控；业务信息由专职信息披露人负责，防止泄密；业务实现自动化操作，防止人为事故的发生，技术系统完整、独立。</w:t>
      </w:r>
    </w:p>
    <w:p w14:paraId="7A256470" w14:textId="77777777" w:rsidR="00E30437" w:rsidRDefault="00E30437">
      <w:pPr>
        <w:tabs>
          <w:tab w:val="left" w:pos="1110"/>
        </w:tabs>
        <w:adjustRightInd w:val="0"/>
        <w:snapToGrid w:val="0"/>
        <w:spacing w:line="360" w:lineRule="auto"/>
        <w:ind w:firstLineChars="200" w:firstLine="480"/>
        <w:rPr>
          <w:rFonts w:asciiTheme="minorEastAsia" w:hAnsiTheme="minorEastAsia" w:cs="Times New Roman"/>
          <w:color w:val="000000"/>
          <w:sz w:val="24"/>
          <w:szCs w:val="24"/>
        </w:rPr>
      </w:pPr>
    </w:p>
    <w:p w14:paraId="078B2044" w14:textId="77777777" w:rsidR="003E4D36" w:rsidRDefault="00E729B5">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三、基金托管人对基金管理人运作基金进行监督的方法和程序</w:t>
      </w:r>
    </w:p>
    <w:p w14:paraId="7F6182AD" w14:textId="77777777"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color w:val="000000"/>
          <w:sz w:val="24"/>
          <w:szCs w:val="24"/>
        </w:rPr>
      </w:pPr>
      <w:r w:rsidRPr="00E30437">
        <w:rPr>
          <w:rFonts w:asciiTheme="minorEastAsia" w:hAnsiTheme="minorEastAsia" w:cs="Times New Roman" w:hint="eastAsia"/>
          <w:color w:val="000000"/>
          <w:sz w:val="24"/>
          <w:szCs w:val="24"/>
        </w:rPr>
        <w:t>1、监督方法</w:t>
      </w:r>
    </w:p>
    <w:p w14:paraId="5ADF2CF8" w14:textId="77777777"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color w:val="000000"/>
          <w:sz w:val="24"/>
          <w:szCs w:val="24"/>
        </w:rPr>
      </w:pPr>
      <w:r w:rsidRPr="00E30437">
        <w:rPr>
          <w:rFonts w:asciiTheme="minorEastAsia" w:hAnsiTheme="minorEastAsia" w:cs="Times New Roman" w:hint="eastAsia"/>
          <w:color w:val="000000"/>
          <w:sz w:val="24"/>
          <w:szCs w:val="24"/>
        </w:rPr>
        <w:t>依照《基金法》及其配套法规和基金合同的约定，监督所托管基金的投资运作。利用行业普遍使用的“资产托管业务系统——监控子系统”，严格按照现行法律法规以及基金合同规定，对基金管理人运作基金的投资比例、投资范围、投资组合等情况进行监督，并定期编写基金投资运作监督报告，报送中国证监会。在日常为基金投资运作所提供的基金清算和核算服务环节中，对基金管理人发送的投资指令、基金管理人对各基金费用的提取与开支情况进行检查监督。</w:t>
      </w:r>
    </w:p>
    <w:p w14:paraId="3ECD0554" w14:textId="77777777"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color w:val="000000"/>
          <w:sz w:val="24"/>
          <w:szCs w:val="24"/>
        </w:rPr>
      </w:pPr>
      <w:r w:rsidRPr="00E30437">
        <w:rPr>
          <w:rFonts w:asciiTheme="minorEastAsia" w:hAnsiTheme="minorEastAsia" w:cs="Times New Roman" w:hint="eastAsia"/>
          <w:color w:val="000000"/>
          <w:sz w:val="24"/>
          <w:szCs w:val="24"/>
        </w:rPr>
        <w:t>2、监督流程</w:t>
      </w:r>
    </w:p>
    <w:p w14:paraId="5A523C2F" w14:textId="77777777"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color w:val="000000"/>
          <w:sz w:val="24"/>
          <w:szCs w:val="24"/>
        </w:rPr>
      </w:pPr>
      <w:r w:rsidRPr="00E30437">
        <w:rPr>
          <w:rFonts w:asciiTheme="minorEastAsia" w:hAnsiTheme="minorEastAsia" w:cs="Times New Roman" w:hint="eastAsia"/>
          <w:color w:val="000000"/>
          <w:sz w:val="24"/>
          <w:szCs w:val="24"/>
        </w:rPr>
        <w:t>（1）每工作日按时通过监控子系统，对各基金投资运作比例控制指标进行例行监控，发现投资比例超标等异常情况，向基金管理人发出书面通知，与基金管理人进行情况核实，督促其纠正，并及时报告中国证监会。</w:t>
      </w:r>
    </w:p>
    <w:p w14:paraId="1FDBBAA8" w14:textId="77777777"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color w:val="000000"/>
          <w:sz w:val="24"/>
          <w:szCs w:val="24"/>
        </w:rPr>
      </w:pPr>
      <w:r w:rsidRPr="00E30437">
        <w:rPr>
          <w:rFonts w:asciiTheme="minorEastAsia" w:hAnsiTheme="minorEastAsia" w:cs="Times New Roman" w:hint="eastAsia"/>
          <w:color w:val="000000"/>
          <w:sz w:val="24"/>
          <w:szCs w:val="24"/>
        </w:rPr>
        <w:t>（2）收到基金管理人的投资指令后，对涉及各基金的投资范围、投资对象及交易对手等内容进行合法合规性监督。</w:t>
      </w:r>
    </w:p>
    <w:p w14:paraId="4B9481DE" w14:textId="77777777"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color w:val="000000"/>
          <w:sz w:val="24"/>
          <w:szCs w:val="24"/>
        </w:rPr>
      </w:pPr>
      <w:r w:rsidRPr="00E30437">
        <w:rPr>
          <w:rFonts w:asciiTheme="minorEastAsia" w:hAnsiTheme="minorEastAsia" w:cs="Times New Roman" w:hint="eastAsia"/>
          <w:color w:val="000000"/>
          <w:sz w:val="24"/>
          <w:szCs w:val="24"/>
        </w:rPr>
        <w:t>（3）根据基金投资运作监督情况，定期编写基金投资运作监督报告，对各基金投资运作的合法合规性、投资独立性和风格显著性等方面进行评价，报送中国证监会。</w:t>
      </w:r>
    </w:p>
    <w:p w14:paraId="1B46FC64" w14:textId="77777777" w:rsidR="003E4D36" w:rsidRDefault="00E30437">
      <w:pPr>
        <w:spacing w:line="360" w:lineRule="auto"/>
        <w:ind w:firstLineChars="200" w:firstLine="480"/>
        <w:rPr>
          <w:rFonts w:asciiTheme="minorEastAsia" w:hAnsiTheme="minorEastAsia" w:cs="Times New Roman"/>
          <w:color w:val="000000"/>
          <w:sz w:val="24"/>
          <w:szCs w:val="24"/>
        </w:rPr>
      </w:pPr>
      <w:r w:rsidRPr="00E30437">
        <w:rPr>
          <w:rFonts w:asciiTheme="minorEastAsia" w:hAnsiTheme="minorEastAsia" w:cs="Times New Roman" w:hint="eastAsia"/>
          <w:color w:val="000000"/>
          <w:sz w:val="24"/>
          <w:szCs w:val="24"/>
        </w:rPr>
        <w:t>（4）通过技术或非技术手段发现基金涉嫌违规交易，电话或书面要求管理</w:t>
      </w:r>
      <w:r w:rsidRPr="00E30437">
        <w:rPr>
          <w:rFonts w:asciiTheme="minorEastAsia" w:hAnsiTheme="minorEastAsia" w:cs="Times New Roman" w:hint="eastAsia"/>
          <w:color w:val="000000"/>
          <w:sz w:val="24"/>
          <w:szCs w:val="24"/>
        </w:rPr>
        <w:lastRenderedPageBreak/>
        <w:t>人进行解释或举证，并及时报告中国证监会。</w:t>
      </w:r>
      <w:r w:rsidR="00E729B5">
        <w:rPr>
          <w:rFonts w:asciiTheme="minorEastAsia" w:hAnsiTheme="minorEastAsia" w:cs="Times New Roman"/>
          <w:color w:val="000000"/>
          <w:sz w:val="24"/>
          <w:szCs w:val="24"/>
        </w:rPr>
        <w:br w:type="page"/>
      </w:r>
    </w:p>
    <w:p w14:paraId="0D4D3A89" w14:textId="77777777" w:rsidR="003E4D36" w:rsidRDefault="00E729B5">
      <w:pPr>
        <w:pStyle w:val="1"/>
        <w:jc w:val="center"/>
        <w:rPr>
          <w:sz w:val="30"/>
          <w:szCs w:val="30"/>
        </w:rPr>
      </w:pPr>
      <w:bookmarkStart w:id="89" w:name="_Toc523243820"/>
      <w:bookmarkStart w:id="90" w:name="_Toc214873594"/>
      <w:bookmarkStart w:id="91" w:name="_Toc263092313"/>
      <w:bookmarkStart w:id="92" w:name="_Toc416264541"/>
      <w:bookmarkStart w:id="93" w:name="_Toc610"/>
      <w:bookmarkStart w:id="94" w:name="_Toc98560352"/>
      <w:bookmarkStart w:id="95" w:name="_Toc17244"/>
      <w:bookmarkStart w:id="96" w:name="_Toc139991736"/>
      <w:bookmarkStart w:id="97" w:name="_Toc123051452"/>
      <w:bookmarkStart w:id="98" w:name="_Toc141703886"/>
      <w:bookmarkStart w:id="99" w:name="_Toc352229751"/>
      <w:bookmarkStart w:id="100" w:name="_Toc123102453"/>
      <w:bookmarkStart w:id="101" w:name="_Toc123112234"/>
      <w:bookmarkStart w:id="102" w:name="_Toc79392606"/>
      <w:bookmarkStart w:id="103" w:name="_Toc20733"/>
      <w:bookmarkStart w:id="104" w:name="_Toc4003"/>
      <w:bookmarkStart w:id="105" w:name="_Toc23822"/>
      <w:bookmarkStart w:id="106" w:name="_Toc11081"/>
      <w:bookmarkStart w:id="107" w:name="_Toc1427"/>
      <w:bookmarkStart w:id="108" w:name="_Toc7920"/>
      <w:bookmarkStart w:id="109" w:name="_Toc10463"/>
      <w:bookmarkStart w:id="110" w:name="_Toc1270"/>
      <w:bookmarkStart w:id="111" w:name="_Toc48649707"/>
      <w:bookmarkStart w:id="112" w:name="_Toc352229752"/>
      <w:bookmarkStart w:id="113" w:name="_Toc23261"/>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r>
        <w:rPr>
          <w:rFonts w:hint="eastAsia"/>
          <w:sz w:val="30"/>
          <w:szCs w:val="30"/>
        </w:rPr>
        <w:lastRenderedPageBreak/>
        <w:t>第五部分</w:t>
      </w:r>
      <w:r>
        <w:rPr>
          <w:sz w:val="30"/>
          <w:szCs w:val="30"/>
        </w:rPr>
        <w:t xml:space="preserve">  </w:t>
      </w:r>
      <w:r>
        <w:rPr>
          <w:rFonts w:hint="eastAsia"/>
          <w:sz w:val="30"/>
          <w:szCs w:val="30"/>
        </w:rPr>
        <w:t>相关服务机构</w:t>
      </w:r>
      <w:bookmarkEnd w:id="89"/>
      <w:bookmarkEnd w:id="90"/>
      <w:bookmarkEnd w:id="91"/>
      <w:bookmarkEnd w:id="92"/>
    </w:p>
    <w:p w14:paraId="66CB41B4" w14:textId="77777777" w:rsidR="003E4D36" w:rsidRDefault="00E729B5">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一、基金份额发售机构</w:t>
      </w:r>
    </w:p>
    <w:p w14:paraId="1EA48F7A" w14:textId="77777777" w:rsidR="003E4D36" w:rsidRDefault="00E729B5">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1、直销机构：富荣基金管理有限公司直销中心</w:t>
      </w:r>
    </w:p>
    <w:p w14:paraId="2A21032E" w14:textId="77777777" w:rsidR="003E4D36" w:rsidRDefault="00E729B5">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注册地址：广州市南沙区海滨路171号南沙金融大厦11楼1101之一J20室 </w:t>
      </w:r>
    </w:p>
    <w:p w14:paraId="4F83B69B" w14:textId="77777777" w:rsidR="003E4D36" w:rsidRDefault="00E729B5">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办公地址：深圳市福田区深南大道2012号深圳证券交易所广场3501室</w:t>
      </w:r>
    </w:p>
    <w:p w14:paraId="0B01294F" w14:textId="77777777" w:rsidR="003E4D36" w:rsidRDefault="00E729B5">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法定代表人： </w:t>
      </w:r>
      <w:r w:rsidR="00980F20">
        <w:rPr>
          <w:rFonts w:asciiTheme="minorEastAsia" w:hAnsiTheme="minorEastAsia" w:cs="Arial" w:hint="eastAsia"/>
          <w:sz w:val="24"/>
          <w:szCs w:val="24"/>
        </w:rPr>
        <w:t>杨小舟</w:t>
      </w:r>
    </w:p>
    <w:p w14:paraId="469A7CBD" w14:textId="77777777" w:rsidR="003E4D36" w:rsidRDefault="00E729B5">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电话：0755-84356629</w:t>
      </w:r>
    </w:p>
    <w:p w14:paraId="2FB02B9D" w14:textId="77777777" w:rsidR="003E4D36" w:rsidRDefault="00E729B5">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传真：0755-83230902</w:t>
      </w:r>
    </w:p>
    <w:p w14:paraId="1485EE6B" w14:textId="77777777" w:rsidR="003E4D36" w:rsidRDefault="00E729B5">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客服电话：4006855600</w:t>
      </w:r>
    </w:p>
    <w:p w14:paraId="7118442D" w14:textId="77777777" w:rsidR="003E4D36" w:rsidRDefault="00E729B5">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网址：www.furamc.com.cn</w:t>
      </w:r>
    </w:p>
    <w:p w14:paraId="4AFC7339" w14:textId="77777777" w:rsidR="003E4D36" w:rsidRDefault="00E729B5">
      <w:pPr>
        <w:numPr>
          <w:ilvl w:val="0"/>
          <w:numId w:val="3"/>
        </w:num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其他销售机构： </w:t>
      </w:r>
    </w:p>
    <w:tbl>
      <w:tblPr>
        <w:tblStyle w:val="afc"/>
        <w:tblW w:w="8613" w:type="dxa"/>
        <w:tblLayout w:type="fixed"/>
        <w:tblLook w:val="04A0" w:firstRow="1" w:lastRow="0" w:firstColumn="1" w:lastColumn="0" w:noHBand="0" w:noVBand="1"/>
      </w:tblPr>
      <w:tblGrid>
        <w:gridCol w:w="901"/>
        <w:gridCol w:w="3152"/>
        <w:gridCol w:w="4560"/>
      </w:tblGrid>
      <w:tr w:rsidR="00150907" w14:paraId="764C2121" w14:textId="77777777" w:rsidTr="005A3450">
        <w:trPr>
          <w:trHeight w:val="510"/>
        </w:trPr>
        <w:tc>
          <w:tcPr>
            <w:tcW w:w="901" w:type="dxa"/>
            <w:vAlign w:val="center"/>
          </w:tcPr>
          <w:p w14:paraId="51DD3BBB" w14:textId="77777777" w:rsidR="00150907" w:rsidRDefault="00150907" w:rsidP="005A3450">
            <w:pPr>
              <w:spacing w:line="360" w:lineRule="auto"/>
              <w:jc w:val="center"/>
              <w:rPr>
                <w:rFonts w:ascii="宋体" w:hAnsi="宋体"/>
                <w:color w:val="000000"/>
                <w:kern w:val="0"/>
                <w:sz w:val="24"/>
              </w:rPr>
            </w:pPr>
            <w:r>
              <w:rPr>
                <w:rFonts w:ascii="宋体" w:hAnsi="宋体" w:hint="eastAsia"/>
                <w:b/>
                <w:color w:val="000000"/>
                <w:kern w:val="0"/>
                <w:sz w:val="24"/>
              </w:rPr>
              <w:t>序号</w:t>
            </w:r>
          </w:p>
        </w:tc>
        <w:tc>
          <w:tcPr>
            <w:tcW w:w="3152" w:type="dxa"/>
            <w:vAlign w:val="center"/>
          </w:tcPr>
          <w:p w14:paraId="2F494F99" w14:textId="77777777" w:rsidR="00150907" w:rsidRDefault="00150907" w:rsidP="005A3450">
            <w:pPr>
              <w:spacing w:line="360" w:lineRule="auto"/>
              <w:jc w:val="center"/>
              <w:rPr>
                <w:rFonts w:ascii="宋体" w:hAnsi="宋体"/>
                <w:color w:val="000000"/>
                <w:kern w:val="0"/>
                <w:sz w:val="24"/>
              </w:rPr>
            </w:pPr>
            <w:r>
              <w:rPr>
                <w:rFonts w:ascii="宋体" w:hAnsi="宋体" w:hint="eastAsia"/>
                <w:b/>
                <w:color w:val="000000"/>
                <w:kern w:val="0"/>
                <w:sz w:val="24"/>
              </w:rPr>
              <w:t>代销机构名称</w:t>
            </w:r>
          </w:p>
        </w:tc>
        <w:tc>
          <w:tcPr>
            <w:tcW w:w="4560" w:type="dxa"/>
          </w:tcPr>
          <w:p w14:paraId="2A7F722E" w14:textId="77777777" w:rsidR="00150907" w:rsidRDefault="00150907" w:rsidP="005A3450">
            <w:pPr>
              <w:spacing w:line="360" w:lineRule="auto"/>
              <w:jc w:val="center"/>
              <w:rPr>
                <w:rFonts w:ascii="宋体" w:hAnsi="宋体"/>
                <w:color w:val="000000"/>
                <w:kern w:val="0"/>
                <w:sz w:val="24"/>
              </w:rPr>
            </w:pPr>
            <w:r>
              <w:rPr>
                <w:rFonts w:ascii="宋体" w:hAnsi="宋体" w:hint="eastAsia"/>
                <w:b/>
                <w:color w:val="000000"/>
                <w:kern w:val="0"/>
                <w:sz w:val="24"/>
              </w:rPr>
              <w:t>代销机构信息</w:t>
            </w:r>
          </w:p>
        </w:tc>
      </w:tr>
      <w:tr w:rsidR="00150907" w14:paraId="75111617" w14:textId="77777777" w:rsidTr="005A3450">
        <w:trPr>
          <w:trHeight w:val="1333"/>
        </w:trPr>
        <w:tc>
          <w:tcPr>
            <w:tcW w:w="901" w:type="dxa"/>
          </w:tcPr>
          <w:p w14:paraId="619FE7B2" w14:textId="77777777" w:rsidR="00150907" w:rsidRDefault="00150907" w:rsidP="005A3450">
            <w:pPr>
              <w:spacing w:line="360" w:lineRule="auto"/>
              <w:jc w:val="center"/>
              <w:rPr>
                <w:rFonts w:ascii="宋体" w:hAnsi="宋体"/>
                <w:color w:val="000000"/>
                <w:kern w:val="0"/>
                <w:sz w:val="24"/>
              </w:rPr>
            </w:pPr>
            <w:r>
              <w:rPr>
                <w:rFonts w:ascii="宋体" w:hAnsi="宋体" w:hint="eastAsia"/>
                <w:color w:val="000000"/>
                <w:kern w:val="0"/>
                <w:sz w:val="24"/>
              </w:rPr>
              <w:t>1</w:t>
            </w:r>
          </w:p>
        </w:tc>
        <w:tc>
          <w:tcPr>
            <w:tcW w:w="3152" w:type="dxa"/>
          </w:tcPr>
          <w:p w14:paraId="4E88897B" w14:textId="77777777" w:rsidR="00150907" w:rsidRDefault="00150907" w:rsidP="005A3450">
            <w:pPr>
              <w:spacing w:line="360" w:lineRule="auto"/>
              <w:jc w:val="center"/>
              <w:rPr>
                <w:rFonts w:ascii="宋体" w:hAnsi="宋体"/>
                <w:color w:val="000000"/>
                <w:kern w:val="0"/>
                <w:sz w:val="24"/>
              </w:rPr>
            </w:pPr>
            <w:r>
              <w:rPr>
                <w:rFonts w:asciiTheme="minorEastAsia" w:hAnsiTheme="minorEastAsia" w:cs="Arial" w:hint="eastAsia"/>
                <w:sz w:val="24"/>
                <w:szCs w:val="24"/>
              </w:rPr>
              <w:t>包商银行股份有限公司</w:t>
            </w:r>
          </w:p>
        </w:tc>
        <w:tc>
          <w:tcPr>
            <w:tcW w:w="4560" w:type="dxa"/>
          </w:tcPr>
          <w:p w14:paraId="670F0A26"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办公地址：内蒙古包头市钢铁大街6号</w:t>
            </w:r>
          </w:p>
          <w:p w14:paraId="4705452C" w14:textId="77777777" w:rsidR="00150907" w:rsidRDefault="00150907" w:rsidP="005A3450">
            <w:pPr>
              <w:tabs>
                <w:tab w:val="left" w:pos="540"/>
              </w:tabs>
              <w:adjustRightInd w:val="0"/>
              <w:snapToGrid w:val="0"/>
              <w:spacing w:line="360" w:lineRule="auto"/>
              <w:jc w:val="left"/>
              <w:rPr>
                <w:rFonts w:asciiTheme="minorEastAsia" w:hAnsiTheme="minorEastAsia" w:cs="Arial"/>
                <w:sz w:val="24"/>
                <w:szCs w:val="24"/>
              </w:rPr>
            </w:pPr>
            <w:r>
              <w:rPr>
                <w:rFonts w:asciiTheme="minorEastAsia" w:hAnsiTheme="minorEastAsia" w:cs="Arial" w:hint="eastAsia"/>
                <w:sz w:val="24"/>
                <w:szCs w:val="24"/>
              </w:rPr>
              <w:t>客服电话：95352</w:t>
            </w:r>
          </w:p>
          <w:p w14:paraId="303B7C02" w14:textId="77777777" w:rsidR="00150907" w:rsidRDefault="00150907" w:rsidP="005A3450">
            <w:pPr>
              <w:tabs>
                <w:tab w:val="left" w:pos="540"/>
              </w:tabs>
              <w:adjustRightInd w:val="0"/>
              <w:snapToGrid w:val="0"/>
              <w:spacing w:line="360" w:lineRule="auto"/>
              <w:rPr>
                <w:rFonts w:ascii="宋体" w:hAnsi="宋体"/>
                <w:color w:val="000000"/>
                <w:kern w:val="0"/>
                <w:sz w:val="24"/>
              </w:rPr>
            </w:pPr>
            <w:r>
              <w:rPr>
                <w:rFonts w:asciiTheme="minorEastAsia" w:hAnsiTheme="minorEastAsia" w:cs="Arial" w:hint="eastAsia"/>
                <w:sz w:val="24"/>
                <w:szCs w:val="24"/>
              </w:rPr>
              <w:t>网站：www.bsb.com.cn</w:t>
            </w:r>
          </w:p>
        </w:tc>
      </w:tr>
      <w:tr w:rsidR="00150907" w14:paraId="3F603C73" w14:textId="77777777" w:rsidTr="005A3450">
        <w:trPr>
          <w:trHeight w:val="510"/>
        </w:trPr>
        <w:tc>
          <w:tcPr>
            <w:tcW w:w="901" w:type="dxa"/>
          </w:tcPr>
          <w:p w14:paraId="2B89677E" w14:textId="77777777" w:rsidR="00150907" w:rsidRDefault="00150907" w:rsidP="005A3450">
            <w:pPr>
              <w:spacing w:line="360" w:lineRule="auto"/>
              <w:jc w:val="center"/>
              <w:rPr>
                <w:rFonts w:ascii="宋体" w:hAnsi="宋体"/>
                <w:color w:val="000000"/>
                <w:kern w:val="0"/>
                <w:sz w:val="24"/>
              </w:rPr>
            </w:pPr>
            <w:r>
              <w:rPr>
                <w:rFonts w:ascii="宋体" w:hAnsi="宋体" w:hint="eastAsia"/>
                <w:color w:val="000000"/>
                <w:kern w:val="0"/>
                <w:sz w:val="24"/>
              </w:rPr>
              <w:t>2</w:t>
            </w:r>
          </w:p>
        </w:tc>
        <w:tc>
          <w:tcPr>
            <w:tcW w:w="3152" w:type="dxa"/>
          </w:tcPr>
          <w:p w14:paraId="51541F6B" w14:textId="77777777" w:rsidR="00150907" w:rsidRDefault="00150907" w:rsidP="005A3450">
            <w:pPr>
              <w:spacing w:line="360" w:lineRule="auto"/>
              <w:jc w:val="center"/>
              <w:rPr>
                <w:rFonts w:ascii="宋体" w:hAnsi="宋体"/>
                <w:color w:val="000000"/>
                <w:kern w:val="0"/>
                <w:sz w:val="24"/>
              </w:rPr>
            </w:pPr>
            <w:r>
              <w:rPr>
                <w:rFonts w:asciiTheme="minorEastAsia" w:hAnsiTheme="minorEastAsia" w:cs="Arial" w:hint="eastAsia"/>
                <w:sz w:val="24"/>
                <w:szCs w:val="24"/>
              </w:rPr>
              <w:t>平安银行股份有限公司</w:t>
            </w:r>
          </w:p>
        </w:tc>
        <w:tc>
          <w:tcPr>
            <w:tcW w:w="4560" w:type="dxa"/>
          </w:tcPr>
          <w:p w14:paraId="23463320"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注册（办公）地址：深圳市深南东路5047号深圳发展银行大厦</w:t>
            </w:r>
          </w:p>
          <w:p w14:paraId="572411A3"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客户服务电话：95511－3</w:t>
            </w:r>
          </w:p>
          <w:p w14:paraId="1DC59134" w14:textId="77777777" w:rsidR="00150907" w:rsidRDefault="00150907" w:rsidP="005A3450">
            <w:pPr>
              <w:tabs>
                <w:tab w:val="left" w:pos="540"/>
              </w:tabs>
              <w:adjustRightInd w:val="0"/>
              <w:snapToGrid w:val="0"/>
              <w:spacing w:line="360" w:lineRule="auto"/>
              <w:rPr>
                <w:rFonts w:ascii="宋体" w:hAnsi="宋体"/>
                <w:color w:val="000000"/>
                <w:kern w:val="0"/>
                <w:sz w:val="24"/>
              </w:rPr>
            </w:pPr>
            <w:r>
              <w:rPr>
                <w:rFonts w:asciiTheme="minorEastAsia" w:hAnsiTheme="minorEastAsia" w:cs="Arial" w:hint="eastAsia"/>
                <w:sz w:val="24"/>
                <w:szCs w:val="24"/>
              </w:rPr>
              <w:t>网址：www.bank.pingan.com</w:t>
            </w:r>
          </w:p>
        </w:tc>
      </w:tr>
      <w:tr w:rsidR="00150907" w14:paraId="0FECAED0" w14:textId="77777777" w:rsidTr="005A3450">
        <w:trPr>
          <w:trHeight w:val="510"/>
        </w:trPr>
        <w:tc>
          <w:tcPr>
            <w:tcW w:w="901" w:type="dxa"/>
          </w:tcPr>
          <w:p w14:paraId="69FBE955" w14:textId="77777777" w:rsidR="00150907" w:rsidRDefault="00150907" w:rsidP="005A3450">
            <w:pPr>
              <w:spacing w:line="360" w:lineRule="auto"/>
              <w:jc w:val="center"/>
              <w:rPr>
                <w:rFonts w:ascii="宋体" w:hAnsi="宋体"/>
                <w:color w:val="000000"/>
                <w:kern w:val="0"/>
                <w:sz w:val="24"/>
              </w:rPr>
            </w:pPr>
            <w:r>
              <w:rPr>
                <w:rFonts w:ascii="宋体" w:hAnsi="宋体" w:hint="eastAsia"/>
                <w:color w:val="000000"/>
                <w:kern w:val="0"/>
                <w:sz w:val="24"/>
              </w:rPr>
              <w:t>3</w:t>
            </w:r>
          </w:p>
        </w:tc>
        <w:tc>
          <w:tcPr>
            <w:tcW w:w="3152" w:type="dxa"/>
          </w:tcPr>
          <w:p w14:paraId="00334EC1" w14:textId="77777777" w:rsidR="00150907" w:rsidRDefault="00150907" w:rsidP="005A3450">
            <w:pPr>
              <w:spacing w:line="360" w:lineRule="auto"/>
              <w:jc w:val="center"/>
              <w:rPr>
                <w:rFonts w:ascii="宋体" w:hAnsi="宋体"/>
                <w:color w:val="000000"/>
                <w:kern w:val="0"/>
                <w:sz w:val="24"/>
              </w:rPr>
            </w:pPr>
            <w:r>
              <w:rPr>
                <w:rFonts w:asciiTheme="minorEastAsia" w:hAnsiTheme="minorEastAsia" w:cs="Arial" w:hint="eastAsia"/>
                <w:sz w:val="24"/>
                <w:szCs w:val="24"/>
              </w:rPr>
              <w:t>平安证券股份有限公司</w:t>
            </w:r>
          </w:p>
        </w:tc>
        <w:tc>
          <w:tcPr>
            <w:tcW w:w="4560" w:type="dxa"/>
          </w:tcPr>
          <w:p w14:paraId="4B60F2AB"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 xml:space="preserve">注册（办公）地址：深圳市福田中心区金田路4036号荣超大厦16-20层 </w:t>
            </w:r>
          </w:p>
          <w:p w14:paraId="614A5892"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 xml:space="preserve">客户服务电话：95511-8 </w:t>
            </w:r>
          </w:p>
          <w:p w14:paraId="7C34C814" w14:textId="77777777" w:rsidR="00150907" w:rsidRDefault="00150907" w:rsidP="005A3450">
            <w:pPr>
              <w:tabs>
                <w:tab w:val="left" w:pos="540"/>
              </w:tabs>
              <w:adjustRightInd w:val="0"/>
              <w:snapToGrid w:val="0"/>
              <w:spacing w:line="360" w:lineRule="auto"/>
              <w:rPr>
                <w:rFonts w:ascii="宋体" w:hAnsi="宋体"/>
                <w:color w:val="000000"/>
                <w:kern w:val="0"/>
                <w:sz w:val="24"/>
              </w:rPr>
            </w:pPr>
            <w:r>
              <w:rPr>
                <w:rFonts w:asciiTheme="minorEastAsia" w:hAnsiTheme="minorEastAsia" w:cs="Arial" w:hint="eastAsia"/>
                <w:sz w:val="24"/>
                <w:szCs w:val="24"/>
              </w:rPr>
              <w:t>网址：stock.pingan.com</w:t>
            </w:r>
          </w:p>
        </w:tc>
      </w:tr>
      <w:tr w:rsidR="00150907" w14:paraId="09B0B503" w14:textId="77777777" w:rsidTr="005A3450">
        <w:tc>
          <w:tcPr>
            <w:tcW w:w="901" w:type="dxa"/>
          </w:tcPr>
          <w:p w14:paraId="05FB2BAC" w14:textId="77777777" w:rsidR="00150907" w:rsidRDefault="00150907" w:rsidP="005A3450">
            <w:pPr>
              <w:spacing w:line="360" w:lineRule="auto"/>
              <w:jc w:val="center"/>
              <w:rPr>
                <w:rFonts w:ascii="宋体" w:hAnsi="宋体"/>
                <w:color w:val="000000"/>
                <w:kern w:val="0"/>
                <w:sz w:val="24"/>
              </w:rPr>
            </w:pPr>
            <w:r>
              <w:rPr>
                <w:rFonts w:ascii="宋体" w:hAnsi="宋体" w:hint="eastAsia"/>
                <w:color w:val="000000"/>
                <w:kern w:val="0"/>
                <w:sz w:val="24"/>
              </w:rPr>
              <w:t>4</w:t>
            </w:r>
          </w:p>
        </w:tc>
        <w:tc>
          <w:tcPr>
            <w:tcW w:w="3152" w:type="dxa"/>
          </w:tcPr>
          <w:p w14:paraId="0FC70B40" w14:textId="77777777" w:rsidR="00150907" w:rsidRDefault="00150907" w:rsidP="005A3450">
            <w:pPr>
              <w:spacing w:line="360" w:lineRule="auto"/>
              <w:jc w:val="center"/>
              <w:rPr>
                <w:rFonts w:ascii="宋体" w:hAnsi="宋体"/>
                <w:color w:val="000000"/>
                <w:kern w:val="0"/>
                <w:sz w:val="24"/>
              </w:rPr>
            </w:pPr>
            <w:r>
              <w:rPr>
                <w:rFonts w:asciiTheme="minorEastAsia" w:hAnsiTheme="minorEastAsia" w:cs="Arial" w:hint="eastAsia"/>
                <w:sz w:val="24"/>
                <w:szCs w:val="24"/>
              </w:rPr>
              <w:t>中信建投证券股份有限公司</w:t>
            </w:r>
          </w:p>
        </w:tc>
        <w:tc>
          <w:tcPr>
            <w:tcW w:w="4560" w:type="dxa"/>
          </w:tcPr>
          <w:p w14:paraId="62075EB4"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注册（办公）地址：北京市朝阳区安立路66号4号楼</w:t>
            </w:r>
          </w:p>
          <w:p w14:paraId="4FC91208"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 4008888108/95587</w:t>
            </w:r>
          </w:p>
          <w:p w14:paraId="6FC5934C" w14:textId="77777777" w:rsidR="00150907" w:rsidRDefault="00150907" w:rsidP="005A3450">
            <w:pPr>
              <w:tabs>
                <w:tab w:val="left" w:pos="540"/>
              </w:tabs>
              <w:adjustRightInd w:val="0"/>
              <w:snapToGrid w:val="0"/>
              <w:spacing w:line="360" w:lineRule="auto"/>
              <w:rPr>
                <w:rFonts w:ascii="宋体" w:hAnsi="宋体"/>
                <w:color w:val="000000"/>
                <w:kern w:val="0"/>
                <w:sz w:val="24"/>
              </w:rPr>
            </w:pPr>
            <w:r>
              <w:rPr>
                <w:rFonts w:asciiTheme="minorEastAsia" w:hAnsiTheme="minorEastAsia" w:cs="Arial" w:hint="eastAsia"/>
                <w:sz w:val="24"/>
                <w:szCs w:val="24"/>
              </w:rPr>
              <w:t>网址：www.csc108.com</w:t>
            </w:r>
          </w:p>
        </w:tc>
      </w:tr>
      <w:tr w:rsidR="00150907" w14:paraId="669FD380" w14:textId="77777777" w:rsidTr="005A3450">
        <w:tc>
          <w:tcPr>
            <w:tcW w:w="901" w:type="dxa"/>
          </w:tcPr>
          <w:p w14:paraId="5B1CE4DE" w14:textId="77777777" w:rsidR="00150907" w:rsidRDefault="00150907" w:rsidP="005A3450">
            <w:pPr>
              <w:spacing w:line="360" w:lineRule="auto"/>
              <w:jc w:val="center"/>
              <w:rPr>
                <w:rFonts w:ascii="宋体" w:hAnsi="宋体"/>
                <w:color w:val="000000"/>
                <w:kern w:val="0"/>
                <w:sz w:val="24"/>
              </w:rPr>
            </w:pPr>
            <w:r>
              <w:rPr>
                <w:rFonts w:ascii="宋体" w:hAnsi="宋体" w:hint="eastAsia"/>
                <w:color w:val="000000"/>
                <w:kern w:val="0"/>
                <w:sz w:val="24"/>
              </w:rPr>
              <w:t>5</w:t>
            </w:r>
          </w:p>
        </w:tc>
        <w:tc>
          <w:tcPr>
            <w:tcW w:w="3152" w:type="dxa"/>
          </w:tcPr>
          <w:p w14:paraId="7E84FC00" w14:textId="77777777" w:rsidR="00150907" w:rsidRDefault="00150907" w:rsidP="005A3450">
            <w:pPr>
              <w:spacing w:line="360" w:lineRule="auto"/>
              <w:jc w:val="center"/>
              <w:rPr>
                <w:rFonts w:asciiTheme="minorEastAsia" w:hAnsiTheme="minorEastAsia" w:cs="Arial"/>
                <w:sz w:val="24"/>
                <w:szCs w:val="24"/>
              </w:rPr>
            </w:pPr>
            <w:r>
              <w:rPr>
                <w:rFonts w:asciiTheme="minorEastAsia" w:hAnsiTheme="minorEastAsia" w:cs="Arial" w:hint="eastAsia"/>
                <w:sz w:val="24"/>
                <w:szCs w:val="24"/>
              </w:rPr>
              <w:t>联讯证券股份有限公司</w:t>
            </w:r>
          </w:p>
        </w:tc>
        <w:tc>
          <w:tcPr>
            <w:tcW w:w="4560" w:type="dxa"/>
          </w:tcPr>
          <w:p w14:paraId="4EC486A8"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办公地址：广东惠州市惠城区江北东江三</w:t>
            </w:r>
            <w:r>
              <w:rPr>
                <w:rFonts w:asciiTheme="minorEastAsia" w:hAnsiTheme="minorEastAsia" w:cs="Arial" w:hint="eastAsia"/>
                <w:sz w:val="24"/>
                <w:szCs w:val="24"/>
              </w:rPr>
              <w:lastRenderedPageBreak/>
              <w:t>路55号广播电视新闻中心西面一层大堂和三、四层</w:t>
            </w:r>
          </w:p>
          <w:p w14:paraId="646EC235"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客户服务电话：95564</w:t>
            </w:r>
          </w:p>
          <w:p w14:paraId="081D49AB"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网址：www.lxsec.com</w:t>
            </w:r>
          </w:p>
        </w:tc>
      </w:tr>
      <w:tr w:rsidR="00150907" w14:paraId="536574AF" w14:textId="77777777" w:rsidTr="005A3450">
        <w:tc>
          <w:tcPr>
            <w:tcW w:w="901" w:type="dxa"/>
          </w:tcPr>
          <w:p w14:paraId="1C81C00D" w14:textId="77777777" w:rsidR="00150907" w:rsidRDefault="00150907" w:rsidP="005A3450">
            <w:pPr>
              <w:spacing w:line="360" w:lineRule="auto"/>
              <w:jc w:val="center"/>
              <w:rPr>
                <w:rFonts w:ascii="宋体" w:hAnsi="宋体"/>
                <w:color w:val="000000"/>
                <w:kern w:val="0"/>
                <w:sz w:val="24"/>
              </w:rPr>
            </w:pPr>
            <w:r>
              <w:rPr>
                <w:rFonts w:ascii="宋体" w:hAnsi="宋体" w:hint="eastAsia"/>
                <w:color w:val="000000"/>
                <w:kern w:val="0"/>
                <w:sz w:val="24"/>
              </w:rPr>
              <w:lastRenderedPageBreak/>
              <w:t>6</w:t>
            </w:r>
          </w:p>
        </w:tc>
        <w:tc>
          <w:tcPr>
            <w:tcW w:w="3152" w:type="dxa"/>
          </w:tcPr>
          <w:p w14:paraId="38B17170" w14:textId="77777777" w:rsidR="00150907" w:rsidRDefault="00150907" w:rsidP="005A3450">
            <w:pPr>
              <w:spacing w:line="360" w:lineRule="auto"/>
              <w:jc w:val="center"/>
              <w:rPr>
                <w:rFonts w:asciiTheme="minorEastAsia" w:hAnsiTheme="minorEastAsia" w:cs="Arial"/>
                <w:sz w:val="24"/>
                <w:szCs w:val="24"/>
              </w:rPr>
            </w:pPr>
            <w:r>
              <w:rPr>
                <w:rFonts w:asciiTheme="minorEastAsia" w:hAnsiTheme="minorEastAsia" w:cs="Arial" w:hint="eastAsia"/>
                <w:sz w:val="24"/>
                <w:szCs w:val="24"/>
              </w:rPr>
              <w:t>世纪证券有限责任公司</w:t>
            </w:r>
          </w:p>
        </w:tc>
        <w:tc>
          <w:tcPr>
            <w:tcW w:w="4560" w:type="dxa"/>
          </w:tcPr>
          <w:p w14:paraId="0A59B0CE"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注册（办公）地址：深圳市福田区深南大道招商银行大厦40-42层</w:t>
            </w:r>
          </w:p>
          <w:p w14:paraId="2DE07D85"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客服电话：4008323000</w:t>
            </w:r>
          </w:p>
          <w:p w14:paraId="183C1104"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网站： http://www.csco.com.cn</w:t>
            </w:r>
          </w:p>
        </w:tc>
      </w:tr>
      <w:tr w:rsidR="00150907" w14:paraId="2018D59F" w14:textId="77777777" w:rsidTr="005A3450">
        <w:tc>
          <w:tcPr>
            <w:tcW w:w="901" w:type="dxa"/>
          </w:tcPr>
          <w:p w14:paraId="763A3A2F" w14:textId="77777777" w:rsidR="00150907" w:rsidRDefault="00150907" w:rsidP="005A3450">
            <w:pPr>
              <w:spacing w:line="360" w:lineRule="auto"/>
              <w:jc w:val="center"/>
              <w:rPr>
                <w:rFonts w:ascii="宋体" w:hAnsi="宋体"/>
                <w:color w:val="000000"/>
                <w:kern w:val="0"/>
                <w:sz w:val="24"/>
              </w:rPr>
            </w:pPr>
            <w:r>
              <w:rPr>
                <w:rFonts w:ascii="宋体" w:hAnsi="宋体" w:hint="eastAsia"/>
                <w:color w:val="000000"/>
                <w:kern w:val="0"/>
                <w:sz w:val="24"/>
              </w:rPr>
              <w:t>7</w:t>
            </w:r>
          </w:p>
        </w:tc>
        <w:tc>
          <w:tcPr>
            <w:tcW w:w="3152" w:type="dxa"/>
          </w:tcPr>
          <w:p w14:paraId="32D70A65" w14:textId="77777777" w:rsidR="00150907" w:rsidRDefault="00150907" w:rsidP="005A3450">
            <w:pPr>
              <w:spacing w:line="360" w:lineRule="auto"/>
              <w:jc w:val="center"/>
              <w:rPr>
                <w:rFonts w:asciiTheme="minorEastAsia" w:hAnsiTheme="minorEastAsia" w:cs="Arial"/>
                <w:sz w:val="24"/>
                <w:szCs w:val="24"/>
              </w:rPr>
            </w:pPr>
            <w:r w:rsidRPr="000465A4">
              <w:rPr>
                <w:rFonts w:asciiTheme="minorEastAsia" w:hAnsiTheme="minorEastAsia" w:cs="Arial" w:hint="eastAsia"/>
                <w:sz w:val="24"/>
                <w:szCs w:val="24"/>
              </w:rPr>
              <w:t>华鑫证券有限责任公司</w:t>
            </w:r>
          </w:p>
        </w:tc>
        <w:tc>
          <w:tcPr>
            <w:tcW w:w="4560" w:type="dxa"/>
          </w:tcPr>
          <w:p w14:paraId="7EB69F20" w14:textId="77777777" w:rsidR="00150907" w:rsidRPr="00EA291B" w:rsidRDefault="00150907" w:rsidP="005A3450">
            <w:pPr>
              <w:widowControl/>
              <w:spacing w:line="360" w:lineRule="auto"/>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注册(办公)地址：</w:t>
            </w:r>
            <w:r w:rsidRPr="0046293D">
              <w:rPr>
                <w:rFonts w:ascii="宋体" w:eastAsia="宋体" w:hAnsi="宋体" w:cs="Calibri" w:hint="eastAsia"/>
                <w:color w:val="000000"/>
                <w:kern w:val="0"/>
                <w:szCs w:val="21"/>
              </w:rPr>
              <w:t>深圳市福田区金田路4018号安联大厦28层A01、B01（b）单元</w:t>
            </w:r>
          </w:p>
          <w:p w14:paraId="3F03980B" w14:textId="77777777" w:rsidR="00150907" w:rsidRPr="00EA291B" w:rsidRDefault="00150907" w:rsidP="005A3450">
            <w:pPr>
              <w:widowControl/>
              <w:spacing w:line="360" w:lineRule="auto"/>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客户服务电话：</w:t>
            </w:r>
            <w:r>
              <w:rPr>
                <w:rFonts w:ascii="宋体" w:eastAsia="宋体" w:hAnsi="宋体" w:cs="Calibri" w:hint="eastAsia"/>
                <w:color w:val="000000"/>
                <w:kern w:val="0"/>
                <w:szCs w:val="21"/>
              </w:rPr>
              <w:t>95323</w:t>
            </w:r>
          </w:p>
          <w:p w14:paraId="07ECBCEF"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sidRPr="00EA291B">
              <w:rPr>
                <w:rFonts w:ascii="宋体" w:eastAsia="宋体" w:hAnsi="宋体" w:cs="Calibri" w:hint="eastAsia"/>
                <w:color w:val="000000"/>
                <w:kern w:val="0"/>
                <w:szCs w:val="21"/>
              </w:rPr>
              <w:t>网址：</w:t>
            </w:r>
            <w:r>
              <w:rPr>
                <w:rFonts w:ascii="宋体" w:eastAsia="宋体" w:hAnsi="宋体" w:cs="Calibri" w:hint="eastAsia"/>
                <w:color w:val="000000"/>
                <w:kern w:val="0"/>
                <w:szCs w:val="21"/>
              </w:rPr>
              <w:t>www.cfsc.com.cn</w:t>
            </w:r>
          </w:p>
        </w:tc>
      </w:tr>
      <w:tr w:rsidR="00150907" w14:paraId="2E403ABC" w14:textId="77777777" w:rsidTr="005A3450">
        <w:tc>
          <w:tcPr>
            <w:tcW w:w="901" w:type="dxa"/>
          </w:tcPr>
          <w:p w14:paraId="73C80276" w14:textId="77777777" w:rsidR="00150907" w:rsidRDefault="00150907" w:rsidP="005A3450">
            <w:pPr>
              <w:spacing w:line="360" w:lineRule="auto"/>
              <w:jc w:val="center"/>
              <w:rPr>
                <w:rFonts w:ascii="宋体" w:hAnsi="宋体"/>
                <w:color w:val="000000"/>
                <w:kern w:val="0"/>
                <w:sz w:val="24"/>
              </w:rPr>
            </w:pPr>
            <w:r>
              <w:rPr>
                <w:rFonts w:ascii="宋体" w:hAnsi="宋体" w:hint="eastAsia"/>
                <w:color w:val="000000"/>
                <w:kern w:val="0"/>
                <w:sz w:val="24"/>
              </w:rPr>
              <w:t>8</w:t>
            </w:r>
          </w:p>
        </w:tc>
        <w:tc>
          <w:tcPr>
            <w:tcW w:w="3152" w:type="dxa"/>
          </w:tcPr>
          <w:p w14:paraId="5B135091" w14:textId="77777777" w:rsidR="00150907" w:rsidRPr="000465A4" w:rsidRDefault="00150907" w:rsidP="005A3450">
            <w:pPr>
              <w:spacing w:line="360" w:lineRule="auto"/>
              <w:jc w:val="center"/>
              <w:rPr>
                <w:rFonts w:asciiTheme="minorEastAsia" w:hAnsiTheme="minorEastAsia" w:cs="Arial"/>
                <w:sz w:val="24"/>
                <w:szCs w:val="24"/>
              </w:rPr>
            </w:pPr>
            <w:r w:rsidRPr="000465A4">
              <w:rPr>
                <w:rFonts w:asciiTheme="minorEastAsia" w:hAnsiTheme="minorEastAsia" w:cs="Arial" w:hint="eastAsia"/>
                <w:sz w:val="24"/>
                <w:szCs w:val="24"/>
              </w:rPr>
              <w:t>长城证券股份有限公司</w:t>
            </w:r>
          </w:p>
        </w:tc>
        <w:tc>
          <w:tcPr>
            <w:tcW w:w="4560" w:type="dxa"/>
          </w:tcPr>
          <w:p w14:paraId="0F06B381" w14:textId="77777777" w:rsidR="00150907" w:rsidRPr="00EA291B" w:rsidRDefault="00150907" w:rsidP="005A3450">
            <w:pPr>
              <w:widowControl/>
              <w:spacing w:line="360" w:lineRule="auto"/>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注册(办公)地址：</w:t>
            </w:r>
            <w:r w:rsidRPr="006E6ED8">
              <w:rPr>
                <w:rFonts w:ascii="宋体" w:eastAsia="宋体" w:hAnsi="宋体" w:cs="Calibri" w:hint="eastAsia"/>
                <w:color w:val="000000"/>
                <w:kern w:val="0"/>
                <w:szCs w:val="21"/>
              </w:rPr>
              <w:t>深圳市福田区深南大道6008号特区报业16-17楼</w:t>
            </w:r>
            <w:r w:rsidRPr="0046293D" w:rsidDel="00667353">
              <w:rPr>
                <w:rFonts w:ascii="宋体" w:eastAsia="宋体" w:hAnsi="宋体" w:cs="Calibri" w:hint="eastAsia"/>
                <w:color w:val="000000"/>
                <w:kern w:val="0"/>
                <w:szCs w:val="21"/>
              </w:rPr>
              <w:t xml:space="preserve"> </w:t>
            </w:r>
          </w:p>
          <w:p w14:paraId="0F2113C3" w14:textId="77777777" w:rsidR="00150907" w:rsidRPr="00EA291B" w:rsidRDefault="00150907" w:rsidP="005A3450">
            <w:pPr>
              <w:widowControl/>
              <w:spacing w:line="360" w:lineRule="auto"/>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客户服务电话：</w:t>
            </w:r>
            <w:r>
              <w:rPr>
                <w:rFonts w:ascii="宋体" w:eastAsia="宋体" w:hAnsi="宋体" w:cs="Calibri" w:hint="eastAsia"/>
                <w:color w:val="000000"/>
                <w:kern w:val="0"/>
                <w:szCs w:val="21"/>
              </w:rPr>
              <w:t>95514/400 6666 888</w:t>
            </w:r>
          </w:p>
          <w:p w14:paraId="02FFE6A7"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sidRPr="00EA291B">
              <w:rPr>
                <w:rFonts w:ascii="宋体" w:eastAsia="宋体" w:hAnsi="宋体" w:cs="Calibri" w:hint="eastAsia"/>
                <w:color w:val="000000"/>
                <w:kern w:val="0"/>
                <w:szCs w:val="21"/>
              </w:rPr>
              <w:t>网址：</w:t>
            </w:r>
            <w:r w:rsidRPr="006E6ED8">
              <w:rPr>
                <w:rFonts w:ascii="宋体" w:eastAsia="宋体" w:hAnsi="宋体" w:cs="Calibri"/>
                <w:color w:val="000000"/>
                <w:kern w:val="0"/>
                <w:szCs w:val="21"/>
              </w:rPr>
              <w:t>www.cgws.com</w:t>
            </w:r>
          </w:p>
        </w:tc>
      </w:tr>
      <w:tr w:rsidR="00150907" w14:paraId="489D5EC5" w14:textId="77777777" w:rsidTr="005A3450">
        <w:tc>
          <w:tcPr>
            <w:tcW w:w="901" w:type="dxa"/>
          </w:tcPr>
          <w:p w14:paraId="7119FC43" w14:textId="77777777" w:rsidR="00150907" w:rsidRDefault="00150907" w:rsidP="005A3450">
            <w:pPr>
              <w:spacing w:line="360" w:lineRule="auto"/>
              <w:jc w:val="center"/>
              <w:rPr>
                <w:rFonts w:ascii="宋体" w:hAnsi="宋体"/>
                <w:color w:val="000000"/>
                <w:kern w:val="0"/>
                <w:sz w:val="24"/>
              </w:rPr>
            </w:pPr>
            <w:r>
              <w:rPr>
                <w:rFonts w:ascii="宋体" w:hAnsi="宋体" w:hint="eastAsia"/>
                <w:color w:val="000000"/>
                <w:kern w:val="0"/>
                <w:sz w:val="24"/>
              </w:rPr>
              <w:t>9</w:t>
            </w:r>
          </w:p>
        </w:tc>
        <w:tc>
          <w:tcPr>
            <w:tcW w:w="3152" w:type="dxa"/>
          </w:tcPr>
          <w:p w14:paraId="0CEF8F81" w14:textId="77777777" w:rsidR="00150907" w:rsidRPr="000465A4" w:rsidRDefault="00150907" w:rsidP="005A3450">
            <w:pPr>
              <w:spacing w:line="360" w:lineRule="auto"/>
              <w:jc w:val="center"/>
              <w:rPr>
                <w:rFonts w:asciiTheme="minorEastAsia" w:hAnsiTheme="minorEastAsia" w:cs="Arial"/>
                <w:sz w:val="24"/>
                <w:szCs w:val="24"/>
              </w:rPr>
            </w:pPr>
            <w:r w:rsidRPr="000465A4">
              <w:rPr>
                <w:rFonts w:asciiTheme="minorEastAsia" w:hAnsiTheme="minorEastAsia" w:cs="Arial" w:hint="eastAsia"/>
                <w:sz w:val="24"/>
                <w:szCs w:val="24"/>
              </w:rPr>
              <w:t>五矿证券有限公司</w:t>
            </w:r>
          </w:p>
        </w:tc>
        <w:tc>
          <w:tcPr>
            <w:tcW w:w="4560" w:type="dxa"/>
          </w:tcPr>
          <w:p w14:paraId="5D60F066" w14:textId="77777777" w:rsidR="00150907" w:rsidRPr="00EA291B" w:rsidRDefault="00150907" w:rsidP="005A3450">
            <w:pPr>
              <w:widowControl/>
              <w:spacing w:line="360" w:lineRule="auto"/>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注册(办公)地址：</w:t>
            </w:r>
            <w:r>
              <w:rPr>
                <w:rFonts w:ascii="宋体" w:hAnsi="宋体" w:hint="eastAsia"/>
                <w:szCs w:val="21"/>
              </w:rPr>
              <w:t>深圳市福田区金田路4028号荣超经贸中心47层01单元</w:t>
            </w:r>
          </w:p>
          <w:p w14:paraId="6AF35D28" w14:textId="77777777" w:rsidR="00150907" w:rsidRPr="00EA291B" w:rsidRDefault="00150907" w:rsidP="005A3450">
            <w:pPr>
              <w:widowControl/>
              <w:spacing w:line="360" w:lineRule="auto"/>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客户服务电话：</w:t>
            </w:r>
            <w:r>
              <w:rPr>
                <w:rFonts w:ascii="宋体" w:eastAsia="宋体" w:hAnsi="宋体" w:cs="Calibri" w:hint="eastAsia"/>
                <w:color w:val="000000"/>
                <w:kern w:val="0"/>
                <w:szCs w:val="21"/>
              </w:rPr>
              <w:t>4001840028</w:t>
            </w:r>
          </w:p>
          <w:p w14:paraId="1549BB26"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sidRPr="00EA291B">
              <w:rPr>
                <w:rFonts w:ascii="宋体" w:eastAsia="宋体" w:hAnsi="宋体" w:cs="Calibri" w:hint="eastAsia"/>
                <w:color w:val="000000"/>
                <w:kern w:val="0"/>
                <w:szCs w:val="21"/>
              </w:rPr>
              <w:t>网址：</w:t>
            </w:r>
            <w:r>
              <w:rPr>
                <w:rFonts w:ascii="宋体" w:eastAsia="宋体" w:hAnsi="宋体" w:cs="Calibri" w:hint="eastAsia"/>
                <w:color w:val="000000"/>
                <w:kern w:val="0"/>
                <w:szCs w:val="21"/>
              </w:rPr>
              <w:t>www.</w:t>
            </w:r>
            <w:r>
              <w:rPr>
                <w:rFonts w:ascii="宋体" w:eastAsia="宋体" w:hAnsi="宋体" w:cs="Calibri"/>
                <w:color w:val="000000"/>
                <w:kern w:val="0"/>
                <w:szCs w:val="21"/>
              </w:rPr>
              <w:t>wkzq.com.cn</w:t>
            </w:r>
          </w:p>
        </w:tc>
      </w:tr>
      <w:tr w:rsidR="00150907" w14:paraId="106BD8E7" w14:textId="77777777" w:rsidTr="005A3450">
        <w:tc>
          <w:tcPr>
            <w:tcW w:w="901" w:type="dxa"/>
          </w:tcPr>
          <w:p w14:paraId="58498DB9" w14:textId="77777777" w:rsidR="00150907" w:rsidRDefault="00150907" w:rsidP="005A3450">
            <w:pPr>
              <w:spacing w:line="360" w:lineRule="auto"/>
              <w:jc w:val="center"/>
              <w:rPr>
                <w:rFonts w:ascii="宋体" w:hAnsi="宋体"/>
                <w:color w:val="000000"/>
                <w:kern w:val="0"/>
                <w:sz w:val="24"/>
              </w:rPr>
            </w:pPr>
            <w:r>
              <w:rPr>
                <w:rFonts w:ascii="宋体" w:hAnsi="宋体" w:hint="eastAsia"/>
                <w:color w:val="000000"/>
                <w:kern w:val="0"/>
                <w:sz w:val="24"/>
              </w:rPr>
              <w:t>10</w:t>
            </w:r>
          </w:p>
        </w:tc>
        <w:tc>
          <w:tcPr>
            <w:tcW w:w="3152" w:type="dxa"/>
          </w:tcPr>
          <w:p w14:paraId="18CECA1A" w14:textId="77777777" w:rsidR="00150907" w:rsidRDefault="00150907" w:rsidP="005A3450">
            <w:pPr>
              <w:spacing w:line="360" w:lineRule="auto"/>
              <w:jc w:val="center"/>
              <w:rPr>
                <w:rFonts w:asciiTheme="minorEastAsia" w:hAnsiTheme="minorEastAsia" w:cs="Arial"/>
                <w:sz w:val="24"/>
                <w:szCs w:val="24"/>
              </w:rPr>
            </w:pPr>
            <w:r>
              <w:rPr>
                <w:rFonts w:asciiTheme="minorEastAsia" w:hAnsiTheme="minorEastAsia" w:cs="Arial" w:hint="eastAsia"/>
                <w:sz w:val="24"/>
                <w:szCs w:val="24"/>
              </w:rPr>
              <w:t>上海基煜基金销售有限公司</w:t>
            </w:r>
          </w:p>
        </w:tc>
        <w:tc>
          <w:tcPr>
            <w:tcW w:w="4560" w:type="dxa"/>
          </w:tcPr>
          <w:p w14:paraId="502BFD65"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办公地址：上海市杨浦区昆明路518号A1002室</w:t>
            </w:r>
          </w:p>
          <w:p w14:paraId="42A4DD23"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客户服务电话：4008205369</w:t>
            </w:r>
          </w:p>
          <w:p w14:paraId="49C47290"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网址：www.jiyufund.com.cn</w:t>
            </w:r>
          </w:p>
        </w:tc>
      </w:tr>
      <w:tr w:rsidR="00150907" w14:paraId="150D559A" w14:textId="77777777" w:rsidTr="005A3450">
        <w:tc>
          <w:tcPr>
            <w:tcW w:w="901" w:type="dxa"/>
          </w:tcPr>
          <w:p w14:paraId="146CE08D" w14:textId="77777777" w:rsidR="00150907" w:rsidRDefault="00150907" w:rsidP="005A3450">
            <w:pPr>
              <w:spacing w:line="360" w:lineRule="auto"/>
              <w:jc w:val="center"/>
              <w:rPr>
                <w:rFonts w:ascii="宋体" w:hAnsi="宋体"/>
                <w:color w:val="000000"/>
                <w:kern w:val="0"/>
                <w:sz w:val="24"/>
              </w:rPr>
            </w:pPr>
            <w:r>
              <w:rPr>
                <w:rFonts w:ascii="宋体" w:hAnsi="宋体" w:hint="eastAsia"/>
                <w:color w:val="000000"/>
                <w:kern w:val="0"/>
                <w:sz w:val="24"/>
              </w:rPr>
              <w:t>11</w:t>
            </w:r>
          </w:p>
        </w:tc>
        <w:tc>
          <w:tcPr>
            <w:tcW w:w="3152" w:type="dxa"/>
          </w:tcPr>
          <w:p w14:paraId="2FEF3167" w14:textId="77777777" w:rsidR="00150907" w:rsidRDefault="00150907" w:rsidP="005A3450">
            <w:pPr>
              <w:spacing w:line="360" w:lineRule="auto"/>
              <w:jc w:val="center"/>
              <w:rPr>
                <w:rFonts w:asciiTheme="minorEastAsia" w:hAnsiTheme="minorEastAsia" w:cs="Arial"/>
                <w:sz w:val="24"/>
                <w:szCs w:val="24"/>
              </w:rPr>
            </w:pPr>
            <w:r>
              <w:rPr>
                <w:rFonts w:asciiTheme="minorEastAsia" w:hAnsiTheme="minorEastAsia" w:cs="Arial" w:hint="eastAsia"/>
                <w:sz w:val="24"/>
                <w:szCs w:val="24"/>
              </w:rPr>
              <w:t>上海好买基金销售有限公司</w:t>
            </w:r>
          </w:p>
        </w:tc>
        <w:tc>
          <w:tcPr>
            <w:tcW w:w="4560" w:type="dxa"/>
          </w:tcPr>
          <w:p w14:paraId="06470E65"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办公地址：上海市浦东南路1118号鄂尔多斯国际大厦9楼</w:t>
            </w:r>
          </w:p>
          <w:p w14:paraId="6EFFE13A"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 xml:space="preserve">客户服务电话：4007009665 </w:t>
            </w:r>
          </w:p>
          <w:p w14:paraId="6970522C"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网址：www.ehowbuy.com</w:t>
            </w:r>
          </w:p>
        </w:tc>
      </w:tr>
      <w:tr w:rsidR="00150907" w14:paraId="173A84FD" w14:textId="77777777" w:rsidTr="005A3450">
        <w:tc>
          <w:tcPr>
            <w:tcW w:w="901" w:type="dxa"/>
          </w:tcPr>
          <w:p w14:paraId="3B99B2D6" w14:textId="77777777" w:rsidR="00150907" w:rsidRDefault="00150907" w:rsidP="005A3450">
            <w:pPr>
              <w:spacing w:line="360" w:lineRule="auto"/>
              <w:jc w:val="center"/>
              <w:rPr>
                <w:rFonts w:ascii="宋体" w:hAnsi="宋体"/>
                <w:color w:val="000000"/>
                <w:kern w:val="0"/>
                <w:sz w:val="24"/>
              </w:rPr>
            </w:pPr>
            <w:r>
              <w:rPr>
                <w:rFonts w:ascii="宋体" w:hAnsi="宋体" w:hint="eastAsia"/>
                <w:color w:val="000000"/>
                <w:kern w:val="0"/>
                <w:sz w:val="24"/>
              </w:rPr>
              <w:t>12</w:t>
            </w:r>
          </w:p>
        </w:tc>
        <w:tc>
          <w:tcPr>
            <w:tcW w:w="3152" w:type="dxa"/>
          </w:tcPr>
          <w:p w14:paraId="126E96EF" w14:textId="77777777" w:rsidR="00150907" w:rsidRDefault="00150907" w:rsidP="005A3450">
            <w:pPr>
              <w:spacing w:line="360" w:lineRule="auto"/>
              <w:jc w:val="center"/>
              <w:rPr>
                <w:rFonts w:asciiTheme="minorEastAsia" w:hAnsiTheme="minorEastAsia" w:cs="Arial"/>
                <w:sz w:val="24"/>
                <w:szCs w:val="24"/>
              </w:rPr>
            </w:pPr>
            <w:r>
              <w:rPr>
                <w:rFonts w:asciiTheme="minorEastAsia" w:hAnsiTheme="minorEastAsia" w:cs="Arial" w:hint="eastAsia"/>
                <w:sz w:val="24"/>
                <w:szCs w:val="24"/>
              </w:rPr>
              <w:t>北京肯特瑞财富投资管理有限公司</w:t>
            </w:r>
          </w:p>
        </w:tc>
        <w:tc>
          <w:tcPr>
            <w:tcW w:w="4560" w:type="dxa"/>
          </w:tcPr>
          <w:p w14:paraId="37A10479"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办公地址： 北京市亦庄经济开发区科创十一街18号院A座17层</w:t>
            </w:r>
          </w:p>
          <w:p w14:paraId="373571E5"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lastRenderedPageBreak/>
              <w:t>客户服务电话：95118</w:t>
            </w:r>
          </w:p>
          <w:p w14:paraId="185F332A"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网址：www.fund.jd.com</w:t>
            </w:r>
          </w:p>
        </w:tc>
      </w:tr>
      <w:tr w:rsidR="00150907" w14:paraId="559F09B6" w14:textId="77777777" w:rsidTr="005A3450">
        <w:tc>
          <w:tcPr>
            <w:tcW w:w="901" w:type="dxa"/>
          </w:tcPr>
          <w:p w14:paraId="3B0C9043" w14:textId="77777777" w:rsidR="00150907" w:rsidRDefault="00150907" w:rsidP="005A3450">
            <w:pPr>
              <w:spacing w:line="360" w:lineRule="auto"/>
              <w:jc w:val="center"/>
              <w:rPr>
                <w:rFonts w:ascii="宋体" w:hAnsi="宋体"/>
                <w:color w:val="000000"/>
                <w:kern w:val="0"/>
                <w:sz w:val="24"/>
              </w:rPr>
            </w:pPr>
            <w:r>
              <w:rPr>
                <w:rFonts w:ascii="宋体" w:hAnsi="宋体" w:hint="eastAsia"/>
                <w:color w:val="000000"/>
                <w:kern w:val="0"/>
                <w:sz w:val="24"/>
              </w:rPr>
              <w:lastRenderedPageBreak/>
              <w:t>13</w:t>
            </w:r>
          </w:p>
        </w:tc>
        <w:tc>
          <w:tcPr>
            <w:tcW w:w="3152" w:type="dxa"/>
          </w:tcPr>
          <w:p w14:paraId="6C073693" w14:textId="77777777" w:rsidR="00150907" w:rsidRDefault="00150907" w:rsidP="005A3450">
            <w:pPr>
              <w:spacing w:line="360" w:lineRule="auto"/>
              <w:jc w:val="center"/>
              <w:rPr>
                <w:rFonts w:asciiTheme="minorEastAsia" w:hAnsiTheme="minorEastAsia" w:cs="Arial"/>
                <w:sz w:val="24"/>
                <w:szCs w:val="24"/>
              </w:rPr>
            </w:pPr>
            <w:r>
              <w:rPr>
                <w:rFonts w:asciiTheme="minorEastAsia" w:hAnsiTheme="minorEastAsia" w:cs="Arial" w:hint="eastAsia"/>
                <w:sz w:val="24"/>
                <w:szCs w:val="24"/>
              </w:rPr>
              <w:t>蚂蚁（杭州）基金销售有限公司</w:t>
            </w:r>
          </w:p>
        </w:tc>
        <w:tc>
          <w:tcPr>
            <w:tcW w:w="4560" w:type="dxa"/>
          </w:tcPr>
          <w:p w14:paraId="6BC5963E"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 xml:space="preserve">办公地址：浙江省杭州市西湖区万塘路18号黄龙时代广场B座6F </w:t>
            </w:r>
          </w:p>
          <w:p w14:paraId="1621B7A5"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客户服务电话：4000-766-123</w:t>
            </w:r>
          </w:p>
          <w:p w14:paraId="268EF6CE"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网址：www.fund123.cn</w:t>
            </w:r>
          </w:p>
        </w:tc>
      </w:tr>
      <w:tr w:rsidR="00150907" w14:paraId="41A3F47F" w14:textId="77777777" w:rsidTr="005A3450">
        <w:tc>
          <w:tcPr>
            <w:tcW w:w="901" w:type="dxa"/>
          </w:tcPr>
          <w:p w14:paraId="514472E4" w14:textId="77777777" w:rsidR="00150907" w:rsidRDefault="00150907" w:rsidP="005A3450">
            <w:pPr>
              <w:spacing w:line="360" w:lineRule="auto"/>
              <w:jc w:val="center"/>
              <w:rPr>
                <w:rFonts w:ascii="宋体" w:hAnsi="宋体"/>
                <w:color w:val="000000"/>
                <w:kern w:val="0"/>
                <w:sz w:val="24"/>
              </w:rPr>
            </w:pPr>
            <w:r>
              <w:rPr>
                <w:rFonts w:ascii="宋体" w:hAnsi="宋体" w:hint="eastAsia"/>
                <w:color w:val="000000"/>
                <w:kern w:val="0"/>
                <w:sz w:val="24"/>
              </w:rPr>
              <w:t>14</w:t>
            </w:r>
          </w:p>
        </w:tc>
        <w:tc>
          <w:tcPr>
            <w:tcW w:w="3152" w:type="dxa"/>
          </w:tcPr>
          <w:p w14:paraId="49F8849F" w14:textId="77777777" w:rsidR="00150907" w:rsidRDefault="00150907" w:rsidP="005A3450">
            <w:pPr>
              <w:spacing w:line="360" w:lineRule="auto"/>
              <w:jc w:val="center"/>
              <w:rPr>
                <w:rFonts w:asciiTheme="minorEastAsia" w:hAnsiTheme="minorEastAsia" w:cs="Arial"/>
                <w:sz w:val="24"/>
                <w:szCs w:val="24"/>
              </w:rPr>
            </w:pPr>
            <w:r>
              <w:rPr>
                <w:rFonts w:asciiTheme="minorEastAsia" w:hAnsiTheme="minorEastAsia" w:cs="Arial" w:hint="eastAsia"/>
                <w:sz w:val="24"/>
                <w:szCs w:val="24"/>
              </w:rPr>
              <w:t>浙江同花顺基金销售有限公司</w:t>
            </w:r>
          </w:p>
        </w:tc>
        <w:tc>
          <w:tcPr>
            <w:tcW w:w="4560" w:type="dxa"/>
          </w:tcPr>
          <w:p w14:paraId="5E04A1E6"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办公地址：浙江省杭州市翠柏路7号杭州电子商务产业园2楼</w:t>
            </w:r>
          </w:p>
          <w:p w14:paraId="72C3E219"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客服电话：4008-773-772 /0571-88920897</w:t>
            </w:r>
          </w:p>
          <w:p w14:paraId="5FC5C859"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网址：www.5ifund.com</w:t>
            </w:r>
          </w:p>
        </w:tc>
      </w:tr>
      <w:tr w:rsidR="00150907" w14:paraId="4FF69EED" w14:textId="77777777" w:rsidTr="005A3450">
        <w:tc>
          <w:tcPr>
            <w:tcW w:w="901" w:type="dxa"/>
          </w:tcPr>
          <w:p w14:paraId="49E770C5" w14:textId="77777777" w:rsidR="00150907" w:rsidRDefault="00150907" w:rsidP="005A3450">
            <w:pPr>
              <w:spacing w:line="360" w:lineRule="auto"/>
              <w:jc w:val="center"/>
              <w:rPr>
                <w:rFonts w:ascii="宋体" w:hAnsi="宋体"/>
                <w:color w:val="000000"/>
                <w:kern w:val="0"/>
                <w:sz w:val="24"/>
              </w:rPr>
            </w:pPr>
            <w:r>
              <w:rPr>
                <w:rFonts w:ascii="宋体" w:hAnsi="宋体" w:hint="eastAsia"/>
                <w:color w:val="000000"/>
                <w:kern w:val="0"/>
                <w:sz w:val="24"/>
              </w:rPr>
              <w:t>15</w:t>
            </w:r>
          </w:p>
        </w:tc>
        <w:tc>
          <w:tcPr>
            <w:tcW w:w="3152" w:type="dxa"/>
          </w:tcPr>
          <w:p w14:paraId="4EDE1E17" w14:textId="77777777" w:rsidR="00150907" w:rsidRDefault="00150907" w:rsidP="005A3450">
            <w:pPr>
              <w:spacing w:line="360" w:lineRule="auto"/>
              <w:jc w:val="center"/>
              <w:rPr>
                <w:rFonts w:asciiTheme="minorEastAsia" w:hAnsiTheme="minorEastAsia" w:cs="Arial"/>
                <w:sz w:val="24"/>
                <w:szCs w:val="24"/>
              </w:rPr>
            </w:pPr>
            <w:r>
              <w:rPr>
                <w:rFonts w:asciiTheme="minorEastAsia" w:hAnsiTheme="minorEastAsia" w:cs="Arial" w:hint="eastAsia"/>
                <w:sz w:val="24"/>
                <w:szCs w:val="24"/>
              </w:rPr>
              <w:t>上海陆金所资产管理有限公司</w:t>
            </w:r>
          </w:p>
        </w:tc>
        <w:tc>
          <w:tcPr>
            <w:tcW w:w="4560" w:type="dxa"/>
          </w:tcPr>
          <w:p w14:paraId="3A35411B"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办公地址：上海市浦东新区陆家嘴环路1333号14楼</w:t>
            </w:r>
          </w:p>
          <w:p w14:paraId="280F801A"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客户服务电话：4008219031</w:t>
            </w:r>
          </w:p>
          <w:p w14:paraId="75B2305F"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网址：www.lufunds.com</w:t>
            </w:r>
          </w:p>
        </w:tc>
      </w:tr>
      <w:tr w:rsidR="00150907" w14:paraId="47CDBC9B" w14:textId="77777777" w:rsidTr="005A3450">
        <w:tc>
          <w:tcPr>
            <w:tcW w:w="901" w:type="dxa"/>
          </w:tcPr>
          <w:p w14:paraId="433BD206" w14:textId="77777777" w:rsidR="00150907" w:rsidRDefault="00150907" w:rsidP="005A3450">
            <w:pPr>
              <w:spacing w:line="360" w:lineRule="auto"/>
              <w:jc w:val="center"/>
              <w:rPr>
                <w:rFonts w:ascii="宋体" w:hAnsi="宋体"/>
                <w:color w:val="000000"/>
                <w:kern w:val="0"/>
                <w:sz w:val="24"/>
              </w:rPr>
            </w:pPr>
            <w:r>
              <w:rPr>
                <w:rFonts w:ascii="宋体" w:hAnsi="宋体" w:hint="eastAsia"/>
                <w:color w:val="000000"/>
                <w:kern w:val="0"/>
                <w:sz w:val="24"/>
              </w:rPr>
              <w:t>16</w:t>
            </w:r>
          </w:p>
        </w:tc>
        <w:tc>
          <w:tcPr>
            <w:tcW w:w="3152" w:type="dxa"/>
          </w:tcPr>
          <w:p w14:paraId="68F5078B" w14:textId="77777777" w:rsidR="00150907" w:rsidRDefault="00150907" w:rsidP="005A3450">
            <w:pPr>
              <w:spacing w:line="360" w:lineRule="auto"/>
              <w:jc w:val="center"/>
              <w:rPr>
                <w:rFonts w:asciiTheme="minorEastAsia" w:hAnsiTheme="minorEastAsia" w:cs="Arial"/>
                <w:sz w:val="24"/>
                <w:szCs w:val="24"/>
              </w:rPr>
            </w:pPr>
            <w:r>
              <w:rPr>
                <w:rFonts w:asciiTheme="minorEastAsia" w:hAnsiTheme="minorEastAsia" w:cs="Arial" w:hint="eastAsia"/>
                <w:sz w:val="24"/>
                <w:szCs w:val="24"/>
              </w:rPr>
              <w:t>上海联泰资产管理有限公司</w:t>
            </w:r>
          </w:p>
        </w:tc>
        <w:tc>
          <w:tcPr>
            <w:tcW w:w="4560" w:type="dxa"/>
          </w:tcPr>
          <w:p w14:paraId="1B2F57C2"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办公地址：上海市长宁区金钟路658号2号楼B座6楼</w:t>
            </w:r>
          </w:p>
          <w:p w14:paraId="02467569"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客户服务电话：400-046-6788</w:t>
            </w:r>
          </w:p>
          <w:p w14:paraId="6412FF01"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网址：www.66zichan.com</w:t>
            </w:r>
          </w:p>
        </w:tc>
      </w:tr>
      <w:tr w:rsidR="00150907" w14:paraId="4CA5C8D5" w14:textId="77777777" w:rsidTr="005A3450">
        <w:tc>
          <w:tcPr>
            <w:tcW w:w="901" w:type="dxa"/>
          </w:tcPr>
          <w:p w14:paraId="3AC95EBA" w14:textId="77777777" w:rsidR="00150907" w:rsidRDefault="00150907" w:rsidP="005A3450">
            <w:pPr>
              <w:spacing w:line="360" w:lineRule="auto"/>
              <w:jc w:val="center"/>
              <w:rPr>
                <w:rFonts w:ascii="宋体" w:hAnsi="宋体"/>
                <w:color w:val="000000"/>
                <w:kern w:val="0"/>
                <w:sz w:val="24"/>
              </w:rPr>
            </w:pPr>
            <w:r>
              <w:rPr>
                <w:rFonts w:ascii="宋体" w:hAnsi="宋体" w:hint="eastAsia"/>
                <w:color w:val="000000"/>
                <w:kern w:val="0"/>
                <w:sz w:val="24"/>
              </w:rPr>
              <w:t>17</w:t>
            </w:r>
          </w:p>
        </w:tc>
        <w:tc>
          <w:tcPr>
            <w:tcW w:w="3152" w:type="dxa"/>
          </w:tcPr>
          <w:p w14:paraId="5A43C5EF" w14:textId="77777777" w:rsidR="00150907" w:rsidRDefault="00150907" w:rsidP="005A3450">
            <w:pPr>
              <w:spacing w:line="360" w:lineRule="auto"/>
              <w:jc w:val="center"/>
              <w:rPr>
                <w:rFonts w:asciiTheme="minorEastAsia" w:hAnsiTheme="minorEastAsia" w:cs="Arial"/>
                <w:sz w:val="24"/>
                <w:szCs w:val="24"/>
              </w:rPr>
            </w:pPr>
            <w:r>
              <w:rPr>
                <w:rFonts w:asciiTheme="minorEastAsia" w:hAnsiTheme="minorEastAsia" w:cs="Arial" w:hint="eastAsia"/>
                <w:sz w:val="24"/>
                <w:szCs w:val="24"/>
              </w:rPr>
              <w:t>上海天天基金销售有限公司</w:t>
            </w:r>
          </w:p>
        </w:tc>
        <w:tc>
          <w:tcPr>
            <w:tcW w:w="4560" w:type="dxa"/>
          </w:tcPr>
          <w:p w14:paraId="750D3CC9"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办公地址：上海市徐汇区宛平南路88号金座（北楼）25层</w:t>
            </w:r>
          </w:p>
          <w:p w14:paraId="17E1D87E"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客服电话：400-1818-188</w:t>
            </w:r>
          </w:p>
          <w:p w14:paraId="4E3B1BC9"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网址：http://www.1234567.com.cn</w:t>
            </w:r>
          </w:p>
        </w:tc>
      </w:tr>
      <w:tr w:rsidR="00150907" w14:paraId="2E0678A1" w14:textId="77777777" w:rsidTr="005A3450">
        <w:tc>
          <w:tcPr>
            <w:tcW w:w="901" w:type="dxa"/>
          </w:tcPr>
          <w:p w14:paraId="0F1672EA" w14:textId="77777777" w:rsidR="00150907" w:rsidRDefault="00150907" w:rsidP="005A3450">
            <w:pPr>
              <w:spacing w:line="360" w:lineRule="auto"/>
              <w:jc w:val="center"/>
              <w:rPr>
                <w:rFonts w:ascii="宋体" w:hAnsi="宋体"/>
                <w:color w:val="000000"/>
                <w:kern w:val="0"/>
                <w:sz w:val="24"/>
              </w:rPr>
            </w:pPr>
            <w:r>
              <w:rPr>
                <w:rFonts w:ascii="宋体" w:hAnsi="宋体" w:hint="eastAsia"/>
                <w:color w:val="000000"/>
                <w:kern w:val="0"/>
                <w:sz w:val="24"/>
              </w:rPr>
              <w:t>18</w:t>
            </w:r>
          </w:p>
        </w:tc>
        <w:tc>
          <w:tcPr>
            <w:tcW w:w="3152" w:type="dxa"/>
          </w:tcPr>
          <w:p w14:paraId="6B43452F" w14:textId="77777777" w:rsidR="00150907" w:rsidRDefault="00150907" w:rsidP="005A3450">
            <w:pPr>
              <w:spacing w:line="360" w:lineRule="auto"/>
              <w:jc w:val="center"/>
              <w:rPr>
                <w:rFonts w:asciiTheme="minorEastAsia" w:hAnsiTheme="minorEastAsia" w:cs="Arial"/>
                <w:sz w:val="24"/>
                <w:szCs w:val="24"/>
              </w:rPr>
            </w:pPr>
            <w:r>
              <w:rPr>
                <w:rFonts w:asciiTheme="minorEastAsia" w:hAnsiTheme="minorEastAsia" w:cs="Arial" w:hint="eastAsia"/>
                <w:sz w:val="24"/>
                <w:szCs w:val="24"/>
              </w:rPr>
              <w:t>珠海盈米财富管理有限公司</w:t>
            </w:r>
          </w:p>
        </w:tc>
        <w:tc>
          <w:tcPr>
            <w:tcW w:w="4560" w:type="dxa"/>
          </w:tcPr>
          <w:p w14:paraId="0EC21589"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办公地址：广州市海珠区琶洲大道东1号保利国际广场南塔12楼B1201-1203</w:t>
            </w:r>
          </w:p>
          <w:p w14:paraId="46C0ED2E"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客户服务电话：020-89629066</w:t>
            </w:r>
          </w:p>
          <w:p w14:paraId="7257D154"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网址：www.yingmi.cn</w:t>
            </w:r>
          </w:p>
        </w:tc>
      </w:tr>
      <w:tr w:rsidR="00150907" w14:paraId="0D238B0A" w14:textId="77777777" w:rsidTr="005A3450">
        <w:tc>
          <w:tcPr>
            <w:tcW w:w="901" w:type="dxa"/>
          </w:tcPr>
          <w:p w14:paraId="494E8EBB" w14:textId="77777777" w:rsidR="00150907" w:rsidRDefault="00150907" w:rsidP="005A3450">
            <w:pPr>
              <w:spacing w:line="360" w:lineRule="auto"/>
              <w:jc w:val="center"/>
              <w:rPr>
                <w:rFonts w:ascii="宋体" w:hAnsi="宋体"/>
                <w:color w:val="000000"/>
                <w:kern w:val="0"/>
                <w:sz w:val="24"/>
              </w:rPr>
            </w:pPr>
            <w:r>
              <w:rPr>
                <w:rFonts w:ascii="宋体" w:hAnsi="宋体" w:hint="eastAsia"/>
                <w:color w:val="000000"/>
                <w:kern w:val="0"/>
                <w:sz w:val="24"/>
              </w:rPr>
              <w:t>19</w:t>
            </w:r>
          </w:p>
        </w:tc>
        <w:tc>
          <w:tcPr>
            <w:tcW w:w="3152" w:type="dxa"/>
          </w:tcPr>
          <w:p w14:paraId="65C67865" w14:textId="77777777" w:rsidR="00150907" w:rsidRDefault="00150907" w:rsidP="005A3450">
            <w:pPr>
              <w:spacing w:line="360" w:lineRule="auto"/>
              <w:jc w:val="center"/>
              <w:rPr>
                <w:rFonts w:asciiTheme="minorEastAsia" w:hAnsiTheme="minorEastAsia" w:cs="Arial"/>
                <w:sz w:val="24"/>
                <w:szCs w:val="24"/>
              </w:rPr>
            </w:pPr>
            <w:r>
              <w:rPr>
                <w:rFonts w:asciiTheme="minorEastAsia" w:hAnsiTheme="minorEastAsia" w:cs="Arial" w:hint="eastAsia"/>
                <w:sz w:val="24"/>
                <w:szCs w:val="24"/>
              </w:rPr>
              <w:t>上海长量基金销售投资顾问有限公司</w:t>
            </w:r>
          </w:p>
          <w:p w14:paraId="0A059A14" w14:textId="77777777" w:rsidR="00150907" w:rsidRDefault="00150907" w:rsidP="005A3450">
            <w:pPr>
              <w:spacing w:line="360" w:lineRule="auto"/>
              <w:jc w:val="center"/>
              <w:rPr>
                <w:rFonts w:asciiTheme="minorEastAsia" w:hAnsiTheme="minorEastAsia" w:cs="Arial"/>
                <w:sz w:val="24"/>
                <w:szCs w:val="24"/>
              </w:rPr>
            </w:pPr>
          </w:p>
        </w:tc>
        <w:tc>
          <w:tcPr>
            <w:tcW w:w="4560" w:type="dxa"/>
          </w:tcPr>
          <w:p w14:paraId="13F4AD83"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办公地址：上海市浦东新区东方路1267号11层</w:t>
            </w:r>
          </w:p>
          <w:p w14:paraId="2CB12F91"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客服电话：400-820-2899</w:t>
            </w:r>
          </w:p>
          <w:p w14:paraId="247A9143"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lastRenderedPageBreak/>
              <w:t>网址：www.erichfund.com</w:t>
            </w:r>
          </w:p>
        </w:tc>
      </w:tr>
      <w:tr w:rsidR="00150907" w14:paraId="5069B643" w14:textId="77777777" w:rsidTr="005A3450">
        <w:tc>
          <w:tcPr>
            <w:tcW w:w="901" w:type="dxa"/>
          </w:tcPr>
          <w:p w14:paraId="2799ADFD" w14:textId="77777777" w:rsidR="00150907" w:rsidRDefault="00150907" w:rsidP="005A3450">
            <w:pPr>
              <w:spacing w:line="360" w:lineRule="auto"/>
              <w:jc w:val="center"/>
              <w:rPr>
                <w:rFonts w:ascii="宋体" w:hAnsi="宋体"/>
                <w:color w:val="000000"/>
                <w:kern w:val="0"/>
                <w:sz w:val="24"/>
              </w:rPr>
            </w:pPr>
            <w:r>
              <w:rPr>
                <w:rFonts w:ascii="宋体" w:hAnsi="宋体" w:hint="eastAsia"/>
                <w:color w:val="000000"/>
                <w:kern w:val="0"/>
                <w:sz w:val="24"/>
              </w:rPr>
              <w:lastRenderedPageBreak/>
              <w:t>20</w:t>
            </w:r>
          </w:p>
        </w:tc>
        <w:tc>
          <w:tcPr>
            <w:tcW w:w="3152" w:type="dxa"/>
          </w:tcPr>
          <w:p w14:paraId="4DB494F5" w14:textId="77777777" w:rsidR="00150907" w:rsidRDefault="00150907" w:rsidP="005A3450">
            <w:pPr>
              <w:spacing w:line="360" w:lineRule="auto"/>
              <w:jc w:val="center"/>
              <w:rPr>
                <w:rFonts w:asciiTheme="minorEastAsia" w:hAnsiTheme="minorEastAsia" w:cs="Arial"/>
                <w:sz w:val="24"/>
                <w:szCs w:val="24"/>
              </w:rPr>
            </w:pPr>
            <w:r>
              <w:rPr>
                <w:rFonts w:asciiTheme="minorEastAsia" w:hAnsiTheme="minorEastAsia" w:cs="Arial" w:hint="eastAsia"/>
                <w:sz w:val="24"/>
                <w:szCs w:val="24"/>
              </w:rPr>
              <w:t>北京汇成基金销售有限公司</w:t>
            </w:r>
          </w:p>
        </w:tc>
        <w:tc>
          <w:tcPr>
            <w:tcW w:w="4560" w:type="dxa"/>
          </w:tcPr>
          <w:p w14:paraId="23C350E0"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注册地址：北京市海淀区中关村大街11号11层1108客户服务电话：4006199059</w:t>
            </w:r>
          </w:p>
          <w:p w14:paraId="17025AFF"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网址：www.hcjijin.com</w:t>
            </w:r>
          </w:p>
        </w:tc>
      </w:tr>
      <w:tr w:rsidR="00150907" w14:paraId="15C9A94A" w14:textId="77777777" w:rsidTr="005A3450">
        <w:tc>
          <w:tcPr>
            <w:tcW w:w="901" w:type="dxa"/>
          </w:tcPr>
          <w:p w14:paraId="02820914" w14:textId="77777777" w:rsidR="00150907" w:rsidRDefault="00150907" w:rsidP="005A3450">
            <w:pPr>
              <w:spacing w:line="360" w:lineRule="auto"/>
              <w:jc w:val="center"/>
              <w:rPr>
                <w:rFonts w:ascii="宋体" w:hAnsi="宋体"/>
                <w:color w:val="000000"/>
                <w:kern w:val="0"/>
                <w:sz w:val="24"/>
              </w:rPr>
            </w:pPr>
            <w:r>
              <w:rPr>
                <w:rFonts w:ascii="宋体" w:hAnsi="宋体" w:hint="eastAsia"/>
                <w:color w:val="000000"/>
                <w:kern w:val="0"/>
                <w:sz w:val="24"/>
              </w:rPr>
              <w:t>21</w:t>
            </w:r>
          </w:p>
        </w:tc>
        <w:tc>
          <w:tcPr>
            <w:tcW w:w="3152" w:type="dxa"/>
          </w:tcPr>
          <w:p w14:paraId="51A2E47C" w14:textId="77777777" w:rsidR="00150907" w:rsidRDefault="00150907" w:rsidP="005A3450">
            <w:pPr>
              <w:spacing w:line="360" w:lineRule="auto"/>
              <w:jc w:val="center"/>
              <w:rPr>
                <w:rFonts w:asciiTheme="minorEastAsia" w:hAnsiTheme="minorEastAsia" w:cs="Arial"/>
                <w:sz w:val="24"/>
                <w:szCs w:val="24"/>
              </w:rPr>
            </w:pPr>
            <w:r>
              <w:rPr>
                <w:rFonts w:asciiTheme="minorEastAsia" w:hAnsiTheme="minorEastAsia" w:cs="Arial" w:hint="eastAsia"/>
                <w:sz w:val="24"/>
                <w:szCs w:val="24"/>
              </w:rPr>
              <w:t>深圳市新兰德证券投资咨询有限公司</w:t>
            </w:r>
          </w:p>
        </w:tc>
        <w:tc>
          <w:tcPr>
            <w:tcW w:w="4560" w:type="dxa"/>
          </w:tcPr>
          <w:p w14:paraId="712446EF"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办公地址：北京市西城区宣武门外大街10号庄胜广场中央办公楼东翼7层</w:t>
            </w:r>
          </w:p>
          <w:p w14:paraId="17C22029"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客户服务电话：400-166-1188</w:t>
            </w:r>
          </w:p>
          <w:p w14:paraId="0D587693"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网址：</w:t>
            </w:r>
            <w:r w:rsidRPr="007D3786">
              <w:rPr>
                <w:rFonts w:asciiTheme="minorEastAsia" w:hAnsiTheme="minorEastAsia" w:cs="Arial"/>
                <w:sz w:val="24"/>
                <w:szCs w:val="24"/>
              </w:rPr>
              <w:t>http://www.new-rand.cn/</w:t>
            </w:r>
          </w:p>
        </w:tc>
      </w:tr>
      <w:tr w:rsidR="00150907" w14:paraId="1C5F280C" w14:textId="77777777" w:rsidTr="005A3450">
        <w:tc>
          <w:tcPr>
            <w:tcW w:w="901" w:type="dxa"/>
          </w:tcPr>
          <w:p w14:paraId="74704516" w14:textId="77777777" w:rsidR="00150907" w:rsidRDefault="00150907" w:rsidP="005A3450">
            <w:pPr>
              <w:spacing w:line="360" w:lineRule="auto"/>
              <w:jc w:val="center"/>
              <w:rPr>
                <w:rFonts w:ascii="宋体" w:hAnsi="宋体"/>
                <w:color w:val="000000"/>
                <w:kern w:val="0"/>
                <w:sz w:val="24"/>
              </w:rPr>
            </w:pPr>
            <w:r>
              <w:rPr>
                <w:rFonts w:ascii="宋体" w:hAnsi="宋体" w:hint="eastAsia"/>
                <w:color w:val="000000"/>
                <w:kern w:val="0"/>
                <w:sz w:val="24"/>
              </w:rPr>
              <w:t>22</w:t>
            </w:r>
          </w:p>
        </w:tc>
        <w:tc>
          <w:tcPr>
            <w:tcW w:w="3152" w:type="dxa"/>
          </w:tcPr>
          <w:p w14:paraId="12174898" w14:textId="77777777" w:rsidR="00150907" w:rsidRDefault="00150907" w:rsidP="005A3450">
            <w:pPr>
              <w:spacing w:line="360" w:lineRule="auto"/>
              <w:jc w:val="center"/>
              <w:rPr>
                <w:rFonts w:asciiTheme="minorEastAsia" w:hAnsiTheme="minorEastAsia" w:cs="Arial"/>
                <w:sz w:val="24"/>
                <w:szCs w:val="24"/>
              </w:rPr>
            </w:pPr>
            <w:r>
              <w:rPr>
                <w:rFonts w:asciiTheme="minorEastAsia" w:hAnsiTheme="minorEastAsia" w:cs="Arial" w:hint="eastAsia"/>
                <w:sz w:val="24"/>
                <w:szCs w:val="24"/>
              </w:rPr>
              <w:t>泰诚财富基金销售（大连）有限公司</w:t>
            </w:r>
          </w:p>
        </w:tc>
        <w:tc>
          <w:tcPr>
            <w:tcW w:w="4560" w:type="dxa"/>
          </w:tcPr>
          <w:p w14:paraId="22489C67"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注册（办公）地址：辽宁省大连市沙河口区星海中龙园3号</w:t>
            </w:r>
          </w:p>
          <w:p w14:paraId="56A4E333"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客户服务电话：4006411999</w:t>
            </w:r>
          </w:p>
          <w:p w14:paraId="0EACF5D2"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网址：www.taichengcaifu.com</w:t>
            </w:r>
          </w:p>
        </w:tc>
      </w:tr>
      <w:tr w:rsidR="00150907" w14:paraId="5B7CC78B" w14:textId="77777777" w:rsidTr="005A3450">
        <w:tc>
          <w:tcPr>
            <w:tcW w:w="901" w:type="dxa"/>
          </w:tcPr>
          <w:p w14:paraId="09901507" w14:textId="77777777" w:rsidR="00150907" w:rsidRDefault="00150907" w:rsidP="005A3450">
            <w:pPr>
              <w:spacing w:line="360" w:lineRule="auto"/>
              <w:jc w:val="center"/>
              <w:rPr>
                <w:rFonts w:ascii="宋体" w:hAnsi="宋体"/>
                <w:color w:val="000000"/>
                <w:kern w:val="0"/>
                <w:sz w:val="24"/>
              </w:rPr>
            </w:pPr>
            <w:r>
              <w:rPr>
                <w:rFonts w:ascii="宋体" w:hAnsi="宋体" w:hint="eastAsia"/>
                <w:color w:val="000000"/>
                <w:kern w:val="0"/>
                <w:sz w:val="24"/>
              </w:rPr>
              <w:t>23</w:t>
            </w:r>
          </w:p>
        </w:tc>
        <w:tc>
          <w:tcPr>
            <w:tcW w:w="3152" w:type="dxa"/>
          </w:tcPr>
          <w:p w14:paraId="778357A6" w14:textId="77777777" w:rsidR="00150907" w:rsidRDefault="00150907" w:rsidP="005A3450">
            <w:pPr>
              <w:spacing w:line="360" w:lineRule="auto"/>
              <w:jc w:val="center"/>
              <w:rPr>
                <w:rFonts w:asciiTheme="minorEastAsia" w:hAnsiTheme="minorEastAsia" w:cs="Arial"/>
                <w:sz w:val="24"/>
                <w:szCs w:val="24"/>
              </w:rPr>
            </w:pPr>
            <w:r>
              <w:rPr>
                <w:rFonts w:asciiTheme="minorEastAsia" w:hAnsiTheme="minorEastAsia" w:cs="Arial" w:hint="eastAsia"/>
                <w:sz w:val="24"/>
                <w:szCs w:val="24"/>
              </w:rPr>
              <w:t>济安财富（北京）基金销售有限公司</w:t>
            </w:r>
          </w:p>
        </w:tc>
        <w:tc>
          <w:tcPr>
            <w:tcW w:w="4560" w:type="dxa"/>
          </w:tcPr>
          <w:p w14:paraId="04C67EA8"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注册</w:t>
            </w:r>
            <w:r>
              <w:rPr>
                <w:rFonts w:asciiTheme="minorEastAsia" w:hAnsiTheme="minorEastAsia" w:cs="Arial"/>
                <w:sz w:val="24"/>
                <w:szCs w:val="24"/>
              </w:rPr>
              <w:t>(</w:t>
            </w:r>
            <w:r>
              <w:rPr>
                <w:rFonts w:asciiTheme="minorEastAsia" w:hAnsiTheme="minorEastAsia" w:cs="Arial" w:hint="eastAsia"/>
                <w:sz w:val="24"/>
                <w:szCs w:val="24"/>
              </w:rPr>
              <w:t>办公</w:t>
            </w:r>
            <w:r>
              <w:rPr>
                <w:rFonts w:asciiTheme="minorEastAsia" w:hAnsiTheme="minorEastAsia" w:cs="Arial"/>
                <w:sz w:val="24"/>
                <w:szCs w:val="24"/>
              </w:rPr>
              <w:t>)</w:t>
            </w:r>
            <w:r>
              <w:rPr>
                <w:rFonts w:asciiTheme="minorEastAsia" w:hAnsiTheme="minorEastAsia" w:cs="Arial" w:hint="eastAsia"/>
                <w:sz w:val="24"/>
                <w:szCs w:val="24"/>
              </w:rPr>
              <w:t>地址：北京市朝阳区太阳宫中路</w:t>
            </w:r>
            <w:r>
              <w:rPr>
                <w:rFonts w:asciiTheme="minorEastAsia" w:hAnsiTheme="minorEastAsia" w:cs="Arial"/>
                <w:sz w:val="24"/>
                <w:szCs w:val="24"/>
              </w:rPr>
              <w:t>16</w:t>
            </w:r>
            <w:r>
              <w:rPr>
                <w:rFonts w:asciiTheme="minorEastAsia" w:hAnsiTheme="minorEastAsia" w:cs="Arial" w:hint="eastAsia"/>
                <w:sz w:val="24"/>
                <w:szCs w:val="24"/>
              </w:rPr>
              <w:t>号院</w:t>
            </w:r>
            <w:r>
              <w:rPr>
                <w:rFonts w:asciiTheme="minorEastAsia" w:hAnsiTheme="minorEastAsia" w:cs="Arial"/>
                <w:sz w:val="24"/>
                <w:szCs w:val="24"/>
              </w:rPr>
              <w:t>1</w:t>
            </w:r>
            <w:r>
              <w:rPr>
                <w:rFonts w:asciiTheme="minorEastAsia" w:hAnsiTheme="minorEastAsia" w:cs="Arial" w:hint="eastAsia"/>
                <w:sz w:val="24"/>
                <w:szCs w:val="24"/>
              </w:rPr>
              <w:t>号楼</w:t>
            </w:r>
            <w:r>
              <w:rPr>
                <w:rFonts w:asciiTheme="minorEastAsia" w:hAnsiTheme="minorEastAsia" w:cs="Arial"/>
                <w:sz w:val="24"/>
                <w:szCs w:val="24"/>
              </w:rPr>
              <w:t>3</w:t>
            </w:r>
            <w:r>
              <w:rPr>
                <w:rFonts w:asciiTheme="minorEastAsia" w:hAnsiTheme="minorEastAsia" w:cs="Arial" w:hint="eastAsia"/>
                <w:sz w:val="24"/>
                <w:szCs w:val="24"/>
              </w:rPr>
              <w:t>层</w:t>
            </w:r>
            <w:r>
              <w:rPr>
                <w:rFonts w:asciiTheme="minorEastAsia" w:hAnsiTheme="minorEastAsia" w:cs="Arial"/>
                <w:sz w:val="24"/>
                <w:szCs w:val="24"/>
              </w:rPr>
              <w:t>307</w:t>
            </w:r>
          </w:p>
          <w:p w14:paraId="4DF5B68B"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w:t>
            </w:r>
            <w:r>
              <w:rPr>
                <w:rFonts w:asciiTheme="minorEastAsia" w:hAnsiTheme="minorEastAsia" w:cs="Arial"/>
                <w:sz w:val="24"/>
                <w:szCs w:val="24"/>
              </w:rPr>
              <w:t>400-673-7010</w:t>
            </w:r>
          </w:p>
          <w:p w14:paraId="6668BF38"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网址：</w:t>
            </w:r>
            <w:hyperlink r:id="rId11" w:history="1">
              <w:r>
                <w:rPr>
                  <w:rFonts w:asciiTheme="minorEastAsia" w:hAnsiTheme="minorEastAsia"/>
                  <w:sz w:val="24"/>
                  <w:szCs w:val="24"/>
                </w:rPr>
                <w:t>www.jianfortune.com</w:t>
              </w:r>
            </w:hyperlink>
          </w:p>
        </w:tc>
      </w:tr>
      <w:tr w:rsidR="00150907" w14:paraId="38E044EB" w14:textId="77777777" w:rsidTr="005A3450">
        <w:tc>
          <w:tcPr>
            <w:tcW w:w="901" w:type="dxa"/>
          </w:tcPr>
          <w:p w14:paraId="5D001788" w14:textId="77777777" w:rsidR="00150907" w:rsidRDefault="00150907" w:rsidP="005A3450">
            <w:pPr>
              <w:spacing w:line="360" w:lineRule="auto"/>
              <w:jc w:val="center"/>
              <w:rPr>
                <w:rFonts w:ascii="宋体" w:hAnsi="宋体"/>
                <w:color w:val="000000"/>
                <w:kern w:val="0"/>
                <w:sz w:val="24"/>
              </w:rPr>
            </w:pPr>
            <w:r>
              <w:rPr>
                <w:rFonts w:ascii="宋体" w:hAnsi="宋体" w:hint="eastAsia"/>
                <w:color w:val="000000"/>
                <w:kern w:val="0"/>
                <w:sz w:val="24"/>
              </w:rPr>
              <w:t>24</w:t>
            </w:r>
          </w:p>
        </w:tc>
        <w:tc>
          <w:tcPr>
            <w:tcW w:w="3152" w:type="dxa"/>
          </w:tcPr>
          <w:p w14:paraId="679395CB" w14:textId="77777777" w:rsidR="00150907" w:rsidRDefault="00150907" w:rsidP="005A3450">
            <w:pPr>
              <w:spacing w:line="360" w:lineRule="auto"/>
              <w:jc w:val="center"/>
              <w:rPr>
                <w:rFonts w:asciiTheme="minorEastAsia" w:hAnsiTheme="minorEastAsia" w:cs="Arial"/>
                <w:sz w:val="24"/>
                <w:szCs w:val="24"/>
              </w:rPr>
            </w:pPr>
            <w:r w:rsidRPr="00DF2DA9">
              <w:rPr>
                <w:rFonts w:asciiTheme="minorEastAsia" w:hAnsiTheme="minorEastAsia" w:cs="Arial" w:hint="eastAsia"/>
                <w:sz w:val="24"/>
                <w:szCs w:val="24"/>
              </w:rPr>
              <w:t>金惠家保险代理有限公司</w:t>
            </w:r>
          </w:p>
        </w:tc>
        <w:tc>
          <w:tcPr>
            <w:tcW w:w="4560" w:type="dxa"/>
          </w:tcPr>
          <w:p w14:paraId="23E68156" w14:textId="77777777" w:rsidR="00150907" w:rsidRPr="00DF2DA9" w:rsidRDefault="00150907" w:rsidP="005A3450">
            <w:pPr>
              <w:tabs>
                <w:tab w:val="left" w:pos="540"/>
              </w:tabs>
              <w:adjustRightInd w:val="0"/>
              <w:snapToGrid w:val="0"/>
              <w:spacing w:line="360" w:lineRule="auto"/>
              <w:rPr>
                <w:rFonts w:asciiTheme="minorEastAsia" w:hAnsiTheme="minorEastAsia" w:cs="Arial"/>
                <w:sz w:val="24"/>
                <w:szCs w:val="24"/>
              </w:rPr>
            </w:pPr>
            <w:r w:rsidRPr="00DF2DA9">
              <w:rPr>
                <w:rFonts w:asciiTheme="minorEastAsia" w:hAnsiTheme="minorEastAsia" w:cs="Arial" w:hint="eastAsia"/>
                <w:sz w:val="24"/>
                <w:szCs w:val="24"/>
              </w:rPr>
              <w:t>注册(办公)地址：北京市西城区阜成门外大街2号19层A2017</w:t>
            </w:r>
          </w:p>
          <w:p w14:paraId="5CFC8BFE" w14:textId="77777777" w:rsidR="00150907" w:rsidRPr="00DF2DA9" w:rsidRDefault="00150907" w:rsidP="005A3450">
            <w:pPr>
              <w:tabs>
                <w:tab w:val="left" w:pos="540"/>
              </w:tabs>
              <w:adjustRightInd w:val="0"/>
              <w:snapToGrid w:val="0"/>
              <w:spacing w:line="360" w:lineRule="auto"/>
              <w:rPr>
                <w:rFonts w:asciiTheme="minorEastAsia" w:hAnsiTheme="minorEastAsia" w:cs="Arial"/>
                <w:sz w:val="24"/>
                <w:szCs w:val="24"/>
              </w:rPr>
            </w:pPr>
            <w:r w:rsidRPr="00DF2DA9">
              <w:rPr>
                <w:rFonts w:asciiTheme="minorEastAsia" w:hAnsiTheme="minorEastAsia" w:cs="Arial" w:hint="eastAsia"/>
                <w:sz w:val="24"/>
                <w:szCs w:val="24"/>
              </w:rPr>
              <w:t>客户服务电话：400-1060101</w:t>
            </w:r>
          </w:p>
          <w:p w14:paraId="5F93819D"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sidRPr="00DF2DA9">
              <w:rPr>
                <w:rFonts w:asciiTheme="minorEastAsia" w:hAnsiTheme="minorEastAsia" w:cs="Arial" w:hint="eastAsia"/>
                <w:sz w:val="24"/>
                <w:szCs w:val="24"/>
              </w:rPr>
              <w:t>网址：</w:t>
            </w:r>
            <w:r w:rsidRPr="00DF2DA9">
              <w:rPr>
                <w:rFonts w:asciiTheme="minorEastAsia" w:hAnsiTheme="minorEastAsia" w:cs="Arial"/>
                <w:sz w:val="24"/>
                <w:szCs w:val="24"/>
              </w:rPr>
              <w:t xml:space="preserve"> </w:t>
            </w:r>
            <w:r w:rsidRPr="00DF2DA9">
              <w:rPr>
                <w:rFonts w:asciiTheme="minorEastAsia" w:hAnsiTheme="minorEastAsia" w:cs="Arial" w:hint="eastAsia"/>
                <w:sz w:val="24"/>
                <w:szCs w:val="24"/>
              </w:rPr>
              <w:t>www.jhjfund.com</w:t>
            </w:r>
          </w:p>
        </w:tc>
      </w:tr>
      <w:tr w:rsidR="00150907" w:rsidRPr="00DF2DA9" w14:paraId="42FDA1A4" w14:textId="77777777" w:rsidTr="005A3450">
        <w:tc>
          <w:tcPr>
            <w:tcW w:w="901" w:type="dxa"/>
          </w:tcPr>
          <w:p w14:paraId="0EC0BFE5" w14:textId="77777777" w:rsidR="00150907" w:rsidRDefault="00150907" w:rsidP="005A3450">
            <w:pPr>
              <w:spacing w:line="360" w:lineRule="auto"/>
              <w:jc w:val="center"/>
              <w:rPr>
                <w:rFonts w:ascii="宋体" w:hAnsi="宋体"/>
                <w:color w:val="000000"/>
                <w:kern w:val="0"/>
                <w:sz w:val="24"/>
              </w:rPr>
            </w:pPr>
            <w:r>
              <w:rPr>
                <w:rFonts w:ascii="宋体" w:hAnsi="宋体" w:hint="eastAsia"/>
                <w:color w:val="000000"/>
                <w:kern w:val="0"/>
                <w:sz w:val="24"/>
              </w:rPr>
              <w:t>25</w:t>
            </w:r>
          </w:p>
        </w:tc>
        <w:tc>
          <w:tcPr>
            <w:tcW w:w="3152" w:type="dxa"/>
          </w:tcPr>
          <w:p w14:paraId="138E6379" w14:textId="77777777" w:rsidR="00150907" w:rsidRPr="00DF2DA9" w:rsidRDefault="00150907" w:rsidP="005A3450">
            <w:pPr>
              <w:spacing w:line="360" w:lineRule="auto"/>
              <w:jc w:val="center"/>
              <w:rPr>
                <w:rFonts w:asciiTheme="minorEastAsia" w:hAnsiTheme="minorEastAsia" w:cs="Arial"/>
                <w:sz w:val="24"/>
                <w:szCs w:val="24"/>
              </w:rPr>
            </w:pPr>
            <w:r>
              <w:rPr>
                <w:rFonts w:ascii="宋体" w:hAnsi="宋体" w:hint="eastAsia"/>
                <w:color w:val="000000" w:themeColor="text1"/>
                <w:szCs w:val="21"/>
              </w:rPr>
              <w:t>民商基金销售（上海）有限公司</w:t>
            </w:r>
          </w:p>
        </w:tc>
        <w:tc>
          <w:tcPr>
            <w:tcW w:w="4560" w:type="dxa"/>
          </w:tcPr>
          <w:p w14:paraId="588AE409" w14:textId="77777777" w:rsidR="00150907" w:rsidRDefault="00150907" w:rsidP="005A3450">
            <w:pPr>
              <w:widowControl/>
              <w:spacing w:line="360" w:lineRule="auto"/>
              <w:jc w:val="center"/>
              <w:rPr>
                <w:rFonts w:ascii="Arial" w:hAnsi="Arial" w:cs="Arial"/>
                <w:color w:val="000000"/>
                <w:szCs w:val="21"/>
              </w:rPr>
            </w:pPr>
            <w:r>
              <w:rPr>
                <w:rFonts w:ascii="Arial" w:hAnsi="Arial" w:cs="Arial" w:hint="eastAsia"/>
                <w:color w:val="000000"/>
                <w:szCs w:val="21"/>
              </w:rPr>
              <w:t>注册</w:t>
            </w:r>
            <w:r>
              <w:rPr>
                <w:rFonts w:ascii="Arial" w:hAnsi="Arial" w:cs="Arial"/>
                <w:color w:val="000000"/>
                <w:szCs w:val="21"/>
              </w:rPr>
              <w:t>(</w:t>
            </w:r>
            <w:r>
              <w:rPr>
                <w:rFonts w:ascii="Arial" w:hAnsi="Arial" w:cs="Arial" w:hint="eastAsia"/>
                <w:color w:val="000000"/>
                <w:szCs w:val="21"/>
              </w:rPr>
              <w:t>办公</w:t>
            </w:r>
            <w:r>
              <w:rPr>
                <w:rFonts w:ascii="Arial" w:hAnsi="Arial" w:cs="Arial"/>
                <w:color w:val="000000"/>
                <w:szCs w:val="21"/>
              </w:rPr>
              <w:t>)</w:t>
            </w:r>
            <w:r>
              <w:rPr>
                <w:rFonts w:ascii="Arial" w:hAnsi="Arial" w:cs="Arial" w:hint="eastAsia"/>
                <w:color w:val="000000"/>
                <w:szCs w:val="21"/>
              </w:rPr>
              <w:t>地址：上海黄浦区北京东路</w:t>
            </w:r>
            <w:r>
              <w:rPr>
                <w:rFonts w:ascii="Arial" w:hAnsi="Arial" w:cs="Arial"/>
                <w:color w:val="000000"/>
                <w:szCs w:val="21"/>
              </w:rPr>
              <w:t>666</w:t>
            </w:r>
            <w:r>
              <w:rPr>
                <w:rFonts w:ascii="Arial" w:hAnsi="Arial" w:cs="Arial" w:hint="eastAsia"/>
                <w:color w:val="000000"/>
                <w:szCs w:val="21"/>
              </w:rPr>
              <w:t>号</w:t>
            </w:r>
            <w:r>
              <w:rPr>
                <w:rFonts w:ascii="Arial" w:hAnsi="Arial" w:cs="Arial"/>
                <w:color w:val="000000"/>
                <w:szCs w:val="21"/>
              </w:rPr>
              <w:t>H</w:t>
            </w:r>
            <w:r>
              <w:rPr>
                <w:rFonts w:ascii="Arial" w:hAnsi="Arial" w:cs="Arial" w:hint="eastAsia"/>
                <w:color w:val="000000"/>
                <w:szCs w:val="21"/>
              </w:rPr>
              <w:t>区（东座）</w:t>
            </w:r>
            <w:r>
              <w:rPr>
                <w:rFonts w:ascii="Arial" w:hAnsi="Arial" w:cs="Arial"/>
                <w:color w:val="000000"/>
                <w:szCs w:val="21"/>
              </w:rPr>
              <w:t>6</w:t>
            </w:r>
            <w:r>
              <w:rPr>
                <w:rFonts w:ascii="Arial" w:hAnsi="Arial" w:cs="Arial" w:hint="eastAsia"/>
                <w:color w:val="000000"/>
                <w:szCs w:val="21"/>
              </w:rPr>
              <w:t>楼</w:t>
            </w:r>
            <w:r>
              <w:rPr>
                <w:rFonts w:ascii="Arial" w:hAnsi="Arial" w:cs="Arial"/>
                <w:color w:val="000000"/>
                <w:szCs w:val="21"/>
              </w:rPr>
              <w:t>A31</w:t>
            </w:r>
            <w:r>
              <w:rPr>
                <w:rFonts w:ascii="Arial" w:hAnsi="Arial" w:cs="Arial" w:hint="eastAsia"/>
                <w:color w:val="000000"/>
                <w:szCs w:val="21"/>
              </w:rPr>
              <w:t>室</w:t>
            </w:r>
          </w:p>
          <w:p w14:paraId="635B0742" w14:textId="77777777" w:rsidR="00150907" w:rsidRDefault="00150907" w:rsidP="005A3450">
            <w:pPr>
              <w:widowControl/>
              <w:spacing w:line="360" w:lineRule="auto"/>
              <w:jc w:val="center"/>
              <w:rPr>
                <w:rFonts w:ascii="Arial" w:hAnsi="Arial" w:cs="Arial"/>
                <w:color w:val="000000"/>
                <w:szCs w:val="21"/>
              </w:rPr>
            </w:pPr>
            <w:r>
              <w:rPr>
                <w:rFonts w:ascii="Arial" w:hAnsi="Arial" w:cs="Arial" w:hint="eastAsia"/>
                <w:color w:val="000000"/>
                <w:szCs w:val="21"/>
              </w:rPr>
              <w:t>客户服务电话：</w:t>
            </w:r>
            <w:r>
              <w:rPr>
                <w:rFonts w:ascii="Arial" w:hAnsi="Arial" w:cs="Arial"/>
                <w:color w:val="000000"/>
                <w:szCs w:val="21"/>
              </w:rPr>
              <w:t>021-50206003</w:t>
            </w:r>
          </w:p>
          <w:p w14:paraId="36324E96" w14:textId="77777777" w:rsidR="00150907" w:rsidRPr="00DF2DA9" w:rsidRDefault="00150907" w:rsidP="005A3450">
            <w:pPr>
              <w:tabs>
                <w:tab w:val="left" w:pos="540"/>
              </w:tabs>
              <w:adjustRightInd w:val="0"/>
              <w:snapToGrid w:val="0"/>
              <w:spacing w:line="360" w:lineRule="auto"/>
              <w:jc w:val="center"/>
              <w:rPr>
                <w:rFonts w:asciiTheme="minorEastAsia" w:hAnsiTheme="minorEastAsia" w:cs="Arial"/>
                <w:sz w:val="24"/>
                <w:szCs w:val="24"/>
              </w:rPr>
            </w:pPr>
            <w:r>
              <w:rPr>
                <w:rFonts w:ascii="Arial" w:hAnsi="Arial" w:cs="Arial" w:hint="eastAsia"/>
                <w:color w:val="000000"/>
                <w:szCs w:val="21"/>
              </w:rPr>
              <w:t>网址：</w:t>
            </w:r>
            <w:r>
              <w:rPr>
                <w:rFonts w:ascii="Arial" w:hAnsi="Arial" w:cs="Arial"/>
                <w:color w:val="000000"/>
                <w:szCs w:val="21"/>
              </w:rPr>
              <w:t>http://www.msftec.com</w:t>
            </w:r>
          </w:p>
        </w:tc>
      </w:tr>
      <w:tr w:rsidR="00150907" w:rsidRPr="00DF2DA9" w14:paraId="45BFA8A1" w14:textId="77777777" w:rsidTr="005A3450">
        <w:tc>
          <w:tcPr>
            <w:tcW w:w="901" w:type="dxa"/>
          </w:tcPr>
          <w:p w14:paraId="172EDF8E" w14:textId="77777777" w:rsidR="00150907" w:rsidRPr="005F469D" w:rsidRDefault="00150907" w:rsidP="005A3450">
            <w:pPr>
              <w:spacing w:line="360" w:lineRule="auto"/>
              <w:jc w:val="center"/>
              <w:rPr>
                <w:rFonts w:ascii="宋体" w:hAnsi="宋体"/>
                <w:color w:val="000000"/>
                <w:kern w:val="0"/>
                <w:sz w:val="24"/>
              </w:rPr>
            </w:pPr>
            <w:r>
              <w:rPr>
                <w:rFonts w:ascii="宋体" w:hAnsi="宋体" w:hint="eastAsia"/>
                <w:color w:val="000000"/>
                <w:sz w:val="24"/>
              </w:rPr>
              <w:t>26</w:t>
            </w:r>
          </w:p>
        </w:tc>
        <w:tc>
          <w:tcPr>
            <w:tcW w:w="3152" w:type="dxa"/>
          </w:tcPr>
          <w:p w14:paraId="7C430F4B" w14:textId="77777777" w:rsidR="00150907" w:rsidRPr="00DF2DA9" w:rsidRDefault="00150907" w:rsidP="005A3450">
            <w:pPr>
              <w:spacing w:line="360" w:lineRule="auto"/>
              <w:jc w:val="center"/>
              <w:rPr>
                <w:rFonts w:asciiTheme="minorEastAsia" w:hAnsiTheme="minorEastAsia" w:cs="Arial"/>
                <w:sz w:val="24"/>
                <w:szCs w:val="24"/>
              </w:rPr>
            </w:pPr>
            <w:r>
              <w:rPr>
                <w:rFonts w:ascii="宋体" w:hAnsi="宋体" w:hint="eastAsia"/>
                <w:color w:val="000000" w:themeColor="text1"/>
                <w:szCs w:val="21"/>
              </w:rPr>
              <w:t>大连网金基金销售有限公司</w:t>
            </w:r>
          </w:p>
        </w:tc>
        <w:tc>
          <w:tcPr>
            <w:tcW w:w="4560" w:type="dxa"/>
          </w:tcPr>
          <w:p w14:paraId="33AE9FBE" w14:textId="77777777" w:rsidR="00150907" w:rsidRDefault="00150907" w:rsidP="005A3450">
            <w:pPr>
              <w:widowControl/>
              <w:spacing w:line="360" w:lineRule="auto"/>
              <w:jc w:val="center"/>
              <w:rPr>
                <w:rFonts w:ascii="Arial" w:hAnsi="Arial" w:cs="Arial"/>
                <w:color w:val="000000"/>
                <w:szCs w:val="21"/>
              </w:rPr>
            </w:pPr>
            <w:r>
              <w:rPr>
                <w:rFonts w:ascii="Arial" w:hAnsi="Arial" w:cs="Arial" w:hint="eastAsia"/>
                <w:color w:val="000000"/>
                <w:szCs w:val="21"/>
              </w:rPr>
              <w:t>注册</w:t>
            </w:r>
            <w:r>
              <w:rPr>
                <w:rFonts w:ascii="Arial" w:hAnsi="Arial" w:cs="Arial"/>
                <w:color w:val="000000"/>
                <w:szCs w:val="21"/>
              </w:rPr>
              <w:t>(</w:t>
            </w:r>
            <w:r>
              <w:rPr>
                <w:rFonts w:ascii="Arial" w:hAnsi="Arial" w:cs="Arial" w:hint="eastAsia"/>
                <w:color w:val="000000"/>
                <w:szCs w:val="21"/>
              </w:rPr>
              <w:t>办公</w:t>
            </w:r>
            <w:r>
              <w:rPr>
                <w:rFonts w:ascii="Arial" w:hAnsi="Arial" w:cs="Arial"/>
                <w:color w:val="000000"/>
                <w:szCs w:val="21"/>
              </w:rPr>
              <w:t>)</w:t>
            </w:r>
            <w:r>
              <w:rPr>
                <w:rFonts w:ascii="Arial" w:hAnsi="Arial" w:cs="Arial" w:hint="eastAsia"/>
                <w:color w:val="000000"/>
                <w:szCs w:val="21"/>
              </w:rPr>
              <w:t>地址：大连市沙河口区体坛路</w:t>
            </w:r>
            <w:r>
              <w:rPr>
                <w:rFonts w:ascii="Arial" w:hAnsi="Arial" w:cs="Arial"/>
                <w:color w:val="000000"/>
                <w:szCs w:val="21"/>
              </w:rPr>
              <w:t>22</w:t>
            </w:r>
            <w:r>
              <w:rPr>
                <w:rFonts w:ascii="Arial" w:hAnsi="Arial" w:cs="Arial" w:hint="eastAsia"/>
                <w:color w:val="000000"/>
                <w:szCs w:val="21"/>
              </w:rPr>
              <w:t>号诺德大厦</w:t>
            </w:r>
            <w:r>
              <w:rPr>
                <w:rFonts w:ascii="Arial" w:hAnsi="Arial" w:cs="Arial"/>
                <w:color w:val="000000"/>
                <w:szCs w:val="21"/>
              </w:rPr>
              <w:t>2</w:t>
            </w:r>
            <w:r>
              <w:rPr>
                <w:rFonts w:ascii="Arial" w:hAnsi="Arial" w:cs="Arial" w:hint="eastAsia"/>
                <w:color w:val="000000"/>
                <w:szCs w:val="21"/>
              </w:rPr>
              <w:t>层</w:t>
            </w:r>
          </w:p>
          <w:p w14:paraId="4D32FA4A" w14:textId="77777777" w:rsidR="00150907" w:rsidRDefault="00150907" w:rsidP="005A3450">
            <w:pPr>
              <w:widowControl/>
              <w:spacing w:line="360" w:lineRule="auto"/>
              <w:jc w:val="center"/>
              <w:rPr>
                <w:rFonts w:ascii="Arial" w:hAnsi="Arial" w:cs="Arial"/>
                <w:color w:val="000000"/>
                <w:szCs w:val="21"/>
              </w:rPr>
            </w:pPr>
            <w:r>
              <w:rPr>
                <w:rFonts w:ascii="Arial" w:hAnsi="Arial" w:cs="Arial" w:hint="eastAsia"/>
                <w:color w:val="000000"/>
                <w:szCs w:val="21"/>
              </w:rPr>
              <w:t>客户服务电话：</w:t>
            </w:r>
            <w:r>
              <w:rPr>
                <w:rFonts w:ascii="Arial" w:hAnsi="Arial" w:cs="Arial"/>
                <w:color w:val="000000"/>
                <w:szCs w:val="21"/>
              </w:rPr>
              <w:t>4000-899-100</w:t>
            </w:r>
          </w:p>
          <w:p w14:paraId="37B8C08D" w14:textId="77777777" w:rsidR="00150907" w:rsidRPr="00DF2DA9" w:rsidRDefault="00150907" w:rsidP="005A3450">
            <w:pPr>
              <w:tabs>
                <w:tab w:val="left" w:pos="540"/>
              </w:tabs>
              <w:adjustRightInd w:val="0"/>
              <w:snapToGrid w:val="0"/>
              <w:spacing w:line="360" w:lineRule="auto"/>
              <w:jc w:val="center"/>
              <w:rPr>
                <w:rFonts w:asciiTheme="minorEastAsia" w:hAnsiTheme="minorEastAsia" w:cs="Arial"/>
                <w:sz w:val="24"/>
                <w:szCs w:val="24"/>
              </w:rPr>
            </w:pPr>
            <w:r>
              <w:rPr>
                <w:rFonts w:ascii="Arial" w:hAnsi="Arial" w:cs="Arial" w:hint="eastAsia"/>
                <w:color w:val="000000"/>
                <w:szCs w:val="21"/>
              </w:rPr>
              <w:t>网址：</w:t>
            </w:r>
            <w:r>
              <w:rPr>
                <w:rFonts w:ascii="Arial" w:hAnsi="Arial" w:cs="Arial"/>
                <w:color w:val="000000"/>
                <w:szCs w:val="21"/>
              </w:rPr>
              <w:t xml:space="preserve"> http://www.yibaijin.com/</w:t>
            </w:r>
          </w:p>
        </w:tc>
      </w:tr>
      <w:tr w:rsidR="00150907" w:rsidRPr="00DF2DA9" w14:paraId="6CE8A6CF" w14:textId="77777777" w:rsidTr="005A3450">
        <w:tc>
          <w:tcPr>
            <w:tcW w:w="901" w:type="dxa"/>
          </w:tcPr>
          <w:p w14:paraId="64B5064C" w14:textId="77777777" w:rsidR="00150907" w:rsidRPr="005F469D" w:rsidRDefault="00150907" w:rsidP="005A3450">
            <w:pPr>
              <w:spacing w:line="360" w:lineRule="auto"/>
              <w:jc w:val="center"/>
              <w:rPr>
                <w:rFonts w:ascii="宋体" w:hAnsi="宋体"/>
                <w:color w:val="000000"/>
                <w:kern w:val="0"/>
                <w:sz w:val="24"/>
              </w:rPr>
            </w:pPr>
            <w:r>
              <w:rPr>
                <w:rFonts w:ascii="宋体" w:hAnsi="宋体" w:hint="eastAsia"/>
                <w:color w:val="000000"/>
                <w:sz w:val="24"/>
              </w:rPr>
              <w:t>27</w:t>
            </w:r>
          </w:p>
        </w:tc>
        <w:tc>
          <w:tcPr>
            <w:tcW w:w="3152" w:type="dxa"/>
          </w:tcPr>
          <w:p w14:paraId="0FBF7B56" w14:textId="77777777" w:rsidR="00150907" w:rsidRPr="00DF2DA9" w:rsidRDefault="00150907" w:rsidP="005A3450">
            <w:pPr>
              <w:spacing w:line="360" w:lineRule="auto"/>
              <w:jc w:val="center"/>
              <w:rPr>
                <w:rFonts w:asciiTheme="minorEastAsia" w:hAnsiTheme="minorEastAsia" w:cs="Arial"/>
                <w:sz w:val="24"/>
                <w:szCs w:val="24"/>
              </w:rPr>
            </w:pPr>
            <w:r>
              <w:rPr>
                <w:rFonts w:ascii="宋体" w:hAnsi="宋体" w:hint="eastAsia"/>
                <w:color w:val="000000" w:themeColor="text1"/>
                <w:szCs w:val="21"/>
              </w:rPr>
              <w:t>扬州国信嘉利基金销售有限公</w:t>
            </w:r>
            <w:r>
              <w:rPr>
                <w:rFonts w:ascii="宋体" w:hAnsi="宋体" w:hint="eastAsia"/>
                <w:color w:val="000000" w:themeColor="text1"/>
                <w:szCs w:val="21"/>
              </w:rPr>
              <w:lastRenderedPageBreak/>
              <w:t>司</w:t>
            </w:r>
          </w:p>
        </w:tc>
        <w:tc>
          <w:tcPr>
            <w:tcW w:w="4560" w:type="dxa"/>
          </w:tcPr>
          <w:p w14:paraId="3FEB5108" w14:textId="77777777" w:rsidR="00150907" w:rsidRDefault="00150907" w:rsidP="005A3450">
            <w:pPr>
              <w:widowControl/>
              <w:spacing w:line="360" w:lineRule="auto"/>
              <w:jc w:val="center"/>
              <w:rPr>
                <w:rFonts w:ascii="Arial" w:hAnsi="Arial" w:cs="Arial"/>
                <w:color w:val="000000"/>
                <w:szCs w:val="21"/>
              </w:rPr>
            </w:pPr>
            <w:r>
              <w:rPr>
                <w:rFonts w:ascii="Arial" w:hAnsi="Arial" w:cs="Arial" w:hint="eastAsia"/>
                <w:color w:val="000000"/>
                <w:szCs w:val="21"/>
              </w:rPr>
              <w:lastRenderedPageBreak/>
              <w:t>注册</w:t>
            </w:r>
            <w:r>
              <w:rPr>
                <w:rFonts w:ascii="Arial" w:hAnsi="Arial" w:cs="Arial"/>
                <w:color w:val="000000"/>
                <w:szCs w:val="21"/>
              </w:rPr>
              <w:t>(</w:t>
            </w:r>
            <w:r>
              <w:rPr>
                <w:rFonts w:ascii="Arial" w:hAnsi="Arial" w:cs="Arial" w:hint="eastAsia"/>
                <w:color w:val="000000"/>
                <w:szCs w:val="21"/>
              </w:rPr>
              <w:t>办公</w:t>
            </w:r>
            <w:r>
              <w:rPr>
                <w:rFonts w:ascii="Arial" w:hAnsi="Arial" w:cs="Arial"/>
                <w:color w:val="000000"/>
                <w:szCs w:val="21"/>
              </w:rPr>
              <w:t>)</w:t>
            </w:r>
            <w:r>
              <w:rPr>
                <w:rFonts w:ascii="Arial" w:hAnsi="Arial" w:cs="Arial" w:hint="eastAsia"/>
                <w:color w:val="000000"/>
                <w:szCs w:val="21"/>
              </w:rPr>
              <w:t>地址：扬州市广陵新城信息产业基地</w:t>
            </w:r>
            <w:r>
              <w:rPr>
                <w:rFonts w:ascii="Arial" w:hAnsi="Arial" w:cs="Arial"/>
                <w:color w:val="000000"/>
                <w:szCs w:val="21"/>
              </w:rPr>
              <w:lastRenderedPageBreak/>
              <w:t>3</w:t>
            </w:r>
            <w:r>
              <w:rPr>
                <w:rFonts w:ascii="Arial" w:hAnsi="Arial" w:cs="Arial" w:hint="eastAsia"/>
                <w:color w:val="000000"/>
                <w:szCs w:val="21"/>
              </w:rPr>
              <w:t>期</w:t>
            </w:r>
            <w:r>
              <w:rPr>
                <w:rFonts w:ascii="Arial" w:hAnsi="Arial" w:cs="Arial"/>
                <w:color w:val="000000"/>
                <w:szCs w:val="21"/>
              </w:rPr>
              <w:t>20B</w:t>
            </w:r>
            <w:r>
              <w:rPr>
                <w:rFonts w:ascii="Arial" w:hAnsi="Arial" w:cs="Arial" w:hint="eastAsia"/>
                <w:color w:val="000000"/>
                <w:szCs w:val="21"/>
              </w:rPr>
              <w:t>栋</w:t>
            </w:r>
          </w:p>
          <w:p w14:paraId="419081FD" w14:textId="77777777" w:rsidR="00150907" w:rsidRDefault="00150907" w:rsidP="005A3450">
            <w:pPr>
              <w:widowControl/>
              <w:spacing w:line="360" w:lineRule="auto"/>
              <w:jc w:val="center"/>
              <w:rPr>
                <w:rFonts w:ascii="Arial" w:hAnsi="Arial" w:cs="Arial"/>
                <w:color w:val="000000"/>
                <w:szCs w:val="21"/>
              </w:rPr>
            </w:pPr>
            <w:r>
              <w:rPr>
                <w:rFonts w:ascii="Arial" w:hAnsi="Arial" w:cs="Arial" w:hint="eastAsia"/>
                <w:color w:val="000000"/>
                <w:szCs w:val="21"/>
              </w:rPr>
              <w:t>客户服务电话：</w:t>
            </w:r>
            <w:r>
              <w:rPr>
                <w:rFonts w:ascii="Arial" w:hAnsi="Arial" w:cs="Arial"/>
                <w:color w:val="000000"/>
                <w:szCs w:val="21"/>
              </w:rPr>
              <w:t>400 021 6088</w:t>
            </w:r>
          </w:p>
          <w:p w14:paraId="5FD797D5" w14:textId="77777777" w:rsidR="00150907" w:rsidRPr="00DF2DA9" w:rsidRDefault="00150907" w:rsidP="005A3450">
            <w:pPr>
              <w:tabs>
                <w:tab w:val="left" w:pos="540"/>
              </w:tabs>
              <w:adjustRightInd w:val="0"/>
              <w:snapToGrid w:val="0"/>
              <w:spacing w:line="360" w:lineRule="auto"/>
              <w:jc w:val="center"/>
              <w:rPr>
                <w:rFonts w:asciiTheme="minorEastAsia" w:hAnsiTheme="minorEastAsia" w:cs="Arial"/>
                <w:sz w:val="24"/>
                <w:szCs w:val="24"/>
              </w:rPr>
            </w:pPr>
            <w:r>
              <w:rPr>
                <w:rFonts w:ascii="Arial" w:hAnsi="Arial" w:cs="Arial" w:hint="eastAsia"/>
                <w:color w:val="000000"/>
                <w:szCs w:val="21"/>
              </w:rPr>
              <w:t>网址：</w:t>
            </w:r>
            <w:r>
              <w:rPr>
                <w:rFonts w:ascii="Arial" w:hAnsi="Arial" w:cs="Arial"/>
                <w:color w:val="000000"/>
                <w:szCs w:val="21"/>
              </w:rPr>
              <w:t>www.gxjlcn.com</w:t>
            </w:r>
          </w:p>
        </w:tc>
      </w:tr>
      <w:tr w:rsidR="00150907" w:rsidRPr="00DF2DA9" w14:paraId="04A6910D" w14:textId="77777777" w:rsidTr="005A3450">
        <w:tc>
          <w:tcPr>
            <w:tcW w:w="901" w:type="dxa"/>
          </w:tcPr>
          <w:p w14:paraId="34544AA3" w14:textId="77777777" w:rsidR="00150907" w:rsidRPr="005F469D" w:rsidRDefault="00150907" w:rsidP="005A3450">
            <w:pPr>
              <w:spacing w:line="360" w:lineRule="auto"/>
              <w:jc w:val="center"/>
              <w:rPr>
                <w:rFonts w:ascii="宋体" w:hAnsi="宋体"/>
                <w:color w:val="000000"/>
                <w:kern w:val="0"/>
                <w:sz w:val="24"/>
              </w:rPr>
            </w:pPr>
            <w:r>
              <w:rPr>
                <w:rFonts w:ascii="宋体" w:hAnsi="宋体" w:hint="eastAsia"/>
                <w:color w:val="000000"/>
                <w:sz w:val="24"/>
              </w:rPr>
              <w:lastRenderedPageBreak/>
              <w:t>28</w:t>
            </w:r>
          </w:p>
        </w:tc>
        <w:tc>
          <w:tcPr>
            <w:tcW w:w="3152" w:type="dxa"/>
          </w:tcPr>
          <w:p w14:paraId="20C0175F" w14:textId="77777777" w:rsidR="00150907" w:rsidRPr="00DF2DA9" w:rsidRDefault="00150907" w:rsidP="005A3450">
            <w:pPr>
              <w:spacing w:line="360" w:lineRule="auto"/>
              <w:jc w:val="center"/>
              <w:rPr>
                <w:rFonts w:asciiTheme="minorEastAsia" w:hAnsiTheme="minorEastAsia" w:cs="Arial"/>
                <w:sz w:val="24"/>
                <w:szCs w:val="24"/>
              </w:rPr>
            </w:pPr>
            <w:r w:rsidRPr="00814881">
              <w:rPr>
                <w:rFonts w:ascii="宋体" w:hAnsi="宋体" w:hint="eastAsia"/>
                <w:color w:val="000000" w:themeColor="text1"/>
                <w:szCs w:val="21"/>
              </w:rPr>
              <w:t>深圳众禄基金销售股份有限公司</w:t>
            </w:r>
          </w:p>
        </w:tc>
        <w:tc>
          <w:tcPr>
            <w:tcW w:w="4560" w:type="dxa"/>
          </w:tcPr>
          <w:p w14:paraId="044D6E48" w14:textId="77777777" w:rsidR="00150907" w:rsidRDefault="00150907" w:rsidP="005A3450">
            <w:pPr>
              <w:spacing w:line="400" w:lineRule="exact"/>
              <w:jc w:val="center"/>
              <w:rPr>
                <w:rFonts w:ascii="Arial" w:hAnsi="Arial" w:cs="Arial"/>
              </w:rPr>
            </w:pPr>
            <w:r>
              <w:rPr>
                <w:rFonts w:ascii="宋体" w:hAnsi="宋体" w:hint="eastAsia"/>
              </w:rPr>
              <w:t>注册（办公）地址：深圳市罗湖区梨园路物资控股置地大厦8楼</w:t>
            </w:r>
          </w:p>
          <w:p w14:paraId="298C80AC" w14:textId="77777777" w:rsidR="00150907" w:rsidRDefault="00150907" w:rsidP="005A3450">
            <w:pPr>
              <w:spacing w:line="400" w:lineRule="exact"/>
              <w:jc w:val="center"/>
              <w:rPr>
                <w:rFonts w:ascii="Arial" w:hAnsi="Arial" w:cs="Arial"/>
              </w:rPr>
            </w:pPr>
            <w:r>
              <w:rPr>
                <w:rFonts w:ascii="宋体" w:hAnsi="宋体" w:hint="eastAsia"/>
              </w:rPr>
              <w:t>客户服务电话：</w:t>
            </w:r>
            <w:r>
              <w:rPr>
                <w:rFonts w:ascii="Arial" w:hAnsi="Arial" w:cs="Arial"/>
              </w:rPr>
              <w:t>4006-788-887</w:t>
            </w:r>
          </w:p>
          <w:p w14:paraId="0E310906" w14:textId="77777777" w:rsidR="00150907" w:rsidRDefault="00150907" w:rsidP="005A3450">
            <w:pPr>
              <w:spacing w:line="400" w:lineRule="exact"/>
              <w:jc w:val="center"/>
              <w:rPr>
                <w:rFonts w:ascii="Arial" w:hAnsi="Arial" w:cs="Arial"/>
              </w:rPr>
            </w:pPr>
            <w:r>
              <w:rPr>
                <w:rFonts w:ascii="宋体" w:hAnsi="宋体" w:hint="eastAsia"/>
              </w:rPr>
              <w:t>网址：众禄基金网</w:t>
            </w:r>
            <w:r>
              <w:rPr>
                <w:rFonts w:ascii="Arial" w:hAnsi="Arial" w:cs="Arial"/>
              </w:rPr>
              <w:t xml:space="preserve"> </w:t>
            </w:r>
            <w:hyperlink r:id="rId12" w:history="1">
              <w:r w:rsidRPr="0047542B">
                <w:rPr>
                  <w:rFonts w:ascii="Arial" w:hAnsi="Arial" w:cs="Arial"/>
                  <w:szCs w:val="21"/>
                </w:rPr>
                <w:t>www.zlfund.cn</w:t>
              </w:r>
            </w:hyperlink>
          </w:p>
          <w:p w14:paraId="0A33EA0C" w14:textId="77777777" w:rsidR="00150907" w:rsidRPr="00DF2DA9" w:rsidRDefault="00150907" w:rsidP="005A3450">
            <w:pPr>
              <w:tabs>
                <w:tab w:val="left" w:pos="540"/>
              </w:tabs>
              <w:adjustRightInd w:val="0"/>
              <w:snapToGrid w:val="0"/>
              <w:spacing w:line="360" w:lineRule="auto"/>
              <w:jc w:val="center"/>
              <w:rPr>
                <w:rFonts w:asciiTheme="minorEastAsia" w:hAnsiTheme="minorEastAsia" w:cs="Arial"/>
                <w:sz w:val="24"/>
                <w:szCs w:val="24"/>
              </w:rPr>
            </w:pPr>
            <w:r>
              <w:rPr>
                <w:rFonts w:ascii="宋体" w:hAnsi="宋体" w:hint="eastAsia"/>
              </w:rPr>
              <w:t>基金买卖网</w:t>
            </w:r>
            <w:r w:rsidRPr="0047542B">
              <w:rPr>
                <w:rFonts w:ascii="Arial" w:hAnsi="Arial" w:cs="Arial"/>
                <w:szCs w:val="21"/>
              </w:rPr>
              <w:t xml:space="preserve"> </w:t>
            </w:r>
            <w:hyperlink r:id="rId13" w:history="1">
              <w:r w:rsidRPr="0047542B">
                <w:rPr>
                  <w:rFonts w:ascii="Arial" w:hAnsi="Arial" w:cs="Arial"/>
                  <w:szCs w:val="21"/>
                </w:rPr>
                <w:t>www.jjmmw.com</w:t>
              </w:r>
            </w:hyperlink>
          </w:p>
        </w:tc>
      </w:tr>
      <w:tr w:rsidR="00150907" w14:paraId="7F35F57F" w14:textId="77777777" w:rsidTr="005A3450">
        <w:tc>
          <w:tcPr>
            <w:tcW w:w="901" w:type="dxa"/>
          </w:tcPr>
          <w:p w14:paraId="0517462A" w14:textId="77777777" w:rsidR="00150907" w:rsidRDefault="00150907" w:rsidP="005A3450">
            <w:pPr>
              <w:spacing w:line="360" w:lineRule="auto"/>
              <w:rPr>
                <w:rFonts w:ascii="宋体" w:hAnsi="宋体"/>
                <w:color w:val="000000"/>
                <w:sz w:val="24"/>
              </w:rPr>
            </w:pPr>
            <w:r>
              <w:rPr>
                <w:rFonts w:ascii="宋体" w:hAnsi="宋体" w:hint="eastAsia"/>
                <w:color w:val="000000"/>
                <w:sz w:val="24"/>
              </w:rPr>
              <w:t xml:space="preserve">  29</w:t>
            </w:r>
          </w:p>
        </w:tc>
        <w:tc>
          <w:tcPr>
            <w:tcW w:w="3152" w:type="dxa"/>
          </w:tcPr>
          <w:p w14:paraId="68EB73B3" w14:textId="77777777" w:rsidR="00150907" w:rsidRPr="00814881" w:rsidRDefault="00150907" w:rsidP="005A3450">
            <w:pPr>
              <w:spacing w:line="360" w:lineRule="auto"/>
              <w:jc w:val="center"/>
              <w:rPr>
                <w:rFonts w:ascii="宋体" w:hAnsi="宋体"/>
                <w:color w:val="000000" w:themeColor="text1"/>
                <w:szCs w:val="21"/>
              </w:rPr>
            </w:pPr>
            <w:r w:rsidRPr="000465A4">
              <w:rPr>
                <w:rFonts w:ascii="宋体" w:hAnsi="宋体" w:hint="eastAsia"/>
                <w:color w:val="000000" w:themeColor="text1"/>
                <w:szCs w:val="21"/>
              </w:rPr>
              <w:t>北京蛋卷基金销售有限公司</w:t>
            </w:r>
          </w:p>
        </w:tc>
        <w:tc>
          <w:tcPr>
            <w:tcW w:w="4560" w:type="dxa"/>
          </w:tcPr>
          <w:p w14:paraId="2BC28DF1" w14:textId="77777777" w:rsidR="00150907" w:rsidRDefault="00150907" w:rsidP="005A3450">
            <w:pPr>
              <w:widowControl/>
              <w:spacing w:line="360" w:lineRule="auto"/>
              <w:jc w:val="left"/>
              <w:rPr>
                <w:rFonts w:ascii="Arial" w:hAnsi="Arial" w:cs="Arial"/>
                <w:color w:val="000000"/>
                <w:kern w:val="0"/>
                <w:szCs w:val="21"/>
              </w:rPr>
            </w:pPr>
            <w:r>
              <w:rPr>
                <w:rFonts w:ascii="Arial" w:hAnsi="Arial" w:cs="Arial" w:hint="eastAsia"/>
                <w:color w:val="000000"/>
                <w:kern w:val="0"/>
                <w:szCs w:val="21"/>
              </w:rPr>
              <w:t>注册</w:t>
            </w:r>
            <w:r>
              <w:rPr>
                <w:rFonts w:ascii="Arial" w:hAnsi="Arial" w:cs="Arial" w:hint="eastAsia"/>
                <w:color w:val="000000"/>
                <w:kern w:val="0"/>
                <w:szCs w:val="21"/>
              </w:rPr>
              <w:t>(</w:t>
            </w:r>
            <w:r>
              <w:rPr>
                <w:rFonts w:ascii="Arial" w:hAnsi="Arial" w:cs="Arial" w:hint="eastAsia"/>
                <w:color w:val="000000"/>
                <w:kern w:val="0"/>
                <w:szCs w:val="21"/>
              </w:rPr>
              <w:t>办公</w:t>
            </w:r>
            <w:r>
              <w:rPr>
                <w:rFonts w:ascii="Arial" w:hAnsi="Arial" w:cs="Arial" w:hint="eastAsia"/>
                <w:color w:val="000000"/>
                <w:kern w:val="0"/>
                <w:szCs w:val="21"/>
              </w:rPr>
              <w:t>)</w:t>
            </w:r>
            <w:r>
              <w:rPr>
                <w:rFonts w:ascii="Arial" w:hAnsi="Arial" w:cs="Arial" w:hint="eastAsia"/>
                <w:color w:val="000000"/>
                <w:kern w:val="0"/>
                <w:szCs w:val="21"/>
              </w:rPr>
              <w:t>地址：</w:t>
            </w:r>
            <w:r w:rsidRPr="00D70BF7">
              <w:rPr>
                <w:rFonts w:ascii="Arial" w:hAnsi="Arial" w:cs="Arial" w:hint="eastAsia"/>
                <w:color w:val="000000"/>
                <w:kern w:val="0"/>
                <w:szCs w:val="21"/>
              </w:rPr>
              <w:t>北京市朝阳区阜通东大街</w:t>
            </w:r>
            <w:r w:rsidRPr="00D70BF7">
              <w:rPr>
                <w:rFonts w:ascii="Arial" w:hAnsi="Arial" w:cs="Arial" w:hint="eastAsia"/>
                <w:color w:val="000000"/>
                <w:kern w:val="0"/>
                <w:szCs w:val="21"/>
              </w:rPr>
              <w:t>1</w:t>
            </w:r>
            <w:r w:rsidRPr="00D70BF7">
              <w:rPr>
                <w:rFonts w:ascii="Arial" w:hAnsi="Arial" w:cs="Arial" w:hint="eastAsia"/>
                <w:color w:val="000000"/>
                <w:kern w:val="0"/>
                <w:szCs w:val="21"/>
              </w:rPr>
              <w:t>号院</w:t>
            </w:r>
            <w:r w:rsidRPr="00D70BF7">
              <w:rPr>
                <w:rFonts w:ascii="Arial" w:hAnsi="Arial" w:cs="Arial" w:hint="eastAsia"/>
                <w:color w:val="000000"/>
                <w:kern w:val="0"/>
                <w:szCs w:val="21"/>
              </w:rPr>
              <w:t>6</w:t>
            </w:r>
            <w:r w:rsidRPr="00D70BF7">
              <w:rPr>
                <w:rFonts w:ascii="Arial" w:hAnsi="Arial" w:cs="Arial" w:hint="eastAsia"/>
                <w:color w:val="000000"/>
                <w:kern w:val="0"/>
                <w:szCs w:val="21"/>
              </w:rPr>
              <w:t>号楼</w:t>
            </w:r>
            <w:r w:rsidRPr="00D70BF7">
              <w:rPr>
                <w:rFonts w:ascii="Arial" w:hAnsi="Arial" w:cs="Arial" w:hint="eastAsia"/>
                <w:color w:val="000000"/>
                <w:kern w:val="0"/>
                <w:szCs w:val="21"/>
              </w:rPr>
              <w:t>2</w:t>
            </w:r>
            <w:r w:rsidRPr="00D70BF7">
              <w:rPr>
                <w:rFonts w:ascii="Arial" w:hAnsi="Arial" w:cs="Arial" w:hint="eastAsia"/>
                <w:color w:val="000000"/>
                <w:kern w:val="0"/>
                <w:szCs w:val="21"/>
              </w:rPr>
              <w:t>单元</w:t>
            </w:r>
            <w:r w:rsidRPr="00D70BF7">
              <w:rPr>
                <w:rFonts w:ascii="Arial" w:hAnsi="Arial" w:cs="Arial" w:hint="eastAsia"/>
                <w:color w:val="000000"/>
                <w:kern w:val="0"/>
                <w:szCs w:val="21"/>
              </w:rPr>
              <w:t>21</w:t>
            </w:r>
            <w:r w:rsidRPr="00D70BF7">
              <w:rPr>
                <w:rFonts w:ascii="Arial" w:hAnsi="Arial" w:cs="Arial" w:hint="eastAsia"/>
                <w:color w:val="000000"/>
                <w:kern w:val="0"/>
                <w:szCs w:val="21"/>
              </w:rPr>
              <w:t>层</w:t>
            </w:r>
            <w:r w:rsidRPr="00D70BF7">
              <w:rPr>
                <w:rFonts w:ascii="Arial" w:hAnsi="Arial" w:cs="Arial" w:hint="eastAsia"/>
                <w:color w:val="000000"/>
                <w:kern w:val="0"/>
                <w:szCs w:val="21"/>
              </w:rPr>
              <w:t>222507</w:t>
            </w:r>
          </w:p>
          <w:p w14:paraId="61CC3050" w14:textId="77777777" w:rsidR="00150907" w:rsidRDefault="00150907" w:rsidP="005A3450">
            <w:pPr>
              <w:widowControl/>
              <w:spacing w:line="360" w:lineRule="auto"/>
              <w:jc w:val="left"/>
              <w:rPr>
                <w:rFonts w:ascii="Arial" w:hAnsi="Arial" w:cs="Arial"/>
                <w:color w:val="000000"/>
                <w:kern w:val="0"/>
                <w:szCs w:val="21"/>
              </w:rPr>
            </w:pPr>
            <w:r>
              <w:rPr>
                <w:rFonts w:ascii="Arial" w:hAnsi="Arial" w:cs="Arial" w:hint="eastAsia"/>
                <w:color w:val="000000"/>
                <w:kern w:val="0"/>
                <w:szCs w:val="21"/>
              </w:rPr>
              <w:t>客户服务电话：</w:t>
            </w:r>
            <w:r w:rsidRPr="00D70BF7">
              <w:rPr>
                <w:rFonts w:ascii="宋体" w:eastAsia="宋体" w:hAnsi="宋体" w:cs="Calibri"/>
                <w:color w:val="000000"/>
                <w:kern w:val="0"/>
                <w:szCs w:val="21"/>
              </w:rPr>
              <w:t>400-159-9288</w:t>
            </w:r>
          </w:p>
          <w:p w14:paraId="71665E20" w14:textId="77777777" w:rsidR="00150907" w:rsidRDefault="00150907" w:rsidP="005A3450">
            <w:pPr>
              <w:spacing w:line="400" w:lineRule="exact"/>
              <w:rPr>
                <w:rFonts w:ascii="宋体" w:hAnsi="宋体"/>
              </w:rPr>
            </w:pPr>
            <w:r>
              <w:rPr>
                <w:rFonts w:ascii="Arial" w:hAnsi="Arial" w:cs="Arial" w:hint="eastAsia"/>
                <w:color w:val="000000"/>
                <w:kern w:val="0"/>
                <w:szCs w:val="21"/>
              </w:rPr>
              <w:t>网址：</w:t>
            </w:r>
            <w:r w:rsidRPr="00D70BF7">
              <w:rPr>
                <w:rFonts w:ascii="Arial" w:hAnsi="Arial" w:cs="Arial"/>
                <w:color w:val="000000"/>
                <w:kern w:val="0"/>
                <w:szCs w:val="21"/>
              </w:rPr>
              <w:t>https://danjuanapp.com/</w:t>
            </w:r>
          </w:p>
        </w:tc>
      </w:tr>
      <w:tr w:rsidR="00150907" w14:paraId="155184E4" w14:textId="77777777" w:rsidTr="005A3450">
        <w:tc>
          <w:tcPr>
            <w:tcW w:w="901" w:type="dxa"/>
          </w:tcPr>
          <w:p w14:paraId="5417FD59" w14:textId="77777777" w:rsidR="00150907" w:rsidRDefault="00150907" w:rsidP="005A3450">
            <w:pPr>
              <w:spacing w:line="360" w:lineRule="auto"/>
              <w:jc w:val="center"/>
              <w:rPr>
                <w:rFonts w:ascii="宋体" w:hAnsi="宋体"/>
                <w:color w:val="000000"/>
                <w:sz w:val="24"/>
              </w:rPr>
            </w:pPr>
            <w:r>
              <w:rPr>
                <w:rFonts w:ascii="宋体" w:hAnsi="宋体" w:hint="eastAsia"/>
                <w:color w:val="000000"/>
                <w:sz w:val="24"/>
              </w:rPr>
              <w:t>30</w:t>
            </w:r>
          </w:p>
        </w:tc>
        <w:tc>
          <w:tcPr>
            <w:tcW w:w="3152" w:type="dxa"/>
          </w:tcPr>
          <w:p w14:paraId="375F350C" w14:textId="77777777" w:rsidR="00150907" w:rsidRPr="00814881" w:rsidRDefault="00150907" w:rsidP="005A3450">
            <w:pPr>
              <w:spacing w:line="360" w:lineRule="auto"/>
              <w:jc w:val="center"/>
              <w:rPr>
                <w:rFonts w:ascii="宋体" w:hAnsi="宋体"/>
                <w:color w:val="000000" w:themeColor="text1"/>
                <w:szCs w:val="21"/>
              </w:rPr>
            </w:pPr>
            <w:r w:rsidRPr="000465A4">
              <w:rPr>
                <w:rFonts w:ascii="宋体" w:hAnsi="宋体" w:hint="eastAsia"/>
                <w:color w:val="000000" w:themeColor="text1"/>
                <w:szCs w:val="21"/>
              </w:rPr>
              <w:t>北京恒天明泽基金销售有限公司</w:t>
            </w:r>
          </w:p>
        </w:tc>
        <w:tc>
          <w:tcPr>
            <w:tcW w:w="4560" w:type="dxa"/>
          </w:tcPr>
          <w:p w14:paraId="5A82CE8C" w14:textId="77777777" w:rsidR="00150907" w:rsidRDefault="00150907" w:rsidP="005A3450">
            <w:pPr>
              <w:widowControl/>
              <w:spacing w:line="360" w:lineRule="auto"/>
              <w:jc w:val="left"/>
              <w:rPr>
                <w:rFonts w:ascii="Arial" w:hAnsi="Arial" w:cs="Arial"/>
                <w:color w:val="000000"/>
                <w:kern w:val="0"/>
                <w:szCs w:val="21"/>
              </w:rPr>
            </w:pPr>
            <w:r>
              <w:rPr>
                <w:rFonts w:ascii="Arial" w:hAnsi="Arial" w:cs="Arial" w:hint="eastAsia"/>
                <w:color w:val="000000"/>
                <w:kern w:val="0"/>
                <w:szCs w:val="21"/>
              </w:rPr>
              <w:t>办公地址地址：北京市朝阳区东三环北路甲</w:t>
            </w:r>
            <w:r>
              <w:rPr>
                <w:rFonts w:ascii="Arial" w:hAnsi="Arial" w:cs="Arial" w:hint="eastAsia"/>
                <w:color w:val="000000"/>
                <w:kern w:val="0"/>
                <w:szCs w:val="21"/>
              </w:rPr>
              <w:t>19</w:t>
            </w:r>
            <w:r>
              <w:rPr>
                <w:rFonts w:ascii="Arial" w:hAnsi="Arial" w:cs="Arial" w:hint="eastAsia"/>
                <w:color w:val="000000"/>
                <w:kern w:val="0"/>
                <w:szCs w:val="21"/>
              </w:rPr>
              <w:t>号</w:t>
            </w:r>
            <w:r>
              <w:rPr>
                <w:rFonts w:ascii="Arial" w:hAnsi="Arial" w:cs="Arial" w:hint="eastAsia"/>
                <w:color w:val="000000"/>
                <w:kern w:val="0"/>
                <w:szCs w:val="21"/>
              </w:rPr>
              <w:t>SOHO</w:t>
            </w:r>
            <w:r>
              <w:rPr>
                <w:rFonts w:ascii="Arial" w:hAnsi="Arial" w:cs="Arial" w:hint="eastAsia"/>
                <w:color w:val="000000"/>
                <w:kern w:val="0"/>
                <w:szCs w:val="21"/>
              </w:rPr>
              <w:t>嘉盛中心</w:t>
            </w:r>
            <w:r>
              <w:rPr>
                <w:rFonts w:ascii="Arial" w:hAnsi="Arial" w:cs="Arial" w:hint="eastAsia"/>
                <w:color w:val="000000"/>
                <w:kern w:val="0"/>
                <w:szCs w:val="21"/>
              </w:rPr>
              <w:t>30</w:t>
            </w:r>
            <w:r>
              <w:rPr>
                <w:rFonts w:ascii="Arial" w:hAnsi="Arial" w:cs="Arial" w:hint="eastAsia"/>
                <w:color w:val="000000"/>
                <w:kern w:val="0"/>
                <w:szCs w:val="21"/>
              </w:rPr>
              <w:t>层</w:t>
            </w:r>
            <w:r>
              <w:rPr>
                <w:rFonts w:ascii="Arial" w:hAnsi="Arial" w:cs="Arial" w:hint="eastAsia"/>
                <w:color w:val="000000"/>
                <w:kern w:val="0"/>
                <w:szCs w:val="21"/>
              </w:rPr>
              <w:t>3006-3015</w:t>
            </w:r>
            <w:r>
              <w:rPr>
                <w:rFonts w:ascii="Arial" w:hAnsi="Arial" w:cs="Arial" w:hint="eastAsia"/>
                <w:color w:val="000000"/>
                <w:kern w:val="0"/>
                <w:szCs w:val="21"/>
              </w:rPr>
              <w:t>室</w:t>
            </w:r>
          </w:p>
          <w:p w14:paraId="673AABBF" w14:textId="77777777" w:rsidR="00150907" w:rsidRDefault="00150907" w:rsidP="005A3450">
            <w:pPr>
              <w:widowControl/>
              <w:spacing w:line="360" w:lineRule="auto"/>
              <w:jc w:val="left"/>
              <w:rPr>
                <w:rFonts w:ascii="Arial" w:hAnsi="Arial" w:cs="Arial"/>
                <w:color w:val="000000"/>
                <w:kern w:val="0"/>
                <w:szCs w:val="21"/>
              </w:rPr>
            </w:pPr>
            <w:r>
              <w:rPr>
                <w:rFonts w:ascii="Arial" w:hAnsi="Arial" w:cs="Arial" w:hint="eastAsia"/>
                <w:color w:val="000000"/>
                <w:kern w:val="0"/>
                <w:szCs w:val="21"/>
              </w:rPr>
              <w:t>客户服务电话：</w:t>
            </w:r>
            <w:r>
              <w:rPr>
                <w:rFonts w:ascii="Arial" w:hAnsi="Arial" w:cs="Arial" w:hint="eastAsia"/>
                <w:color w:val="000000"/>
                <w:kern w:val="0"/>
                <w:szCs w:val="21"/>
              </w:rPr>
              <w:t>4008980618</w:t>
            </w:r>
          </w:p>
          <w:p w14:paraId="50DBA4E3" w14:textId="77777777" w:rsidR="00150907" w:rsidRDefault="00150907" w:rsidP="005A3450">
            <w:pPr>
              <w:spacing w:line="400" w:lineRule="exact"/>
              <w:rPr>
                <w:rFonts w:ascii="宋体" w:hAnsi="宋体"/>
              </w:rPr>
            </w:pPr>
            <w:r>
              <w:rPr>
                <w:rFonts w:ascii="Arial" w:hAnsi="Arial" w:cs="Arial" w:hint="eastAsia"/>
                <w:color w:val="000000"/>
                <w:kern w:val="0"/>
                <w:szCs w:val="21"/>
              </w:rPr>
              <w:t>网址：</w:t>
            </w:r>
            <w:r>
              <w:rPr>
                <w:rFonts w:ascii="Arial" w:hAnsi="Arial" w:cs="Arial" w:hint="eastAsia"/>
                <w:color w:val="000000"/>
                <w:kern w:val="0"/>
                <w:szCs w:val="21"/>
              </w:rPr>
              <w:t>www.chtwm.com</w:t>
            </w:r>
          </w:p>
        </w:tc>
      </w:tr>
      <w:tr w:rsidR="00150907" w:rsidRPr="00DD245C" w14:paraId="37930872" w14:textId="77777777" w:rsidTr="005A3450">
        <w:tc>
          <w:tcPr>
            <w:tcW w:w="901" w:type="dxa"/>
          </w:tcPr>
          <w:p w14:paraId="7363CBEF" w14:textId="77777777" w:rsidR="00150907" w:rsidRDefault="00150907" w:rsidP="005A3450">
            <w:pPr>
              <w:spacing w:line="360" w:lineRule="auto"/>
              <w:jc w:val="center"/>
              <w:rPr>
                <w:rFonts w:ascii="宋体" w:hAnsi="宋体"/>
                <w:color w:val="000000"/>
                <w:sz w:val="24"/>
              </w:rPr>
            </w:pPr>
            <w:r>
              <w:rPr>
                <w:rFonts w:ascii="宋体" w:hAnsi="宋体" w:hint="eastAsia"/>
                <w:color w:val="000000"/>
                <w:sz w:val="24"/>
              </w:rPr>
              <w:t>31</w:t>
            </w:r>
          </w:p>
        </w:tc>
        <w:tc>
          <w:tcPr>
            <w:tcW w:w="3152" w:type="dxa"/>
          </w:tcPr>
          <w:p w14:paraId="56937700" w14:textId="77777777" w:rsidR="00150907" w:rsidRPr="00814881" w:rsidRDefault="00150907" w:rsidP="005A3450">
            <w:pPr>
              <w:spacing w:line="360" w:lineRule="auto"/>
              <w:jc w:val="center"/>
              <w:rPr>
                <w:rFonts w:ascii="宋体" w:hAnsi="宋体"/>
                <w:color w:val="000000" w:themeColor="text1"/>
                <w:szCs w:val="21"/>
              </w:rPr>
            </w:pPr>
            <w:r w:rsidRPr="000465A4">
              <w:rPr>
                <w:rFonts w:ascii="宋体" w:hAnsi="宋体" w:hint="eastAsia"/>
                <w:color w:val="000000" w:themeColor="text1"/>
                <w:szCs w:val="21"/>
              </w:rPr>
              <w:t>深圳前海财厚基金销售有限公司</w:t>
            </w:r>
          </w:p>
        </w:tc>
        <w:tc>
          <w:tcPr>
            <w:tcW w:w="4560" w:type="dxa"/>
          </w:tcPr>
          <w:p w14:paraId="7249197B" w14:textId="77777777" w:rsidR="00150907" w:rsidRPr="00A918A5" w:rsidRDefault="00150907" w:rsidP="005A3450">
            <w:pPr>
              <w:widowControl/>
              <w:spacing w:line="360" w:lineRule="auto"/>
              <w:jc w:val="left"/>
              <w:rPr>
                <w:rFonts w:ascii="宋体" w:eastAsia="宋体" w:hAnsi="宋体" w:cs="Calibri"/>
                <w:color w:val="000000"/>
                <w:kern w:val="0"/>
                <w:szCs w:val="21"/>
              </w:rPr>
            </w:pPr>
            <w:r w:rsidRPr="00A918A5">
              <w:rPr>
                <w:rFonts w:ascii="宋体" w:eastAsia="宋体" w:hAnsi="宋体" w:cs="Calibri" w:hint="eastAsia"/>
                <w:color w:val="000000"/>
                <w:kern w:val="0"/>
                <w:szCs w:val="21"/>
              </w:rPr>
              <w:t>办公地址：广东省深圳市南山区高新南十道 深圳湾科技生态园三区11栋A座3608室</w:t>
            </w:r>
          </w:p>
          <w:p w14:paraId="796385C2" w14:textId="77777777" w:rsidR="00150907" w:rsidRDefault="00150907" w:rsidP="005A3450">
            <w:pPr>
              <w:widowControl/>
              <w:spacing w:line="360" w:lineRule="auto"/>
              <w:jc w:val="left"/>
              <w:rPr>
                <w:rFonts w:ascii="宋体" w:eastAsia="宋体" w:hAnsi="宋体" w:cs="Calibri"/>
                <w:color w:val="000000"/>
                <w:kern w:val="0"/>
                <w:szCs w:val="21"/>
              </w:rPr>
            </w:pPr>
            <w:r w:rsidRPr="00A918A5">
              <w:rPr>
                <w:rFonts w:ascii="宋体" w:eastAsia="宋体" w:hAnsi="宋体" w:cs="Calibri" w:hint="eastAsia"/>
                <w:color w:val="000000"/>
                <w:kern w:val="0"/>
                <w:szCs w:val="21"/>
              </w:rPr>
              <w:t>客户服务电话：400-128-6800</w:t>
            </w:r>
          </w:p>
          <w:p w14:paraId="7A0F49E6" w14:textId="77777777" w:rsidR="00150907" w:rsidRPr="00DD245C" w:rsidRDefault="00150907" w:rsidP="005A3450">
            <w:pPr>
              <w:widowControl/>
              <w:spacing w:line="360" w:lineRule="auto"/>
              <w:jc w:val="left"/>
              <w:rPr>
                <w:rFonts w:ascii="宋体" w:eastAsia="宋体" w:hAnsi="宋体" w:cs="Calibri"/>
                <w:color w:val="000000"/>
                <w:kern w:val="0"/>
                <w:szCs w:val="21"/>
              </w:rPr>
            </w:pPr>
            <w:r w:rsidRPr="00A918A5">
              <w:rPr>
                <w:rFonts w:ascii="宋体" w:eastAsia="宋体" w:hAnsi="宋体" w:cs="Calibri" w:hint="eastAsia"/>
                <w:color w:val="000000"/>
                <w:kern w:val="0"/>
                <w:szCs w:val="21"/>
              </w:rPr>
              <w:t>网址：</w:t>
            </w:r>
            <w:r w:rsidRPr="00A918A5">
              <w:rPr>
                <w:rFonts w:ascii="宋体" w:eastAsia="宋体" w:hAnsi="宋体" w:cs="Calibri"/>
                <w:color w:val="000000"/>
                <w:kern w:val="0"/>
                <w:szCs w:val="21"/>
              </w:rPr>
              <w:t>caiho.cn</w:t>
            </w:r>
          </w:p>
        </w:tc>
      </w:tr>
      <w:tr w:rsidR="00150907" w14:paraId="3860B232" w14:textId="77777777" w:rsidTr="005A3450">
        <w:tc>
          <w:tcPr>
            <w:tcW w:w="901" w:type="dxa"/>
          </w:tcPr>
          <w:p w14:paraId="1EB7DC0D" w14:textId="77777777" w:rsidR="00150907" w:rsidRDefault="00150907" w:rsidP="005A3450">
            <w:pPr>
              <w:spacing w:line="360" w:lineRule="auto"/>
              <w:jc w:val="center"/>
              <w:rPr>
                <w:rFonts w:ascii="宋体" w:hAnsi="宋体"/>
                <w:color w:val="000000"/>
                <w:sz w:val="24"/>
              </w:rPr>
            </w:pPr>
            <w:r>
              <w:rPr>
                <w:rFonts w:ascii="宋体" w:hAnsi="宋体" w:hint="eastAsia"/>
                <w:color w:val="000000"/>
                <w:sz w:val="24"/>
              </w:rPr>
              <w:t>32</w:t>
            </w:r>
          </w:p>
        </w:tc>
        <w:tc>
          <w:tcPr>
            <w:tcW w:w="3152" w:type="dxa"/>
          </w:tcPr>
          <w:p w14:paraId="0E81A203" w14:textId="77777777" w:rsidR="00150907" w:rsidRPr="00814881" w:rsidRDefault="00150907" w:rsidP="005A3450">
            <w:pPr>
              <w:spacing w:line="360" w:lineRule="auto"/>
              <w:jc w:val="center"/>
              <w:rPr>
                <w:rFonts w:ascii="宋体" w:hAnsi="宋体"/>
                <w:color w:val="000000" w:themeColor="text1"/>
                <w:szCs w:val="21"/>
              </w:rPr>
            </w:pPr>
            <w:r w:rsidRPr="000465A4">
              <w:rPr>
                <w:rFonts w:ascii="宋体" w:hAnsi="宋体" w:hint="eastAsia"/>
                <w:color w:val="000000" w:themeColor="text1"/>
                <w:szCs w:val="21"/>
              </w:rPr>
              <w:t>深圳盈信基金销售有限公司</w:t>
            </w:r>
          </w:p>
        </w:tc>
        <w:tc>
          <w:tcPr>
            <w:tcW w:w="4560" w:type="dxa"/>
          </w:tcPr>
          <w:p w14:paraId="1E3104EA" w14:textId="77777777" w:rsidR="00150907" w:rsidRPr="00EA291B" w:rsidRDefault="00150907" w:rsidP="005A3450">
            <w:pPr>
              <w:widowControl/>
              <w:spacing w:line="360" w:lineRule="auto"/>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注册(办公)地址：</w:t>
            </w:r>
            <w:r w:rsidRPr="003A65B9">
              <w:rPr>
                <w:rFonts w:ascii="宋体" w:eastAsia="宋体" w:hAnsi="宋体" w:cs="Calibri" w:hint="eastAsia"/>
                <w:color w:val="000000"/>
                <w:kern w:val="0"/>
                <w:szCs w:val="21"/>
              </w:rPr>
              <w:t>深圳市福田区莲花街道商报东路英龙商务大厦8楼A-1（811-812）</w:t>
            </w:r>
          </w:p>
          <w:p w14:paraId="599644D8" w14:textId="77777777" w:rsidR="00150907" w:rsidRPr="00EA291B" w:rsidRDefault="00150907" w:rsidP="005A3450">
            <w:pPr>
              <w:widowControl/>
              <w:spacing w:line="360" w:lineRule="auto"/>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客户服务电话：</w:t>
            </w:r>
            <w:r w:rsidRPr="003A65B9">
              <w:rPr>
                <w:rFonts w:ascii="宋体" w:eastAsia="宋体" w:hAnsi="宋体" w:cs="Calibri"/>
                <w:color w:val="000000"/>
                <w:kern w:val="0"/>
                <w:szCs w:val="21"/>
              </w:rPr>
              <w:t>4007-903-688</w:t>
            </w:r>
          </w:p>
          <w:p w14:paraId="74DC0961" w14:textId="77777777" w:rsidR="00150907" w:rsidRDefault="00150907" w:rsidP="005A3450">
            <w:pPr>
              <w:spacing w:line="400" w:lineRule="exact"/>
              <w:rPr>
                <w:rFonts w:ascii="宋体" w:hAnsi="宋体"/>
              </w:rPr>
            </w:pPr>
            <w:r w:rsidRPr="00EA291B">
              <w:rPr>
                <w:rFonts w:ascii="宋体" w:eastAsia="宋体" w:hAnsi="宋体" w:cs="Calibri" w:hint="eastAsia"/>
                <w:color w:val="000000"/>
                <w:kern w:val="0"/>
                <w:szCs w:val="21"/>
              </w:rPr>
              <w:t>网址：</w:t>
            </w:r>
            <w:r w:rsidRPr="00EA291B" w:rsidDel="00EA291B">
              <w:rPr>
                <w:rFonts w:ascii="宋体" w:eastAsia="宋体" w:hAnsi="宋体" w:cs="Calibri"/>
                <w:color w:val="000000"/>
                <w:kern w:val="0"/>
                <w:szCs w:val="21"/>
              </w:rPr>
              <w:t xml:space="preserve"> </w:t>
            </w:r>
            <w:r w:rsidRPr="003A65B9">
              <w:rPr>
                <w:rFonts w:ascii="宋体" w:eastAsia="宋体" w:hAnsi="宋体" w:cs="Calibri"/>
                <w:color w:val="000000"/>
                <w:kern w:val="0"/>
                <w:szCs w:val="21"/>
              </w:rPr>
              <w:t>http://www.fundying.com/</w:t>
            </w:r>
          </w:p>
        </w:tc>
      </w:tr>
      <w:tr w:rsidR="00150907" w:rsidRPr="000465A4" w14:paraId="778E2D57" w14:textId="77777777" w:rsidTr="005A3450">
        <w:tc>
          <w:tcPr>
            <w:tcW w:w="901" w:type="dxa"/>
          </w:tcPr>
          <w:p w14:paraId="70A0E7A0" w14:textId="77777777" w:rsidR="00150907" w:rsidRDefault="00150907" w:rsidP="005A3450">
            <w:pPr>
              <w:spacing w:line="360" w:lineRule="auto"/>
              <w:jc w:val="center"/>
              <w:rPr>
                <w:rFonts w:ascii="宋体" w:hAnsi="宋体"/>
                <w:color w:val="000000"/>
                <w:sz w:val="24"/>
              </w:rPr>
            </w:pPr>
            <w:r>
              <w:rPr>
                <w:rFonts w:ascii="宋体" w:hAnsi="宋体" w:hint="eastAsia"/>
                <w:color w:val="000000"/>
                <w:sz w:val="24"/>
              </w:rPr>
              <w:t>33</w:t>
            </w:r>
          </w:p>
        </w:tc>
        <w:tc>
          <w:tcPr>
            <w:tcW w:w="3152" w:type="dxa"/>
          </w:tcPr>
          <w:p w14:paraId="67E2DF8E" w14:textId="77777777" w:rsidR="00150907" w:rsidRPr="00814881" w:rsidRDefault="00150907" w:rsidP="005A3450">
            <w:pPr>
              <w:spacing w:line="360" w:lineRule="auto"/>
              <w:jc w:val="center"/>
              <w:rPr>
                <w:rFonts w:ascii="宋体" w:hAnsi="宋体"/>
                <w:color w:val="000000" w:themeColor="text1"/>
                <w:szCs w:val="21"/>
              </w:rPr>
            </w:pPr>
            <w:r w:rsidRPr="000465A4">
              <w:rPr>
                <w:rFonts w:ascii="宋体" w:hAnsi="宋体" w:hint="eastAsia"/>
                <w:color w:val="000000" w:themeColor="text1"/>
                <w:szCs w:val="21"/>
              </w:rPr>
              <w:t>上海挖财基金销售有限公司</w:t>
            </w:r>
          </w:p>
        </w:tc>
        <w:tc>
          <w:tcPr>
            <w:tcW w:w="4560" w:type="dxa"/>
          </w:tcPr>
          <w:p w14:paraId="05A7434D" w14:textId="77777777" w:rsidR="00150907" w:rsidRPr="000465A4" w:rsidRDefault="00150907" w:rsidP="005A3450">
            <w:pPr>
              <w:widowControl/>
              <w:spacing w:line="360" w:lineRule="auto"/>
              <w:jc w:val="left"/>
              <w:rPr>
                <w:rFonts w:ascii="宋体" w:eastAsia="宋体" w:hAnsi="宋体" w:cs="Calibri"/>
                <w:color w:val="000000"/>
                <w:kern w:val="0"/>
                <w:szCs w:val="21"/>
              </w:rPr>
            </w:pPr>
            <w:r w:rsidRPr="000465A4">
              <w:rPr>
                <w:rFonts w:ascii="宋体" w:eastAsia="宋体" w:hAnsi="宋体" w:cs="Calibri" w:hint="eastAsia"/>
                <w:color w:val="000000"/>
                <w:kern w:val="0"/>
                <w:szCs w:val="21"/>
              </w:rPr>
              <w:t>注册(办公)地址：</w:t>
            </w:r>
            <w:r w:rsidRPr="000465A4">
              <w:rPr>
                <w:rFonts w:hint="eastAsia"/>
                <w:color w:val="000000"/>
                <w:szCs w:val="21"/>
                <w:shd w:val="clear" w:color="auto" w:fill="FFFFFF"/>
              </w:rPr>
              <w:t>中国（上海）自由贸易试验区扬高南路</w:t>
            </w:r>
            <w:r w:rsidRPr="000465A4">
              <w:rPr>
                <w:color w:val="000000"/>
                <w:szCs w:val="21"/>
                <w:shd w:val="clear" w:color="auto" w:fill="FFFFFF"/>
              </w:rPr>
              <w:t>799</w:t>
            </w:r>
            <w:r w:rsidRPr="000465A4">
              <w:rPr>
                <w:rFonts w:hint="eastAsia"/>
                <w:color w:val="000000"/>
                <w:szCs w:val="21"/>
                <w:shd w:val="clear" w:color="auto" w:fill="FFFFFF"/>
              </w:rPr>
              <w:t>号</w:t>
            </w:r>
            <w:r w:rsidRPr="000465A4">
              <w:rPr>
                <w:color w:val="000000"/>
                <w:szCs w:val="21"/>
                <w:shd w:val="clear" w:color="auto" w:fill="FFFFFF"/>
              </w:rPr>
              <w:t>5</w:t>
            </w:r>
            <w:r w:rsidRPr="000465A4">
              <w:rPr>
                <w:rFonts w:hint="eastAsia"/>
                <w:color w:val="000000"/>
                <w:szCs w:val="21"/>
                <w:shd w:val="clear" w:color="auto" w:fill="FFFFFF"/>
              </w:rPr>
              <w:t>楼</w:t>
            </w:r>
            <w:r w:rsidRPr="000465A4">
              <w:rPr>
                <w:color w:val="000000"/>
                <w:szCs w:val="21"/>
                <w:shd w:val="clear" w:color="auto" w:fill="FFFFFF"/>
              </w:rPr>
              <w:t>01</w:t>
            </w:r>
            <w:r w:rsidRPr="000465A4">
              <w:rPr>
                <w:rFonts w:hint="eastAsia"/>
                <w:color w:val="000000"/>
                <w:szCs w:val="21"/>
                <w:shd w:val="clear" w:color="auto" w:fill="FFFFFF"/>
              </w:rPr>
              <w:t>、</w:t>
            </w:r>
            <w:r w:rsidRPr="000465A4">
              <w:rPr>
                <w:color w:val="000000"/>
                <w:szCs w:val="21"/>
                <w:shd w:val="clear" w:color="auto" w:fill="FFFFFF"/>
              </w:rPr>
              <w:t>02</w:t>
            </w:r>
            <w:r w:rsidRPr="000465A4">
              <w:rPr>
                <w:rFonts w:hint="eastAsia"/>
                <w:color w:val="000000"/>
                <w:szCs w:val="21"/>
                <w:shd w:val="clear" w:color="auto" w:fill="FFFFFF"/>
              </w:rPr>
              <w:t>、</w:t>
            </w:r>
            <w:r w:rsidRPr="000465A4">
              <w:rPr>
                <w:color w:val="000000"/>
                <w:szCs w:val="21"/>
                <w:shd w:val="clear" w:color="auto" w:fill="FFFFFF"/>
              </w:rPr>
              <w:t>03</w:t>
            </w:r>
            <w:r w:rsidRPr="000465A4">
              <w:rPr>
                <w:rFonts w:hint="eastAsia"/>
                <w:color w:val="000000"/>
                <w:szCs w:val="21"/>
                <w:shd w:val="clear" w:color="auto" w:fill="FFFFFF"/>
              </w:rPr>
              <w:t>室</w:t>
            </w:r>
          </w:p>
          <w:p w14:paraId="7CCD85FC" w14:textId="77777777" w:rsidR="00150907" w:rsidRPr="000465A4" w:rsidRDefault="00150907" w:rsidP="005A3450">
            <w:pPr>
              <w:widowControl/>
              <w:spacing w:line="360" w:lineRule="auto"/>
              <w:jc w:val="left"/>
              <w:rPr>
                <w:rFonts w:ascii="宋体" w:eastAsia="宋体" w:hAnsi="宋体" w:cs="Calibri"/>
                <w:color w:val="000000"/>
                <w:kern w:val="0"/>
                <w:szCs w:val="21"/>
              </w:rPr>
            </w:pPr>
            <w:r w:rsidRPr="000465A4">
              <w:rPr>
                <w:rFonts w:ascii="宋体" w:eastAsia="宋体" w:hAnsi="宋体" w:cs="Calibri" w:hint="eastAsia"/>
                <w:color w:val="000000"/>
                <w:kern w:val="0"/>
                <w:szCs w:val="21"/>
              </w:rPr>
              <w:t>客户服务电话：</w:t>
            </w:r>
            <w:r w:rsidRPr="000465A4">
              <w:rPr>
                <w:rFonts w:ascii="Arial" w:hAnsi="Arial" w:cs="Arial"/>
                <w:color w:val="000000"/>
                <w:shd w:val="clear" w:color="auto" w:fill="FFFFFF"/>
              </w:rPr>
              <w:t>400-711-8718</w:t>
            </w:r>
          </w:p>
          <w:p w14:paraId="739A0A68" w14:textId="77777777" w:rsidR="00150907" w:rsidRPr="000465A4" w:rsidRDefault="00150907" w:rsidP="005A3450">
            <w:pPr>
              <w:spacing w:line="400" w:lineRule="exact"/>
              <w:rPr>
                <w:rFonts w:ascii="宋体" w:hAnsi="宋体"/>
              </w:rPr>
            </w:pPr>
            <w:r w:rsidRPr="000465A4">
              <w:rPr>
                <w:rFonts w:ascii="宋体" w:eastAsia="宋体" w:hAnsi="宋体" w:cs="Calibri" w:hint="eastAsia"/>
                <w:color w:val="000000"/>
                <w:kern w:val="0"/>
                <w:szCs w:val="21"/>
              </w:rPr>
              <w:t>网址：</w:t>
            </w:r>
            <w:r w:rsidRPr="000465A4">
              <w:rPr>
                <w:rFonts w:ascii="Arial" w:hAnsi="Arial" w:cs="Arial"/>
                <w:color w:val="000000"/>
              </w:rPr>
              <w:t> </w:t>
            </w:r>
            <w:hyperlink r:id="rId14" w:history="1">
              <w:r w:rsidRPr="000465A4">
                <w:rPr>
                  <w:rStyle w:val="af9"/>
                  <w:rFonts w:ascii="Arial" w:eastAsia="微软雅黑" w:hAnsi="Arial" w:cs="Arial"/>
                  <w:color w:val="0563C1"/>
                </w:rPr>
                <w:t>www.wacaijijin.com</w:t>
              </w:r>
            </w:hyperlink>
          </w:p>
        </w:tc>
      </w:tr>
      <w:tr w:rsidR="00150907" w:rsidRPr="00DD245C" w14:paraId="55A3C432" w14:textId="77777777" w:rsidTr="005A3450">
        <w:tc>
          <w:tcPr>
            <w:tcW w:w="901" w:type="dxa"/>
          </w:tcPr>
          <w:p w14:paraId="246E62A9" w14:textId="77777777" w:rsidR="00150907" w:rsidRDefault="00150907" w:rsidP="005A3450">
            <w:pPr>
              <w:spacing w:line="360" w:lineRule="auto"/>
              <w:jc w:val="center"/>
              <w:rPr>
                <w:rFonts w:ascii="宋体" w:hAnsi="宋体"/>
                <w:color w:val="000000"/>
                <w:sz w:val="24"/>
              </w:rPr>
            </w:pPr>
            <w:r>
              <w:rPr>
                <w:rFonts w:ascii="宋体" w:hAnsi="宋体" w:hint="eastAsia"/>
                <w:color w:val="000000"/>
                <w:sz w:val="24"/>
              </w:rPr>
              <w:t>34</w:t>
            </w:r>
          </w:p>
        </w:tc>
        <w:tc>
          <w:tcPr>
            <w:tcW w:w="3152" w:type="dxa"/>
          </w:tcPr>
          <w:p w14:paraId="39CBB135" w14:textId="77777777" w:rsidR="00150907" w:rsidRPr="000465A4" w:rsidRDefault="00150907" w:rsidP="005A3450">
            <w:pPr>
              <w:spacing w:line="360" w:lineRule="auto"/>
              <w:jc w:val="center"/>
              <w:rPr>
                <w:rFonts w:ascii="宋体" w:hAnsi="宋体"/>
                <w:color w:val="000000" w:themeColor="text1"/>
                <w:szCs w:val="21"/>
              </w:rPr>
            </w:pPr>
            <w:r w:rsidRPr="000465A4">
              <w:rPr>
                <w:rFonts w:ascii="宋体" w:hAnsi="宋体" w:hint="eastAsia"/>
                <w:color w:val="000000" w:themeColor="text1"/>
                <w:szCs w:val="21"/>
              </w:rPr>
              <w:t>诺亚正行基金销售有限公司</w:t>
            </w:r>
          </w:p>
        </w:tc>
        <w:tc>
          <w:tcPr>
            <w:tcW w:w="4560" w:type="dxa"/>
          </w:tcPr>
          <w:p w14:paraId="565A007D" w14:textId="77777777" w:rsidR="00150907" w:rsidRPr="00EA291B" w:rsidRDefault="00150907" w:rsidP="005A3450">
            <w:pPr>
              <w:widowControl/>
              <w:spacing w:line="360" w:lineRule="auto"/>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注册(办公)地址：</w:t>
            </w:r>
            <w:r w:rsidRPr="00765286">
              <w:rPr>
                <w:rFonts w:ascii="宋体" w:eastAsia="宋体" w:hAnsi="宋体" w:cs="Calibri" w:hint="eastAsia"/>
                <w:color w:val="000000"/>
                <w:kern w:val="0"/>
                <w:szCs w:val="21"/>
              </w:rPr>
              <w:t>上海市杨浦区长阳路1687号2号楼</w:t>
            </w:r>
          </w:p>
          <w:p w14:paraId="55D1AB21" w14:textId="77777777" w:rsidR="00150907" w:rsidRPr="00EA291B" w:rsidRDefault="00150907" w:rsidP="005A3450">
            <w:pPr>
              <w:widowControl/>
              <w:spacing w:line="360" w:lineRule="auto"/>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客户服务电话：</w:t>
            </w:r>
            <w:r w:rsidRPr="00765286">
              <w:rPr>
                <w:rFonts w:ascii="宋体" w:eastAsia="宋体" w:hAnsi="宋体" w:cs="Calibri"/>
                <w:color w:val="000000"/>
                <w:kern w:val="0"/>
                <w:szCs w:val="21"/>
              </w:rPr>
              <w:t>4008-215-399</w:t>
            </w:r>
          </w:p>
          <w:p w14:paraId="679EE428" w14:textId="77777777" w:rsidR="00150907" w:rsidRPr="00DD245C" w:rsidRDefault="00150907" w:rsidP="005A3450">
            <w:pPr>
              <w:widowControl/>
              <w:spacing w:line="360" w:lineRule="auto"/>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lastRenderedPageBreak/>
              <w:t>网址：</w:t>
            </w:r>
            <w:r w:rsidRPr="00765286">
              <w:rPr>
                <w:rFonts w:ascii="宋体" w:eastAsia="宋体" w:hAnsi="宋体" w:cs="Calibri"/>
                <w:color w:val="000000"/>
                <w:kern w:val="0"/>
                <w:szCs w:val="21"/>
              </w:rPr>
              <w:t>www.noah-fund.com</w:t>
            </w:r>
          </w:p>
        </w:tc>
      </w:tr>
      <w:tr w:rsidR="00150907" w14:paraId="29FDCD07" w14:textId="77777777" w:rsidTr="005A3450">
        <w:tc>
          <w:tcPr>
            <w:tcW w:w="901" w:type="dxa"/>
          </w:tcPr>
          <w:p w14:paraId="06AAA110" w14:textId="77777777" w:rsidR="00150907" w:rsidRDefault="00150907" w:rsidP="005A3450">
            <w:pPr>
              <w:spacing w:line="360" w:lineRule="auto"/>
              <w:jc w:val="center"/>
              <w:rPr>
                <w:rFonts w:ascii="宋体" w:hAnsi="宋体"/>
                <w:color w:val="000000"/>
                <w:sz w:val="24"/>
              </w:rPr>
            </w:pPr>
            <w:r>
              <w:rPr>
                <w:rFonts w:ascii="宋体" w:hAnsi="宋体" w:hint="eastAsia"/>
                <w:color w:val="000000"/>
                <w:sz w:val="24"/>
              </w:rPr>
              <w:lastRenderedPageBreak/>
              <w:t>35</w:t>
            </w:r>
          </w:p>
        </w:tc>
        <w:tc>
          <w:tcPr>
            <w:tcW w:w="3152" w:type="dxa"/>
          </w:tcPr>
          <w:p w14:paraId="5AF18FB1" w14:textId="77777777" w:rsidR="00150907" w:rsidRPr="000465A4" w:rsidRDefault="00150907" w:rsidP="005A3450">
            <w:pPr>
              <w:spacing w:line="360" w:lineRule="auto"/>
              <w:jc w:val="center"/>
              <w:rPr>
                <w:rFonts w:ascii="宋体" w:hAnsi="宋体"/>
                <w:color w:val="000000" w:themeColor="text1"/>
                <w:szCs w:val="21"/>
              </w:rPr>
            </w:pPr>
            <w:r w:rsidRPr="000465A4">
              <w:rPr>
                <w:rFonts w:ascii="宋体" w:hAnsi="宋体" w:hint="eastAsia"/>
                <w:color w:val="000000" w:themeColor="text1"/>
                <w:szCs w:val="21"/>
              </w:rPr>
              <w:t>上海凯石财富基金销售有限公司</w:t>
            </w:r>
          </w:p>
        </w:tc>
        <w:tc>
          <w:tcPr>
            <w:tcW w:w="4560" w:type="dxa"/>
          </w:tcPr>
          <w:p w14:paraId="002271F1" w14:textId="77777777" w:rsidR="00150907" w:rsidRPr="00EA291B" w:rsidRDefault="00150907" w:rsidP="005A3450">
            <w:pPr>
              <w:widowControl/>
              <w:spacing w:line="360" w:lineRule="auto"/>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注册(办公)地址：</w:t>
            </w:r>
            <w:r w:rsidRPr="009167E2">
              <w:rPr>
                <w:rFonts w:ascii="宋体" w:eastAsia="宋体" w:hAnsi="宋体" w:cs="Calibri" w:hint="eastAsia"/>
                <w:color w:val="000000"/>
                <w:kern w:val="0"/>
                <w:szCs w:val="21"/>
              </w:rPr>
              <w:t>上海市黄浦区西藏南路765号602-115室</w:t>
            </w:r>
            <w:r w:rsidRPr="00BA2C2B" w:rsidDel="00BA2C2B">
              <w:rPr>
                <w:rFonts w:ascii="宋体" w:eastAsia="宋体" w:hAnsi="宋体" w:cs="Calibri" w:hint="eastAsia"/>
                <w:color w:val="000000"/>
                <w:kern w:val="0"/>
                <w:szCs w:val="21"/>
              </w:rPr>
              <w:t xml:space="preserve"> </w:t>
            </w:r>
          </w:p>
          <w:p w14:paraId="4479C899" w14:textId="77777777" w:rsidR="00150907" w:rsidRPr="00EA291B" w:rsidRDefault="00150907" w:rsidP="005A3450">
            <w:pPr>
              <w:widowControl/>
              <w:spacing w:line="360" w:lineRule="auto"/>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客户服务电话：</w:t>
            </w:r>
            <w:r>
              <w:rPr>
                <w:rFonts w:ascii="宋体" w:eastAsia="宋体" w:hAnsi="宋体" w:cs="Calibri" w:hint="eastAsia"/>
                <w:color w:val="000000"/>
                <w:kern w:val="0"/>
                <w:szCs w:val="21"/>
              </w:rPr>
              <w:t>4</w:t>
            </w:r>
            <w:r>
              <w:rPr>
                <w:rFonts w:ascii="宋体" w:eastAsia="宋体" w:hAnsi="宋体" w:cs="Calibri"/>
                <w:color w:val="000000"/>
                <w:kern w:val="0"/>
                <w:szCs w:val="21"/>
              </w:rPr>
              <w:t>00-643-3389</w:t>
            </w:r>
          </w:p>
          <w:p w14:paraId="0F116935" w14:textId="77777777" w:rsidR="00150907" w:rsidRDefault="00150907" w:rsidP="005A3450">
            <w:pPr>
              <w:spacing w:line="400" w:lineRule="exact"/>
              <w:rPr>
                <w:rFonts w:ascii="宋体" w:hAnsi="宋体"/>
              </w:rPr>
            </w:pPr>
            <w:r w:rsidRPr="00EA291B">
              <w:rPr>
                <w:rFonts w:ascii="宋体" w:eastAsia="宋体" w:hAnsi="宋体" w:cs="Calibri" w:hint="eastAsia"/>
                <w:color w:val="000000"/>
                <w:kern w:val="0"/>
                <w:szCs w:val="21"/>
              </w:rPr>
              <w:t>网址：</w:t>
            </w:r>
            <w:r>
              <w:rPr>
                <w:rFonts w:ascii="宋体" w:eastAsia="宋体" w:hAnsi="宋体" w:cs="Calibri"/>
                <w:color w:val="000000"/>
                <w:kern w:val="0"/>
                <w:szCs w:val="21"/>
              </w:rPr>
              <w:t>www.vstonewealth.com</w:t>
            </w:r>
          </w:p>
        </w:tc>
      </w:tr>
      <w:tr w:rsidR="00150907" w14:paraId="733BB24D" w14:textId="77777777" w:rsidTr="005A3450">
        <w:tc>
          <w:tcPr>
            <w:tcW w:w="901" w:type="dxa"/>
          </w:tcPr>
          <w:p w14:paraId="08AF56EB" w14:textId="77777777" w:rsidR="00150907" w:rsidRDefault="00150907" w:rsidP="005A3450">
            <w:pPr>
              <w:spacing w:line="360" w:lineRule="auto"/>
              <w:jc w:val="center"/>
              <w:rPr>
                <w:rFonts w:ascii="宋体" w:hAnsi="宋体"/>
                <w:color w:val="000000"/>
                <w:sz w:val="24"/>
              </w:rPr>
            </w:pPr>
            <w:r>
              <w:rPr>
                <w:rFonts w:ascii="宋体" w:hAnsi="宋体" w:hint="eastAsia"/>
                <w:color w:val="000000"/>
                <w:sz w:val="24"/>
              </w:rPr>
              <w:t>36</w:t>
            </w:r>
          </w:p>
        </w:tc>
        <w:tc>
          <w:tcPr>
            <w:tcW w:w="3152" w:type="dxa"/>
          </w:tcPr>
          <w:p w14:paraId="49A632E3" w14:textId="77777777" w:rsidR="00150907" w:rsidRPr="000465A4" w:rsidRDefault="00150907" w:rsidP="005A3450">
            <w:pPr>
              <w:spacing w:line="360" w:lineRule="auto"/>
              <w:jc w:val="center"/>
              <w:rPr>
                <w:rFonts w:ascii="宋体" w:hAnsi="宋体"/>
                <w:color w:val="000000" w:themeColor="text1"/>
                <w:szCs w:val="21"/>
              </w:rPr>
            </w:pPr>
            <w:r w:rsidRPr="000465A4">
              <w:rPr>
                <w:rFonts w:ascii="宋体" w:hAnsi="宋体" w:hint="eastAsia"/>
                <w:color w:val="000000" w:themeColor="text1"/>
                <w:szCs w:val="21"/>
              </w:rPr>
              <w:t>泰信财富基金销售有限公司</w:t>
            </w:r>
          </w:p>
        </w:tc>
        <w:tc>
          <w:tcPr>
            <w:tcW w:w="4560" w:type="dxa"/>
          </w:tcPr>
          <w:p w14:paraId="07FB0D2E" w14:textId="77777777" w:rsidR="00150907" w:rsidRPr="00EA291B" w:rsidRDefault="00150907" w:rsidP="005A3450">
            <w:pPr>
              <w:widowControl/>
              <w:spacing w:line="360" w:lineRule="auto"/>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注册(办公)地址：</w:t>
            </w:r>
            <w:r w:rsidRPr="00BA2C2B" w:rsidDel="00BA2C2B">
              <w:rPr>
                <w:rFonts w:ascii="宋体" w:eastAsia="宋体" w:hAnsi="宋体" w:cs="Calibri" w:hint="eastAsia"/>
                <w:color w:val="000000"/>
                <w:kern w:val="0"/>
                <w:szCs w:val="21"/>
              </w:rPr>
              <w:t xml:space="preserve"> </w:t>
            </w:r>
            <w:r w:rsidRPr="00C66D14">
              <w:rPr>
                <w:rFonts w:ascii="宋体" w:eastAsia="宋体" w:hAnsi="宋体" w:cs="Calibri" w:hint="eastAsia"/>
                <w:color w:val="000000"/>
                <w:kern w:val="0"/>
                <w:szCs w:val="21"/>
              </w:rPr>
              <w:t>北京市朝阳区建国路甲92号世贸大厦C座18层</w:t>
            </w:r>
          </w:p>
          <w:p w14:paraId="4535419A" w14:textId="77777777" w:rsidR="00150907" w:rsidRPr="00EA291B" w:rsidRDefault="00150907" w:rsidP="005A3450">
            <w:pPr>
              <w:widowControl/>
              <w:spacing w:line="360" w:lineRule="auto"/>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客户服务电话：</w:t>
            </w:r>
            <w:r w:rsidRPr="00CF34E7">
              <w:rPr>
                <w:rFonts w:ascii="宋体" w:eastAsia="宋体" w:hAnsi="宋体" w:cs="Calibri"/>
                <w:color w:val="000000"/>
                <w:kern w:val="0"/>
                <w:szCs w:val="21"/>
              </w:rPr>
              <w:t>400-004-8821</w:t>
            </w:r>
          </w:p>
          <w:p w14:paraId="27228B03" w14:textId="77777777" w:rsidR="00150907" w:rsidRDefault="00150907" w:rsidP="005A3450">
            <w:pPr>
              <w:spacing w:line="400" w:lineRule="exact"/>
              <w:rPr>
                <w:rFonts w:ascii="宋体" w:hAnsi="宋体"/>
              </w:rPr>
            </w:pPr>
            <w:r w:rsidRPr="00EA291B">
              <w:rPr>
                <w:rFonts w:ascii="宋体" w:eastAsia="宋体" w:hAnsi="宋体" w:cs="Calibri" w:hint="eastAsia"/>
                <w:color w:val="000000"/>
                <w:kern w:val="0"/>
                <w:szCs w:val="21"/>
              </w:rPr>
              <w:t>网址：</w:t>
            </w:r>
            <w:r w:rsidRPr="00BA2C2B" w:rsidDel="00BA2C2B">
              <w:rPr>
                <w:rFonts w:ascii="宋体" w:eastAsia="宋体" w:hAnsi="宋体" w:cs="Calibri"/>
                <w:color w:val="000000"/>
                <w:kern w:val="0"/>
                <w:szCs w:val="21"/>
              </w:rPr>
              <w:t xml:space="preserve"> </w:t>
            </w:r>
            <w:r w:rsidRPr="00CF34E7">
              <w:rPr>
                <w:rFonts w:ascii="宋体" w:eastAsia="宋体" w:hAnsi="宋体" w:cs="Calibri"/>
                <w:color w:val="000000"/>
                <w:kern w:val="0"/>
                <w:szCs w:val="21"/>
              </w:rPr>
              <w:t>www.hxlc.com</w:t>
            </w:r>
          </w:p>
        </w:tc>
      </w:tr>
    </w:tbl>
    <w:p w14:paraId="5434275C" w14:textId="77777777" w:rsidR="003E4D36" w:rsidRPr="00150907" w:rsidRDefault="003E4D36">
      <w:pPr>
        <w:tabs>
          <w:tab w:val="left" w:pos="540"/>
        </w:tabs>
        <w:adjustRightInd w:val="0"/>
        <w:snapToGrid w:val="0"/>
        <w:spacing w:line="360" w:lineRule="auto"/>
        <w:ind w:firstLineChars="200" w:firstLine="480"/>
        <w:rPr>
          <w:rFonts w:asciiTheme="minorEastAsia" w:hAnsiTheme="minorEastAsia" w:cs="Arial"/>
          <w:sz w:val="24"/>
          <w:szCs w:val="24"/>
        </w:rPr>
      </w:pPr>
    </w:p>
    <w:p w14:paraId="6FD6EA22" w14:textId="77777777" w:rsidR="003E4D36" w:rsidRDefault="00E729B5">
      <w:pPr>
        <w:tabs>
          <w:tab w:val="left" w:pos="540"/>
        </w:tabs>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sz w:val="24"/>
          <w:szCs w:val="24"/>
        </w:rPr>
        <w:t>二、登记机构</w:t>
      </w:r>
    </w:p>
    <w:p w14:paraId="22E101E8" w14:textId="77777777" w:rsidR="003E4D36" w:rsidRDefault="00E729B5">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名称：富荣基金管理有限公司 </w:t>
      </w:r>
    </w:p>
    <w:p w14:paraId="2D12D5F5" w14:textId="77777777" w:rsidR="003E4D36" w:rsidRDefault="00E729B5">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住所：广东省广州市南沙区海滨路171号南沙金融大厦11楼1101之一J20 </w:t>
      </w:r>
    </w:p>
    <w:p w14:paraId="46A6E614" w14:textId="77777777" w:rsidR="003E4D36" w:rsidRDefault="00E729B5">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办公地址：深圳市福田区深南大道2012号深圳证券交易所广场3501室 </w:t>
      </w:r>
    </w:p>
    <w:p w14:paraId="0BD57173" w14:textId="77777777" w:rsidR="003E4D36" w:rsidRDefault="00E729B5">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法定代表人：</w:t>
      </w:r>
      <w:r w:rsidR="00980F20">
        <w:rPr>
          <w:rFonts w:asciiTheme="minorEastAsia" w:hAnsiTheme="minorEastAsia" w:cs="Arial" w:hint="eastAsia"/>
          <w:color w:val="000000"/>
          <w:kern w:val="0"/>
          <w:sz w:val="24"/>
          <w:szCs w:val="24"/>
        </w:rPr>
        <w:t>杨小舟</w:t>
      </w:r>
      <w:r>
        <w:rPr>
          <w:rFonts w:asciiTheme="minorEastAsia" w:hAnsiTheme="minorEastAsia" w:cs="Arial" w:hint="eastAsia"/>
          <w:color w:val="000000"/>
          <w:kern w:val="0"/>
          <w:sz w:val="24"/>
          <w:szCs w:val="24"/>
        </w:rPr>
        <w:t xml:space="preserve"> </w:t>
      </w:r>
    </w:p>
    <w:p w14:paraId="166DF6A3" w14:textId="77777777" w:rsidR="003E4D36" w:rsidRDefault="00E729B5">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联系人：黄文飞</w:t>
      </w:r>
    </w:p>
    <w:p w14:paraId="139B84FD" w14:textId="77777777" w:rsidR="003E4D36" w:rsidRDefault="00E729B5">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电话： 0755-84356604</w:t>
      </w:r>
    </w:p>
    <w:p w14:paraId="5049931C" w14:textId="77777777" w:rsidR="003E4D36" w:rsidRDefault="00E729B5">
      <w:pPr>
        <w:adjustRightInd w:val="0"/>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传真： 0755-83230787</w:t>
      </w:r>
    </w:p>
    <w:p w14:paraId="319D71AA" w14:textId="77777777" w:rsidR="003E4D36" w:rsidRDefault="00E729B5">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三、</w:t>
      </w:r>
      <w:r>
        <w:rPr>
          <w:rFonts w:asciiTheme="minorEastAsia" w:hAnsiTheme="minorEastAsia" w:cs="Times New Roman" w:hint="eastAsia"/>
          <w:b/>
          <w:bCs/>
          <w:color w:val="000000"/>
          <w:sz w:val="24"/>
          <w:szCs w:val="24"/>
        </w:rPr>
        <w:t>出具法律意见书的律师事务所</w:t>
      </w:r>
    </w:p>
    <w:p w14:paraId="001E4E18" w14:textId="77777777" w:rsidR="003E4D36" w:rsidRDefault="00E729B5">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名称：上海市通力律师事务所</w:t>
      </w:r>
    </w:p>
    <w:p w14:paraId="25A69F33" w14:textId="77777777" w:rsidR="003E4D36" w:rsidRDefault="00E729B5">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住所：上海市银城中路68号时代金融中心19楼</w:t>
      </w:r>
    </w:p>
    <w:p w14:paraId="04362F04" w14:textId="77777777" w:rsidR="003E4D36" w:rsidRDefault="00E729B5">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办公地址：上海市银城中路68号时代金融中心19楼</w:t>
      </w:r>
    </w:p>
    <w:p w14:paraId="2DB652E5" w14:textId="77777777" w:rsidR="003E4D36" w:rsidRDefault="00E729B5">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负责人：俞卫锋</w:t>
      </w:r>
    </w:p>
    <w:p w14:paraId="4696D5A3" w14:textId="77777777" w:rsidR="003E4D36" w:rsidRDefault="00E729B5">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电话：021-31358666</w:t>
      </w:r>
    </w:p>
    <w:p w14:paraId="238E9BC5" w14:textId="77777777" w:rsidR="003E4D36" w:rsidRDefault="00E729B5">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传真：021-31358600</w:t>
      </w:r>
    </w:p>
    <w:p w14:paraId="30FA87F8" w14:textId="77777777" w:rsidR="003E4D36" w:rsidRDefault="00E729B5">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经办律师：陆奇、安冬</w:t>
      </w:r>
    </w:p>
    <w:p w14:paraId="163EFFCD" w14:textId="77777777" w:rsidR="003E4D36" w:rsidRDefault="00E729B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联系人： 陆奇</w:t>
      </w:r>
    </w:p>
    <w:p w14:paraId="09E812A0" w14:textId="77777777" w:rsidR="003E4D36" w:rsidRDefault="00E729B5">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四、</w:t>
      </w:r>
      <w:r>
        <w:rPr>
          <w:rFonts w:asciiTheme="minorEastAsia" w:hAnsiTheme="minorEastAsia" w:cs="Times New Roman" w:hint="eastAsia"/>
          <w:b/>
          <w:bCs/>
          <w:color w:val="000000"/>
          <w:sz w:val="24"/>
          <w:szCs w:val="24"/>
        </w:rPr>
        <w:t>审计基金财产的会计师事务所</w:t>
      </w:r>
    </w:p>
    <w:p w14:paraId="271F2B9D" w14:textId="77777777" w:rsidR="00C1630A" w:rsidRPr="00C1630A" w:rsidRDefault="00C1630A" w:rsidP="00C1630A">
      <w:pPr>
        <w:adjustRightInd w:val="0"/>
        <w:snapToGrid w:val="0"/>
        <w:spacing w:line="360" w:lineRule="auto"/>
        <w:ind w:firstLineChars="200" w:firstLine="480"/>
        <w:rPr>
          <w:rFonts w:asciiTheme="minorEastAsia" w:hAnsiTheme="minorEastAsia" w:cs="Arial"/>
          <w:kern w:val="0"/>
          <w:sz w:val="24"/>
          <w:szCs w:val="24"/>
        </w:rPr>
      </w:pPr>
      <w:r w:rsidRPr="00C1630A">
        <w:rPr>
          <w:rFonts w:asciiTheme="minorEastAsia" w:hAnsiTheme="minorEastAsia" w:cs="Arial" w:hint="eastAsia"/>
          <w:kern w:val="0"/>
          <w:sz w:val="24"/>
          <w:szCs w:val="24"/>
        </w:rPr>
        <w:t>名称：安永华明会计师事务所（特殊普通合伙）</w:t>
      </w:r>
    </w:p>
    <w:p w14:paraId="71D8F54E" w14:textId="77777777" w:rsidR="00C1630A" w:rsidRPr="00C1630A" w:rsidRDefault="00C1630A" w:rsidP="00C1630A">
      <w:pPr>
        <w:adjustRightInd w:val="0"/>
        <w:snapToGrid w:val="0"/>
        <w:spacing w:line="360" w:lineRule="auto"/>
        <w:ind w:firstLineChars="200" w:firstLine="480"/>
        <w:rPr>
          <w:rFonts w:asciiTheme="minorEastAsia" w:hAnsiTheme="minorEastAsia" w:cs="Arial"/>
          <w:kern w:val="0"/>
          <w:sz w:val="24"/>
          <w:szCs w:val="24"/>
        </w:rPr>
      </w:pPr>
      <w:r w:rsidRPr="00C1630A">
        <w:rPr>
          <w:rFonts w:asciiTheme="minorEastAsia" w:hAnsiTheme="minorEastAsia" w:cs="Arial" w:hint="eastAsia"/>
          <w:kern w:val="0"/>
          <w:sz w:val="24"/>
          <w:szCs w:val="24"/>
        </w:rPr>
        <w:t>住所：中国北京市东城区东长安街1号东方广场安永大楼16层</w:t>
      </w:r>
    </w:p>
    <w:p w14:paraId="2B47B849" w14:textId="77777777" w:rsidR="00C1630A" w:rsidRPr="00C1630A" w:rsidRDefault="00C1630A" w:rsidP="00C1630A">
      <w:pPr>
        <w:adjustRightInd w:val="0"/>
        <w:snapToGrid w:val="0"/>
        <w:spacing w:line="360" w:lineRule="auto"/>
        <w:ind w:firstLineChars="200" w:firstLine="480"/>
        <w:rPr>
          <w:rFonts w:asciiTheme="minorEastAsia" w:hAnsiTheme="minorEastAsia" w:cs="Arial"/>
          <w:kern w:val="0"/>
          <w:sz w:val="24"/>
          <w:szCs w:val="24"/>
        </w:rPr>
      </w:pPr>
      <w:r w:rsidRPr="00C1630A">
        <w:rPr>
          <w:rFonts w:asciiTheme="minorEastAsia" w:hAnsiTheme="minorEastAsia" w:cs="Arial" w:hint="eastAsia"/>
          <w:kern w:val="0"/>
          <w:sz w:val="24"/>
          <w:szCs w:val="24"/>
        </w:rPr>
        <w:lastRenderedPageBreak/>
        <w:t>办公地址：中国北京市东城区东长安街1号东方广场安永大楼16层</w:t>
      </w:r>
    </w:p>
    <w:p w14:paraId="7975813D" w14:textId="77777777" w:rsidR="00C1630A" w:rsidRPr="00C1630A" w:rsidRDefault="00C1630A" w:rsidP="00C1630A">
      <w:pPr>
        <w:adjustRightInd w:val="0"/>
        <w:snapToGrid w:val="0"/>
        <w:spacing w:line="360" w:lineRule="auto"/>
        <w:ind w:firstLineChars="200" w:firstLine="480"/>
        <w:rPr>
          <w:rFonts w:asciiTheme="minorEastAsia" w:hAnsiTheme="minorEastAsia" w:cs="Arial"/>
          <w:kern w:val="0"/>
          <w:sz w:val="24"/>
          <w:szCs w:val="24"/>
        </w:rPr>
      </w:pPr>
      <w:r w:rsidRPr="00C1630A">
        <w:rPr>
          <w:rFonts w:asciiTheme="minorEastAsia" w:hAnsiTheme="minorEastAsia" w:cs="Arial" w:hint="eastAsia"/>
          <w:kern w:val="0"/>
          <w:sz w:val="24"/>
          <w:szCs w:val="24"/>
        </w:rPr>
        <w:t>法定代表人：毛鞍宁</w:t>
      </w:r>
    </w:p>
    <w:p w14:paraId="2BEBEE42" w14:textId="77777777" w:rsidR="00C1630A" w:rsidRPr="00C1630A" w:rsidRDefault="00C1630A" w:rsidP="00C1630A">
      <w:pPr>
        <w:adjustRightInd w:val="0"/>
        <w:snapToGrid w:val="0"/>
        <w:spacing w:line="360" w:lineRule="auto"/>
        <w:ind w:firstLineChars="200" w:firstLine="480"/>
        <w:rPr>
          <w:rFonts w:asciiTheme="minorEastAsia" w:hAnsiTheme="minorEastAsia" w:cs="Arial"/>
          <w:kern w:val="0"/>
          <w:sz w:val="24"/>
          <w:szCs w:val="24"/>
        </w:rPr>
      </w:pPr>
      <w:r w:rsidRPr="00C1630A">
        <w:rPr>
          <w:rFonts w:asciiTheme="minorEastAsia" w:hAnsiTheme="minorEastAsia" w:cs="Arial" w:hint="eastAsia"/>
          <w:kern w:val="0"/>
          <w:sz w:val="24"/>
          <w:szCs w:val="24"/>
        </w:rPr>
        <w:t>电话： +86 10 58153000</w:t>
      </w:r>
    </w:p>
    <w:p w14:paraId="15201F70" w14:textId="77777777" w:rsidR="00C1630A" w:rsidRPr="00C1630A" w:rsidRDefault="00C1630A" w:rsidP="00C1630A">
      <w:pPr>
        <w:adjustRightInd w:val="0"/>
        <w:snapToGrid w:val="0"/>
        <w:spacing w:line="360" w:lineRule="auto"/>
        <w:ind w:firstLineChars="200" w:firstLine="480"/>
        <w:rPr>
          <w:rFonts w:asciiTheme="minorEastAsia" w:hAnsiTheme="minorEastAsia" w:cs="Arial"/>
          <w:kern w:val="0"/>
          <w:sz w:val="24"/>
          <w:szCs w:val="24"/>
        </w:rPr>
      </w:pPr>
      <w:r w:rsidRPr="00C1630A">
        <w:rPr>
          <w:rFonts w:asciiTheme="minorEastAsia" w:hAnsiTheme="minorEastAsia" w:cs="Arial" w:hint="eastAsia"/>
          <w:kern w:val="0"/>
          <w:sz w:val="24"/>
          <w:szCs w:val="24"/>
        </w:rPr>
        <w:t>传真： +86 10 85188298</w:t>
      </w:r>
    </w:p>
    <w:p w14:paraId="0C62CDC7" w14:textId="77777777" w:rsidR="00C1630A" w:rsidRPr="00C1630A" w:rsidRDefault="00C1630A" w:rsidP="00C1630A">
      <w:pPr>
        <w:adjustRightInd w:val="0"/>
        <w:snapToGrid w:val="0"/>
        <w:spacing w:line="360" w:lineRule="auto"/>
        <w:ind w:firstLineChars="200" w:firstLine="480"/>
        <w:rPr>
          <w:rFonts w:asciiTheme="minorEastAsia" w:hAnsiTheme="minorEastAsia" w:cs="Arial"/>
          <w:kern w:val="0"/>
          <w:sz w:val="24"/>
          <w:szCs w:val="24"/>
        </w:rPr>
      </w:pPr>
      <w:r w:rsidRPr="00C1630A">
        <w:rPr>
          <w:rFonts w:asciiTheme="minorEastAsia" w:hAnsiTheme="minorEastAsia" w:cs="Arial" w:hint="eastAsia"/>
          <w:kern w:val="0"/>
          <w:sz w:val="24"/>
          <w:szCs w:val="24"/>
        </w:rPr>
        <w:t>签字注册会计师：吴翠蓉  高鹤</w:t>
      </w:r>
    </w:p>
    <w:p w14:paraId="457D06B6" w14:textId="77777777" w:rsidR="00C1630A" w:rsidRPr="00C1630A" w:rsidRDefault="00C1630A" w:rsidP="00C1630A">
      <w:pPr>
        <w:adjustRightInd w:val="0"/>
        <w:snapToGrid w:val="0"/>
        <w:spacing w:line="360" w:lineRule="auto"/>
        <w:ind w:firstLineChars="200" w:firstLine="480"/>
        <w:rPr>
          <w:rFonts w:asciiTheme="minorEastAsia" w:hAnsiTheme="minorEastAsia" w:cs="Arial"/>
          <w:kern w:val="0"/>
          <w:sz w:val="24"/>
          <w:szCs w:val="24"/>
        </w:rPr>
      </w:pPr>
      <w:r w:rsidRPr="00C1630A">
        <w:rPr>
          <w:rFonts w:asciiTheme="minorEastAsia" w:hAnsiTheme="minorEastAsia" w:cs="Arial" w:hint="eastAsia"/>
          <w:kern w:val="0"/>
          <w:sz w:val="24"/>
          <w:szCs w:val="24"/>
        </w:rPr>
        <w:t>联系人: 吴翠蓉</w:t>
      </w:r>
    </w:p>
    <w:p w14:paraId="68774F87" w14:textId="77777777" w:rsidR="003E4D36" w:rsidRDefault="00E729B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kern w:val="0"/>
          <w:sz w:val="24"/>
          <w:szCs w:val="24"/>
        </w:rPr>
        <w:br w:type="page"/>
      </w:r>
    </w:p>
    <w:p w14:paraId="4432DEF6" w14:textId="77777777" w:rsidR="003E4D36" w:rsidRDefault="00E729B5">
      <w:pPr>
        <w:pStyle w:val="1"/>
        <w:jc w:val="center"/>
        <w:rPr>
          <w:sz w:val="30"/>
          <w:szCs w:val="30"/>
        </w:rPr>
      </w:pPr>
      <w:bookmarkStart w:id="114" w:name="_Toc263092314"/>
      <w:bookmarkStart w:id="115" w:name="_Toc416264542"/>
      <w:bookmarkStart w:id="116" w:name="_Toc523243821"/>
      <w:bookmarkStart w:id="117" w:name="_Toc29251"/>
      <w:bookmarkStart w:id="118" w:name="_Toc31235"/>
      <w:bookmarkStart w:id="119" w:name="_Toc141703887"/>
      <w:bookmarkStart w:id="120" w:name="_Toc139991737"/>
      <w:bookmarkStart w:id="121" w:name="_Toc15143"/>
      <w:bookmarkStart w:id="122" w:name="_Toc14835"/>
      <w:bookmarkStart w:id="123" w:name="_Toc16859"/>
      <w:bookmarkStart w:id="124" w:name="_Toc98560353"/>
      <w:bookmarkStart w:id="125" w:name="_Toc123102454"/>
      <w:bookmarkStart w:id="126" w:name="_Toc352229753"/>
      <w:bookmarkStart w:id="127" w:name="_Toc6405"/>
      <w:bookmarkStart w:id="128" w:name="_Toc31653"/>
      <w:bookmarkStart w:id="129" w:name="_Toc26207"/>
      <w:bookmarkStart w:id="130" w:name="_Toc123051453"/>
      <w:bookmarkStart w:id="131" w:name="_Toc12245"/>
      <w:bookmarkStart w:id="132" w:name="_Toc31644"/>
      <w:bookmarkStart w:id="133" w:name="_Toc123112235"/>
      <w:bookmarkStart w:id="134" w:name="_Toc3601"/>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r>
        <w:rPr>
          <w:rFonts w:hint="eastAsia"/>
          <w:sz w:val="30"/>
          <w:szCs w:val="30"/>
        </w:rPr>
        <w:lastRenderedPageBreak/>
        <w:t>第六部分</w:t>
      </w:r>
      <w:r>
        <w:rPr>
          <w:sz w:val="30"/>
          <w:szCs w:val="30"/>
        </w:rPr>
        <w:t xml:space="preserve">  </w:t>
      </w:r>
      <w:r>
        <w:rPr>
          <w:rFonts w:hint="eastAsia"/>
          <w:sz w:val="30"/>
          <w:szCs w:val="30"/>
        </w:rPr>
        <w:t>基金的募集</w:t>
      </w:r>
      <w:bookmarkEnd w:id="114"/>
      <w:bookmarkEnd w:id="115"/>
      <w:bookmarkEnd w:id="116"/>
    </w:p>
    <w:p w14:paraId="6EA052F0" w14:textId="77777777" w:rsidR="003E4D36" w:rsidRDefault="00E729B5">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基金管理人按照《基金法》、《运作办法》、《销售办法》、基金合同及其他有关规定募集本基金，并于2017年【5】月【12】日经中国证监会证监许可[2017]700号文准予注册募集。本基金于2017年</w:t>
      </w:r>
      <w:r>
        <w:rPr>
          <w:rFonts w:asciiTheme="minorEastAsia" w:hAnsiTheme="minorEastAsia" w:cs="Arial"/>
          <w:sz w:val="24"/>
          <w:szCs w:val="24"/>
        </w:rPr>
        <w:t>11</w:t>
      </w:r>
      <w:r>
        <w:rPr>
          <w:rFonts w:asciiTheme="minorEastAsia" w:hAnsiTheme="minorEastAsia" w:cs="Arial" w:hint="eastAsia"/>
          <w:sz w:val="24"/>
          <w:szCs w:val="24"/>
        </w:rPr>
        <w:t>月</w:t>
      </w:r>
      <w:r>
        <w:rPr>
          <w:rFonts w:asciiTheme="minorEastAsia" w:hAnsiTheme="minorEastAsia" w:cs="Arial"/>
          <w:sz w:val="24"/>
          <w:szCs w:val="24"/>
        </w:rPr>
        <w:t>10</w:t>
      </w:r>
      <w:r>
        <w:rPr>
          <w:rFonts w:asciiTheme="minorEastAsia" w:hAnsiTheme="minorEastAsia" w:cs="Arial" w:hint="eastAsia"/>
          <w:sz w:val="24"/>
          <w:szCs w:val="24"/>
        </w:rPr>
        <w:t>日起通过各销售机构向社会公开募集，截至2018年</w:t>
      </w:r>
      <w:r>
        <w:rPr>
          <w:rFonts w:asciiTheme="minorEastAsia" w:hAnsiTheme="minorEastAsia" w:cs="Arial"/>
          <w:sz w:val="24"/>
          <w:szCs w:val="24"/>
        </w:rPr>
        <w:t>2</w:t>
      </w:r>
      <w:r>
        <w:rPr>
          <w:rFonts w:asciiTheme="minorEastAsia" w:hAnsiTheme="minorEastAsia" w:cs="Arial" w:hint="eastAsia"/>
          <w:sz w:val="24"/>
          <w:szCs w:val="24"/>
        </w:rPr>
        <w:t>月</w:t>
      </w:r>
      <w:r>
        <w:rPr>
          <w:rFonts w:asciiTheme="minorEastAsia" w:hAnsiTheme="minorEastAsia" w:cs="Arial"/>
          <w:sz w:val="24"/>
          <w:szCs w:val="24"/>
        </w:rPr>
        <w:t>8</w:t>
      </w:r>
      <w:r>
        <w:rPr>
          <w:rFonts w:asciiTheme="minorEastAsia" w:hAnsiTheme="minorEastAsia" w:cs="Arial" w:hint="eastAsia"/>
          <w:sz w:val="24"/>
          <w:szCs w:val="24"/>
        </w:rPr>
        <w:t>日，基金募集工作已顺利结束。</w:t>
      </w:r>
    </w:p>
    <w:p w14:paraId="179ABDA5" w14:textId="77777777" w:rsidR="003E4D36" w:rsidRDefault="00E729B5">
      <w:pPr>
        <w:widowControl/>
        <w:jc w:val="left"/>
        <w:rPr>
          <w:rFonts w:asciiTheme="minorEastAsia" w:hAnsiTheme="minorEastAsia" w:cs="Arial"/>
          <w:sz w:val="24"/>
          <w:szCs w:val="24"/>
        </w:rPr>
      </w:pPr>
      <w:r>
        <w:rPr>
          <w:rFonts w:asciiTheme="minorEastAsia" w:hAnsiTheme="minorEastAsia" w:cs="Arial"/>
          <w:sz w:val="24"/>
          <w:szCs w:val="24"/>
        </w:rPr>
        <w:br w:type="page"/>
      </w:r>
    </w:p>
    <w:p w14:paraId="266A318B" w14:textId="77777777" w:rsidR="003E4D36" w:rsidRDefault="00E729B5">
      <w:pPr>
        <w:pStyle w:val="1"/>
        <w:jc w:val="center"/>
        <w:rPr>
          <w:sz w:val="30"/>
          <w:szCs w:val="30"/>
          <w:lang w:val="en-US"/>
        </w:rPr>
      </w:pPr>
      <w:bookmarkStart w:id="135" w:name="_Toc214873596"/>
      <w:bookmarkStart w:id="136" w:name="_Toc263092315"/>
      <w:bookmarkStart w:id="137" w:name="_Toc416264543"/>
      <w:bookmarkStart w:id="138" w:name="_Toc523243822"/>
      <w:bookmarkStart w:id="139" w:name="_Toc123112236"/>
      <w:bookmarkStart w:id="140" w:name="_Toc98560354"/>
      <w:bookmarkStart w:id="141" w:name="_Toc123051454"/>
      <w:bookmarkStart w:id="142" w:name="_Toc123102455"/>
      <w:bookmarkStart w:id="143" w:name="_Toc9706"/>
      <w:bookmarkStart w:id="144" w:name="_Toc141703888"/>
      <w:bookmarkStart w:id="145" w:name="_Toc352229754"/>
      <w:bookmarkStart w:id="146" w:name="_Toc11030"/>
      <w:bookmarkStart w:id="147" w:name="_Toc4559"/>
      <w:bookmarkStart w:id="148" w:name="_Toc79392583"/>
      <w:bookmarkStart w:id="149" w:name="_Toc139991738"/>
      <w:bookmarkStart w:id="150" w:name="_Toc20768"/>
      <w:bookmarkStart w:id="151" w:name="_Toc6447"/>
      <w:bookmarkStart w:id="152" w:name="_Toc7058"/>
      <w:bookmarkStart w:id="153" w:name="_Toc10650"/>
      <w:bookmarkStart w:id="154" w:name="_Toc18567"/>
      <w:bookmarkStart w:id="155" w:name="_Toc3771"/>
      <w:bookmarkStart w:id="156" w:name="_Toc25783"/>
      <w:bookmarkStart w:id="157" w:name="_Toc3321"/>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r>
        <w:rPr>
          <w:rFonts w:hint="eastAsia"/>
          <w:sz w:val="30"/>
          <w:szCs w:val="30"/>
        </w:rPr>
        <w:lastRenderedPageBreak/>
        <w:t>第七部分</w:t>
      </w:r>
      <w:r>
        <w:rPr>
          <w:sz w:val="30"/>
          <w:szCs w:val="30"/>
          <w:lang w:val="en-US"/>
        </w:rPr>
        <w:t xml:space="preserve">  </w:t>
      </w:r>
      <w:r>
        <w:rPr>
          <w:rFonts w:hint="eastAsia"/>
          <w:sz w:val="30"/>
          <w:szCs w:val="30"/>
        </w:rPr>
        <w:t>基金</w:t>
      </w:r>
      <w:bookmarkEnd w:id="135"/>
      <w:bookmarkEnd w:id="136"/>
      <w:r>
        <w:rPr>
          <w:rFonts w:hint="eastAsia"/>
          <w:sz w:val="30"/>
          <w:szCs w:val="30"/>
        </w:rPr>
        <w:t>合同的生效</w:t>
      </w:r>
      <w:bookmarkEnd w:id="137"/>
      <w:bookmarkEnd w:id="138"/>
    </w:p>
    <w:p w14:paraId="52FB69BA"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根据《基金法》、《运作办法》以及基金合同、招募说明书、基金份额发售公告的有关规定，本基金募集结果符合有关条件，本基金管理人于2018年2月13日向中国证监会办理完毕基金备案手续并已获书面确认，基金合同自该日期正式生效。自基金合同生效之日起，本基金管理人正式开始管理本基金。</w:t>
      </w:r>
    </w:p>
    <w:p w14:paraId="1213E24F" w14:textId="77777777" w:rsidR="003E4D36" w:rsidRDefault="00E729B5">
      <w:pPr>
        <w:adjustRightInd w:val="0"/>
        <w:snapToGrid w:val="0"/>
        <w:spacing w:line="360" w:lineRule="auto"/>
        <w:ind w:firstLineChars="200" w:firstLine="480"/>
        <w:jc w:val="left"/>
        <w:rPr>
          <w:rFonts w:asciiTheme="minorEastAsia" w:hAnsiTheme="minorEastAsia" w:cs="Times New Roman"/>
          <w:sz w:val="24"/>
          <w:szCs w:val="24"/>
        </w:rPr>
      </w:pPr>
      <w:bookmarkStart w:id="158" w:name="_Toc263092316"/>
      <w:bookmarkStart w:id="159" w:name="_Toc12357171"/>
      <w:bookmarkStart w:id="160" w:name="_Toc21073391"/>
      <w:bookmarkStart w:id="161" w:name="_Toc416264544"/>
      <w:bookmarkStart w:id="162" w:name="_Toc147463118"/>
      <w:bookmarkStart w:id="163" w:name="_Toc214873597"/>
      <w:bookmarkStart w:id="164" w:name="_Toc98560355"/>
      <w:bookmarkStart w:id="165" w:name="_Toc141703889"/>
      <w:bookmarkStart w:id="166" w:name="_Toc31821"/>
      <w:bookmarkStart w:id="167" w:name="_Toc352229755"/>
      <w:bookmarkStart w:id="168" w:name="_Toc139991739"/>
      <w:bookmarkStart w:id="169" w:name="_Toc123112237"/>
      <w:bookmarkStart w:id="170" w:name="_Toc725"/>
      <w:bookmarkStart w:id="171" w:name="_Toc3963"/>
      <w:bookmarkStart w:id="172" w:name="_Toc123051455"/>
      <w:bookmarkStart w:id="173" w:name="_Toc1745"/>
      <w:bookmarkStart w:id="174" w:name="_Toc10398"/>
      <w:bookmarkStart w:id="175" w:name="_Toc123102456"/>
      <w:bookmarkStart w:id="176" w:name="_Toc18206"/>
      <w:bookmarkStart w:id="177" w:name="_Toc16164"/>
      <w:bookmarkStart w:id="178" w:name="_Toc18769"/>
      <w:bookmarkStart w:id="179" w:name="_Toc21735"/>
      <w:bookmarkStart w:id="180" w:name="_Toc3080"/>
      <w:bookmarkStart w:id="181" w:name="_Toc3572"/>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r>
        <w:rPr>
          <w:rFonts w:asciiTheme="minorEastAsia" w:hAnsiTheme="minorEastAsia" w:cs="Times New Roman" w:hint="eastAsia"/>
          <w:sz w:val="24"/>
          <w:szCs w:val="24"/>
        </w:rPr>
        <w:t>《基金合同》生效后，连续20个工作日出现基金份额持有人数量不满200人或者基金资产净值低于5000万元的，基金管理人应当在定期报告中予以披露。连续60个工作日出现基金份额持有人数量不满200人或者基金资产净值低于5000万元情形的，本基金将根据《基金合同》约定进入清算程序并终止，无需召开基金份额持有人大会进行表决。</w:t>
      </w:r>
    </w:p>
    <w:p w14:paraId="1FDDAD18" w14:textId="77777777" w:rsidR="003E4D36" w:rsidRDefault="00E729B5">
      <w:pPr>
        <w:widowControl/>
        <w:ind w:firstLineChars="200" w:firstLine="480"/>
        <w:jc w:val="left"/>
        <w:rPr>
          <w:rFonts w:asciiTheme="minorEastAsia" w:hAnsiTheme="minorEastAsia" w:cs="Times New Roman"/>
          <w:sz w:val="24"/>
          <w:szCs w:val="24"/>
        </w:rPr>
      </w:pPr>
      <w:r>
        <w:rPr>
          <w:rFonts w:asciiTheme="minorEastAsia" w:hAnsiTheme="minorEastAsia" w:cs="Times New Roman" w:hint="eastAsia"/>
          <w:sz w:val="24"/>
          <w:szCs w:val="24"/>
        </w:rPr>
        <w:t>法律法规另有规定时，从其规定。</w:t>
      </w:r>
      <w:r>
        <w:rPr>
          <w:rFonts w:asciiTheme="minorEastAsia" w:hAnsiTheme="minorEastAsia" w:cs="Times New Roman"/>
          <w:sz w:val="24"/>
          <w:szCs w:val="24"/>
        </w:rPr>
        <w:br w:type="page"/>
      </w:r>
    </w:p>
    <w:p w14:paraId="164634A2" w14:textId="77777777" w:rsidR="003E4D36" w:rsidRDefault="00E729B5">
      <w:pPr>
        <w:pStyle w:val="1"/>
        <w:jc w:val="center"/>
        <w:rPr>
          <w:rFonts w:ascii="Arial" w:hAnsi="Arial" w:cs="Arial"/>
          <w:bCs/>
          <w:sz w:val="30"/>
          <w:szCs w:val="30"/>
        </w:rPr>
      </w:pPr>
      <w:bookmarkStart w:id="182" w:name="_Toc523243823"/>
      <w:r>
        <w:rPr>
          <w:rFonts w:hint="eastAsia"/>
          <w:sz w:val="30"/>
          <w:szCs w:val="30"/>
        </w:rPr>
        <w:lastRenderedPageBreak/>
        <w:t>第八部分</w:t>
      </w:r>
      <w:r>
        <w:rPr>
          <w:sz w:val="30"/>
          <w:szCs w:val="30"/>
        </w:rPr>
        <w:t xml:space="preserve">  </w:t>
      </w:r>
      <w:r>
        <w:rPr>
          <w:rFonts w:hint="eastAsia"/>
          <w:sz w:val="30"/>
          <w:szCs w:val="30"/>
        </w:rPr>
        <w:t>基金份额的申购与赎回</w:t>
      </w:r>
      <w:bookmarkEnd w:id="158"/>
      <w:bookmarkEnd w:id="159"/>
      <w:bookmarkEnd w:id="160"/>
      <w:bookmarkEnd w:id="161"/>
      <w:bookmarkEnd w:id="162"/>
      <w:bookmarkEnd w:id="163"/>
      <w:bookmarkEnd w:id="182"/>
    </w:p>
    <w:p w14:paraId="1E5DE632" w14:textId="77777777" w:rsidR="003E4D36" w:rsidRDefault="00E729B5">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一、申购和赎回场所</w:t>
      </w:r>
    </w:p>
    <w:p w14:paraId="1354E09C" w14:textId="389ADA3C" w:rsidR="003E4D36" w:rsidRDefault="00E729B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本基金的申购与赎回将通过销售机构进行。具体的销售网点将由基金管理人在其他相关公告中列明。基金管理人可根据情况变更或增减销售机构，</w:t>
      </w:r>
      <w:r w:rsidR="00CD6203" w:rsidRPr="00327B0A">
        <w:rPr>
          <w:rFonts w:asciiTheme="minorEastAsia" w:hAnsiTheme="minorEastAsia" w:cs="Times New Roman" w:hint="eastAsia"/>
          <w:bCs/>
          <w:sz w:val="24"/>
          <w:szCs w:val="24"/>
        </w:rPr>
        <w:t>并在管理人网站公示</w:t>
      </w:r>
      <w:r>
        <w:rPr>
          <w:rFonts w:asciiTheme="minorEastAsia" w:hAnsiTheme="minorEastAsia" w:cs="Times New Roman" w:hint="eastAsia"/>
          <w:bCs/>
          <w:sz w:val="24"/>
          <w:szCs w:val="24"/>
        </w:rPr>
        <w:t>。基金投资者应当在销售机构办理基金销售业务的营业场所或按销售机构提供的其他方式办理基金份额的申购与赎回。</w:t>
      </w:r>
    </w:p>
    <w:p w14:paraId="3A398F59" w14:textId="77777777" w:rsidR="003E4D36" w:rsidRDefault="00E729B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若基金管理人或其指定的销售机构开通电话、传真或网上等交易方式，投资人可以通过上述方式进行申购与赎回，具体办法由基金管理人或其指定的销售机构另行公告。</w:t>
      </w:r>
    </w:p>
    <w:p w14:paraId="4D3D1888" w14:textId="77777777" w:rsidR="003E4D36" w:rsidRDefault="00E729B5">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二、申购和赎回的开放日及时间</w:t>
      </w:r>
    </w:p>
    <w:p w14:paraId="3BE2F305" w14:textId="77777777" w:rsidR="003E4D36" w:rsidRDefault="00E729B5">
      <w:pPr>
        <w:tabs>
          <w:tab w:val="left" w:pos="1110"/>
        </w:tabs>
        <w:adjustRightInd w:val="0"/>
        <w:snapToGrid w:val="0"/>
        <w:spacing w:line="360" w:lineRule="auto"/>
        <w:ind w:firstLineChars="200" w:firstLine="480"/>
        <w:rPr>
          <w:rFonts w:asciiTheme="minorEastAsia" w:hAnsiTheme="minorEastAsia" w:cs="Arial"/>
          <w:sz w:val="24"/>
          <w:szCs w:val="24"/>
        </w:rPr>
      </w:pPr>
      <w:bookmarkStart w:id="183" w:name="_Toc510842719"/>
      <w:r>
        <w:rPr>
          <w:rFonts w:asciiTheme="minorEastAsia" w:hAnsiTheme="minorEastAsia" w:cs="Arial" w:hint="eastAsia"/>
          <w:sz w:val="24"/>
          <w:szCs w:val="24"/>
        </w:rPr>
        <w:t>1、开放日及开放时间</w:t>
      </w:r>
    </w:p>
    <w:p w14:paraId="0C91E9F3" w14:textId="77777777" w:rsidR="003E4D36" w:rsidRDefault="00E729B5">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54C8CEAA" w14:textId="77777777" w:rsidR="003E4D36" w:rsidRDefault="00E729B5">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合同生效后，若出现新的证券/期货交易市场、证券/期货交易所交易时间变更或其他特殊情况，基金管理人将视情况对前述开放日及开放时间进行相应的调整，但应在实施日前依照《信息披露办法》的有关规定在指定媒介上公告。</w:t>
      </w:r>
    </w:p>
    <w:p w14:paraId="36AD4339" w14:textId="77777777" w:rsidR="003E4D36" w:rsidRDefault="00E729B5">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2、申购、赎回开始日及业务办理时间</w:t>
      </w:r>
    </w:p>
    <w:p w14:paraId="2FF8B807" w14:textId="77777777" w:rsidR="003E4D36" w:rsidRDefault="00E729B5">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本基金已于2018年2月26日开始办理申购、赎回业务。</w:t>
      </w:r>
    </w:p>
    <w:p w14:paraId="73B8A19B" w14:textId="77777777" w:rsidR="003E4D36" w:rsidRDefault="00E729B5">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且登记机构确认接受的，其基金份额申购、赎回价格为下一开放日该类别基金份额申购、赎回的价格。</w:t>
      </w:r>
    </w:p>
    <w:bookmarkEnd w:id="183"/>
    <w:p w14:paraId="0D1CB8F0" w14:textId="77777777" w:rsidR="003E4D36" w:rsidRDefault="00E729B5">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三、申购与赎回的原则</w:t>
      </w:r>
    </w:p>
    <w:p w14:paraId="21EF8BF5" w14:textId="77777777" w:rsidR="003E4D36" w:rsidRDefault="00E729B5">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、“未知价”原则，即申购、赎回价格以申请当日收市后计算的某一类别基金份额净值为基准进行计算；</w:t>
      </w:r>
    </w:p>
    <w:p w14:paraId="7DD8F564" w14:textId="77777777" w:rsidR="003E4D36" w:rsidRDefault="00E729B5">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、“金额申购、份额赎回”原则，即申购以金额申请，赎回以份额申请；</w:t>
      </w:r>
    </w:p>
    <w:p w14:paraId="074AF0CC" w14:textId="77777777" w:rsidR="003E4D36" w:rsidRDefault="00E729B5">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、当日的申购与赎回申请可以在基金管理人规定的时间以内撤销；</w:t>
      </w:r>
    </w:p>
    <w:p w14:paraId="61047223" w14:textId="77777777" w:rsidR="003E4D36" w:rsidRDefault="00E729B5">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4</w:t>
      </w:r>
      <w:r>
        <w:rPr>
          <w:rFonts w:asciiTheme="minorEastAsia" w:hAnsiTheme="minorEastAsia" w:cs="Arial" w:hint="eastAsia"/>
          <w:sz w:val="24"/>
          <w:szCs w:val="24"/>
        </w:rPr>
        <w:t>、赎回遵循“先进先出”原则，即按照投资人认购、申购的先后次序进行</w:t>
      </w:r>
      <w:r>
        <w:rPr>
          <w:rFonts w:asciiTheme="minorEastAsia" w:hAnsiTheme="minorEastAsia" w:cs="Arial" w:hint="eastAsia"/>
          <w:sz w:val="24"/>
          <w:szCs w:val="24"/>
        </w:rPr>
        <w:lastRenderedPageBreak/>
        <w:t>顺序赎回；</w:t>
      </w:r>
    </w:p>
    <w:p w14:paraId="029B931E" w14:textId="77777777" w:rsidR="003E4D36" w:rsidRDefault="00E729B5">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5、投资者办理申购、赎回等业务时应提交的文件和办理手续、办理时间、处理规则等在遵守基金合同和招募说明书规定的前提下，以各销售机构的具体规定为准。</w:t>
      </w:r>
    </w:p>
    <w:p w14:paraId="256796AE" w14:textId="27B2FD46" w:rsidR="003E4D36" w:rsidRDefault="00E729B5">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基金管理人可在法律法规允许的情况下，对上述原则进行调整。基金管理人必须在新规则开始实施前依照《信息披露办法》的有关规定</w:t>
      </w:r>
      <w:r w:rsidR="00CD6203" w:rsidRPr="00CD6203">
        <w:rPr>
          <w:rFonts w:asciiTheme="minorEastAsia" w:hAnsiTheme="minorEastAsia" w:cs="Arial" w:hint="eastAsia"/>
          <w:sz w:val="24"/>
          <w:szCs w:val="24"/>
        </w:rPr>
        <w:t>进行公告</w:t>
      </w:r>
      <w:r>
        <w:rPr>
          <w:rFonts w:asciiTheme="minorEastAsia" w:hAnsiTheme="minorEastAsia" w:cs="Arial" w:hint="eastAsia"/>
          <w:sz w:val="24"/>
          <w:szCs w:val="24"/>
        </w:rPr>
        <w:t>。</w:t>
      </w:r>
    </w:p>
    <w:p w14:paraId="120C4E35" w14:textId="77777777" w:rsidR="003E4D36" w:rsidRDefault="00E729B5">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四、申购与赎回的程序</w:t>
      </w:r>
    </w:p>
    <w:p w14:paraId="7D210C2F" w14:textId="77777777" w:rsidR="003E4D36" w:rsidRDefault="00E729B5">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、申购和赎回的申请方式</w:t>
      </w:r>
    </w:p>
    <w:p w14:paraId="77DD6B78" w14:textId="77777777" w:rsidR="003E4D36" w:rsidRDefault="00E729B5">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投资人必须根据销售机构规定的程序，在开放日的具体业务办理时间内提出申购或赎回的申请。</w:t>
      </w:r>
    </w:p>
    <w:p w14:paraId="0470D94D" w14:textId="77777777" w:rsidR="003E4D36" w:rsidRDefault="00E729B5">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、申购和赎回的款项支付</w:t>
      </w:r>
    </w:p>
    <w:p w14:paraId="784D1871" w14:textId="77777777" w:rsidR="003E4D36" w:rsidRDefault="00E729B5">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投资人申购基金份额时，必须全额交付申购款项，投资人在规定时间前全额交付申购款项，申购成立；登记机构确认基金份额时，申购生效。</w:t>
      </w:r>
    </w:p>
    <w:p w14:paraId="40AF8D1A" w14:textId="77777777" w:rsidR="003E4D36" w:rsidRDefault="00E729B5">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基金份额持有人递交赎回申请，赎回成立；登记机构确认赎回时，赎回生效。投资人赎回申请成功后，基金管理人将在</w:t>
      </w:r>
      <w:r>
        <w:rPr>
          <w:rFonts w:asciiTheme="minorEastAsia" w:hAnsiTheme="minorEastAsia" w:cs="Arial"/>
          <w:sz w:val="24"/>
          <w:szCs w:val="24"/>
        </w:rPr>
        <w:t>T</w:t>
      </w:r>
      <w:r>
        <w:rPr>
          <w:rFonts w:asciiTheme="minorEastAsia" w:hAnsiTheme="minorEastAsia" w:cs="Arial" w:hint="eastAsia"/>
          <w:sz w:val="24"/>
          <w:szCs w:val="24"/>
        </w:rPr>
        <w:t>＋</w:t>
      </w:r>
      <w:r>
        <w:rPr>
          <w:rFonts w:asciiTheme="minorEastAsia" w:hAnsiTheme="minorEastAsia" w:cs="Arial"/>
          <w:sz w:val="24"/>
          <w:szCs w:val="24"/>
        </w:rPr>
        <w:t>7</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内支付赎回款项。在发生巨额赎回时，款项的支付办法参照基金合同有关条款处理。</w:t>
      </w:r>
    </w:p>
    <w:p w14:paraId="29C50792" w14:textId="77777777" w:rsidR="003E4D36" w:rsidRDefault="00E729B5">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、申购和赎回申请的确认</w:t>
      </w:r>
    </w:p>
    <w:p w14:paraId="06C03FD0" w14:textId="77777777" w:rsidR="003E4D36" w:rsidRDefault="00E729B5">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基金管理人应以交易时间结束前受理有效申购和赎回申请的当天作为申购或赎回申请日</w:t>
      </w:r>
      <w:r>
        <w:rPr>
          <w:rFonts w:asciiTheme="minorEastAsia" w:hAnsiTheme="minorEastAsia" w:cs="Arial"/>
          <w:sz w:val="24"/>
          <w:szCs w:val="24"/>
        </w:rPr>
        <w:t>(T</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，在正常情况下，本基金登记机构在</w:t>
      </w:r>
      <w:r>
        <w:rPr>
          <w:rFonts w:asciiTheme="minorEastAsia" w:hAnsiTheme="minorEastAsia" w:cs="Arial"/>
          <w:sz w:val="24"/>
          <w:szCs w:val="24"/>
        </w:rPr>
        <w:t>T+1</w:t>
      </w:r>
      <w:r>
        <w:rPr>
          <w:rFonts w:asciiTheme="minorEastAsia" w:hAnsiTheme="minorEastAsia" w:cs="Arial" w:hint="eastAsia"/>
          <w:sz w:val="24"/>
          <w:szCs w:val="24"/>
        </w:rPr>
        <w:t>日内对该交易的有效性进行确认。</w:t>
      </w:r>
      <w:r>
        <w:rPr>
          <w:rFonts w:asciiTheme="minorEastAsia" w:hAnsiTheme="minorEastAsia" w:cs="Arial"/>
          <w:sz w:val="24"/>
          <w:szCs w:val="24"/>
        </w:rPr>
        <w:t>T</w:t>
      </w:r>
      <w:r>
        <w:rPr>
          <w:rFonts w:asciiTheme="minorEastAsia" w:hAnsiTheme="minorEastAsia" w:cs="Arial" w:hint="eastAsia"/>
          <w:sz w:val="24"/>
          <w:szCs w:val="24"/>
        </w:rPr>
        <w:t>日提交的有效申请，投资人应在</w:t>
      </w:r>
      <w:r>
        <w:rPr>
          <w:rFonts w:asciiTheme="minorEastAsia" w:hAnsiTheme="minorEastAsia" w:cs="Arial"/>
          <w:sz w:val="24"/>
          <w:szCs w:val="24"/>
        </w:rPr>
        <w:t>T+2</w:t>
      </w:r>
      <w:r>
        <w:rPr>
          <w:rFonts w:asciiTheme="minorEastAsia" w:hAnsiTheme="minorEastAsia" w:cs="Arial" w:hint="eastAsia"/>
          <w:sz w:val="24"/>
          <w:szCs w:val="24"/>
        </w:rPr>
        <w:t>日后</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及时到销售网点柜台或以销售机构规定的其他方式查询申请的确认情况。若申购不成功，则申购款项退还给投资人。</w:t>
      </w:r>
    </w:p>
    <w:p w14:paraId="185CC4E3" w14:textId="77777777" w:rsidR="003E4D36" w:rsidRDefault="00E729B5">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基金销售机构对申购、赎回申请的受理并不代表申请一定成功，而仅代表销售机构确实接收到申请。申购、赎回申请的确认以登记机构的确认结果为准。对于申请的确认情况，投资者应及时查询。</w:t>
      </w:r>
    </w:p>
    <w:p w14:paraId="39FA0664" w14:textId="77777777" w:rsidR="003E4D36" w:rsidRDefault="00E729B5">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基金管理人可以在法律法规和基金合同允许的范围内，对上述业务办理时间进行调整，并在调整实施前依照《信息披露办法》的有关规定在指定媒介上公告。</w:t>
      </w:r>
    </w:p>
    <w:p w14:paraId="47D40092" w14:textId="77777777" w:rsidR="003E4D36" w:rsidRDefault="00E729B5">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五、申购与赎回的数额限制</w:t>
      </w:r>
    </w:p>
    <w:p w14:paraId="2B26BD81" w14:textId="77777777" w:rsidR="003E4D36" w:rsidRDefault="00E729B5">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1、投资人申购 A 类基金份额，首次单笔最低申购金额为人民币1.00元，追加申购单笔最低金额为人民币1.00元。投资人申购 C 类基金份额，首次单笔</w:t>
      </w:r>
      <w:r>
        <w:rPr>
          <w:rFonts w:asciiTheme="minorEastAsia" w:hAnsiTheme="minorEastAsia" w:cs="Arial" w:hint="eastAsia"/>
          <w:sz w:val="24"/>
          <w:szCs w:val="24"/>
        </w:rPr>
        <w:lastRenderedPageBreak/>
        <w:t xml:space="preserve">最低申购金额为人民币 </w:t>
      </w:r>
      <w:r>
        <w:rPr>
          <w:rFonts w:asciiTheme="minorEastAsia" w:hAnsiTheme="minorEastAsia" w:cs="Arial" w:hint="eastAsia"/>
          <w:kern w:val="0"/>
          <w:sz w:val="24"/>
          <w:szCs w:val="24"/>
        </w:rPr>
        <w:t>5,000,000</w:t>
      </w:r>
      <w:r>
        <w:rPr>
          <w:rFonts w:asciiTheme="minorEastAsia" w:hAnsiTheme="minorEastAsia" w:cs="Arial" w:hint="eastAsia"/>
          <w:sz w:val="24"/>
          <w:szCs w:val="24"/>
        </w:rPr>
        <w:t>.00元，追加申购单笔最低金额为人民币 1.00 元。各销售机构在不低于上述规定的前提下， 可根据自己的情况调整首次最低申购金额和追加最低申购金额和追加最低申购金额限制，具体以销售机构公布的为准。</w:t>
      </w:r>
    </w:p>
    <w:p w14:paraId="0840B6E3" w14:textId="77777777" w:rsidR="003E4D36" w:rsidRDefault="00E729B5">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2、基金份额持有人在销售机构赎回时，每个交易账户最低持有某一类别基金份额余额为 1.00 份，若某笔赎回导致单个交易账户的某一类别基金份额余额少于 1.00 份时，该类份额余额部分基金份额必须一同赎回。</w:t>
      </w:r>
    </w:p>
    <w:p w14:paraId="35B4DEB5" w14:textId="77777777" w:rsidR="003E4D36" w:rsidRDefault="00E729B5">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3、基金管理人可以规定单个投资者累计持有的某一类别基金份额数量限制，具体规定见定期更新的招募说明书或相关公告。</w:t>
      </w:r>
    </w:p>
    <w:p w14:paraId="76D0A117" w14:textId="77777777" w:rsidR="003E4D36" w:rsidRDefault="00E729B5">
      <w:pPr>
        <w:spacing w:line="360" w:lineRule="auto"/>
        <w:ind w:firstLineChars="200" w:firstLine="480"/>
        <w:rPr>
          <w:bCs/>
          <w:sz w:val="24"/>
          <w:szCs w:val="24"/>
        </w:rPr>
      </w:pPr>
      <w:r>
        <w:rPr>
          <w:bCs/>
          <w:sz w:val="24"/>
          <w:szCs w:val="24"/>
        </w:rPr>
        <w:t>4</w:t>
      </w:r>
      <w:r>
        <w:rPr>
          <w:rFonts w:hint="eastAsia"/>
          <w:bCs/>
          <w:sz w:val="24"/>
          <w:szCs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14:paraId="3CC0D94E" w14:textId="18AB393A" w:rsidR="003E4D36" w:rsidRDefault="00E729B5">
      <w:pPr>
        <w:spacing w:line="360" w:lineRule="auto"/>
        <w:ind w:firstLineChars="200" w:firstLine="480"/>
        <w:rPr>
          <w:bCs/>
          <w:sz w:val="24"/>
          <w:szCs w:val="24"/>
        </w:rPr>
      </w:pPr>
      <w:r>
        <w:rPr>
          <w:bCs/>
          <w:sz w:val="24"/>
          <w:szCs w:val="24"/>
        </w:rPr>
        <w:t>5</w:t>
      </w:r>
      <w:r>
        <w:rPr>
          <w:rFonts w:hint="eastAsia"/>
          <w:bCs/>
          <w:sz w:val="24"/>
          <w:szCs w:val="24"/>
        </w:rPr>
        <w:t>、</w:t>
      </w:r>
      <w:r>
        <w:rPr>
          <w:bCs/>
          <w:sz w:val="24"/>
          <w:szCs w:val="24"/>
        </w:rPr>
        <w:t>基金管理人可在法律法规允许的情况下，调整上述规定申购金额和赎回份额</w:t>
      </w:r>
      <w:r>
        <w:rPr>
          <w:rFonts w:hint="eastAsia"/>
          <w:bCs/>
          <w:sz w:val="24"/>
          <w:szCs w:val="24"/>
        </w:rPr>
        <w:t>等</w:t>
      </w:r>
      <w:r>
        <w:rPr>
          <w:bCs/>
          <w:sz w:val="24"/>
          <w:szCs w:val="24"/>
        </w:rPr>
        <w:t>数量限制。基金管理人必须在调整</w:t>
      </w:r>
      <w:r>
        <w:rPr>
          <w:rFonts w:hint="eastAsia"/>
          <w:bCs/>
          <w:sz w:val="24"/>
          <w:szCs w:val="24"/>
        </w:rPr>
        <w:t>实施</w:t>
      </w:r>
      <w:r>
        <w:rPr>
          <w:bCs/>
          <w:sz w:val="24"/>
          <w:szCs w:val="24"/>
        </w:rPr>
        <w:t>前依照《信息披露办法》的有关规定在指定</w:t>
      </w:r>
      <w:r>
        <w:rPr>
          <w:rFonts w:hint="eastAsia"/>
          <w:bCs/>
          <w:sz w:val="24"/>
          <w:szCs w:val="24"/>
        </w:rPr>
        <w:t>媒介</w:t>
      </w:r>
      <w:r>
        <w:rPr>
          <w:bCs/>
          <w:sz w:val="24"/>
          <w:szCs w:val="24"/>
        </w:rPr>
        <w:t>上公告。</w:t>
      </w:r>
    </w:p>
    <w:p w14:paraId="4D5D592E" w14:textId="77777777" w:rsidR="003E4D36" w:rsidRDefault="00E729B5">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六、申购费用、赎回费用</w:t>
      </w:r>
    </w:p>
    <w:p w14:paraId="11331D5E" w14:textId="77777777" w:rsidR="003E4D36" w:rsidRDefault="00E729B5">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、申购费用</w:t>
      </w:r>
    </w:p>
    <w:p w14:paraId="70FA68F3" w14:textId="77777777" w:rsidR="003E4D36" w:rsidRDefault="00E729B5">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类基金份额申购均采用金额申购方式，申购费率如下表。投资者在一天之内如果有多笔申购，费率按单笔分别计算。</w:t>
      </w:r>
    </w:p>
    <w:tbl>
      <w:tblPr>
        <w:tblW w:w="82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84"/>
        <w:gridCol w:w="4312"/>
      </w:tblGrid>
      <w:tr w:rsidR="003E4D36" w14:paraId="7CB6CFEA" w14:textId="77777777">
        <w:trPr>
          <w:trHeight w:val="190"/>
          <w:jc w:val="center"/>
        </w:trPr>
        <w:tc>
          <w:tcPr>
            <w:tcW w:w="8296" w:type="dxa"/>
            <w:gridSpan w:val="2"/>
            <w:tcBorders>
              <w:top w:val="single" w:sz="4" w:space="0" w:color="auto"/>
              <w:left w:val="single" w:sz="4" w:space="0" w:color="auto"/>
              <w:bottom w:val="single" w:sz="4" w:space="0" w:color="auto"/>
              <w:right w:val="single" w:sz="4" w:space="0" w:color="auto"/>
            </w:tcBorders>
          </w:tcPr>
          <w:p w14:paraId="51992F42" w14:textId="77777777" w:rsidR="003E4D36" w:rsidRDefault="00E729B5">
            <w:pPr>
              <w:widowControl/>
              <w:spacing w:line="264" w:lineRule="auto"/>
              <w:jc w:val="center"/>
              <w:rPr>
                <w:rFonts w:asciiTheme="minorEastAsia" w:hAnsiTheme="minorEastAsia" w:cs="Arial"/>
                <w:bCs/>
                <w:kern w:val="0"/>
                <w:sz w:val="24"/>
                <w:szCs w:val="24"/>
              </w:rPr>
            </w:pPr>
            <w:r>
              <w:rPr>
                <w:rFonts w:asciiTheme="minorEastAsia" w:hAnsiTheme="minorEastAsia" w:cs="Arial" w:hint="eastAsia"/>
                <w:b/>
                <w:bCs/>
                <w:kern w:val="0"/>
                <w:sz w:val="24"/>
                <w:szCs w:val="24"/>
              </w:rPr>
              <w:t>A类基金份额</w:t>
            </w:r>
          </w:p>
        </w:tc>
      </w:tr>
      <w:tr w:rsidR="003E4D36" w14:paraId="599794FD" w14:textId="77777777">
        <w:trPr>
          <w:trHeight w:val="190"/>
          <w:jc w:val="center"/>
        </w:trPr>
        <w:tc>
          <w:tcPr>
            <w:tcW w:w="3984" w:type="dxa"/>
            <w:tcBorders>
              <w:top w:val="single" w:sz="4" w:space="0" w:color="auto"/>
              <w:left w:val="single" w:sz="4" w:space="0" w:color="auto"/>
              <w:bottom w:val="single" w:sz="4" w:space="0" w:color="auto"/>
              <w:right w:val="single" w:sz="4" w:space="0" w:color="auto"/>
            </w:tcBorders>
          </w:tcPr>
          <w:p w14:paraId="0C533527" w14:textId="77777777" w:rsidR="003E4D36" w:rsidRDefault="00E729B5">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申购金额（M）</w:t>
            </w:r>
          </w:p>
        </w:tc>
        <w:tc>
          <w:tcPr>
            <w:tcW w:w="4312" w:type="dxa"/>
            <w:tcBorders>
              <w:top w:val="single" w:sz="4" w:space="0" w:color="auto"/>
              <w:left w:val="single" w:sz="4" w:space="0" w:color="auto"/>
              <w:bottom w:val="single" w:sz="4" w:space="0" w:color="auto"/>
              <w:right w:val="single" w:sz="4" w:space="0" w:color="auto"/>
            </w:tcBorders>
          </w:tcPr>
          <w:p w14:paraId="6F2AD76E" w14:textId="77777777" w:rsidR="003E4D36" w:rsidRDefault="00E729B5">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申购费率</w:t>
            </w:r>
          </w:p>
        </w:tc>
      </w:tr>
      <w:tr w:rsidR="003E4D36" w14:paraId="10C1BD53" w14:textId="77777777">
        <w:trPr>
          <w:trHeight w:val="190"/>
          <w:jc w:val="center"/>
        </w:trPr>
        <w:tc>
          <w:tcPr>
            <w:tcW w:w="3984" w:type="dxa"/>
            <w:tcBorders>
              <w:top w:val="single" w:sz="4" w:space="0" w:color="auto"/>
              <w:left w:val="single" w:sz="4" w:space="0" w:color="auto"/>
              <w:bottom w:val="single" w:sz="4" w:space="0" w:color="auto"/>
              <w:right w:val="single" w:sz="4" w:space="0" w:color="auto"/>
            </w:tcBorders>
          </w:tcPr>
          <w:p w14:paraId="273B9BD5" w14:textId="77777777" w:rsidR="003E4D36" w:rsidRDefault="00E729B5">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M＜100万元</w:t>
            </w:r>
          </w:p>
        </w:tc>
        <w:tc>
          <w:tcPr>
            <w:tcW w:w="4312" w:type="dxa"/>
            <w:tcBorders>
              <w:top w:val="single" w:sz="4" w:space="0" w:color="auto"/>
              <w:left w:val="single" w:sz="4" w:space="0" w:color="auto"/>
              <w:bottom w:val="single" w:sz="4" w:space="0" w:color="auto"/>
              <w:right w:val="single" w:sz="4" w:space="0" w:color="auto"/>
            </w:tcBorders>
          </w:tcPr>
          <w:p w14:paraId="34D5FFC3" w14:textId="77777777" w:rsidR="003E4D36" w:rsidRDefault="00E729B5">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1.50%</w:t>
            </w:r>
          </w:p>
        </w:tc>
      </w:tr>
      <w:tr w:rsidR="003E4D36" w14:paraId="36B7ACC2" w14:textId="77777777">
        <w:trPr>
          <w:trHeight w:val="190"/>
          <w:jc w:val="center"/>
        </w:trPr>
        <w:tc>
          <w:tcPr>
            <w:tcW w:w="3984" w:type="dxa"/>
            <w:tcBorders>
              <w:top w:val="single" w:sz="4" w:space="0" w:color="auto"/>
              <w:left w:val="single" w:sz="4" w:space="0" w:color="auto"/>
              <w:bottom w:val="single" w:sz="4" w:space="0" w:color="auto"/>
              <w:right w:val="single" w:sz="4" w:space="0" w:color="auto"/>
            </w:tcBorders>
          </w:tcPr>
          <w:p w14:paraId="7388D8B0" w14:textId="77777777" w:rsidR="003E4D36" w:rsidRDefault="00E729B5">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100万元≤M＜500万元</w:t>
            </w:r>
          </w:p>
        </w:tc>
        <w:tc>
          <w:tcPr>
            <w:tcW w:w="4312" w:type="dxa"/>
            <w:tcBorders>
              <w:top w:val="single" w:sz="4" w:space="0" w:color="auto"/>
              <w:left w:val="single" w:sz="4" w:space="0" w:color="auto"/>
              <w:bottom w:val="single" w:sz="4" w:space="0" w:color="auto"/>
              <w:right w:val="single" w:sz="4" w:space="0" w:color="auto"/>
            </w:tcBorders>
          </w:tcPr>
          <w:p w14:paraId="63EDD956" w14:textId="77777777" w:rsidR="003E4D36" w:rsidRDefault="00E729B5">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w:t>
            </w:r>
          </w:p>
        </w:tc>
      </w:tr>
      <w:tr w:rsidR="003E4D36" w14:paraId="4B520632" w14:textId="77777777">
        <w:trPr>
          <w:trHeight w:val="190"/>
          <w:jc w:val="center"/>
        </w:trPr>
        <w:tc>
          <w:tcPr>
            <w:tcW w:w="3984" w:type="dxa"/>
            <w:tcBorders>
              <w:top w:val="single" w:sz="4" w:space="0" w:color="auto"/>
              <w:left w:val="single" w:sz="4" w:space="0" w:color="auto"/>
              <w:bottom w:val="single" w:sz="4" w:space="0" w:color="auto"/>
              <w:right w:val="single" w:sz="4" w:space="0" w:color="auto"/>
            </w:tcBorders>
          </w:tcPr>
          <w:p w14:paraId="3F6B5343" w14:textId="77777777" w:rsidR="003E4D36" w:rsidRDefault="00E729B5">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500万元≤M＜1000万元</w:t>
            </w:r>
          </w:p>
        </w:tc>
        <w:tc>
          <w:tcPr>
            <w:tcW w:w="4312" w:type="dxa"/>
            <w:tcBorders>
              <w:top w:val="single" w:sz="4" w:space="0" w:color="auto"/>
              <w:left w:val="single" w:sz="4" w:space="0" w:color="auto"/>
              <w:bottom w:val="single" w:sz="4" w:space="0" w:color="auto"/>
              <w:right w:val="single" w:sz="4" w:space="0" w:color="auto"/>
            </w:tcBorders>
          </w:tcPr>
          <w:p w14:paraId="13660171" w14:textId="77777777" w:rsidR="003E4D36" w:rsidRDefault="00E729B5">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0.30%</w:t>
            </w:r>
          </w:p>
        </w:tc>
      </w:tr>
      <w:tr w:rsidR="003E4D36" w14:paraId="74359348" w14:textId="77777777">
        <w:trPr>
          <w:trHeight w:val="190"/>
          <w:jc w:val="center"/>
        </w:trPr>
        <w:tc>
          <w:tcPr>
            <w:tcW w:w="3984" w:type="dxa"/>
            <w:tcBorders>
              <w:top w:val="single" w:sz="4" w:space="0" w:color="auto"/>
              <w:left w:val="single" w:sz="4" w:space="0" w:color="auto"/>
              <w:bottom w:val="single" w:sz="4" w:space="0" w:color="auto"/>
              <w:right w:val="single" w:sz="4" w:space="0" w:color="auto"/>
            </w:tcBorders>
          </w:tcPr>
          <w:p w14:paraId="24C48435" w14:textId="77777777" w:rsidR="003E4D36" w:rsidRDefault="00E729B5">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M≥1000万元</w:t>
            </w:r>
          </w:p>
        </w:tc>
        <w:tc>
          <w:tcPr>
            <w:tcW w:w="4312" w:type="dxa"/>
            <w:tcBorders>
              <w:top w:val="single" w:sz="4" w:space="0" w:color="auto"/>
              <w:left w:val="single" w:sz="4" w:space="0" w:color="auto"/>
              <w:bottom w:val="single" w:sz="4" w:space="0" w:color="auto"/>
              <w:right w:val="single" w:sz="4" w:space="0" w:color="auto"/>
            </w:tcBorders>
          </w:tcPr>
          <w:p w14:paraId="2210A924" w14:textId="77777777" w:rsidR="003E4D36" w:rsidRDefault="00E729B5">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1000元/笔</w:t>
            </w:r>
          </w:p>
        </w:tc>
      </w:tr>
      <w:tr w:rsidR="003E4D36" w14:paraId="703BEBA8" w14:textId="77777777">
        <w:trPr>
          <w:trHeight w:val="415"/>
          <w:jc w:val="center"/>
        </w:trPr>
        <w:tc>
          <w:tcPr>
            <w:tcW w:w="8296" w:type="dxa"/>
            <w:gridSpan w:val="2"/>
            <w:tcBorders>
              <w:top w:val="single" w:sz="4" w:space="0" w:color="auto"/>
              <w:left w:val="single" w:sz="4" w:space="0" w:color="auto"/>
              <w:bottom w:val="single" w:sz="4" w:space="0" w:color="auto"/>
              <w:right w:val="single" w:sz="4" w:space="0" w:color="auto"/>
            </w:tcBorders>
            <w:vAlign w:val="center"/>
          </w:tcPr>
          <w:p w14:paraId="46601CC1" w14:textId="77777777" w:rsidR="003E4D36" w:rsidRDefault="00E729B5">
            <w:pPr>
              <w:widowControl/>
              <w:spacing w:line="264" w:lineRule="auto"/>
              <w:jc w:val="center"/>
              <w:rPr>
                <w:rFonts w:asciiTheme="minorEastAsia" w:hAnsiTheme="minorEastAsia" w:cs="Arial"/>
                <w:b/>
                <w:kern w:val="0"/>
                <w:sz w:val="24"/>
                <w:szCs w:val="24"/>
              </w:rPr>
            </w:pPr>
            <w:r>
              <w:rPr>
                <w:rFonts w:asciiTheme="minorEastAsia" w:hAnsiTheme="minorEastAsia" w:cs="Arial" w:hint="eastAsia"/>
                <w:b/>
                <w:bCs/>
                <w:kern w:val="0"/>
                <w:sz w:val="24"/>
                <w:szCs w:val="24"/>
              </w:rPr>
              <w:t>C类基金份额</w:t>
            </w:r>
          </w:p>
        </w:tc>
      </w:tr>
      <w:tr w:rsidR="003E4D36" w14:paraId="5077EAC9" w14:textId="77777777">
        <w:trPr>
          <w:trHeight w:val="415"/>
          <w:jc w:val="center"/>
        </w:trPr>
        <w:tc>
          <w:tcPr>
            <w:tcW w:w="8296" w:type="dxa"/>
            <w:gridSpan w:val="2"/>
            <w:tcBorders>
              <w:top w:val="single" w:sz="4" w:space="0" w:color="auto"/>
              <w:left w:val="single" w:sz="4" w:space="0" w:color="auto"/>
              <w:bottom w:val="single" w:sz="4" w:space="0" w:color="auto"/>
              <w:right w:val="single" w:sz="4" w:space="0" w:color="auto"/>
            </w:tcBorders>
            <w:vAlign w:val="center"/>
          </w:tcPr>
          <w:p w14:paraId="45CC7A2D" w14:textId="77777777" w:rsidR="003E4D36" w:rsidRDefault="00E729B5">
            <w:pPr>
              <w:widowControl/>
              <w:spacing w:line="264" w:lineRule="auto"/>
              <w:jc w:val="center"/>
              <w:rPr>
                <w:rFonts w:asciiTheme="minorEastAsia" w:hAnsiTheme="minorEastAsia" w:cs="Arial"/>
                <w:kern w:val="0"/>
                <w:sz w:val="24"/>
                <w:szCs w:val="24"/>
              </w:rPr>
            </w:pPr>
            <w:r>
              <w:rPr>
                <w:rFonts w:asciiTheme="minorEastAsia" w:hAnsiTheme="minorEastAsia" w:cs="Arial" w:hint="eastAsia"/>
                <w:bCs/>
                <w:kern w:val="0"/>
                <w:sz w:val="24"/>
                <w:szCs w:val="24"/>
              </w:rPr>
              <w:t>申</w:t>
            </w:r>
            <w:r>
              <w:rPr>
                <w:rFonts w:asciiTheme="minorEastAsia" w:hAnsiTheme="minorEastAsia" w:cs="Arial" w:hint="eastAsia"/>
                <w:kern w:val="0"/>
                <w:sz w:val="24"/>
                <w:szCs w:val="24"/>
              </w:rPr>
              <w:t>购费率为零</w:t>
            </w:r>
          </w:p>
        </w:tc>
      </w:tr>
    </w:tbl>
    <w:p w14:paraId="23770414" w14:textId="77777777" w:rsidR="003E4D36" w:rsidRDefault="003E4D36">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14:paraId="27E42BB0" w14:textId="77777777" w:rsidR="003E4D36" w:rsidRDefault="00E729B5">
      <w:pPr>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本基金的申购费用由申购基金份额的投资人承担，不列入基金资产，用于基</w:t>
      </w:r>
      <w:r>
        <w:rPr>
          <w:rFonts w:asciiTheme="minorEastAsia" w:hAnsiTheme="minorEastAsia" w:cs="Arial" w:hint="eastAsia"/>
          <w:sz w:val="24"/>
          <w:szCs w:val="24"/>
        </w:rPr>
        <w:lastRenderedPageBreak/>
        <w:t>金的市场推广、销售、登记等各项费用。</w:t>
      </w:r>
    </w:p>
    <w:p w14:paraId="776CD028"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、赎回费用</w:t>
      </w:r>
    </w:p>
    <w:p w14:paraId="247A8AD7"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43"/>
        <w:gridCol w:w="2127"/>
        <w:gridCol w:w="2284"/>
      </w:tblGrid>
      <w:tr w:rsidR="003E4D36" w14:paraId="37F10B33"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0C2D1AC6" w14:textId="77777777" w:rsidR="003E4D36" w:rsidRDefault="00E729B5">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持有基金份额期限（Y）</w:t>
            </w:r>
          </w:p>
        </w:tc>
        <w:tc>
          <w:tcPr>
            <w:tcW w:w="2127" w:type="dxa"/>
            <w:tcBorders>
              <w:top w:val="single" w:sz="4" w:space="0" w:color="auto"/>
              <w:left w:val="single" w:sz="4" w:space="0" w:color="auto"/>
              <w:bottom w:val="single" w:sz="4" w:space="0" w:color="auto"/>
              <w:right w:val="single" w:sz="4" w:space="0" w:color="auto"/>
            </w:tcBorders>
          </w:tcPr>
          <w:p w14:paraId="3968C80A" w14:textId="77777777" w:rsidR="003E4D36" w:rsidRDefault="00E729B5">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A类份额赎回费率</w:t>
            </w:r>
          </w:p>
        </w:tc>
        <w:tc>
          <w:tcPr>
            <w:tcW w:w="2284" w:type="dxa"/>
            <w:tcBorders>
              <w:top w:val="single" w:sz="4" w:space="0" w:color="auto"/>
              <w:left w:val="single" w:sz="4" w:space="0" w:color="auto"/>
              <w:bottom w:val="single" w:sz="4" w:space="0" w:color="auto"/>
              <w:right w:val="single" w:sz="4" w:space="0" w:color="auto"/>
            </w:tcBorders>
          </w:tcPr>
          <w:p w14:paraId="03CF049F" w14:textId="77777777" w:rsidR="003E4D36" w:rsidRDefault="00E729B5">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C类份额赎回费率</w:t>
            </w:r>
          </w:p>
        </w:tc>
      </w:tr>
      <w:tr w:rsidR="003E4D36" w14:paraId="031A2819"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5476949" w14:textId="77777777" w:rsidR="003E4D36" w:rsidRDefault="00E729B5">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tcPr>
          <w:p w14:paraId="0F9EF37C" w14:textId="77777777" w:rsidR="003E4D36" w:rsidRDefault="00E729B5">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tcPr>
          <w:p w14:paraId="5FEF86FB" w14:textId="77777777" w:rsidR="003E4D36" w:rsidRDefault="00E729B5">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1.50%</w:t>
            </w:r>
          </w:p>
        </w:tc>
      </w:tr>
      <w:tr w:rsidR="003E4D36" w14:paraId="7486E905"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1D81038D" w14:textId="77777777" w:rsidR="003E4D36" w:rsidRDefault="00E729B5">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7日 ≤ Y ＜ 30日</w:t>
            </w:r>
          </w:p>
        </w:tc>
        <w:tc>
          <w:tcPr>
            <w:tcW w:w="2127" w:type="dxa"/>
            <w:tcBorders>
              <w:top w:val="single" w:sz="4" w:space="0" w:color="auto"/>
              <w:left w:val="single" w:sz="4" w:space="0" w:color="auto"/>
              <w:bottom w:val="single" w:sz="4" w:space="0" w:color="auto"/>
              <w:right w:val="single" w:sz="4" w:space="0" w:color="auto"/>
            </w:tcBorders>
          </w:tcPr>
          <w:p w14:paraId="7972021A" w14:textId="77777777" w:rsidR="003E4D36" w:rsidRDefault="00E729B5">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0.75%</w:t>
            </w:r>
          </w:p>
        </w:tc>
        <w:tc>
          <w:tcPr>
            <w:tcW w:w="2284" w:type="dxa"/>
            <w:tcBorders>
              <w:top w:val="single" w:sz="4" w:space="0" w:color="auto"/>
              <w:left w:val="single" w:sz="4" w:space="0" w:color="auto"/>
              <w:bottom w:val="single" w:sz="4" w:space="0" w:color="auto"/>
              <w:right w:val="single" w:sz="4" w:space="0" w:color="auto"/>
            </w:tcBorders>
          </w:tcPr>
          <w:p w14:paraId="25C79409" w14:textId="77777777" w:rsidR="003E4D36" w:rsidRDefault="00E729B5">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0.50%</w:t>
            </w:r>
          </w:p>
        </w:tc>
      </w:tr>
      <w:tr w:rsidR="003E4D36" w14:paraId="1FE1DAD7"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76A65727" w14:textId="77777777" w:rsidR="003E4D36" w:rsidRDefault="00E729B5">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30日 ≤ Y ＜ 6个月</w:t>
            </w:r>
          </w:p>
        </w:tc>
        <w:tc>
          <w:tcPr>
            <w:tcW w:w="2127" w:type="dxa"/>
            <w:tcBorders>
              <w:top w:val="single" w:sz="4" w:space="0" w:color="auto"/>
              <w:left w:val="single" w:sz="4" w:space="0" w:color="auto"/>
              <w:bottom w:val="single" w:sz="4" w:space="0" w:color="auto"/>
              <w:right w:val="single" w:sz="4" w:space="0" w:color="auto"/>
            </w:tcBorders>
          </w:tcPr>
          <w:p w14:paraId="666A7A90" w14:textId="77777777" w:rsidR="003E4D36" w:rsidRDefault="00E729B5">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0.50%</w:t>
            </w:r>
          </w:p>
        </w:tc>
        <w:tc>
          <w:tcPr>
            <w:tcW w:w="2284" w:type="dxa"/>
            <w:tcBorders>
              <w:top w:val="single" w:sz="4" w:space="0" w:color="auto"/>
              <w:left w:val="single" w:sz="4" w:space="0" w:color="auto"/>
              <w:bottom w:val="single" w:sz="4" w:space="0" w:color="auto"/>
              <w:right w:val="single" w:sz="4" w:space="0" w:color="auto"/>
            </w:tcBorders>
          </w:tcPr>
          <w:p w14:paraId="1DECC8D8" w14:textId="77777777" w:rsidR="003E4D36" w:rsidRDefault="00E729B5">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r>
      <w:tr w:rsidR="003E4D36" w14:paraId="3E7ECE42"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69531D0" w14:textId="77777777" w:rsidR="003E4D36" w:rsidRDefault="00E729B5">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Y≥6个月</w:t>
            </w:r>
          </w:p>
        </w:tc>
        <w:tc>
          <w:tcPr>
            <w:tcW w:w="2127" w:type="dxa"/>
            <w:tcBorders>
              <w:top w:val="single" w:sz="4" w:space="0" w:color="auto"/>
              <w:left w:val="single" w:sz="4" w:space="0" w:color="auto"/>
              <w:bottom w:val="single" w:sz="4" w:space="0" w:color="auto"/>
              <w:right w:val="single" w:sz="4" w:space="0" w:color="auto"/>
            </w:tcBorders>
          </w:tcPr>
          <w:p w14:paraId="14A4CBE3" w14:textId="77777777" w:rsidR="003E4D36" w:rsidRDefault="00E729B5">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tcPr>
          <w:p w14:paraId="112E7658" w14:textId="77777777" w:rsidR="003E4D36" w:rsidRDefault="00E729B5">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r>
    </w:tbl>
    <w:p w14:paraId="21BB8DF9" w14:textId="77777777" w:rsidR="003E4D36" w:rsidRDefault="00E729B5">
      <w:pPr>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（注：一月为</w:t>
      </w:r>
      <w:r>
        <w:rPr>
          <w:rFonts w:asciiTheme="minorEastAsia" w:hAnsiTheme="minorEastAsia" w:cs="Arial"/>
          <w:sz w:val="24"/>
          <w:szCs w:val="24"/>
        </w:rPr>
        <w:t>3</w:t>
      </w:r>
      <w:r>
        <w:rPr>
          <w:rFonts w:asciiTheme="minorEastAsia" w:hAnsiTheme="minorEastAsia" w:cs="Arial" w:hint="eastAsia"/>
          <w:sz w:val="24"/>
          <w:szCs w:val="24"/>
        </w:rPr>
        <w:t>0日）</w:t>
      </w:r>
    </w:p>
    <w:p w14:paraId="334254B0"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赎回费用由赎回基金份额的基金份额持有人承担，在基金份额持有人赎回基金份额时收取。</w:t>
      </w:r>
    </w:p>
    <w:p w14:paraId="12B7A581"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就A类基金份额，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就C类基金份额，收取的赎回费全额计入基金财产。上述未纳入基金财产的赎回费用于支付登记费和其他必要的手续费。</w:t>
      </w:r>
    </w:p>
    <w:p w14:paraId="2A54F6DE"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、基金管理人可以在基金合同约定的范围内调整费率或收费方式，并最迟应于新的费率或收费方式实施日前依照《信息披露办法》的有关规定在指定媒介上公告。</w:t>
      </w:r>
    </w:p>
    <w:p w14:paraId="188F748C" w14:textId="77777777" w:rsidR="003E4D36" w:rsidRDefault="00E729B5">
      <w:pPr>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Times New Roman" w:hint="eastAsia"/>
          <w:sz w:val="24"/>
          <w:szCs w:val="24"/>
        </w:rPr>
        <w:t>基金管理人可以在不违反法律法规规定及基金合同约定的情况下根据市场情况制定基金促销计划，定期或不定期地开展基金促销活动。在基金促销活动期间，按相关监管部门要求履行必要手续后，基金管理人可以适当调低基金的申购、赎回费率。</w:t>
      </w:r>
    </w:p>
    <w:p w14:paraId="5276E6CA" w14:textId="77777777" w:rsidR="003E4D36" w:rsidRDefault="00E729B5">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七、</w:t>
      </w:r>
      <w:r>
        <w:rPr>
          <w:rFonts w:asciiTheme="minorEastAsia" w:hAnsiTheme="minorEastAsia" w:cs="Arial"/>
          <w:b/>
          <w:bCs/>
          <w:sz w:val="24"/>
          <w:szCs w:val="24"/>
        </w:rPr>
        <w:t>A</w:t>
      </w:r>
      <w:r>
        <w:rPr>
          <w:rFonts w:asciiTheme="minorEastAsia" w:hAnsiTheme="minorEastAsia" w:cs="Arial" w:hint="eastAsia"/>
          <w:b/>
          <w:bCs/>
          <w:sz w:val="24"/>
          <w:szCs w:val="24"/>
        </w:rPr>
        <w:t>类基金份额与</w:t>
      </w:r>
      <w:r>
        <w:rPr>
          <w:rFonts w:asciiTheme="minorEastAsia" w:hAnsiTheme="minorEastAsia" w:cs="Arial"/>
          <w:b/>
          <w:bCs/>
          <w:sz w:val="24"/>
          <w:szCs w:val="24"/>
        </w:rPr>
        <w:t>C</w:t>
      </w:r>
      <w:r>
        <w:rPr>
          <w:rFonts w:asciiTheme="minorEastAsia" w:hAnsiTheme="minorEastAsia" w:cs="Arial" w:hint="eastAsia"/>
          <w:b/>
          <w:bCs/>
          <w:sz w:val="24"/>
          <w:szCs w:val="24"/>
        </w:rPr>
        <w:t>类基金份额的申购份额与赎回金额的计算方式</w:t>
      </w:r>
    </w:p>
    <w:p w14:paraId="3680BB9C"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1、A类基金份额申购份额的计算方式：</w:t>
      </w:r>
    </w:p>
    <w:p w14:paraId="03AA1C8D"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（1）当申购费用适用比例费率时，申购份额的计算公式如下：</w:t>
      </w:r>
    </w:p>
    <w:p w14:paraId="30160EA3"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净申购金额=申购金额/（1+申购费率）</w:t>
      </w:r>
    </w:p>
    <w:p w14:paraId="593C4CA5"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申购费用=申购金额－净申购金额</w:t>
      </w:r>
    </w:p>
    <w:p w14:paraId="79553014"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 日A类基金份额净值</w:t>
      </w:r>
    </w:p>
    <w:p w14:paraId="54225CCF"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（2）当申购费用为固定金额时，申购份额的计算方法如下：</w:t>
      </w:r>
    </w:p>
    <w:p w14:paraId="454F609E"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申购费用＝固定费用</w:t>
      </w:r>
    </w:p>
    <w:p w14:paraId="113A6B10"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净申购金额＝申购金额－申购费用</w:t>
      </w:r>
    </w:p>
    <w:p w14:paraId="0929FA3D"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申购份额＝净申购金额/T日A类基金份额净值</w:t>
      </w:r>
    </w:p>
    <w:p w14:paraId="2A71BD32"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上述计算结果按照四舍五入方法，保留小数点后两位，由此误差产生的收益或损失由基金财产承担。</w:t>
      </w:r>
    </w:p>
    <w:p w14:paraId="6873E221"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例：某投资者投资50,000 元申购本基金A类基金份额，且该申购申请被全额确认，对应的申购费率为1.5%，假定申购当日A类基金份额净值为1.0500元，则可得到的申购份额为：</w:t>
      </w:r>
    </w:p>
    <w:p w14:paraId="40B70A51"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净申购金额＝50,000/(1+1.5%)＝49,261.08元</w:t>
      </w:r>
    </w:p>
    <w:p w14:paraId="4913A8B5"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申购费用＝50,000－49,261.08＝738.92元</w:t>
      </w:r>
    </w:p>
    <w:p w14:paraId="123BF515"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申购份额＝49,261.08/1.0500＝46,915.31 份</w:t>
      </w:r>
    </w:p>
    <w:p w14:paraId="2135EB7D"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即投资者投资50,000 元申购本基金A类基金份额，假定申购当日A类基金份额净值为1.0500元，可得到46,915.31份A类基金份额。</w:t>
      </w:r>
    </w:p>
    <w:p w14:paraId="2C97F17A"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2、C类基金份额申购份额的计算方式：</w:t>
      </w:r>
    </w:p>
    <w:p w14:paraId="5C17B1B5"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申购份额＝申购金额/T日C类基金份额净值</w:t>
      </w:r>
    </w:p>
    <w:p w14:paraId="1409452C"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上述计算结果按照四舍五入方法，保留小数点后两位，由此误差产生的收益或损失由基金财产承担。</w:t>
      </w:r>
    </w:p>
    <w:p w14:paraId="42AF6959"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元申购本基金C类基金份额，且该申购申请被全额确认，假定申购当日C类基金份额净值为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2300元，则可得到的申购份额为：</w:t>
      </w:r>
    </w:p>
    <w:p w14:paraId="5E69564B"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1.</w:t>
      </w:r>
      <w:r>
        <w:rPr>
          <w:rFonts w:asciiTheme="minorEastAsia" w:hAnsiTheme="minorEastAsia" w:cs="Arial" w:hint="eastAsia"/>
          <w:sz w:val="24"/>
          <w:szCs w:val="24"/>
        </w:rPr>
        <w:t>2500=4</w:t>
      </w:r>
      <w:r>
        <w:rPr>
          <w:rFonts w:asciiTheme="minorEastAsia" w:hAnsiTheme="minorEastAsia" w:cs="Arial"/>
          <w:sz w:val="24"/>
          <w:szCs w:val="24"/>
        </w:rPr>
        <w:t>,000</w:t>
      </w:r>
      <w:r>
        <w:rPr>
          <w:rFonts w:asciiTheme="minorEastAsia" w:hAnsiTheme="minorEastAsia" w:cs="Arial" w:hint="eastAsia"/>
          <w:sz w:val="24"/>
          <w:szCs w:val="24"/>
        </w:rPr>
        <w:t>,000份</w:t>
      </w:r>
    </w:p>
    <w:p w14:paraId="0A2068B8"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2500元，可得到4</w:t>
      </w:r>
      <w:r>
        <w:rPr>
          <w:rFonts w:asciiTheme="minorEastAsia" w:hAnsiTheme="minorEastAsia" w:cs="Arial"/>
          <w:sz w:val="24"/>
          <w:szCs w:val="24"/>
        </w:rPr>
        <w:t>,000</w:t>
      </w:r>
      <w:r>
        <w:rPr>
          <w:rFonts w:asciiTheme="minorEastAsia" w:hAnsiTheme="minorEastAsia" w:cs="Arial" w:hint="eastAsia"/>
          <w:sz w:val="24"/>
          <w:szCs w:val="24"/>
        </w:rPr>
        <w:t>,000份C类基金份额。</w:t>
      </w:r>
    </w:p>
    <w:p w14:paraId="185E1CC9"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3、赎回金额的计算方式：</w:t>
      </w:r>
    </w:p>
    <w:p w14:paraId="6D82F880"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w:t>
      </w:r>
      <w:r>
        <w:rPr>
          <w:rFonts w:asciiTheme="minorEastAsia" w:hAnsiTheme="minorEastAsia" w:cs="Arial" w:hint="eastAsia"/>
          <w:sz w:val="24"/>
          <w:szCs w:val="24"/>
        </w:rPr>
        <w:t>赎回份额×</w:t>
      </w:r>
      <w:r>
        <w:rPr>
          <w:rFonts w:asciiTheme="minorEastAsia" w:hAnsiTheme="minorEastAsia" w:cs="Arial"/>
          <w:sz w:val="24"/>
          <w:szCs w:val="24"/>
        </w:rPr>
        <w:t>T</w:t>
      </w:r>
      <w:r>
        <w:rPr>
          <w:rFonts w:asciiTheme="minorEastAsia" w:hAnsiTheme="minorEastAsia" w:cs="Arial" w:hint="eastAsia"/>
          <w:sz w:val="24"/>
          <w:szCs w:val="24"/>
        </w:rPr>
        <w:t>日该类别基金份额净值</w:t>
      </w:r>
    </w:p>
    <w:p w14:paraId="54842A27"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w:t>
      </w:r>
      <w:r>
        <w:rPr>
          <w:rFonts w:asciiTheme="minorEastAsia" w:hAnsiTheme="minorEastAsia" w:cs="Arial" w:hint="eastAsia"/>
          <w:sz w:val="24"/>
          <w:szCs w:val="24"/>
        </w:rPr>
        <w:t>赎回总额×赎回费率</w:t>
      </w:r>
    </w:p>
    <w:p w14:paraId="6D520A7C"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w:t>
      </w:r>
      <w:r>
        <w:rPr>
          <w:rFonts w:asciiTheme="minorEastAsia" w:hAnsiTheme="minorEastAsia" w:cs="Arial" w:hint="eastAsia"/>
          <w:sz w:val="24"/>
          <w:szCs w:val="24"/>
        </w:rPr>
        <w:t>赎回总额－赎回费用</w:t>
      </w:r>
    </w:p>
    <w:p w14:paraId="7F691B99"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上述计算结果均按四舍五入方法，保留到小数点后2位，由此产生的收益或损失由基金财产承担。</w:t>
      </w:r>
    </w:p>
    <w:p w14:paraId="7E54B3CA"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例1：某投资者赎回</w:t>
      </w:r>
      <w:r>
        <w:rPr>
          <w:rFonts w:asciiTheme="minorEastAsia" w:hAnsiTheme="minorEastAsia" w:cs="Arial"/>
          <w:sz w:val="24"/>
          <w:szCs w:val="24"/>
        </w:rPr>
        <w:t xml:space="preserve">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类基金份额且持有时间为3个月，赎回费率为</w:t>
      </w:r>
      <w:r>
        <w:rPr>
          <w:rFonts w:asciiTheme="minorEastAsia" w:hAnsiTheme="minorEastAsia" w:cs="Arial"/>
          <w:sz w:val="24"/>
          <w:szCs w:val="24"/>
        </w:rPr>
        <w:t>0.5%</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元，则可得到的赎回金额为：</w:t>
      </w:r>
    </w:p>
    <w:p w14:paraId="12824C4A"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 xml:space="preserve"> = 10,000 </w:t>
      </w:r>
      <w:r>
        <w:rPr>
          <w:rFonts w:asciiTheme="minorEastAsia" w:hAnsiTheme="minorEastAsia" w:cs="Arial" w:hint="eastAsia"/>
          <w:sz w:val="24"/>
          <w:szCs w:val="24"/>
        </w:rPr>
        <w:t>×</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10,680.00 </w:t>
      </w:r>
      <w:r>
        <w:rPr>
          <w:rFonts w:asciiTheme="minorEastAsia" w:hAnsiTheme="minorEastAsia" w:cs="Arial" w:hint="eastAsia"/>
          <w:sz w:val="24"/>
          <w:szCs w:val="24"/>
        </w:rPr>
        <w:t>元</w:t>
      </w:r>
    </w:p>
    <w:p w14:paraId="2BB568C2"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 xml:space="preserve"> = 10,680.00 </w:t>
      </w:r>
      <w:r>
        <w:rPr>
          <w:rFonts w:asciiTheme="minorEastAsia" w:hAnsiTheme="minorEastAsia" w:cs="Arial" w:hint="eastAsia"/>
          <w:sz w:val="24"/>
          <w:szCs w:val="24"/>
        </w:rPr>
        <w:t>×</w:t>
      </w:r>
      <w:r>
        <w:rPr>
          <w:rFonts w:asciiTheme="minorEastAsia" w:hAnsiTheme="minorEastAsia" w:cs="Arial"/>
          <w:sz w:val="24"/>
          <w:szCs w:val="24"/>
        </w:rPr>
        <w:t xml:space="preserve">0.5% = 53.40 </w:t>
      </w:r>
      <w:r>
        <w:rPr>
          <w:rFonts w:asciiTheme="minorEastAsia" w:hAnsiTheme="minorEastAsia" w:cs="Arial" w:hint="eastAsia"/>
          <w:sz w:val="24"/>
          <w:szCs w:val="24"/>
        </w:rPr>
        <w:t>元</w:t>
      </w:r>
    </w:p>
    <w:p w14:paraId="6980A4F4"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 xml:space="preserve"> = 10,680.00 - 53.40 = 10,626.60 </w:t>
      </w:r>
      <w:r>
        <w:rPr>
          <w:rFonts w:asciiTheme="minorEastAsia" w:hAnsiTheme="minorEastAsia" w:cs="Arial" w:hint="eastAsia"/>
          <w:sz w:val="24"/>
          <w:szCs w:val="24"/>
        </w:rPr>
        <w:t>元</w:t>
      </w:r>
    </w:p>
    <w:p w14:paraId="0745139D"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即：投资者赎回</w:t>
      </w:r>
      <w:r>
        <w:rPr>
          <w:rFonts w:asciiTheme="minorEastAsia" w:hAnsiTheme="minorEastAsia" w:cs="Arial"/>
          <w:sz w:val="24"/>
          <w:szCs w:val="24"/>
        </w:rPr>
        <w:t xml:space="preserve"> 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类基金份额且持有时间为3个月，假设赎回申请当日</w:t>
      </w:r>
      <w:r>
        <w:rPr>
          <w:rFonts w:asciiTheme="minorEastAsia" w:hAnsiTheme="minorEastAsia" w:cs="Arial"/>
          <w:sz w:val="24"/>
          <w:szCs w:val="24"/>
        </w:rPr>
        <w:t>A</w:t>
      </w:r>
      <w:r>
        <w:rPr>
          <w:rFonts w:asciiTheme="minorEastAsia" w:hAnsiTheme="minorEastAsia" w:cs="Arial" w:hint="eastAsia"/>
          <w:sz w:val="24"/>
          <w:szCs w:val="24"/>
        </w:rPr>
        <w:t>类基金份额的基金份额净值是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元，则其可得到的赎回金额为</w:t>
      </w:r>
      <w:r>
        <w:rPr>
          <w:rFonts w:asciiTheme="minorEastAsia" w:hAnsiTheme="minorEastAsia" w:cs="Arial"/>
          <w:sz w:val="24"/>
          <w:szCs w:val="24"/>
        </w:rPr>
        <w:t xml:space="preserve">10,626.60 </w:t>
      </w:r>
      <w:r>
        <w:rPr>
          <w:rFonts w:asciiTheme="minorEastAsia" w:hAnsiTheme="minorEastAsia" w:cs="Arial" w:hint="eastAsia"/>
          <w:sz w:val="24"/>
          <w:szCs w:val="24"/>
        </w:rPr>
        <w:t>元。</w:t>
      </w:r>
    </w:p>
    <w:p w14:paraId="000E21E4"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例2：某投资人赎回本基金10,000份C类基金份额，持有时间为20日，对应的赎回费率为0.5%，假设赎回当日C类基金份额净值是1.0680元，则其可得到的赎回金额为：</w:t>
      </w:r>
    </w:p>
    <w:p w14:paraId="3936CF9E"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赎回金额=10,000×1.0680=10,680元</w:t>
      </w:r>
    </w:p>
    <w:p w14:paraId="06C7A530"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赎回费用=10,680×0.5%=53.40元</w:t>
      </w:r>
    </w:p>
    <w:p w14:paraId="3418D9D0"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净赎回金额=10,680-53.40=10,626.60元</w:t>
      </w:r>
    </w:p>
    <w:p w14:paraId="3868BCF5"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即：投资人赎回本基金10,000份C类基金份额，持有期限为20日，假设赎回当日本基金C类基金份额净值是1.0680元，则其可得到的净赎回金额为10,626.60元。</w:t>
      </w:r>
    </w:p>
    <w:p w14:paraId="2525C5EB"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hint="eastAsia"/>
          <w:sz w:val="24"/>
          <w:szCs w:val="24"/>
        </w:rPr>
        <w:t>4、</w:t>
      </w:r>
      <w:r>
        <w:rPr>
          <w:rFonts w:asciiTheme="minorEastAsia" w:hAnsiTheme="minorEastAsia" w:cs="Arial" w:hint="eastAsia"/>
          <w:bCs/>
          <w:sz w:val="24"/>
          <w:szCs w:val="24"/>
        </w:rPr>
        <w:t>本基金</w:t>
      </w:r>
      <w:r>
        <w:rPr>
          <w:rFonts w:asciiTheme="minorEastAsia" w:hAnsiTheme="minorEastAsia" w:cs="Arial"/>
          <w:bCs/>
          <w:sz w:val="24"/>
          <w:szCs w:val="24"/>
        </w:rPr>
        <w:t>A</w:t>
      </w:r>
      <w:r>
        <w:rPr>
          <w:rFonts w:asciiTheme="minorEastAsia" w:hAnsiTheme="minorEastAsia" w:cs="Arial" w:hint="eastAsia"/>
          <w:bCs/>
          <w:sz w:val="24"/>
          <w:szCs w:val="24"/>
        </w:rPr>
        <w:t>类基金份额和</w:t>
      </w:r>
      <w:r>
        <w:rPr>
          <w:rFonts w:asciiTheme="minorEastAsia" w:hAnsiTheme="minorEastAsia" w:cs="Arial"/>
          <w:bCs/>
          <w:sz w:val="24"/>
          <w:szCs w:val="24"/>
        </w:rPr>
        <w:t>C</w:t>
      </w:r>
      <w:r>
        <w:rPr>
          <w:rFonts w:asciiTheme="minorEastAsia" w:hAnsiTheme="minorEastAsia" w:cs="Arial" w:hint="eastAsia"/>
          <w:bCs/>
          <w:sz w:val="24"/>
          <w:szCs w:val="24"/>
        </w:rPr>
        <w:t>类基金份额分别设置代码，分别计算和公告两类基金份额净值和两类基金份额累计净值。</w:t>
      </w:r>
      <w:r>
        <w:rPr>
          <w:rFonts w:asciiTheme="minorEastAsia" w:hAnsiTheme="minorEastAsia" w:cs="Times New Roman" w:hint="eastAsia"/>
          <w:sz w:val="24"/>
          <w:szCs w:val="24"/>
        </w:rPr>
        <w:t>本基金两类基金份额净值的计算，保留到小数点后4位，小数点后第5位四舍五入，由此产生的收益或损失由基金财产承担。</w:t>
      </w:r>
      <w:r>
        <w:rPr>
          <w:rFonts w:asciiTheme="minorEastAsia" w:hAnsiTheme="minorEastAsia" w:cs="Times New Roman"/>
          <w:sz w:val="24"/>
          <w:szCs w:val="24"/>
        </w:rPr>
        <w:t>T</w:t>
      </w:r>
      <w:r>
        <w:rPr>
          <w:rFonts w:asciiTheme="minorEastAsia" w:hAnsiTheme="minorEastAsia" w:cs="Times New Roman" w:hint="eastAsia"/>
          <w:sz w:val="24"/>
          <w:szCs w:val="24"/>
        </w:rPr>
        <w:t>日的基金份额净值在当天收市后计算，并在</w:t>
      </w:r>
      <w:r>
        <w:rPr>
          <w:rFonts w:asciiTheme="minorEastAsia" w:hAnsiTheme="minorEastAsia" w:cs="Times New Roman"/>
          <w:sz w:val="24"/>
          <w:szCs w:val="24"/>
        </w:rPr>
        <w:t>T+1</w:t>
      </w:r>
      <w:r>
        <w:rPr>
          <w:rFonts w:asciiTheme="minorEastAsia" w:hAnsiTheme="minorEastAsia" w:cs="Times New Roman" w:hint="eastAsia"/>
          <w:sz w:val="24"/>
          <w:szCs w:val="24"/>
        </w:rPr>
        <w:t>日内公告。遇特殊情况，经中国证监会同意，可以适当延迟计算或公告。</w:t>
      </w:r>
    </w:p>
    <w:p w14:paraId="352683B7" w14:textId="77777777" w:rsidR="003E4D36" w:rsidRDefault="00E729B5">
      <w:pPr>
        <w:snapToGrid w:val="0"/>
        <w:spacing w:line="360" w:lineRule="auto"/>
        <w:ind w:firstLineChars="200" w:firstLine="482"/>
        <w:rPr>
          <w:rFonts w:asciiTheme="minorEastAsia" w:hAnsiTheme="minorEastAsia" w:cs="Arial"/>
          <w:b/>
          <w:bCs/>
          <w:sz w:val="24"/>
          <w:szCs w:val="24"/>
        </w:rPr>
      </w:pPr>
      <w:r>
        <w:rPr>
          <w:rFonts w:asciiTheme="minorEastAsia" w:hAnsiTheme="minorEastAsia" w:cs="Times New Roman" w:hint="eastAsia"/>
          <w:b/>
          <w:sz w:val="24"/>
          <w:szCs w:val="24"/>
        </w:rPr>
        <w:t>八、申购与赎回的登记业务</w:t>
      </w:r>
    </w:p>
    <w:p w14:paraId="2197D7ED"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、投资人</w:t>
      </w:r>
      <w:r>
        <w:rPr>
          <w:rFonts w:asciiTheme="minorEastAsia" w:hAnsiTheme="minorEastAsia" w:cs="Times New Roman" w:hint="eastAsia"/>
          <w:sz w:val="24"/>
          <w:szCs w:val="24"/>
        </w:rPr>
        <w:t>申购基金成功后，在正常情况下，基金登记机构在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日为投资者登记权益并办理登记手续，投资者自</w:t>
      </w:r>
      <w:r>
        <w:rPr>
          <w:rFonts w:asciiTheme="minorEastAsia" w:hAnsiTheme="minorEastAsia" w:cs="Arial"/>
          <w:sz w:val="24"/>
          <w:szCs w:val="24"/>
        </w:rPr>
        <w:t>T+2</w:t>
      </w:r>
      <w:r>
        <w:rPr>
          <w:rFonts w:asciiTheme="minorEastAsia" w:hAnsiTheme="minorEastAsia" w:cs="Times New Roman" w:hint="eastAsia"/>
          <w:sz w:val="24"/>
          <w:szCs w:val="24"/>
        </w:rPr>
        <w:t>日（含该日）后有权赎回该部分基金份额。</w:t>
      </w:r>
    </w:p>
    <w:p w14:paraId="59436DC5"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、投资人</w:t>
      </w:r>
      <w:r>
        <w:rPr>
          <w:rFonts w:asciiTheme="minorEastAsia" w:hAnsiTheme="minorEastAsia" w:cs="Times New Roman" w:hint="eastAsia"/>
          <w:sz w:val="24"/>
          <w:szCs w:val="24"/>
        </w:rPr>
        <w:t>赎回基金成功后，在正常情况下，基金登记机构在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日为投资者办理扣除权益的登记手续。</w:t>
      </w:r>
    </w:p>
    <w:p w14:paraId="0AD71422"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、基金管理人可以在法律法规允许的范围内，对上述登记办理时间进行调</w:t>
      </w:r>
      <w:r>
        <w:rPr>
          <w:rFonts w:asciiTheme="minorEastAsia" w:hAnsiTheme="minorEastAsia" w:cs="Times New Roman" w:hint="eastAsia"/>
          <w:sz w:val="24"/>
          <w:szCs w:val="24"/>
        </w:rPr>
        <w:lastRenderedPageBreak/>
        <w:t>整，但不得实质影响投资者的合法权益，并最迟于开始实施前</w:t>
      </w:r>
      <w:r>
        <w:rPr>
          <w:rFonts w:asciiTheme="minorEastAsia" w:hAnsiTheme="minorEastAsia" w:cs="Arial" w:hint="eastAsia"/>
          <w:sz w:val="24"/>
          <w:szCs w:val="24"/>
        </w:rPr>
        <w:t>依照《信息披露办法》的有关规定</w:t>
      </w:r>
      <w:r>
        <w:rPr>
          <w:rFonts w:asciiTheme="minorEastAsia" w:hAnsiTheme="minorEastAsia" w:cs="Times New Roman" w:hint="eastAsia"/>
          <w:sz w:val="24"/>
          <w:szCs w:val="24"/>
        </w:rPr>
        <w:t>在指定媒介公告。</w:t>
      </w:r>
    </w:p>
    <w:p w14:paraId="782C0F99" w14:textId="77777777" w:rsidR="003E4D36" w:rsidRDefault="00E729B5">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九、拒绝或暂停申购的情形及处理</w:t>
      </w:r>
    </w:p>
    <w:p w14:paraId="4D5F6A13" w14:textId="77777777" w:rsidR="003E4D36" w:rsidRDefault="00E729B5">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发生下列情况时，基金管理人可拒绝或暂停接受投资人的申购申请：</w:t>
      </w:r>
    </w:p>
    <w:p w14:paraId="607540BA"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、因不可抗力导致基金无法正常运作。</w:t>
      </w:r>
    </w:p>
    <w:p w14:paraId="0D411A02"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、发生基金合同规定的暂停基金资产估值情况时，基金管理人可暂停接受投资人的申购申请。</w:t>
      </w:r>
    </w:p>
    <w:p w14:paraId="158F6A90"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、证券、期货交易所交易时间非正常停市，导致基金管理人无法计算当日基金资产净值。</w:t>
      </w:r>
    </w:p>
    <w:p w14:paraId="39F7D3C1"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4</w:t>
      </w:r>
      <w:r>
        <w:rPr>
          <w:rFonts w:asciiTheme="minorEastAsia" w:hAnsiTheme="minorEastAsia" w:cs="Arial" w:hint="eastAsia"/>
          <w:sz w:val="24"/>
          <w:szCs w:val="24"/>
        </w:rPr>
        <w:t>、基金管理人接受某笔或某些申购申请会损害现有基金份额持有人利益或对存量基金份额持有人利益构成潜在重大不利影响时。</w:t>
      </w:r>
    </w:p>
    <w:p w14:paraId="73836ADA"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5</w:t>
      </w:r>
      <w:r>
        <w:rPr>
          <w:rFonts w:asciiTheme="minorEastAsia" w:hAnsiTheme="minorEastAsia" w:cs="Arial" w:hint="eastAsia"/>
          <w:sz w:val="24"/>
          <w:szCs w:val="24"/>
        </w:rPr>
        <w:t>、基金资产规模过大，使基金管理人无法找到合适的投资品种，或其他可能对基金业绩产生负面影响，或发生其他损害现有基金份额持有人利益的情形。</w:t>
      </w:r>
    </w:p>
    <w:p w14:paraId="13A721F0" w14:textId="77777777" w:rsidR="003E4D36" w:rsidRDefault="00E729B5">
      <w:pPr>
        <w:spacing w:line="360" w:lineRule="auto"/>
        <w:ind w:firstLineChars="200" w:firstLine="480"/>
        <w:rPr>
          <w:bCs/>
          <w:sz w:val="24"/>
          <w:szCs w:val="24"/>
        </w:rPr>
      </w:pPr>
      <w:r>
        <w:rPr>
          <w:rFonts w:asciiTheme="minorEastAsia" w:hAnsiTheme="minorEastAsia" w:cs="Arial"/>
          <w:sz w:val="24"/>
          <w:szCs w:val="24"/>
        </w:rPr>
        <w:t>6</w:t>
      </w:r>
      <w:r>
        <w:rPr>
          <w:rFonts w:asciiTheme="minorEastAsia" w:hAnsiTheme="minorEastAsia" w:cs="Arial" w:hint="eastAsia"/>
          <w:sz w:val="24"/>
          <w:szCs w:val="24"/>
        </w:rPr>
        <w:t>、基金管理人、基金托管人、销售机构或登记机构的技术故障等异常情况</w:t>
      </w:r>
    </w:p>
    <w:p w14:paraId="0DCDA7AB" w14:textId="77777777" w:rsidR="003E4D36" w:rsidRDefault="00E729B5">
      <w:pPr>
        <w:spacing w:line="360" w:lineRule="auto"/>
        <w:ind w:firstLineChars="200" w:firstLine="480"/>
        <w:rPr>
          <w:bCs/>
          <w:sz w:val="24"/>
          <w:szCs w:val="24"/>
        </w:rPr>
      </w:pPr>
      <w:r>
        <w:rPr>
          <w:rFonts w:hint="eastAsia"/>
          <w:bCs/>
          <w:sz w:val="24"/>
          <w:szCs w:val="24"/>
        </w:rPr>
        <w:t>7</w:t>
      </w:r>
      <w:r>
        <w:rPr>
          <w:rFonts w:hint="eastAsia"/>
          <w:bCs/>
          <w:sz w:val="24"/>
          <w:szCs w:val="24"/>
        </w:rPr>
        <w:t>、基金管理人接受某笔或者某些申购申请有可能导致单一投资者持有基金份额的比例达到或者超过</w:t>
      </w:r>
      <w:r>
        <w:rPr>
          <w:rFonts w:hint="eastAsia"/>
          <w:bCs/>
          <w:sz w:val="24"/>
          <w:szCs w:val="24"/>
        </w:rPr>
        <w:t>50%</w:t>
      </w:r>
      <w:r>
        <w:rPr>
          <w:rFonts w:hint="eastAsia"/>
          <w:bCs/>
          <w:sz w:val="24"/>
          <w:szCs w:val="24"/>
        </w:rPr>
        <w:t>，或者变相规避</w:t>
      </w:r>
      <w:r>
        <w:rPr>
          <w:rFonts w:hint="eastAsia"/>
          <w:bCs/>
          <w:sz w:val="24"/>
          <w:szCs w:val="24"/>
        </w:rPr>
        <w:t>50%</w:t>
      </w:r>
      <w:r>
        <w:rPr>
          <w:rFonts w:hint="eastAsia"/>
          <w:bCs/>
          <w:sz w:val="24"/>
          <w:szCs w:val="24"/>
        </w:rPr>
        <w:t>集中度的情形时。</w:t>
      </w:r>
    </w:p>
    <w:p w14:paraId="25A5F66E" w14:textId="77777777" w:rsidR="003E4D36" w:rsidRDefault="00E729B5">
      <w:pPr>
        <w:spacing w:line="360" w:lineRule="auto"/>
        <w:ind w:firstLineChars="200" w:firstLine="480"/>
        <w:rPr>
          <w:bCs/>
          <w:sz w:val="24"/>
          <w:szCs w:val="24"/>
        </w:rPr>
      </w:pPr>
      <w:r>
        <w:rPr>
          <w:rFonts w:hint="eastAsia"/>
          <w:bCs/>
          <w:sz w:val="24"/>
          <w:szCs w:val="24"/>
        </w:rPr>
        <w:t>8</w:t>
      </w:r>
      <w:r>
        <w:rPr>
          <w:rFonts w:hint="eastAsia"/>
          <w:bCs/>
          <w:sz w:val="24"/>
          <w:szCs w:val="24"/>
        </w:rPr>
        <w:t>、当前一估值日基金资产净值</w:t>
      </w:r>
      <w:r>
        <w:rPr>
          <w:rFonts w:hint="eastAsia"/>
          <w:bCs/>
          <w:sz w:val="24"/>
          <w:szCs w:val="24"/>
        </w:rPr>
        <w:t>50%</w:t>
      </w:r>
      <w:r>
        <w:rPr>
          <w:rFonts w:hint="eastAsia"/>
          <w:bCs/>
          <w:sz w:val="24"/>
          <w:szCs w:val="24"/>
        </w:rPr>
        <w:t>以上的资产出现无可参考的活跃市场价格且采用估值技术仍导致公允价值存在重大不确定性时，经与基金托管人协商确认后，基金管理人应当采取延缓支付赎回款项或暂停接受基金申购赎回申请的措施。</w:t>
      </w:r>
    </w:p>
    <w:p w14:paraId="6AEBB359" w14:textId="77777777" w:rsidR="003E4D36" w:rsidRDefault="00E729B5">
      <w:pPr>
        <w:spacing w:line="360" w:lineRule="auto"/>
        <w:ind w:firstLineChars="200" w:firstLine="480"/>
        <w:rPr>
          <w:bCs/>
          <w:sz w:val="24"/>
          <w:szCs w:val="24"/>
        </w:rPr>
      </w:pPr>
      <w:r>
        <w:rPr>
          <w:rFonts w:hint="eastAsia"/>
          <w:bCs/>
          <w:sz w:val="24"/>
          <w:szCs w:val="24"/>
        </w:rPr>
        <w:t>9</w:t>
      </w:r>
      <w:r>
        <w:rPr>
          <w:rFonts w:hint="eastAsia"/>
          <w:bCs/>
          <w:sz w:val="24"/>
          <w:szCs w:val="24"/>
        </w:rPr>
        <w:t>、</w:t>
      </w:r>
      <w:r>
        <w:rPr>
          <w:bCs/>
          <w:sz w:val="24"/>
          <w:szCs w:val="24"/>
        </w:rPr>
        <w:t>法律法规规定或中国证监会认定的其他情形。</w:t>
      </w:r>
    </w:p>
    <w:p w14:paraId="6F4C51EB" w14:textId="77777777" w:rsidR="003E4D36" w:rsidRDefault="00E729B5">
      <w:pPr>
        <w:spacing w:line="360" w:lineRule="auto"/>
        <w:ind w:firstLineChars="200" w:firstLine="480"/>
        <w:rPr>
          <w:bCs/>
          <w:sz w:val="24"/>
          <w:szCs w:val="24"/>
        </w:rPr>
      </w:pPr>
      <w:r>
        <w:rPr>
          <w:bCs/>
          <w:sz w:val="24"/>
          <w:szCs w:val="24"/>
        </w:rPr>
        <w:t>发生上述第</w:t>
      </w:r>
      <w:r>
        <w:rPr>
          <w:bCs/>
          <w:sz w:val="24"/>
          <w:szCs w:val="24"/>
        </w:rPr>
        <w:t>1</w:t>
      </w:r>
      <w:r>
        <w:rPr>
          <w:bCs/>
          <w:sz w:val="24"/>
          <w:szCs w:val="24"/>
        </w:rPr>
        <w:t>、</w:t>
      </w:r>
      <w:r>
        <w:rPr>
          <w:bCs/>
          <w:sz w:val="24"/>
          <w:szCs w:val="24"/>
        </w:rPr>
        <w:t>2</w:t>
      </w:r>
      <w:r>
        <w:rPr>
          <w:bCs/>
          <w:sz w:val="24"/>
          <w:szCs w:val="24"/>
        </w:rPr>
        <w:t>、</w:t>
      </w:r>
      <w:r>
        <w:rPr>
          <w:rFonts w:hint="eastAsia"/>
          <w:bCs/>
          <w:sz w:val="24"/>
          <w:szCs w:val="24"/>
        </w:rPr>
        <w:t>3</w:t>
      </w:r>
      <w:r>
        <w:rPr>
          <w:bCs/>
          <w:sz w:val="24"/>
          <w:szCs w:val="24"/>
        </w:rPr>
        <w:t>、</w:t>
      </w:r>
      <w:r>
        <w:rPr>
          <w:bCs/>
          <w:sz w:val="24"/>
          <w:szCs w:val="24"/>
        </w:rPr>
        <w:t>5</w:t>
      </w:r>
      <w:r>
        <w:rPr>
          <w:rFonts w:hint="eastAsia"/>
          <w:bCs/>
          <w:sz w:val="24"/>
          <w:szCs w:val="24"/>
        </w:rPr>
        <w:t>、</w:t>
      </w:r>
      <w:r>
        <w:rPr>
          <w:rFonts w:hint="eastAsia"/>
          <w:bCs/>
          <w:sz w:val="24"/>
          <w:szCs w:val="24"/>
        </w:rPr>
        <w:t>6</w:t>
      </w:r>
      <w:r>
        <w:rPr>
          <w:rFonts w:hint="eastAsia"/>
          <w:bCs/>
          <w:sz w:val="24"/>
          <w:szCs w:val="24"/>
        </w:rPr>
        <w:t>、</w:t>
      </w:r>
      <w:r>
        <w:rPr>
          <w:rFonts w:hint="eastAsia"/>
          <w:bCs/>
          <w:sz w:val="24"/>
          <w:szCs w:val="24"/>
        </w:rPr>
        <w:t>8</w:t>
      </w:r>
      <w:r>
        <w:rPr>
          <w:rFonts w:hint="eastAsia"/>
          <w:bCs/>
          <w:sz w:val="24"/>
          <w:szCs w:val="24"/>
        </w:rPr>
        <w:t>、</w:t>
      </w:r>
      <w:r>
        <w:rPr>
          <w:rFonts w:hint="eastAsia"/>
          <w:bCs/>
          <w:sz w:val="24"/>
          <w:szCs w:val="24"/>
        </w:rPr>
        <w:t>9</w:t>
      </w:r>
      <w:r>
        <w:rPr>
          <w:bCs/>
          <w:sz w:val="24"/>
          <w:szCs w:val="24"/>
        </w:rPr>
        <w:t>项暂停申购情形</w:t>
      </w:r>
      <w:r>
        <w:rPr>
          <w:rFonts w:hint="eastAsia"/>
          <w:bCs/>
          <w:sz w:val="24"/>
          <w:szCs w:val="24"/>
        </w:rPr>
        <w:t>之一且基金管理人决定暂停接受投资人的申购申请</w:t>
      </w:r>
      <w:r>
        <w:rPr>
          <w:bCs/>
          <w:sz w:val="24"/>
          <w:szCs w:val="24"/>
        </w:rPr>
        <w:t>时，基金管理人应当根据有关规定在指定媒介上刊登暂停申购公告。如果投资人的申购申请被拒绝，被拒绝的申购款项将退还给投资人。在暂停申购的情况消除时，基金管理人应及时恢复申购业务的办理。</w:t>
      </w:r>
    </w:p>
    <w:p w14:paraId="5DEF967C" w14:textId="77777777" w:rsidR="003E4D36" w:rsidRDefault="00E729B5">
      <w:pPr>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十、暂停赎回或延缓支付赎回款项的情形及处理</w:t>
      </w:r>
    </w:p>
    <w:p w14:paraId="4B6D0576"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发生下列情形时，基金管理人可暂停接受投资人的赎回申请或延缓支付赎回款项：</w:t>
      </w:r>
    </w:p>
    <w:p w14:paraId="307767B8"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1、因不可抗力导致基金管理人不能支付赎回款项。</w:t>
      </w:r>
    </w:p>
    <w:p w14:paraId="6FD2CE3D"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2、发生基金合同规定的暂停基金资产估值情况时，基金管理人可暂停接受</w:t>
      </w:r>
      <w:r>
        <w:rPr>
          <w:rFonts w:asciiTheme="minorEastAsia" w:hAnsiTheme="minorEastAsia" w:cs="Arial" w:hint="eastAsia"/>
          <w:sz w:val="24"/>
          <w:szCs w:val="24"/>
        </w:rPr>
        <w:lastRenderedPageBreak/>
        <w:t>投资人的赎回申请或延缓支付赎回款项。</w:t>
      </w:r>
    </w:p>
    <w:p w14:paraId="053EF68C"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3、证券、期货交易所交易时间非正常停市，导致基金管理人无法计算当日基金资产净值。</w:t>
      </w:r>
    </w:p>
    <w:p w14:paraId="5B84FA0D"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4、连续两个或两个以上开放日发生巨额赎回。</w:t>
      </w:r>
    </w:p>
    <w:p w14:paraId="1779B079"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5、继续接受赎回申请将损害现有基金份额持有人利益的情形时，基金管理人可暂停接受投资人的赎回申请。</w:t>
      </w:r>
    </w:p>
    <w:p w14:paraId="3273CD14"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6、当前一估值日基金资产净值50%以上的资产出现无可参考的活跃市场价格且采用估值技术仍导致公允价值存在重大不确定性时，经与基金托管人协商确认后，基金管理人暂停基金估值并采取延缓支付赎回款项或暂停接受基金赎回申请的措施。</w:t>
      </w:r>
    </w:p>
    <w:p w14:paraId="1F8F37CF"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7、法律法规规定或中国证监会认定的其他情形。</w:t>
      </w:r>
    </w:p>
    <w:p w14:paraId="545CB4DF" w14:textId="77777777" w:rsidR="003E4D36" w:rsidRDefault="00E729B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发生上述情形之一且基金管理人决定拒绝接受或暂停接受基金份额持有人的赎回申请时，基金管理人应在当日报中国证监会备案，已确认的赎回申请，基金管理人应足额支付；如暂时不能足额支付，未支付部分可延期支付。若出现上述第4项所述情形，按基金合同的相关条款处理。基金份额持有人在申请赎回时可事先选择将当日可能未获受理部分予以撤销。在暂停赎回的情况消除时，基金管理人应及时恢复赎回业务的办理并公告。</w:t>
      </w:r>
      <w:bookmarkStart w:id="184" w:name="_Toc416264545"/>
      <w:bookmarkStart w:id="185" w:name="_Toc17920"/>
      <w:bookmarkStart w:id="186" w:name="_Toc32584"/>
      <w:bookmarkStart w:id="187" w:name="_Toc739"/>
      <w:bookmarkStart w:id="188" w:name="_Toc352229756"/>
      <w:bookmarkStart w:id="189" w:name="_Toc20976"/>
      <w:bookmarkStart w:id="190" w:name="_Toc123051456"/>
      <w:bookmarkStart w:id="191" w:name="_Toc48649708"/>
      <w:bookmarkStart w:id="192" w:name="_Toc29408"/>
      <w:bookmarkStart w:id="193" w:name="_Toc139991740"/>
      <w:bookmarkStart w:id="194" w:name="_Toc123112238"/>
      <w:bookmarkStart w:id="195" w:name="_Toc5170"/>
      <w:bookmarkStart w:id="196" w:name="_Toc32092"/>
      <w:bookmarkStart w:id="197" w:name="_Toc3329"/>
      <w:bookmarkStart w:id="198" w:name="_Toc79392622"/>
      <w:bookmarkStart w:id="199" w:name="_Toc141703890"/>
      <w:bookmarkStart w:id="200" w:name="_Toc123102457"/>
      <w:bookmarkStart w:id="201" w:name="_Toc17198"/>
      <w:bookmarkStart w:id="202" w:name="_Toc8791"/>
      <w:bookmarkStart w:id="203" w:name="_Toc21237"/>
      <w:bookmarkStart w:id="204" w:name="_Toc98560356"/>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p>
    <w:p w14:paraId="0393C374" w14:textId="77777777" w:rsidR="003E4D36" w:rsidRDefault="00E729B5">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十一、巨额赎回的情形及处理方式</w:t>
      </w:r>
    </w:p>
    <w:p w14:paraId="56BDF6F5" w14:textId="77777777" w:rsidR="003E4D36" w:rsidRDefault="00E729B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1、巨额赎回的认定</w:t>
      </w:r>
    </w:p>
    <w:p w14:paraId="50B7E939" w14:textId="77777777" w:rsidR="003E4D36" w:rsidRDefault="00E729B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10%，即认为是发生了巨额赎回。</w:t>
      </w:r>
    </w:p>
    <w:p w14:paraId="3A7B0FD7" w14:textId="77777777" w:rsidR="003E4D36" w:rsidRDefault="00E729B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2、巨额赎回的处理方式</w:t>
      </w:r>
    </w:p>
    <w:p w14:paraId="1E1B86AC" w14:textId="77777777" w:rsidR="003E4D36" w:rsidRDefault="00E729B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当基金出现巨额赎回时，基金管理人可以根据基金当时的资产组合状况决定全额赎回或部分延期赎回。</w:t>
      </w:r>
    </w:p>
    <w:p w14:paraId="210A269D" w14:textId="77777777" w:rsidR="003E4D36" w:rsidRDefault="00E729B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（1）全额赎回：当基金管理人认为有能力支付投资人的全部赎回申请时，按正常赎回程序执行。</w:t>
      </w:r>
    </w:p>
    <w:p w14:paraId="1D781C5F" w14:textId="77777777" w:rsidR="003E4D36" w:rsidRDefault="00E729B5">
      <w:pPr>
        <w:spacing w:line="360" w:lineRule="auto"/>
        <w:ind w:firstLineChars="200" w:firstLine="480"/>
        <w:rPr>
          <w:bCs/>
          <w:sz w:val="24"/>
          <w:szCs w:val="24"/>
        </w:rPr>
      </w:pPr>
      <w:r>
        <w:rPr>
          <w:bCs/>
          <w:sz w:val="24"/>
          <w:szCs w:val="24"/>
        </w:rPr>
        <w:t>（</w:t>
      </w:r>
      <w:r>
        <w:rPr>
          <w:rFonts w:hint="eastAsia"/>
          <w:bCs/>
          <w:sz w:val="24"/>
          <w:szCs w:val="24"/>
        </w:rPr>
        <w:t>2</w:t>
      </w:r>
      <w:r>
        <w:rPr>
          <w:bCs/>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Pr>
          <w:rFonts w:hint="eastAsia"/>
          <w:bCs/>
          <w:sz w:val="24"/>
          <w:szCs w:val="24"/>
        </w:rPr>
        <w:t>10%</w:t>
      </w:r>
      <w:r>
        <w:rPr>
          <w:bCs/>
          <w:sz w:val="24"/>
          <w:szCs w:val="24"/>
        </w:rPr>
        <w:lastRenderedPageBreak/>
        <w:t>的前提下，可对其余赎回申请延期办理。</w:t>
      </w:r>
      <w:r>
        <w:rPr>
          <w:rFonts w:hint="eastAsia"/>
          <w:bCs/>
          <w:sz w:val="24"/>
          <w:szCs w:val="24"/>
        </w:rPr>
        <w:t>若进行上述延期办理，</w:t>
      </w:r>
      <w:r>
        <w:rPr>
          <w:bCs/>
          <w:sz w:val="24"/>
          <w:szCs w:val="24"/>
        </w:rPr>
        <w:t>对于</w:t>
      </w:r>
      <w:r>
        <w:rPr>
          <w:rFonts w:hint="eastAsia"/>
          <w:bCs/>
          <w:sz w:val="24"/>
          <w:szCs w:val="24"/>
        </w:rPr>
        <w:t>单个基金份额持有人</w:t>
      </w:r>
      <w:r>
        <w:rPr>
          <w:bCs/>
          <w:sz w:val="24"/>
          <w:szCs w:val="24"/>
        </w:rPr>
        <w:t>当日</w:t>
      </w:r>
      <w:r>
        <w:rPr>
          <w:rFonts w:hint="eastAsia"/>
          <w:bCs/>
          <w:sz w:val="24"/>
          <w:szCs w:val="24"/>
        </w:rPr>
        <w:t>赎回申请超过上一开放日基金总份额</w:t>
      </w:r>
      <w:r>
        <w:rPr>
          <w:bCs/>
          <w:sz w:val="24"/>
          <w:szCs w:val="24"/>
        </w:rPr>
        <w:t>50</w:t>
      </w:r>
      <w:r>
        <w:rPr>
          <w:rFonts w:hint="eastAsia"/>
          <w:bCs/>
          <w:sz w:val="24"/>
          <w:szCs w:val="24"/>
        </w:rPr>
        <w:t>%</w:t>
      </w:r>
      <w:r>
        <w:rPr>
          <w:rFonts w:hint="eastAsia"/>
          <w:bCs/>
          <w:sz w:val="24"/>
          <w:szCs w:val="24"/>
        </w:rPr>
        <w:t>以上的部分，基金管理人有权进行延期办理。对于其余当日非自动延期办理</w:t>
      </w:r>
      <w:r>
        <w:rPr>
          <w:bCs/>
          <w:sz w:val="24"/>
          <w:szCs w:val="24"/>
        </w:rPr>
        <w:t>的赎回申请，</w:t>
      </w:r>
      <w:r>
        <w:rPr>
          <w:rFonts w:hint="eastAsia"/>
          <w:bCs/>
          <w:sz w:val="24"/>
          <w:szCs w:val="24"/>
        </w:rPr>
        <w:t>应当</w:t>
      </w:r>
      <w:r>
        <w:rPr>
          <w:bCs/>
          <w:sz w:val="24"/>
          <w:szCs w:val="24"/>
        </w:rPr>
        <w:t>按单个账户</w:t>
      </w:r>
      <w:r>
        <w:rPr>
          <w:rFonts w:hint="eastAsia"/>
          <w:bCs/>
          <w:sz w:val="24"/>
          <w:szCs w:val="24"/>
        </w:rPr>
        <w:t>非自动延期办理的</w:t>
      </w:r>
      <w:r>
        <w:rPr>
          <w:bCs/>
          <w:sz w:val="24"/>
          <w:szCs w:val="24"/>
        </w:rPr>
        <w:t>赎回申请量占</w:t>
      </w:r>
      <w:r>
        <w:rPr>
          <w:rFonts w:hint="eastAsia"/>
          <w:bCs/>
          <w:sz w:val="24"/>
          <w:szCs w:val="24"/>
        </w:rPr>
        <w:t>非自动延期办理的</w:t>
      </w:r>
      <w:r>
        <w:rPr>
          <w:bCs/>
          <w:sz w:val="24"/>
          <w:szCs w:val="24"/>
        </w:rPr>
        <w:t>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并以下一开放日</w:t>
      </w:r>
      <w:r>
        <w:rPr>
          <w:rFonts w:hint="eastAsia"/>
          <w:bCs/>
          <w:sz w:val="24"/>
          <w:szCs w:val="24"/>
        </w:rPr>
        <w:t>某一类别</w:t>
      </w:r>
      <w:r>
        <w:rPr>
          <w:bCs/>
          <w:sz w:val="24"/>
          <w:szCs w:val="24"/>
        </w:rPr>
        <w:t>的基金份额净值为基础计算赎回金额，以此类推，直到全部赎回为止。如投资人在提交赎回申请时未作明确选择，投资人未能赎回部分作自动延期赎回处理。</w:t>
      </w:r>
    </w:p>
    <w:p w14:paraId="23E518FE" w14:textId="77777777" w:rsidR="003E4D36" w:rsidRDefault="00E729B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暂停赎回：连续2个开放日以上（含本数）发生巨额赎回，如基金管理人认为有必要，可暂停接受基金的赎回申请；已经接受的赎回申请可以延缓支付赎回款项，但不得超过20个工作日，并应当在指定媒介上进行公告。</w:t>
      </w:r>
    </w:p>
    <w:p w14:paraId="26FC8FC2" w14:textId="77777777" w:rsidR="003E4D36" w:rsidRDefault="00E729B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3、巨额赎回的公告</w:t>
      </w:r>
    </w:p>
    <w:p w14:paraId="4223C3E4" w14:textId="7BBF34E4" w:rsidR="003E4D36" w:rsidRDefault="00E729B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当发生上述巨额赎回并延期办理时，基金管理人应当通过邮寄、传真或者招募说明书规定的其他方式在3个交易日内通知基金份额持有人，说明有关处理方法，</w:t>
      </w:r>
      <w:r w:rsidR="00CD6203" w:rsidRPr="00CD6203">
        <w:rPr>
          <w:rFonts w:asciiTheme="minorEastAsia" w:hAnsiTheme="minorEastAsia" w:cs="Arial" w:hint="eastAsia"/>
          <w:sz w:val="24"/>
          <w:szCs w:val="24"/>
        </w:rPr>
        <w:t>并在2日内在指定媒介上刊登公告</w:t>
      </w:r>
      <w:r>
        <w:rPr>
          <w:rFonts w:asciiTheme="minorEastAsia" w:hAnsiTheme="minorEastAsia" w:cs="Arial" w:hint="eastAsia"/>
          <w:sz w:val="24"/>
          <w:szCs w:val="24"/>
        </w:rPr>
        <w:t>。</w:t>
      </w:r>
    </w:p>
    <w:p w14:paraId="711EE76E" w14:textId="77777777" w:rsidR="003E4D36" w:rsidRDefault="00E729B5">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十二、暂停申购或赎回的公告和重新开放申购或赎回的公告</w:t>
      </w:r>
    </w:p>
    <w:p w14:paraId="49A14C7D" w14:textId="715D1253" w:rsidR="003E4D36" w:rsidRDefault="00E729B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1、发生上述暂停申购或赎回情况的，</w:t>
      </w:r>
      <w:r w:rsidR="00CD6203" w:rsidRPr="00CD6203">
        <w:rPr>
          <w:rFonts w:asciiTheme="minorEastAsia" w:hAnsiTheme="minorEastAsia" w:cs="Arial" w:hint="eastAsia"/>
          <w:sz w:val="24"/>
          <w:szCs w:val="24"/>
        </w:rPr>
        <w:t>基金管理人应在规定期限内在指定媒介上刊登暂停公告</w:t>
      </w:r>
      <w:r>
        <w:rPr>
          <w:rFonts w:asciiTheme="minorEastAsia" w:hAnsiTheme="minorEastAsia" w:cs="Arial" w:hint="eastAsia"/>
          <w:sz w:val="24"/>
          <w:szCs w:val="24"/>
        </w:rPr>
        <w:t>。</w:t>
      </w:r>
    </w:p>
    <w:p w14:paraId="4C00360B" w14:textId="77777777" w:rsidR="003E4D36" w:rsidRDefault="00E729B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2、基金管理人可以根据暂停申购或赎回的时间，依照《信息披露办法》的有关规定，最迟于重新开放日在指定媒介上刊登重新开放申购或赎回的公告；也可以根据实际情况在暂停公告中明确重新开放申购或赎回的时间，届时不再另行发布重新开放的公告。</w:t>
      </w:r>
    </w:p>
    <w:p w14:paraId="3F262DA5" w14:textId="77777777" w:rsidR="003E4D36" w:rsidRDefault="00E729B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3、上述暂停申购或赎回情况消除的，基金管理人应于重新开放日公布最近1个工作日两类基金份额净值。</w:t>
      </w:r>
    </w:p>
    <w:p w14:paraId="36B1F121" w14:textId="77777777" w:rsidR="003E4D36" w:rsidRDefault="00E729B5">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十三、基金转换</w:t>
      </w:r>
    </w:p>
    <w:p w14:paraId="637C3ED3" w14:textId="77777777" w:rsidR="003E4D36" w:rsidRDefault="00E729B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w:t>
      </w:r>
      <w:r>
        <w:rPr>
          <w:rFonts w:asciiTheme="minorEastAsia" w:hAnsiTheme="minorEastAsia" w:cs="Arial" w:hint="eastAsia"/>
          <w:sz w:val="24"/>
          <w:szCs w:val="24"/>
        </w:rPr>
        <w:lastRenderedPageBreak/>
        <w:t>相关规则由基金管理人届时根据相关法律法规及基金合同的规定制定并公告，并提前告知基金托管人与相关机构。</w:t>
      </w:r>
    </w:p>
    <w:p w14:paraId="30831B91" w14:textId="77777777" w:rsidR="003E4D36" w:rsidRDefault="00E729B5">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十四、基金份额的转让</w:t>
      </w:r>
    </w:p>
    <w:p w14:paraId="30C54745" w14:textId="77777777" w:rsidR="003E4D36" w:rsidRDefault="00E729B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1B4BE162" w14:textId="77777777" w:rsidR="003E4D36" w:rsidRDefault="00E729B5">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十五、基金的非交易过户</w:t>
      </w:r>
    </w:p>
    <w:p w14:paraId="491232BC" w14:textId="77777777" w:rsidR="003E4D36" w:rsidRDefault="00E729B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的非交易过户是指基金登记机构受理继承、捐赠和司法强制执行等情形而产生的非交易过户以及登记机构认可、符合法律法规的其它非交易过户。无论在上述何种情况下，接受划转的主体必须是依法可以持有本基金基金份额的投资人。</w:t>
      </w:r>
    </w:p>
    <w:p w14:paraId="5A3130BC" w14:textId="77777777" w:rsidR="003E4D36" w:rsidRDefault="00E729B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基金登记机构要求提供的相关资料，对于符合条件的非交易过户申请按基金登记机构的规定办理，并按基金登记机构规定的标准收费。</w:t>
      </w:r>
    </w:p>
    <w:p w14:paraId="2C277F5B" w14:textId="77777777" w:rsidR="003E4D36" w:rsidRDefault="00E729B5">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十六、基金的转托管</w:t>
      </w:r>
    </w:p>
    <w:p w14:paraId="024D7E7C" w14:textId="77777777" w:rsidR="003E4D36" w:rsidRDefault="00E729B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71FA05E7" w14:textId="77777777" w:rsidR="003E4D36" w:rsidRDefault="00E729B5">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十七、定期定额投资计划</w:t>
      </w:r>
    </w:p>
    <w:p w14:paraId="1FC16B3B" w14:textId="77777777" w:rsidR="003E4D36" w:rsidRDefault="00E729B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5A3B67A9" w14:textId="77777777" w:rsidR="003E4D36" w:rsidRDefault="00E729B5">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十八、基金份额的冻结、解冻与质押</w:t>
      </w:r>
    </w:p>
    <w:p w14:paraId="3404A532" w14:textId="77777777" w:rsidR="003E4D36" w:rsidRDefault="00E729B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p>
    <w:p w14:paraId="31425119" w14:textId="77777777" w:rsidR="003E4D36" w:rsidRDefault="00E729B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lastRenderedPageBreak/>
        <w:t>如相关法律法规允许基金管理人办理基金份额的质押业务或其他基金业务，基金管理人将制定和实施相应的业务规则。</w:t>
      </w:r>
    </w:p>
    <w:p w14:paraId="582DEF11" w14:textId="77777777" w:rsidR="003E4D36" w:rsidRDefault="00E729B5">
      <w:pPr>
        <w:widowControl/>
        <w:jc w:val="left"/>
        <w:rPr>
          <w:rFonts w:asciiTheme="minorEastAsia" w:hAnsiTheme="minorEastAsia" w:cs="Arial"/>
          <w:sz w:val="24"/>
          <w:szCs w:val="24"/>
        </w:rPr>
      </w:pPr>
      <w:r>
        <w:rPr>
          <w:rFonts w:asciiTheme="minorEastAsia" w:hAnsiTheme="minorEastAsia" w:cs="Arial"/>
          <w:sz w:val="24"/>
          <w:szCs w:val="24"/>
        </w:rPr>
        <w:br w:type="page"/>
      </w:r>
    </w:p>
    <w:p w14:paraId="753947D9" w14:textId="77777777" w:rsidR="003E4D36" w:rsidRDefault="00E729B5">
      <w:pPr>
        <w:pStyle w:val="1"/>
        <w:jc w:val="center"/>
        <w:rPr>
          <w:sz w:val="30"/>
          <w:szCs w:val="30"/>
        </w:rPr>
      </w:pPr>
      <w:bookmarkStart w:id="205" w:name="_Toc523243824"/>
      <w:r>
        <w:rPr>
          <w:rFonts w:hint="eastAsia"/>
          <w:sz w:val="30"/>
          <w:szCs w:val="30"/>
        </w:rPr>
        <w:lastRenderedPageBreak/>
        <w:t>第九部分</w:t>
      </w:r>
      <w:r>
        <w:rPr>
          <w:sz w:val="30"/>
          <w:szCs w:val="30"/>
        </w:rPr>
        <w:t xml:space="preserve">  </w:t>
      </w:r>
      <w:r>
        <w:rPr>
          <w:rFonts w:hint="eastAsia"/>
          <w:sz w:val="30"/>
          <w:szCs w:val="30"/>
        </w:rPr>
        <w:t>基金的投资</w:t>
      </w:r>
      <w:bookmarkEnd w:id="184"/>
      <w:bookmarkEnd w:id="205"/>
    </w:p>
    <w:p w14:paraId="31864685" w14:textId="77777777" w:rsidR="003E4D36" w:rsidRDefault="00E729B5">
      <w:pPr>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一、投资目标</w:t>
      </w:r>
    </w:p>
    <w:p w14:paraId="074C2B5F" w14:textId="77777777" w:rsidR="003E4D36" w:rsidRDefault="00E729B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本基金通过对多种投资策略的有机结合，在严格控制风险的基础上，力求取得超越基金业绩比较基准的收益。</w:t>
      </w:r>
    </w:p>
    <w:p w14:paraId="102880D4" w14:textId="77777777" w:rsidR="003E4D36" w:rsidRDefault="00E729B5">
      <w:pPr>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二、投资范围</w:t>
      </w:r>
    </w:p>
    <w:p w14:paraId="7CE30A05" w14:textId="77777777" w:rsidR="003E4D36" w:rsidRDefault="00E729B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的投资范围主要为具有良好流动性的金融工具，包括国内依法发行上市的股票（包括中小板、创业板及其他经中国证监会核准上市的股票），债券（含国债、金融债、企业债、公司债、央行票据、中期票据、短期融资券、超短期融资券、政府支持机构债、地方政府债、次级债、可转换债券、可交换债券、中小企业私募债及其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p>
    <w:p w14:paraId="2D046D2F" w14:textId="77777777" w:rsidR="003E4D36" w:rsidRDefault="00E729B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的投资组合比例为：股票资产占基金资产的0%-95%；每个交易日日终在扣除股指期货、国债期货合约需缴纳的保证金以后，本基金保留的现金或到期日在一年以内的政府债券不低于基金资产净值的5%，其中现金不包括结算备付金、存出保证金、应收申购款等；权证投资占基金资产净值的0-3%。</w:t>
      </w:r>
    </w:p>
    <w:p w14:paraId="1DDD7839" w14:textId="77777777" w:rsidR="003E4D36" w:rsidRDefault="00E729B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如果法律法规或中国证监会变更投资品种的投资比例限制，基金管理人在履行适当程序后，可以调整上述投资品种的投资比例。</w:t>
      </w:r>
    </w:p>
    <w:p w14:paraId="5459D582" w14:textId="77777777" w:rsidR="003E4D36" w:rsidRDefault="00E729B5">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三、投资策略</w:t>
      </w:r>
    </w:p>
    <w:p w14:paraId="1560BBEA"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（一）资产配置策略</w:t>
      </w:r>
    </w:p>
    <w:p w14:paraId="3B15B1C3"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通过跟踪考量通常的宏观经济变量（包括GDP增长率、CPI走势、M2的绝对水平和增长率、利率水平与走势等）以及各项国家政策（包括财政、税收、货币、汇率政策等），并结合美林时钟等科学严谨的资产配置模型，动态评估不同资产大类在不同时期的投资价值及其风险收益特征，追求股票、债券和货币等大类资产的灵活配置和稳健收益。</w:t>
      </w:r>
    </w:p>
    <w:p w14:paraId="4A5150B1"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（二）债券投资策略</w:t>
      </w:r>
    </w:p>
    <w:p w14:paraId="2C9181C0"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本基金债券投资将采取久期策略、收益率曲线策略、骑乘策略、息差策略、</w:t>
      </w:r>
      <w:r>
        <w:rPr>
          <w:rFonts w:asciiTheme="minorEastAsia" w:hAnsiTheme="minorEastAsia" w:cs="Times New Roman" w:hint="eastAsia"/>
          <w:bCs/>
          <w:sz w:val="24"/>
          <w:szCs w:val="24"/>
        </w:rPr>
        <w:lastRenderedPageBreak/>
        <w:t>个券选择策略、信用策略、中小企业私募债投资策略等积极投资策略，灵活地调整组合的券种搭配，精选个券，力争实现投资组合的保值增值。</w:t>
      </w:r>
    </w:p>
    <w:p w14:paraId="652B685B"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1、久期策略</w:t>
      </w:r>
    </w:p>
    <w:p w14:paraId="4D4F6172"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久期管理是债券投资的重要考量因素，本基金将采用以“目标久期”为中心、 自上而下的组合久期管理策略。</w:t>
      </w:r>
    </w:p>
    <w:p w14:paraId="795A2BF3"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2、收益率曲线策略</w:t>
      </w:r>
    </w:p>
    <w:p w14:paraId="13550BCE"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收益率曲线的形状变化是判断市场整体走向的一个重要依据，本基金将据此调整组合长、中、短期债券的搭配，并进行动态调整。</w:t>
      </w:r>
    </w:p>
    <w:p w14:paraId="40B2A17F"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3、骑乘策略</w:t>
      </w:r>
    </w:p>
    <w:p w14:paraId="1FEA5FCD"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本基金将采用基于收益率曲线分析对债券组合进行适时调整的骑乘策略， 以达到增强组合的持有期收益的目的。</w:t>
      </w:r>
    </w:p>
    <w:p w14:paraId="7D6A0D11"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4、息差策略</w:t>
      </w:r>
    </w:p>
    <w:p w14:paraId="68843DF5"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本基金将采用息差策略，以达到更好地利用杠杆放大债券投资的收益的目的。</w:t>
      </w:r>
    </w:p>
    <w:p w14:paraId="3449D8B7"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5、个券选择策略</w:t>
      </w:r>
    </w:p>
    <w:p w14:paraId="100BAFDD"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本基金将根据单个债券到期收益率相对于市场收益率曲线的偏离程度，结合信用等级、流动性、选择权条款、税赋特点等因素，确定其投资价值，选择定价合理或价值被低估的债券进行投资。</w:t>
      </w:r>
    </w:p>
    <w:p w14:paraId="2B665A6C"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6、信用策略</w:t>
      </w:r>
    </w:p>
    <w:p w14:paraId="10A7B05D"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通过主动承担适度的信用风险来获取信用溢价，根据内、外部信用评级结果，结合对类似债券信用利差的分析以及对未来信用利差走势的判断，选择信用利差被高估、未来信用利差可能下降的信用债进行投资。</w:t>
      </w:r>
    </w:p>
    <w:p w14:paraId="0C258C12"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7、中小企业私募债券策略</w:t>
      </w:r>
    </w:p>
    <w:p w14:paraId="177B4F6E"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中小企业私募债券是在中国境内以非公开方式发行和转让，约定在一定期限还本付息的公司债券。由于其非公开性及条款可协商性，普遍具有较高收益。 本基金将深入研究发行人资信及公司运营情况，合理合规合格地进行中小企业私募债券投资。本基金在投资过程中密切监控债券信用等级或发行人信用等级变化情况，尽力规避风险，并获取超额收益。</w:t>
      </w:r>
    </w:p>
    <w:p w14:paraId="70A2EDF9"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（三）股票投资策略</w:t>
      </w:r>
    </w:p>
    <w:p w14:paraId="35906072"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本基金通过自上而下及自下而上相结合的方法挖掘优质的上市公司构建投资组合：自上而下地分析行业的增长前景、行业结构、商业模式、竞争要素等分析把握其投资机会；自下而上地评判企业的产品、核心竞争力、管理层、治理结构等；并结合企业基本面和估值水平进行综合的研判，力争实现组合的保值增值。</w:t>
      </w:r>
    </w:p>
    <w:p w14:paraId="7ED0B9F8"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1、自上而下的行业遴选</w:t>
      </w:r>
    </w:p>
    <w:p w14:paraId="287B6704"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自上而下地进行行业遴选，重点关注行业增长前景、行业利润前景和行业成功要素。对行业增长前景，主要分析行业的外部发展环境、行业的生命周期以及行业波动与经济周期的关系等；对行业利润前景，主要分析行业结构， 特别是业内竞争的方式、业内竞争的激烈程度、以及业内厂商的谈判能力等。基于对行业结构的分析形成对业内竞争的关键成功要素的判断，为预测企业经营环境的变化建立起扎实的基础。</w:t>
      </w:r>
    </w:p>
    <w:p w14:paraId="212BCB1D"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2、自下而上的个股选择</w:t>
      </w:r>
    </w:p>
    <w:p w14:paraId="281BD607"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主要从两方面进行自下而上的个股选择：一方面是竞争力分析，通过对公司竞争策略和核心竞争力的分析，选择具有可持续竞争优势的上市公司或未来具有广阔成长空间的公司。就公司竞争策略，基于行业分析的结果判断策略的有效性、策略的实施支持和策略的执行成果；就核心竞争力，分析公司的现有核心竞争力，并判断公司能否利用现有的资源、能力和定位取得可持续竞争优势。</w:t>
      </w:r>
    </w:p>
    <w:p w14:paraId="4EEE90C0"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另一方面是管理层分析，在国内监管体系落后、公司治理结构不完善的基础上，上市公司的命运对管理团队的依赖度大大增加。本基金将着重考察公司的管理层以及管理制度。</w:t>
      </w:r>
    </w:p>
    <w:p w14:paraId="3133F728"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3、综合研判</w:t>
      </w:r>
    </w:p>
    <w:p w14:paraId="319D9877"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在自上而下和自下而上的基础上，结合估值分析，力争实现组合的保值增值。通过对估值方法的选择和估值倍数的比较，选择股价相对低估的股票。就估值方法而言，基于行业的特点确定对股价最有影响力的关键估值方法（包括PE、PEG、PB、PS、EV/EBITDA等）；就估值倍数而言，通过业内比较、历史比较和增长性分析，确定具有上升基础的股价水平。</w:t>
      </w:r>
    </w:p>
    <w:p w14:paraId="05EEEC65"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（四）金融衍生品投资策略</w:t>
      </w:r>
    </w:p>
    <w:p w14:paraId="39EF8608"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1、权证投资策略</w:t>
      </w:r>
    </w:p>
    <w:p w14:paraId="34F5A23F"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权证为本基金辅助性投资工具，投资原则为有利于基金资产增值、控制下跌</w:t>
      </w:r>
      <w:r>
        <w:rPr>
          <w:rFonts w:asciiTheme="minorEastAsia" w:hAnsiTheme="minorEastAsia" w:cs="Times New Roman" w:hint="eastAsia"/>
          <w:bCs/>
          <w:sz w:val="24"/>
          <w:szCs w:val="24"/>
        </w:rPr>
        <w:lastRenderedPageBreak/>
        <w:t>风险。本基金在权证投资方面将以价值分析为基础，在采用数量化模型分析其合理定价的基础上，立足于无风险套利，力求稳健的投资收益。</w:t>
      </w:r>
    </w:p>
    <w:p w14:paraId="4E5E0D59"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2、股指期货投资策略</w:t>
      </w:r>
    </w:p>
    <w:p w14:paraId="0932ED98"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本基金将根据风险管理的原则，以套期保值为目的，在风险可控的前提下，本着谨慎原则，参与股指期货的投资，以管理投资组合的系统性风险，改善组合的风险收益特性。</w:t>
      </w:r>
    </w:p>
    <w:p w14:paraId="01D1A708" w14:textId="77777777" w:rsidR="003E4D36" w:rsidRDefault="00E729B5">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、股票期权投资策略</w:t>
      </w:r>
    </w:p>
    <w:p w14:paraId="630183F8" w14:textId="77777777" w:rsidR="003E4D36" w:rsidRDefault="00E729B5">
      <w:pPr>
        <w:autoSpaceDE w:val="0"/>
        <w:autoSpaceDN w:val="0"/>
        <w:spacing w:line="360" w:lineRule="auto"/>
        <w:ind w:firstLineChars="200" w:firstLine="480"/>
        <w:textAlignment w:val="bottom"/>
        <w:rPr>
          <w:bCs/>
          <w:sz w:val="24"/>
        </w:rPr>
      </w:pPr>
      <w:r>
        <w:rPr>
          <w:rFonts w:hint="eastAsia"/>
          <w:bCs/>
          <w:sz w:val="24"/>
        </w:rPr>
        <w:t>本基金按照风险管理的原则，在严格控制风险的前提下，</w:t>
      </w:r>
      <w:r>
        <w:rPr>
          <w:bCs/>
          <w:sz w:val="24"/>
        </w:rPr>
        <w:t>以套期保值为目的，</w:t>
      </w:r>
      <w:r>
        <w:rPr>
          <w:rFonts w:hint="eastAsia"/>
          <w:bCs/>
          <w:sz w:val="24"/>
        </w:rPr>
        <w:t>选择流动性好、交易活跃的股票期权合约进行投资。本基金基于证券市场的判断，结合期权定价模型，选择估值合理的股票期权合约。</w:t>
      </w:r>
    </w:p>
    <w:p w14:paraId="4C30A56D" w14:textId="77777777" w:rsidR="003E4D36" w:rsidRDefault="00E729B5">
      <w:pPr>
        <w:autoSpaceDE w:val="0"/>
        <w:autoSpaceDN w:val="0"/>
        <w:spacing w:line="360" w:lineRule="auto"/>
        <w:ind w:firstLineChars="200" w:firstLine="480"/>
        <w:textAlignment w:val="bottom"/>
        <w:rPr>
          <w:bCs/>
          <w:sz w:val="24"/>
        </w:rPr>
      </w:pPr>
      <w:r>
        <w:rPr>
          <w:rFonts w:hint="eastAsia"/>
          <w:bCs/>
          <w:sz w:val="24"/>
        </w:rPr>
        <w:t>本基金投资股票期权，基金管理人将根据审慎原则，建立期权交易决策部门或小组，授权特定的管理人员负责期权的投资审批事项，以防范期权投资的风险。</w:t>
      </w:r>
    </w:p>
    <w:p w14:paraId="01471966" w14:textId="77777777" w:rsidR="003E4D36" w:rsidRDefault="00E729B5">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、国债期货投资策略</w:t>
      </w:r>
    </w:p>
    <w:p w14:paraId="1FA60685" w14:textId="77777777" w:rsidR="003E4D36" w:rsidRDefault="00E729B5">
      <w:pPr>
        <w:autoSpaceDE w:val="0"/>
        <w:autoSpaceDN w:val="0"/>
        <w:spacing w:line="360" w:lineRule="auto"/>
        <w:ind w:firstLineChars="200" w:firstLine="480"/>
        <w:textAlignment w:val="bottom"/>
        <w:rPr>
          <w:bCs/>
          <w:sz w:val="24"/>
        </w:rPr>
      </w:pPr>
      <w:r>
        <w:rPr>
          <w:rFonts w:hint="eastAsia"/>
          <w:bCs/>
          <w:sz w:val="24"/>
        </w:rPr>
        <w:t>本基金投资国债期货，将根据风险管理的原则，</w:t>
      </w:r>
      <w:r>
        <w:rPr>
          <w:bCs/>
          <w:sz w:val="24"/>
        </w:rPr>
        <w:t>以套期保值为目的，</w:t>
      </w:r>
      <w:r>
        <w:rPr>
          <w:rFonts w:hint="eastAsia"/>
          <w:bCs/>
          <w:sz w:val="24"/>
        </w:rPr>
        <w:t>充分考虑国债期货的流动性和风险收益特征，在风险可控的前提下，适度参与国债期货投资。</w:t>
      </w:r>
    </w:p>
    <w:p w14:paraId="3F54D317"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hint="eastAsia"/>
          <w:bCs/>
          <w:sz w:val="24"/>
        </w:rPr>
        <w:t>未来，根据市场情况，基金可相应调整和更新相关投资策略，并在招募说明书更新中公告。</w:t>
      </w:r>
    </w:p>
    <w:p w14:paraId="3432F63B"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（五）资产支持证券投资策略</w:t>
      </w:r>
    </w:p>
    <w:p w14:paraId="221D0190"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综合运用战略资产配置和战术资产配置进行资产支持证券的投资组合管理，并根据信用风险、利率风险和流动性风险变化积极调整投资策略，严格遵守法律法规和基金合同的约定，在保证本金安全和基金资产流动性的基础上获得稳定收益。</w:t>
      </w:r>
    </w:p>
    <w:p w14:paraId="4DD1B9C5"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未来随着证券市场投资工具的发展和丰富，在符合有关法律法规规定的前提下，本基金可相应调整和更新相关投资策略。</w:t>
      </w:r>
    </w:p>
    <w:p w14:paraId="01D086D9" w14:textId="77777777" w:rsidR="003E4D36" w:rsidRDefault="00E729B5">
      <w:pPr>
        <w:autoSpaceDE w:val="0"/>
        <w:autoSpaceDN w:val="0"/>
        <w:spacing w:line="360" w:lineRule="auto"/>
        <w:ind w:firstLineChars="200" w:firstLine="482"/>
        <w:textAlignment w:val="bottom"/>
        <w:rPr>
          <w:rFonts w:asciiTheme="minorEastAsia" w:hAnsiTheme="minorEastAsia" w:cs="Times New Roman"/>
          <w:b/>
          <w:sz w:val="24"/>
          <w:szCs w:val="24"/>
        </w:rPr>
      </w:pPr>
      <w:r>
        <w:rPr>
          <w:rFonts w:asciiTheme="minorEastAsia" w:hAnsiTheme="minorEastAsia" w:cs="Times New Roman" w:hint="eastAsia"/>
          <w:b/>
          <w:sz w:val="24"/>
          <w:szCs w:val="24"/>
        </w:rPr>
        <w:t>四、投资限制</w:t>
      </w:r>
    </w:p>
    <w:p w14:paraId="37D1E2DD"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1、组合限制</w:t>
      </w:r>
    </w:p>
    <w:p w14:paraId="09F8FC53"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基金的投资组合应遵循以下限制：</w:t>
      </w:r>
    </w:p>
    <w:p w14:paraId="2FF4C3EF"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（1）股票投资占基金资产的比例为0%–95%；</w:t>
      </w:r>
    </w:p>
    <w:p w14:paraId="5C0D821D"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（2）每个交易日日终在扣除股指期货、国债期货合约需缴纳的交易保证金后，保持不低于基金资产净值5％的现金或者到期日在一年以内的政府债券，其中现金不包括结算备付金、存出保证金、应收申购款等；</w:t>
      </w:r>
    </w:p>
    <w:p w14:paraId="0D4567A8"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（3）本基金持有一家公司发行的证券，其市值不超过基金资产净值的10％；</w:t>
      </w:r>
    </w:p>
    <w:p w14:paraId="3AA658B2"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（4）本基金管理人管理的全部基金持有一家公司发行的证券，不超过该证券的10％；</w:t>
      </w:r>
    </w:p>
    <w:p w14:paraId="1AA57524"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（5）本基金持有的全部权证，其市值不得超过基金资产净值的3％；</w:t>
      </w:r>
    </w:p>
    <w:p w14:paraId="588B9CB3"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（6）本基金管理人管理的全部基金持有的同一权证，不得超过该权证的   10％；</w:t>
      </w:r>
    </w:p>
    <w:p w14:paraId="7F0768D3"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（7）本基金在任何交易日买入权证的总金额，不得超过上一交易日基金资产净值的0.5％；</w:t>
      </w:r>
    </w:p>
    <w:p w14:paraId="5A4D52C6"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（8）本基金投资于同一原始权益人的各类资产支持证券的比例，不得超过基金资产净值的10％；</w:t>
      </w:r>
    </w:p>
    <w:p w14:paraId="636D53F6"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（9）本基金持有的全部资产支持证券，其市值不得超过基金资产净值的20％，中国证监会规定的特殊品种除外；</w:t>
      </w:r>
    </w:p>
    <w:p w14:paraId="743B02FE"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（10）本基金持有的同一(指同一信用级别)资产支持证券的比例，不得超过该资产支持证券规模的10％；</w:t>
      </w:r>
    </w:p>
    <w:p w14:paraId="16EEC96E"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（11）本基金管理人管理的全部基金投资于同一原始权益人的各类资产支持证券，不得超过其各类资产支持证券合计规模的10％；</w:t>
      </w:r>
    </w:p>
    <w:p w14:paraId="61B23DE0"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（12）本基金应投资于信用级别评级为BBB以上(含BBB)的资产支持证券。基金持有资产支持证券期间，如果其信用等级下降、不再符合投资标准，应在评级报告发布之日起3个月内予以全部卖出；</w:t>
      </w:r>
    </w:p>
    <w:p w14:paraId="0DFCAE11"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（13）基金财产参与股票发行申购，本基金所申报的金额不超过本基金的总资产，本基金所申报的股票数量不超过拟发行股票公司本次发行股票的总量；</w:t>
      </w:r>
    </w:p>
    <w:p w14:paraId="31AE8709"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（14）本基金进入全国银行间同业市场进行债券回购的资金余额不得超过基金资产净值的40%，在全国银行间同业市场的债券回购最长期限为1年，债券回购到期后不得展期；</w:t>
      </w:r>
    </w:p>
    <w:p w14:paraId="0F7F3B57"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（15）本基金总资产不得超过基金净资产的 140%；</w:t>
      </w:r>
    </w:p>
    <w:p w14:paraId="1F142EA2" w14:textId="77777777" w:rsidR="003E4D36" w:rsidRDefault="00E729B5">
      <w:pPr>
        <w:autoSpaceDE w:val="0"/>
        <w:autoSpaceDN w:val="0"/>
        <w:spacing w:line="276"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（16）</w:t>
      </w:r>
      <w:r>
        <w:rPr>
          <w:rFonts w:hint="eastAsia"/>
          <w:bCs/>
          <w:sz w:val="24"/>
        </w:rPr>
        <w:t>本基金持有单只中小企业私募债券，其市值不得超过本基金资产净值的</w:t>
      </w:r>
      <w:r>
        <w:rPr>
          <w:rFonts w:hint="eastAsia"/>
          <w:bCs/>
          <w:sz w:val="24"/>
        </w:rPr>
        <w:t>10%</w:t>
      </w:r>
      <w:r>
        <w:rPr>
          <w:rFonts w:hint="eastAsia"/>
          <w:bCs/>
          <w:sz w:val="24"/>
        </w:rPr>
        <w:t>；</w:t>
      </w:r>
      <w:r>
        <w:rPr>
          <w:rFonts w:asciiTheme="minorEastAsia" w:hAnsiTheme="minorEastAsia" w:cs="Times New Roman" w:hint="eastAsia"/>
          <w:bCs/>
          <w:sz w:val="24"/>
          <w:szCs w:val="24"/>
        </w:rPr>
        <w:t>基金投资于中小企业私募债的比例不超过基金资产净值的20%；</w:t>
      </w:r>
    </w:p>
    <w:p w14:paraId="644DAEE7"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（17）本基金参与股指期货、国债期货交易，需遵守下列规定：</w:t>
      </w:r>
    </w:p>
    <w:p w14:paraId="133BBAA6"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1）本基金在任何交易日日终，持有的买入股指期货合约价值，不得超过基金资产净值的10%；</w:t>
      </w:r>
    </w:p>
    <w:p w14:paraId="757426E7"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本基金在任何交易日日终，持有的买入股指期货、国债期货合约价值与有价证券市值之和，不得超过基金资产净值的95%，其中，有价证券指股票、债券（不含到期日在一年以内的政府债券）、权证、资产支持证券、买入返售金融资产（不含质押式回购）等；</w:t>
      </w:r>
    </w:p>
    <w:p w14:paraId="04055964"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3）本基金在任何交易日日终，持有的卖出股指期货合约价值不得超过基金持有的股票总市值的20%；</w:t>
      </w:r>
    </w:p>
    <w:p w14:paraId="5C431357"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4）本基金在任何交易日内交易（不包括平仓）的股指期货合约的成交金额不得超过上一交易日基金资产净值的20%；</w:t>
      </w:r>
    </w:p>
    <w:p w14:paraId="1449CB6C"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5）本基金所持有的股票市值和买入、卖出股指期货合约价值，合计（轧差计算）应当符合基金合同关于股票投资比例的有关规定；</w:t>
      </w:r>
    </w:p>
    <w:p w14:paraId="6E0DA767"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6）本基金在任何交易日日终，持有的买入国债期货合约价值，不得超过基金资产净值的15%；</w:t>
      </w:r>
    </w:p>
    <w:p w14:paraId="1CDC0AF6"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7）本基金在任何交易日日终，持有的卖出国债期货合约价值不得超过基金持有的债券总市值的30%；</w:t>
      </w:r>
    </w:p>
    <w:p w14:paraId="409D529D"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8）本基金在任何交易日内交易（不包括平仓）的国债期货合约的成交金额不得超过上一交易日基金资产净值的30%；</w:t>
      </w:r>
    </w:p>
    <w:p w14:paraId="6E77234E"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（18）本基金参与股票期权交易，需遵守下列投资比例限制：</w:t>
      </w:r>
    </w:p>
    <w:p w14:paraId="6B92521B"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1）本基金因未平仓的期权合约支付和收取的权利金总额不得超过基金资产净值的10%；</w:t>
      </w:r>
    </w:p>
    <w:p w14:paraId="6764CFDD"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2）本基金开仓卖出认购期权的，应持有足额标的证券；开仓卖出认沽期权的，应持有合约行权所需的全额现金或交易所规则认可的可冲抵期权保证金的现金等价物；</w:t>
      </w:r>
    </w:p>
    <w:p w14:paraId="21874D72"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3）本基金未平仓的期权合约面值不得超过基金资产净值的20%。其中，合约面值按照行权价乘以合约乘数计算；</w:t>
      </w:r>
    </w:p>
    <w:p w14:paraId="5EB2C110" w14:textId="77777777" w:rsidR="003E4D36" w:rsidRDefault="00E729B5">
      <w:pPr>
        <w:spacing w:line="360" w:lineRule="auto"/>
        <w:ind w:firstLineChars="200" w:firstLine="480"/>
        <w:rPr>
          <w:bCs/>
          <w:sz w:val="24"/>
        </w:rPr>
      </w:pPr>
      <w:r>
        <w:rPr>
          <w:rFonts w:hint="eastAsia"/>
          <w:bCs/>
          <w:sz w:val="24"/>
        </w:rPr>
        <w:t>（</w:t>
      </w:r>
      <w:r>
        <w:rPr>
          <w:rFonts w:hint="eastAsia"/>
          <w:bCs/>
          <w:sz w:val="24"/>
        </w:rPr>
        <w:t>19</w:t>
      </w:r>
      <w:r>
        <w:rPr>
          <w:rFonts w:hint="eastAsia"/>
          <w:bCs/>
          <w:sz w:val="24"/>
        </w:rPr>
        <w:t>）本基金管理人管理的全部开放式基金（包括开放式基金以及处于开放期的定期开放基金）持有一家上市公司发行的可流通股票，不得超过该上市公司</w:t>
      </w:r>
      <w:r>
        <w:rPr>
          <w:rFonts w:hint="eastAsia"/>
          <w:bCs/>
          <w:sz w:val="24"/>
        </w:rPr>
        <w:lastRenderedPageBreak/>
        <w:t>可流通股票的</w:t>
      </w:r>
      <w:r>
        <w:rPr>
          <w:rFonts w:hint="eastAsia"/>
          <w:bCs/>
          <w:sz w:val="24"/>
        </w:rPr>
        <w:t>15%</w:t>
      </w:r>
      <w:r>
        <w:rPr>
          <w:rFonts w:hint="eastAsia"/>
          <w:bCs/>
          <w:sz w:val="24"/>
        </w:rPr>
        <w:t>；本基金管理人管理的全部投资组合持有一家上市公司发行的可流通股票，不得超过该上市公司可流通股票的</w:t>
      </w:r>
      <w:r>
        <w:rPr>
          <w:rFonts w:hint="eastAsia"/>
          <w:bCs/>
          <w:sz w:val="24"/>
        </w:rPr>
        <w:t>30%</w:t>
      </w:r>
      <w:r>
        <w:rPr>
          <w:rFonts w:hint="eastAsia"/>
          <w:bCs/>
          <w:sz w:val="24"/>
        </w:rPr>
        <w:t>；</w:t>
      </w:r>
    </w:p>
    <w:p w14:paraId="0AA57AED" w14:textId="77777777" w:rsidR="003E4D36" w:rsidRDefault="00E729B5">
      <w:pPr>
        <w:spacing w:line="360" w:lineRule="auto"/>
        <w:ind w:firstLineChars="200" w:firstLine="480"/>
        <w:rPr>
          <w:bCs/>
          <w:sz w:val="24"/>
        </w:rPr>
      </w:pPr>
      <w:r>
        <w:rPr>
          <w:rFonts w:hint="eastAsia"/>
          <w:bCs/>
          <w:sz w:val="24"/>
        </w:rPr>
        <w:t>（</w:t>
      </w:r>
      <w:r>
        <w:rPr>
          <w:rFonts w:hint="eastAsia"/>
          <w:bCs/>
          <w:sz w:val="24"/>
        </w:rPr>
        <w:t>20</w:t>
      </w:r>
      <w:r>
        <w:rPr>
          <w:rFonts w:hint="eastAsia"/>
          <w:bCs/>
          <w:sz w:val="24"/>
        </w:rPr>
        <w:t>）本基金主动投资于流动性受限资产的市值合计不得超过基金资产净值的</w:t>
      </w:r>
      <w:r>
        <w:rPr>
          <w:rFonts w:hint="eastAsia"/>
          <w:bCs/>
          <w:sz w:val="24"/>
        </w:rPr>
        <w:t>15%</w:t>
      </w:r>
      <w:r>
        <w:rPr>
          <w:rFonts w:hint="eastAsia"/>
          <w:bCs/>
          <w:sz w:val="24"/>
        </w:rPr>
        <w:t>；</w:t>
      </w:r>
    </w:p>
    <w:p w14:paraId="09699019" w14:textId="77777777" w:rsidR="003E4D36" w:rsidRDefault="00E729B5">
      <w:pPr>
        <w:spacing w:line="360" w:lineRule="auto"/>
        <w:ind w:firstLineChars="200" w:firstLine="480"/>
        <w:rPr>
          <w:bCs/>
          <w:sz w:val="24"/>
        </w:rPr>
      </w:pPr>
      <w:r>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31C9B2D3" w14:textId="77777777" w:rsidR="003E4D36" w:rsidRDefault="00E729B5">
      <w:pPr>
        <w:spacing w:line="360" w:lineRule="auto"/>
        <w:ind w:firstLineChars="200" w:firstLine="480"/>
        <w:rPr>
          <w:bCs/>
          <w:sz w:val="24"/>
        </w:rPr>
      </w:pPr>
      <w:r>
        <w:rPr>
          <w:rFonts w:hint="eastAsia"/>
          <w:bCs/>
          <w:sz w:val="24"/>
        </w:rPr>
        <w:t>（</w:t>
      </w:r>
      <w:r>
        <w:rPr>
          <w:rFonts w:hint="eastAsia"/>
          <w:bCs/>
          <w:sz w:val="24"/>
        </w:rPr>
        <w:t>21</w:t>
      </w:r>
      <w:r>
        <w:rPr>
          <w:rFonts w:hint="eastAsia"/>
          <w:bCs/>
          <w:sz w:val="24"/>
        </w:rPr>
        <w:t>）本基金与私募类证券资管产品及中国证监会认定的其他主体为交易对手开展逆回购交易的，可接受质押品的资质要求应当与基金合同约定的投资范围保持一致；</w:t>
      </w:r>
    </w:p>
    <w:p w14:paraId="21DE14C8" w14:textId="77777777" w:rsidR="003E4D36" w:rsidRDefault="00E729B5">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）法律法规及中国证监会规定的和《基金合同》约定的其他投资限制。</w:t>
      </w:r>
    </w:p>
    <w:p w14:paraId="5FD0051C" w14:textId="77777777" w:rsidR="003E4D36" w:rsidRDefault="00E729B5">
      <w:pPr>
        <w:autoSpaceDE w:val="0"/>
        <w:autoSpaceDN w:val="0"/>
        <w:spacing w:line="360" w:lineRule="auto"/>
        <w:ind w:firstLineChars="200" w:firstLine="480"/>
        <w:textAlignment w:val="bottom"/>
        <w:rPr>
          <w:bCs/>
          <w:sz w:val="24"/>
        </w:rPr>
      </w:pPr>
      <w:r>
        <w:rPr>
          <w:rFonts w:hint="eastAsia"/>
          <w:bCs/>
          <w:sz w:val="24"/>
        </w:rPr>
        <w:t>除上述第（</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Pr>
          <w:bCs/>
          <w:sz w:val="24"/>
        </w:rPr>
        <w:t>20</w:t>
      </w:r>
      <w:r>
        <w:rPr>
          <w:rFonts w:hint="eastAsia"/>
          <w:bCs/>
          <w:sz w:val="24"/>
        </w:rPr>
        <w:t>）、（</w:t>
      </w:r>
      <w:r>
        <w:rPr>
          <w:rFonts w:hint="eastAsia"/>
          <w:bCs/>
          <w:sz w:val="24"/>
        </w:rPr>
        <w:t>21</w:t>
      </w:r>
      <w:r>
        <w:rPr>
          <w:rFonts w:hint="eastAsia"/>
          <w:bCs/>
          <w:sz w:val="24"/>
        </w:rPr>
        <w:t>）项外，因证券、期货市场波动、上市公司合并、基金规模变动、股权分置改革中支付对价等基金管理人之外的因素致使基金投资比例不符合上述规定投资比例的，基金管理人应当在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w:t>
      </w:r>
    </w:p>
    <w:p w14:paraId="4A60F5D0"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自基金合同生效之日起6个月内使基金的投资组合比例符合基金合同的有关约定。在上述期间内，本基金的投资范围、投资策略应当符合基金合同的约定。基金托管人对基金的投资的监督与检查自基金合同生效之日起开始。</w:t>
      </w:r>
    </w:p>
    <w:p w14:paraId="04C302F5"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法律法规或监管部门取消或调整上述限制，如适用于本基金，基金管理人在履行适当程序后，则本基金投资不再受相关限制或按调整后的规定执行。</w:t>
      </w:r>
    </w:p>
    <w:p w14:paraId="4855350A"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2、禁止行为</w:t>
      </w:r>
    </w:p>
    <w:p w14:paraId="07E097C7"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为维护基金份额持有人的合法权益，基金财产不得用于下列投资或者活动：</w:t>
      </w:r>
    </w:p>
    <w:p w14:paraId="4E2B6A49"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（1）承销证券；</w:t>
      </w:r>
    </w:p>
    <w:p w14:paraId="729946D0"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（2）违反规定向他人贷款或者提供担保；</w:t>
      </w:r>
    </w:p>
    <w:p w14:paraId="7D3E80A9"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（3）从事承担无限责任的投资；</w:t>
      </w:r>
    </w:p>
    <w:p w14:paraId="61DAD133"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（4）买卖其他基金份额，但是中国证监会另有规定的除外；</w:t>
      </w:r>
    </w:p>
    <w:p w14:paraId="22986A78"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（5）向其基金管理人、基金托管人出资；</w:t>
      </w:r>
    </w:p>
    <w:p w14:paraId="4C39485F"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（6）从事内幕交易、操纵证券交易价格及其他不正当的证券交易活动；</w:t>
      </w:r>
    </w:p>
    <w:p w14:paraId="4C9A48FD"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（7）法律、行政法规和中国证监会规定禁止的其他活动。</w:t>
      </w:r>
    </w:p>
    <w:p w14:paraId="55EF0200"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4D2CB003"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法律、行政法规或监管部门取消上述禁止性规定，如适用于本基金，则本基金投资不再受相关限制。</w:t>
      </w:r>
    </w:p>
    <w:p w14:paraId="46694027" w14:textId="77777777" w:rsidR="003E4D36" w:rsidRDefault="00E729B5">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五、业绩比较基准</w:t>
      </w:r>
    </w:p>
    <w:p w14:paraId="4ECEE292"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本基金的业绩比较基准为：中证全债指数收益率×70%+沪深300指数收益率×30%</w:t>
      </w:r>
    </w:p>
    <w:p w14:paraId="71D6E309"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中证全债指数的选样债券的信用类别覆盖全面，期限构成宽泛，适于做基金债券资产的业绩比较基准。沪深 300 指数选样科学客观，行业代表性好，流动性高，抗操纵性强，是目前市场上较有影响力的股票投资业绩比较基准。基于本基金的投资范围和投资比例限制，选用上述业绩比较基准能够忠实反映本基金的风险收益特征。</w:t>
      </w:r>
    </w:p>
    <w:p w14:paraId="5BD0D4F7"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如果今后法律法规发生变化，或者有更权威的、更能为市场普遍接受的业绩比较基准推出，或者是市场上出现更加适合用于本基金的业绩比较基准时，基金管理人经与基金托管人协商一致，在履行适当程序后变更本基金业绩比较基准并及时公告，而无需召开基金份额持有人大会。</w:t>
      </w:r>
    </w:p>
    <w:p w14:paraId="7586FBF1" w14:textId="77777777" w:rsidR="003E4D36" w:rsidRDefault="00E729B5">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六、风险收益特征</w:t>
      </w:r>
    </w:p>
    <w:p w14:paraId="567C4230"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本基金属于混合型基金，其预期风险和预期收益高于货币市场基金、债券基金，低于股票型基金，属于证券投资基金中中高风险、中高预期收益的品种。</w:t>
      </w:r>
    </w:p>
    <w:p w14:paraId="78040C2B" w14:textId="77777777" w:rsidR="003E4D36" w:rsidRDefault="00E729B5">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七、基金管理人代表基金行使股东和债权人权利的处理原则及方法</w:t>
      </w:r>
    </w:p>
    <w:p w14:paraId="4E53BA91"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1、基金管理人按照国家有关规定代表基金独立行使股东和债权人权利，保护基金份额持有人的利益；</w:t>
      </w:r>
    </w:p>
    <w:p w14:paraId="7D292AB5"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2、不谋求对上市公司的控股，不参与所投资上市公司的经营管理；</w:t>
      </w:r>
    </w:p>
    <w:p w14:paraId="2F586062"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3、有利于基金财产的安全与增值；</w:t>
      </w:r>
    </w:p>
    <w:p w14:paraId="6C76688A"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4、不通过关联交易为自身、雇员、授权代理人或任何存在利害关系的第三人牟取任何不当利益。</w:t>
      </w:r>
    </w:p>
    <w:p w14:paraId="15956747" w14:textId="77777777" w:rsidR="003E4D36" w:rsidRDefault="00E729B5">
      <w:pPr>
        <w:spacing w:line="360" w:lineRule="auto"/>
        <w:ind w:firstLineChars="200" w:firstLine="482"/>
        <w:jc w:val="left"/>
        <w:rPr>
          <w:rFonts w:ascii="宋体" w:hAnsi="宋体" w:cs="Arial"/>
          <w:b/>
          <w:bCs/>
          <w:sz w:val="24"/>
        </w:rPr>
      </w:pPr>
      <w:r>
        <w:rPr>
          <w:rFonts w:ascii="宋体" w:hAnsi="宋体" w:cs="Arial" w:hint="eastAsia"/>
          <w:b/>
          <w:bCs/>
          <w:sz w:val="24"/>
        </w:rPr>
        <w:t>八、基金投资组合报告</w:t>
      </w:r>
    </w:p>
    <w:p w14:paraId="1FA7CD10" w14:textId="77777777" w:rsidR="003E4D36" w:rsidRDefault="00E729B5">
      <w:pPr>
        <w:spacing w:line="360" w:lineRule="auto"/>
        <w:ind w:firstLineChars="200" w:firstLine="480"/>
        <w:rPr>
          <w:rFonts w:ascii="宋体" w:hAnsi="宋体" w:cs="Arial"/>
          <w:bCs/>
          <w:sz w:val="24"/>
        </w:rPr>
      </w:pPr>
      <w:r>
        <w:rPr>
          <w:rFonts w:ascii="宋体" w:hAnsi="宋体" w:cs="Arial" w:hint="eastAsia"/>
          <w:bCs/>
          <w:sz w:val="24"/>
        </w:rPr>
        <w:t>基金管理人的董事会及董事保证本报告所载资料不存在虚假记载、误导性陈述或重大遗漏，并对其内容的真实性、准确性和完整性承担个别及连带责任。</w:t>
      </w:r>
    </w:p>
    <w:p w14:paraId="0372901F" w14:textId="3E75A9C0" w:rsidR="00220CDC" w:rsidRDefault="00220CDC" w:rsidP="00220CDC">
      <w:pPr>
        <w:spacing w:line="360" w:lineRule="auto"/>
        <w:ind w:firstLineChars="200" w:firstLine="480"/>
        <w:rPr>
          <w:rFonts w:ascii="宋体" w:hAnsi="宋体" w:cs="Arial"/>
          <w:bCs/>
          <w:sz w:val="24"/>
        </w:rPr>
      </w:pPr>
      <w:r>
        <w:rPr>
          <w:rFonts w:ascii="宋体" w:hAnsi="宋体" w:cs="Arial" w:hint="eastAsia"/>
          <w:bCs/>
          <w:sz w:val="24"/>
        </w:rPr>
        <w:t>基金托管人平安银行股份有限公司根据本基金合同规定，于</w:t>
      </w:r>
      <w:r w:rsidR="00DD7E43">
        <w:rPr>
          <w:rFonts w:ascii="宋体" w:hAnsi="宋体" w:cs="Arial" w:hint="eastAsia"/>
          <w:bCs/>
          <w:sz w:val="24"/>
        </w:rPr>
        <w:t>2019年</w:t>
      </w:r>
      <w:r w:rsidR="00F60BD9">
        <w:rPr>
          <w:rFonts w:ascii="宋体" w:hAnsi="宋体" w:cs="Arial"/>
          <w:bCs/>
          <w:sz w:val="24"/>
        </w:rPr>
        <w:t>9</w:t>
      </w:r>
      <w:r>
        <w:rPr>
          <w:rFonts w:ascii="宋体" w:hAnsi="宋体" w:cs="Arial" w:hint="eastAsia"/>
          <w:bCs/>
          <w:sz w:val="24"/>
        </w:rPr>
        <w:t>月</w:t>
      </w:r>
      <w:r w:rsidR="00F60BD9">
        <w:rPr>
          <w:rFonts w:ascii="宋体" w:hAnsi="宋体" w:cs="Arial"/>
          <w:bCs/>
          <w:sz w:val="24"/>
        </w:rPr>
        <w:t>4</w:t>
      </w:r>
      <w:r>
        <w:rPr>
          <w:rFonts w:ascii="宋体" w:hAnsi="宋体" w:cs="Arial" w:hint="eastAsia"/>
          <w:bCs/>
          <w:sz w:val="24"/>
        </w:rPr>
        <w:t>日复核了本报告中的财务指标、净值表现和投资组合报告等内容，保证复核内容不存在虚假记载、误导性陈述或者重大遗漏。</w:t>
      </w:r>
    </w:p>
    <w:p w14:paraId="5D0F964E" w14:textId="60A8AF46" w:rsidR="00220CDC" w:rsidRDefault="00220CDC" w:rsidP="00220CDC">
      <w:pPr>
        <w:spacing w:line="360" w:lineRule="auto"/>
        <w:ind w:firstLineChars="200" w:firstLine="480"/>
        <w:rPr>
          <w:rFonts w:ascii="宋体" w:hAnsi="宋体" w:cs="Arial"/>
          <w:bCs/>
          <w:sz w:val="24"/>
        </w:rPr>
      </w:pPr>
      <w:r>
        <w:rPr>
          <w:rFonts w:ascii="宋体" w:hAnsi="宋体" w:cs="Arial" w:hint="eastAsia"/>
          <w:bCs/>
          <w:sz w:val="24"/>
        </w:rPr>
        <w:t>本投资组合报告所载数据截至</w:t>
      </w:r>
      <w:r w:rsidR="008F1EE2">
        <w:rPr>
          <w:rFonts w:ascii="宋体" w:hAnsi="宋体" w:cs="Arial" w:hint="eastAsia"/>
          <w:bCs/>
          <w:sz w:val="24"/>
        </w:rPr>
        <w:t>2019年06月30日</w:t>
      </w:r>
      <w:r>
        <w:rPr>
          <w:rFonts w:ascii="宋体" w:hAnsi="宋体" w:cs="Arial" w:hint="eastAsia"/>
          <w:bCs/>
          <w:sz w:val="24"/>
        </w:rPr>
        <w:t>，本报告中所列财务数据未经审计。</w:t>
      </w:r>
    </w:p>
    <w:p w14:paraId="3A060C26" w14:textId="77777777" w:rsidR="00220CDC" w:rsidRDefault="00220CDC" w:rsidP="00220CDC">
      <w:pPr>
        <w:autoSpaceDE w:val="0"/>
        <w:autoSpaceDN w:val="0"/>
        <w:spacing w:line="360" w:lineRule="auto"/>
        <w:ind w:firstLineChars="50" w:firstLine="120"/>
        <w:textAlignment w:val="bottom"/>
        <w:rPr>
          <w:rFonts w:cs="Arial"/>
          <w:bCs/>
          <w:sz w:val="24"/>
          <w:szCs w:val="24"/>
        </w:rPr>
      </w:pPr>
      <w:r>
        <w:rPr>
          <w:rFonts w:cs="Arial"/>
          <w:bCs/>
          <w:sz w:val="24"/>
          <w:szCs w:val="24"/>
        </w:rPr>
        <w:t>1</w:t>
      </w:r>
      <w:r>
        <w:rPr>
          <w:rFonts w:cs="Arial" w:hint="eastAsia"/>
          <w:bCs/>
          <w:sz w:val="24"/>
          <w:szCs w:val="24"/>
        </w:rPr>
        <w:t>、报告期末基金资产组合情况</w:t>
      </w:r>
    </w:p>
    <w:p w14:paraId="58A265FC" w14:textId="77777777" w:rsidR="008F1EE2" w:rsidRDefault="008F1EE2" w:rsidP="00220CDC">
      <w:pPr>
        <w:spacing w:line="360" w:lineRule="auto"/>
        <w:rPr>
          <w:rFonts w:ascii="宋体" w:hAnsi="宋体" w:cs="Arial"/>
          <w:bCs/>
          <w:sz w:val="24"/>
        </w:rPr>
      </w:pPr>
    </w:p>
    <w:tbl>
      <w:tblPr>
        <w:tblW w:w="0" w:type="auto"/>
        <w:tblInd w:w="108" w:type="dxa"/>
        <w:tblLook w:val="04A0" w:firstRow="1" w:lastRow="0" w:firstColumn="1" w:lastColumn="0" w:noHBand="0" w:noVBand="1"/>
      </w:tblPr>
      <w:tblGrid>
        <w:gridCol w:w="762"/>
        <w:gridCol w:w="2906"/>
        <w:gridCol w:w="2064"/>
        <w:gridCol w:w="2682"/>
      </w:tblGrid>
      <w:tr w:rsidR="008F1EE2" w:rsidRPr="00D562B4" w14:paraId="4AADE5F2" w14:textId="77777777" w:rsidTr="005A3450">
        <w:tc>
          <w:tcPr>
            <w:tcW w:w="807" w:type="dxa"/>
            <w:tcBorders>
              <w:top w:val="single" w:sz="8" w:space="0" w:color="000000"/>
              <w:left w:val="single" w:sz="8" w:space="0" w:color="000000"/>
              <w:bottom w:val="single" w:sz="6" w:space="0" w:color="000000"/>
              <w:right w:val="single" w:sz="8" w:space="0" w:color="000000"/>
            </w:tcBorders>
            <w:vAlign w:val="center"/>
            <w:hideMark/>
          </w:tcPr>
          <w:p w14:paraId="692F5594" w14:textId="77777777" w:rsidR="008F1EE2" w:rsidRDefault="008F1EE2" w:rsidP="005A3450">
            <w:pPr>
              <w:pStyle w:val="biaogecenter"/>
              <w:wordWrap w:val="0"/>
            </w:pPr>
            <w:r>
              <w:rPr>
                <w:rFonts w:hAnsi="Calibri" w:hint="eastAsia"/>
                <w:color w:val="000000"/>
              </w:rPr>
              <w:t>序号</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57F2F138" w14:textId="77777777" w:rsidR="008F1EE2" w:rsidRDefault="008F1EE2" w:rsidP="005A3450">
            <w:pPr>
              <w:pStyle w:val="biaogecenter"/>
              <w:wordWrap w:val="0"/>
            </w:pPr>
            <w:r>
              <w:rPr>
                <w:rFonts w:hAnsi="Calibri" w:hint="eastAsia"/>
                <w:color w:val="000000"/>
              </w:rPr>
              <w:t>项目</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1E1CE51C" w14:textId="77777777" w:rsidR="008F1EE2" w:rsidRDefault="008F1EE2" w:rsidP="005A3450">
            <w:pPr>
              <w:pStyle w:val="biaogecenter"/>
              <w:wordWrap w:val="0"/>
            </w:pPr>
            <w:r>
              <w:rPr>
                <w:rFonts w:hAnsi="Calibri" w:hint="eastAsia"/>
                <w:color w:val="000000"/>
              </w:rPr>
              <w:t>金额(元)</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558E2F00" w14:textId="77777777" w:rsidR="008F1EE2" w:rsidRDefault="008F1EE2" w:rsidP="005A3450">
            <w:pPr>
              <w:pStyle w:val="biaogecenter"/>
              <w:wordWrap w:val="0"/>
            </w:pPr>
            <w:r>
              <w:rPr>
                <w:rFonts w:hAnsi="Calibri" w:hint="eastAsia"/>
                <w:color w:val="000000"/>
              </w:rPr>
              <w:t>占基金总资产的比例（%）</w:t>
            </w:r>
          </w:p>
        </w:tc>
      </w:tr>
      <w:tr w:rsidR="008F1EE2" w:rsidRPr="00D562B4" w14:paraId="46B010A8" w14:textId="77777777" w:rsidTr="005A3450">
        <w:tc>
          <w:tcPr>
            <w:tcW w:w="0" w:type="auto"/>
            <w:tcBorders>
              <w:top w:val="single" w:sz="8" w:space="0" w:color="000000"/>
              <w:left w:val="single" w:sz="8" w:space="0" w:color="000000"/>
              <w:bottom w:val="single" w:sz="6" w:space="0" w:color="000000"/>
              <w:right w:val="single" w:sz="8" w:space="0" w:color="000000"/>
            </w:tcBorders>
            <w:vAlign w:val="center"/>
            <w:hideMark/>
          </w:tcPr>
          <w:p w14:paraId="0C5B51AE" w14:textId="77777777" w:rsidR="008F1EE2" w:rsidRDefault="008F1EE2" w:rsidP="005A3450">
            <w:pPr>
              <w:pStyle w:val="biaogecenter"/>
              <w:wordWrap w:val="0"/>
            </w:pPr>
            <w:r>
              <w:rPr>
                <w:rFonts w:hAnsi="Calibri" w:hint="eastAsia"/>
                <w:color w:val="000000"/>
              </w:rPr>
              <w:t>1</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26592EBE" w14:textId="77777777" w:rsidR="008F1EE2" w:rsidRDefault="008F1EE2" w:rsidP="005A3450">
            <w:pPr>
              <w:pStyle w:val="biaogeleft"/>
              <w:wordWrap w:val="0"/>
            </w:pPr>
            <w:r>
              <w:rPr>
                <w:rFonts w:hint="eastAsia"/>
              </w:rPr>
              <w:t>权益投资</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46630125" w14:textId="77777777" w:rsidR="008F1EE2" w:rsidRDefault="008F1EE2" w:rsidP="005A3450">
            <w:pPr>
              <w:pStyle w:val="biaogeright"/>
              <w:wordWrap w:val="0"/>
            </w:pPr>
            <w:r>
              <w:rPr>
                <w:rFonts w:hint="eastAsia"/>
              </w:rPr>
              <w:t>21,471,243.00</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5F2FC547" w14:textId="77777777" w:rsidR="008F1EE2" w:rsidRDefault="008F1EE2" w:rsidP="005A3450">
            <w:pPr>
              <w:pStyle w:val="biaogeright"/>
              <w:wordWrap w:val="0"/>
            </w:pPr>
            <w:r>
              <w:rPr>
                <w:rFonts w:hint="eastAsia"/>
              </w:rPr>
              <w:t>30.30</w:t>
            </w:r>
          </w:p>
        </w:tc>
      </w:tr>
      <w:tr w:rsidR="008F1EE2" w:rsidRPr="00D562B4" w14:paraId="4FFD8774" w14:textId="77777777" w:rsidTr="005A3450">
        <w:tc>
          <w:tcPr>
            <w:tcW w:w="0" w:type="auto"/>
            <w:tcBorders>
              <w:top w:val="single" w:sz="8" w:space="0" w:color="000000"/>
              <w:left w:val="single" w:sz="8" w:space="0" w:color="000000"/>
              <w:bottom w:val="single" w:sz="6" w:space="0" w:color="000000"/>
              <w:right w:val="single" w:sz="8" w:space="0" w:color="000000"/>
            </w:tcBorders>
            <w:vAlign w:val="center"/>
            <w:hideMark/>
          </w:tcPr>
          <w:p w14:paraId="6B7BCB07" w14:textId="77777777" w:rsidR="008F1EE2" w:rsidRDefault="008F1EE2" w:rsidP="005A3450">
            <w:pPr>
              <w:rPr>
                <w:rFonts w:ascii="宋体" w:hAnsi="宋体" w:cs="宋体"/>
                <w:kern w:val="0"/>
                <w:sz w:val="24"/>
                <w:szCs w:val="24"/>
              </w:rPr>
            </w:pP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0728CF1F" w14:textId="77777777" w:rsidR="008F1EE2" w:rsidRDefault="008F1EE2" w:rsidP="005A3450">
            <w:pPr>
              <w:pStyle w:val="biaogeleft"/>
              <w:wordWrap w:val="0"/>
            </w:pPr>
            <w:r>
              <w:rPr>
                <w:rFonts w:hint="eastAsia"/>
              </w:rPr>
              <w:t>其中：股票</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439E8A3D" w14:textId="77777777" w:rsidR="008F1EE2" w:rsidRDefault="008F1EE2" w:rsidP="005A3450">
            <w:pPr>
              <w:pStyle w:val="biaogeright"/>
              <w:wordWrap w:val="0"/>
            </w:pPr>
            <w:r>
              <w:rPr>
                <w:rFonts w:hint="eastAsia"/>
              </w:rPr>
              <w:t>21,471,243.00</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342A25EB" w14:textId="77777777" w:rsidR="008F1EE2" w:rsidRDefault="008F1EE2" w:rsidP="005A3450">
            <w:pPr>
              <w:pStyle w:val="biaogeright"/>
              <w:wordWrap w:val="0"/>
            </w:pPr>
            <w:r>
              <w:rPr>
                <w:rFonts w:hint="eastAsia"/>
              </w:rPr>
              <w:t>30.30</w:t>
            </w:r>
          </w:p>
        </w:tc>
      </w:tr>
      <w:tr w:rsidR="008F1EE2" w:rsidRPr="00D562B4" w14:paraId="19577473" w14:textId="77777777" w:rsidTr="005A3450">
        <w:tc>
          <w:tcPr>
            <w:tcW w:w="0" w:type="auto"/>
            <w:tcBorders>
              <w:top w:val="single" w:sz="8" w:space="0" w:color="000000"/>
              <w:left w:val="single" w:sz="8" w:space="0" w:color="000000"/>
              <w:bottom w:val="single" w:sz="6" w:space="0" w:color="000000"/>
              <w:right w:val="single" w:sz="8" w:space="0" w:color="000000"/>
            </w:tcBorders>
            <w:vAlign w:val="center"/>
            <w:hideMark/>
          </w:tcPr>
          <w:p w14:paraId="4C425A3C" w14:textId="77777777" w:rsidR="008F1EE2" w:rsidRDefault="008F1EE2" w:rsidP="005A3450">
            <w:pPr>
              <w:pStyle w:val="biaogecenter"/>
              <w:wordWrap w:val="0"/>
            </w:pPr>
            <w:r>
              <w:rPr>
                <w:rFonts w:hAnsi="Calibri" w:hint="eastAsia"/>
                <w:color w:val="000000"/>
              </w:rPr>
              <w:t>2</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288C9B9F" w14:textId="77777777" w:rsidR="008F1EE2" w:rsidRDefault="008F1EE2" w:rsidP="005A3450">
            <w:pPr>
              <w:pStyle w:val="biaogeleft"/>
              <w:wordWrap w:val="0"/>
            </w:pPr>
            <w:r>
              <w:rPr>
                <w:rFonts w:hint="eastAsia"/>
              </w:rPr>
              <w:t>基金投资</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353AE4D9" w14:textId="77777777" w:rsidR="008F1EE2" w:rsidRDefault="008F1EE2" w:rsidP="005A3450">
            <w:pPr>
              <w:pStyle w:val="biaogeright"/>
              <w:wordWrap w:val="0"/>
            </w:pPr>
            <w:r>
              <w:rPr>
                <w:rFonts w:hint="eastAsia"/>
              </w:rPr>
              <w:t>-</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2F6A3A9D" w14:textId="77777777" w:rsidR="008F1EE2" w:rsidRDefault="008F1EE2" w:rsidP="005A3450">
            <w:pPr>
              <w:pStyle w:val="biaogeright"/>
              <w:wordWrap w:val="0"/>
            </w:pPr>
            <w:r>
              <w:rPr>
                <w:rFonts w:hint="eastAsia"/>
              </w:rPr>
              <w:t>-</w:t>
            </w:r>
          </w:p>
        </w:tc>
      </w:tr>
      <w:tr w:rsidR="008F1EE2" w:rsidRPr="00D562B4" w14:paraId="70542B48" w14:textId="77777777" w:rsidTr="005A3450">
        <w:tc>
          <w:tcPr>
            <w:tcW w:w="0" w:type="auto"/>
            <w:tcBorders>
              <w:top w:val="single" w:sz="8" w:space="0" w:color="000000"/>
              <w:left w:val="single" w:sz="8" w:space="0" w:color="000000"/>
              <w:bottom w:val="single" w:sz="6" w:space="0" w:color="000000"/>
              <w:right w:val="single" w:sz="8" w:space="0" w:color="000000"/>
            </w:tcBorders>
            <w:vAlign w:val="center"/>
            <w:hideMark/>
          </w:tcPr>
          <w:p w14:paraId="4B1B2A55" w14:textId="77777777" w:rsidR="008F1EE2" w:rsidRDefault="008F1EE2" w:rsidP="005A3450">
            <w:pPr>
              <w:pStyle w:val="biaogecenter"/>
              <w:wordWrap w:val="0"/>
            </w:pPr>
            <w:r>
              <w:rPr>
                <w:rFonts w:hAnsi="Calibri" w:hint="eastAsia"/>
                <w:color w:val="000000"/>
              </w:rPr>
              <w:t>3</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6C33CE73" w14:textId="77777777" w:rsidR="008F1EE2" w:rsidRDefault="008F1EE2" w:rsidP="005A3450">
            <w:pPr>
              <w:pStyle w:val="biaogeleft"/>
              <w:wordWrap w:val="0"/>
            </w:pPr>
            <w:r>
              <w:rPr>
                <w:rFonts w:hint="eastAsia"/>
              </w:rPr>
              <w:t>固定收益投资</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1A840E3C" w14:textId="77777777" w:rsidR="008F1EE2" w:rsidRDefault="008F1EE2" w:rsidP="005A3450">
            <w:pPr>
              <w:pStyle w:val="biaogeright"/>
              <w:wordWrap w:val="0"/>
            </w:pPr>
            <w:r>
              <w:rPr>
                <w:rFonts w:hint="eastAsia"/>
              </w:rPr>
              <w:t>-</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5722E265" w14:textId="77777777" w:rsidR="008F1EE2" w:rsidRDefault="008F1EE2" w:rsidP="005A3450">
            <w:pPr>
              <w:pStyle w:val="biaogeright"/>
              <w:wordWrap w:val="0"/>
            </w:pPr>
            <w:r>
              <w:rPr>
                <w:rFonts w:hint="eastAsia"/>
              </w:rPr>
              <w:t>-</w:t>
            </w:r>
          </w:p>
        </w:tc>
      </w:tr>
      <w:tr w:rsidR="008F1EE2" w:rsidRPr="00D562B4" w14:paraId="4E236632" w14:textId="77777777" w:rsidTr="005A3450">
        <w:tc>
          <w:tcPr>
            <w:tcW w:w="0" w:type="auto"/>
            <w:tcBorders>
              <w:top w:val="single" w:sz="8" w:space="0" w:color="000000"/>
              <w:left w:val="single" w:sz="8" w:space="0" w:color="000000"/>
              <w:bottom w:val="single" w:sz="6" w:space="0" w:color="000000"/>
              <w:right w:val="single" w:sz="8" w:space="0" w:color="000000"/>
            </w:tcBorders>
            <w:vAlign w:val="center"/>
            <w:hideMark/>
          </w:tcPr>
          <w:p w14:paraId="680D6D41" w14:textId="77777777" w:rsidR="008F1EE2" w:rsidRDefault="008F1EE2" w:rsidP="005A3450">
            <w:pPr>
              <w:rPr>
                <w:rFonts w:ascii="宋体" w:hAnsi="宋体" w:cs="宋体"/>
                <w:kern w:val="0"/>
                <w:sz w:val="24"/>
                <w:szCs w:val="24"/>
              </w:rPr>
            </w:pP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66253971" w14:textId="77777777" w:rsidR="008F1EE2" w:rsidRDefault="008F1EE2" w:rsidP="005A3450">
            <w:pPr>
              <w:pStyle w:val="biaogeleft"/>
              <w:wordWrap w:val="0"/>
            </w:pPr>
            <w:r>
              <w:rPr>
                <w:rFonts w:hint="eastAsia"/>
              </w:rPr>
              <w:t>其中：债券</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3D19944B" w14:textId="77777777" w:rsidR="008F1EE2" w:rsidRDefault="008F1EE2" w:rsidP="005A3450">
            <w:pPr>
              <w:pStyle w:val="biaogeright"/>
              <w:wordWrap w:val="0"/>
            </w:pPr>
            <w:r>
              <w:rPr>
                <w:rFonts w:hint="eastAsia"/>
              </w:rPr>
              <w:t>-</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195ADED6" w14:textId="77777777" w:rsidR="008F1EE2" w:rsidRDefault="008F1EE2" w:rsidP="005A3450">
            <w:pPr>
              <w:pStyle w:val="biaogeright"/>
              <w:wordWrap w:val="0"/>
            </w:pPr>
            <w:r>
              <w:rPr>
                <w:rFonts w:hint="eastAsia"/>
              </w:rPr>
              <w:t>-</w:t>
            </w:r>
          </w:p>
        </w:tc>
      </w:tr>
      <w:tr w:rsidR="008F1EE2" w:rsidRPr="00D562B4" w14:paraId="5C2FD51E" w14:textId="77777777" w:rsidTr="005A3450">
        <w:tc>
          <w:tcPr>
            <w:tcW w:w="0" w:type="auto"/>
            <w:tcBorders>
              <w:top w:val="single" w:sz="8" w:space="0" w:color="000000"/>
              <w:left w:val="single" w:sz="8" w:space="0" w:color="000000"/>
              <w:bottom w:val="single" w:sz="6" w:space="0" w:color="000000"/>
              <w:right w:val="single" w:sz="8" w:space="0" w:color="000000"/>
            </w:tcBorders>
            <w:vAlign w:val="center"/>
            <w:hideMark/>
          </w:tcPr>
          <w:p w14:paraId="3F147DAE" w14:textId="77777777" w:rsidR="008F1EE2" w:rsidRDefault="008F1EE2" w:rsidP="005A3450">
            <w:pPr>
              <w:rPr>
                <w:rFonts w:ascii="宋体" w:hAnsi="宋体" w:cs="宋体"/>
                <w:kern w:val="0"/>
                <w:sz w:val="24"/>
                <w:szCs w:val="24"/>
              </w:rPr>
            </w:pP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10265D2C" w14:textId="77777777" w:rsidR="008F1EE2" w:rsidRDefault="008F1EE2" w:rsidP="005A3450">
            <w:pPr>
              <w:pStyle w:val="biaogeleft"/>
              <w:wordWrap w:val="0"/>
              <w:ind w:left="750"/>
            </w:pPr>
            <w:r>
              <w:rPr>
                <w:rFonts w:hint="eastAsia"/>
              </w:rPr>
              <w:t>资产支持证券</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2AD1161C" w14:textId="77777777" w:rsidR="008F1EE2" w:rsidRDefault="008F1EE2" w:rsidP="005A3450">
            <w:pPr>
              <w:pStyle w:val="biaogeright"/>
              <w:wordWrap w:val="0"/>
            </w:pPr>
            <w:r>
              <w:rPr>
                <w:rFonts w:hint="eastAsia"/>
              </w:rPr>
              <w:t>-</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324A01B2" w14:textId="77777777" w:rsidR="008F1EE2" w:rsidRDefault="008F1EE2" w:rsidP="005A3450">
            <w:pPr>
              <w:pStyle w:val="biaogeright"/>
              <w:wordWrap w:val="0"/>
            </w:pPr>
            <w:r>
              <w:rPr>
                <w:rFonts w:hint="eastAsia"/>
              </w:rPr>
              <w:t>-</w:t>
            </w:r>
          </w:p>
        </w:tc>
      </w:tr>
      <w:tr w:rsidR="008F1EE2" w:rsidRPr="00D562B4" w14:paraId="76C02164" w14:textId="77777777" w:rsidTr="005A3450">
        <w:tc>
          <w:tcPr>
            <w:tcW w:w="0" w:type="auto"/>
            <w:tcBorders>
              <w:top w:val="single" w:sz="8" w:space="0" w:color="000000"/>
              <w:left w:val="single" w:sz="8" w:space="0" w:color="000000"/>
              <w:bottom w:val="single" w:sz="6" w:space="0" w:color="000000"/>
              <w:right w:val="single" w:sz="8" w:space="0" w:color="000000"/>
            </w:tcBorders>
            <w:vAlign w:val="center"/>
            <w:hideMark/>
          </w:tcPr>
          <w:p w14:paraId="320FB65E" w14:textId="77777777" w:rsidR="008F1EE2" w:rsidRDefault="008F1EE2" w:rsidP="005A3450">
            <w:pPr>
              <w:pStyle w:val="biaogecenter"/>
              <w:wordWrap w:val="0"/>
            </w:pPr>
            <w:r>
              <w:rPr>
                <w:rFonts w:hAnsi="Calibri" w:hint="eastAsia"/>
                <w:color w:val="000000"/>
              </w:rPr>
              <w:t>4</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1FD3FF27" w14:textId="77777777" w:rsidR="008F1EE2" w:rsidRDefault="008F1EE2" w:rsidP="005A3450">
            <w:pPr>
              <w:pStyle w:val="biaogeleft"/>
              <w:wordWrap w:val="0"/>
            </w:pPr>
            <w:r>
              <w:rPr>
                <w:rFonts w:hint="eastAsia"/>
              </w:rPr>
              <w:t>贵金属投资</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22F04E31" w14:textId="77777777" w:rsidR="008F1EE2" w:rsidRDefault="008F1EE2" w:rsidP="005A3450">
            <w:pPr>
              <w:pStyle w:val="biaogeright"/>
              <w:wordWrap w:val="0"/>
            </w:pPr>
            <w:r>
              <w:rPr>
                <w:rFonts w:hint="eastAsia"/>
              </w:rPr>
              <w:t>-</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77F46B2A" w14:textId="77777777" w:rsidR="008F1EE2" w:rsidRDefault="008F1EE2" w:rsidP="005A3450">
            <w:pPr>
              <w:pStyle w:val="biaogeright"/>
              <w:wordWrap w:val="0"/>
            </w:pPr>
            <w:r>
              <w:rPr>
                <w:rFonts w:hint="eastAsia"/>
              </w:rPr>
              <w:t>-</w:t>
            </w:r>
          </w:p>
        </w:tc>
      </w:tr>
      <w:tr w:rsidR="008F1EE2" w:rsidRPr="00D562B4" w14:paraId="16DE4B83" w14:textId="77777777" w:rsidTr="005A3450">
        <w:tc>
          <w:tcPr>
            <w:tcW w:w="0" w:type="auto"/>
            <w:tcBorders>
              <w:top w:val="single" w:sz="8" w:space="0" w:color="000000"/>
              <w:left w:val="single" w:sz="8" w:space="0" w:color="000000"/>
              <w:bottom w:val="single" w:sz="6" w:space="0" w:color="000000"/>
              <w:right w:val="single" w:sz="8" w:space="0" w:color="000000"/>
            </w:tcBorders>
            <w:vAlign w:val="center"/>
            <w:hideMark/>
          </w:tcPr>
          <w:p w14:paraId="43CDF256" w14:textId="77777777" w:rsidR="008F1EE2" w:rsidRDefault="008F1EE2" w:rsidP="005A3450">
            <w:pPr>
              <w:pStyle w:val="biaogecenter"/>
              <w:wordWrap w:val="0"/>
            </w:pPr>
            <w:r>
              <w:rPr>
                <w:rFonts w:hAnsi="Calibri" w:hint="eastAsia"/>
                <w:color w:val="000000"/>
              </w:rPr>
              <w:t>5</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4ED6B491" w14:textId="77777777" w:rsidR="008F1EE2" w:rsidRDefault="008F1EE2" w:rsidP="005A3450">
            <w:pPr>
              <w:pStyle w:val="biaogeleft"/>
              <w:wordWrap w:val="0"/>
            </w:pPr>
            <w:r>
              <w:rPr>
                <w:rFonts w:hint="eastAsia"/>
              </w:rPr>
              <w:t>金融衍生品投资</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1DDA0B06" w14:textId="77777777" w:rsidR="008F1EE2" w:rsidRDefault="008F1EE2" w:rsidP="005A3450">
            <w:pPr>
              <w:pStyle w:val="biaogeright"/>
              <w:wordWrap w:val="0"/>
            </w:pPr>
            <w:r>
              <w:rPr>
                <w:rFonts w:hint="eastAsia"/>
              </w:rPr>
              <w:t>-</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50E5B1AE" w14:textId="77777777" w:rsidR="008F1EE2" w:rsidRDefault="008F1EE2" w:rsidP="005A3450">
            <w:pPr>
              <w:pStyle w:val="biaogeright"/>
              <w:wordWrap w:val="0"/>
            </w:pPr>
            <w:r>
              <w:rPr>
                <w:rFonts w:hint="eastAsia"/>
              </w:rPr>
              <w:t>-</w:t>
            </w:r>
          </w:p>
        </w:tc>
      </w:tr>
      <w:tr w:rsidR="008F1EE2" w:rsidRPr="00D562B4" w14:paraId="62A2243D" w14:textId="77777777" w:rsidTr="005A3450">
        <w:tc>
          <w:tcPr>
            <w:tcW w:w="0" w:type="auto"/>
            <w:tcBorders>
              <w:top w:val="single" w:sz="8" w:space="0" w:color="000000"/>
              <w:left w:val="single" w:sz="8" w:space="0" w:color="000000"/>
              <w:bottom w:val="single" w:sz="6" w:space="0" w:color="000000"/>
              <w:right w:val="single" w:sz="8" w:space="0" w:color="000000"/>
            </w:tcBorders>
            <w:vAlign w:val="center"/>
            <w:hideMark/>
          </w:tcPr>
          <w:p w14:paraId="69039842" w14:textId="77777777" w:rsidR="008F1EE2" w:rsidRDefault="008F1EE2" w:rsidP="005A3450">
            <w:pPr>
              <w:pStyle w:val="biaogecenter"/>
              <w:wordWrap w:val="0"/>
            </w:pPr>
            <w:r>
              <w:rPr>
                <w:rFonts w:hAnsi="Calibri" w:hint="eastAsia"/>
                <w:color w:val="000000"/>
              </w:rPr>
              <w:t>6</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49F51A9B" w14:textId="77777777" w:rsidR="008F1EE2" w:rsidRDefault="008F1EE2" w:rsidP="005A3450">
            <w:pPr>
              <w:pStyle w:val="biaogeleft"/>
              <w:wordWrap w:val="0"/>
            </w:pPr>
            <w:r>
              <w:rPr>
                <w:rFonts w:hint="eastAsia"/>
              </w:rPr>
              <w:t>买入返售金融资产</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5B0A8519" w14:textId="77777777" w:rsidR="008F1EE2" w:rsidRDefault="008F1EE2" w:rsidP="005A3450">
            <w:pPr>
              <w:pStyle w:val="biaogeright"/>
              <w:wordWrap w:val="0"/>
            </w:pPr>
            <w:r>
              <w:rPr>
                <w:rFonts w:hint="eastAsia"/>
              </w:rPr>
              <w:t>18,000,000.00</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3DA0F34A" w14:textId="77777777" w:rsidR="008F1EE2" w:rsidRDefault="008F1EE2" w:rsidP="005A3450">
            <w:pPr>
              <w:pStyle w:val="biaogeright"/>
              <w:wordWrap w:val="0"/>
            </w:pPr>
            <w:r>
              <w:rPr>
                <w:rFonts w:hint="eastAsia"/>
              </w:rPr>
              <w:t>25.40</w:t>
            </w:r>
          </w:p>
        </w:tc>
      </w:tr>
      <w:tr w:rsidR="008F1EE2" w:rsidRPr="00D562B4" w14:paraId="210F3FD1" w14:textId="77777777" w:rsidTr="005A3450">
        <w:tc>
          <w:tcPr>
            <w:tcW w:w="0" w:type="auto"/>
            <w:tcBorders>
              <w:top w:val="single" w:sz="8" w:space="0" w:color="000000"/>
              <w:left w:val="single" w:sz="8" w:space="0" w:color="000000"/>
              <w:bottom w:val="single" w:sz="6" w:space="0" w:color="000000"/>
              <w:right w:val="single" w:sz="8" w:space="0" w:color="000000"/>
            </w:tcBorders>
            <w:vAlign w:val="center"/>
            <w:hideMark/>
          </w:tcPr>
          <w:p w14:paraId="01552782" w14:textId="77777777" w:rsidR="008F1EE2" w:rsidRDefault="008F1EE2" w:rsidP="005A3450">
            <w:pPr>
              <w:rPr>
                <w:rFonts w:ascii="宋体" w:hAnsi="宋体" w:cs="宋体"/>
                <w:kern w:val="0"/>
                <w:sz w:val="24"/>
                <w:szCs w:val="24"/>
              </w:rPr>
            </w:pP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3AD9568E" w14:textId="77777777" w:rsidR="008F1EE2" w:rsidRDefault="008F1EE2" w:rsidP="005A3450">
            <w:pPr>
              <w:pStyle w:val="biaogeleft"/>
              <w:wordWrap w:val="0"/>
            </w:pPr>
            <w:r>
              <w:rPr>
                <w:rFonts w:hint="eastAsia"/>
              </w:rPr>
              <w:t>其中：买断式回购的买入返售金融资产</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3EDA657F" w14:textId="77777777" w:rsidR="008F1EE2" w:rsidRDefault="008F1EE2" w:rsidP="005A3450">
            <w:pPr>
              <w:pStyle w:val="biaogeright"/>
              <w:wordWrap w:val="0"/>
            </w:pPr>
            <w:r>
              <w:rPr>
                <w:rFonts w:hint="eastAsia"/>
              </w:rPr>
              <w:t>-</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5B748B42" w14:textId="77777777" w:rsidR="008F1EE2" w:rsidRDefault="008F1EE2" w:rsidP="005A3450">
            <w:pPr>
              <w:pStyle w:val="biaogeright"/>
              <w:wordWrap w:val="0"/>
            </w:pPr>
            <w:r>
              <w:rPr>
                <w:rFonts w:hint="eastAsia"/>
              </w:rPr>
              <w:t>-</w:t>
            </w:r>
          </w:p>
        </w:tc>
      </w:tr>
      <w:tr w:rsidR="008F1EE2" w:rsidRPr="00D562B4" w14:paraId="602932C0" w14:textId="77777777" w:rsidTr="005A3450">
        <w:tc>
          <w:tcPr>
            <w:tcW w:w="0" w:type="auto"/>
            <w:tcBorders>
              <w:top w:val="single" w:sz="8" w:space="0" w:color="000000"/>
              <w:left w:val="single" w:sz="8" w:space="0" w:color="000000"/>
              <w:bottom w:val="single" w:sz="6" w:space="0" w:color="000000"/>
              <w:right w:val="single" w:sz="8" w:space="0" w:color="000000"/>
            </w:tcBorders>
            <w:vAlign w:val="center"/>
            <w:hideMark/>
          </w:tcPr>
          <w:p w14:paraId="610FEA6C" w14:textId="77777777" w:rsidR="008F1EE2" w:rsidRDefault="008F1EE2" w:rsidP="005A3450">
            <w:pPr>
              <w:pStyle w:val="biaogecenter"/>
              <w:wordWrap w:val="0"/>
            </w:pPr>
            <w:r>
              <w:rPr>
                <w:rFonts w:hAnsi="Calibri" w:hint="eastAsia"/>
                <w:color w:val="000000"/>
              </w:rPr>
              <w:t>7</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3AA12599" w14:textId="77777777" w:rsidR="008F1EE2" w:rsidRDefault="008F1EE2" w:rsidP="005A3450">
            <w:pPr>
              <w:pStyle w:val="biaogeleft"/>
              <w:wordWrap w:val="0"/>
            </w:pPr>
            <w:r>
              <w:rPr>
                <w:rFonts w:hint="eastAsia"/>
              </w:rPr>
              <w:t>银行存款和结算备付金合计</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532C3BCB" w14:textId="77777777" w:rsidR="008F1EE2" w:rsidRDefault="008F1EE2" w:rsidP="005A3450">
            <w:pPr>
              <w:pStyle w:val="biaogeright"/>
              <w:wordWrap w:val="0"/>
            </w:pPr>
            <w:r>
              <w:rPr>
                <w:rFonts w:hint="eastAsia"/>
              </w:rPr>
              <w:t>31,341,458.22</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62FEB316" w14:textId="77777777" w:rsidR="008F1EE2" w:rsidRDefault="008F1EE2" w:rsidP="005A3450">
            <w:pPr>
              <w:pStyle w:val="biaogeright"/>
              <w:wordWrap w:val="0"/>
            </w:pPr>
            <w:r>
              <w:rPr>
                <w:rFonts w:hint="eastAsia"/>
              </w:rPr>
              <w:t>44.23</w:t>
            </w:r>
          </w:p>
        </w:tc>
      </w:tr>
      <w:tr w:rsidR="008F1EE2" w:rsidRPr="00D562B4" w14:paraId="05BB87CF" w14:textId="77777777" w:rsidTr="005A3450">
        <w:tc>
          <w:tcPr>
            <w:tcW w:w="0" w:type="auto"/>
            <w:tcBorders>
              <w:top w:val="single" w:sz="8" w:space="0" w:color="000000"/>
              <w:left w:val="single" w:sz="8" w:space="0" w:color="000000"/>
              <w:bottom w:val="single" w:sz="6" w:space="0" w:color="000000"/>
              <w:right w:val="single" w:sz="8" w:space="0" w:color="000000"/>
            </w:tcBorders>
            <w:vAlign w:val="center"/>
            <w:hideMark/>
          </w:tcPr>
          <w:p w14:paraId="278CCED6" w14:textId="77777777" w:rsidR="008F1EE2" w:rsidRDefault="008F1EE2" w:rsidP="005A3450">
            <w:pPr>
              <w:pStyle w:val="biaogecenter"/>
              <w:wordWrap w:val="0"/>
            </w:pPr>
            <w:r>
              <w:rPr>
                <w:rFonts w:hint="eastAsia"/>
              </w:rPr>
              <w:t>8</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5FE7AE79" w14:textId="77777777" w:rsidR="008F1EE2" w:rsidRDefault="008F1EE2" w:rsidP="005A3450">
            <w:pPr>
              <w:pStyle w:val="biaogeleft"/>
              <w:wordWrap w:val="0"/>
            </w:pPr>
            <w:r>
              <w:rPr>
                <w:rFonts w:hint="eastAsia"/>
              </w:rPr>
              <w:t>其他资产</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561D43C7" w14:textId="77777777" w:rsidR="008F1EE2" w:rsidRDefault="008F1EE2" w:rsidP="005A3450">
            <w:pPr>
              <w:pStyle w:val="biaogeright"/>
              <w:wordWrap w:val="0"/>
            </w:pPr>
            <w:r>
              <w:rPr>
                <w:rFonts w:hint="eastAsia"/>
              </w:rPr>
              <w:t>51,137.60</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3BBE11BE" w14:textId="77777777" w:rsidR="008F1EE2" w:rsidRDefault="008F1EE2" w:rsidP="005A3450">
            <w:pPr>
              <w:pStyle w:val="biaogeright"/>
              <w:wordWrap w:val="0"/>
            </w:pPr>
            <w:r>
              <w:rPr>
                <w:rFonts w:hint="eastAsia"/>
              </w:rPr>
              <w:t>0.07</w:t>
            </w:r>
          </w:p>
        </w:tc>
      </w:tr>
      <w:tr w:rsidR="008F1EE2" w:rsidRPr="00D562B4" w14:paraId="5D6554AF" w14:textId="77777777" w:rsidTr="005A3450">
        <w:tc>
          <w:tcPr>
            <w:tcW w:w="0" w:type="auto"/>
            <w:tcBorders>
              <w:top w:val="single" w:sz="8" w:space="0" w:color="000000"/>
              <w:left w:val="single" w:sz="8" w:space="0" w:color="000000"/>
              <w:bottom w:val="single" w:sz="6" w:space="0" w:color="000000"/>
              <w:right w:val="single" w:sz="8" w:space="0" w:color="000000"/>
            </w:tcBorders>
            <w:vAlign w:val="center"/>
            <w:hideMark/>
          </w:tcPr>
          <w:p w14:paraId="0655C541" w14:textId="77777777" w:rsidR="008F1EE2" w:rsidRDefault="008F1EE2" w:rsidP="005A3450">
            <w:pPr>
              <w:pStyle w:val="biaogecenter"/>
              <w:wordWrap w:val="0"/>
            </w:pPr>
            <w:r>
              <w:rPr>
                <w:rFonts w:hint="eastAsia"/>
              </w:rPr>
              <w:t>9</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237CF2CE" w14:textId="77777777" w:rsidR="008F1EE2" w:rsidRDefault="008F1EE2" w:rsidP="005A3450">
            <w:pPr>
              <w:pStyle w:val="biaogeleft"/>
              <w:wordWrap w:val="0"/>
            </w:pPr>
            <w:r>
              <w:rPr>
                <w:rFonts w:hint="eastAsia"/>
              </w:rPr>
              <w:t>合计</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0B7B986A" w14:textId="77777777" w:rsidR="008F1EE2" w:rsidRDefault="008F1EE2" w:rsidP="005A3450">
            <w:pPr>
              <w:pStyle w:val="biaogeright"/>
              <w:wordWrap w:val="0"/>
            </w:pPr>
            <w:r>
              <w:rPr>
                <w:rFonts w:hint="eastAsia"/>
              </w:rPr>
              <w:t>70,863,838.82</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1F92CA3D" w14:textId="77777777" w:rsidR="008F1EE2" w:rsidRDefault="008F1EE2" w:rsidP="005A3450">
            <w:pPr>
              <w:pStyle w:val="biaogeright"/>
              <w:wordWrap w:val="0"/>
            </w:pPr>
            <w:r>
              <w:rPr>
                <w:rFonts w:hint="eastAsia"/>
              </w:rPr>
              <w:t>100.00</w:t>
            </w:r>
          </w:p>
        </w:tc>
      </w:tr>
    </w:tbl>
    <w:p w14:paraId="136EA534" w14:textId="77777777" w:rsidR="008F1EE2" w:rsidRDefault="008F1EE2" w:rsidP="00220CDC">
      <w:pPr>
        <w:spacing w:line="360" w:lineRule="auto"/>
        <w:rPr>
          <w:rFonts w:ascii="宋体" w:hAnsi="宋体" w:cs="Arial"/>
          <w:bCs/>
          <w:sz w:val="24"/>
        </w:rPr>
      </w:pPr>
    </w:p>
    <w:p w14:paraId="16C47763" w14:textId="77777777" w:rsidR="00220CDC" w:rsidRDefault="00220CDC" w:rsidP="00220CDC">
      <w:pPr>
        <w:spacing w:line="360" w:lineRule="auto"/>
        <w:rPr>
          <w:rFonts w:ascii="宋体" w:hAnsi="宋体" w:cs="Arial"/>
          <w:bCs/>
          <w:sz w:val="24"/>
        </w:rPr>
      </w:pPr>
      <w:r>
        <w:rPr>
          <w:rFonts w:ascii="宋体" w:hAnsi="宋体" w:cs="Arial" w:hint="eastAsia"/>
          <w:bCs/>
          <w:sz w:val="24"/>
        </w:rPr>
        <w:lastRenderedPageBreak/>
        <w:t>2、报告期末按行业分类的股票投资组合</w:t>
      </w:r>
    </w:p>
    <w:p w14:paraId="0A24CCFC" w14:textId="77777777" w:rsidR="00220CDC" w:rsidRDefault="00220CDC" w:rsidP="00220CDC">
      <w:pPr>
        <w:spacing w:line="360" w:lineRule="auto"/>
        <w:rPr>
          <w:rFonts w:ascii="宋体" w:hAnsi="宋体" w:cs="Arial"/>
          <w:bCs/>
          <w:sz w:val="24"/>
        </w:rPr>
      </w:pPr>
      <w:r>
        <w:rPr>
          <w:rFonts w:ascii="宋体" w:hAnsi="宋体" w:cs="Arial" w:hint="eastAsia"/>
          <w:bCs/>
          <w:sz w:val="24"/>
        </w:rPr>
        <w:t>（1）报告期末按行业分类的境内股票投资组合</w:t>
      </w:r>
    </w:p>
    <w:tbl>
      <w:tblPr>
        <w:tblW w:w="0" w:type="auto"/>
        <w:tblInd w:w="108" w:type="dxa"/>
        <w:tblLook w:val="04A0" w:firstRow="1" w:lastRow="0" w:firstColumn="1" w:lastColumn="0" w:noHBand="0" w:noVBand="1"/>
      </w:tblPr>
      <w:tblGrid>
        <w:gridCol w:w="780"/>
        <w:gridCol w:w="2519"/>
        <w:gridCol w:w="2519"/>
        <w:gridCol w:w="2596"/>
      </w:tblGrid>
      <w:tr w:rsidR="008F1EE2" w:rsidRPr="00D562B4" w14:paraId="35009907" w14:textId="77777777" w:rsidTr="005A3450">
        <w:tc>
          <w:tcPr>
            <w:tcW w:w="1340" w:type="dxa"/>
            <w:tcBorders>
              <w:top w:val="single" w:sz="8" w:space="0" w:color="000000"/>
              <w:left w:val="single" w:sz="8" w:space="0" w:color="000000"/>
              <w:bottom w:val="single" w:sz="6" w:space="0" w:color="000000"/>
              <w:right w:val="single" w:sz="8" w:space="0" w:color="000000"/>
            </w:tcBorders>
            <w:vAlign w:val="center"/>
            <w:hideMark/>
          </w:tcPr>
          <w:p w14:paraId="40D8A5FB" w14:textId="77777777" w:rsidR="008F1EE2" w:rsidRDefault="008F1EE2" w:rsidP="005A3450">
            <w:pPr>
              <w:pStyle w:val="biaogecenter"/>
              <w:wordWrap w:val="0"/>
            </w:pPr>
            <w:r>
              <w:rPr>
                <w:rFonts w:hAnsi="Calibri" w:hint="eastAsia"/>
                <w:color w:val="000000"/>
              </w:rPr>
              <w:t>代码</w:t>
            </w:r>
          </w:p>
        </w:tc>
        <w:tc>
          <w:tcPr>
            <w:tcW w:w="4019" w:type="dxa"/>
            <w:tcBorders>
              <w:top w:val="single" w:sz="8" w:space="0" w:color="000000"/>
              <w:left w:val="single" w:sz="8" w:space="0" w:color="000000"/>
              <w:bottom w:val="single" w:sz="6" w:space="0" w:color="000000"/>
              <w:right w:val="single" w:sz="8" w:space="0" w:color="000000"/>
            </w:tcBorders>
            <w:vAlign w:val="center"/>
            <w:hideMark/>
          </w:tcPr>
          <w:p w14:paraId="52645E22" w14:textId="77777777" w:rsidR="008F1EE2" w:rsidRDefault="008F1EE2" w:rsidP="005A3450">
            <w:pPr>
              <w:pStyle w:val="biaogecenter"/>
              <w:wordWrap w:val="0"/>
            </w:pPr>
            <w:r>
              <w:rPr>
                <w:rFonts w:hAnsi="Calibri" w:hint="eastAsia"/>
                <w:color w:val="000000"/>
              </w:rPr>
              <w:t>行业类别</w:t>
            </w:r>
          </w:p>
        </w:tc>
        <w:tc>
          <w:tcPr>
            <w:tcW w:w="2019" w:type="dxa"/>
            <w:tcBorders>
              <w:top w:val="single" w:sz="8" w:space="0" w:color="000000"/>
              <w:left w:val="single" w:sz="8" w:space="0" w:color="000000"/>
              <w:bottom w:val="single" w:sz="6" w:space="0" w:color="000000"/>
              <w:right w:val="single" w:sz="8" w:space="0" w:color="000000"/>
            </w:tcBorders>
            <w:vAlign w:val="center"/>
            <w:hideMark/>
          </w:tcPr>
          <w:p w14:paraId="6F7C10EC" w14:textId="77777777" w:rsidR="008F1EE2" w:rsidRDefault="008F1EE2" w:rsidP="005A3450">
            <w:pPr>
              <w:pStyle w:val="biaogecenter"/>
              <w:wordWrap w:val="0"/>
            </w:pPr>
            <w:r>
              <w:rPr>
                <w:rFonts w:hAnsi="Calibri" w:hint="eastAsia"/>
                <w:color w:val="000000"/>
              </w:rPr>
              <w:t>公允价值(元)</w:t>
            </w:r>
          </w:p>
        </w:tc>
        <w:tc>
          <w:tcPr>
            <w:tcW w:w="2979" w:type="dxa"/>
            <w:tcBorders>
              <w:top w:val="single" w:sz="8" w:space="0" w:color="000000"/>
              <w:left w:val="single" w:sz="8" w:space="0" w:color="000000"/>
              <w:bottom w:val="single" w:sz="6" w:space="0" w:color="000000"/>
              <w:right w:val="single" w:sz="8" w:space="0" w:color="000000"/>
            </w:tcBorders>
            <w:vAlign w:val="center"/>
            <w:hideMark/>
          </w:tcPr>
          <w:p w14:paraId="05A20E05" w14:textId="77777777" w:rsidR="008F1EE2" w:rsidRDefault="008F1EE2" w:rsidP="005A3450">
            <w:pPr>
              <w:pStyle w:val="biaogecenter"/>
              <w:wordWrap w:val="0"/>
            </w:pPr>
            <w:r>
              <w:rPr>
                <w:rFonts w:hAnsi="Calibri" w:hint="eastAsia"/>
                <w:color w:val="000000"/>
              </w:rPr>
              <w:t>占基金资产净值比例（%）</w:t>
            </w:r>
          </w:p>
        </w:tc>
      </w:tr>
      <w:tr w:rsidR="008F1EE2" w:rsidRPr="00D562B4" w14:paraId="01D16FB0" w14:textId="77777777" w:rsidTr="005A3450">
        <w:tc>
          <w:tcPr>
            <w:tcW w:w="0" w:type="auto"/>
            <w:tcBorders>
              <w:top w:val="single" w:sz="8" w:space="0" w:color="000000"/>
              <w:left w:val="single" w:sz="8" w:space="0" w:color="000000"/>
              <w:bottom w:val="single" w:sz="6" w:space="0" w:color="000000"/>
              <w:right w:val="single" w:sz="8" w:space="0" w:color="000000"/>
            </w:tcBorders>
            <w:vAlign w:val="center"/>
            <w:hideMark/>
          </w:tcPr>
          <w:p w14:paraId="72FB78C2" w14:textId="77777777" w:rsidR="008F1EE2" w:rsidRDefault="008F1EE2" w:rsidP="005A3450">
            <w:pPr>
              <w:pStyle w:val="biaogecenter"/>
              <w:wordWrap w:val="0"/>
            </w:pPr>
            <w:r>
              <w:rPr>
                <w:rFonts w:hint="eastAsia"/>
              </w:rPr>
              <w:t>A</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45494CD" w14:textId="77777777" w:rsidR="008F1EE2" w:rsidRDefault="008F1EE2" w:rsidP="005A3450">
            <w:pPr>
              <w:pStyle w:val="biaogeleft"/>
              <w:wordWrap w:val="0"/>
            </w:pPr>
            <w:r>
              <w:rPr>
                <w:rFonts w:hint="eastAsia"/>
              </w:rPr>
              <w:t>农、林、牧、渔业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BDD4CB9" w14:textId="77777777" w:rsidR="008F1EE2" w:rsidRDefault="008F1EE2" w:rsidP="005A3450">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3D51D49" w14:textId="77777777" w:rsidR="008F1EE2" w:rsidRDefault="008F1EE2" w:rsidP="005A3450">
            <w:pPr>
              <w:pStyle w:val="biaogeright"/>
              <w:wordWrap w:val="0"/>
            </w:pPr>
            <w:r>
              <w:rPr>
                <w:rFonts w:hint="eastAsia"/>
              </w:rPr>
              <w:t>-</w:t>
            </w:r>
          </w:p>
        </w:tc>
      </w:tr>
      <w:tr w:rsidR="008F1EE2" w:rsidRPr="00D562B4" w14:paraId="6F55783E" w14:textId="77777777" w:rsidTr="005A3450">
        <w:tc>
          <w:tcPr>
            <w:tcW w:w="0" w:type="auto"/>
            <w:tcBorders>
              <w:top w:val="single" w:sz="8" w:space="0" w:color="000000"/>
              <w:left w:val="single" w:sz="8" w:space="0" w:color="000000"/>
              <w:bottom w:val="single" w:sz="6" w:space="0" w:color="000000"/>
              <w:right w:val="single" w:sz="8" w:space="0" w:color="000000"/>
            </w:tcBorders>
            <w:vAlign w:val="center"/>
            <w:hideMark/>
          </w:tcPr>
          <w:p w14:paraId="5AB65135" w14:textId="77777777" w:rsidR="008F1EE2" w:rsidRDefault="008F1EE2" w:rsidP="005A3450">
            <w:pPr>
              <w:pStyle w:val="biaogecenter"/>
              <w:wordWrap w:val="0"/>
            </w:pPr>
            <w:r>
              <w:rPr>
                <w:rFonts w:hint="eastAsia"/>
              </w:rPr>
              <w:t>B</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F5646C9" w14:textId="77777777" w:rsidR="008F1EE2" w:rsidRDefault="008F1EE2" w:rsidP="005A3450">
            <w:pPr>
              <w:pStyle w:val="biaogeleft"/>
              <w:wordWrap w:val="0"/>
            </w:pPr>
            <w:r>
              <w:rPr>
                <w:rFonts w:hint="eastAsia"/>
              </w:rPr>
              <w:t>采矿业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BE6400C" w14:textId="77777777" w:rsidR="008F1EE2" w:rsidRDefault="008F1EE2" w:rsidP="005A3450">
            <w:pPr>
              <w:pStyle w:val="biaogeright"/>
              <w:wordWrap w:val="0"/>
            </w:pPr>
            <w:r>
              <w:rPr>
                <w:rFonts w:hint="eastAsia"/>
              </w:rPr>
              <w:t>711,557.00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B33DA95" w14:textId="77777777" w:rsidR="008F1EE2" w:rsidRDefault="008F1EE2" w:rsidP="005A3450">
            <w:pPr>
              <w:pStyle w:val="biaogeright"/>
              <w:wordWrap w:val="0"/>
            </w:pPr>
            <w:r>
              <w:rPr>
                <w:rFonts w:hint="eastAsia"/>
              </w:rPr>
              <w:t>1.40</w:t>
            </w:r>
          </w:p>
        </w:tc>
      </w:tr>
      <w:tr w:rsidR="008F1EE2" w:rsidRPr="00D562B4" w14:paraId="7C753BB0" w14:textId="77777777" w:rsidTr="005A3450">
        <w:tc>
          <w:tcPr>
            <w:tcW w:w="0" w:type="auto"/>
            <w:tcBorders>
              <w:top w:val="single" w:sz="8" w:space="0" w:color="000000"/>
              <w:left w:val="single" w:sz="8" w:space="0" w:color="000000"/>
              <w:bottom w:val="single" w:sz="6" w:space="0" w:color="000000"/>
              <w:right w:val="single" w:sz="8" w:space="0" w:color="000000"/>
            </w:tcBorders>
            <w:vAlign w:val="center"/>
            <w:hideMark/>
          </w:tcPr>
          <w:p w14:paraId="3CF2D4DD" w14:textId="77777777" w:rsidR="008F1EE2" w:rsidRDefault="008F1EE2" w:rsidP="005A3450">
            <w:pPr>
              <w:pStyle w:val="biaogecenter"/>
              <w:wordWrap w:val="0"/>
            </w:pPr>
            <w:r>
              <w:rPr>
                <w:rFonts w:hint="eastAsia"/>
              </w:rPr>
              <w:t>C</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ADD0351" w14:textId="77777777" w:rsidR="008F1EE2" w:rsidRDefault="008F1EE2" w:rsidP="005A3450">
            <w:pPr>
              <w:pStyle w:val="biaogeleft"/>
              <w:wordWrap w:val="0"/>
            </w:pPr>
            <w:r>
              <w:rPr>
                <w:rFonts w:hint="eastAsia"/>
              </w:rPr>
              <w:t>制造业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BD51CE2" w14:textId="77777777" w:rsidR="008F1EE2" w:rsidRDefault="008F1EE2" w:rsidP="005A3450">
            <w:pPr>
              <w:pStyle w:val="biaogeright"/>
              <w:wordWrap w:val="0"/>
            </w:pPr>
            <w:r>
              <w:rPr>
                <w:rFonts w:hint="eastAsia"/>
              </w:rPr>
              <w:t>6,905,117.00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9C1D780" w14:textId="77777777" w:rsidR="008F1EE2" w:rsidRDefault="008F1EE2" w:rsidP="005A3450">
            <w:pPr>
              <w:pStyle w:val="biaogeright"/>
              <w:wordWrap w:val="0"/>
            </w:pPr>
            <w:r>
              <w:rPr>
                <w:rFonts w:hint="eastAsia"/>
              </w:rPr>
              <w:t>13.58</w:t>
            </w:r>
          </w:p>
        </w:tc>
      </w:tr>
      <w:tr w:rsidR="008F1EE2" w:rsidRPr="00D562B4" w14:paraId="2502D158" w14:textId="77777777" w:rsidTr="005A3450">
        <w:tc>
          <w:tcPr>
            <w:tcW w:w="0" w:type="auto"/>
            <w:tcBorders>
              <w:top w:val="single" w:sz="8" w:space="0" w:color="000000"/>
              <w:left w:val="single" w:sz="8" w:space="0" w:color="000000"/>
              <w:bottom w:val="single" w:sz="6" w:space="0" w:color="000000"/>
              <w:right w:val="single" w:sz="8" w:space="0" w:color="000000"/>
            </w:tcBorders>
            <w:vAlign w:val="center"/>
            <w:hideMark/>
          </w:tcPr>
          <w:p w14:paraId="387FC83F" w14:textId="77777777" w:rsidR="008F1EE2" w:rsidRDefault="008F1EE2" w:rsidP="005A3450">
            <w:pPr>
              <w:pStyle w:val="biaogecenter"/>
              <w:wordWrap w:val="0"/>
            </w:pPr>
            <w:r>
              <w:rPr>
                <w:rFonts w:hAnsi="Calibri" w:hint="eastAsia"/>
                <w:color w:val="000000"/>
              </w:rPr>
              <w:t>D</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931F5BA" w14:textId="77777777" w:rsidR="008F1EE2" w:rsidRDefault="008F1EE2" w:rsidP="005A3450">
            <w:pPr>
              <w:pStyle w:val="biaogeleft"/>
              <w:wordWrap w:val="0"/>
            </w:pPr>
            <w:r>
              <w:rPr>
                <w:rFonts w:hint="eastAsia"/>
              </w:rPr>
              <w:t>电力、热力、燃气及水生产和供应业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CAC9612" w14:textId="77777777" w:rsidR="008F1EE2" w:rsidRDefault="008F1EE2" w:rsidP="005A3450">
            <w:pPr>
              <w:pStyle w:val="biaogeright"/>
              <w:wordWrap w:val="0"/>
            </w:pPr>
            <w:r>
              <w:rPr>
                <w:rFonts w:hint="eastAsia"/>
              </w:rPr>
              <w:t>602,026.00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405FE89" w14:textId="77777777" w:rsidR="008F1EE2" w:rsidRDefault="008F1EE2" w:rsidP="005A3450">
            <w:pPr>
              <w:pStyle w:val="biaogeright"/>
              <w:wordWrap w:val="0"/>
            </w:pPr>
            <w:r>
              <w:rPr>
                <w:rFonts w:hint="eastAsia"/>
              </w:rPr>
              <w:t>1.18</w:t>
            </w:r>
          </w:p>
        </w:tc>
      </w:tr>
      <w:tr w:rsidR="008F1EE2" w:rsidRPr="00D562B4" w14:paraId="7EFC1718" w14:textId="77777777" w:rsidTr="005A3450">
        <w:tc>
          <w:tcPr>
            <w:tcW w:w="0" w:type="auto"/>
            <w:tcBorders>
              <w:top w:val="single" w:sz="8" w:space="0" w:color="000000"/>
              <w:left w:val="single" w:sz="8" w:space="0" w:color="000000"/>
              <w:bottom w:val="single" w:sz="6" w:space="0" w:color="000000"/>
              <w:right w:val="single" w:sz="8" w:space="0" w:color="000000"/>
            </w:tcBorders>
            <w:vAlign w:val="center"/>
            <w:hideMark/>
          </w:tcPr>
          <w:p w14:paraId="7825F54E" w14:textId="77777777" w:rsidR="008F1EE2" w:rsidRDefault="008F1EE2" w:rsidP="005A3450">
            <w:pPr>
              <w:pStyle w:val="biaogecenter"/>
              <w:wordWrap w:val="0"/>
            </w:pPr>
            <w:r>
              <w:rPr>
                <w:rFonts w:hint="eastAsia"/>
              </w:rPr>
              <w:t>E</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340B775" w14:textId="77777777" w:rsidR="008F1EE2" w:rsidRDefault="008F1EE2" w:rsidP="005A3450">
            <w:pPr>
              <w:pStyle w:val="biaogeleft"/>
              <w:wordWrap w:val="0"/>
            </w:pPr>
            <w:r>
              <w:rPr>
                <w:rFonts w:hint="eastAsia"/>
              </w:rPr>
              <w:t>建筑业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4CAE2BD" w14:textId="77777777" w:rsidR="008F1EE2" w:rsidRDefault="008F1EE2" w:rsidP="005A3450">
            <w:pPr>
              <w:pStyle w:val="biaogeright"/>
              <w:wordWrap w:val="0"/>
            </w:pPr>
            <w:r>
              <w:rPr>
                <w:rFonts w:hint="eastAsia"/>
              </w:rPr>
              <w:t>544,520.00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6694154" w14:textId="77777777" w:rsidR="008F1EE2" w:rsidRDefault="008F1EE2" w:rsidP="005A3450">
            <w:pPr>
              <w:pStyle w:val="biaogeright"/>
              <w:wordWrap w:val="0"/>
            </w:pPr>
            <w:r>
              <w:rPr>
                <w:rFonts w:hint="eastAsia"/>
              </w:rPr>
              <w:t>1.07</w:t>
            </w:r>
          </w:p>
        </w:tc>
      </w:tr>
      <w:tr w:rsidR="008F1EE2" w:rsidRPr="00D562B4" w14:paraId="794B2016" w14:textId="77777777" w:rsidTr="005A3450">
        <w:tc>
          <w:tcPr>
            <w:tcW w:w="0" w:type="auto"/>
            <w:tcBorders>
              <w:top w:val="single" w:sz="8" w:space="0" w:color="000000"/>
              <w:left w:val="single" w:sz="8" w:space="0" w:color="000000"/>
              <w:bottom w:val="single" w:sz="6" w:space="0" w:color="000000"/>
              <w:right w:val="single" w:sz="8" w:space="0" w:color="000000"/>
            </w:tcBorders>
            <w:vAlign w:val="center"/>
            <w:hideMark/>
          </w:tcPr>
          <w:p w14:paraId="280EDCEB" w14:textId="77777777" w:rsidR="008F1EE2" w:rsidRDefault="008F1EE2" w:rsidP="005A3450">
            <w:pPr>
              <w:pStyle w:val="biaogecenter"/>
              <w:wordWrap w:val="0"/>
            </w:pPr>
            <w:r>
              <w:rPr>
                <w:rFonts w:hAnsi="Calibri" w:hint="eastAsia"/>
                <w:color w:val="000000"/>
              </w:rPr>
              <w:t>F</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D3DFE1C" w14:textId="77777777" w:rsidR="008F1EE2" w:rsidRDefault="008F1EE2" w:rsidP="005A3450">
            <w:pPr>
              <w:pStyle w:val="biaogeleft"/>
              <w:wordWrap w:val="0"/>
            </w:pPr>
            <w:r>
              <w:rPr>
                <w:rFonts w:hint="eastAsia"/>
              </w:rPr>
              <w:t>批发和零售业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E4A50BD" w14:textId="77777777" w:rsidR="008F1EE2" w:rsidRDefault="008F1EE2" w:rsidP="005A3450">
            <w:pPr>
              <w:pStyle w:val="biaogeright"/>
              <w:wordWrap w:val="0"/>
            </w:pPr>
            <w:r>
              <w:rPr>
                <w:rFonts w:hint="eastAsia"/>
              </w:rPr>
              <w:t>99,825.00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40830F5" w14:textId="77777777" w:rsidR="008F1EE2" w:rsidRDefault="008F1EE2" w:rsidP="005A3450">
            <w:pPr>
              <w:pStyle w:val="biaogeright"/>
              <w:wordWrap w:val="0"/>
            </w:pPr>
            <w:r>
              <w:rPr>
                <w:rFonts w:hint="eastAsia"/>
              </w:rPr>
              <w:t>0.20</w:t>
            </w:r>
          </w:p>
        </w:tc>
      </w:tr>
      <w:tr w:rsidR="008F1EE2" w:rsidRPr="00D562B4" w14:paraId="191F68FB" w14:textId="77777777" w:rsidTr="005A3450">
        <w:tc>
          <w:tcPr>
            <w:tcW w:w="0" w:type="auto"/>
            <w:tcBorders>
              <w:top w:val="single" w:sz="8" w:space="0" w:color="000000"/>
              <w:left w:val="single" w:sz="8" w:space="0" w:color="000000"/>
              <w:bottom w:val="single" w:sz="6" w:space="0" w:color="000000"/>
              <w:right w:val="single" w:sz="8" w:space="0" w:color="000000"/>
            </w:tcBorders>
            <w:vAlign w:val="center"/>
            <w:hideMark/>
          </w:tcPr>
          <w:p w14:paraId="521ADA36" w14:textId="77777777" w:rsidR="008F1EE2" w:rsidRDefault="008F1EE2" w:rsidP="005A3450">
            <w:pPr>
              <w:pStyle w:val="biaogecenter"/>
              <w:wordWrap w:val="0"/>
            </w:pPr>
            <w:r>
              <w:rPr>
                <w:rFonts w:hAnsi="Calibri" w:hint="eastAsia"/>
                <w:color w:val="000000"/>
              </w:rPr>
              <w:t>G</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B322AF2" w14:textId="77777777" w:rsidR="008F1EE2" w:rsidRDefault="008F1EE2" w:rsidP="005A3450">
            <w:pPr>
              <w:pStyle w:val="biaogeleft"/>
              <w:wordWrap w:val="0"/>
            </w:pPr>
            <w:r>
              <w:rPr>
                <w:rFonts w:hint="eastAsia"/>
              </w:rPr>
              <w:t>交通运输、仓储和邮政业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EA6843D" w14:textId="77777777" w:rsidR="008F1EE2" w:rsidRDefault="008F1EE2" w:rsidP="005A3450">
            <w:pPr>
              <w:pStyle w:val="biaogeright"/>
              <w:wordWrap w:val="0"/>
            </w:pPr>
            <w:r>
              <w:rPr>
                <w:rFonts w:hint="eastAsia"/>
              </w:rPr>
              <w:t>325,521.00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52C21F4" w14:textId="77777777" w:rsidR="008F1EE2" w:rsidRDefault="008F1EE2" w:rsidP="005A3450">
            <w:pPr>
              <w:pStyle w:val="biaogeright"/>
              <w:wordWrap w:val="0"/>
            </w:pPr>
            <w:r>
              <w:rPr>
                <w:rFonts w:hint="eastAsia"/>
              </w:rPr>
              <w:t>0.64</w:t>
            </w:r>
          </w:p>
        </w:tc>
      </w:tr>
      <w:tr w:rsidR="008F1EE2" w:rsidRPr="00D562B4" w14:paraId="68045001" w14:textId="77777777" w:rsidTr="005A3450">
        <w:tc>
          <w:tcPr>
            <w:tcW w:w="0" w:type="auto"/>
            <w:tcBorders>
              <w:top w:val="single" w:sz="8" w:space="0" w:color="000000"/>
              <w:left w:val="single" w:sz="8" w:space="0" w:color="000000"/>
              <w:bottom w:val="single" w:sz="6" w:space="0" w:color="000000"/>
              <w:right w:val="single" w:sz="8" w:space="0" w:color="000000"/>
            </w:tcBorders>
            <w:vAlign w:val="center"/>
            <w:hideMark/>
          </w:tcPr>
          <w:p w14:paraId="650B28C4" w14:textId="77777777" w:rsidR="008F1EE2" w:rsidRDefault="008F1EE2" w:rsidP="005A3450">
            <w:pPr>
              <w:pStyle w:val="biaogecenter"/>
              <w:wordWrap w:val="0"/>
            </w:pPr>
            <w:r>
              <w:rPr>
                <w:rFonts w:hAnsi="Calibri" w:hint="eastAsia"/>
                <w:color w:val="000000"/>
              </w:rPr>
              <w:t>H</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827E142" w14:textId="77777777" w:rsidR="008F1EE2" w:rsidRDefault="008F1EE2" w:rsidP="005A3450">
            <w:pPr>
              <w:pStyle w:val="biaogeleft"/>
              <w:wordWrap w:val="0"/>
            </w:pPr>
            <w:r>
              <w:rPr>
                <w:rFonts w:hint="eastAsia"/>
              </w:rPr>
              <w:t>住宿和餐饮业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CF99D0F" w14:textId="77777777" w:rsidR="008F1EE2" w:rsidRDefault="008F1EE2" w:rsidP="005A3450">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F0B1A7E" w14:textId="77777777" w:rsidR="008F1EE2" w:rsidRDefault="008F1EE2" w:rsidP="005A3450">
            <w:pPr>
              <w:pStyle w:val="biaogeright"/>
              <w:wordWrap w:val="0"/>
            </w:pPr>
            <w:r>
              <w:rPr>
                <w:rFonts w:hint="eastAsia"/>
              </w:rPr>
              <w:t>-</w:t>
            </w:r>
          </w:p>
        </w:tc>
      </w:tr>
      <w:tr w:rsidR="008F1EE2" w:rsidRPr="00D562B4" w14:paraId="750B2025" w14:textId="77777777" w:rsidTr="005A3450">
        <w:tc>
          <w:tcPr>
            <w:tcW w:w="0" w:type="auto"/>
            <w:tcBorders>
              <w:top w:val="single" w:sz="8" w:space="0" w:color="000000"/>
              <w:left w:val="single" w:sz="8" w:space="0" w:color="000000"/>
              <w:bottom w:val="single" w:sz="6" w:space="0" w:color="000000"/>
              <w:right w:val="single" w:sz="8" w:space="0" w:color="000000"/>
            </w:tcBorders>
            <w:vAlign w:val="center"/>
            <w:hideMark/>
          </w:tcPr>
          <w:p w14:paraId="087E1680" w14:textId="77777777" w:rsidR="008F1EE2" w:rsidRDefault="008F1EE2" w:rsidP="005A3450">
            <w:pPr>
              <w:pStyle w:val="biaogecenter"/>
              <w:wordWrap w:val="0"/>
            </w:pPr>
            <w:r>
              <w:rPr>
                <w:rFonts w:hAnsi="Calibri" w:hint="eastAsia"/>
                <w:color w:val="000000"/>
              </w:rPr>
              <w:t>I</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831E1B2" w14:textId="77777777" w:rsidR="008F1EE2" w:rsidRDefault="008F1EE2" w:rsidP="005A3450">
            <w:pPr>
              <w:pStyle w:val="biaogeleft"/>
              <w:wordWrap w:val="0"/>
            </w:pPr>
            <w:r>
              <w:rPr>
                <w:rFonts w:hint="eastAsia"/>
              </w:rPr>
              <w:t>信息传输、软件和信息技术服务业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CAC6884" w14:textId="77777777" w:rsidR="008F1EE2" w:rsidRDefault="008F1EE2" w:rsidP="005A3450">
            <w:pPr>
              <w:pStyle w:val="biaogeright"/>
              <w:wordWrap w:val="0"/>
            </w:pPr>
            <w:r>
              <w:rPr>
                <w:rFonts w:hint="eastAsia"/>
              </w:rPr>
              <w:t>426,282.00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D327DA6" w14:textId="77777777" w:rsidR="008F1EE2" w:rsidRDefault="008F1EE2" w:rsidP="005A3450">
            <w:pPr>
              <w:pStyle w:val="biaogeright"/>
              <w:wordWrap w:val="0"/>
            </w:pPr>
            <w:r>
              <w:rPr>
                <w:rFonts w:hint="eastAsia"/>
              </w:rPr>
              <w:t>0.84</w:t>
            </w:r>
          </w:p>
        </w:tc>
      </w:tr>
      <w:tr w:rsidR="008F1EE2" w:rsidRPr="00D562B4" w14:paraId="653ED668" w14:textId="77777777" w:rsidTr="005A3450">
        <w:tc>
          <w:tcPr>
            <w:tcW w:w="0" w:type="auto"/>
            <w:tcBorders>
              <w:top w:val="single" w:sz="8" w:space="0" w:color="000000"/>
              <w:left w:val="single" w:sz="8" w:space="0" w:color="000000"/>
              <w:bottom w:val="single" w:sz="6" w:space="0" w:color="000000"/>
              <w:right w:val="single" w:sz="8" w:space="0" w:color="000000"/>
            </w:tcBorders>
            <w:vAlign w:val="center"/>
            <w:hideMark/>
          </w:tcPr>
          <w:p w14:paraId="46DD1949" w14:textId="77777777" w:rsidR="008F1EE2" w:rsidRDefault="008F1EE2" w:rsidP="005A3450">
            <w:pPr>
              <w:pStyle w:val="biaogecenter"/>
              <w:wordWrap w:val="0"/>
            </w:pPr>
            <w:r>
              <w:rPr>
                <w:rFonts w:hAnsi="Calibri" w:hint="eastAsia"/>
                <w:color w:val="000000"/>
              </w:rPr>
              <w:t>J</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B1FEA73" w14:textId="77777777" w:rsidR="008F1EE2" w:rsidRDefault="008F1EE2" w:rsidP="005A3450">
            <w:pPr>
              <w:pStyle w:val="biaogeleft"/>
              <w:wordWrap w:val="0"/>
            </w:pPr>
            <w:r>
              <w:rPr>
                <w:rFonts w:hint="eastAsia"/>
              </w:rPr>
              <w:t>金融业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2720AF5" w14:textId="77777777" w:rsidR="008F1EE2" w:rsidRDefault="008F1EE2" w:rsidP="005A3450">
            <w:pPr>
              <w:pStyle w:val="biaogeright"/>
              <w:wordWrap w:val="0"/>
            </w:pPr>
            <w:r>
              <w:rPr>
                <w:rFonts w:hint="eastAsia"/>
              </w:rPr>
              <w:t>10,527,023.00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C1B0FED" w14:textId="77777777" w:rsidR="008F1EE2" w:rsidRDefault="008F1EE2" w:rsidP="005A3450">
            <w:pPr>
              <w:pStyle w:val="biaogeright"/>
              <w:wordWrap w:val="0"/>
            </w:pPr>
            <w:r>
              <w:rPr>
                <w:rFonts w:hint="eastAsia"/>
              </w:rPr>
              <w:t>20.71</w:t>
            </w:r>
          </w:p>
        </w:tc>
      </w:tr>
      <w:tr w:rsidR="008F1EE2" w:rsidRPr="00D562B4" w14:paraId="4BBFD503" w14:textId="77777777" w:rsidTr="005A3450">
        <w:tc>
          <w:tcPr>
            <w:tcW w:w="0" w:type="auto"/>
            <w:tcBorders>
              <w:top w:val="single" w:sz="8" w:space="0" w:color="000000"/>
              <w:left w:val="single" w:sz="8" w:space="0" w:color="000000"/>
              <w:bottom w:val="single" w:sz="6" w:space="0" w:color="000000"/>
              <w:right w:val="single" w:sz="8" w:space="0" w:color="000000"/>
            </w:tcBorders>
            <w:vAlign w:val="center"/>
            <w:hideMark/>
          </w:tcPr>
          <w:p w14:paraId="36B4467F" w14:textId="77777777" w:rsidR="008F1EE2" w:rsidRDefault="008F1EE2" w:rsidP="005A3450">
            <w:pPr>
              <w:pStyle w:val="biaogecenter"/>
              <w:wordWrap w:val="0"/>
            </w:pPr>
            <w:r>
              <w:rPr>
                <w:rFonts w:hAnsi="Calibri" w:hint="eastAsia"/>
                <w:color w:val="000000"/>
              </w:rPr>
              <w:t>K</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D01537F" w14:textId="77777777" w:rsidR="008F1EE2" w:rsidRDefault="008F1EE2" w:rsidP="005A3450">
            <w:pPr>
              <w:pStyle w:val="biaogeleft"/>
              <w:wordWrap w:val="0"/>
            </w:pPr>
            <w:r>
              <w:rPr>
                <w:rFonts w:hint="eastAsia"/>
              </w:rPr>
              <w:t>房地产业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6ED1569" w14:textId="77777777" w:rsidR="008F1EE2" w:rsidRDefault="008F1EE2" w:rsidP="005A3450">
            <w:pPr>
              <w:pStyle w:val="biaogeright"/>
              <w:wordWrap w:val="0"/>
            </w:pPr>
            <w:r>
              <w:rPr>
                <w:rFonts w:hint="eastAsia"/>
              </w:rPr>
              <w:t>909,227.00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05B5B07" w14:textId="77777777" w:rsidR="008F1EE2" w:rsidRDefault="008F1EE2" w:rsidP="005A3450">
            <w:pPr>
              <w:pStyle w:val="biaogeright"/>
              <w:wordWrap w:val="0"/>
            </w:pPr>
            <w:r>
              <w:rPr>
                <w:rFonts w:hint="eastAsia"/>
              </w:rPr>
              <w:t>1.79</w:t>
            </w:r>
          </w:p>
        </w:tc>
      </w:tr>
      <w:tr w:rsidR="008F1EE2" w:rsidRPr="00D562B4" w14:paraId="6D8D5814" w14:textId="77777777" w:rsidTr="005A3450">
        <w:tc>
          <w:tcPr>
            <w:tcW w:w="0" w:type="auto"/>
            <w:tcBorders>
              <w:top w:val="single" w:sz="8" w:space="0" w:color="000000"/>
              <w:left w:val="single" w:sz="8" w:space="0" w:color="000000"/>
              <w:bottom w:val="single" w:sz="6" w:space="0" w:color="000000"/>
              <w:right w:val="single" w:sz="8" w:space="0" w:color="000000"/>
            </w:tcBorders>
            <w:vAlign w:val="center"/>
            <w:hideMark/>
          </w:tcPr>
          <w:p w14:paraId="195BBA25" w14:textId="77777777" w:rsidR="008F1EE2" w:rsidRDefault="008F1EE2" w:rsidP="005A3450">
            <w:pPr>
              <w:pStyle w:val="biaogecenter"/>
              <w:wordWrap w:val="0"/>
            </w:pPr>
            <w:r>
              <w:rPr>
                <w:rFonts w:hAnsi="Calibri" w:hint="eastAsia"/>
                <w:color w:val="000000"/>
              </w:rPr>
              <w:t>L</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F00EE70" w14:textId="77777777" w:rsidR="008F1EE2" w:rsidRDefault="008F1EE2" w:rsidP="005A3450">
            <w:pPr>
              <w:pStyle w:val="biaogeleft"/>
              <w:wordWrap w:val="0"/>
            </w:pPr>
            <w:r>
              <w:rPr>
                <w:rFonts w:hint="eastAsia"/>
              </w:rPr>
              <w:t>租赁和商务服务业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1C82617" w14:textId="77777777" w:rsidR="008F1EE2" w:rsidRDefault="008F1EE2" w:rsidP="005A3450">
            <w:pPr>
              <w:pStyle w:val="biaogeright"/>
              <w:wordWrap w:val="0"/>
            </w:pPr>
            <w:r>
              <w:rPr>
                <w:rFonts w:hint="eastAsia"/>
              </w:rPr>
              <w:t>420,145.00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66A0D4F" w14:textId="77777777" w:rsidR="008F1EE2" w:rsidRDefault="008F1EE2" w:rsidP="005A3450">
            <w:pPr>
              <w:pStyle w:val="biaogeright"/>
              <w:wordWrap w:val="0"/>
            </w:pPr>
            <w:r>
              <w:rPr>
                <w:rFonts w:hint="eastAsia"/>
              </w:rPr>
              <w:t>0.83</w:t>
            </w:r>
          </w:p>
        </w:tc>
      </w:tr>
      <w:tr w:rsidR="008F1EE2" w:rsidRPr="00D562B4" w14:paraId="06CD6CC5" w14:textId="77777777" w:rsidTr="005A3450">
        <w:tc>
          <w:tcPr>
            <w:tcW w:w="0" w:type="auto"/>
            <w:tcBorders>
              <w:top w:val="single" w:sz="8" w:space="0" w:color="000000"/>
              <w:left w:val="single" w:sz="8" w:space="0" w:color="000000"/>
              <w:bottom w:val="single" w:sz="6" w:space="0" w:color="000000"/>
              <w:right w:val="single" w:sz="8" w:space="0" w:color="000000"/>
            </w:tcBorders>
            <w:vAlign w:val="center"/>
            <w:hideMark/>
          </w:tcPr>
          <w:p w14:paraId="6278E2F0" w14:textId="77777777" w:rsidR="008F1EE2" w:rsidRDefault="008F1EE2" w:rsidP="005A3450">
            <w:pPr>
              <w:pStyle w:val="biaogecenter"/>
              <w:wordWrap w:val="0"/>
            </w:pPr>
            <w:r>
              <w:rPr>
                <w:rFonts w:hAnsi="Calibri" w:hint="eastAsia"/>
                <w:color w:val="000000"/>
              </w:rPr>
              <w:t>M</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2A6EBC6" w14:textId="77777777" w:rsidR="008F1EE2" w:rsidRDefault="008F1EE2" w:rsidP="005A3450">
            <w:pPr>
              <w:pStyle w:val="biaogeleft"/>
              <w:wordWrap w:val="0"/>
            </w:pPr>
            <w:r>
              <w:rPr>
                <w:rFonts w:hint="eastAsia"/>
              </w:rPr>
              <w:t>科学研究和技术服务业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8AFFBEB" w14:textId="77777777" w:rsidR="008F1EE2" w:rsidRDefault="008F1EE2" w:rsidP="005A3450">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2606347" w14:textId="77777777" w:rsidR="008F1EE2" w:rsidRDefault="008F1EE2" w:rsidP="005A3450">
            <w:pPr>
              <w:pStyle w:val="biaogeright"/>
              <w:wordWrap w:val="0"/>
            </w:pPr>
            <w:r>
              <w:rPr>
                <w:rFonts w:hint="eastAsia"/>
              </w:rPr>
              <w:t>-</w:t>
            </w:r>
          </w:p>
        </w:tc>
      </w:tr>
      <w:tr w:rsidR="008F1EE2" w:rsidRPr="00D562B4" w14:paraId="416275CE" w14:textId="77777777" w:rsidTr="005A3450">
        <w:tc>
          <w:tcPr>
            <w:tcW w:w="0" w:type="auto"/>
            <w:tcBorders>
              <w:top w:val="single" w:sz="8" w:space="0" w:color="000000"/>
              <w:left w:val="single" w:sz="8" w:space="0" w:color="000000"/>
              <w:bottom w:val="single" w:sz="6" w:space="0" w:color="000000"/>
              <w:right w:val="single" w:sz="8" w:space="0" w:color="000000"/>
            </w:tcBorders>
            <w:vAlign w:val="center"/>
            <w:hideMark/>
          </w:tcPr>
          <w:p w14:paraId="11D26A1B" w14:textId="77777777" w:rsidR="008F1EE2" w:rsidRDefault="008F1EE2" w:rsidP="005A3450">
            <w:pPr>
              <w:pStyle w:val="biaogecenter"/>
              <w:wordWrap w:val="0"/>
            </w:pPr>
            <w:r>
              <w:rPr>
                <w:rFonts w:hAnsi="Calibri" w:hint="eastAsia"/>
                <w:color w:val="000000"/>
              </w:rPr>
              <w:t>N</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03D4B8D" w14:textId="77777777" w:rsidR="008F1EE2" w:rsidRDefault="008F1EE2" w:rsidP="005A3450">
            <w:pPr>
              <w:pStyle w:val="biaogeleft"/>
              <w:wordWrap w:val="0"/>
            </w:pPr>
            <w:r>
              <w:rPr>
                <w:rFonts w:hint="eastAsia"/>
              </w:rPr>
              <w:t>水利、环境和公共设施管理业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A882D79" w14:textId="77777777" w:rsidR="008F1EE2" w:rsidRDefault="008F1EE2" w:rsidP="005A3450">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5455F36" w14:textId="77777777" w:rsidR="008F1EE2" w:rsidRDefault="008F1EE2" w:rsidP="005A3450">
            <w:pPr>
              <w:pStyle w:val="biaogeright"/>
              <w:wordWrap w:val="0"/>
            </w:pPr>
            <w:r>
              <w:rPr>
                <w:rFonts w:hint="eastAsia"/>
              </w:rPr>
              <w:t>-</w:t>
            </w:r>
          </w:p>
        </w:tc>
      </w:tr>
      <w:tr w:rsidR="008F1EE2" w:rsidRPr="00D562B4" w14:paraId="1504CF88" w14:textId="77777777" w:rsidTr="005A3450">
        <w:tc>
          <w:tcPr>
            <w:tcW w:w="0" w:type="auto"/>
            <w:tcBorders>
              <w:top w:val="single" w:sz="8" w:space="0" w:color="000000"/>
              <w:left w:val="single" w:sz="8" w:space="0" w:color="000000"/>
              <w:bottom w:val="single" w:sz="6" w:space="0" w:color="000000"/>
              <w:right w:val="single" w:sz="8" w:space="0" w:color="000000"/>
            </w:tcBorders>
            <w:vAlign w:val="center"/>
            <w:hideMark/>
          </w:tcPr>
          <w:p w14:paraId="794E3BD8" w14:textId="77777777" w:rsidR="008F1EE2" w:rsidRDefault="008F1EE2" w:rsidP="005A3450">
            <w:pPr>
              <w:pStyle w:val="biaogecenter"/>
              <w:wordWrap w:val="0"/>
            </w:pPr>
            <w:r>
              <w:rPr>
                <w:rFonts w:hAnsi="Calibri" w:hint="eastAsia"/>
                <w:color w:val="000000"/>
              </w:rPr>
              <w:t>O</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95ACFC5" w14:textId="77777777" w:rsidR="008F1EE2" w:rsidRDefault="008F1EE2" w:rsidP="005A3450">
            <w:pPr>
              <w:pStyle w:val="biaogeleft"/>
              <w:wordWrap w:val="0"/>
            </w:pPr>
            <w:r>
              <w:rPr>
                <w:rFonts w:hint="eastAsia"/>
              </w:rPr>
              <w:t>居民服务、修理和其他服务业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BE18D9C" w14:textId="77777777" w:rsidR="008F1EE2" w:rsidRDefault="008F1EE2" w:rsidP="005A3450">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70279BB" w14:textId="77777777" w:rsidR="008F1EE2" w:rsidRDefault="008F1EE2" w:rsidP="005A3450">
            <w:pPr>
              <w:pStyle w:val="biaogeright"/>
              <w:wordWrap w:val="0"/>
            </w:pPr>
            <w:r>
              <w:rPr>
                <w:rFonts w:hint="eastAsia"/>
              </w:rPr>
              <w:t>-</w:t>
            </w:r>
          </w:p>
        </w:tc>
      </w:tr>
      <w:tr w:rsidR="008F1EE2" w:rsidRPr="00D562B4" w14:paraId="65FA76BF" w14:textId="77777777" w:rsidTr="005A3450">
        <w:tc>
          <w:tcPr>
            <w:tcW w:w="0" w:type="auto"/>
            <w:tcBorders>
              <w:top w:val="single" w:sz="8" w:space="0" w:color="000000"/>
              <w:left w:val="single" w:sz="8" w:space="0" w:color="000000"/>
              <w:bottom w:val="single" w:sz="6" w:space="0" w:color="000000"/>
              <w:right w:val="single" w:sz="8" w:space="0" w:color="000000"/>
            </w:tcBorders>
            <w:vAlign w:val="center"/>
            <w:hideMark/>
          </w:tcPr>
          <w:p w14:paraId="749A4AA7" w14:textId="77777777" w:rsidR="008F1EE2" w:rsidRDefault="008F1EE2" w:rsidP="005A3450">
            <w:pPr>
              <w:pStyle w:val="biaogecenter"/>
              <w:wordWrap w:val="0"/>
            </w:pPr>
            <w:r>
              <w:rPr>
                <w:rFonts w:hAnsi="Calibri" w:hint="eastAsia"/>
                <w:color w:val="000000"/>
              </w:rPr>
              <w:t>P</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E2ED5FD" w14:textId="77777777" w:rsidR="008F1EE2" w:rsidRDefault="008F1EE2" w:rsidP="005A3450">
            <w:pPr>
              <w:pStyle w:val="biaogeleft"/>
              <w:wordWrap w:val="0"/>
            </w:pPr>
            <w:r>
              <w:rPr>
                <w:rFonts w:hint="eastAsia"/>
              </w:rPr>
              <w:t>教育</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5D42559" w14:textId="77777777" w:rsidR="008F1EE2" w:rsidRDefault="008F1EE2" w:rsidP="005A3450">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6A9AA62" w14:textId="77777777" w:rsidR="008F1EE2" w:rsidRDefault="008F1EE2" w:rsidP="005A3450">
            <w:pPr>
              <w:pStyle w:val="biaogeright"/>
              <w:wordWrap w:val="0"/>
            </w:pPr>
            <w:r>
              <w:rPr>
                <w:rFonts w:hint="eastAsia"/>
              </w:rPr>
              <w:t>-</w:t>
            </w:r>
          </w:p>
        </w:tc>
      </w:tr>
      <w:tr w:rsidR="008F1EE2" w:rsidRPr="00D562B4" w14:paraId="0ACCAFEA" w14:textId="77777777" w:rsidTr="005A3450">
        <w:tc>
          <w:tcPr>
            <w:tcW w:w="0" w:type="auto"/>
            <w:tcBorders>
              <w:top w:val="single" w:sz="8" w:space="0" w:color="000000"/>
              <w:left w:val="single" w:sz="8" w:space="0" w:color="000000"/>
              <w:bottom w:val="single" w:sz="6" w:space="0" w:color="000000"/>
              <w:right w:val="single" w:sz="8" w:space="0" w:color="000000"/>
            </w:tcBorders>
            <w:vAlign w:val="center"/>
            <w:hideMark/>
          </w:tcPr>
          <w:p w14:paraId="54AA750C" w14:textId="77777777" w:rsidR="008F1EE2" w:rsidRDefault="008F1EE2" w:rsidP="005A3450">
            <w:pPr>
              <w:pStyle w:val="biaogecenter"/>
              <w:wordWrap w:val="0"/>
            </w:pPr>
            <w:r>
              <w:rPr>
                <w:rFonts w:hAnsi="Calibri" w:hint="eastAsia"/>
                <w:color w:val="000000"/>
              </w:rPr>
              <w:t>Q</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A592A46" w14:textId="77777777" w:rsidR="008F1EE2" w:rsidRDefault="008F1EE2" w:rsidP="005A3450">
            <w:pPr>
              <w:pStyle w:val="biaogeleft"/>
              <w:wordWrap w:val="0"/>
            </w:pPr>
            <w:r>
              <w:rPr>
                <w:rFonts w:hint="eastAsia"/>
              </w:rPr>
              <w:t>卫生和社会工作</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9B77BE6" w14:textId="77777777" w:rsidR="008F1EE2" w:rsidRDefault="008F1EE2" w:rsidP="005A3450">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F18F06F" w14:textId="77777777" w:rsidR="008F1EE2" w:rsidRDefault="008F1EE2" w:rsidP="005A3450">
            <w:pPr>
              <w:pStyle w:val="biaogeright"/>
              <w:wordWrap w:val="0"/>
            </w:pPr>
            <w:r>
              <w:rPr>
                <w:rFonts w:hint="eastAsia"/>
              </w:rPr>
              <w:t>-</w:t>
            </w:r>
          </w:p>
        </w:tc>
      </w:tr>
      <w:tr w:rsidR="008F1EE2" w:rsidRPr="00D562B4" w14:paraId="7DCB4148" w14:textId="77777777" w:rsidTr="005A3450">
        <w:tc>
          <w:tcPr>
            <w:tcW w:w="0" w:type="auto"/>
            <w:tcBorders>
              <w:top w:val="single" w:sz="8" w:space="0" w:color="000000"/>
              <w:left w:val="single" w:sz="8" w:space="0" w:color="000000"/>
              <w:bottom w:val="single" w:sz="6" w:space="0" w:color="000000"/>
              <w:right w:val="single" w:sz="8" w:space="0" w:color="000000"/>
            </w:tcBorders>
            <w:vAlign w:val="center"/>
            <w:hideMark/>
          </w:tcPr>
          <w:p w14:paraId="69855276" w14:textId="77777777" w:rsidR="008F1EE2" w:rsidRDefault="008F1EE2" w:rsidP="005A3450">
            <w:pPr>
              <w:pStyle w:val="biaogecenter"/>
              <w:wordWrap w:val="0"/>
            </w:pPr>
            <w:r>
              <w:rPr>
                <w:rFonts w:hAnsi="Calibri" w:hint="eastAsia"/>
                <w:color w:val="000000"/>
              </w:rPr>
              <w:t>R</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AB96A62" w14:textId="77777777" w:rsidR="008F1EE2" w:rsidRDefault="008F1EE2" w:rsidP="005A3450">
            <w:pPr>
              <w:pStyle w:val="biaogeleft"/>
              <w:wordWrap w:val="0"/>
            </w:pPr>
            <w:r>
              <w:rPr>
                <w:rFonts w:hint="eastAsia"/>
              </w:rPr>
              <w:t>文化、体育和娱乐业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633128E" w14:textId="77777777" w:rsidR="008F1EE2" w:rsidRDefault="008F1EE2" w:rsidP="005A3450">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05BD370" w14:textId="77777777" w:rsidR="008F1EE2" w:rsidRDefault="008F1EE2" w:rsidP="005A3450">
            <w:pPr>
              <w:pStyle w:val="biaogeright"/>
              <w:wordWrap w:val="0"/>
            </w:pPr>
            <w:r>
              <w:rPr>
                <w:rFonts w:hint="eastAsia"/>
              </w:rPr>
              <w:t>-</w:t>
            </w:r>
          </w:p>
        </w:tc>
      </w:tr>
      <w:tr w:rsidR="008F1EE2" w:rsidRPr="00D562B4" w14:paraId="2FA5D52B" w14:textId="77777777" w:rsidTr="005A3450">
        <w:tc>
          <w:tcPr>
            <w:tcW w:w="0" w:type="auto"/>
            <w:tcBorders>
              <w:top w:val="single" w:sz="8" w:space="0" w:color="000000"/>
              <w:left w:val="single" w:sz="8" w:space="0" w:color="000000"/>
              <w:bottom w:val="single" w:sz="6" w:space="0" w:color="000000"/>
              <w:right w:val="single" w:sz="8" w:space="0" w:color="000000"/>
            </w:tcBorders>
            <w:vAlign w:val="center"/>
            <w:hideMark/>
          </w:tcPr>
          <w:p w14:paraId="79945FF0" w14:textId="77777777" w:rsidR="008F1EE2" w:rsidRDefault="008F1EE2" w:rsidP="005A3450">
            <w:pPr>
              <w:pStyle w:val="biaogecenter"/>
              <w:wordWrap w:val="0"/>
            </w:pPr>
            <w:r>
              <w:rPr>
                <w:rFonts w:hAnsi="Calibri" w:hint="eastAsia"/>
                <w:color w:val="000000"/>
              </w:rPr>
              <w:t>S</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C3172E6" w14:textId="77777777" w:rsidR="008F1EE2" w:rsidRDefault="008F1EE2" w:rsidP="005A3450">
            <w:pPr>
              <w:pStyle w:val="biaogeleft"/>
              <w:wordWrap w:val="0"/>
            </w:pPr>
            <w:r>
              <w:rPr>
                <w:rFonts w:hint="eastAsia"/>
              </w:rPr>
              <w:t>综合</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011AD02" w14:textId="77777777" w:rsidR="008F1EE2" w:rsidRDefault="008F1EE2" w:rsidP="005A3450">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126FC31" w14:textId="77777777" w:rsidR="008F1EE2" w:rsidRDefault="008F1EE2" w:rsidP="005A3450">
            <w:pPr>
              <w:pStyle w:val="biaogeright"/>
              <w:wordWrap w:val="0"/>
            </w:pPr>
            <w:r>
              <w:rPr>
                <w:rFonts w:hint="eastAsia"/>
              </w:rPr>
              <w:t>-</w:t>
            </w:r>
          </w:p>
        </w:tc>
      </w:tr>
      <w:tr w:rsidR="008F1EE2" w:rsidRPr="00D562B4" w14:paraId="07F70675" w14:textId="77777777" w:rsidTr="005A3450">
        <w:tc>
          <w:tcPr>
            <w:tcW w:w="0" w:type="auto"/>
            <w:tcBorders>
              <w:top w:val="single" w:sz="8" w:space="0" w:color="000000"/>
              <w:left w:val="single" w:sz="8" w:space="0" w:color="000000"/>
              <w:bottom w:val="single" w:sz="6" w:space="0" w:color="000000"/>
              <w:right w:val="single" w:sz="8" w:space="0" w:color="000000"/>
            </w:tcBorders>
            <w:vAlign w:val="center"/>
            <w:hideMark/>
          </w:tcPr>
          <w:p w14:paraId="07EFA5A5" w14:textId="77777777" w:rsidR="008F1EE2" w:rsidRDefault="008F1EE2" w:rsidP="005A3450">
            <w:pPr>
              <w:rPr>
                <w:rFonts w:ascii="宋体" w:hAnsi="宋体" w:cs="宋体"/>
                <w:kern w:val="0"/>
                <w:sz w:val="24"/>
                <w:szCs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FB26850" w14:textId="77777777" w:rsidR="008F1EE2" w:rsidRDefault="008F1EE2" w:rsidP="005A3450">
            <w:pPr>
              <w:pStyle w:val="biaogeleft"/>
              <w:wordWrap w:val="0"/>
            </w:pPr>
            <w:r>
              <w:rPr>
                <w:rFonts w:hint="eastAsia"/>
              </w:rPr>
              <w:t>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A586F79" w14:textId="77777777" w:rsidR="008F1EE2" w:rsidRDefault="008F1EE2" w:rsidP="005A3450">
            <w:pPr>
              <w:pStyle w:val="biaogeright"/>
              <w:wordWrap w:val="0"/>
            </w:pPr>
            <w:r>
              <w:rPr>
                <w:rFonts w:hint="eastAsia"/>
              </w:rPr>
              <w:t>21,471,243.00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DB94774" w14:textId="77777777" w:rsidR="008F1EE2" w:rsidRDefault="008F1EE2" w:rsidP="005A3450">
            <w:pPr>
              <w:pStyle w:val="biaogeright"/>
              <w:wordWrap w:val="0"/>
            </w:pPr>
            <w:r>
              <w:rPr>
                <w:rFonts w:hint="eastAsia"/>
              </w:rPr>
              <w:t>42.24</w:t>
            </w:r>
          </w:p>
        </w:tc>
      </w:tr>
    </w:tbl>
    <w:p w14:paraId="0F4871B7" w14:textId="77777777" w:rsidR="00220CDC" w:rsidRDefault="00220CDC" w:rsidP="00220CDC">
      <w:pPr>
        <w:spacing w:line="360" w:lineRule="auto"/>
      </w:pPr>
    </w:p>
    <w:p w14:paraId="693F4515" w14:textId="77777777" w:rsidR="00220CDC" w:rsidRDefault="00220CDC" w:rsidP="00220CDC">
      <w:pPr>
        <w:spacing w:line="360" w:lineRule="auto"/>
        <w:rPr>
          <w:rFonts w:ascii="宋体" w:hAnsi="宋体" w:cs="Arial"/>
          <w:bCs/>
          <w:sz w:val="24"/>
        </w:rPr>
      </w:pPr>
      <w:r>
        <w:rPr>
          <w:rFonts w:ascii="宋体" w:hAnsi="宋体" w:cs="Arial" w:hint="eastAsia"/>
          <w:bCs/>
          <w:sz w:val="24"/>
        </w:rPr>
        <w:t>（2）报告期末按行业分类的港股通投资股票投资组合</w:t>
      </w:r>
    </w:p>
    <w:p w14:paraId="3B4A1B09" w14:textId="77777777" w:rsidR="00220CDC" w:rsidRDefault="00220CDC" w:rsidP="00220CDC">
      <w:pPr>
        <w:spacing w:line="360" w:lineRule="auto"/>
        <w:ind w:firstLineChars="300" w:firstLine="720"/>
        <w:rPr>
          <w:rFonts w:ascii="宋体" w:hAnsi="宋体" w:cs="Arial"/>
          <w:bCs/>
          <w:sz w:val="24"/>
        </w:rPr>
      </w:pPr>
      <w:r>
        <w:rPr>
          <w:rFonts w:ascii="宋体" w:hAnsi="宋体" w:cs="Arial" w:hint="eastAsia"/>
          <w:bCs/>
          <w:sz w:val="24"/>
        </w:rPr>
        <w:t>本基金本报告期末未持有港股通股票。</w:t>
      </w:r>
    </w:p>
    <w:p w14:paraId="24FBEB08" w14:textId="77777777" w:rsidR="00220CDC" w:rsidRDefault="00220CDC" w:rsidP="00220CDC">
      <w:pPr>
        <w:pStyle w:val="neirong"/>
        <w:ind w:firstLineChars="200" w:firstLine="480"/>
        <w:rPr>
          <w:rFonts w:cs="Arial"/>
          <w:bCs/>
        </w:rPr>
      </w:pPr>
      <w:r>
        <w:rPr>
          <w:rFonts w:cs="Arial" w:hint="eastAsia"/>
          <w:bCs/>
        </w:rPr>
        <w:lastRenderedPageBreak/>
        <w:t>3、报告期末按公允价值占基金资产净值比例大小排序的前十名股票投资明细</w:t>
      </w:r>
    </w:p>
    <w:tbl>
      <w:tblPr>
        <w:tblW w:w="9498" w:type="dxa"/>
        <w:tblInd w:w="108" w:type="dxa"/>
        <w:tblLook w:val="04A0" w:firstRow="1" w:lastRow="0" w:firstColumn="1" w:lastColumn="0" w:noHBand="0" w:noVBand="1"/>
      </w:tblPr>
      <w:tblGrid>
        <w:gridCol w:w="851"/>
        <w:gridCol w:w="1252"/>
        <w:gridCol w:w="1299"/>
        <w:gridCol w:w="1418"/>
        <w:gridCol w:w="1903"/>
        <w:gridCol w:w="2775"/>
      </w:tblGrid>
      <w:tr w:rsidR="008F1EE2" w:rsidRPr="00D562B4" w14:paraId="6907C8C1" w14:textId="77777777" w:rsidTr="005A3450">
        <w:tc>
          <w:tcPr>
            <w:tcW w:w="851" w:type="dxa"/>
            <w:tcBorders>
              <w:top w:val="single" w:sz="8" w:space="0" w:color="000000"/>
              <w:left w:val="single" w:sz="8" w:space="0" w:color="000000"/>
              <w:bottom w:val="single" w:sz="6" w:space="0" w:color="000000"/>
              <w:right w:val="single" w:sz="8" w:space="0" w:color="000000"/>
            </w:tcBorders>
            <w:vAlign w:val="center"/>
            <w:hideMark/>
          </w:tcPr>
          <w:p w14:paraId="6F7465AC" w14:textId="77777777" w:rsidR="008F1EE2" w:rsidRDefault="008F1EE2" w:rsidP="005A3450">
            <w:pPr>
              <w:pStyle w:val="biaogecenter"/>
              <w:wordWrap w:val="0"/>
            </w:pPr>
            <w:r>
              <w:rPr>
                <w:rFonts w:hAnsi="Calibri" w:hint="eastAsia"/>
                <w:color w:val="000000"/>
              </w:rPr>
              <w:t>序号</w:t>
            </w:r>
          </w:p>
        </w:tc>
        <w:tc>
          <w:tcPr>
            <w:tcW w:w="1252" w:type="dxa"/>
            <w:tcBorders>
              <w:top w:val="single" w:sz="8" w:space="0" w:color="000000"/>
              <w:left w:val="single" w:sz="8" w:space="0" w:color="000000"/>
              <w:bottom w:val="single" w:sz="6" w:space="0" w:color="000000"/>
              <w:right w:val="single" w:sz="8" w:space="0" w:color="000000"/>
            </w:tcBorders>
            <w:vAlign w:val="center"/>
            <w:hideMark/>
          </w:tcPr>
          <w:p w14:paraId="5F6D7A88" w14:textId="77777777" w:rsidR="008F1EE2" w:rsidRDefault="008F1EE2" w:rsidP="005A3450">
            <w:pPr>
              <w:pStyle w:val="biaogecenter"/>
              <w:wordWrap w:val="0"/>
            </w:pPr>
            <w:r>
              <w:rPr>
                <w:rFonts w:hAnsi="Calibri" w:hint="eastAsia"/>
                <w:color w:val="000000"/>
              </w:rPr>
              <w:t>股票代码</w:t>
            </w:r>
          </w:p>
        </w:tc>
        <w:tc>
          <w:tcPr>
            <w:tcW w:w="1299" w:type="dxa"/>
            <w:tcBorders>
              <w:top w:val="single" w:sz="8" w:space="0" w:color="000000"/>
              <w:left w:val="single" w:sz="8" w:space="0" w:color="000000"/>
              <w:bottom w:val="single" w:sz="6" w:space="0" w:color="000000"/>
              <w:right w:val="single" w:sz="8" w:space="0" w:color="000000"/>
            </w:tcBorders>
            <w:vAlign w:val="center"/>
            <w:hideMark/>
          </w:tcPr>
          <w:p w14:paraId="0602A7C6" w14:textId="77777777" w:rsidR="008F1EE2" w:rsidRDefault="008F1EE2" w:rsidP="005A3450">
            <w:pPr>
              <w:pStyle w:val="biaogecenter"/>
              <w:wordWrap w:val="0"/>
            </w:pPr>
            <w:r>
              <w:rPr>
                <w:rFonts w:hAnsi="Calibri" w:hint="eastAsia"/>
                <w:color w:val="000000"/>
              </w:rPr>
              <w:t>股票名称</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2EEB0DC7" w14:textId="77777777" w:rsidR="008F1EE2" w:rsidRDefault="008F1EE2" w:rsidP="005A3450">
            <w:pPr>
              <w:pStyle w:val="biaogecenter"/>
              <w:wordWrap w:val="0"/>
            </w:pPr>
            <w:r>
              <w:rPr>
                <w:rFonts w:hAnsi="Calibri" w:hint="eastAsia"/>
                <w:color w:val="000000"/>
              </w:rPr>
              <w:t>数量(股)</w:t>
            </w:r>
          </w:p>
        </w:tc>
        <w:tc>
          <w:tcPr>
            <w:tcW w:w="1903" w:type="dxa"/>
            <w:tcBorders>
              <w:top w:val="single" w:sz="8" w:space="0" w:color="000000"/>
              <w:left w:val="single" w:sz="8" w:space="0" w:color="000000"/>
              <w:bottom w:val="single" w:sz="6" w:space="0" w:color="000000"/>
              <w:right w:val="single" w:sz="8" w:space="0" w:color="000000"/>
            </w:tcBorders>
            <w:vAlign w:val="center"/>
            <w:hideMark/>
          </w:tcPr>
          <w:p w14:paraId="0A7C63A3" w14:textId="77777777" w:rsidR="008F1EE2" w:rsidRDefault="008F1EE2" w:rsidP="005A3450">
            <w:pPr>
              <w:pStyle w:val="biaogecenter"/>
              <w:wordWrap w:val="0"/>
            </w:pPr>
            <w:r>
              <w:rPr>
                <w:rFonts w:hAnsi="Calibri" w:hint="eastAsia"/>
                <w:color w:val="000000"/>
              </w:rPr>
              <w:t>公允价值(元)</w:t>
            </w:r>
          </w:p>
        </w:tc>
        <w:tc>
          <w:tcPr>
            <w:tcW w:w="2775" w:type="dxa"/>
            <w:tcBorders>
              <w:top w:val="single" w:sz="8" w:space="0" w:color="000000"/>
              <w:left w:val="single" w:sz="8" w:space="0" w:color="000000"/>
              <w:bottom w:val="single" w:sz="6" w:space="0" w:color="000000"/>
              <w:right w:val="single" w:sz="8" w:space="0" w:color="000000"/>
            </w:tcBorders>
            <w:vAlign w:val="center"/>
            <w:hideMark/>
          </w:tcPr>
          <w:p w14:paraId="61071D9C" w14:textId="77777777" w:rsidR="008F1EE2" w:rsidRDefault="008F1EE2" w:rsidP="005A3450">
            <w:pPr>
              <w:pStyle w:val="biaogecenter"/>
              <w:wordWrap w:val="0"/>
            </w:pPr>
            <w:r>
              <w:rPr>
                <w:rFonts w:hAnsi="Calibri" w:hint="eastAsia"/>
                <w:color w:val="000000"/>
              </w:rPr>
              <w:t>占基金资产净值比例(%)</w:t>
            </w:r>
          </w:p>
        </w:tc>
      </w:tr>
      <w:tr w:rsidR="008F1EE2" w:rsidRPr="00D562B4" w14:paraId="1FB1ECC5" w14:textId="77777777" w:rsidTr="005A3450">
        <w:tc>
          <w:tcPr>
            <w:tcW w:w="851" w:type="dxa"/>
            <w:tcBorders>
              <w:top w:val="single" w:sz="8" w:space="0" w:color="000000"/>
              <w:left w:val="single" w:sz="8" w:space="0" w:color="000000"/>
              <w:bottom w:val="single" w:sz="6" w:space="0" w:color="000000"/>
              <w:right w:val="single" w:sz="8" w:space="0" w:color="000000"/>
            </w:tcBorders>
            <w:vAlign w:val="center"/>
            <w:hideMark/>
          </w:tcPr>
          <w:p w14:paraId="6AAD8135" w14:textId="77777777" w:rsidR="008F1EE2" w:rsidRDefault="008F1EE2" w:rsidP="005A3450">
            <w:pPr>
              <w:pStyle w:val="biaogecenter"/>
              <w:wordWrap w:val="0"/>
            </w:pPr>
            <w:r>
              <w:rPr>
                <w:rFonts w:hAnsi="Calibri" w:hint="eastAsia"/>
                <w:color w:val="000000"/>
              </w:rPr>
              <w:t>1</w:t>
            </w:r>
          </w:p>
        </w:tc>
        <w:tc>
          <w:tcPr>
            <w:tcW w:w="1252" w:type="dxa"/>
            <w:tcBorders>
              <w:top w:val="single" w:sz="8" w:space="0" w:color="000000"/>
              <w:left w:val="single" w:sz="8" w:space="0" w:color="000000"/>
              <w:bottom w:val="single" w:sz="6" w:space="0" w:color="000000"/>
              <w:right w:val="single" w:sz="8" w:space="0" w:color="000000"/>
            </w:tcBorders>
            <w:vAlign w:val="center"/>
            <w:hideMark/>
          </w:tcPr>
          <w:p w14:paraId="1D42BA14" w14:textId="77777777" w:rsidR="008F1EE2" w:rsidRDefault="008F1EE2" w:rsidP="005A3450">
            <w:pPr>
              <w:pStyle w:val="biaogeleft"/>
              <w:wordWrap w:val="0"/>
            </w:pPr>
            <w:r>
              <w:rPr>
                <w:rFonts w:hAnsi="Calibri" w:hint="eastAsia"/>
                <w:color w:val="000000"/>
              </w:rPr>
              <w:t>601628</w:t>
            </w:r>
          </w:p>
        </w:tc>
        <w:tc>
          <w:tcPr>
            <w:tcW w:w="1299" w:type="dxa"/>
            <w:tcBorders>
              <w:top w:val="single" w:sz="8" w:space="0" w:color="000000"/>
              <w:left w:val="single" w:sz="8" w:space="0" w:color="000000"/>
              <w:bottom w:val="single" w:sz="6" w:space="0" w:color="000000"/>
              <w:right w:val="single" w:sz="8" w:space="0" w:color="000000"/>
            </w:tcBorders>
            <w:vAlign w:val="center"/>
            <w:hideMark/>
          </w:tcPr>
          <w:p w14:paraId="23E9535B" w14:textId="77777777" w:rsidR="008F1EE2" w:rsidRDefault="008F1EE2" w:rsidP="005A3450">
            <w:pPr>
              <w:pStyle w:val="biaogeleft"/>
              <w:wordWrap w:val="0"/>
            </w:pPr>
            <w:r>
              <w:rPr>
                <w:rFonts w:hAnsi="Calibri" w:hint="eastAsia"/>
                <w:color w:val="000000"/>
              </w:rPr>
              <w:t>中国人寿</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492F857A" w14:textId="77777777" w:rsidR="008F1EE2" w:rsidRDefault="008F1EE2" w:rsidP="005A3450">
            <w:pPr>
              <w:pStyle w:val="biaogeright"/>
              <w:wordWrap w:val="0"/>
            </w:pPr>
            <w:r>
              <w:rPr>
                <w:rFonts w:hAnsi="Calibri" w:hint="eastAsia"/>
                <w:color w:val="000000"/>
              </w:rPr>
              <w:t>50,300</w:t>
            </w:r>
          </w:p>
        </w:tc>
        <w:tc>
          <w:tcPr>
            <w:tcW w:w="1903" w:type="dxa"/>
            <w:tcBorders>
              <w:top w:val="single" w:sz="8" w:space="0" w:color="000000"/>
              <w:left w:val="single" w:sz="8" w:space="0" w:color="000000"/>
              <w:bottom w:val="single" w:sz="6" w:space="0" w:color="000000"/>
              <w:right w:val="single" w:sz="8" w:space="0" w:color="000000"/>
            </w:tcBorders>
            <w:vAlign w:val="center"/>
            <w:hideMark/>
          </w:tcPr>
          <w:p w14:paraId="3F2074BC" w14:textId="77777777" w:rsidR="008F1EE2" w:rsidRDefault="008F1EE2" w:rsidP="005A3450">
            <w:pPr>
              <w:pStyle w:val="biaogeright"/>
              <w:wordWrap w:val="0"/>
            </w:pPr>
            <w:r>
              <w:rPr>
                <w:rFonts w:hAnsi="Calibri" w:hint="eastAsia"/>
                <w:color w:val="000000"/>
              </w:rPr>
              <w:t>1,424,496.00</w:t>
            </w:r>
          </w:p>
        </w:tc>
        <w:tc>
          <w:tcPr>
            <w:tcW w:w="2775" w:type="dxa"/>
            <w:tcBorders>
              <w:top w:val="single" w:sz="8" w:space="0" w:color="000000"/>
              <w:left w:val="single" w:sz="8" w:space="0" w:color="000000"/>
              <w:bottom w:val="single" w:sz="6" w:space="0" w:color="000000"/>
              <w:right w:val="single" w:sz="8" w:space="0" w:color="000000"/>
            </w:tcBorders>
            <w:vAlign w:val="center"/>
            <w:hideMark/>
          </w:tcPr>
          <w:p w14:paraId="5B2B1AD9" w14:textId="77777777" w:rsidR="008F1EE2" w:rsidRDefault="008F1EE2" w:rsidP="005A3450">
            <w:pPr>
              <w:pStyle w:val="biaogeright"/>
              <w:wordWrap w:val="0"/>
            </w:pPr>
            <w:r>
              <w:rPr>
                <w:rFonts w:hAnsi="Calibri" w:hint="eastAsia"/>
                <w:color w:val="000000"/>
              </w:rPr>
              <w:t>2.80</w:t>
            </w:r>
          </w:p>
        </w:tc>
      </w:tr>
      <w:tr w:rsidR="008F1EE2" w:rsidRPr="00D562B4" w14:paraId="28E1ADAE" w14:textId="77777777" w:rsidTr="005A3450">
        <w:tc>
          <w:tcPr>
            <w:tcW w:w="851" w:type="dxa"/>
            <w:tcBorders>
              <w:top w:val="single" w:sz="8" w:space="0" w:color="000000"/>
              <w:left w:val="single" w:sz="8" w:space="0" w:color="000000"/>
              <w:bottom w:val="single" w:sz="6" w:space="0" w:color="000000"/>
              <w:right w:val="single" w:sz="8" w:space="0" w:color="000000"/>
            </w:tcBorders>
            <w:vAlign w:val="center"/>
            <w:hideMark/>
          </w:tcPr>
          <w:p w14:paraId="07D517AA" w14:textId="77777777" w:rsidR="008F1EE2" w:rsidRDefault="008F1EE2" w:rsidP="005A3450">
            <w:pPr>
              <w:pStyle w:val="biaogecenter"/>
              <w:wordWrap w:val="0"/>
            </w:pPr>
            <w:r>
              <w:rPr>
                <w:rFonts w:hAnsi="Calibri" w:hint="eastAsia"/>
                <w:color w:val="000000"/>
              </w:rPr>
              <w:t>2</w:t>
            </w:r>
          </w:p>
        </w:tc>
        <w:tc>
          <w:tcPr>
            <w:tcW w:w="1252" w:type="dxa"/>
            <w:tcBorders>
              <w:top w:val="single" w:sz="8" w:space="0" w:color="000000"/>
              <w:left w:val="single" w:sz="8" w:space="0" w:color="000000"/>
              <w:bottom w:val="single" w:sz="6" w:space="0" w:color="000000"/>
              <w:right w:val="single" w:sz="8" w:space="0" w:color="000000"/>
            </w:tcBorders>
            <w:vAlign w:val="center"/>
            <w:hideMark/>
          </w:tcPr>
          <w:p w14:paraId="14F97CEC" w14:textId="77777777" w:rsidR="008F1EE2" w:rsidRDefault="008F1EE2" w:rsidP="005A3450">
            <w:pPr>
              <w:pStyle w:val="biaogeleft"/>
              <w:wordWrap w:val="0"/>
            </w:pPr>
            <w:r>
              <w:rPr>
                <w:rFonts w:hAnsi="Calibri" w:hint="eastAsia"/>
                <w:color w:val="000000"/>
              </w:rPr>
              <w:t>600036</w:t>
            </w:r>
          </w:p>
        </w:tc>
        <w:tc>
          <w:tcPr>
            <w:tcW w:w="1299" w:type="dxa"/>
            <w:tcBorders>
              <w:top w:val="single" w:sz="8" w:space="0" w:color="000000"/>
              <w:left w:val="single" w:sz="8" w:space="0" w:color="000000"/>
              <w:bottom w:val="single" w:sz="6" w:space="0" w:color="000000"/>
              <w:right w:val="single" w:sz="8" w:space="0" w:color="000000"/>
            </w:tcBorders>
            <w:vAlign w:val="center"/>
            <w:hideMark/>
          </w:tcPr>
          <w:p w14:paraId="423A2AFF" w14:textId="77777777" w:rsidR="008F1EE2" w:rsidRDefault="008F1EE2" w:rsidP="005A3450">
            <w:pPr>
              <w:pStyle w:val="biaogeleft"/>
              <w:wordWrap w:val="0"/>
            </w:pPr>
            <w:r>
              <w:rPr>
                <w:rFonts w:hAnsi="Calibri" w:hint="eastAsia"/>
                <w:color w:val="000000"/>
              </w:rPr>
              <w:t>招商银行</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4C905A7E" w14:textId="77777777" w:rsidR="008F1EE2" w:rsidRDefault="008F1EE2" w:rsidP="005A3450">
            <w:pPr>
              <w:pStyle w:val="biaogeright"/>
              <w:wordWrap w:val="0"/>
            </w:pPr>
            <w:r>
              <w:rPr>
                <w:rFonts w:hAnsi="Calibri" w:hint="eastAsia"/>
                <w:color w:val="000000"/>
              </w:rPr>
              <w:t>38,700</w:t>
            </w:r>
          </w:p>
        </w:tc>
        <w:tc>
          <w:tcPr>
            <w:tcW w:w="1903" w:type="dxa"/>
            <w:tcBorders>
              <w:top w:val="single" w:sz="8" w:space="0" w:color="000000"/>
              <w:left w:val="single" w:sz="8" w:space="0" w:color="000000"/>
              <w:bottom w:val="single" w:sz="6" w:space="0" w:color="000000"/>
              <w:right w:val="single" w:sz="8" w:space="0" w:color="000000"/>
            </w:tcBorders>
            <w:vAlign w:val="center"/>
            <w:hideMark/>
          </w:tcPr>
          <w:p w14:paraId="58EC7627" w14:textId="77777777" w:rsidR="008F1EE2" w:rsidRDefault="008F1EE2" w:rsidP="005A3450">
            <w:pPr>
              <w:pStyle w:val="biaogeright"/>
              <w:wordWrap w:val="0"/>
            </w:pPr>
            <w:r>
              <w:rPr>
                <w:rFonts w:hAnsi="Calibri" w:hint="eastAsia"/>
                <w:color w:val="000000"/>
              </w:rPr>
              <w:t>1,392,426.00</w:t>
            </w:r>
          </w:p>
        </w:tc>
        <w:tc>
          <w:tcPr>
            <w:tcW w:w="2775" w:type="dxa"/>
            <w:tcBorders>
              <w:top w:val="single" w:sz="8" w:space="0" w:color="000000"/>
              <w:left w:val="single" w:sz="8" w:space="0" w:color="000000"/>
              <w:bottom w:val="single" w:sz="6" w:space="0" w:color="000000"/>
              <w:right w:val="single" w:sz="8" w:space="0" w:color="000000"/>
            </w:tcBorders>
            <w:vAlign w:val="center"/>
            <w:hideMark/>
          </w:tcPr>
          <w:p w14:paraId="027DA2F8" w14:textId="77777777" w:rsidR="008F1EE2" w:rsidRDefault="008F1EE2" w:rsidP="005A3450">
            <w:pPr>
              <w:pStyle w:val="biaogeright"/>
              <w:wordWrap w:val="0"/>
            </w:pPr>
            <w:r>
              <w:rPr>
                <w:rFonts w:hAnsi="Calibri" w:hint="eastAsia"/>
                <w:color w:val="000000"/>
              </w:rPr>
              <w:t>2.74</w:t>
            </w:r>
          </w:p>
        </w:tc>
      </w:tr>
      <w:tr w:rsidR="008F1EE2" w:rsidRPr="00D562B4" w14:paraId="023430BF" w14:textId="77777777" w:rsidTr="005A3450">
        <w:tc>
          <w:tcPr>
            <w:tcW w:w="851" w:type="dxa"/>
            <w:tcBorders>
              <w:top w:val="single" w:sz="8" w:space="0" w:color="000000"/>
              <w:left w:val="single" w:sz="8" w:space="0" w:color="000000"/>
              <w:bottom w:val="single" w:sz="6" w:space="0" w:color="000000"/>
              <w:right w:val="single" w:sz="8" w:space="0" w:color="000000"/>
            </w:tcBorders>
            <w:vAlign w:val="center"/>
            <w:hideMark/>
          </w:tcPr>
          <w:p w14:paraId="74D0BEC8" w14:textId="77777777" w:rsidR="008F1EE2" w:rsidRDefault="008F1EE2" w:rsidP="005A3450">
            <w:pPr>
              <w:pStyle w:val="biaogecenter"/>
              <w:wordWrap w:val="0"/>
            </w:pPr>
            <w:r>
              <w:rPr>
                <w:rFonts w:hAnsi="Calibri" w:hint="eastAsia"/>
                <w:color w:val="000000"/>
              </w:rPr>
              <w:t>3</w:t>
            </w:r>
          </w:p>
        </w:tc>
        <w:tc>
          <w:tcPr>
            <w:tcW w:w="1252" w:type="dxa"/>
            <w:tcBorders>
              <w:top w:val="single" w:sz="8" w:space="0" w:color="000000"/>
              <w:left w:val="single" w:sz="8" w:space="0" w:color="000000"/>
              <w:bottom w:val="single" w:sz="6" w:space="0" w:color="000000"/>
              <w:right w:val="single" w:sz="8" w:space="0" w:color="000000"/>
            </w:tcBorders>
            <w:vAlign w:val="center"/>
            <w:hideMark/>
          </w:tcPr>
          <w:p w14:paraId="0733F5F2" w14:textId="77777777" w:rsidR="008F1EE2" w:rsidRDefault="008F1EE2" w:rsidP="005A3450">
            <w:pPr>
              <w:pStyle w:val="biaogeleft"/>
              <w:wordWrap w:val="0"/>
            </w:pPr>
            <w:r>
              <w:rPr>
                <w:rFonts w:hAnsi="Calibri" w:hint="eastAsia"/>
                <w:color w:val="000000"/>
              </w:rPr>
              <w:t>600519</w:t>
            </w:r>
          </w:p>
        </w:tc>
        <w:tc>
          <w:tcPr>
            <w:tcW w:w="1299" w:type="dxa"/>
            <w:tcBorders>
              <w:top w:val="single" w:sz="8" w:space="0" w:color="000000"/>
              <w:left w:val="single" w:sz="8" w:space="0" w:color="000000"/>
              <w:bottom w:val="single" w:sz="6" w:space="0" w:color="000000"/>
              <w:right w:val="single" w:sz="8" w:space="0" w:color="000000"/>
            </w:tcBorders>
            <w:vAlign w:val="center"/>
            <w:hideMark/>
          </w:tcPr>
          <w:p w14:paraId="6F6EFEFB" w14:textId="77777777" w:rsidR="008F1EE2" w:rsidRDefault="008F1EE2" w:rsidP="005A3450">
            <w:pPr>
              <w:pStyle w:val="biaogeleft"/>
              <w:wordWrap w:val="0"/>
            </w:pPr>
            <w:r>
              <w:rPr>
                <w:rFonts w:hAnsi="Calibri" w:hint="eastAsia"/>
                <w:color w:val="000000"/>
              </w:rPr>
              <w:t>贵州茅台</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1038DA9F" w14:textId="77777777" w:rsidR="008F1EE2" w:rsidRDefault="008F1EE2" w:rsidP="005A3450">
            <w:pPr>
              <w:pStyle w:val="biaogeright"/>
              <w:wordWrap w:val="0"/>
            </w:pPr>
            <w:r>
              <w:rPr>
                <w:rFonts w:hAnsi="Calibri" w:hint="eastAsia"/>
                <w:color w:val="000000"/>
              </w:rPr>
              <w:t>1,300</w:t>
            </w:r>
          </w:p>
        </w:tc>
        <w:tc>
          <w:tcPr>
            <w:tcW w:w="1903" w:type="dxa"/>
            <w:tcBorders>
              <w:top w:val="single" w:sz="8" w:space="0" w:color="000000"/>
              <w:left w:val="single" w:sz="8" w:space="0" w:color="000000"/>
              <w:bottom w:val="single" w:sz="6" w:space="0" w:color="000000"/>
              <w:right w:val="single" w:sz="8" w:space="0" w:color="000000"/>
            </w:tcBorders>
            <w:vAlign w:val="center"/>
            <w:hideMark/>
          </w:tcPr>
          <w:p w14:paraId="7027CDEA" w14:textId="77777777" w:rsidR="008F1EE2" w:rsidRDefault="008F1EE2" w:rsidP="005A3450">
            <w:pPr>
              <w:pStyle w:val="biaogeright"/>
              <w:wordWrap w:val="0"/>
            </w:pPr>
            <w:r>
              <w:rPr>
                <w:rFonts w:hAnsi="Calibri" w:hint="eastAsia"/>
                <w:color w:val="000000"/>
              </w:rPr>
              <w:t>1,279,200.00</w:t>
            </w:r>
          </w:p>
        </w:tc>
        <w:tc>
          <w:tcPr>
            <w:tcW w:w="2775" w:type="dxa"/>
            <w:tcBorders>
              <w:top w:val="single" w:sz="8" w:space="0" w:color="000000"/>
              <w:left w:val="single" w:sz="8" w:space="0" w:color="000000"/>
              <w:bottom w:val="single" w:sz="6" w:space="0" w:color="000000"/>
              <w:right w:val="single" w:sz="8" w:space="0" w:color="000000"/>
            </w:tcBorders>
            <w:vAlign w:val="center"/>
            <w:hideMark/>
          </w:tcPr>
          <w:p w14:paraId="42138723" w14:textId="77777777" w:rsidR="008F1EE2" w:rsidRDefault="008F1EE2" w:rsidP="005A3450">
            <w:pPr>
              <w:pStyle w:val="biaogeright"/>
              <w:wordWrap w:val="0"/>
            </w:pPr>
            <w:r>
              <w:rPr>
                <w:rFonts w:hAnsi="Calibri" w:hint="eastAsia"/>
                <w:color w:val="000000"/>
              </w:rPr>
              <w:t>2.52</w:t>
            </w:r>
          </w:p>
        </w:tc>
      </w:tr>
      <w:tr w:rsidR="008F1EE2" w:rsidRPr="00D562B4" w14:paraId="31D929E2" w14:textId="77777777" w:rsidTr="005A3450">
        <w:tc>
          <w:tcPr>
            <w:tcW w:w="851" w:type="dxa"/>
            <w:tcBorders>
              <w:top w:val="single" w:sz="8" w:space="0" w:color="000000"/>
              <w:left w:val="single" w:sz="8" w:space="0" w:color="000000"/>
              <w:bottom w:val="single" w:sz="6" w:space="0" w:color="000000"/>
              <w:right w:val="single" w:sz="8" w:space="0" w:color="000000"/>
            </w:tcBorders>
            <w:vAlign w:val="center"/>
            <w:hideMark/>
          </w:tcPr>
          <w:p w14:paraId="273EB980" w14:textId="77777777" w:rsidR="008F1EE2" w:rsidRDefault="008F1EE2" w:rsidP="005A3450">
            <w:pPr>
              <w:pStyle w:val="biaogecenter"/>
              <w:wordWrap w:val="0"/>
            </w:pPr>
            <w:r>
              <w:rPr>
                <w:rFonts w:hAnsi="Calibri" w:hint="eastAsia"/>
                <w:color w:val="000000"/>
              </w:rPr>
              <w:t>4</w:t>
            </w:r>
          </w:p>
        </w:tc>
        <w:tc>
          <w:tcPr>
            <w:tcW w:w="1252" w:type="dxa"/>
            <w:tcBorders>
              <w:top w:val="single" w:sz="8" w:space="0" w:color="000000"/>
              <w:left w:val="single" w:sz="8" w:space="0" w:color="000000"/>
              <w:bottom w:val="single" w:sz="6" w:space="0" w:color="000000"/>
              <w:right w:val="single" w:sz="8" w:space="0" w:color="000000"/>
            </w:tcBorders>
            <w:vAlign w:val="center"/>
            <w:hideMark/>
          </w:tcPr>
          <w:p w14:paraId="2C5F1A20" w14:textId="77777777" w:rsidR="008F1EE2" w:rsidRDefault="008F1EE2" w:rsidP="005A3450">
            <w:pPr>
              <w:pStyle w:val="biaogeleft"/>
              <w:wordWrap w:val="0"/>
            </w:pPr>
            <w:r>
              <w:rPr>
                <w:rFonts w:hAnsi="Calibri" w:hint="eastAsia"/>
                <w:color w:val="000000"/>
              </w:rPr>
              <w:t>601166</w:t>
            </w:r>
          </w:p>
        </w:tc>
        <w:tc>
          <w:tcPr>
            <w:tcW w:w="1299" w:type="dxa"/>
            <w:tcBorders>
              <w:top w:val="single" w:sz="8" w:space="0" w:color="000000"/>
              <w:left w:val="single" w:sz="8" w:space="0" w:color="000000"/>
              <w:bottom w:val="single" w:sz="6" w:space="0" w:color="000000"/>
              <w:right w:val="single" w:sz="8" w:space="0" w:color="000000"/>
            </w:tcBorders>
            <w:vAlign w:val="center"/>
            <w:hideMark/>
          </w:tcPr>
          <w:p w14:paraId="577A1810" w14:textId="77777777" w:rsidR="008F1EE2" w:rsidRDefault="008F1EE2" w:rsidP="005A3450">
            <w:pPr>
              <w:pStyle w:val="biaogeleft"/>
              <w:wordWrap w:val="0"/>
            </w:pPr>
            <w:r>
              <w:rPr>
                <w:rFonts w:hAnsi="Calibri" w:hint="eastAsia"/>
                <w:color w:val="000000"/>
              </w:rPr>
              <w:t>兴业银行</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01FA00DF" w14:textId="77777777" w:rsidR="008F1EE2" w:rsidRDefault="008F1EE2" w:rsidP="005A3450">
            <w:pPr>
              <w:pStyle w:val="biaogeright"/>
              <w:wordWrap w:val="0"/>
            </w:pPr>
            <w:r>
              <w:rPr>
                <w:rFonts w:hAnsi="Calibri" w:hint="eastAsia"/>
                <w:color w:val="000000"/>
              </w:rPr>
              <w:t>48,400</w:t>
            </w:r>
          </w:p>
        </w:tc>
        <w:tc>
          <w:tcPr>
            <w:tcW w:w="1903" w:type="dxa"/>
            <w:tcBorders>
              <w:top w:val="single" w:sz="8" w:space="0" w:color="000000"/>
              <w:left w:val="single" w:sz="8" w:space="0" w:color="000000"/>
              <w:bottom w:val="single" w:sz="6" w:space="0" w:color="000000"/>
              <w:right w:val="single" w:sz="8" w:space="0" w:color="000000"/>
            </w:tcBorders>
            <w:vAlign w:val="center"/>
            <w:hideMark/>
          </w:tcPr>
          <w:p w14:paraId="6F00236E" w14:textId="77777777" w:rsidR="008F1EE2" w:rsidRDefault="008F1EE2" w:rsidP="005A3450">
            <w:pPr>
              <w:pStyle w:val="biaogeright"/>
              <w:wordWrap w:val="0"/>
            </w:pPr>
            <w:r>
              <w:rPr>
                <w:rFonts w:hAnsi="Calibri" w:hint="eastAsia"/>
                <w:color w:val="000000"/>
              </w:rPr>
              <w:t>885,236.00</w:t>
            </w:r>
          </w:p>
        </w:tc>
        <w:tc>
          <w:tcPr>
            <w:tcW w:w="2775" w:type="dxa"/>
            <w:tcBorders>
              <w:top w:val="single" w:sz="8" w:space="0" w:color="000000"/>
              <w:left w:val="single" w:sz="8" w:space="0" w:color="000000"/>
              <w:bottom w:val="single" w:sz="6" w:space="0" w:color="000000"/>
              <w:right w:val="single" w:sz="8" w:space="0" w:color="000000"/>
            </w:tcBorders>
            <w:vAlign w:val="center"/>
            <w:hideMark/>
          </w:tcPr>
          <w:p w14:paraId="735C2A8C" w14:textId="77777777" w:rsidR="008F1EE2" w:rsidRDefault="008F1EE2" w:rsidP="005A3450">
            <w:pPr>
              <w:pStyle w:val="biaogeright"/>
              <w:wordWrap w:val="0"/>
            </w:pPr>
            <w:r>
              <w:rPr>
                <w:rFonts w:hAnsi="Calibri" w:hint="eastAsia"/>
                <w:color w:val="000000"/>
              </w:rPr>
              <w:t>1.74</w:t>
            </w:r>
          </w:p>
        </w:tc>
      </w:tr>
      <w:tr w:rsidR="008F1EE2" w:rsidRPr="00D562B4" w14:paraId="0E8FF281" w14:textId="77777777" w:rsidTr="005A3450">
        <w:tc>
          <w:tcPr>
            <w:tcW w:w="851" w:type="dxa"/>
            <w:tcBorders>
              <w:top w:val="single" w:sz="8" w:space="0" w:color="000000"/>
              <w:left w:val="single" w:sz="8" w:space="0" w:color="000000"/>
              <w:bottom w:val="single" w:sz="6" w:space="0" w:color="000000"/>
              <w:right w:val="single" w:sz="8" w:space="0" w:color="000000"/>
            </w:tcBorders>
            <w:vAlign w:val="center"/>
            <w:hideMark/>
          </w:tcPr>
          <w:p w14:paraId="732881AA" w14:textId="77777777" w:rsidR="008F1EE2" w:rsidRDefault="008F1EE2" w:rsidP="005A3450">
            <w:pPr>
              <w:pStyle w:val="biaogecenter"/>
              <w:wordWrap w:val="0"/>
            </w:pPr>
            <w:r>
              <w:rPr>
                <w:rFonts w:hAnsi="Calibri" w:hint="eastAsia"/>
                <w:color w:val="000000"/>
              </w:rPr>
              <w:t>5</w:t>
            </w:r>
          </w:p>
        </w:tc>
        <w:tc>
          <w:tcPr>
            <w:tcW w:w="1252" w:type="dxa"/>
            <w:tcBorders>
              <w:top w:val="single" w:sz="8" w:space="0" w:color="000000"/>
              <w:left w:val="single" w:sz="8" w:space="0" w:color="000000"/>
              <w:bottom w:val="single" w:sz="6" w:space="0" w:color="000000"/>
              <w:right w:val="single" w:sz="8" w:space="0" w:color="000000"/>
            </w:tcBorders>
            <w:vAlign w:val="center"/>
            <w:hideMark/>
          </w:tcPr>
          <w:p w14:paraId="74034A4B" w14:textId="77777777" w:rsidR="008F1EE2" w:rsidRDefault="008F1EE2" w:rsidP="005A3450">
            <w:pPr>
              <w:pStyle w:val="biaogeleft"/>
              <w:wordWrap w:val="0"/>
            </w:pPr>
            <w:r>
              <w:rPr>
                <w:rFonts w:hAnsi="Calibri" w:hint="eastAsia"/>
                <w:color w:val="000000"/>
              </w:rPr>
              <w:t>600016</w:t>
            </w:r>
          </w:p>
        </w:tc>
        <w:tc>
          <w:tcPr>
            <w:tcW w:w="1299" w:type="dxa"/>
            <w:tcBorders>
              <w:top w:val="single" w:sz="8" w:space="0" w:color="000000"/>
              <w:left w:val="single" w:sz="8" w:space="0" w:color="000000"/>
              <w:bottom w:val="single" w:sz="6" w:space="0" w:color="000000"/>
              <w:right w:val="single" w:sz="8" w:space="0" w:color="000000"/>
            </w:tcBorders>
            <w:vAlign w:val="center"/>
            <w:hideMark/>
          </w:tcPr>
          <w:p w14:paraId="3D46230C" w14:textId="77777777" w:rsidR="008F1EE2" w:rsidRDefault="008F1EE2" w:rsidP="005A3450">
            <w:pPr>
              <w:pStyle w:val="biaogeleft"/>
              <w:wordWrap w:val="0"/>
            </w:pPr>
            <w:r>
              <w:rPr>
                <w:rFonts w:hAnsi="Calibri" w:hint="eastAsia"/>
                <w:color w:val="000000"/>
              </w:rPr>
              <w:t>民生银行</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46BB4A51" w14:textId="77777777" w:rsidR="008F1EE2" w:rsidRDefault="008F1EE2" w:rsidP="005A3450">
            <w:pPr>
              <w:pStyle w:val="biaogeright"/>
              <w:wordWrap w:val="0"/>
            </w:pPr>
            <w:r>
              <w:rPr>
                <w:rFonts w:hAnsi="Calibri" w:hint="eastAsia"/>
                <w:color w:val="000000"/>
              </w:rPr>
              <w:t>130,400</w:t>
            </w:r>
          </w:p>
        </w:tc>
        <w:tc>
          <w:tcPr>
            <w:tcW w:w="1903" w:type="dxa"/>
            <w:tcBorders>
              <w:top w:val="single" w:sz="8" w:space="0" w:color="000000"/>
              <w:left w:val="single" w:sz="8" w:space="0" w:color="000000"/>
              <w:bottom w:val="single" w:sz="6" w:space="0" w:color="000000"/>
              <w:right w:val="single" w:sz="8" w:space="0" w:color="000000"/>
            </w:tcBorders>
            <w:vAlign w:val="center"/>
            <w:hideMark/>
          </w:tcPr>
          <w:p w14:paraId="1A1EDFCB" w14:textId="77777777" w:rsidR="008F1EE2" w:rsidRDefault="008F1EE2" w:rsidP="005A3450">
            <w:pPr>
              <w:pStyle w:val="biaogeright"/>
              <w:wordWrap w:val="0"/>
            </w:pPr>
            <w:r>
              <w:rPr>
                <w:rFonts w:hAnsi="Calibri" w:hint="eastAsia"/>
                <w:color w:val="000000"/>
              </w:rPr>
              <w:t>828,040.00</w:t>
            </w:r>
          </w:p>
        </w:tc>
        <w:tc>
          <w:tcPr>
            <w:tcW w:w="2775" w:type="dxa"/>
            <w:tcBorders>
              <w:top w:val="single" w:sz="8" w:space="0" w:color="000000"/>
              <w:left w:val="single" w:sz="8" w:space="0" w:color="000000"/>
              <w:bottom w:val="single" w:sz="6" w:space="0" w:color="000000"/>
              <w:right w:val="single" w:sz="8" w:space="0" w:color="000000"/>
            </w:tcBorders>
            <w:vAlign w:val="center"/>
            <w:hideMark/>
          </w:tcPr>
          <w:p w14:paraId="2D7C2479" w14:textId="77777777" w:rsidR="008F1EE2" w:rsidRDefault="008F1EE2" w:rsidP="005A3450">
            <w:pPr>
              <w:pStyle w:val="biaogeright"/>
              <w:wordWrap w:val="0"/>
            </w:pPr>
            <w:r>
              <w:rPr>
                <w:rFonts w:hAnsi="Calibri" w:hint="eastAsia"/>
                <w:color w:val="000000"/>
              </w:rPr>
              <w:t>1.63</w:t>
            </w:r>
          </w:p>
        </w:tc>
      </w:tr>
      <w:tr w:rsidR="008F1EE2" w:rsidRPr="00D562B4" w14:paraId="70FCA068" w14:textId="77777777" w:rsidTr="005A3450">
        <w:tc>
          <w:tcPr>
            <w:tcW w:w="851" w:type="dxa"/>
            <w:tcBorders>
              <w:top w:val="single" w:sz="8" w:space="0" w:color="000000"/>
              <w:left w:val="single" w:sz="8" w:space="0" w:color="000000"/>
              <w:bottom w:val="single" w:sz="6" w:space="0" w:color="000000"/>
              <w:right w:val="single" w:sz="8" w:space="0" w:color="000000"/>
            </w:tcBorders>
            <w:vAlign w:val="center"/>
            <w:hideMark/>
          </w:tcPr>
          <w:p w14:paraId="4356E959" w14:textId="77777777" w:rsidR="008F1EE2" w:rsidRDefault="008F1EE2" w:rsidP="005A3450">
            <w:pPr>
              <w:pStyle w:val="biaogecenter"/>
              <w:wordWrap w:val="0"/>
            </w:pPr>
            <w:r>
              <w:rPr>
                <w:rFonts w:hAnsi="Calibri" w:hint="eastAsia"/>
                <w:color w:val="000000"/>
              </w:rPr>
              <w:t>6</w:t>
            </w:r>
          </w:p>
        </w:tc>
        <w:tc>
          <w:tcPr>
            <w:tcW w:w="1252" w:type="dxa"/>
            <w:tcBorders>
              <w:top w:val="single" w:sz="8" w:space="0" w:color="000000"/>
              <w:left w:val="single" w:sz="8" w:space="0" w:color="000000"/>
              <w:bottom w:val="single" w:sz="6" w:space="0" w:color="000000"/>
              <w:right w:val="single" w:sz="8" w:space="0" w:color="000000"/>
            </w:tcBorders>
            <w:vAlign w:val="center"/>
            <w:hideMark/>
          </w:tcPr>
          <w:p w14:paraId="7842D4CB" w14:textId="77777777" w:rsidR="008F1EE2" w:rsidRDefault="008F1EE2" w:rsidP="005A3450">
            <w:pPr>
              <w:pStyle w:val="biaogeleft"/>
              <w:wordWrap w:val="0"/>
            </w:pPr>
            <w:r>
              <w:rPr>
                <w:rFonts w:hAnsi="Calibri" w:hint="eastAsia"/>
                <w:color w:val="000000"/>
              </w:rPr>
              <w:t>000651</w:t>
            </w:r>
          </w:p>
        </w:tc>
        <w:tc>
          <w:tcPr>
            <w:tcW w:w="1299" w:type="dxa"/>
            <w:tcBorders>
              <w:top w:val="single" w:sz="8" w:space="0" w:color="000000"/>
              <w:left w:val="single" w:sz="8" w:space="0" w:color="000000"/>
              <w:bottom w:val="single" w:sz="6" w:space="0" w:color="000000"/>
              <w:right w:val="single" w:sz="8" w:space="0" w:color="000000"/>
            </w:tcBorders>
            <w:vAlign w:val="center"/>
            <w:hideMark/>
          </w:tcPr>
          <w:p w14:paraId="36EA6B4E" w14:textId="77777777" w:rsidR="008F1EE2" w:rsidRDefault="008F1EE2" w:rsidP="005A3450">
            <w:pPr>
              <w:pStyle w:val="biaogeleft"/>
              <w:wordWrap w:val="0"/>
            </w:pPr>
            <w:r>
              <w:rPr>
                <w:rFonts w:hAnsi="Calibri" w:hint="eastAsia"/>
                <w:color w:val="000000"/>
              </w:rPr>
              <w:t>格力电器</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5A23570B" w14:textId="77777777" w:rsidR="008F1EE2" w:rsidRDefault="008F1EE2" w:rsidP="005A3450">
            <w:pPr>
              <w:pStyle w:val="biaogeright"/>
              <w:wordWrap w:val="0"/>
            </w:pPr>
            <w:r>
              <w:rPr>
                <w:rFonts w:hAnsi="Calibri" w:hint="eastAsia"/>
                <w:color w:val="000000"/>
              </w:rPr>
              <w:t>14,700</w:t>
            </w:r>
          </w:p>
        </w:tc>
        <w:tc>
          <w:tcPr>
            <w:tcW w:w="1903" w:type="dxa"/>
            <w:tcBorders>
              <w:top w:val="single" w:sz="8" w:space="0" w:color="000000"/>
              <w:left w:val="single" w:sz="8" w:space="0" w:color="000000"/>
              <w:bottom w:val="single" w:sz="6" w:space="0" w:color="000000"/>
              <w:right w:val="single" w:sz="8" w:space="0" w:color="000000"/>
            </w:tcBorders>
            <w:vAlign w:val="center"/>
            <w:hideMark/>
          </w:tcPr>
          <w:p w14:paraId="18CF1452" w14:textId="77777777" w:rsidR="008F1EE2" w:rsidRDefault="008F1EE2" w:rsidP="005A3450">
            <w:pPr>
              <w:pStyle w:val="biaogeright"/>
              <w:wordWrap w:val="0"/>
            </w:pPr>
            <w:r>
              <w:rPr>
                <w:rFonts w:hAnsi="Calibri" w:hint="eastAsia"/>
                <w:color w:val="000000"/>
              </w:rPr>
              <w:t>808,500.00</w:t>
            </w:r>
          </w:p>
        </w:tc>
        <w:tc>
          <w:tcPr>
            <w:tcW w:w="2775" w:type="dxa"/>
            <w:tcBorders>
              <w:top w:val="single" w:sz="8" w:space="0" w:color="000000"/>
              <w:left w:val="single" w:sz="8" w:space="0" w:color="000000"/>
              <w:bottom w:val="single" w:sz="6" w:space="0" w:color="000000"/>
              <w:right w:val="single" w:sz="8" w:space="0" w:color="000000"/>
            </w:tcBorders>
            <w:vAlign w:val="center"/>
            <w:hideMark/>
          </w:tcPr>
          <w:p w14:paraId="5B4B40AA" w14:textId="77777777" w:rsidR="008F1EE2" w:rsidRDefault="008F1EE2" w:rsidP="005A3450">
            <w:pPr>
              <w:pStyle w:val="biaogeright"/>
              <w:wordWrap w:val="0"/>
            </w:pPr>
            <w:r>
              <w:rPr>
                <w:rFonts w:hAnsi="Calibri" w:hint="eastAsia"/>
                <w:color w:val="000000"/>
              </w:rPr>
              <w:t>1.59</w:t>
            </w:r>
          </w:p>
        </w:tc>
      </w:tr>
      <w:tr w:rsidR="008F1EE2" w:rsidRPr="00D562B4" w14:paraId="49990488" w14:textId="77777777" w:rsidTr="005A3450">
        <w:tc>
          <w:tcPr>
            <w:tcW w:w="851" w:type="dxa"/>
            <w:tcBorders>
              <w:top w:val="single" w:sz="8" w:space="0" w:color="000000"/>
              <w:left w:val="single" w:sz="8" w:space="0" w:color="000000"/>
              <w:bottom w:val="single" w:sz="6" w:space="0" w:color="000000"/>
              <w:right w:val="single" w:sz="8" w:space="0" w:color="000000"/>
            </w:tcBorders>
            <w:vAlign w:val="center"/>
            <w:hideMark/>
          </w:tcPr>
          <w:p w14:paraId="26A2B024" w14:textId="77777777" w:rsidR="008F1EE2" w:rsidRDefault="008F1EE2" w:rsidP="005A3450">
            <w:pPr>
              <w:pStyle w:val="biaogecenter"/>
              <w:wordWrap w:val="0"/>
            </w:pPr>
            <w:r>
              <w:rPr>
                <w:rFonts w:hAnsi="Calibri" w:hint="eastAsia"/>
                <w:color w:val="000000"/>
              </w:rPr>
              <w:t>7</w:t>
            </w:r>
          </w:p>
        </w:tc>
        <w:tc>
          <w:tcPr>
            <w:tcW w:w="1252" w:type="dxa"/>
            <w:tcBorders>
              <w:top w:val="single" w:sz="8" w:space="0" w:color="000000"/>
              <w:left w:val="single" w:sz="8" w:space="0" w:color="000000"/>
              <w:bottom w:val="single" w:sz="6" w:space="0" w:color="000000"/>
              <w:right w:val="single" w:sz="8" w:space="0" w:color="000000"/>
            </w:tcBorders>
            <w:vAlign w:val="center"/>
            <w:hideMark/>
          </w:tcPr>
          <w:p w14:paraId="4A4C2061" w14:textId="77777777" w:rsidR="008F1EE2" w:rsidRDefault="008F1EE2" w:rsidP="005A3450">
            <w:pPr>
              <w:pStyle w:val="biaogeleft"/>
              <w:wordWrap w:val="0"/>
            </w:pPr>
            <w:r>
              <w:rPr>
                <w:rFonts w:hAnsi="Calibri" w:hint="eastAsia"/>
                <w:color w:val="000000"/>
              </w:rPr>
              <w:t>601328</w:t>
            </w:r>
          </w:p>
        </w:tc>
        <w:tc>
          <w:tcPr>
            <w:tcW w:w="1299" w:type="dxa"/>
            <w:tcBorders>
              <w:top w:val="single" w:sz="8" w:space="0" w:color="000000"/>
              <w:left w:val="single" w:sz="8" w:space="0" w:color="000000"/>
              <w:bottom w:val="single" w:sz="6" w:space="0" w:color="000000"/>
              <w:right w:val="single" w:sz="8" w:space="0" w:color="000000"/>
            </w:tcBorders>
            <w:vAlign w:val="center"/>
            <w:hideMark/>
          </w:tcPr>
          <w:p w14:paraId="65831821" w14:textId="77777777" w:rsidR="008F1EE2" w:rsidRDefault="008F1EE2" w:rsidP="005A3450">
            <w:pPr>
              <w:pStyle w:val="biaogeleft"/>
              <w:wordWrap w:val="0"/>
            </w:pPr>
            <w:r>
              <w:rPr>
                <w:rFonts w:hAnsi="Calibri" w:hint="eastAsia"/>
                <w:color w:val="000000"/>
              </w:rPr>
              <w:t>交通银行</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7141A398" w14:textId="77777777" w:rsidR="008F1EE2" w:rsidRDefault="008F1EE2" w:rsidP="005A3450">
            <w:pPr>
              <w:pStyle w:val="biaogeright"/>
              <w:wordWrap w:val="0"/>
            </w:pPr>
            <w:r>
              <w:rPr>
                <w:rFonts w:hAnsi="Calibri" w:hint="eastAsia"/>
                <w:color w:val="000000"/>
              </w:rPr>
              <w:t>120,700</w:t>
            </w:r>
          </w:p>
        </w:tc>
        <w:tc>
          <w:tcPr>
            <w:tcW w:w="1903" w:type="dxa"/>
            <w:tcBorders>
              <w:top w:val="single" w:sz="8" w:space="0" w:color="000000"/>
              <w:left w:val="single" w:sz="8" w:space="0" w:color="000000"/>
              <w:bottom w:val="single" w:sz="6" w:space="0" w:color="000000"/>
              <w:right w:val="single" w:sz="8" w:space="0" w:color="000000"/>
            </w:tcBorders>
            <w:vAlign w:val="center"/>
            <w:hideMark/>
          </w:tcPr>
          <w:p w14:paraId="7E2DF6DA" w14:textId="77777777" w:rsidR="008F1EE2" w:rsidRDefault="008F1EE2" w:rsidP="005A3450">
            <w:pPr>
              <w:pStyle w:val="biaogeright"/>
              <w:wordWrap w:val="0"/>
            </w:pPr>
            <w:r>
              <w:rPr>
                <w:rFonts w:hAnsi="Calibri" w:hint="eastAsia"/>
                <w:color w:val="000000"/>
              </w:rPr>
              <w:t>738,684.00</w:t>
            </w:r>
          </w:p>
        </w:tc>
        <w:tc>
          <w:tcPr>
            <w:tcW w:w="2775" w:type="dxa"/>
            <w:tcBorders>
              <w:top w:val="single" w:sz="8" w:space="0" w:color="000000"/>
              <w:left w:val="single" w:sz="8" w:space="0" w:color="000000"/>
              <w:bottom w:val="single" w:sz="6" w:space="0" w:color="000000"/>
              <w:right w:val="single" w:sz="8" w:space="0" w:color="000000"/>
            </w:tcBorders>
            <w:vAlign w:val="center"/>
            <w:hideMark/>
          </w:tcPr>
          <w:p w14:paraId="4463F41E" w14:textId="77777777" w:rsidR="008F1EE2" w:rsidRDefault="008F1EE2" w:rsidP="005A3450">
            <w:pPr>
              <w:pStyle w:val="biaogeright"/>
              <w:wordWrap w:val="0"/>
            </w:pPr>
            <w:r>
              <w:rPr>
                <w:rFonts w:hAnsi="Calibri" w:hint="eastAsia"/>
                <w:color w:val="000000"/>
              </w:rPr>
              <w:t>1.45</w:t>
            </w:r>
          </w:p>
        </w:tc>
      </w:tr>
      <w:tr w:rsidR="008F1EE2" w:rsidRPr="00D562B4" w14:paraId="3B597BEA" w14:textId="77777777" w:rsidTr="005A3450">
        <w:tc>
          <w:tcPr>
            <w:tcW w:w="851" w:type="dxa"/>
            <w:tcBorders>
              <w:top w:val="single" w:sz="8" w:space="0" w:color="000000"/>
              <w:left w:val="single" w:sz="8" w:space="0" w:color="000000"/>
              <w:bottom w:val="single" w:sz="6" w:space="0" w:color="000000"/>
              <w:right w:val="single" w:sz="8" w:space="0" w:color="000000"/>
            </w:tcBorders>
            <w:vAlign w:val="center"/>
            <w:hideMark/>
          </w:tcPr>
          <w:p w14:paraId="0E4FA2E3" w14:textId="77777777" w:rsidR="008F1EE2" w:rsidRDefault="008F1EE2" w:rsidP="005A3450">
            <w:pPr>
              <w:pStyle w:val="biaogecenter"/>
              <w:wordWrap w:val="0"/>
            </w:pPr>
            <w:r>
              <w:rPr>
                <w:rFonts w:hAnsi="Calibri" w:hint="eastAsia"/>
                <w:color w:val="000000"/>
              </w:rPr>
              <w:t>8</w:t>
            </w:r>
          </w:p>
        </w:tc>
        <w:tc>
          <w:tcPr>
            <w:tcW w:w="1252" w:type="dxa"/>
            <w:tcBorders>
              <w:top w:val="single" w:sz="8" w:space="0" w:color="000000"/>
              <w:left w:val="single" w:sz="8" w:space="0" w:color="000000"/>
              <w:bottom w:val="single" w:sz="6" w:space="0" w:color="000000"/>
              <w:right w:val="single" w:sz="8" w:space="0" w:color="000000"/>
            </w:tcBorders>
            <w:vAlign w:val="center"/>
            <w:hideMark/>
          </w:tcPr>
          <w:p w14:paraId="20288AE6" w14:textId="77777777" w:rsidR="008F1EE2" w:rsidRDefault="008F1EE2" w:rsidP="005A3450">
            <w:pPr>
              <w:pStyle w:val="biaogeleft"/>
              <w:wordWrap w:val="0"/>
            </w:pPr>
            <w:r>
              <w:rPr>
                <w:rFonts w:hAnsi="Calibri" w:hint="eastAsia"/>
                <w:color w:val="000000"/>
              </w:rPr>
              <w:t>600030</w:t>
            </w:r>
          </w:p>
        </w:tc>
        <w:tc>
          <w:tcPr>
            <w:tcW w:w="1299" w:type="dxa"/>
            <w:tcBorders>
              <w:top w:val="single" w:sz="8" w:space="0" w:color="000000"/>
              <w:left w:val="single" w:sz="8" w:space="0" w:color="000000"/>
              <w:bottom w:val="single" w:sz="6" w:space="0" w:color="000000"/>
              <w:right w:val="single" w:sz="8" w:space="0" w:color="000000"/>
            </w:tcBorders>
            <w:vAlign w:val="center"/>
            <w:hideMark/>
          </w:tcPr>
          <w:p w14:paraId="4E656861" w14:textId="77777777" w:rsidR="008F1EE2" w:rsidRDefault="008F1EE2" w:rsidP="005A3450">
            <w:pPr>
              <w:pStyle w:val="biaogeleft"/>
              <w:wordWrap w:val="0"/>
            </w:pPr>
            <w:r>
              <w:rPr>
                <w:rFonts w:hAnsi="Calibri" w:hint="eastAsia"/>
                <w:color w:val="000000"/>
              </w:rPr>
              <w:t>中信证券</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23622E60" w14:textId="77777777" w:rsidR="008F1EE2" w:rsidRDefault="008F1EE2" w:rsidP="005A3450">
            <w:pPr>
              <w:pStyle w:val="biaogeright"/>
              <w:wordWrap w:val="0"/>
            </w:pPr>
            <w:r>
              <w:rPr>
                <w:rFonts w:hAnsi="Calibri" w:hint="eastAsia"/>
                <w:color w:val="000000"/>
              </w:rPr>
              <w:t>29,900</w:t>
            </w:r>
          </w:p>
        </w:tc>
        <w:tc>
          <w:tcPr>
            <w:tcW w:w="1903" w:type="dxa"/>
            <w:tcBorders>
              <w:top w:val="single" w:sz="8" w:space="0" w:color="000000"/>
              <w:left w:val="single" w:sz="8" w:space="0" w:color="000000"/>
              <w:bottom w:val="single" w:sz="6" w:space="0" w:color="000000"/>
              <w:right w:val="single" w:sz="8" w:space="0" w:color="000000"/>
            </w:tcBorders>
            <w:vAlign w:val="center"/>
            <w:hideMark/>
          </w:tcPr>
          <w:p w14:paraId="0899EA40" w14:textId="77777777" w:rsidR="008F1EE2" w:rsidRDefault="008F1EE2" w:rsidP="005A3450">
            <w:pPr>
              <w:pStyle w:val="biaogeright"/>
              <w:wordWrap w:val="0"/>
            </w:pPr>
            <w:r>
              <w:rPr>
                <w:rFonts w:hAnsi="Calibri" w:hint="eastAsia"/>
                <w:color w:val="000000"/>
              </w:rPr>
              <w:t>711,919.00</w:t>
            </w:r>
          </w:p>
        </w:tc>
        <w:tc>
          <w:tcPr>
            <w:tcW w:w="2775" w:type="dxa"/>
            <w:tcBorders>
              <w:top w:val="single" w:sz="8" w:space="0" w:color="000000"/>
              <w:left w:val="single" w:sz="8" w:space="0" w:color="000000"/>
              <w:bottom w:val="single" w:sz="6" w:space="0" w:color="000000"/>
              <w:right w:val="single" w:sz="8" w:space="0" w:color="000000"/>
            </w:tcBorders>
            <w:vAlign w:val="center"/>
            <w:hideMark/>
          </w:tcPr>
          <w:p w14:paraId="13BC56C5" w14:textId="77777777" w:rsidR="008F1EE2" w:rsidRDefault="008F1EE2" w:rsidP="005A3450">
            <w:pPr>
              <w:pStyle w:val="biaogeright"/>
              <w:wordWrap w:val="0"/>
            </w:pPr>
            <w:r>
              <w:rPr>
                <w:rFonts w:hAnsi="Calibri" w:hint="eastAsia"/>
                <w:color w:val="000000"/>
              </w:rPr>
              <w:t>1.40</w:t>
            </w:r>
          </w:p>
        </w:tc>
      </w:tr>
      <w:tr w:rsidR="008F1EE2" w:rsidRPr="00D562B4" w14:paraId="38BFED0C" w14:textId="77777777" w:rsidTr="005A3450">
        <w:tc>
          <w:tcPr>
            <w:tcW w:w="851" w:type="dxa"/>
            <w:tcBorders>
              <w:top w:val="single" w:sz="8" w:space="0" w:color="000000"/>
              <w:left w:val="single" w:sz="8" w:space="0" w:color="000000"/>
              <w:bottom w:val="single" w:sz="6" w:space="0" w:color="000000"/>
              <w:right w:val="single" w:sz="8" w:space="0" w:color="000000"/>
            </w:tcBorders>
            <w:vAlign w:val="center"/>
            <w:hideMark/>
          </w:tcPr>
          <w:p w14:paraId="72F38A42" w14:textId="77777777" w:rsidR="008F1EE2" w:rsidRDefault="008F1EE2" w:rsidP="005A3450">
            <w:pPr>
              <w:pStyle w:val="biaogecenter"/>
              <w:wordWrap w:val="0"/>
            </w:pPr>
            <w:r>
              <w:rPr>
                <w:rFonts w:hAnsi="Calibri" w:hint="eastAsia"/>
                <w:color w:val="000000"/>
              </w:rPr>
              <w:t>9</w:t>
            </w:r>
          </w:p>
        </w:tc>
        <w:tc>
          <w:tcPr>
            <w:tcW w:w="1252" w:type="dxa"/>
            <w:tcBorders>
              <w:top w:val="single" w:sz="8" w:space="0" w:color="000000"/>
              <w:left w:val="single" w:sz="8" w:space="0" w:color="000000"/>
              <w:bottom w:val="single" w:sz="6" w:space="0" w:color="000000"/>
              <w:right w:val="single" w:sz="8" w:space="0" w:color="000000"/>
            </w:tcBorders>
            <w:vAlign w:val="center"/>
            <w:hideMark/>
          </w:tcPr>
          <w:p w14:paraId="040C0668" w14:textId="77777777" w:rsidR="008F1EE2" w:rsidRDefault="008F1EE2" w:rsidP="005A3450">
            <w:pPr>
              <w:pStyle w:val="biaogeleft"/>
              <w:wordWrap w:val="0"/>
            </w:pPr>
            <w:r>
              <w:rPr>
                <w:rFonts w:hAnsi="Calibri" w:hint="eastAsia"/>
                <w:color w:val="000000"/>
              </w:rPr>
              <w:t>000333</w:t>
            </w:r>
          </w:p>
        </w:tc>
        <w:tc>
          <w:tcPr>
            <w:tcW w:w="1299" w:type="dxa"/>
            <w:tcBorders>
              <w:top w:val="single" w:sz="8" w:space="0" w:color="000000"/>
              <w:left w:val="single" w:sz="8" w:space="0" w:color="000000"/>
              <w:bottom w:val="single" w:sz="6" w:space="0" w:color="000000"/>
              <w:right w:val="single" w:sz="8" w:space="0" w:color="000000"/>
            </w:tcBorders>
            <w:vAlign w:val="center"/>
            <w:hideMark/>
          </w:tcPr>
          <w:p w14:paraId="5C5E8425" w14:textId="77777777" w:rsidR="008F1EE2" w:rsidRDefault="008F1EE2" w:rsidP="005A3450">
            <w:pPr>
              <w:pStyle w:val="biaogeleft"/>
              <w:wordWrap w:val="0"/>
            </w:pPr>
            <w:r>
              <w:rPr>
                <w:rFonts w:hAnsi="Calibri" w:hint="eastAsia"/>
                <w:color w:val="000000"/>
              </w:rPr>
              <w:t>美的集团</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31005A68" w14:textId="77777777" w:rsidR="008F1EE2" w:rsidRDefault="008F1EE2" w:rsidP="005A3450">
            <w:pPr>
              <w:pStyle w:val="biaogeright"/>
              <w:wordWrap w:val="0"/>
            </w:pPr>
            <w:r>
              <w:rPr>
                <w:rFonts w:hAnsi="Calibri" w:hint="eastAsia"/>
                <w:color w:val="000000"/>
              </w:rPr>
              <w:t>13,700</w:t>
            </w:r>
          </w:p>
        </w:tc>
        <w:tc>
          <w:tcPr>
            <w:tcW w:w="1903" w:type="dxa"/>
            <w:tcBorders>
              <w:top w:val="single" w:sz="8" w:space="0" w:color="000000"/>
              <w:left w:val="single" w:sz="8" w:space="0" w:color="000000"/>
              <w:bottom w:val="single" w:sz="6" w:space="0" w:color="000000"/>
              <w:right w:val="single" w:sz="8" w:space="0" w:color="000000"/>
            </w:tcBorders>
            <w:vAlign w:val="center"/>
            <w:hideMark/>
          </w:tcPr>
          <w:p w14:paraId="75990EE3" w14:textId="77777777" w:rsidR="008F1EE2" w:rsidRDefault="008F1EE2" w:rsidP="005A3450">
            <w:pPr>
              <w:pStyle w:val="biaogeright"/>
              <w:wordWrap w:val="0"/>
            </w:pPr>
            <w:r>
              <w:rPr>
                <w:rFonts w:hAnsi="Calibri" w:hint="eastAsia"/>
                <w:color w:val="000000"/>
              </w:rPr>
              <w:t>710,482.00</w:t>
            </w:r>
          </w:p>
        </w:tc>
        <w:tc>
          <w:tcPr>
            <w:tcW w:w="2775" w:type="dxa"/>
            <w:tcBorders>
              <w:top w:val="single" w:sz="8" w:space="0" w:color="000000"/>
              <w:left w:val="single" w:sz="8" w:space="0" w:color="000000"/>
              <w:bottom w:val="single" w:sz="6" w:space="0" w:color="000000"/>
              <w:right w:val="single" w:sz="8" w:space="0" w:color="000000"/>
            </w:tcBorders>
            <w:vAlign w:val="center"/>
            <w:hideMark/>
          </w:tcPr>
          <w:p w14:paraId="0BDD02C5" w14:textId="77777777" w:rsidR="008F1EE2" w:rsidRDefault="008F1EE2" w:rsidP="005A3450">
            <w:pPr>
              <w:pStyle w:val="biaogeright"/>
              <w:wordWrap w:val="0"/>
            </w:pPr>
            <w:r>
              <w:rPr>
                <w:rFonts w:hAnsi="Calibri" w:hint="eastAsia"/>
                <w:color w:val="000000"/>
              </w:rPr>
              <w:t>1.40</w:t>
            </w:r>
          </w:p>
        </w:tc>
      </w:tr>
      <w:tr w:rsidR="008F1EE2" w:rsidRPr="00D562B4" w14:paraId="11497877" w14:textId="77777777" w:rsidTr="005A3450">
        <w:tc>
          <w:tcPr>
            <w:tcW w:w="851" w:type="dxa"/>
            <w:tcBorders>
              <w:top w:val="single" w:sz="8" w:space="0" w:color="000000"/>
              <w:left w:val="single" w:sz="8" w:space="0" w:color="000000"/>
              <w:bottom w:val="single" w:sz="6" w:space="0" w:color="000000"/>
              <w:right w:val="single" w:sz="8" w:space="0" w:color="000000"/>
            </w:tcBorders>
            <w:vAlign w:val="center"/>
            <w:hideMark/>
          </w:tcPr>
          <w:p w14:paraId="35F5C904" w14:textId="77777777" w:rsidR="008F1EE2" w:rsidRDefault="008F1EE2" w:rsidP="005A3450">
            <w:pPr>
              <w:pStyle w:val="biaogecenter"/>
              <w:wordWrap w:val="0"/>
            </w:pPr>
            <w:r>
              <w:rPr>
                <w:rFonts w:hAnsi="Calibri" w:hint="eastAsia"/>
                <w:color w:val="000000"/>
              </w:rPr>
              <w:t>10</w:t>
            </w:r>
          </w:p>
        </w:tc>
        <w:tc>
          <w:tcPr>
            <w:tcW w:w="1252" w:type="dxa"/>
            <w:tcBorders>
              <w:top w:val="single" w:sz="8" w:space="0" w:color="000000"/>
              <w:left w:val="single" w:sz="8" w:space="0" w:color="000000"/>
              <w:bottom w:val="single" w:sz="6" w:space="0" w:color="000000"/>
              <w:right w:val="single" w:sz="8" w:space="0" w:color="000000"/>
            </w:tcBorders>
            <w:vAlign w:val="center"/>
            <w:hideMark/>
          </w:tcPr>
          <w:p w14:paraId="312D6842" w14:textId="77777777" w:rsidR="008F1EE2" w:rsidRDefault="008F1EE2" w:rsidP="005A3450">
            <w:pPr>
              <w:pStyle w:val="biaogeleft"/>
              <w:wordWrap w:val="0"/>
            </w:pPr>
            <w:r>
              <w:rPr>
                <w:rFonts w:hAnsi="Calibri" w:hint="eastAsia"/>
                <w:color w:val="000000"/>
              </w:rPr>
              <w:t>601288</w:t>
            </w:r>
          </w:p>
        </w:tc>
        <w:tc>
          <w:tcPr>
            <w:tcW w:w="1299" w:type="dxa"/>
            <w:tcBorders>
              <w:top w:val="single" w:sz="8" w:space="0" w:color="000000"/>
              <w:left w:val="single" w:sz="8" w:space="0" w:color="000000"/>
              <w:bottom w:val="single" w:sz="6" w:space="0" w:color="000000"/>
              <w:right w:val="single" w:sz="8" w:space="0" w:color="000000"/>
            </w:tcBorders>
            <w:vAlign w:val="center"/>
            <w:hideMark/>
          </w:tcPr>
          <w:p w14:paraId="36058298" w14:textId="77777777" w:rsidR="008F1EE2" w:rsidRDefault="008F1EE2" w:rsidP="005A3450">
            <w:pPr>
              <w:pStyle w:val="biaogeleft"/>
              <w:wordWrap w:val="0"/>
            </w:pPr>
            <w:r>
              <w:rPr>
                <w:rFonts w:hAnsi="Calibri" w:hint="eastAsia"/>
                <w:color w:val="000000"/>
              </w:rPr>
              <w:t>农业银行</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0C6FDA29" w14:textId="77777777" w:rsidR="008F1EE2" w:rsidRDefault="008F1EE2" w:rsidP="005A3450">
            <w:pPr>
              <w:pStyle w:val="biaogeright"/>
              <w:wordWrap w:val="0"/>
            </w:pPr>
            <w:r>
              <w:rPr>
                <w:rFonts w:hAnsi="Calibri" w:hint="eastAsia"/>
                <w:color w:val="000000"/>
              </w:rPr>
              <w:t>181,200</w:t>
            </w:r>
          </w:p>
        </w:tc>
        <w:tc>
          <w:tcPr>
            <w:tcW w:w="1903" w:type="dxa"/>
            <w:tcBorders>
              <w:top w:val="single" w:sz="8" w:space="0" w:color="000000"/>
              <w:left w:val="single" w:sz="8" w:space="0" w:color="000000"/>
              <w:bottom w:val="single" w:sz="6" w:space="0" w:color="000000"/>
              <w:right w:val="single" w:sz="8" w:space="0" w:color="000000"/>
            </w:tcBorders>
            <w:vAlign w:val="center"/>
            <w:hideMark/>
          </w:tcPr>
          <w:p w14:paraId="3A1121AC" w14:textId="77777777" w:rsidR="008F1EE2" w:rsidRDefault="008F1EE2" w:rsidP="005A3450">
            <w:pPr>
              <w:pStyle w:val="biaogeright"/>
              <w:wordWrap w:val="0"/>
            </w:pPr>
            <w:r>
              <w:rPr>
                <w:rFonts w:hAnsi="Calibri" w:hint="eastAsia"/>
                <w:color w:val="000000"/>
              </w:rPr>
              <w:t>652,320.00</w:t>
            </w:r>
          </w:p>
        </w:tc>
        <w:tc>
          <w:tcPr>
            <w:tcW w:w="2775" w:type="dxa"/>
            <w:tcBorders>
              <w:top w:val="single" w:sz="8" w:space="0" w:color="000000"/>
              <w:left w:val="single" w:sz="8" w:space="0" w:color="000000"/>
              <w:bottom w:val="single" w:sz="6" w:space="0" w:color="000000"/>
              <w:right w:val="single" w:sz="8" w:space="0" w:color="000000"/>
            </w:tcBorders>
            <w:vAlign w:val="center"/>
            <w:hideMark/>
          </w:tcPr>
          <w:p w14:paraId="3E45A7F7" w14:textId="77777777" w:rsidR="008F1EE2" w:rsidRDefault="008F1EE2" w:rsidP="005A3450">
            <w:pPr>
              <w:pStyle w:val="biaogeright"/>
              <w:wordWrap w:val="0"/>
            </w:pPr>
            <w:r>
              <w:rPr>
                <w:rFonts w:hAnsi="Calibri" w:hint="eastAsia"/>
                <w:color w:val="000000"/>
              </w:rPr>
              <w:t>1.28</w:t>
            </w:r>
          </w:p>
        </w:tc>
      </w:tr>
    </w:tbl>
    <w:p w14:paraId="542FA303" w14:textId="77777777" w:rsidR="00220CDC" w:rsidRDefault="00220CDC" w:rsidP="00220CDC">
      <w:pPr>
        <w:spacing w:line="360" w:lineRule="auto"/>
        <w:rPr>
          <w:rFonts w:ascii="宋体" w:hAnsi="宋体" w:cs="Arial"/>
          <w:bCs/>
          <w:sz w:val="24"/>
        </w:rPr>
      </w:pPr>
    </w:p>
    <w:p w14:paraId="428D9ADB" w14:textId="77777777" w:rsidR="00220CDC" w:rsidRDefault="00220CDC" w:rsidP="00220CDC">
      <w:pPr>
        <w:spacing w:line="360" w:lineRule="auto"/>
        <w:rPr>
          <w:rFonts w:ascii="宋体" w:hAnsi="宋体" w:cs="Arial"/>
          <w:bCs/>
          <w:sz w:val="24"/>
        </w:rPr>
      </w:pPr>
      <w:r>
        <w:rPr>
          <w:rFonts w:ascii="宋体" w:hAnsi="宋体" w:cs="Arial" w:hint="eastAsia"/>
          <w:bCs/>
          <w:sz w:val="24"/>
        </w:rPr>
        <w:t>4、报告期末按债券品种分类的债券投资组合</w:t>
      </w:r>
    </w:p>
    <w:p w14:paraId="4D7AAB8F" w14:textId="77777777" w:rsidR="00220CDC" w:rsidRDefault="00220CDC" w:rsidP="00220CDC">
      <w:pPr>
        <w:spacing w:line="360" w:lineRule="auto"/>
        <w:ind w:firstLineChars="200" w:firstLine="480"/>
        <w:rPr>
          <w:rFonts w:ascii="宋体" w:hAnsi="宋体" w:cs="Arial"/>
          <w:bCs/>
          <w:sz w:val="24"/>
        </w:rPr>
      </w:pPr>
      <w:r>
        <w:rPr>
          <w:rFonts w:ascii="宋体" w:hAnsi="宋体" w:cs="Arial" w:hint="eastAsia"/>
          <w:bCs/>
          <w:sz w:val="24"/>
        </w:rPr>
        <w:t>本基金本报告期末未持有债券。</w:t>
      </w:r>
    </w:p>
    <w:p w14:paraId="76146B48" w14:textId="77777777" w:rsidR="00220CDC" w:rsidRDefault="00220CDC" w:rsidP="00220CDC">
      <w:pPr>
        <w:spacing w:line="360" w:lineRule="auto"/>
        <w:rPr>
          <w:rFonts w:ascii="宋体" w:hAnsi="宋体" w:cs="Arial"/>
          <w:bCs/>
          <w:sz w:val="24"/>
        </w:rPr>
      </w:pPr>
      <w:r>
        <w:rPr>
          <w:rFonts w:ascii="宋体" w:hAnsi="宋体" w:cs="Arial" w:hint="eastAsia"/>
          <w:bCs/>
          <w:sz w:val="24"/>
        </w:rPr>
        <w:t>5、报告期末按公允价值占基金资产净值比例大小排序的前五名债券投资明细</w:t>
      </w:r>
    </w:p>
    <w:p w14:paraId="08649D4D" w14:textId="77777777" w:rsidR="00220CDC" w:rsidRDefault="00220CDC" w:rsidP="00220CDC">
      <w:pPr>
        <w:spacing w:line="360" w:lineRule="auto"/>
        <w:ind w:firstLineChars="200" w:firstLine="480"/>
        <w:rPr>
          <w:rFonts w:ascii="宋体" w:hAnsi="宋体" w:cs="Arial"/>
          <w:bCs/>
          <w:sz w:val="24"/>
        </w:rPr>
      </w:pPr>
      <w:r>
        <w:rPr>
          <w:rFonts w:ascii="宋体" w:hAnsi="宋体" w:cs="Arial" w:hint="eastAsia"/>
          <w:bCs/>
          <w:sz w:val="24"/>
        </w:rPr>
        <w:t>本基金本报告期末未持有债券。</w:t>
      </w:r>
    </w:p>
    <w:p w14:paraId="16F33511" w14:textId="77777777" w:rsidR="00220CDC" w:rsidRDefault="00220CDC" w:rsidP="00220CDC">
      <w:pPr>
        <w:spacing w:line="360" w:lineRule="auto"/>
        <w:rPr>
          <w:rFonts w:ascii="宋体" w:hAnsi="宋体" w:cs="Arial"/>
          <w:bCs/>
          <w:sz w:val="24"/>
        </w:rPr>
      </w:pPr>
      <w:r>
        <w:rPr>
          <w:rFonts w:ascii="宋体" w:hAnsi="宋体" w:cs="Arial" w:hint="eastAsia"/>
          <w:bCs/>
          <w:sz w:val="24"/>
        </w:rPr>
        <w:t>6、报告期末按公允价值占基金资产净值比例大小排序的前十名资产支持证券投资明细</w:t>
      </w:r>
    </w:p>
    <w:p w14:paraId="0B479975" w14:textId="77777777" w:rsidR="00220CDC" w:rsidRDefault="00220CDC" w:rsidP="00220CDC">
      <w:pPr>
        <w:spacing w:line="360" w:lineRule="auto"/>
        <w:ind w:firstLineChars="200" w:firstLine="480"/>
        <w:rPr>
          <w:rFonts w:ascii="宋体" w:hAnsi="宋体" w:cs="Arial"/>
          <w:bCs/>
          <w:sz w:val="24"/>
        </w:rPr>
      </w:pPr>
      <w:r>
        <w:rPr>
          <w:rFonts w:ascii="宋体" w:hAnsi="宋体" w:cs="Arial" w:hint="eastAsia"/>
          <w:bCs/>
          <w:sz w:val="24"/>
        </w:rPr>
        <w:t>本基金本报告期末未持有资产支持证券。</w:t>
      </w:r>
    </w:p>
    <w:p w14:paraId="54D6CD88" w14:textId="77777777" w:rsidR="00220CDC" w:rsidRDefault="00220CDC" w:rsidP="00220CDC">
      <w:pPr>
        <w:spacing w:line="360" w:lineRule="auto"/>
        <w:rPr>
          <w:rFonts w:ascii="宋体" w:hAnsi="宋体" w:cs="Arial"/>
          <w:bCs/>
          <w:sz w:val="24"/>
        </w:rPr>
      </w:pPr>
      <w:r>
        <w:rPr>
          <w:rFonts w:ascii="宋体" w:hAnsi="宋体" w:cs="Arial" w:hint="eastAsia"/>
          <w:bCs/>
          <w:sz w:val="24"/>
        </w:rPr>
        <w:t>7、 报告期末按公允价值占基金资产净值比例大小排序的前五名贵金属投资明细</w:t>
      </w:r>
    </w:p>
    <w:p w14:paraId="4F97C4CE" w14:textId="77777777" w:rsidR="00220CDC" w:rsidRDefault="00220CDC" w:rsidP="00220CDC">
      <w:pPr>
        <w:spacing w:line="360" w:lineRule="auto"/>
        <w:ind w:firstLineChars="200" w:firstLine="480"/>
        <w:rPr>
          <w:rFonts w:ascii="宋体" w:hAnsi="宋体" w:cs="Arial"/>
          <w:bCs/>
          <w:sz w:val="24"/>
        </w:rPr>
      </w:pPr>
      <w:r>
        <w:rPr>
          <w:rFonts w:ascii="宋体" w:hAnsi="宋体" w:cs="Arial" w:hint="eastAsia"/>
          <w:bCs/>
          <w:sz w:val="24"/>
        </w:rPr>
        <w:t>本基金本报告期末未持有贵金属。</w:t>
      </w:r>
    </w:p>
    <w:p w14:paraId="0C65E9FB" w14:textId="77777777" w:rsidR="00220CDC" w:rsidRDefault="00220CDC" w:rsidP="00220CDC">
      <w:pPr>
        <w:spacing w:line="360" w:lineRule="auto"/>
        <w:rPr>
          <w:rFonts w:ascii="宋体" w:hAnsi="宋体" w:cs="Arial"/>
          <w:bCs/>
          <w:sz w:val="24"/>
        </w:rPr>
      </w:pPr>
      <w:r>
        <w:rPr>
          <w:rFonts w:ascii="宋体" w:hAnsi="宋体" w:cs="Arial" w:hint="eastAsia"/>
          <w:bCs/>
          <w:sz w:val="24"/>
        </w:rPr>
        <w:t>8、报告期末按公允价值占基金资产净值比例大小排序的前五名权证投资明细</w:t>
      </w:r>
    </w:p>
    <w:p w14:paraId="3CCDFF2D" w14:textId="77777777" w:rsidR="00220CDC" w:rsidRDefault="00220CDC" w:rsidP="00220CDC">
      <w:pPr>
        <w:spacing w:line="360" w:lineRule="auto"/>
        <w:ind w:firstLineChars="200" w:firstLine="480"/>
        <w:rPr>
          <w:rFonts w:ascii="宋体" w:hAnsi="宋体" w:cs="Arial"/>
          <w:bCs/>
          <w:sz w:val="24"/>
        </w:rPr>
      </w:pPr>
      <w:r>
        <w:rPr>
          <w:rFonts w:ascii="宋体" w:hAnsi="宋体" w:cs="Arial" w:hint="eastAsia"/>
          <w:bCs/>
          <w:sz w:val="24"/>
        </w:rPr>
        <w:t>本基金本报告期末未持有权证。</w:t>
      </w:r>
    </w:p>
    <w:p w14:paraId="45C335A4" w14:textId="77777777" w:rsidR="00220CDC" w:rsidRDefault="00220CDC" w:rsidP="00220CDC">
      <w:pPr>
        <w:spacing w:line="360" w:lineRule="auto"/>
        <w:rPr>
          <w:rFonts w:ascii="宋体" w:hAnsi="宋体" w:cs="Arial"/>
          <w:bCs/>
          <w:sz w:val="24"/>
        </w:rPr>
      </w:pPr>
      <w:r>
        <w:rPr>
          <w:rFonts w:ascii="宋体" w:hAnsi="宋体" w:cs="Arial" w:hint="eastAsia"/>
          <w:bCs/>
          <w:sz w:val="24"/>
        </w:rPr>
        <w:t>9、报告期末本基金投资的股指期货交易情况说明</w:t>
      </w:r>
    </w:p>
    <w:p w14:paraId="6CEDBBAD" w14:textId="77777777" w:rsidR="00220CDC" w:rsidRDefault="00220CDC" w:rsidP="00220CDC">
      <w:pPr>
        <w:spacing w:line="360" w:lineRule="auto"/>
        <w:ind w:firstLineChars="200" w:firstLine="480"/>
        <w:rPr>
          <w:rFonts w:ascii="宋体" w:hAnsi="宋体" w:cs="Arial"/>
          <w:bCs/>
          <w:sz w:val="24"/>
        </w:rPr>
      </w:pPr>
      <w:r>
        <w:rPr>
          <w:rFonts w:ascii="宋体" w:hAnsi="宋体" w:cs="Arial" w:hint="eastAsia"/>
          <w:bCs/>
          <w:sz w:val="24"/>
        </w:rPr>
        <w:t>本基金本报告期末未投资股指期货。</w:t>
      </w:r>
    </w:p>
    <w:p w14:paraId="7745D9A6" w14:textId="77777777" w:rsidR="00220CDC" w:rsidRDefault="00220CDC" w:rsidP="00220CDC">
      <w:pPr>
        <w:spacing w:line="360" w:lineRule="auto"/>
        <w:rPr>
          <w:rFonts w:ascii="宋体" w:hAnsi="宋体" w:cs="Arial"/>
          <w:bCs/>
          <w:sz w:val="24"/>
        </w:rPr>
      </w:pPr>
      <w:r>
        <w:rPr>
          <w:rFonts w:ascii="宋体" w:hAnsi="宋体" w:cs="Arial" w:hint="eastAsia"/>
          <w:bCs/>
          <w:sz w:val="24"/>
        </w:rPr>
        <w:t>10、报告期末本基金投资的国债期货交易情况说明</w:t>
      </w:r>
    </w:p>
    <w:p w14:paraId="4DBBB49B" w14:textId="77777777" w:rsidR="00220CDC" w:rsidRDefault="00220CDC" w:rsidP="00220CDC">
      <w:pPr>
        <w:spacing w:line="360" w:lineRule="auto"/>
        <w:ind w:firstLineChars="300" w:firstLine="720"/>
        <w:rPr>
          <w:rFonts w:ascii="宋体" w:hAnsi="宋体" w:cs="Arial"/>
          <w:bCs/>
          <w:sz w:val="24"/>
        </w:rPr>
      </w:pPr>
      <w:r>
        <w:rPr>
          <w:rFonts w:ascii="宋体" w:hAnsi="宋体" w:cs="Arial" w:hint="eastAsia"/>
          <w:bCs/>
          <w:sz w:val="24"/>
        </w:rPr>
        <w:t>本基金本报告期末未投资国债期货。</w:t>
      </w:r>
    </w:p>
    <w:p w14:paraId="350C8F87" w14:textId="77777777" w:rsidR="00220CDC" w:rsidRDefault="00220CDC" w:rsidP="00220CDC">
      <w:pPr>
        <w:spacing w:line="360" w:lineRule="auto"/>
        <w:rPr>
          <w:rFonts w:ascii="宋体" w:hAnsi="宋体" w:cs="Arial"/>
          <w:bCs/>
          <w:sz w:val="24"/>
        </w:rPr>
      </w:pPr>
      <w:r>
        <w:rPr>
          <w:rFonts w:ascii="宋体" w:hAnsi="宋体" w:cs="Arial" w:hint="eastAsia"/>
          <w:bCs/>
          <w:sz w:val="24"/>
        </w:rPr>
        <w:t xml:space="preserve">11、投资组合报告附注 </w:t>
      </w:r>
    </w:p>
    <w:p w14:paraId="3DEAF321" w14:textId="77777777" w:rsidR="00220CDC" w:rsidRDefault="00220CDC" w:rsidP="00220CDC">
      <w:pPr>
        <w:spacing w:line="360" w:lineRule="auto"/>
        <w:rPr>
          <w:rFonts w:ascii="宋体" w:hAnsi="宋体" w:cs="Arial"/>
          <w:bCs/>
          <w:sz w:val="24"/>
        </w:rPr>
      </w:pPr>
      <w:r>
        <w:rPr>
          <w:rFonts w:ascii="宋体" w:hAnsi="宋体" w:cs="Arial" w:hint="eastAsia"/>
          <w:bCs/>
          <w:sz w:val="24"/>
        </w:rPr>
        <w:t>（1）本基金本报告期投资的前十名证券的发行主体，本报告期没有出现被监管</w:t>
      </w:r>
      <w:r>
        <w:rPr>
          <w:rFonts w:ascii="宋体" w:hAnsi="宋体" w:cs="Arial" w:hint="eastAsia"/>
          <w:bCs/>
          <w:sz w:val="24"/>
        </w:rPr>
        <w:lastRenderedPageBreak/>
        <w:t>部门立案调查的情形，也没有出现在报告编制日前一年内受到公开谴责、处罚的情形。</w:t>
      </w:r>
    </w:p>
    <w:p w14:paraId="797DFE98" w14:textId="77777777" w:rsidR="00220CDC" w:rsidRDefault="00220CDC" w:rsidP="00220CDC">
      <w:pPr>
        <w:spacing w:line="360" w:lineRule="auto"/>
        <w:rPr>
          <w:rFonts w:ascii="宋体" w:hAnsi="宋体" w:cs="Arial"/>
          <w:bCs/>
          <w:sz w:val="24"/>
        </w:rPr>
      </w:pPr>
      <w:r>
        <w:rPr>
          <w:rFonts w:ascii="宋体" w:hAnsi="宋体" w:cs="Arial" w:hint="eastAsia"/>
          <w:bCs/>
          <w:sz w:val="24"/>
        </w:rPr>
        <w:t>（2）本基金投资的前十名股票没有超出基金合同规定的备选股票库。</w:t>
      </w:r>
    </w:p>
    <w:p w14:paraId="719D039A" w14:textId="77777777" w:rsidR="00220CDC" w:rsidRDefault="00220CDC" w:rsidP="00220CDC">
      <w:pPr>
        <w:spacing w:line="360" w:lineRule="auto"/>
        <w:rPr>
          <w:rFonts w:ascii="宋体" w:hAnsi="宋体" w:cs="Arial"/>
          <w:bCs/>
          <w:sz w:val="24"/>
        </w:rPr>
      </w:pPr>
      <w:r>
        <w:rPr>
          <w:rFonts w:ascii="宋体" w:hAnsi="宋体" w:cs="Arial" w:hint="eastAsia"/>
          <w:bCs/>
          <w:sz w:val="24"/>
        </w:rPr>
        <w:t>（3）其他资产构成</w:t>
      </w:r>
    </w:p>
    <w:p w14:paraId="7CF1EFE7" w14:textId="77777777" w:rsidR="008F1EE2" w:rsidRDefault="008F1EE2" w:rsidP="00220CDC">
      <w:pPr>
        <w:spacing w:line="360" w:lineRule="auto"/>
        <w:rPr>
          <w:rFonts w:ascii="宋体" w:hAnsi="宋体" w:cs="Arial"/>
          <w:bCs/>
          <w:sz w:val="24"/>
        </w:rPr>
      </w:pPr>
    </w:p>
    <w:tbl>
      <w:tblPr>
        <w:tblW w:w="0" w:type="auto"/>
        <w:tblInd w:w="108" w:type="dxa"/>
        <w:tblLook w:val="04A0" w:firstRow="1" w:lastRow="0" w:firstColumn="1" w:lastColumn="0" w:noHBand="0" w:noVBand="1"/>
      </w:tblPr>
      <w:tblGrid>
        <w:gridCol w:w="1207"/>
        <w:gridCol w:w="3433"/>
        <w:gridCol w:w="3774"/>
      </w:tblGrid>
      <w:tr w:rsidR="008F1EE2" w:rsidRPr="00D562B4" w14:paraId="3127C6E5" w14:textId="77777777" w:rsidTr="005A3450">
        <w:tc>
          <w:tcPr>
            <w:tcW w:w="1342" w:type="dxa"/>
            <w:tcBorders>
              <w:top w:val="single" w:sz="8" w:space="0" w:color="000000"/>
              <w:left w:val="single" w:sz="8" w:space="0" w:color="000000"/>
              <w:bottom w:val="single" w:sz="6" w:space="0" w:color="000000"/>
              <w:right w:val="single" w:sz="8" w:space="0" w:color="000000"/>
            </w:tcBorders>
            <w:vAlign w:val="center"/>
            <w:hideMark/>
          </w:tcPr>
          <w:p w14:paraId="688D60C9" w14:textId="77777777" w:rsidR="008F1EE2" w:rsidRDefault="008F1EE2" w:rsidP="005A3450">
            <w:pPr>
              <w:pStyle w:val="biaogecenter"/>
              <w:wordWrap w:val="0"/>
            </w:pPr>
            <w:r>
              <w:rPr>
                <w:rFonts w:hAnsi="Calibri" w:hint="eastAsia"/>
                <w:color w:val="000000"/>
              </w:rPr>
              <w:t>序号</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12C6E034" w14:textId="77777777" w:rsidR="008F1EE2" w:rsidRDefault="008F1EE2" w:rsidP="005A3450">
            <w:pPr>
              <w:pStyle w:val="biaogecenter"/>
              <w:wordWrap w:val="0"/>
            </w:pPr>
            <w:r>
              <w:rPr>
                <w:rFonts w:hint="eastAsia"/>
              </w:rPr>
              <w:t>名称</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7293F4EB" w14:textId="77777777" w:rsidR="008F1EE2" w:rsidRDefault="008F1EE2" w:rsidP="005A3450">
            <w:pPr>
              <w:pStyle w:val="biaogecenter"/>
              <w:wordWrap w:val="0"/>
            </w:pPr>
            <w:r>
              <w:rPr>
                <w:rFonts w:hint="eastAsia"/>
              </w:rPr>
              <w:t>金额(元)</w:t>
            </w:r>
          </w:p>
        </w:tc>
      </w:tr>
      <w:tr w:rsidR="008F1EE2" w:rsidRPr="00D562B4" w14:paraId="2CFAD512" w14:textId="77777777" w:rsidTr="005A3450">
        <w:tc>
          <w:tcPr>
            <w:tcW w:w="722" w:type="dxa"/>
            <w:tcBorders>
              <w:top w:val="single" w:sz="8" w:space="0" w:color="000000"/>
              <w:left w:val="single" w:sz="8" w:space="0" w:color="000000"/>
              <w:bottom w:val="single" w:sz="6" w:space="0" w:color="000000"/>
              <w:right w:val="single" w:sz="8" w:space="0" w:color="000000"/>
            </w:tcBorders>
            <w:vAlign w:val="center"/>
            <w:hideMark/>
          </w:tcPr>
          <w:p w14:paraId="5E060BD7" w14:textId="77777777" w:rsidR="008F1EE2" w:rsidRDefault="008F1EE2" w:rsidP="005A3450">
            <w:pPr>
              <w:pStyle w:val="biaogecenter"/>
              <w:wordWrap w:val="0"/>
            </w:pPr>
            <w:r>
              <w:rPr>
                <w:rFonts w:hAnsi="Calibri" w:hint="eastAsia"/>
                <w:color w:val="000000"/>
              </w:rPr>
              <w:t>1</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29013057" w14:textId="77777777" w:rsidR="008F1EE2" w:rsidRDefault="008F1EE2" w:rsidP="005A3450">
            <w:pPr>
              <w:pStyle w:val="biaogeleft"/>
              <w:wordWrap w:val="0"/>
            </w:pPr>
            <w:r>
              <w:rPr>
                <w:rFonts w:hint="eastAsia"/>
              </w:rPr>
              <w:t>存出保证金</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2DA84F66" w14:textId="77777777" w:rsidR="008F1EE2" w:rsidRDefault="008F1EE2" w:rsidP="005A3450">
            <w:pPr>
              <w:pStyle w:val="biaogeright"/>
              <w:wordWrap w:val="0"/>
            </w:pPr>
            <w:r>
              <w:rPr>
                <w:rFonts w:hint="eastAsia"/>
              </w:rPr>
              <w:t>44,806.38</w:t>
            </w:r>
          </w:p>
        </w:tc>
      </w:tr>
      <w:tr w:rsidR="008F1EE2" w:rsidRPr="00D562B4" w14:paraId="2362D099" w14:textId="77777777" w:rsidTr="005A3450">
        <w:tc>
          <w:tcPr>
            <w:tcW w:w="722" w:type="dxa"/>
            <w:tcBorders>
              <w:top w:val="single" w:sz="8" w:space="0" w:color="000000"/>
              <w:left w:val="single" w:sz="8" w:space="0" w:color="000000"/>
              <w:bottom w:val="single" w:sz="6" w:space="0" w:color="000000"/>
              <w:right w:val="single" w:sz="8" w:space="0" w:color="000000"/>
            </w:tcBorders>
            <w:vAlign w:val="center"/>
            <w:hideMark/>
          </w:tcPr>
          <w:p w14:paraId="2DCCE54A" w14:textId="77777777" w:rsidR="008F1EE2" w:rsidRDefault="008F1EE2" w:rsidP="005A3450">
            <w:pPr>
              <w:pStyle w:val="biaogecenter"/>
              <w:wordWrap w:val="0"/>
            </w:pPr>
            <w:r>
              <w:rPr>
                <w:rFonts w:hAnsi="Calibri" w:hint="eastAsia"/>
                <w:color w:val="000000"/>
              </w:rPr>
              <w:t>2</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288501E1" w14:textId="77777777" w:rsidR="008F1EE2" w:rsidRDefault="008F1EE2" w:rsidP="005A3450">
            <w:pPr>
              <w:pStyle w:val="biaogeleft"/>
              <w:wordWrap w:val="0"/>
            </w:pPr>
            <w:r>
              <w:rPr>
                <w:rFonts w:hint="eastAsia"/>
              </w:rPr>
              <w:t>应收证券清算款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11A5DED8" w14:textId="77777777" w:rsidR="008F1EE2" w:rsidRDefault="008F1EE2" w:rsidP="005A3450">
            <w:pPr>
              <w:pStyle w:val="biaogeright"/>
              <w:wordWrap w:val="0"/>
            </w:pPr>
            <w:r>
              <w:rPr>
                <w:rFonts w:hint="eastAsia"/>
              </w:rPr>
              <w:t>-</w:t>
            </w:r>
          </w:p>
        </w:tc>
      </w:tr>
      <w:tr w:rsidR="008F1EE2" w:rsidRPr="00D562B4" w14:paraId="67E3A1AA" w14:textId="77777777" w:rsidTr="005A3450">
        <w:tc>
          <w:tcPr>
            <w:tcW w:w="722" w:type="dxa"/>
            <w:tcBorders>
              <w:top w:val="single" w:sz="8" w:space="0" w:color="000000"/>
              <w:left w:val="single" w:sz="8" w:space="0" w:color="000000"/>
              <w:bottom w:val="single" w:sz="6" w:space="0" w:color="000000"/>
              <w:right w:val="single" w:sz="8" w:space="0" w:color="000000"/>
            </w:tcBorders>
            <w:vAlign w:val="center"/>
            <w:hideMark/>
          </w:tcPr>
          <w:p w14:paraId="20E9460A" w14:textId="77777777" w:rsidR="008F1EE2" w:rsidRDefault="008F1EE2" w:rsidP="005A3450">
            <w:pPr>
              <w:pStyle w:val="biaogecenter"/>
              <w:wordWrap w:val="0"/>
            </w:pPr>
            <w:r>
              <w:rPr>
                <w:rFonts w:hAnsi="Calibri" w:hint="eastAsia"/>
                <w:color w:val="000000"/>
              </w:rPr>
              <w:t>3</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3030B9E9" w14:textId="77777777" w:rsidR="008F1EE2" w:rsidRDefault="008F1EE2" w:rsidP="005A3450">
            <w:pPr>
              <w:pStyle w:val="biaogeleft"/>
              <w:wordWrap w:val="0"/>
            </w:pPr>
            <w:r>
              <w:rPr>
                <w:rFonts w:hint="eastAsia"/>
              </w:rPr>
              <w:t>应收股利</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5858F609" w14:textId="77777777" w:rsidR="008F1EE2" w:rsidRDefault="008F1EE2" w:rsidP="005A3450">
            <w:pPr>
              <w:pStyle w:val="biaogeright"/>
              <w:wordWrap w:val="0"/>
            </w:pPr>
            <w:r>
              <w:rPr>
                <w:rFonts w:hint="eastAsia"/>
              </w:rPr>
              <w:t>-</w:t>
            </w:r>
          </w:p>
        </w:tc>
      </w:tr>
      <w:tr w:rsidR="008F1EE2" w:rsidRPr="00D562B4" w14:paraId="0AD9F72F" w14:textId="77777777" w:rsidTr="005A3450">
        <w:tc>
          <w:tcPr>
            <w:tcW w:w="722" w:type="dxa"/>
            <w:tcBorders>
              <w:top w:val="single" w:sz="8" w:space="0" w:color="000000"/>
              <w:left w:val="single" w:sz="8" w:space="0" w:color="000000"/>
              <w:bottom w:val="single" w:sz="6" w:space="0" w:color="000000"/>
              <w:right w:val="single" w:sz="8" w:space="0" w:color="000000"/>
            </w:tcBorders>
            <w:vAlign w:val="center"/>
            <w:hideMark/>
          </w:tcPr>
          <w:p w14:paraId="22BDF444" w14:textId="77777777" w:rsidR="008F1EE2" w:rsidRDefault="008F1EE2" w:rsidP="005A3450">
            <w:pPr>
              <w:pStyle w:val="biaogecenter"/>
              <w:wordWrap w:val="0"/>
            </w:pPr>
            <w:r>
              <w:rPr>
                <w:rFonts w:hAnsi="Calibri" w:hint="eastAsia"/>
                <w:color w:val="000000"/>
              </w:rPr>
              <w:t>4</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6C5091B1" w14:textId="77777777" w:rsidR="008F1EE2" w:rsidRDefault="008F1EE2" w:rsidP="005A3450">
            <w:pPr>
              <w:pStyle w:val="biaogeleft"/>
              <w:wordWrap w:val="0"/>
            </w:pPr>
            <w:r>
              <w:rPr>
                <w:rFonts w:hint="eastAsia"/>
              </w:rPr>
              <w:t>应收利息</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69F22DF5" w14:textId="77777777" w:rsidR="008F1EE2" w:rsidRDefault="008F1EE2" w:rsidP="005A3450">
            <w:pPr>
              <w:pStyle w:val="biaogeright"/>
              <w:wordWrap w:val="0"/>
            </w:pPr>
            <w:r>
              <w:rPr>
                <w:rFonts w:hint="eastAsia"/>
              </w:rPr>
              <w:t>6,331.22</w:t>
            </w:r>
          </w:p>
        </w:tc>
      </w:tr>
      <w:tr w:rsidR="008F1EE2" w:rsidRPr="00D562B4" w14:paraId="2C27DFB9" w14:textId="77777777" w:rsidTr="005A3450">
        <w:tc>
          <w:tcPr>
            <w:tcW w:w="722" w:type="dxa"/>
            <w:tcBorders>
              <w:top w:val="single" w:sz="8" w:space="0" w:color="000000"/>
              <w:left w:val="single" w:sz="8" w:space="0" w:color="000000"/>
              <w:bottom w:val="single" w:sz="6" w:space="0" w:color="000000"/>
              <w:right w:val="single" w:sz="8" w:space="0" w:color="000000"/>
            </w:tcBorders>
            <w:vAlign w:val="center"/>
            <w:hideMark/>
          </w:tcPr>
          <w:p w14:paraId="66EC7E1E" w14:textId="77777777" w:rsidR="008F1EE2" w:rsidRDefault="008F1EE2" w:rsidP="005A3450">
            <w:pPr>
              <w:pStyle w:val="biaogecenter"/>
              <w:wordWrap w:val="0"/>
            </w:pPr>
            <w:r>
              <w:rPr>
                <w:rFonts w:hAnsi="Calibri" w:hint="eastAsia"/>
                <w:color w:val="000000"/>
              </w:rPr>
              <w:t>5</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19AF4002" w14:textId="77777777" w:rsidR="008F1EE2" w:rsidRDefault="008F1EE2" w:rsidP="005A3450">
            <w:pPr>
              <w:pStyle w:val="biaogeleft"/>
              <w:wordWrap w:val="0"/>
            </w:pPr>
            <w:r>
              <w:rPr>
                <w:rFonts w:hint="eastAsia"/>
              </w:rPr>
              <w:t>应收申购款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733750E9" w14:textId="77777777" w:rsidR="008F1EE2" w:rsidRDefault="008F1EE2" w:rsidP="005A3450">
            <w:pPr>
              <w:pStyle w:val="biaogeright"/>
              <w:wordWrap w:val="0"/>
            </w:pPr>
            <w:r>
              <w:rPr>
                <w:rFonts w:hint="eastAsia"/>
              </w:rPr>
              <w:t>-</w:t>
            </w:r>
          </w:p>
        </w:tc>
      </w:tr>
      <w:tr w:rsidR="008F1EE2" w:rsidRPr="00D562B4" w14:paraId="06612D90" w14:textId="77777777" w:rsidTr="005A3450">
        <w:tc>
          <w:tcPr>
            <w:tcW w:w="722" w:type="dxa"/>
            <w:tcBorders>
              <w:top w:val="single" w:sz="8" w:space="0" w:color="000000"/>
              <w:left w:val="single" w:sz="8" w:space="0" w:color="000000"/>
              <w:bottom w:val="single" w:sz="6" w:space="0" w:color="000000"/>
              <w:right w:val="single" w:sz="8" w:space="0" w:color="000000"/>
            </w:tcBorders>
            <w:vAlign w:val="center"/>
            <w:hideMark/>
          </w:tcPr>
          <w:p w14:paraId="10BE9766" w14:textId="77777777" w:rsidR="008F1EE2" w:rsidRDefault="008F1EE2" w:rsidP="005A3450">
            <w:pPr>
              <w:pStyle w:val="biaogecenter"/>
              <w:wordWrap w:val="0"/>
            </w:pPr>
            <w:r>
              <w:rPr>
                <w:rFonts w:hAnsi="Calibri" w:hint="eastAsia"/>
                <w:color w:val="000000"/>
              </w:rPr>
              <w:t>6</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7AC2D9B3" w14:textId="77777777" w:rsidR="008F1EE2" w:rsidRDefault="008F1EE2" w:rsidP="005A3450">
            <w:pPr>
              <w:pStyle w:val="biaogeleft"/>
              <w:wordWrap w:val="0"/>
            </w:pPr>
            <w:r>
              <w:rPr>
                <w:rFonts w:hint="eastAsia"/>
              </w:rPr>
              <w:t>其他应收款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2026AA54" w14:textId="77777777" w:rsidR="008F1EE2" w:rsidRDefault="008F1EE2" w:rsidP="005A3450">
            <w:pPr>
              <w:pStyle w:val="biaogeright"/>
              <w:wordWrap w:val="0"/>
            </w:pPr>
            <w:r>
              <w:rPr>
                <w:rFonts w:hint="eastAsia"/>
              </w:rPr>
              <w:t>-</w:t>
            </w:r>
          </w:p>
        </w:tc>
      </w:tr>
      <w:tr w:rsidR="008F1EE2" w:rsidRPr="00D562B4" w14:paraId="499B3060" w14:textId="77777777" w:rsidTr="005A3450">
        <w:tc>
          <w:tcPr>
            <w:tcW w:w="722" w:type="dxa"/>
            <w:tcBorders>
              <w:top w:val="single" w:sz="8" w:space="0" w:color="000000"/>
              <w:left w:val="single" w:sz="8" w:space="0" w:color="000000"/>
              <w:bottom w:val="single" w:sz="6" w:space="0" w:color="000000"/>
              <w:right w:val="single" w:sz="8" w:space="0" w:color="000000"/>
            </w:tcBorders>
            <w:vAlign w:val="center"/>
            <w:hideMark/>
          </w:tcPr>
          <w:p w14:paraId="591DA702" w14:textId="77777777" w:rsidR="008F1EE2" w:rsidRDefault="008F1EE2" w:rsidP="005A3450">
            <w:pPr>
              <w:pStyle w:val="biaogecenter"/>
              <w:wordWrap w:val="0"/>
            </w:pPr>
            <w:r>
              <w:rPr>
                <w:rFonts w:hAnsi="Calibri" w:hint="eastAsia"/>
                <w:color w:val="000000"/>
              </w:rPr>
              <w:t>7</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619CCC52" w14:textId="77777777" w:rsidR="008F1EE2" w:rsidRDefault="008F1EE2" w:rsidP="005A3450">
            <w:pPr>
              <w:pStyle w:val="biaogeleft"/>
              <w:wordWrap w:val="0"/>
            </w:pPr>
            <w:r>
              <w:rPr>
                <w:rFonts w:hint="eastAsia"/>
              </w:rPr>
              <w:t>其他</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57574266" w14:textId="77777777" w:rsidR="008F1EE2" w:rsidRDefault="008F1EE2" w:rsidP="005A3450">
            <w:pPr>
              <w:pStyle w:val="biaogeright"/>
              <w:wordWrap w:val="0"/>
            </w:pPr>
            <w:r>
              <w:rPr>
                <w:rFonts w:hint="eastAsia"/>
              </w:rPr>
              <w:t>-</w:t>
            </w:r>
          </w:p>
        </w:tc>
      </w:tr>
      <w:tr w:rsidR="008F1EE2" w:rsidRPr="00D562B4" w14:paraId="6311C498" w14:textId="77777777" w:rsidTr="005A3450">
        <w:tc>
          <w:tcPr>
            <w:tcW w:w="722" w:type="dxa"/>
            <w:tcBorders>
              <w:top w:val="single" w:sz="8" w:space="0" w:color="000000"/>
              <w:left w:val="single" w:sz="8" w:space="0" w:color="000000"/>
              <w:bottom w:val="single" w:sz="6" w:space="0" w:color="000000"/>
              <w:right w:val="single" w:sz="8" w:space="0" w:color="000000"/>
            </w:tcBorders>
            <w:vAlign w:val="center"/>
            <w:hideMark/>
          </w:tcPr>
          <w:p w14:paraId="619BAD3D" w14:textId="77777777" w:rsidR="008F1EE2" w:rsidRDefault="008F1EE2" w:rsidP="005A3450">
            <w:pPr>
              <w:pStyle w:val="biaogecenter"/>
              <w:wordWrap w:val="0"/>
            </w:pPr>
            <w:r>
              <w:rPr>
                <w:rFonts w:hAnsi="Calibri" w:hint="eastAsia"/>
                <w:color w:val="000000"/>
              </w:rPr>
              <w:t>8</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2C51D940" w14:textId="77777777" w:rsidR="008F1EE2" w:rsidRDefault="008F1EE2" w:rsidP="005A3450">
            <w:pPr>
              <w:pStyle w:val="biaogeleft"/>
              <w:wordWrap w:val="0"/>
            </w:pPr>
            <w:r>
              <w:rPr>
                <w:rFonts w:hint="eastAsia"/>
              </w:rPr>
              <w:t>合计</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5B0828CA" w14:textId="77777777" w:rsidR="008F1EE2" w:rsidRDefault="008F1EE2" w:rsidP="005A3450">
            <w:pPr>
              <w:pStyle w:val="biaogeright"/>
              <w:wordWrap w:val="0"/>
            </w:pPr>
            <w:r>
              <w:rPr>
                <w:rFonts w:hint="eastAsia"/>
              </w:rPr>
              <w:t>51,137.60</w:t>
            </w:r>
          </w:p>
        </w:tc>
      </w:tr>
    </w:tbl>
    <w:p w14:paraId="3BAFD4AF" w14:textId="77777777" w:rsidR="008F1EE2" w:rsidRDefault="008F1EE2" w:rsidP="00220CDC">
      <w:pPr>
        <w:spacing w:line="360" w:lineRule="auto"/>
        <w:rPr>
          <w:rFonts w:ascii="宋体" w:hAnsi="宋体" w:cs="Arial"/>
          <w:bCs/>
          <w:sz w:val="24"/>
        </w:rPr>
      </w:pPr>
    </w:p>
    <w:p w14:paraId="637F12C4" w14:textId="77777777" w:rsidR="00220CDC" w:rsidRDefault="00220CDC" w:rsidP="00220CDC">
      <w:pPr>
        <w:spacing w:line="360" w:lineRule="auto"/>
        <w:rPr>
          <w:rFonts w:ascii="宋体" w:hAnsi="宋体" w:cs="Arial"/>
          <w:bCs/>
          <w:sz w:val="24"/>
        </w:rPr>
      </w:pPr>
      <w:r>
        <w:rPr>
          <w:rFonts w:ascii="宋体" w:hAnsi="宋体" w:cs="Arial" w:hint="eastAsia"/>
          <w:bCs/>
          <w:sz w:val="24"/>
        </w:rPr>
        <w:t>（4）报告期末持有的处于转股期的可转换债券明细</w:t>
      </w:r>
    </w:p>
    <w:p w14:paraId="1CFFD733" w14:textId="77777777" w:rsidR="00220CDC" w:rsidRDefault="00220CDC" w:rsidP="00220CDC">
      <w:pPr>
        <w:spacing w:line="360" w:lineRule="auto"/>
        <w:ind w:firstLineChars="300" w:firstLine="720"/>
        <w:rPr>
          <w:rFonts w:ascii="宋体" w:hAnsi="宋体" w:cs="Arial"/>
          <w:bCs/>
          <w:sz w:val="24"/>
        </w:rPr>
      </w:pPr>
      <w:r>
        <w:rPr>
          <w:rFonts w:ascii="宋体" w:hAnsi="宋体" w:cs="Arial" w:hint="eastAsia"/>
          <w:bCs/>
          <w:sz w:val="24"/>
        </w:rPr>
        <w:t>本基金本报告期末未持有处于转股的可转换债券。</w:t>
      </w:r>
    </w:p>
    <w:p w14:paraId="1DEF8BE2" w14:textId="77777777" w:rsidR="00220CDC" w:rsidRDefault="00220CDC" w:rsidP="00220CDC">
      <w:pPr>
        <w:pStyle w:val="neirong"/>
        <w:rPr>
          <w:rFonts w:cs="Arial"/>
          <w:bCs/>
        </w:rPr>
      </w:pPr>
      <w:r>
        <w:rPr>
          <w:rFonts w:cs="Arial" w:hint="eastAsia"/>
          <w:bCs/>
        </w:rPr>
        <w:t>（5）报告期末前十名股票中存在流通受限情况的说明</w:t>
      </w:r>
    </w:p>
    <w:p w14:paraId="09D6141A" w14:textId="77777777" w:rsidR="00220CDC" w:rsidRDefault="00220CDC" w:rsidP="00E11C09">
      <w:pPr>
        <w:pStyle w:val="neirong"/>
        <w:ind w:firstLineChars="300" w:firstLine="720"/>
      </w:pPr>
      <w:r>
        <w:rPr>
          <w:rFonts w:hint="eastAsia"/>
        </w:rPr>
        <w:t>本基金本报告期末前十名股票中不存在流通受限股票。</w:t>
      </w:r>
    </w:p>
    <w:p w14:paraId="74CDE95B" w14:textId="77777777" w:rsidR="00220CDC" w:rsidRDefault="00220CDC" w:rsidP="00220CDC">
      <w:pPr>
        <w:spacing w:line="360" w:lineRule="auto"/>
        <w:rPr>
          <w:rFonts w:ascii="宋体" w:hAnsi="宋体" w:cs="Arial"/>
          <w:bCs/>
          <w:sz w:val="24"/>
        </w:rPr>
      </w:pPr>
    </w:p>
    <w:p w14:paraId="1A7E45F1" w14:textId="77777777" w:rsidR="00220CDC" w:rsidRDefault="00220CDC" w:rsidP="00220CDC">
      <w:pPr>
        <w:spacing w:line="360" w:lineRule="auto"/>
        <w:rPr>
          <w:rFonts w:ascii="宋体" w:hAnsi="宋体" w:cs="Arial"/>
          <w:bCs/>
          <w:sz w:val="24"/>
        </w:rPr>
      </w:pPr>
      <w:r>
        <w:rPr>
          <w:rFonts w:ascii="宋体" w:hAnsi="宋体" w:cs="Arial" w:hint="eastAsia"/>
          <w:bCs/>
          <w:sz w:val="24"/>
        </w:rPr>
        <w:t>（6）投资组合报告附注的其他文字描述部分</w:t>
      </w:r>
    </w:p>
    <w:p w14:paraId="794DE805" w14:textId="77777777" w:rsidR="00220CDC" w:rsidRDefault="00220CDC" w:rsidP="00220CDC">
      <w:pPr>
        <w:spacing w:line="360" w:lineRule="auto"/>
        <w:ind w:firstLineChars="300" w:firstLine="720"/>
        <w:rPr>
          <w:rFonts w:ascii="宋体" w:hAnsi="宋体" w:cs="Arial"/>
          <w:bCs/>
          <w:sz w:val="24"/>
        </w:rPr>
      </w:pPr>
      <w:r>
        <w:rPr>
          <w:rFonts w:ascii="宋体" w:hAnsi="宋体" w:cs="Arial" w:hint="eastAsia"/>
          <w:bCs/>
          <w:sz w:val="24"/>
        </w:rPr>
        <w:t>由于四舍五入原因，分项之和与合计可能有尾差。</w:t>
      </w:r>
    </w:p>
    <w:p w14:paraId="3CCAEDDF" w14:textId="77777777" w:rsidR="00220CDC" w:rsidRDefault="00220CDC" w:rsidP="00220CDC">
      <w:pPr>
        <w:spacing w:line="360" w:lineRule="auto"/>
        <w:rPr>
          <w:rFonts w:ascii="宋体" w:hAnsi="宋体" w:cs="Arial"/>
          <w:b/>
          <w:sz w:val="24"/>
        </w:rPr>
      </w:pPr>
      <w:r>
        <w:rPr>
          <w:rFonts w:ascii="宋体" w:hAnsi="宋体" w:cs="Arial" w:hint="eastAsia"/>
          <w:b/>
          <w:sz w:val="24"/>
        </w:rPr>
        <w:t>九、基金净值表现</w:t>
      </w:r>
    </w:p>
    <w:p w14:paraId="501446C6" w14:textId="77777777" w:rsidR="00220CDC" w:rsidRDefault="00220CDC" w:rsidP="00220CDC">
      <w:pPr>
        <w:pStyle w:val="zhangjiep2"/>
        <w:spacing w:line="360" w:lineRule="auto"/>
      </w:pPr>
      <w:r>
        <w:rPr>
          <w:rFonts w:hint="eastAsia"/>
          <w:bCs/>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34EBEDB3" w14:textId="77777777" w:rsidR="00220CDC" w:rsidRDefault="00220CDC" w:rsidP="00220CDC">
      <w:pPr>
        <w:pStyle w:val="biaogeleft"/>
      </w:pPr>
      <w:r>
        <w:rPr>
          <w:rFonts w:hint="eastAsia"/>
          <w:bCs/>
        </w:rPr>
        <w:t>（1）富荣福鑫混合A（基金代码：004794）</w:t>
      </w:r>
    </w:p>
    <w:tbl>
      <w:tblPr>
        <w:tblW w:w="8496" w:type="dxa"/>
        <w:jc w:val="center"/>
        <w:tblLayout w:type="fixed"/>
        <w:tblLook w:val="04A0" w:firstRow="1" w:lastRow="0" w:firstColumn="1" w:lastColumn="0" w:noHBand="0" w:noVBand="1"/>
      </w:tblPr>
      <w:tblGrid>
        <w:gridCol w:w="1252"/>
        <w:gridCol w:w="1046"/>
        <w:gridCol w:w="1094"/>
        <w:gridCol w:w="1285"/>
        <w:gridCol w:w="1284"/>
        <w:gridCol w:w="1251"/>
        <w:gridCol w:w="1284"/>
      </w:tblGrid>
      <w:tr w:rsidR="008F1EE2" w14:paraId="30335106" w14:textId="77777777" w:rsidTr="00E11C09">
        <w:trPr>
          <w:jc w:val="center"/>
        </w:trPr>
        <w:tc>
          <w:tcPr>
            <w:tcW w:w="1252" w:type="dxa"/>
            <w:tcBorders>
              <w:top w:val="single" w:sz="8" w:space="0" w:color="000000"/>
              <w:left w:val="single" w:sz="8" w:space="0" w:color="000000"/>
              <w:bottom w:val="single" w:sz="4" w:space="0" w:color="000000"/>
              <w:right w:val="single" w:sz="8" w:space="0" w:color="000000"/>
            </w:tcBorders>
            <w:vAlign w:val="center"/>
            <w:hideMark/>
          </w:tcPr>
          <w:p w14:paraId="3CEFF2EF" w14:textId="77777777" w:rsidR="008F1EE2" w:rsidRDefault="008F1EE2" w:rsidP="005A3450">
            <w:pPr>
              <w:pStyle w:val="biaogeleft"/>
              <w:wordWrap w:val="0"/>
            </w:pPr>
            <w:r>
              <w:rPr>
                <w:rFonts w:hint="eastAsia"/>
              </w:rPr>
              <w:t>阶段</w:t>
            </w:r>
          </w:p>
        </w:tc>
        <w:tc>
          <w:tcPr>
            <w:tcW w:w="1046" w:type="dxa"/>
            <w:tcBorders>
              <w:top w:val="single" w:sz="8" w:space="0" w:color="000000"/>
              <w:left w:val="single" w:sz="8" w:space="0" w:color="000000"/>
              <w:bottom w:val="single" w:sz="4" w:space="0" w:color="000000"/>
              <w:right w:val="single" w:sz="8" w:space="0" w:color="000000"/>
            </w:tcBorders>
            <w:vAlign w:val="center"/>
            <w:hideMark/>
          </w:tcPr>
          <w:p w14:paraId="5C4791E4" w14:textId="77777777" w:rsidR="008F1EE2" w:rsidRDefault="008F1EE2" w:rsidP="005A3450">
            <w:pPr>
              <w:pStyle w:val="biaogecenter"/>
              <w:wordWrap w:val="0"/>
            </w:pPr>
            <w:r>
              <w:rPr>
                <w:rFonts w:hint="eastAsia"/>
              </w:rPr>
              <w:t>净值增长率①</w:t>
            </w:r>
          </w:p>
        </w:tc>
        <w:tc>
          <w:tcPr>
            <w:tcW w:w="1094" w:type="dxa"/>
            <w:tcBorders>
              <w:top w:val="single" w:sz="8" w:space="0" w:color="000000"/>
              <w:left w:val="single" w:sz="8" w:space="0" w:color="000000"/>
              <w:bottom w:val="single" w:sz="4" w:space="0" w:color="000000"/>
              <w:right w:val="single" w:sz="8" w:space="0" w:color="000000"/>
            </w:tcBorders>
            <w:vAlign w:val="center"/>
            <w:hideMark/>
          </w:tcPr>
          <w:p w14:paraId="40B4B437" w14:textId="77777777" w:rsidR="008F1EE2" w:rsidRDefault="008F1EE2" w:rsidP="005A3450">
            <w:pPr>
              <w:pStyle w:val="biaogecenter"/>
              <w:wordWrap w:val="0"/>
            </w:pPr>
            <w:r>
              <w:rPr>
                <w:rFonts w:hint="eastAsia"/>
              </w:rPr>
              <w:t>净值增长率标准差②</w:t>
            </w:r>
          </w:p>
        </w:tc>
        <w:tc>
          <w:tcPr>
            <w:tcW w:w="1285" w:type="dxa"/>
            <w:tcBorders>
              <w:top w:val="single" w:sz="8" w:space="0" w:color="000000"/>
              <w:left w:val="single" w:sz="8" w:space="0" w:color="000000"/>
              <w:bottom w:val="single" w:sz="4" w:space="0" w:color="000000"/>
              <w:right w:val="single" w:sz="8" w:space="0" w:color="000000"/>
            </w:tcBorders>
            <w:vAlign w:val="center"/>
            <w:hideMark/>
          </w:tcPr>
          <w:p w14:paraId="6F727A65" w14:textId="77777777" w:rsidR="008F1EE2" w:rsidRDefault="008F1EE2" w:rsidP="005A3450">
            <w:pPr>
              <w:pStyle w:val="biaogecenter"/>
              <w:wordWrap w:val="0"/>
            </w:pPr>
            <w:r>
              <w:rPr>
                <w:rFonts w:hint="eastAsia"/>
              </w:rPr>
              <w:t>业绩比较基准收益率③</w:t>
            </w:r>
          </w:p>
        </w:tc>
        <w:tc>
          <w:tcPr>
            <w:tcW w:w="1284" w:type="dxa"/>
            <w:tcBorders>
              <w:top w:val="single" w:sz="8" w:space="0" w:color="000000"/>
              <w:left w:val="single" w:sz="8" w:space="0" w:color="000000"/>
              <w:bottom w:val="single" w:sz="4" w:space="0" w:color="000000"/>
              <w:right w:val="single" w:sz="8" w:space="0" w:color="000000"/>
            </w:tcBorders>
            <w:vAlign w:val="center"/>
            <w:hideMark/>
          </w:tcPr>
          <w:p w14:paraId="15CE5B6C" w14:textId="77777777" w:rsidR="008F1EE2" w:rsidRDefault="008F1EE2" w:rsidP="005A3450">
            <w:pPr>
              <w:pStyle w:val="biaogecenter"/>
              <w:wordWrap w:val="0"/>
            </w:pPr>
            <w:r>
              <w:rPr>
                <w:rFonts w:hint="eastAsia"/>
              </w:rPr>
              <w:t>业绩比较基准收益率标准差④</w:t>
            </w:r>
          </w:p>
        </w:tc>
        <w:tc>
          <w:tcPr>
            <w:tcW w:w="1251" w:type="dxa"/>
            <w:tcBorders>
              <w:top w:val="single" w:sz="8" w:space="0" w:color="000000"/>
              <w:left w:val="single" w:sz="8" w:space="0" w:color="000000"/>
              <w:bottom w:val="single" w:sz="4" w:space="0" w:color="000000"/>
              <w:right w:val="single" w:sz="8" w:space="0" w:color="000000"/>
            </w:tcBorders>
            <w:vAlign w:val="center"/>
            <w:hideMark/>
          </w:tcPr>
          <w:p w14:paraId="2895F2E9" w14:textId="77777777" w:rsidR="008F1EE2" w:rsidRDefault="008F1EE2" w:rsidP="005A3450">
            <w:pPr>
              <w:pStyle w:val="biaogecenter"/>
              <w:wordWrap w:val="0"/>
            </w:pPr>
            <w:r>
              <w:rPr>
                <w:rFonts w:hint="eastAsia"/>
              </w:rPr>
              <w:t>①-③</w:t>
            </w:r>
          </w:p>
        </w:tc>
        <w:tc>
          <w:tcPr>
            <w:tcW w:w="1284" w:type="dxa"/>
            <w:tcBorders>
              <w:top w:val="single" w:sz="8" w:space="0" w:color="000000"/>
              <w:left w:val="single" w:sz="8" w:space="0" w:color="000000"/>
              <w:bottom w:val="single" w:sz="4" w:space="0" w:color="000000"/>
              <w:right w:val="single" w:sz="8" w:space="0" w:color="000000"/>
            </w:tcBorders>
            <w:vAlign w:val="center"/>
            <w:hideMark/>
          </w:tcPr>
          <w:p w14:paraId="1B94A2B9" w14:textId="77777777" w:rsidR="008F1EE2" w:rsidRDefault="008F1EE2" w:rsidP="005A3450">
            <w:pPr>
              <w:pStyle w:val="biaogecenter"/>
              <w:wordWrap w:val="0"/>
            </w:pPr>
            <w:r>
              <w:rPr>
                <w:rFonts w:hint="eastAsia"/>
              </w:rPr>
              <w:t>②-④</w:t>
            </w:r>
          </w:p>
        </w:tc>
      </w:tr>
      <w:tr w:rsidR="008F1EE2" w14:paraId="67D8C095" w14:textId="77777777" w:rsidTr="00E11C09">
        <w:trPr>
          <w:trHeight w:val="4"/>
          <w:jc w:val="center"/>
        </w:trPr>
        <w:tc>
          <w:tcPr>
            <w:tcW w:w="1252" w:type="dxa"/>
            <w:tcBorders>
              <w:top w:val="single" w:sz="8" w:space="0" w:color="000000"/>
              <w:left w:val="single" w:sz="8" w:space="0" w:color="000000"/>
              <w:bottom w:val="single" w:sz="8" w:space="0" w:color="000000"/>
              <w:right w:val="single" w:sz="8" w:space="0" w:color="000000"/>
            </w:tcBorders>
            <w:vAlign w:val="center"/>
            <w:hideMark/>
          </w:tcPr>
          <w:p w14:paraId="3BB82766" w14:textId="77777777" w:rsidR="008F1EE2" w:rsidRDefault="008F1EE2" w:rsidP="005A3450">
            <w:pPr>
              <w:pStyle w:val="biaogeleft"/>
              <w:wordWrap w:val="0"/>
            </w:pPr>
            <w:r>
              <w:rPr>
                <w:rFonts w:hint="eastAsia"/>
                <w:color w:val="000000"/>
              </w:rPr>
              <w:lastRenderedPageBreak/>
              <w:t>2019.01.01~2019.06.30</w:t>
            </w:r>
          </w:p>
        </w:tc>
        <w:tc>
          <w:tcPr>
            <w:tcW w:w="1046" w:type="dxa"/>
            <w:tcBorders>
              <w:top w:val="single" w:sz="8" w:space="0" w:color="000000"/>
              <w:left w:val="single" w:sz="8" w:space="0" w:color="000000"/>
              <w:bottom w:val="single" w:sz="8" w:space="0" w:color="000000"/>
              <w:right w:val="single" w:sz="8" w:space="0" w:color="000000"/>
            </w:tcBorders>
            <w:vAlign w:val="center"/>
            <w:hideMark/>
          </w:tcPr>
          <w:p w14:paraId="22CC5431" w14:textId="77777777" w:rsidR="008F1EE2" w:rsidRDefault="008F1EE2" w:rsidP="005A3450">
            <w:pPr>
              <w:pStyle w:val="biaogecenter"/>
              <w:wordWrap w:val="0"/>
            </w:pPr>
            <w:r>
              <w:rPr>
                <w:rFonts w:hint="eastAsia"/>
              </w:rPr>
              <w:t>-0.51%</w:t>
            </w:r>
          </w:p>
        </w:tc>
        <w:tc>
          <w:tcPr>
            <w:tcW w:w="1094" w:type="dxa"/>
            <w:tcBorders>
              <w:top w:val="single" w:sz="8" w:space="0" w:color="000000"/>
              <w:left w:val="single" w:sz="8" w:space="0" w:color="000000"/>
              <w:bottom w:val="single" w:sz="8" w:space="0" w:color="000000"/>
              <w:right w:val="single" w:sz="8" w:space="0" w:color="000000"/>
            </w:tcBorders>
            <w:vAlign w:val="center"/>
            <w:hideMark/>
          </w:tcPr>
          <w:p w14:paraId="13C69101" w14:textId="77777777" w:rsidR="008F1EE2" w:rsidRDefault="008F1EE2" w:rsidP="005A3450">
            <w:pPr>
              <w:pStyle w:val="biaogecenter"/>
              <w:wordWrap w:val="0"/>
            </w:pPr>
            <w:r>
              <w:rPr>
                <w:rFonts w:hint="eastAsia"/>
              </w:rPr>
              <w:t>0.22%</w:t>
            </w:r>
          </w:p>
        </w:tc>
        <w:tc>
          <w:tcPr>
            <w:tcW w:w="1285" w:type="dxa"/>
            <w:tcBorders>
              <w:top w:val="single" w:sz="8" w:space="0" w:color="000000"/>
              <w:left w:val="single" w:sz="8" w:space="0" w:color="000000"/>
              <w:bottom w:val="single" w:sz="8" w:space="0" w:color="000000"/>
              <w:right w:val="single" w:sz="8" w:space="0" w:color="000000"/>
            </w:tcBorders>
            <w:vAlign w:val="center"/>
            <w:hideMark/>
          </w:tcPr>
          <w:p w14:paraId="43B5857E" w14:textId="77777777" w:rsidR="008F1EE2" w:rsidRDefault="008F1EE2" w:rsidP="005A3450">
            <w:pPr>
              <w:pStyle w:val="biaogecenter"/>
              <w:wordWrap w:val="0"/>
            </w:pPr>
            <w:r>
              <w:rPr>
                <w:rFonts w:hint="eastAsia"/>
              </w:rPr>
              <w:t>9.34%</w:t>
            </w:r>
          </w:p>
        </w:tc>
        <w:tc>
          <w:tcPr>
            <w:tcW w:w="1284" w:type="dxa"/>
            <w:tcBorders>
              <w:top w:val="single" w:sz="8" w:space="0" w:color="000000"/>
              <w:left w:val="single" w:sz="8" w:space="0" w:color="000000"/>
              <w:bottom w:val="single" w:sz="8" w:space="0" w:color="000000"/>
              <w:right w:val="single" w:sz="8" w:space="0" w:color="000000"/>
            </w:tcBorders>
            <w:vAlign w:val="center"/>
            <w:hideMark/>
          </w:tcPr>
          <w:p w14:paraId="25CEFA1B" w14:textId="77777777" w:rsidR="008F1EE2" w:rsidRDefault="008F1EE2" w:rsidP="005A3450">
            <w:pPr>
              <w:pStyle w:val="biaogecenter"/>
              <w:wordWrap w:val="0"/>
            </w:pPr>
            <w:r>
              <w:rPr>
                <w:rFonts w:hint="eastAsia"/>
              </w:rPr>
              <w:t>0.45%</w:t>
            </w:r>
          </w:p>
        </w:tc>
        <w:tc>
          <w:tcPr>
            <w:tcW w:w="1251" w:type="dxa"/>
            <w:tcBorders>
              <w:top w:val="single" w:sz="8" w:space="0" w:color="000000"/>
              <w:left w:val="single" w:sz="8" w:space="0" w:color="000000"/>
              <w:bottom w:val="single" w:sz="8" w:space="0" w:color="000000"/>
              <w:right w:val="single" w:sz="8" w:space="0" w:color="000000"/>
            </w:tcBorders>
            <w:vAlign w:val="center"/>
            <w:hideMark/>
          </w:tcPr>
          <w:p w14:paraId="105DB4A7" w14:textId="77777777" w:rsidR="008F1EE2" w:rsidRDefault="008F1EE2" w:rsidP="005A3450">
            <w:pPr>
              <w:pStyle w:val="biaogecenter"/>
              <w:wordWrap w:val="0"/>
            </w:pPr>
            <w:r>
              <w:rPr>
                <w:rFonts w:hint="eastAsia"/>
              </w:rPr>
              <w:t>-9.85%</w:t>
            </w:r>
          </w:p>
        </w:tc>
        <w:tc>
          <w:tcPr>
            <w:tcW w:w="1284" w:type="dxa"/>
            <w:tcBorders>
              <w:top w:val="single" w:sz="8" w:space="0" w:color="000000"/>
              <w:left w:val="single" w:sz="8" w:space="0" w:color="000000"/>
              <w:bottom w:val="single" w:sz="8" w:space="0" w:color="000000"/>
              <w:right w:val="single" w:sz="8" w:space="0" w:color="000000"/>
            </w:tcBorders>
            <w:vAlign w:val="center"/>
            <w:hideMark/>
          </w:tcPr>
          <w:p w14:paraId="75E83226" w14:textId="77777777" w:rsidR="008F1EE2" w:rsidRDefault="008F1EE2" w:rsidP="005A3450">
            <w:pPr>
              <w:pStyle w:val="biaogecenter"/>
              <w:wordWrap w:val="0"/>
            </w:pPr>
            <w:r>
              <w:rPr>
                <w:rFonts w:hint="eastAsia"/>
              </w:rPr>
              <w:t>-0.23%</w:t>
            </w:r>
          </w:p>
        </w:tc>
      </w:tr>
      <w:tr w:rsidR="008F1EE2" w14:paraId="2F334981" w14:textId="77777777" w:rsidTr="00E11C09">
        <w:trPr>
          <w:trHeight w:val="4"/>
          <w:jc w:val="center"/>
        </w:trPr>
        <w:tc>
          <w:tcPr>
            <w:tcW w:w="1252" w:type="dxa"/>
            <w:tcBorders>
              <w:top w:val="single" w:sz="8" w:space="0" w:color="000000"/>
              <w:left w:val="single" w:sz="8" w:space="0" w:color="000000"/>
              <w:bottom w:val="single" w:sz="4" w:space="0" w:color="000000"/>
              <w:right w:val="single" w:sz="8" w:space="0" w:color="000000"/>
            </w:tcBorders>
            <w:vAlign w:val="center"/>
            <w:hideMark/>
          </w:tcPr>
          <w:p w14:paraId="0160F9D0" w14:textId="77777777" w:rsidR="008F1EE2" w:rsidRDefault="008F1EE2" w:rsidP="005A3450">
            <w:pPr>
              <w:pStyle w:val="biaogeleft"/>
              <w:wordWrap w:val="0"/>
              <w:rPr>
                <w:color w:val="000000"/>
              </w:rPr>
            </w:pPr>
            <w:r>
              <w:rPr>
                <w:rFonts w:hint="eastAsia"/>
                <w:color w:val="000000"/>
              </w:rPr>
              <w:t>2018.2.13~2018.12.31</w:t>
            </w:r>
          </w:p>
        </w:tc>
        <w:tc>
          <w:tcPr>
            <w:tcW w:w="1046" w:type="dxa"/>
            <w:tcBorders>
              <w:top w:val="single" w:sz="8" w:space="0" w:color="000000"/>
              <w:left w:val="single" w:sz="8" w:space="0" w:color="000000"/>
              <w:bottom w:val="single" w:sz="4" w:space="0" w:color="000000"/>
              <w:right w:val="single" w:sz="8" w:space="0" w:color="000000"/>
            </w:tcBorders>
            <w:vAlign w:val="center"/>
            <w:hideMark/>
          </w:tcPr>
          <w:p w14:paraId="005C4056" w14:textId="77777777" w:rsidR="008F1EE2" w:rsidRDefault="008F1EE2" w:rsidP="005A3450">
            <w:pPr>
              <w:pStyle w:val="biaogecenter"/>
              <w:wordWrap w:val="0"/>
            </w:pPr>
            <w:r>
              <w:rPr>
                <w:rFonts w:hint="eastAsia"/>
              </w:rPr>
              <w:t>-0.83%</w:t>
            </w:r>
          </w:p>
        </w:tc>
        <w:tc>
          <w:tcPr>
            <w:tcW w:w="1094" w:type="dxa"/>
            <w:tcBorders>
              <w:top w:val="single" w:sz="8" w:space="0" w:color="000000"/>
              <w:left w:val="single" w:sz="8" w:space="0" w:color="000000"/>
              <w:bottom w:val="single" w:sz="4" w:space="0" w:color="000000"/>
              <w:right w:val="single" w:sz="8" w:space="0" w:color="000000"/>
            </w:tcBorders>
            <w:vAlign w:val="center"/>
            <w:hideMark/>
          </w:tcPr>
          <w:p w14:paraId="6E1CD751" w14:textId="77777777" w:rsidR="008F1EE2" w:rsidRDefault="008F1EE2" w:rsidP="005A3450">
            <w:pPr>
              <w:pStyle w:val="biaogecenter"/>
              <w:wordWrap w:val="0"/>
            </w:pPr>
            <w:r>
              <w:rPr>
                <w:rFonts w:hint="eastAsia"/>
              </w:rPr>
              <w:t>0.26%</w:t>
            </w:r>
          </w:p>
        </w:tc>
        <w:tc>
          <w:tcPr>
            <w:tcW w:w="1285" w:type="dxa"/>
            <w:tcBorders>
              <w:top w:val="single" w:sz="8" w:space="0" w:color="000000"/>
              <w:left w:val="single" w:sz="8" w:space="0" w:color="000000"/>
              <w:bottom w:val="single" w:sz="4" w:space="0" w:color="000000"/>
              <w:right w:val="single" w:sz="8" w:space="0" w:color="000000"/>
            </w:tcBorders>
            <w:vAlign w:val="center"/>
            <w:hideMark/>
          </w:tcPr>
          <w:p w14:paraId="637D2CFB" w14:textId="77777777" w:rsidR="008F1EE2" w:rsidRDefault="008F1EE2" w:rsidP="008F1EE2">
            <w:pPr>
              <w:pStyle w:val="biaogecenter"/>
              <w:wordWrap w:val="0"/>
              <w:ind w:leftChars="7" w:firstLineChars="50" w:firstLine="120"/>
            </w:pPr>
            <w:r>
              <w:rPr>
                <w:rFonts w:hint="eastAsia"/>
              </w:rPr>
              <w:t>-1.77%</w:t>
            </w:r>
          </w:p>
        </w:tc>
        <w:tc>
          <w:tcPr>
            <w:tcW w:w="1284" w:type="dxa"/>
            <w:tcBorders>
              <w:top w:val="single" w:sz="8" w:space="0" w:color="000000"/>
              <w:left w:val="single" w:sz="8" w:space="0" w:color="000000"/>
              <w:bottom w:val="single" w:sz="4" w:space="0" w:color="000000"/>
              <w:right w:val="single" w:sz="8" w:space="0" w:color="000000"/>
            </w:tcBorders>
            <w:vAlign w:val="center"/>
            <w:hideMark/>
          </w:tcPr>
          <w:p w14:paraId="54337292" w14:textId="77777777" w:rsidR="008F1EE2" w:rsidRDefault="008F1EE2" w:rsidP="008F1EE2">
            <w:pPr>
              <w:pStyle w:val="biaogecenter"/>
              <w:wordWrap w:val="0"/>
              <w:ind w:leftChars="7" w:firstLineChars="100" w:firstLine="240"/>
            </w:pPr>
            <w:r>
              <w:rPr>
                <w:rFonts w:hint="eastAsia"/>
              </w:rPr>
              <w:t>0.40%</w:t>
            </w:r>
          </w:p>
        </w:tc>
        <w:tc>
          <w:tcPr>
            <w:tcW w:w="1251" w:type="dxa"/>
            <w:tcBorders>
              <w:top w:val="single" w:sz="8" w:space="0" w:color="000000"/>
              <w:left w:val="single" w:sz="8" w:space="0" w:color="000000"/>
              <w:bottom w:val="single" w:sz="4" w:space="0" w:color="000000"/>
              <w:right w:val="single" w:sz="8" w:space="0" w:color="000000"/>
            </w:tcBorders>
            <w:vAlign w:val="center"/>
            <w:hideMark/>
          </w:tcPr>
          <w:p w14:paraId="54BF3FA0" w14:textId="77777777" w:rsidR="008F1EE2" w:rsidRDefault="008F1EE2" w:rsidP="008F1EE2">
            <w:pPr>
              <w:pStyle w:val="biaogecenter"/>
              <w:wordWrap w:val="0"/>
              <w:ind w:leftChars="7" w:firstLineChars="50" w:firstLine="120"/>
            </w:pPr>
            <w:r>
              <w:rPr>
                <w:rFonts w:hint="eastAsia"/>
              </w:rPr>
              <w:t>0.94%</w:t>
            </w:r>
          </w:p>
        </w:tc>
        <w:tc>
          <w:tcPr>
            <w:tcW w:w="1284" w:type="dxa"/>
            <w:tcBorders>
              <w:top w:val="single" w:sz="8" w:space="0" w:color="000000"/>
              <w:left w:val="single" w:sz="8" w:space="0" w:color="000000"/>
              <w:bottom w:val="single" w:sz="4" w:space="0" w:color="000000"/>
              <w:right w:val="single" w:sz="8" w:space="0" w:color="000000"/>
            </w:tcBorders>
            <w:vAlign w:val="center"/>
            <w:hideMark/>
          </w:tcPr>
          <w:p w14:paraId="47F8CF3E" w14:textId="77777777" w:rsidR="008F1EE2" w:rsidRDefault="008F1EE2" w:rsidP="008F1EE2">
            <w:pPr>
              <w:pStyle w:val="biaogecenter"/>
              <w:wordWrap w:val="0"/>
              <w:ind w:leftChars="7" w:firstLineChars="50" w:firstLine="120"/>
            </w:pPr>
            <w:r>
              <w:rPr>
                <w:rFonts w:hint="eastAsia"/>
              </w:rPr>
              <w:t>-0.14%</w:t>
            </w:r>
          </w:p>
        </w:tc>
      </w:tr>
      <w:tr w:rsidR="008F1EE2" w14:paraId="763E1D50" w14:textId="77777777" w:rsidTr="00E11C09">
        <w:trPr>
          <w:trHeight w:val="4"/>
          <w:jc w:val="center"/>
        </w:trPr>
        <w:tc>
          <w:tcPr>
            <w:tcW w:w="1252" w:type="dxa"/>
            <w:tcBorders>
              <w:top w:val="single" w:sz="8" w:space="0" w:color="000000"/>
              <w:left w:val="single" w:sz="8" w:space="0" w:color="000000"/>
              <w:bottom w:val="single" w:sz="4" w:space="0" w:color="000000"/>
              <w:right w:val="single" w:sz="8" w:space="0" w:color="000000"/>
            </w:tcBorders>
            <w:vAlign w:val="center"/>
            <w:hideMark/>
          </w:tcPr>
          <w:p w14:paraId="5D979461" w14:textId="77777777" w:rsidR="008F1EE2" w:rsidRDefault="008F1EE2" w:rsidP="005A3450">
            <w:pPr>
              <w:pStyle w:val="biaogeleft"/>
              <w:wordWrap w:val="0"/>
              <w:rPr>
                <w:color w:val="000000"/>
              </w:rPr>
            </w:pPr>
            <w:r>
              <w:rPr>
                <w:rFonts w:hint="eastAsia"/>
                <w:color w:val="000000"/>
              </w:rPr>
              <w:t>自基金合同生效日至2019.06.30</w:t>
            </w:r>
          </w:p>
        </w:tc>
        <w:tc>
          <w:tcPr>
            <w:tcW w:w="1046" w:type="dxa"/>
            <w:tcBorders>
              <w:top w:val="single" w:sz="8" w:space="0" w:color="000000"/>
              <w:left w:val="single" w:sz="8" w:space="0" w:color="000000"/>
              <w:bottom w:val="single" w:sz="4" w:space="0" w:color="000000"/>
              <w:right w:val="single" w:sz="8" w:space="0" w:color="000000"/>
            </w:tcBorders>
            <w:vAlign w:val="center"/>
            <w:hideMark/>
          </w:tcPr>
          <w:p w14:paraId="1B244820" w14:textId="77777777" w:rsidR="008F1EE2" w:rsidRDefault="008F1EE2" w:rsidP="005A3450">
            <w:pPr>
              <w:pStyle w:val="biaogecenter"/>
              <w:wordWrap w:val="0"/>
            </w:pPr>
            <w:r>
              <w:rPr>
                <w:rFonts w:hint="eastAsia"/>
              </w:rPr>
              <w:t>-1.34%</w:t>
            </w:r>
          </w:p>
        </w:tc>
        <w:tc>
          <w:tcPr>
            <w:tcW w:w="1094" w:type="dxa"/>
            <w:tcBorders>
              <w:top w:val="single" w:sz="8" w:space="0" w:color="000000"/>
              <w:left w:val="single" w:sz="8" w:space="0" w:color="000000"/>
              <w:bottom w:val="single" w:sz="4" w:space="0" w:color="000000"/>
              <w:right w:val="single" w:sz="8" w:space="0" w:color="000000"/>
            </w:tcBorders>
            <w:vAlign w:val="center"/>
            <w:hideMark/>
          </w:tcPr>
          <w:p w14:paraId="59EFA2E7" w14:textId="77777777" w:rsidR="008F1EE2" w:rsidRDefault="008F1EE2" w:rsidP="005A3450">
            <w:pPr>
              <w:pStyle w:val="biaogecenter"/>
              <w:wordWrap w:val="0"/>
            </w:pPr>
            <w:r>
              <w:rPr>
                <w:rFonts w:hint="eastAsia"/>
              </w:rPr>
              <w:t>0.25%</w:t>
            </w:r>
          </w:p>
        </w:tc>
        <w:tc>
          <w:tcPr>
            <w:tcW w:w="1285" w:type="dxa"/>
            <w:tcBorders>
              <w:top w:val="single" w:sz="8" w:space="0" w:color="000000"/>
              <w:left w:val="single" w:sz="8" w:space="0" w:color="000000"/>
              <w:bottom w:val="single" w:sz="4" w:space="0" w:color="000000"/>
              <w:right w:val="single" w:sz="8" w:space="0" w:color="000000"/>
            </w:tcBorders>
            <w:vAlign w:val="center"/>
            <w:hideMark/>
          </w:tcPr>
          <w:p w14:paraId="5949695C" w14:textId="77777777" w:rsidR="008F1EE2" w:rsidRDefault="008F1EE2" w:rsidP="005A3450">
            <w:pPr>
              <w:pStyle w:val="biaogecenter"/>
              <w:wordWrap w:val="0"/>
              <w:ind w:leftChars="7" w:firstLineChars="50" w:firstLine="120"/>
            </w:pPr>
            <w:r>
              <w:rPr>
                <w:rFonts w:hint="eastAsia"/>
              </w:rPr>
              <w:t>7.40%</w:t>
            </w:r>
          </w:p>
        </w:tc>
        <w:tc>
          <w:tcPr>
            <w:tcW w:w="1284" w:type="dxa"/>
            <w:tcBorders>
              <w:top w:val="single" w:sz="8" w:space="0" w:color="000000"/>
              <w:left w:val="single" w:sz="8" w:space="0" w:color="000000"/>
              <w:bottom w:val="single" w:sz="4" w:space="0" w:color="000000"/>
              <w:right w:val="single" w:sz="8" w:space="0" w:color="000000"/>
            </w:tcBorders>
            <w:vAlign w:val="center"/>
            <w:hideMark/>
          </w:tcPr>
          <w:p w14:paraId="705BC868" w14:textId="77777777" w:rsidR="008F1EE2" w:rsidRDefault="008F1EE2" w:rsidP="005A3450">
            <w:pPr>
              <w:pStyle w:val="biaogecenter"/>
              <w:wordWrap w:val="0"/>
              <w:ind w:leftChars="7" w:firstLineChars="100" w:firstLine="240"/>
            </w:pPr>
            <w:r>
              <w:rPr>
                <w:rFonts w:hint="eastAsia"/>
              </w:rPr>
              <w:t>0.42%</w:t>
            </w:r>
          </w:p>
        </w:tc>
        <w:tc>
          <w:tcPr>
            <w:tcW w:w="1251" w:type="dxa"/>
            <w:tcBorders>
              <w:top w:val="single" w:sz="8" w:space="0" w:color="000000"/>
              <w:left w:val="single" w:sz="8" w:space="0" w:color="000000"/>
              <w:bottom w:val="single" w:sz="4" w:space="0" w:color="000000"/>
              <w:right w:val="single" w:sz="8" w:space="0" w:color="000000"/>
            </w:tcBorders>
            <w:vAlign w:val="center"/>
            <w:hideMark/>
          </w:tcPr>
          <w:p w14:paraId="0C2443C2" w14:textId="77777777" w:rsidR="008F1EE2" w:rsidRDefault="008F1EE2" w:rsidP="005A3450">
            <w:pPr>
              <w:pStyle w:val="biaogecenter"/>
              <w:wordWrap w:val="0"/>
              <w:ind w:leftChars="7" w:firstLineChars="50" w:firstLine="120"/>
            </w:pPr>
            <w:r>
              <w:rPr>
                <w:rFonts w:hint="eastAsia"/>
              </w:rPr>
              <w:t>-8.74%</w:t>
            </w:r>
          </w:p>
        </w:tc>
        <w:tc>
          <w:tcPr>
            <w:tcW w:w="1284" w:type="dxa"/>
            <w:tcBorders>
              <w:top w:val="single" w:sz="8" w:space="0" w:color="000000"/>
              <w:left w:val="single" w:sz="8" w:space="0" w:color="000000"/>
              <w:bottom w:val="single" w:sz="4" w:space="0" w:color="000000"/>
              <w:right w:val="single" w:sz="8" w:space="0" w:color="000000"/>
            </w:tcBorders>
            <w:vAlign w:val="center"/>
            <w:hideMark/>
          </w:tcPr>
          <w:p w14:paraId="66481442" w14:textId="77777777" w:rsidR="008F1EE2" w:rsidRDefault="008F1EE2" w:rsidP="005A3450">
            <w:pPr>
              <w:pStyle w:val="biaogecenter"/>
              <w:wordWrap w:val="0"/>
              <w:ind w:leftChars="7" w:firstLineChars="50" w:firstLine="120"/>
            </w:pPr>
            <w:r>
              <w:rPr>
                <w:rFonts w:hint="eastAsia"/>
              </w:rPr>
              <w:t>-0.17%</w:t>
            </w:r>
          </w:p>
        </w:tc>
      </w:tr>
    </w:tbl>
    <w:p w14:paraId="47F77123" w14:textId="77777777" w:rsidR="008F1EE2" w:rsidRDefault="008F1EE2" w:rsidP="00220CDC">
      <w:pPr>
        <w:spacing w:line="360" w:lineRule="auto"/>
        <w:rPr>
          <w:rFonts w:ascii="宋体" w:eastAsia="宋体" w:hAnsi="宋体" w:cs="宋体"/>
          <w:bCs/>
          <w:sz w:val="24"/>
        </w:rPr>
      </w:pPr>
    </w:p>
    <w:p w14:paraId="7ABC14EB" w14:textId="77777777" w:rsidR="00220CDC" w:rsidRDefault="00220CDC" w:rsidP="00220CDC">
      <w:pPr>
        <w:pStyle w:val="biaogeleft"/>
      </w:pPr>
      <w:r>
        <w:rPr>
          <w:rFonts w:hint="eastAsia"/>
          <w:bCs/>
        </w:rPr>
        <w:t>（2）富荣福鑫混合C（基金代码：004795）</w:t>
      </w:r>
    </w:p>
    <w:p w14:paraId="4E48D920" w14:textId="77777777" w:rsidR="008F1EE2" w:rsidRDefault="008F1EE2" w:rsidP="00220CDC">
      <w:pPr>
        <w:spacing w:line="360" w:lineRule="auto"/>
        <w:rPr>
          <w:rFonts w:ascii="宋体" w:eastAsia="宋体" w:hAnsi="宋体" w:cs="宋体"/>
          <w:bCs/>
          <w:sz w:val="24"/>
        </w:rPr>
      </w:pPr>
    </w:p>
    <w:tbl>
      <w:tblPr>
        <w:tblW w:w="8760" w:type="dxa"/>
        <w:jc w:val="center"/>
        <w:tblLayout w:type="fixed"/>
        <w:tblLook w:val="04A0" w:firstRow="1" w:lastRow="0" w:firstColumn="1" w:lastColumn="0" w:noHBand="0" w:noVBand="1"/>
      </w:tblPr>
      <w:tblGrid>
        <w:gridCol w:w="1305"/>
        <w:gridCol w:w="1179"/>
        <w:gridCol w:w="1183"/>
        <w:gridCol w:w="1275"/>
        <w:gridCol w:w="1327"/>
        <w:gridCol w:w="1065"/>
        <w:gridCol w:w="1426"/>
      </w:tblGrid>
      <w:tr w:rsidR="008F1EE2" w14:paraId="49B6998E" w14:textId="77777777" w:rsidTr="008F1EE2">
        <w:trPr>
          <w:trHeight w:val="1112"/>
          <w:jc w:val="center"/>
        </w:trPr>
        <w:tc>
          <w:tcPr>
            <w:tcW w:w="1305" w:type="dxa"/>
            <w:tcBorders>
              <w:top w:val="single" w:sz="8" w:space="0" w:color="000000"/>
              <w:left w:val="single" w:sz="8" w:space="0" w:color="000000"/>
              <w:bottom w:val="single" w:sz="4" w:space="0" w:color="000000"/>
              <w:right w:val="single" w:sz="8" w:space="0" w:color="000000"/>
            </w:tcBorders>
            <w:vAlign w:val="center"/>
            <w:hideMark/>
          </w:tcPr>
          <w:p w14:paraId="5BBE82DB" w14:textId="77777777" w:rsidR="008F1EE2" w:rsidRDefault="008F1EE2" w:rsidP="005A3450">
            <w:pPr>
              <w:pStyle w:val="biaogeleft"/>
              <w:wordWrap w:val="0"/>
            </w:pPr>
            <w:r>
              <w:rPr>
                <w:rFonts w:hint="eastAsia"/>
              </w:rPr>
              <w:t>阶段</w:t>
            </w:r>
          </w:p>
        </w:tc>
        <w:tc>
          <w:tcPr>
            <w:tcW w:w="1179" w:type="dxa"/>
            <w:tcBorders>
              <w:top w:val="single" w:sz="8" w:space="0" w:color="000000"/>
              <w:left w:val="single" w:sz="8" w:space="0" w:color="000000"/>
              <w:bottom w:val="single" w:sz="4" w:space="0" w:color="000000"/>
              <w:right w:val="single" w:sz="8" w:space="0" w:color="000000"/>
            </w:tcBorders>
            <w:vAlign w:val="center"/>
            <w:hideMark/>
          </w:tcPr>
          <w:p w14:paraId="36AEEA6B" w14:textId="77777777" w:rsidR="008F1EE2" w:rsidRDefault="008F1EE2" w:rsidP="005A3450">
            <w:pPr>
              <w:pStyle w:val="biaogecenter"/>
              <w:wordWrap w:val="0"/>
            </w:pPr>
            <w:r>
              <w:rPr>
                <w:rFonts w:hint="eastAsia"/>
              </w:rPr>
              <w:t>净值增长率①</w:t>
            </w:r>
          </w:p>
        </w:tc>
        <w:tc>
          <w:tcPr>
            <w:tcW w:w="1183" w:type="dxa"/>
            <w:tcBorders>
              <w:top w:val="single" w:sz="8" w:space="0" w:color="000000"/>
              <w:left w:val="single" w:sz="8" w:space="0" w:color="000000"/>
              <w:bottom w:val="single" w:sz="4" w:space="0" w:color="000000"/>
              <w:right w:val="single" w:sz="8" w:space="0" w:color="000000"/>
            </w:tcBorders>
            <w:vAlign w:val="center"/>
            <w:hideMark/>
          </w:tcPr>
          <w:p w14:paraId="6F63E30F" w14:textId="77777777" w:rsidR="008F1EE2" w:rsidRDefault="008F1EE2" w:rsidP="005A3450">
            <w:pPr>
              <w:pStyle w:val="biaogecenter"/>
              <w:wordWrap w:val="0"/>
            </w:pPr>
            <w:r>
              <w:rPr>
                <w:rFonts w:hint="eastAsia"/>
              </w:rPr>
              <w:t>净值增长率标准差②</w:t>
            </w:r>
          </w:p>
        </w:tc>
        <w:tc>
          <w:tcPr>
            <w:tcW w:w="1275" w:type="dxa"/>
            <w:tcBorders>
              <w:top w:val="single" w:sz="8" w:space="0" w:color="000000"/>
              <w:left w:val="single" w:sz="8" w:space="0" w:color="000000"/>
              <w:bottom w:val="single" w:sz="4" w:space="0" w:color="000000"/>
              <w:right w:val="single" w:sz="8" w:space="0" w:color="000000"/>
            </w:tcBorders>
            <w:vAlign w:val="center"/>
            <w:hideMark/>
          </w:tcPr>
          <w:p w14:paraId="660AAEA2" w14:textId="77777777" w:rsidR="008F1EE2" w:rsidRDefault="008F1EE2" w:rsidP="005A3450">
            <w:pPr>
              <w:pStyle w:val="biaogecenter"/>
              <w:wordWrap w:val="0"/>
            </w:pPr>
            <w:r>
              <w:rPr>
                <w:rFonts w:hint="eastAsia"/>
              </w:rPr>
              <w:t>业绩比较基准收益率③</w:t>
            </w:r>
          </w:p>
        </w:tc>
        <w:tc>
          <w:tcPr>
            <w:tcW w:w="1327" w:type="dxa"/>
            <w:tcBorders>
              <w:top w:val="single" w:sz="8" w:space="0" w:color="000000"/>
              <w:left w:val="single" w:sz="8" w:space="0" w:color="000000"/>
              <w:bottom w:val="single" w:sz="4" w:space="0" w:color="000000"/>
              <w:right w:val="single" w:sz="8" w:space="0" w:color="000000"/>
            </w:tcBorders>
            <w:vAlign w:val="center"/>
            <w:hideMark/>
          </w:tcPr>
          <w:p w14:paraId="42DA642E" w14:textId="77777777" w:rsidR="008F1EE2" w:rsidRDefault="008F1EE2" w:rsidP="005A3450">
            <w:pPr>
              <w:pStyle w:val="biaogecenter"/>
              <w:wordWrap w:val="0"/>
            </w:pPr>
            <w:r>
              <w:rPr>
                <w:rFonts w:hint="eastAsia"/>
              </w:rPr>
              <w:t>业绩比较基准收益率标准差④</w:t>
            </w:r>
          </w:p>
        </w:tc>
        <w:tc>
          <w:tcPr>
            <w:tcW w:w="1065" w:type="dxa"/>
            <w:tcBorders>
              <w:top w:val="single" w:sz="8" w:space="0" w:color="000000"/>
              <w:left w:val="single" w:sz="8" w:space="0" w:color="000000"/>
              <w:bottom w:val="single" w:sz="4" w:space="0" w:color="000000"/>
              <w:right w:val="single" w:sz="8" w:space="0" w:color="000000"/>
            </w:tcBorders>
            <w:vAlign w:val="center"/>
            <w:hideMark/>
          </w:tcPr>
          <w:p w14:paraId="4F41FEB1" w14:textId="77777777" w:rsidR="008F1EE2" w:rsidRDefault="008F1EE2" w:rsidP="005A3450">
            <w:pPr>
              <w:pStyle w:val="biaogecenter"/>
              <w:wordWrap w:val="0"/>
            </w:pPr>
            <w:r>
              <w:rPr>
                <w:rFonts w:hint="eastAsia"/>
              </w:rPr>
              <w:t>①-③</w:t>
            </w:r>
          </w:p>
        </w:tc>
        <w:tc>
          <w:tcPr>
            <w:tcW w:w="1426" w:type="dxa"/>
            <w:tcBorders>
              <w:top w:val="single" w:sz="8" w:space="0" w:color="000000"/>
              <w:left w:val="single" w:sz="8" w:space="0" w:color="000000"/>
              <w:bottom w:val="single" w:sz="4" w:space="0" w:color="000000"/>
              <w:right w:val="single" w:sz="8" w:space="0" w:color="000000"/>
            </w:tcBorders>
            <w:vAlign w:val="center"/>
            <w:hideMark/>
          </w:tcPr>
          <w:p w14:paraId="31D4BF2B" w14:textId="77777777" w:rsidR="008F1EE2" w:rsidRDefault="008F1EE2" w:rsidP="005A3450">
            <w:pPr>
              <w:pStyle w:val="biaogecenter"/>
              <w:wordWrap w:val="0"/>
            </w:pPr>
            <w:r>
              <w:rPr>
                <w:rFonts w:hint="eastAsia"/>
              </w:rPr>
              <w:t>②-④</w:t>
            </w:r>
          </w:p>
        </w:tc>
      </w:tr>
      <w:tr w:rsidR="008F1EE2" w14:paraId="61B620DA" w14:textId="77777777" w:rsidTr="008F1EE2">
        <w:trPr>
          <w:trHeight w:val="751"/>
          <w:jc w:val="center"/>
        </w:trPr>
        <w:tc>
          <w:tcPr>
            <w:tcW w:w="1305" w:type="dxa"/>
            <w:tcBorders>
              <w:top w:val="single" w:sz="8" w:space="0" w:color="000000"/>
              <w:left w:val="single" w:sz="8" w:space="0" w:color="000000"/>
              <w:bottom w:val="single" w:sz="8" w:space="0" w:color="000000"/>
              <w:right w:val="single" w:sz="8" w:space="0" w:color="000000"/>
            </w:tcBorders>
            <w:vAlign w:val="center"/>
            <w:hideMark/>
          </w:tcPr>
          <w:p w14:paraId="7D2DBA9E" w14:textId="77777777" w:rsidR="008F1EE2" w:rsidRDefault="008F1EE2" w:rsidP="005A3450">
            <w:pPr>
              <w:pStyle w:val="biaogeleft"/>
              <w:wordWrap w:val="0"/>
            </w:pPr>
            <w:r>
              <w:rPr>
                <w:rFonts w:hint="eastAsia"/>
                <w:color w:val="000000"/>
              </w:rPr>
              <w:t>2019.01.01~2019.06.30</w:t>
            </w:r>
          </w:p>
        </w:tc>
        <w:tc>
          <w:tcPr>
            <w:tcW w:w="1179" w:type="dxa"/>
            <w:tcBorders>
              <w:top w:val="single" w:sz="8" w:space="0" w:color="000000"/>
              <w:left w:val="single" w:sz="8" w:space="0" w:color="000000"/>
              <w:bottom w:val="single" w:sz="8" w:space="0" w:color="000000"/>
              <w:right w:val="single" w:sz="8" w:space="0" w:color="000000"/>
            </w:tcBorders>
            <w:vAlign w:val="center"/>
            <w:hideMark/>
          </w:tcPr>
          <w:p w14:paraId="5E5D3E07" w14:textId="77777777" w:rsidR="008F1EE2" w:rsidRDefault="008F1EE2" w:rsidP="005A3450">
            <w:pPr>
              <w:pStyle w:val="biaogecenter"/>
              <w:wordWrap w:val="0"/>
            </w:pPr>
            <w:r>
              <w:rPr>
                <w:rFonts w:hint="eastAsia"/>
              </w:rPr>
              <w:t>-0.57%</w:t>
            </w:r>
          </w:p>
        </w:tc>
        <w:tc>
          <w:tcPr>
            <w:tcW w:w="1183" w:type="dxa"/>
            <w:tcBorders>
              <w:top w:val="single" w:sz="8" w:space="0" w:color="000000"/>
              <w:left w:val="single" w:sz="8" w:space="0" w:color="000000"/>
              <w:bottom w:val="single" w:sz="8" w:space="0" w:color="000000"/>
              <w:right w:val="single" w:sz="8" w:space="0" w:color="000000"/>
            </w:tcBorders>
            <w:vAlign w:val="center"/>
            <w:hideMark/>
          </w:tcPr>
          <w:p w14:paraId="3A216B7C" w14:textId="77777777" w:rsidR="008F1EE2" w:rsidRDefault="008F1EE2" w:rsidP="005A3450">
            <w:pPr>
              <w:pStyle w:val="biaogecenter"/>
              <w:wordWrap w:val="0"/>
            </w:pPr>
            <w:r>
              <w:rPr>
                <w:rFonts w:hint="eastAsia"/>
              </w:rPr>
              <w:t>0.22%</w:t>
            </w:r>
          </w:p>
        </w:tc>
        <w:tc>
          <w:tcPr>
            <w:tcW w:w="1275" w:type="dxa"/>
            <w:tcBorders>
              <w:top w:val="single" w:sz="8" w:space="0" w:color="000000"/>
              <w:left w:val="single" w:sz="8" w:space="0" w:color="000000"/>
              <w:bottom w:val="single" w:sz="8" w:space="0" w:color="000000"/>
              <w:right w:val="single" w:sz="8" w:space="0" w:color="000000"/>
            </w:tcBorders>
            <w:vAlign w:val="center"/>
            <w:hideMark/>
          </w:tcPr>
          <w:p w14:paraId="2F253ED4" w14:textId="77777777" w:rsidR="008F1EE2" w:rsidRDefault="008F1EE2" w:rsidP="005A3450">
            <w:pPr>
              <w:pStyle w:val="biaogecenter"/>
              <w:wordWrap w:val="0"/>
            </w:pPr>
            <w:r>
              <w:rPr>
                <w:rFonts w:hint="eastAsia"/>
              </w:rPr>
              <w:t>9.34%</w:t>
            </w:r>
          </w:p>
        </w:tc>
        <w:tc>
          <w:tcPr>
            <w:tcW w:w="1327" w:type="dxa"/>
            <w:tcBorders>
              <w:top w:val="single" w:sz="8" w:space="0" w:color="000000"/>
              <w:left w:val="single" w:sz="8" w:space="0" w:color="000000"/>
              <w:bottom w:val="single" w:sz="8" w:space="0" w:color="000000"/>
              <w:right w:val="single" w:sz="8" w:space="0" w:color="000000"/>
            </w:tcBorders>
            <w:vAlign w:val="center"/>
            <w:hideMark/>
          </w:tcPr>
          <w:p w14:paraId="42E80922" w14:textId="77777777" w:rsidR="008F1EE2" w:rsidRDefault="008F1EE2" w:rsidP="005A3450">
            <w:pPr>
              <w:pStyle w:val="biaogecenter"/>
              <w:wordWrap w:val="0"/>
            </w:pPr>
            <w:r>
              <w:rPr>
                <w:rFonts w:hint="eastAsia"/>
              </w:rPr>
              <w:t>0.45%</w:t>
            </w:r>
          </w:p>
        </w:tc>
        <w:tc>
          <w:tcPr>
            <w:tcW w:w="1065" w:type="dxa"/>
            <w:tcBorders>
              <w:top w:val="single" w:sz="8" w:space="0" w:color="000000"/>
              <w:left w:val="single" w:sz="8" w:space="0" w:color="000000"/>
              <w:bottom w:val="single" w:sz="8" w:space="0" w:color="000000"/>
              <w:right w:val="single" w:sz="8" w:space="0" w:color="000000"/>
            </w:tcBorders>
            <w:vAlign w:val="center"/>
            <w:hideMark/>
          </w:tcPr>
          <w:p w14:paraId="5AB32714" w14:textId="77777777" w:rsidR="008F1EE2" w:rsidRDefault="008F1EE2" w:rsidP="005A3450">
            <w:pPr>
              <w:pStyle w:val="biaogecenter"/>
              <w:wordWrap w:val="0"/>
            </w:pPr>
            <w:r>
              <w:rPr>
                <w:rFonts w:hint="eastAsia"/>
              </w:rPr>
              <w:t>-9.91%</w:t>
            </w:r>
          </w:p>
        </w:tc>
        <w:tc>
          <w:tcPr>
            <w:tcW w:w="1426" w:type="dxa"/>
            <w:tcBorders>
              <w:top w:val="single" w:sz="8" w:space="0" w:color="000000"/>
              <w:left w:val="single" w:sz="8" w:space="0" w:color="000000"/>
              <w:bottom w:val="single" w:sz="8" w:space="0" w:color="000000"/>
              <w:right w:val="single" w:sz="8" w:space="0" w:color="000000"/>
            </w:tcBorders>
            <w:vAlign w:val="center"/>
            <w:hideMark/>
          </w:tcPr>
          <w:p w14:paraId="25EF2048" w14:textId="77777777" w:rsidR="008F1EE2" w:rsidRDefault="008F1EE2" w:rsidP="005A3450">
            <w:pPr>
              <w:pStyle w:val="biaogecenter"/>
              <w:wordWrap w:val="0"/>
            </w:pPr>
            <w:r>
              <w:rPr>
                <w:rFonts w:hint="eastAsia"/>
              </w:rPr>
              <w:t>-0.23%</w:t>
            </w:r>
          </w:p>
        </w:tc>
      </w:tr>
      <w:tr w:rsidR="008F1EE2" w14:paraId="7BC7285D" w14:textId="77777777" w:rsidTr="008F1EE2">
        <w:trPr>
          <w:trHeight w:val="765"/>
          <w:jc w:val="center"/>
        </w:trPr>
        <w:tc>
          <w:tcPr>
            <w:tcW w:w="1305" w:type="dxa"/>
            <w:tcBorders>
              <w:top w:val="single" w:sz="8" w:space="0" w:color="000000"/>
              <w:left w:val="single" w:sz="8" w:space="0" w:color="000000"/>
              <w:bottom w:val="single" w:sz="4" w:space="0" w:color="000000"/>
              <w:right w:val="single" w:sz="8" w:space="0" w:color="000000"/>
            </w:tcBorders>
            <w:vAlign w:val="center"/>
            <w:hideMark/>
          </w:tcPr>
          <w:p w14:paraId="23173BF7" w14:textId="77777777" w:rsidR="008F1EE2" w:rsidRDefault="008F1EE2" w:rsidP="005A3450">
            <w:pPr>
              <w:pStyle w:val="biaogeleft"/>
              <w:wordWrap w:val="0"/>
              <w:rPr>
                <w:color w:val="000000"/>
              </w:rPr>
            </w:pPr>
            <w:r>
              <w:rPr>
                <w:rFonts w:hint="eastAsia"/>
                <w:color w:val="000000"/>
              </w:rPr>
              <w:t>2018.2.13~2018.12.31</w:t>
            </w:r>
          </w:p>
        </w:tc>
        <w:tc>
          <w:tcPr>
            <w:tcW w:w="1179" w:type="dxa"/>
            <w:tcBorders>
              <w:top w:val="single" w:sz="8" w:space="0" w:color="000000"/>
              <w:left w:val="single" w:sz="8" w:space="0" w:color="000000"/>
              <w:bottom w:val="single" w:sz="4" w:space="0" w:color="000000"/>
              <w:right w:val="single" w:sz="8" w:space="0" w:color="000000"/>
            </w:tcBorders>
            <w:vAlign w:val="center"/>
            <w:hideMark/>
          </w:tcPr>
          <w:p w14:paraId="4D64345E" w14:textId="77777777" w:rsidR="008F1EE2" w:rsidRDefault="008F1EE2" w:rsidP="005A3450">
            <w:pPr>
              <w:pStyle w:val="biaogecenter"/>
              <w:wordWrap w:val="0"/>
            </w:pPr>
            <w:r>
              <w:rPr>
                <w:rFonts w:hint="eastAsia"/>
              </w:rPr>
              <w:t>-1.04%</w:t>
            </w:r>
          </w:p>
        </w:tc>
        <w:tc>
          <w:tcPr>
            <w:tcW w:w="1183" w:type="dxa"/>
            <w:tcBorders>
              <w:top w:val="single" w:sz="8" w:space="0" w:color="000000"/>
              <w:left w:val="single" w:sz="8" w:space="0" w:color="000000"/>
              <w:bottom w:val="single" w:sz="4" w:space="0" w:color="000000"/>
              <w:right w:val="single" w:sz="8" w:space="0" w:color="000000"/>
            </w:tcBorders>
            <w:vAlign w:val="center"/>
            <w:hideMark/>
          </w:tcPr>
          <w:p w14:paraId="1839D87C" w14:textId="77777777" w:rsidR="008F1EE2" w:rsidRDefault="008F1EE2" w:rsidP="005A3450">
            <w:pPr>
              <w:pStyle w:val="biaogecenter"/>
              <w:wordWrap w:val="0"/>
              <w:ind w:leftChars="7" w:firstLineChars="50" w:firstLine="120"/>
            </w:pPr>
            <w:r>
              <w:rPr>
                <w:rFonts w:hint="eastAsia"/>
              </w:rPr>
              <w:t>0.26%</w:t>
            </w:r>
          </w:p>
        </w:tc>
        <w:tc>
          <w:tcPr>
            <w:tcW w:w="1275" w:type="dxa"/>
            <w:tcBorders>
              <w:top w:val="single" w:sz="8" w:space="0" w:color="000000"/>
              <w:left w:val="single" w:sz="8" w:space="0" w:color="000000"/>
              <w:bottom w:val="single" w:sz="4" w:space="0" w:color="000000"/>
              <w:right w:val="single" w:sz="8" w:space="0" w:color="000000"/>
            </w:tcBorders>
            <w:vAlign w:val="center"/>
            <w:hideMark/>
          </w:tcPr>
          <w:p w14:paraId="7E32DAD2" w14:textId="77777777" w:rsidR="008F1EE2" w:rsidRDefault="008F1EE2" w:rsidP="005A3450">
            <w:pPr>
              <w:pStyle w:val="biaogecenter"/>
              <w:wordWrap w:val="0"/>
              <w:ind w:leftChars="7" w:firstLineChars="50" w:firstLine="120"/>
            </w:pPr>
            <w:r>
              <w:rPr>
                <w:rFonts w:hint="eastAsia"/>
              </w:rPr>
              <w:t>-1.77%</w:t>
            </w:r>
          </w:p>
        </w:tc>
        <w:tc>
          <w:tcPr>
            <w:tcW w:w="1327" w:type="dxa"/>
            <w:tcBorders>
              <w:top w:val="single" w:sz="8" w:space="0" w:color="000000"/>
              <w:left w:val="single" w:sz="8" w:space="0" w:color="000000"/>
              <w:bottom w:val="single" w:sz="4" w:space="0" w:color="000000"/>
              <w:right w:val="single" w:sz="8" w:space="0" w:color="000000"/>
            </w:tcBorders>
            <w:vAlign w:val="center"/>
            <w:hideMark/>
          </w:tcPr>
          <w:p w14:paraId="000198F6" w14:textId="77777777" w:rsidR="008F1EE2" w:rsidRDefault="008F1EE2" w:rsidP="005A3450">
            <w:pPr>
              <w:pStyle w:val="biaogecenter"/>
              <w:wordWrap w:val="0"/>
              <w:ind w:leftChars="7" w:firstLineChars="100" w:firstLine="240"/>
            </w:pPr>
            <w:r>
              <w:rPr>
                <w:rFonts w:hint="eastAsia"/>
              </w:rPr>
              <w:t>0.40%</w:t>
            </w:r>
          </w:p>
        </w:tc>
        <w:tc>
          <w:tcPr>
            <w:tcW w:w="1065" w:type="dxa"/>
            <w:tcBorders>
              <w:top w:val="single" w:sz="8" w:space="0" w:color="000000"/>
              <w:left w:val="single" w:sz="8" w:space="0" w:color="000000"/>
              <w:bottom w:val="single" w:sz="4" w:space="0" w:color="000000"/>
              <w:right w:val="single" w:sz="8" w:space="0" w:color="000000"/>
            </w:tcBorders>
            <w:vAlign w:val="center"/>
            <w:hideMark/>
          </w:tcPr>
          <w:p w14:paraId="5855D3C8" w14:textId="77777777" w:rsidR="008F1EE2" w:rsidRDefault="008F1EE2" w:rsidP="005A3450">
            <w:pPr>
              <w:pStyle w:val="biaogecenter"/>
              <w:wordWrap w:val="0"/>
            </w:pPr>
            <w:r>
              <w:rPr>
                <w:rFonts w:hint="eastAsia"/>
              </w:rPr>
              <w:t>0.73%</w:t>
            </w:r>
          </w:p>
        </w:tc>
        <w:tc>
          <w:tcPr>
            <w:tcW w:w="1426" w:type="dxa"/>
            <w:tcBorders>
              <w:top w:val="single" w:sz="8" w:space="0" w:color="000000"/>
              <w:left w:val="single" w:sz="8" w:space="0" w:color="000000"/>
              <w:bottom w:val="single" w:sz="4" w:space="0" w:color="000000"/>
              <w:right w:val="single" w:sz="8" w:space="0" w:color="000000"/>
            </w:tcBorders>
            <w:vAlign w:val="center"/>
            <w:hideMark/>
          </w:tcPr>
          <w:p w14:paraId="6FAA8542" w14:textId="77777777" w:rsidR="008F1EE2" w:rsidRDefault="008F1EE2" w:rsidP="005A3450">
            <w:pPr>
              <w:pStyle w:val="biaogecenter"/>
              <w:wordWrap w:val="0"/>
            </w:pPr>
            <w:r>
              <w:rPr>
                <w:rFonts w:hint="eastAsia"/>
              </w:rPr>
              <w:t>-0.14%</w:t>
            </w:r>
          </w:p>
        </w:tc>
      </w:tr>
      <w:tr w:rsidR="008F1EE2" w14:paraId="13BB7555" w14:textId="77777777" w:rsidTr="008F1EE2">
        <w:trPr>
          <w:trHeight w:val="765"/>
          <w:jc w:val="center"/>
        </w:trPr>
        <w:tc>
          <w:tcPr>
            <w:tcW w:w="1305" w:type="dxa"/>
            <w:tcBorders>
              <w:top w:val="single" w:sz="8" w:space="0" w:color="000000"/>
              <w:left w:val="single" w:sz="8" w:space="0" w:color="000000"/>
              <w:bottom w:val="single" w:sz="4" w:space="0" w:color="000000"/>
              <w:right w:val="single" w:sz="8" w:space="0" w:color="000000"/>
            </w:tcBorders>
            <w:vAlign w:val="center"/>
            <w:hideMark/>
          </w:tcPr>
          <w:p w14:paraId="22646D80" w14:textId="77777777" w:rsidR="008F1EE2" w:rsidRDefault="008F1EE2" w:rsidP="008F1EE2">
            <w:pPr>
              <w:pStyle w:val="biaogeleft"/>
              <w:wordWrap w:val="0"/>
              <w:rPr>
                <w:color w:val="000000"/>
              </w:rPr>
            </w:pPr>
            <w:r>
              <w:rPr>
                <w:rFonts w:hint="eastAsia"/>
                <w:color w:val="000000"/>
              </w:rPr>
              <w:t>自基金合同生效日至2019.06.30</w:t>
            </w:r>
          </w:p>
        </w:tc>
        <w:tc>
          <w:tcPr>
            <w:tcW w:w="1179" w:type="dxa"/>
            <w:tcBorders>
              <w:top w:val="single" w:sz="8" w:space="0" w:color="000000"/>
              <w:left w:val="single" w:sz="8" w:space="0" w:color="000000"/>
              <w:bottom w:val="single" w:sz="4" w:space="0" w:color="000000"/>
              <w:right w:val="single" w:sz="8" w:space="0" w:color="000000"/>
            </w:tcBorders>
            <w:vAlign w:val="center"/>
            <w:hideMark/>
          </w:tcPr>
          <w:p w14:paraId="01C988C4" w14:textId="77777777" w:rsidR="008F1EE2" w:rsidRDefault="008F1EE2" w:rsidP="005A3450">
            <w:pPr>
              <w:pStyle w:val="biaogecenter"/>
              <w:wordWrap w:val="0"/>
            </w:pPr>
            <w:r>
              <w:rPr>
                <w:rFonts w:hint="eastAsia"/>
              </w:rPr>
              <w:t>-1.60%</w:t>
            </w:r>
          </w:p>
        </w:tc>
        <w:tc>
          <w:tcPr>
            <w:tcW w:w="1183" w:type="dxa"/>
            <w:tcBorders>
              <w:top w:val="single" w:sz="8" w:space="0" w:color="000000"/>
              <w:left w:val="single" w:sz="8" w:space="0" w:color="000000"/>
              <w:bottom w:val="single" w:sz="4" w:space="0" w:color="000000"/>
              <w:right w:val="single" w:sz="8" w:space="0" w:color="000000"/>
            </w:tcBorders>
            <w:vAlign w:val="center"/>
            <w:hideMark/>
          </w:tcPr>
          <w:p w14:paraId="2B9082B3" w14:textId="77777777" w:rsidR="008F1EE2" w:rsidRDefault="008F1EE2" w:rsidP="008F1EE2">
            <w:pPr>
              <w:pStyle w:val="biaogecenter"/>
              <w:wordWrap w:val="0"/>
              <w:ind w:leftChars="7" w:firstLineChars="50" w:firstLine="120"/>
            </w:pPr>
            <w:r>
              <w:rPr>
                <w:rFonts w:hint="eastAsia"/>
              </w:rPr>
              <w:t>0.25%</w:t>
            </w:r>
          </w:p>
        </w:tc>
        <w:tc>
          <w:tcPr>
            <w:tcW w:w="1275" w:type="dxa"/>
            <w:tcBorders>
              <w:top w:val="single" w:sz="8" w:space="0" w:color="000000"/>
              <w:left w:val="single" w:sz="8" w:space="0" w:color="000000"/>
              <w:bottom w:val="single" w:sz="4" w:space="0" w:color="000000"/>
              <w:right w:val="single" w:sz="8" w:space="0" w:color="000000"/>
            </w:tcBorders>
            <w:vAlign w:val="center"/>
            <w:hideMark/>
          </w:tcPr>
          <w:p w14:paraId="61F2C90C" w14:textId="77777777" w:rsidR="008F1EE2" w:rsidRDefault="008F1EE2" w:rsidP="005A3450">
            <w:pPr>
              <w:pStyle w:val="biaogecenter"/>
              <w:wordWrap w:val="0"/>
              <w:ind w:leftChars="7" w:firstLineChars="50" w:firstLine="120"/>
            </w:pPr>
            <w:r>
              <w:rPr>
                <w:rFonts w:hint="eastAsia"/>
              </w:rPr>
              <w:t>7.40%</w:t>
            </w:r>
          </w:p>
        </w:tc>
        <w:tc>
          <w:tcPr>
            <w:tcW w:w="1327" w:type="dxa"/>
            <w:tcBorders>
              <w:top w:val="single" w:sz="8" w:space="0" w:color="000000"/>
              <w:left w:val="single" w:sz="8" w:space="0" w:color="000000"/>
              <w:bottom w:val="single" w:sz="4" w:space="0" w:color="000000"/>
              <w:right w:val="single" w:sz="8" w:space="0" w:color="000000"/>
            </w:tcBorders>
            <w:vAlign w:val="center"/>
            <w:hideMark/>
          </w:tcPr>
          <w:p w14:paraId="3A17AECC" w14:textId="77777777" w:rsidR="008F1EE2" w:rsidRDefault="008F1EE2" w:rsidP="005A3450">
            <w:pPr>
              <w:pStyle w:val="biaogecenter"/>
              <w:wordWrap w:val="0"/>
              <w:ind w:leftChars="7" w:firstLineChars="100" w:firstLine="240"/>
            </w:pPr>
            <w:r>
              <w:rPr>
                <w:rFonts w:hint="eastAsia"/>
              </w:rPr>
              <w:t>0.42%</w:t>
            </w:r>
          </w:p>
        </w:tc>
        <w:tc>
          <w:tcPr>
            <w:tcW w:w="1065" w:type="dxa"/>
            <w:tcBorders>
              <w:top w:val="single" w:sz="8" w:space="0" w:color="000000"/>
              <w:left w:val="single" w:sz="8" w:space="0" w:color="000000"/>
              <w:bottom w:val="single" w:sz="4" w:space="0" w:color="000000"/>
              <w:right w:val="single" w:sz="8" w:space="0" w:color="000000"/>
            </w:tcBorders>
            <w:vAlign w:val="center"/>
            <w:hideMark/>
          </w:tcPr>
          <w:p w14:paraId="39998EFE" w14:textId="77777777" w:rsidR="008F1EE2" w:rsidRDefault="008F1EE2" w:rsidP="008F1EE2">
            <w:pPr>
              <w:pStyle w:val="biaogecenter"/>
              <w:wordWrap w:val="0"/>
            </w:pPr>
            <w:r>
              <w:rPr>
                <w:rFonts w:hint="eastAsia"/>
              </w:rPr>
              <w:t>-9.00%</w:t>
            </w:r>
          </w:p>
        </w:tc>
        <w:tc>
          <w:tcPr>
            <w:tcW w:w="1426" w:type="dxa"/>
            <w:tcBorders>
              <w:top w:val="single" w:sz="8" w:space="0" w:color="000000"/>
              <w:left w:val="single" w:sz="8" w:space="0" w:color="000000"/>
              <w:bottom w:val="single" w:sz="4" w:space="0" w:color="000000"/>
              <w:right w:val="single" w:sz="8" w:space="0" w:color="000000"/>
            </w:tcBorders>
            <w:vAlign w:val="center"/>
            <w:hideMark/>
          </w:tcPr>
          <w:p w14:paraId="530F79AB" w14:textId="77777777" w:rsidR="008F1EE2" w:rsidRDefault="008F1EE2" w:rsidP="008F1EE2">
            <w:pPr>
              <w:pStyle w:val="biaogecenter"/>
              <w:wordWrap w:val="0"/>
            </w:pPr>
            <w:r>
              <w:rPr>
                <w:rFonts w:hint="eastAsia"/>
              </w:rPr>
              <w:t>-0.17%</w:t>
            </w:r>
          </w:p>
        </w:tc>
      </w:tr>
    </w:tbl>
    <w:p w14:paraId="1990FA0D" w14:textId="77777777" w:rsidR="008F1EE2" w:rsidRDefault="008F1EE2" w:rsidP="00220CDC">
      <w:pPr>
        <w:spacing w:line="360" w:lineRule="auto"/>
        <w:rPr>
          <w:rFonts w:ascii="宋体" w:eastAsia="宋体" w:hAnsi="宋体" w:cs="宋体"/>
          <w:bCs/>
          <w:sz w:val="24"/>
        </w:rPr>
      </w:pPr>
    </w:p>
    <w:p w14:paraId="69D572BA" w14:textId="77777777" w:rsidR="00220CDC" w:rsidRDefault="00220CDC" w:rsidP="00220CDC">
      <w:pPr>
        <w:spacing w:line="360" w:lineRule="auto"/>
        <w:rPr>
          <w:rFonts w:ascii="宋体" w:eastAsia="宋体" w:hAnsi="宋体" w:cs="宋体"/>
          <w:bCs/>
          <w:sz w:val="24"/>
        </w:rPr>
      </w:pPr>
      <w:r>
        <w:rPr>
          <w:rFonts w:ascii="宋体" w:eastAsia="宋体" w:hAnsi="宋体" w:cs="宋体" w:hint="eastAsia"/>
          <w:bCs/>
          <w:sz w:val="24"/>
        </w:rPr>
        <w:t xml:space="preserve">注：本基金的业绩比较基准为：中证全债指数收益率×70%+沪深300指数收益率×30%。 </w:t>
      </w:r>
    </w:p>
    <w:p w14:paraId="3C9F37A4" w14:textId="77777777" w:rsidR="00220CDC" w:rsidRDefault="00220CDC" w:rsidP="00220CDC">
      <w:pPr>
        <w:spacing w:line="360" w:lineRule="auto"/>
        <w:rPr>
          <w:rFonts w:ascii="宋体" w:eastAsia="宋体" w:hAnsi="宋体" w:cs="宋体"/>
          <w:bCs/>
          <w:sz w:val="24"/>
        </w:rPr>
      </w:pPr>
      <w:r>
        <w:rPr>
          <w:rFonts w:ascii="宋体" w:eastAsia="宋体" w:hAnsi="宋体" w:cs="宋体" w:hint="eastAsia"/>
          <w:bCs/>
          <w:sz w:val="24"/>
        </w:rPr>
        <w:t>（3）自基金合同生效以来基金累计净值增长率变动及其与同期业绩比较基准收益率变动的比较</w:t>
      </w:r>
    </w:p>
    <w:p w14:paraId="432661E6" w14:textId="29423FBF" w:rsidR="00220CDC" w:rsidRDefault="00220CDC" w:rsidP="00220CDC">
      <w:pPr>
        <w:spacing w:line="360" w:lineRule="auto"/>
        <w:rPr>
          <w:rFonts w:ascii="宋体" w:eastAsia="宋体" w:hAnsi="宋体" w:cs="宋体"/>
          <w:bCs/>
          <w:sz w:val="24"/>
        </w:rPr>
      </w:pPr>
    </w:p>
    <w:p w14:paraId="32868DCC" w14:textId="77777777" w:rsidR="00220CDC" w:rsidRDefault="00220CDC" w:rsidP="00220CDC">
      <w:pPr>
        <w:pStyle w:val="biaogeleft"/>
      </w:pPr>
    </w:p>
    <w:p w14:paraId="6EFA8B65" w14:textId="77777777" w:rsidR="008F1EE2" w:rsidRDefault="008F1EE2" w:rsidP="00220CDC">
      <w:pPr>
        <w:pStyle w:val="biaogeleft"/>
      </w:pPr>
      <w:r>
        <w:rPr>
          <w:rFonts w:hAnsi="Calibri"/>
          <w:noProof/>
          <w:color w:val="000000"/>
        </w:rPr>
        <w:lastRenderedPageBreak/>
        <w:drawing>
          <wp:inline distT="0" distB="0" distL="0" distR="0" wp14:anchorId="405BCC74" wp14:editId="1CBF5968">
            <wp:extent cx="5274310" cy="3426508"/>
            <wp:effectExtent l="19050" t="0" r="2540" b="0"/>
            <wp:docPr id="1" name="图片 1" descr="D:\FA_Client\Bin\MOD\TMP\CN_51130000_004794_FB020010_20190005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D:\FA_Client\Bin\MOD\TMP\CN_51130000_004794_FB020010_20190005_2.jpg"/>
                    <pic:cNvPicPr>
                      <a:picLocks noChangeAspect="1" noChangeArrowheads="1"/>
                    </pic:cNvPicPr>
                  </pic:nvPicPr>
                  <pic:blipFill>
                    <a:blip r:embed="rId15" cstate="print"/>
                    <a:srcRect/>
                    <a:stretch>
                      <a:fillRect/>
                    </a:stretch>
                  </pic:blipFill>
                  <pic:spPr bwMode="auto">
                    <a:xfrm>
                      <a:off x="0" y="0"/>
                      <a:ext cx="5274310" cy="3426508"/>
                    </a:xfrm>
                    <a:prstGeom prst="rect">
                      <a:avLst/>
                    </a:prstGeom>
                    <a:noFill/>
                    <a:ln w="9525">
                      <a:noFill/>
                      <a:miter lim="800000"/>
                      <a:headEnd/>
                      <a:tailEnd/>
                    </a:ln>
                  </pic:spPr>
                </pic:pic>
              </a:graphicData>
            </a:graphic>
          </wp:inline>
        </w:drawing>
      </w:r>
    </w:p>
    <w:p w14:paraId="45955713" w14:textId="77777777" w:rsidR="00220CDC" w:rsidRDefault="00220CDC" w:rsidP="00220CDC">
      <w:pPr>
        <w:pStyle w:val="biaogeleft"/>
        <w:rPr>
          <w:noProof/>
          <w:color w:val="000000"/>
        </w:rPr>
      </w:pPr>
    </w:p>
    <w:p w14:paraId="0D3A4727" w14:textId="2E0B0DB3" w:rsidR="00220CDC" w:rsidRDefault="00220CDC" w:rsidP="00220CDC">
      <w:pPr>
        <w:pStyle w:val="biaogeleft"/>
      </w:pPr>
    </w:p>
    <w:p w14:paraId="0FC84F14" w14:textId="77777777" w:rsidR="008F1EE2" w:rsidRDefault="008F1EE2" w:rsidP="00220CDC">
      <w:pPr>
        <w:spacing w:line="360" w:lineRule="auto"/>
        <w:ind w:leftChars="228" w:left="479"/>
        <w:rPr>
          <w:rFonts w:ascii="宋体" w:eastAsia="宋体" w:hAnsi="宋体" w:cs="宋体"/>
          <w:bCs/>
          <w:sz w:val="24"/>
        </w:rPr>
      </w:pPr>
      <w:r>
        <w:rPr>
          <w:rFonts w:hAnsi="Calibri"/>
          <w:noProof/>
          <w:color w:val="000000"/>
        </w:rPr>
        <w:drawing>
          <wp:inline distT="0" distB="0" distL="0" distR="0" wp14:anchorId="6930FF5A" wp14:editId="17C11BA1">
            <wp:extent cx="5274310" cy="3426508"/>
            <wp:effectExtent l="19050" t="0" r="2540" b="0"/>
            <wp:docPr id="4" name="图片 2" descr="D:\FA_Client\Bin\MOD\TMP\CN_51130000_004794_FB020010_20190005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D:\FA_Client\Bin\MOD\TMP\CN_51130000_004794_FB020010_20190005_3.jpg"/>
                    <pic:cNvPicPr>
                      <a:picLocks noChangeAspect="1" noChangeArrowheads="1"/>
                    </pic:cNvPicPr>
                  </pic:nvPicPr>
                  <pic:blipFill>
                    <a:blip r:embed="rId16" cstate="print"/>
                    <a:srcRect/>
                    <a:stretch>
                      <a:fillRect/>
                    </a:stretch>
                  </pic:blipFill>
                  <pic:spPr bwMode="auto">
                    <a:xfrm>
                      <a:off x="0" y="0"/>
                      <a:ext cx="5274310" cy="3426508"/>
                    </a:xfrm>
                    <a:prstGeom prst="rect">
                      <a:avLst/>
                    </a:prstGeom>
                    <a:noFill/>
                    <a:ln w="9525">
                      <a:noFill/>
                      <a:miter lim="800000"/>
                      <a:headEnd/>
                      <a:tailEnd/>
                    </a:ln>
                  </pic:spPr>
                </pic:pic>
              </a:graphicData>
            </a:graphic>
          </wp:inline>
        </w:drawing>
      </w:r>
    </w:p>
    <w:p w14:paraId="7E6B9E77" w14:textId="102A80B6" w:rsidR="00220CDC" w:rsidRDefault="008F1EE2" w:rsidP="00220CDC">
      <w:pPr>
        <w:widowControl/>
        <w:jc w:val="left"/>
      </w:pPr>
      <w:r>
        <w:rPr>
          <w:rFonts w:ascii="宋体" w:hAnsi="宋体" w:cs="宋体" w:hint="eastAsia"/>
          <w:kern w:val="0"/>
          <w:sz w:val="24"/>
          <w:szCs w:val="24"/>
        </w:rPr>
        <w:t>注：本基金建仓期为6个月，建仓期结束时各资产配置比例符合合同约定。</w:t>
      </w:r>
      <w:r w:rsidR="00220CDC">
        <w:br w:type="page"/>
      </w:r>
    </w:p>
    <w:p w14:paraId="01AB3059" w14:textId="77777777" w:rsidR="003E4D36" w:rsidRDefault="00E729B5">
      <w:pPr>
        <w:pStyle w:val="1"/>
        <w:jc w:val="center"/>
        <w:rPr>
          <w:sz w:val="30"/>
          <w:szCs w:val="30"/>
        </w:rPr>
      </w:pPr>
      <w:bookmarkStart w:id="206" w:name="_Toc523243825"/>
      <w:bookmarkStart w:id="207" w:name="_Toc416264546"/>
      <w:bookmarkStart w:id="208" w:name="_Toc123112239"/>
      <w:bookmarkStart w:id="209" w:name="_Toc3244"/>
      <w:bookmarkStart w:id="210" w:name="_Toc31469"/>
      <w:bookmarkStart w:id="211" w:name="_Toc21886"/>
      <w:bookmarkStart w:id="212" w:name="_Toc2255"/>
      <w:bookmarkStart w:id="213" w:name="_Toc14725"/>
      <w:bookmarkStart w:id="214" w:name="_Toc79392624"/>
      <w:bookmarkStart w:id="215" w:name="_Toc26152"/>
      <w:bookmarkStart w:id="216" w:name="_Toc141703891"/>
      <w:bookmarkStart w:id="217" w:name="_Toc26383"/>
      <w:bookmarkStart w:id="218" w:name="_Toc16789"/>
      <w:bookmarkStart w:id="219" w:name="_Toc22674"/>
      <w:bookmarkStart w:id="220" w:name="_Toc26084"/>
      <w:bookmarkStart w:id="221" w:name="_Toc139991741"/>
      <w:bookmarkStart w:id="222" w:name="_Toc48649710"/>
      <w:bookmarkStart w:id="223" w:name="_Toc98560357"/>
      <w:bookmarkStart w:id="224" w:name="_Toc19520"/>
      <w:bookmarkStart w:id="225" w:name="_Toc123102458"/>
      <w:bookmarkStart w:id="226" w:name="_Toc352229757"/>
      <w:bookmarkStart w:id="227" w:name="_Toc123051457"/>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r>
        <w:rPr>
          <w:rFonts w:hint="eastAsia"/>
          <w:sz w:val="30"/>
          <w:szCs w:val="30"/>
        </w:rPr>
        <w:lastRenderedPageBreak/>
        <w:t>第十部分</w:t>
      </w:r>
      <w:r>
        <w:rPr>
          <w:sz w:val="30"/>
          <w:szCs w:val="30"/>
        </w:rPr>
        <w:t xml:space="preserve">  </w:t>
      </w:r>
      <w:r>
        <w:rPr>
          <w:rFonts w:hint="eastAsia"/>
          <w:sz w:val="30"/>
          <w:szCs w:val="30"/>
        </w:rPr>
        <w:t>基金的财产</w:t>
      </w:r>
      <w:bookmarkEnd w:id="206"/>
      <w:bookmarkEnd w:id="207"/>
    </w:p>
    <w:p w14:paraId="1F6A7637" w14:textId="77777777" w:rsidR="003E4D36" w:rsidRDefault="00E729B5">
      <w:pPr>
        <w:adjustRightInd w:val="0"/>
        <w:snapToGrid w:val="0"/>
        <w:spacing w:line="360" w:lineRule="auto"/>
        <w:ind w:firstLineChars="200" w:firstLine="482"/>
        <w:rPr>
          <w:rFonts w:ascii="宋体" w:eastAsia="宋体" w:hAnsi="宋体" w:cs="Arial"/>
          <w:b/>
          <w:sz w:val="24"/>
          <w:szCs w:val="24"/>
        </w:rPr>
      </w:pPr>
      <w:bookmarkStart w:id="228" w:name="_Toc416264547"/>
      <w:bookmarkStart w:id="229" w:name="_Toc214873600"/>
      <w:bookmarkStart w:id="230" w:name="_Toc263092319"/>
      <w:bookmarkStart w:id="231" w:name="_Toc352229758"/>
      <w:bookmarkStart w:id="232" w:name="_Toc16437"/>
      <w:bookmarkStart w:id="233" w:name="_Toc21917"/>
      <w:bookmarkStart w:id="234" w:name="_Toc13343"/>
      <w:bookmarkStart w:id="235" w:name="_Toc801"/>
      <w:bookmarkStart w:id="236" w:name="_Toc5477"/>
      <w:bookmarkStart w:id="237" w:name="_Toc11351"/>
      <w:bookmarkStart w:id="238" w:name="_Toc578"/>
      <w:bookmarkStart w:id="239" w:name="_Toc3872"/>
      <w:bookmarkStart w:id="240" w:name="_Toc2981"/>
      <w:bookmarkStart w:id="241" w:name="_Toc11395"/>
      <w:bookmarkStart w:id="242" w:name="_Toc22538"/>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r>
        <w:rPr>
          <w:rFonts w:ascii="宋体" w:eastAsia="宋体" w:hAnsi="宋体" w:cs="Arial" w:hint="eastAsia"/>
          <w:b/>
          <w:sz w:val="24"/>
          <w:szCs w:val="24"/>
        </w:rPr>
        <w:t>一、基金资产总值</w:t>
      </w:r>
    </w:p>
    <w:p w14:paraId="5245D215" w14:textId="77777777" w:rsidR="003E4D36" w:rsidRDefault="00E729B5">
      <w:pPr>
        <w:adjustRightInd w:val="0"/>
        <w:snapToGrid w:val="0"/>
        <w:spacing w:line="360" w:lineRule="auto"/>
        <w:ind w:firstLineChars="200" w:firstLine="480"/>
        <w:rPr>
          <w:rFonts w:ascii="宋体" w:eastAsia="宋体" w:hAnsi="宋体" w:cs="Arial"/>
          <w:sz w:val="24"/>
          <w:szCs w:val="24"/>
        </w:rPr>
      </w:pPr>
      <w:r>
        <w:rPr>
          <w:rFonts w:ascii="宋体" w:eastAsia="宋体" w:hAnsi="宋体" w:cs="Arial" w:hint="eastAsia"/>
          <w:sz w:val="24"/>
          <w:szCs w:val="24"/>
        </w:rPr>
        <w:t>基金资产总值是指购买的各类证券及票据价值、银行存款本息和基金应收的申购基金款以及其他投资所形成的价值总和。</w:t>
      </w:r>
    </w:p>
    <w:p w14:paraId="5B993FA7" w14:textId="77777777" w:rsidR="003E4D36" w:rsidRDefault="00E729B5">
      <w:pPr>
        <w:adjustRightInd w:val="0"/>
        <w:snapToGrid w:val="0"/>
        <w:spacing w:line="360" w:lineRule="auto"/>
        <w:ind w:firstLineChars="200" w:firstLine="482"/>
        <w:rPr>
          <w:rFonts w:ascii="宋体" w:eastAsia="宋体" w:hAnsi="宋体" w:cs="Arial"/>
          <w:b/>
          <w:sz w:val="24"/>
          <w:szCs w:val="24"/>
        </w:rPr>
      </w:pPr>
      <w:r>
        <w:rPr>
          <w:rFonts w:ascii="宋体" w:eastAsia="宋体" w:hAnsi="宋体" w:cs="Arial" w:hint="eastAsia"/>
          <w:b/>
          <w:sz w:val="24"/>
          <w:szCs w:val="24"/>
        </w:rPr>
        <w:t>二、基金资产净值</w:t>
      </w:r>
    </w:p>
    <w:p w14:paraId="212BC336" w14:textId="77777777" w:rsidR="003E4D36" w:rsidRDefault="00E729B5">
      <w:pPr>
        <w:adjustRightInd w:val="0"/>
        <w:snapToGrid w:val="0"/>
        <w:spacing w:line="360" w:lineRule="auto"/>
        <w:ind w:firstLineChars="200" w:firstLine="480"/>
        <w:rPr>
          <w:rFonts w:ascii="宋体" w:eastAsia="宋体" w:hAnsi="宋体" w:cs="Arial"/>
          <w:sz w:val="24"/>
          <w:szCs w:val="24"/>
        </w:rPr>
      </w:pPr>
      <w:r>
        <w:rPr>
          <w:rFonts w:ascii="宋体" w:eastAsia="宋体" w:hAnsi="宋体" w:cs="Arial" w:hint="eastAsia"/>
          <w:sz w:val="24"/>
          <w:szCs w:val="24"/>
        </w:rPr>
        <w:t>基金资产净值是指基金资产总值减去基金负债后的价值。</w:t>
      </w:r>
    </w:p>
    <w:p w14:paraId="26ECA46B" w14:textId="77777777" w:rsidR="003E4D36" w:rsidRDefault="00E729B5">
      <w:pPr>
        <w:adjustRightInd w:val="0"/>
        <w:snapToGrid w:val="0"/>
        <w:spacing w:line="360" w:lineRule="auto"/>
        <w:ind w:firstLineChars="200" w:firstLine="482"/>
        <w:rPr>
          <w:rFonts w:ascii="宋体" w:eastAsia="宋体" w:hAnsi="宋体" w:cs="Arial"/>
          <w:b/>
          <w:sz w:val="24"/>
          <w:szCs w:val="24"/>
        </w:rPr>
      </w:pPr>
      <w:r>
        <w:rPr>
          <w:rFonts w:ascii="宋体" w:eastAsia="宋体" w:hAnsi="宋体" w:cs="Arial" w:hint="eastAsia"/>
          <w:b/>
          <w:sz w:val="24"/>
          <w:szCs w:val="24"/>
        </w:rPr>
        <w:t>三、基金财产的账户</w:t>
      </w:r>
    </w:p>
    <w:p w14:paraId="5F6C6061" w14:textId="77777777" w:rsidR="003E4D36" w:rsidRDefault="00E729B5">
      <w:pPr>
        <w:adjustRightInd w:val="0"/>
        <w:snapToGrid w:val="0"/>
        <w:spacing w:line="360" w:lineRule="auto"/>
        <w:ind w:firstLineChars="200" w:firstLine="480"/>
        <w:rPr>
          <w:rFonts w:ascii="宋体" w:eastAsia="宋体" w:hAnsi="宋体" w:cs="Arial"/>
          <w:sz w:val="24"/>
          <w:szCs w:val="24"/>
        </w:rPr>
      </w:pPr>
      <w:r>
        <w:rPr>
          <w:rFonts w:ascii="宋体" w:eastAsia="宋体" w:hAnsi="宋体" w:cs="Arial" w:hint="eastAsia"/>
          <w:sz w:val="24"/>
          <w:szCs w:val="24"/>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独立。</w:t>
      </w:r>
    </w:p>
    <w:p w14:paraId="5BBA5C54" w14:textId="77777777" w:rsidR="003E4D36" w:rsidRDefault="00E729B5">
      <w:pPr>
        <w:adjustRightInd w:val="0"/>
        <w:snapToGrid w:val="0"/>
        <w:spacing w:line="360" w:lineRule="auto"/>
        <w:ind w:firstLineChars="200" w:firstLine="482"/>
        <w:rPr>
          <w:rFonts w:ascii="宋体" w:eastAsia="宋体" w:hAnsi="宋体" w:cs="Arial"/>
          <w:b/>
          <w:sz w:val="24"/>
          <w:szCs w:val="24"/>
        </w:rPr>
      </w:pPr>
      <w:r>
        <w:rPr>
          <w:rFonts w:ascii="宋体" w:eastAsia="宋体" w:hAnsi="宋体" w:cs="Arial" w:hint="eastAsia"/>
          <w:b/>
          <w:sz w:val="24"/>
          <w:szCs w:val="24"/>
        </w:rPr>
        <w:t>四、基金财产的保管和处分</w:t>
      </w:r>
    </w:p>
    <w:p w14:paraId="1774DC5C" w14:textId="77777777" w:rsidR="003E4D36" w:rsidRDefault="00E729B5">
      <w:pPr>
        <w:adjustRightInd w:val="0"/>
        <w:snapToGrid w:val="0"/>
        <w:spacing w:line="360" w:lineRule="auto"/>
        <w:ind w:firstLineChars="200" w:firstLine="480"/>
        <w:rPr>
          <w:rFonts w:ascii="宋体" w:eastAsia="宋体" w:hAnsi="宋体" w:cs="Arial"/>
          <w:sz w:val="24"/>
          <w:szCs w:val="24"/>
        </w:rPr>
      </w:pPr>
      <w:r>
        <w:rPr>
          <w:rFonts w:ascii="宋体" w:eastAsia="宋体" w:hAnsi="宋体" w:cs="Arial" w:hint="eastAsia"/>
          <w:sz w:val="24"/>
          <w:szCs w:val="24"/>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律法规和《基金合同》的规定处分外，基金财产不得被处分。</w:t>
      </w:r>
    </w:p>
    <w:p w14:paraId="793660BA" w14:textId="77777777" w:rsidR="003E4D36" w:rsidRDefault="00E729B5">
      <w:pPr>
        <w:adjustRightInd w:val="0"/>
        <w:snapToGrid w:val="0"/>
        <w:spacing w:line="360" w:lineRule="auto"/>
        <w:ind w:firstLineChars="200" w:firstLine="480"/>
        <w:rPr>
          <w:rFonts w:ascii="宋体" w:eastAsia="宋体" w:hAnsi="宋体" w:cs="Arial"/>
          <w:sz w:val="24"/>
          <w:szCs w:val="24"/>
        </w:rPr>
      </w:pPr>
      <w:r>
        <w:rPr>
          <w:rFonts w:ascii="宋体" w:eastAsia="宋体" w:hAnsi="宋体" w:cs="Arial" w:hint="eastAsia"/>
          <w:sz w:val="24"/>
          <w:szCs w:val="24"/>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w:t>
      </w:r>
    </w:p>
    <w:p w14:paraId="3629BF53" w14:textId="77777777" w:rsidR="003E4D36" w:rsidRDefault="00E729B5">
      <w:pPr>
        <w:widowControl/>
        <w:jc w:val="left"/>
        <w:rPr>
          <w:rFonts w:ascii="宋体" w:eastAsia="宋体" w:hAnsi="宋体" w:cs="Arial"/>
          <w:sz w:val="24"/>
          <w:szCs w:val="24"/>
        </w:rPr>
      </w:pPr>
      <w:r>
        <w:rPr>
          <w:rFonts w:ascii="宋体" w:eastAsia="宋体" w:hAnsi="宋体" w:cs="Arial"/>
          <w:sz w:val="24"/>
          <w:szCs w:val="24"/>
        </w:rPr>
        <w:br w:type="page"/>
      </w:r>
    </w:p>
    <w:p w14:paraId="7A9DA173" w14:textId="77777777" w:rsidR="003E4D36" w:rsidRDefault="00E729B5">
      <w:pPr>
        <w:pStyle w:val="1"/>
        <w:jc w:val="center"/>
        <w:rPr>
          <w:sz w:val="30"/>
          <w:szCs w:val="30"/>
        </w:rPr>
      </w:pPr>
      <w:bookmarkStart w:id="243" w:name="_Toc523243826"/>
      <w:r>
        <w:rPr>
          <w:rFonts w:hint="eastAsia"/>
          <w:sz w:val="30"/>
          <w:szCs w:val="30"/>
        </w:rPr>
        <w:lastRenderedPageBreak/>
        <w:t>第十一部分</w:t>
      </w:r>
      <w:r>
        <w:rPr>
          <w:sz w:val="30"/>
          <w:szCs w:val="30"/>
        </w:rPr>
        <w:t xml:space="preserve">  </w:t>
      </w:r>
      <w:r>
        <w:rPr>
          <w:rFonts w:hint="eastAsia"/>
          <w:sz w:val="30"/>
          <w:szCs w:val="30"/>
        </w:rPr>
        <w:t>基金资产的估值</w:t>
      </w:r>
      <w:bookmarkEnd w:id="228"/>
      <w:bookmarkEnd w:id="229"/>
      <w:bookmarkEnd w:id="230"/>
      <w:bookmarkEnd w:id="243"/>
    </w:p>
    <w:p w14:paraId="0C47B1DD" w14:textId="77777777" w:rsidR="003E4D36" w:rsidRDefault="00E729B5">
      <w:pPr>
        <w:widowControl/>
        <w:spacing w:line="360" w:lineRule="auto"/>
        <w:ind w:firstLineChars="200" w:firstLine="482"/>
        <w:jc w:val="left"/>
        <w:rPr>
          <w:rFonts w:asciiTheme="minorEastAsia" w:hAnsiTheme="minorEastAsia" w:cs="Times New Roman"/>
          <w:b/>
          <w:bCs/>
          <w:sz w:val="24"/>
          <w:szCs w:val="24"/>
        </w:rPr>
      </w:pPr>
      <w:r>
        <w:rPr>
          <w:rFonts w:asciiTheme="minorEastAsia" w:hAnsiTheme="minorEastAsia" w:cs="Times New Roman" w:hint="eastAsia"/>
          <w:b/>
          <w:bCs/>
          <w:sz w:val="24"/>
          <w:szCs w:val="24"/>
        </w:rPr>
        <w:t>一、估值日</w:t>
      </w:r>
    </w:p>
    <w:p w14:paraId="357F3324"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本基金的估值日为本基金相关的证券交易场所的交易日以及国家法律法规规定需要对外披露基金净值的非交易日。</w:t>
      </w:r>
    </w:p>
    <w:p w14:paraId="6BD9CD55" w14:textId="77777777" w:rsidR="003E4D36" w:rsidRDefault="00E729B5">
      <w:pPr>
        <w:widowControl/>
        <w:spacing w:line="360" w:lineRule="auto"/>
        <w:ind w:firstLineChars="200" w:firstLine="482"/>
        <w:jc w:val="left"/>
        <w:rPr>
          <w:rFonts w:asciiTheme="minorEastAsia" w:hAnsiTheme="minorEastAsia" w:cs="Times New Roman"/>
          <w:b/>
          <w:bCs/>
          <w:sz w:val="24"/>
          <w:szCs w:val="24"/>
        </w:rPr>
      </w:pPr>
      <w:r>
        <w:rPr>
          <w:rFonts w:asciiTheme="minorEastAsia" w:hAnsiTheme="minorEastAsia" w:cs="Times New Roman" w:hint="eastAsia"/>
          <w:b/>
          <w:bCs/>
          <w:sz w:val="24"/>
          <w:szCs w:val="24"/>
        </w:rPr>
        <w:t>二、估值对象</w:t>
      </w:r>
    </w:p>
    <w:p w14:paraId="1DA72D3E"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基金所拥有的股票、股指期货合约、国债期货合约、股票期权合约、权证、债券和银行存款本息、应收款项、其它投资等资产及负债。</w:t>
      </w:r>
    </w:p>
    <w:p w14:paraId="317F64A3" w14:textId="77777777" w:rsidR="003E4D36" w:rsidRDefault="00E729B5">
      <w:pPr>
        <w:widowControl/>
        <w:spacing w:line="360" w:lineRule="auto"/>
        <w:ind w:firstLineChars="200" w:firstLine="482"/>
        <w:jc w:val="left"/>
        <w:rPr>
          <w:rFonts w:asciiTheme="minorEastAsia" w:hAnsiTheme="minorEastAsia" w:cs="Times New Roman"/>
          <w:b/>
          <w:bCs/>
          <w:sz w:val="24"/>
          <w:szCs w:val="24"/>
        </w:rPr>
      </w:pPr>
      <w:r>
        <w:rPr>
          <w:rFonts w:asciiTheme="minorEastAsia" w:hAnsiTheme="minorEastAsia" w:cs="Times New Roman" w:hint="eastAsia"/>
          <w:b/>
          <w:bCs/>
          <w:sz w:val="24"/>
          <w:szCs w:val="24"/>
        </w:rPr>
        <w:t>三、估值方法</w:t>
      </w:r>
    </w:p>
    <w:p w14:paraId="7F449522"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051A23FA"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2、交易所市场交易的固定收益品种的估值</w:t>
      </w:r>
    </w:p>
    <w:p w14:paraId="56E2F394"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（1）对在交易所市场上市交易或挂牌转让的固定收益品种，选取第三方估值机构提供的相应品种当日的估值净价进行估值；</w:t>
      </w:r>
    </w:p>
    <w:p w14:paraId="5BA752B9"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（2）对在交易所市场上市交易的可转换债券，按估值日收盘价减去可转换债券收盘价中所含债券应收利息后得到的净价进行估值；</w:t>
      </w:r>
    </w:p>
    <w:p w14:paraId="3D1D7ADE"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（3）对在交易所市场挂牌转让的资产支持证券，采用估值技术确定公允价值，在估值技术难以可靠计量公允价值的情况下，按成本估值；</w:t>
      </w:r>
    </w:p>
    <w:p w14:paraId="2EFF7390"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（4）对在交易所市场发行未上市或未挂牌转让的固定收益品种，采用估值技术确定公允价值，在估值技术难以可靠计量公允价值的情况下，按成本估值。</w:t>
      </w:r>
    </w:p>
    <w:p w14:paraId="190117C8"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3、银行间市场交易的固定收益品种的估值</w:t>
      </w:r>
    </w:p>
    <w:p w14:paraId="59FA1D89"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（1）银行间市场交易的固定收益品种，选取第三方估值机构提供的相应品种当日的估值净价进行估值。</w:t>
      </w:r>
    </w:p>
    <w:p w14:paraId="6B4BEE5A"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（2）对银行间市场未上市，且第三方估值机构未提供估值价格的固定收益品种，按成本估值。</w:t>
      </w:r>
    </w:p>
    <w:p w14:paraId="5B03EDE0"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4、处于未上市期间的有价证券应区分如下情况处理：</w:t>
      </w:r>
    </w:p>
    <w:p w14:paraId="40C99BE4"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（1）送股、转增股、配股和公开增发的新股，按估值日在证券交易所挂牌的同一股票的估值方法估值；该日无交易的，以最近一日的市价（收盘价）估值；</w:t>
      </w:r>
    </w:p>
    <w:p w14:paraId="116E5ACA"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（2）首次公开发行未上市的股票、债券和权证，采用估值技术确定公允价值，在估值技术难以可靠计量公允价值的情况下，按成本估值；</w:t>
      </w:r>
    </w:p>
    <w:p w14:paraId="519DAC82"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（3）首次公开发行有明确锁定期的股票，同一股票在交易所上市后，按交易所上市的同一股票的估值方法估值；非公开发行有明确锁定期的股票，按监管机构或行业协会有关规定确定公允价值。</w:t>
      </w:r>
    </w:p>
    <w:p w14:paraId="28EFC8C0"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5、同一债券同时在两个或两个以上市场交易的，按债券所处的市场分别估值。</w:t>
      </w:r>
    </w:p>
    <w:p w14:paraId="11F53935"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6、本基金投资股指期货、国债期货合约，一般以估值当日结算价进行估值，估值当日无结算价的，且最近交易日后经济环境未发生重大变化的，采用最近交易日结算价估值。</w:t>
      </w:r>
    </w:p>
    <w:p w14:paraId="07A0565D"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7、中小企业私募债券，采用估值技术确定公允价值。在估值技术难以可靠计量公允价值的情况下，按成本估值。</w:t>
      </w:r>
    </w:p>
    <w:p w14:paraId="2D1DD26D"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8、本基金投资股票期权，根据相关法律法规以及监管部门的规定估值。</w:t>
      </w:r>
    </w:p>
    <w:p w14:paraId="6C1E729E" w14:textId="77777777" w:rsidR="003E4D36" w:rsidRDefault="00E729B5">
      <w:pPr>
        <w:autoSpaceDE w:val="0"/>
        <w:autoSpaceDN w:val="0"/>
        <w:spacing w:line="360" w:lineRule="auto"/>
        <w:ind w:firstLineChars="200" w:firstLine="480"/>
        <w:textAlignment w:val="bottom"/>
        <w:rPr>
          <w:bCs/>
          <w:sz w:val="24"/>
        </w:rPr>
      </w:pPr>
      <w:r>
        <w:rPr>
          <w:rFonts w:hint="eastAsia"/>
          <w:bCs/>
          <w:sz w:val="24"/>
        </w:rPr>
        <w:t>9</w:t>
      </w:r>
      <w:r>
        <w:rPr>
          <w:rFonts w:hint="eastAsia"/>
          <w:bCs/>
          <w:sz w:val="24"/>
        </w:rPr>
        <w:t>、当本基金发生大额申购或赎回情形时，基金管理人可以对本基金采用摆动定价机制，以确保基金估值的公平性。</w:t>
      </w:r>
    </w:p>
    <w:p w14:paraId="671FFB20" w14:textId="77777777" w:rsidR="003E4D36" w:rsidRDefault="00E729B5">
      <w:pPr>
        <w:autoSpaceDE w:val="0"/>
        <w:autoSpaceDN w:val="0"/>
        <w:spacing w:line="360" w:lineRule="auto"/>
        <w:ind w:firstLineChars="200" w:firstLine="480"/>
        <w:textAlignment w:val="bottom"/>
        <w:rPr>
          <w:bCs/>
          <w:sz w:val="24"/>
        </w:rPr>
      </w:pPr>
      <w:r>
        <w:rPr>
          <w:bCs/>
          <w:sz w:val="24"/>
        </w:rPr>
        <w:t>10</w:t>
      </w:r>
      <w:r>
        <w:rPr>
          <w:bCs/>
          <w:sz w:val="24"/>
        </w:rPr>
        <w:t>、如有确凿证据表明按上述方法进行估值不能客观反映其公允价值的，基金管理人可根据具体情况与基金托管人商定后，按最能反映公允价值的价格估值。</w:t>
      </w:r>
    </w:p>
    <w:p w14:paraId="50F1F1D6" w14:textId="77777777" w:rsidR="003E4D36" w:rsidRDefault="00E729B5">
      <w:pPr>
        <w:autoSpaceDE w:val="0"/>
        <w:autoSpaceDN w:val="0"/>
        <w:spacing w:line="360" w:lineRule="auto"/>
        <w:ind w:firstLineChars="200" w:firstLine="480"/>
        <w:textAlignment w:val="bottom"/>
        <w:rPr>
          <w:bCs/>
          <w:sz w:val="24"/>
        </w:rPr>
      </w:pPr>
      <w:r>
        <w:rPr>
          <w:bCs/>
          <w:sz w:val="24"/>
        </w:rPr>
        <w:t>11</w:t>
      </w:r>
      <w:r>
        <w:rPr>
          <w:bCs/>
          <w:sz w:val="24"/>
        </w:rPr>
        <w:t>、相关法律法规以及监管部门有强制规定的，从其规定。如有新增事项，按国家最新规定估值。</w:t>
      </w:r>
    </w:p>
    <w:p w14:paraId="6CD77834"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如基金管理人或基金托管人发现基金估值违反基金合同订明的估值方法、程序及相关法律法规的规定或者未能充分维护基金份额持有人利益时，应立即通知对方，共同查明原因，双方协商解决。</w:t>
      </w:r>
    </w:p>
    <w:p w14:paraId="212B5E73"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17D3297D" w14:textId="77777777" w:rsidR="003E4D36" w:rsidRDefault="00E729B5">
      <w:pPr>
        <w:widowControl/>
        <w:spacing w:line="360" w:lineRule="auto"/>
        <w:ind w:firstLineChars="200" w:firstLine="482"/>
        <w:jc w:val="left"/>
        <w:rPr>
          <w:rFonts w:asciiTheme="minorEastAsia" w:hAnsiTheme="minorEastAsia" w:cs="Times New Roman"/>
          <w:b/>
          <w:bCs/>
          <w:sz w:val="24"/>
          <w:szCs w:val="24"/>
        </w:rPr>
      </w:pPr>
      <w:r>
        <w:rPr>
          <w:rFonts w:asciiTheme="minorEastAsia" w:hAnsiTheme="minorEastAsia" w:cs="Times New Roman" w:hint="eastAsia"/>
          <w:b/>
          <w:bCs/>
          <w:sz w:val="24"/>
          <w:szCs w:val="24"/>
        </w:rPr>
        <w:lastRenderedPageBreak/>
        <w:t>四、估值程序</w:t>
      </w:r>
    </w:p>
    <w:p w14:paraId="1AEB4D5F"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1、各类基金份额净值是按照每个工作日闭市后，该类基金资产净值除以当日该类基金份额的余额数量计算，精确到0.0001元，小数点后第5位四舍五入。国家另有规定的，从其规定。</w:t>
      </w:r>
    </w:p>
    <w:p w14:paraId="5003E863"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每个工作日计算基金资产净值及两类基金份额净值，并按规定公告。</w:t>
      </w:r>
    </w:p>
    <w:p w14:paraId="40F7049E"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基金管理人应每个工作日对基金资产估值。但基金管理人根据法律法规或基金合同的规定暂停估值时除外。基金管理人每个工作日对基金资产估值后，将两类基金份额净值结果发送基金托管人，经基金托管人复核无误后，由基金管理人对外公布。</w:t>
      </w:r>
    </w:p>
    <w:p w14:paraId="5F78F564" w14:textId="77777777" w:rsidR="003E4D36" w:rsidRDefault="00E729B5">
      <w:pPr>
        <w:widowControl/>
        <w:spacing w:line="360" w:lineRule="auto"/>
        <w:ind w:firstLineChars="200" w:firstLine="482"/>
        <w:jc w:val="left"/>
        <w:rPr>
          <w:rFonts w:asciiTheme="minorEastAsia" w:hAnsiTheme="minorEastAsia" w:cs="Times New Roman"/>
          <w:b/>
          <w:bCs/>
          <w:sz w:val="24"/>
          <w:szCs w:val="24"/>
        </w:rPr>
      </w:pPr>
      <w:r>
        <w:rPr>
          <w:rFonts w:asciiTheme="minorEastAsia" w:hAnsiTheme="minorEastAsia" w:cs="Times New Roman" w:hint="eastAsia"/>
          <w:b/>
          <w:bCs/>
          <w:sz w:val="24"/>
          <w:szCs w:val="24"/>
        </w:rPr>
        <w:t>五、估值错误的处理</w:t>
      </w:r>
    </w:p>
    <w:p w14:paraId="3E6AEEEB"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基金管理人和基金托管人将采取必要、适当、合理的措施确保基金资产估值的准确性、及时性。当基金份额净值小数点后4位以内（含第4位）发生估值错误时，视为基金份额净值错误。</w:t>
      </w:r>
    </w:p>
    <w:p w14:paraId="275C954C"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基金合同的当事人应按照以下约定处理：</w:t>
      </w:r>
    </w:p>
    <w:p w14:paraId="25D85BFA"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1、估值错误类型</w:t>
      </w:r>
    </w:p>
    <w:p w14:paraId="784D57B7"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本基金运作过程中，如果由于基金管理人或基金托管人、或登记机构、或销售机构、或投资人自身的过错造成估值错误，导致其他当事人遭受损失的，过错的责任人应当对由于该估值错误遭受损失当事人（“受损方”）的直接损失按下述“估值错误处理原则”给予赔偿，承担赔偿责任。</w:t>
      </w:r>
    </w:p>
    <w:p w14:paraId="4A2AF5C6"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上述估值错误的主要类型包括但不限于：资料申报差错、数据传输差错、数据计算差错、系统故障差错、下达指令差错等。</w:t>
      </w:r>
    </w:p>
    <w:p w14:paraId="6D239527"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2、估值错误处理原则</w:t>
      </w:r>
    </w:p>
    <w:p w14:paraId="091DEC69"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5C0339B5"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（2）估值错误的责任方对有关当事人的直接损失负责，不对间接损失负责，并且仅对估值错误的有关直接当事人负责，不对第三方负责。</w:t>
      </w:r>
    </w:p>
    <w:p w14:paraId="02C9AC20"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因估值错误而获得不当得利的当事人负有及时返还不当得利的义务。但估值错误责任方仍应对估值错误负责。如果由于获得不当得利的当事人不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0DDCF329"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（4）估值错误调整采用尽量恢复至假设未发生估值错误的正确情形的方式。</w:t>
      </w:r>
    </w:p>
    <w:p w14:paraId="706933D3"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估值错误责任方拒绝进行赔偿时，如果因基金管理人过错造成基金资产损失时，基金托管人应为基金的利益向基金管理人追偿，如果因基金托管人过错造成基金资产损失时，基金管理人应为基金的利益向基金托管人追偿。除基金管理人和托管人之外的第三方造成基金资产的损失，并拒绝进行赔偿时，由基金管理人负责向差错方追偿。</w:t>
      </w:r>
    </w:p>
    <w:p w14:paraId="0EF624E2"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如果出现估值错误的当事人未按规定对受损方进行赔偿，并且依据法律、行政法规、《基金合同》或其他规定，基金管理人自行或依据法院判决、仲裁裁决对受损方承担了赔偿责任，则基金管理人有权向出现过错的当事人进行追索，并有权要求其赔偿或补偿由此发生的费用和遭受的损失。</w:t>
      </w:r>
    </w:p>
    <w:p w14:paraId="13F1B611"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（7）按法律法规规定的其他原则处理估值错误。</w:t>
      </w:r>
    </w:p>
    <w:p w14:paraId="3AE253FD"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3、估值错误处理程序</w:t>
      </w:r>
    </w:p>
    <w:p w14:paraId="17BCD207"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估值错误被发现后，有关的当事人应当及时进行处理，处理的程序如下：</w:t>
      </w:r>
    </w:p>
    <w:p w14:paraId="41D20419"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（1）查明估值错误发生的原因，列明所有的当事人，并根据估值错误发生的原因确定估值错误的责任方；</w:t>
      </w:r>
    </w:p>
    <w:p w14:paraId="30F41DB5"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（2）根据估值错误处理原则或当事人协商的方法对因估值错误造成的损失进行评估；</w:t>
      </w:r>
    </w:p>
    <w:p w14:paraId="20246E71"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（3）根据估值错误处理原则或当事人协商的方法由估值错误的责任方进行更正和赔偿损失；</w:t>
      </w:r>
    </w:p>
    <w:p w14:paraId="30AD95AE"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（4）根据估值错误处理的方法，需要修改基金登记机构交易数据的，由基金登记机构进行更正，并就估值错误的更正向有关当事人进行确认。</w:t>
      </w:r>
    </w:p>
    <w:p w14:paraId="0E5409A2"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4、基金份额净值估值错误处理的方法如下：</w:t>
      </w:r>
    </w:p>
    <w:p w14:paraId="49024206"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（1）基金份额净值计算出现错误时，基金管理人应当立即予以纠正，通报基金托管人，并采取合理的措施防止损失进一步扩大。</w:t>
      </w:r>
    </w:p>
    <w:p w14:paraId="76ABC687"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（2）错误偏差达到基金份额净值的0.25%时，基金管理人应当通报基金托管人并报中国证监会备案；错误偏差达到基金份额净值的0.5%时，基金管理人应当公告。</w:t>
      </w:r>
    </w:p>
    <w:p w14:paraId="36EC2DE4"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 xml:space="preserve">（3）前述内容如法律法规或监管机关另有规定的，从其规定处理。 </w:t>
      </w:r>
    </w:p>
    <w:p w14:paraId="1DA95F9E" w14:textId="77777777" w:rsidR="003E4D36" w:rsidRDefault="00E729B5">
      <w:pPr>
        <w:widowControl/>
        <w:spacing w:line="360" w:lineRule="auto"/>
        <w:ind w:firstLineChars="200" w:firstLine="482"/>
        <w:jc w:val="left"/>
        <w:rPr>
          <w:rFonts w:asciiTheme="minorEastAsia" w:hAnsiTheme="minorEastAsia" w:cs="Times New Roman"/>
          <w:b/>
          <w:bCs/>
          <w:sz w:val="24"/>
          <w:szCs w:val="24"/>
        </w:rPr>
      </w:pPr>
      <w:r>
        <w:rPr>
          <w:rFonts w:asciiTheme="minorEastAsia" w:hAnsiTheme="minorEastAsia" w:cs="Times New Roman" w:hint="eastAsia"/>
          <w:b/>
          <w:bCs/>
          <w:sz w:val="24"/>
          <w:szCs w:val="24"/>
        </w:rPr>
        <w:t>六、暂停估值的情形</w:t>
      </w:r>
    </w:p>
    <w:p w14:paraId="05C5F76F"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1、基金投资所涉及的证券、期货交易市场遇法定节假日或因其他原因暂停营业时；</w:t>
      </w:r>
    </w:p>
    <w:p w14:paraId="16B2184C"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2、因不可抗力致使基金管理人、基金托管人无法准确评估基金资产价值时；</w:t>
      </w:r>
    </w:p>
    <w:p w14:paraId="495ACD36"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hint="eastAsia"/>
          <w:bCs/>
          <w:sz w:val="24"/>
        </w:rPr>
        <w:t>3</w:t>
      </w:r>
      <w:r>
        <w:rPr>
          <w:rFonts w:hint="eastAsia"/>
          <w:bCs/>
          <w:sz w:val="24"/>
        </w:rPr>
        <w:t>、当前一估值日基金资产净值</w:t>
      </w:r>
      <w:r>
        <w:rPr>
          <w:rFonts w:hint="eastAsia"/>
          <w:bCs/>
          <w:sz w:val="24"/>
        </w:rPr>
        <w:t xml:space="preserve"> 50%</w:t>
      </w:r>
      <w:r>
        <w:rPr>
          <w:rFonts w:hint="eastAsia"/>
          <w:bCs/>
          <w:sz w:val="24"/>
        </w:rPr>
        <w:t>以上的资产出现无可参考的活跃市场价格且采用估值技术仍导致公允价值存在重大不确定性时，经与基金托管人协商一致的；</w:t>
      </w:r>
    </w:p>
    <w:p w14:paraId="3B7F73E6"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4、中国证监会和基金合同认定的其它情形。</w:t>
      </w:r>
    </w:p>
    <w:p w14:paraId="238E0BE2" w14:textId="77777777" w:rsidR="003E4D36" w:rsidRDefault="00E729B5">
      <w:pPr>
        <w:widowControl/>
        <w:spacing w:line="360" w:lineRule="auto"/>
        <w:ind w:firstLineChars="200" w:firstLine="482"/>
        <w:jc w:val="left"/>
        <w:rPr>
          <w:rFonts w:asciiTheme="minorEastAsia" w:hAnsiTheme="minorEastAsia" w:cs="Times New Roman"/>
          <w:b/>
          <w:bCs/>
          <w:sz w:val="24"/>
          <w:szCs w:val="24"/>
        </w:rPr>
      </w:pPr>
      <w:r>
        <w:rPr>
          <w:rFonts w:asciiTheme="minorEastAsia" w:hAnsiTheme="minorEastAsia" w:cs="Times New Roman" w:hint="eastAsia"/>
          <w:b/>
          <w:bCs/>
          <w:sz w:val="24"/>
          <w:szCs w:val="24"/>
        </w:rPr>
        <w:t>七、基金净值的确认</w:t>
      </w:r>
    </w:p>
    <w:p w14:paraId="1B6AA1F7"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用于基金信息披露的基金资产净值和两类基金份额净值由基金管理人负责计算，基金托管人负责进行复核。基金管理人应于每个开放日交易结束后计算当日的基金资产净值和两类基金份额净值并发送给基金托管人。基金托管人对净值计算结果复核确认后发送给基金管理人，由基金管理人对基金净值按约定予以公布。</w:t>
      </w:r>
    </w:p>
    <w:p w14:paraId="64D4316F" w14:textId="77777777" w:rsidR="003E4D36" w:rsidRDefault="00E729B5">
      <w:pPr>
        <w:widowControl/>
        <w:spacing w:line="360" w:lineRule="auto"/>
        <w:ind w:firstLineChars="200" w:firstLine="482"/>
        <w:jc w:val="left"/>
        <w:rPr>
          <w:rFonts w:asciiTheme="minorEastAsia" w:hAnsiTheme="minorEastAsia" w:cs="Times New Roman"/>
          <w:b/>
          <w:bCs/>
          <w:sz w:val="24"/>
          <w:szCs w:val="24"/>
        </w:rPr>
      </w:pPr>
      <w:r>
        <w:rPr>
          <w:rFonts w:asciiTheme="minorEastAsia" w:hAnsiTheme="minorEastAsia" w:cs="Times New Roman" w:hint="eastAsia"/>
          <w:b/>
          <w:bCs/>
          <w:sz w:val="24"/>
          <w:szCs w:val="24"/>
        </w:rPr>
        <w:t>八、特殊情况的处理</w:t>
      </w:r>
    </w:p>
    <w:p w14:paraId="3B794BB6"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1、基金管理人或基金托管人按估值方法的第10项进行估值时，所造成的误差不作为基金资产估值错误处理。</w:t>
      </w:r>
    </w:p>
    <w:p w14:paraId="375A5D89"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由于不可抗力原因，或由于证券、期货交易所或登记结算公司发送的数据错误等原因，基金管理人和基金托管人虽然已经采取必要、适当、合理的措施进行检查，但是未能发现该错误的，由此造成的基金资产估值错误，基金管理人</w:t>
      </w:r>
      <w:r>
        <w:rPr>
          <w:rFonts w:asciiTheme="minorEastAsia" w:hAnsiTheme="minorEastAsia" w:cs="Times New Roman" w:hint="eastAsia"/>
          <w:bCs/>
          <w:sz w:val="24"/>
          <w:szCs w:val="24"/>
        </w:rPr>
        <w:lastRenderedPageBreak/>
        <w:t xml:space="preserve">和基金托管人可以免除赔偿责任。但基金管理人和基金托管人应当积极采取必要的措施消除或减轻由此造成的影响。 </w:t>
      </w:r>
    </w:p>
    <w:p w14:paraId="20C31123" w14:textId="77777777" w:rsidR="003E4D36" w:rsidRDefault="00E729B5">
      <w:pPr>
        <w:widowControl/>
        <w:jc w:val="left"/>
        <w:rPr>
          <w:rFonts w:asciiTheme="minorEastAsia" w:hAnsiTheme="minorEastAsia" w:cs="Times New Roman"/>
          <w:bCs/>
          <w:sz w:val="24"/>
          <w:szCs w:val="24"/>
        </w:rPr>
      </w:pPr>
      <w:r>
        <w:rPr>
          <w:rFonts w:asciiTheme="minorEastAsia" w:hAnsiTheme="minorEastAsia" w:cs="Times New Roman"/>
          <w:bCs/>
          <w:sz w:val="24"/>
          <w:szCs w:val="24"/>
        </w:rPr>
        <w:br w:type="page"/>
      </w:r>
    </w:p>
    <w:p w14:paraId="76752050" w14:textId="77777777" w:rsidR="003E4D36" w:rsidRDefault="00E729B5">
      <w:pPr>
        <w:pStyle w:val="1"/>
        <w:jc w:val="center"/>
        <w:rPr>
          <w:sz w:val="30"/>
          <w:szCs w:val="30"/>
          <w:lang w:val="en-US"/>
        </w:rPr>
      </w:pPr>
      <w:bookmarkStart w:id="244" w:name="_Toc263092320"/>
      <w:bookmarkStart w:id="245" w:name="_Toc416264548"/>
      <w:bookmarkStart w:id="246" w:name="_Toc523243827"/>
      <w:bookmarkEnd w:id="231"/>
      <w:bookmarkEnd w:id="232"/>
      <w:bookmarkEnd w:id="233"/>
      <w:bookmarkEnd w:id="234"/>
      <w:bookmarkEnd w:id="235"/>
      <w:bookmarkEnd w:id="236"/>
      <w:bookmarkEnd w:id="237"/>
      <w:bookmarkEnd w:id="238"/>
      <w:bookmarkEnd w:id="239"/>
      <w:bookmarkEnd w:id="240"/>
      <w:bookmarkEnd w:id="241"/>
      <w:bookmarkEnd w:id="242"/>
      <w:r>
        <w:rPr>
          <w:rFonts w:hint="eastAsia"/>
          <w:sz w:val="30"/>
          <w:szCs w:val="30"/>
        </w:rPr>
        <w:lastRenderedPageBreak/>
        <w:t>第十二部分</w:t>
      </w:r>
      <w:r>
        <w:rPr>
          <w:sz w:val="30"/>
          <w:szCs w:val="30"/>
          <w:lang w:val="en-US"/>
        </w:rPr>
        <w:t xml:space="preserve">  </w:t>
      </w:r>
      <w:r>
        <w:rPr>
          <w:rFonts w:hint="eastAsia"/>
          <w:sz w:val="30"/>
          <w:szCs w:val="30"/>
        </w:rPr>
        <w:t>基金的收益分配</w:t>
      </w:r>
      <w:bookmarkEnd w:id="244"/>
      <w:bookmarkEnd w:id="245"/>
      <w:bookmarkEnd w:id="246"/>
    </w:p>
    <w:p w14:paraId="06658A89" w14:textId="77777777" w:rsidR="003E4D36" w:rsidRDefault="00E729B5">
      <w:pPr>
        <w:adjustRightInd w:val="0"/>
        <w:snapToGrid w:val="0"/>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一、基金利润的构成</w:t>
      </w:r>
    </w:p>
    <w:p w14:paraId="00806BC9" w14:textId="77777777" w:rsidR="003E4D36" w:rsidRDefault="00E729B5">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基金利润指基金利息收入、投资收益、公允价值变动收益和其他收入扣除相关费用后的余额，基金已实现收益指基金利润减去公允价值变动收益后的余额。</w:t>
      </w:r>
    </w:p>
    <w:p w14:paraId="59B3B278" w14:textId="77777777" w:rsidR="003E4D36" w:rsidRDefault="00E729B5">
      <w:pPr>
        <w:adjustRightInd w:val="0"/>
        <w:snapToGrid w:val="0"/>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二、基金可供分配利润</w:t>
      </w:r>
    </w:p>
    <w:p w14:paraId="5DD28521" w14:textId="77777777" w:rsidR="003E4D36" w:rsidRDefault="00E729B5">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基金可供分配利润指截至收益分配基准日基金未分配利润与未分配利润中已实现收益的孰低数。</w:t>
      </w:r>
    </w:p>
    <w:p w14:paraId="704A18A1" w14:textId="77777777" w:rsidR="003E4D36" w:rsidRDefault="00E729B5">
      <w:pPr>
        <w:adjustRightInd w:val="0"/>
        <w:snapToGrid w:val="0"/>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三、基金收益分配原则</w:t>
      </w:r>
    </w:p>
    <w:p w14:paraId="659FC9EE" w14:textId="77777777" w:rsidR="003E4D36" w:rsidRDefault="00E729B5">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1、在符合有关基金分红条件的前提下，本基金管理人可以根据实际情况进行收益分配，具体分配方案以公告为准，若《基金合同》生效不满3个月可不进行收益分配；</w:t>
      </w:r>
    </w:p>
    <w:p w14:paraId="3E12899A" w14:textId="77777777" w:rsidR="003E4D36" w:rsidRDefault="00E729B5">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2、本基金收益分配方式分两种：现金分红与红利再投资，投资者可选择现金红利或将现金红利自动转为相应类别基金份额进行再投资；若投资者不选择，本基金默认的收益分配方式是现金分红；</w:t>
      </w:r>
    </w:p>
    <w:p w14:paraId="6835A020" w14:textId="77777777" w:rsidR="003E4D36" w:rsidRDefault="00E729B5">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3、基金收益分配后基金份额净值不能低于面值，即基金收益分配基准日的基金份额净值减去每单位基金份额收益分配金额后不能低于面值；</w:t>
      </w:r>
    </w:p>
    <w:p w14:paraId="6C4CDAE4" w14:textId="77777777" w:rsidR="003E4D36" w:rsidRDefault="00E729B5">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4、A 类基金份额和C类基金份额之间由于A类基金份额不收取而C类基金份额收取销售服务费将导致在可供分配利润上有所不同；本基金同一类别的每份基金份额享有同等分配权；</w:t>
      </w:r>
    </w:p>
    <w:p w14:paraId="5B7652EA" w14:textId="77777777" w:rsidR="003E4D36" w:rsidRDefault="00E729B5">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5、法律法规或监管机关另有规定的，从其规定。</w:t>
      </w:r>
    </w:p>
    <w:p w14:paraId="6557BF09" w14:textId="77777777" w:rsidR="003E4D36" w:rsidRDefault="00E729B5">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在对基金份额持有人利益无实质不利影响的前提下，基金管理人可调整基金收益分配原则和支付方式，不需召开基金份额持有人大会。</w:t>
      </w:r>
    </w:p>
    <w:p w14:paraId="7248A8EA" w14:textId="77777777" w:rsidR="003E4D36" w:rsidRDefault="00E729B5">
      <w:pPr>
        <w:adjustRightInd w:val="0"/>
        <w:snapToGrid w:val="0"/>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四、收益分配方案</w:t>
      </w:r>
    </w:p>
    <w:p w14:paraId="68850161" w14:textId="77777777" w:rsidR="003E4D36" w:rsidRDefault="00E729B5">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基金收益分配方案中应载明截止收益分配基准日的可供分配利润、基金收益分配对象、分配时间、分配数额及比例、分配方式等内容。</w:t>
      </w:r>
    </w:p>
    <w:p w14:paraId="5192E77D" w14:textId="77777777" w:rsidR="003E4D36" w:rsidRDefault="00E729B5">
      <w:pPr>
        <w:adjustRightInd w:val="0"/>
        <w:snapToGrid w:val="0"/>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五、收益分配方案的确定、公告与实施</w:t>
      </w:r>
    </w:p>
    <w:p w14:paraId="0BC78CEA" w14:textId="03BBD972" w:rsidR="003E4D36" w:rsidRDefault="00E729B5">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本基金收益分配方案由基金管理人拟定，并由基金托管人复核，</w:t>
      </w:r>
      <w:r w:rsidR="00971DE3" w:rsidRPr="00971DE3">
        <w:rPr>
          <w:rFonts w:asciiTheme="minorEastAsia" w:hAnsiTheme="minorEastAsia" w:cs="Times New Roman" w:hint="eastAsia"/>
          <w:bCs/>
          <w:sz w:val="24"/>
          <w:szCs w:val="24"/>
        </w:rPr>
        <w:t>依据相关规定在指定媒介公告</w:t>
      </w:r>
      <w:r>
        <w:rPr>
          <w:rFonts w:asciiTheme="minorEastAsia" w:hAnsiTheme="minorEastAsia" w:cs="Times New Roman" w:hint="eastAsia"/>
          <w:bCs/>
          <w:sz w:val="24"/>
          <w:szCs w:val="24"/>
        </w:rPr>
        <w:t>。</w:t>
      </w:r>
    </w:p>
    <w:p w14:paraId="0175B312" w14:textId="77777777" w:rsidR="003E4D36" w:rsidRDefault="00E729B5">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基金红利发放日距离收益分配基准日（即可供分配利润计算截止日）的时间</w:t>
      </w:r>
      <w:r>
        <w:rPr>
          <w:rFonts w:asciiTheme="minorEastAsia" w:hAnsiTheme="minorEastAsia" w:cs="Times New Roman" w:hint="eastAsia"/>
          <w:bCs/>
          <w:sz w:val="24"/>
          <w:szCs w:val="24"/>
        </w:rPr>
        <w:lastRenderedPageBreak/>
        <w:t>不得超过15个工作日。</w:t>
      </w:r>
    </w:p>
    <w:p w14:paraId="1B6366A6" w14:textId="77777777" w:rsidR="003E4D36" w:rsidRDefault="00E729B5">
      <w:pPr>
        <w:adjustRightInd w:val="0"/>
        <w:snapToGrid w:val="0"/>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六、基金收益分配中发生的费用</w:t>
      </w:r>
    </w:p>
    <w:p w14:paraId="4F65AF1E" w14:textId="77777777" w:rsidR="003E4D36" w:rsidRDefault="00E729B5">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收益分配时所发生的银行转账或其他手续费用由投资者自行承担。当投资者的现金红利小于一定金额，不足以支付银行转账或其他手续费用时，基金登记机构可将基金份额持有人的现金红利自动转为相应类别基金份额。红利再投资的计算方法，依照《业务规则》执行。</w:t>
      </w:r>
      <w:bookmarkStart w:id="247" w:name="_Toc416264549"/>
      <w:bookmarkStart w:id="248" w:name="_Toc214873602"/>
      <w:bookmarkStart w:id="249" w:name="_Toc12357181"/>
      <w:bookmarkStart w:id="250" w:name="_Toc21073401"/>
      <w:bookmarkStart w:id="251" w:name="_Toc263092321"/>
      <w:bookmarkStart w:id="252" w:name="_Toc147463128"/>
      <w:bookmarkStart w:id="253" w:name="_Toc31917"/>
      <w:bookmarkStart w:id="254" w:name="_Toc2623"/>
      <w:bookmarkStart w:id="255" w:name="_Toc139991744"/>
      <w:bookmarkStart w:id="256" w:name="_Toc871"/>
      <w:bookmarkStart w:id="257" w:name="_Toc19714"/>
      <w:bookmarkStart w:id="258" w:name="_Toc141703894"/>
      <w:bookmarkStart w:id="259" w:name="_Toc352229760"/>
      <w:bookmarkStart w:id="260" w:name="_Toc27832"/>
      <w:bookmarkStart w:id="261" w:name="_Toc7802"/>
      <w:bookmarkStart w:id="262" w:name="_Toc17782"/>
    </w:p>
    <w:p w14:paraId="0AFBFBD0" w14:textId="77777777" w:rsidR="003E4D36" w:rsidRDefault="00E729B5">
      <w:pPr>
        <w:widowControl/>
        <w:jc w:val="left"/>
        <w:rPr>
          <w:rFonts w:asciiTheme="minorEastAsia" w:hAnsiTheme="minorEastAsia" w:cs="Times New Roman"/>
          <w:bCs/>
          <w:sz w:val="24"/>
          <w:szCs w:val="24"/>
        </w:rPr>
      </w:pPr>
      <w:r>
        <w:rPr>
          <w:rFonts w:asciiTheme="minorEastAsia" w:hAnsiTheme="minorEastAsia" w:cs="Times New Roman"/>
          <w:bCs/>
          <w:sz w:val="24"/>
          <w:szCs w:val="24"/>
        </w:rPr>
        <w:br w:type="page"/>
      </w:r>
    </w:p>
    <w:p w14:paraId="7FF8178D" w14:textId="77777777" w:rsidR="003E4D36" w:rsidRDefault="00E729B5">
      <w:pPr>
        <w:pStyle w:val="1"/>
        <w:jc w:val="center"/>
        <w:rPr>
          <w:sz w:val="30"/>
          <w:szCs w:val="30"/>
        </w:rPr>
      </w:pPr>
      <w:bookmarkStart w:id="263" w:name="_Toc523243828"/>
      <w:r>
        <w:rPr>
          <w:rFonts w:hint="eastAsia"/>
          <w:sz w:val="30"/>
          <w:szCs w:val="30"/>
        </w:rPr>
        <w:lastRenderedPageBreak/>
        <w:t>第十三部分</w:t>
      </w:r>
      <w:r>
        <w:rPr>
          <w:sz w:val="30"/>
          <w:szCs w:val="30"/>
        </w:rPr>
        <w:t xml:space="preserve">  </w:t>
      </w:r>
      <w:r>
        <w:rPr>
          <w:rFonts w:hint="eastAsia"/>
          <w:sz w:val="30"/>
          <w:szCs w:val="30"/>
        </w:rPr>
        <w:t>基金费用与税收</w:t>
      </w:r>
      <w:bookmarkEnd w:id="247"/>
      <w:bookmarkEnd w:id="248"/>
      <w:bookmarkEnd w:id="249"/>
      <w:bookmarkEnd w:id="250"/>
      <w:bookmarkEnd w:id="251"/>
      <w:bookmarkEnd w:id="252"/>
      <w:bookmarkEnd w:id="263"/>
    </w:p>
    <w:p w14:paraId="6BAC76E1" w14:textId="77777777" w:rsidR="003E4D36" w:rsidRDefault="00E729B5">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一、基金费用的种类</w:t>
      </w:r>
    </w:p>
    <w:p w14:paraId="52597CEA"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1、基金管理人的管理费；</w:t>
      </w:r>
    </w:p>
    <w:p w14:paraId="4E19FB7E"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2、基金托管人的托管费；</w:t>
      </w:r>
    </w:p>
    <w:p w14:paraId="55D1EC7C"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3、C类基金份额的销售服务费；</w:t>
      </w:r>
    </w:p>
    <w:p w14:paraId="716A3779"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4、《基金合同》生效后与基金相关的信息披露费用；</w:t>
      </w:r>
    </w:p>
    <w:p w14:paraId="12DF026A"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5、《基金合同》生效后与基金相关的会计师费、律师费、诉讼费和仲裁费；</w:t>
      </w:r>
    </w:p>
    <w:p w14:paraId="106C4DE4"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6、基金份额持有人大会费用；</w:t>
      </w:r>
    </w:p>
    <w:p w14:paraId="25F4CBD7"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7、基金的证券、期货交易费用；</w:t>
      </w:r>
    </w:p>
    <w:p w14:paraId="3B3CD0CC"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8、基金的银行汇划费用；</w:t>
      </w:r>
    </w:p>
    <w:p w14:paraId="2722E5D9"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9、基金的账户开户费用、账户维护费用；</w:t>
      </w:r>
    </w:p>
    <w:p w14:paraId="00D8711B"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10、按照国家有关规定和《基金合同》约定，可以在基金财产中列支的其他费用。</w:t>
      </w:r>
    </w:p>
    <w:p w14:paraId="0A77BFED" w14:textId="77777777" w:rsidR="003E4D36" w:rsidRDefault="00E729B5">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二、基金费用计提方法、计提标准和支付方式</w:t>
      </w:r>
    </w:p>
    <w:p w14:paraId="2F0A9388"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 xml:space="preserve">1、基金管理人的管理费 </w:t>
      </w:r>
    </w:p>
    <w:p w14:paraId="43CAA2BB"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本基金的管理费按前一日基金资产净值的0.6%年费率计提。管理费的计算方法如下：</w:t>
      </w:r>
    </w:p>
    <w:p w14:paraId="4FD1CBB8"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H＝E×0.6%÷当年天数</w:t>
      </w:r>
    </w:p>
    <w:p w14:paraId="3E8123AA"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H为每日应计提的基金管理费</w:t>
      </w:r>
    </w:p>
    <w:p w14:paraId="7B421815"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E为前一日的基金资产净值</w:t>
      </w:r>
    </w:p>
    <w:p w14:paraId="31A2C9FA"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费每日计算，逐日累计至每月月末，按月支付，由基金管理人向基金托管人发送基金管理费划款指令，基金托管人复核后于次月前5个工作日内从基金财产中一次性支付给基金管理人。若遇法定节假日、公休假等，支付日期顺延。</w:t>
      </w:r>
    </w:p>
    <w:p w14:paraId="4D2B4879"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2、基金托管人的托管费</w:t>
      </w:r>
    </w:p>
    <w:p w14:paraId="10881CD5"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本基金的托管费按前一日基金资产净值的0.1%的年费率计提。托管费的计算方法如下：</w:t>
      </w:r>
    </w:p>
    <w:p w14:paraId="50C6C6CF"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H＝E×0.1%÷当年天数</w:t>
      </w:r>
    </w:p>
    <w:p w14:paraId="74C5CC36"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H为每日应计提的基金托管费</w:t>
      </w:r>
    </w:p>
    <w:p w14:paraId="63382BBA"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E为前一日的基金资产净值</w:t>
      </w:r>
    </w:p>
    <w:p w14:paraId="7CF25F00"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托管费每日计算，逐日累计至每月月末，按月支付，由基金管理人向基金托管人发送基金托管费划款指令，基金托管人复核后于次月前5个工作日内从基金财产中一次性支取。若遇法定节假日、公休日等，支付日期顺延。</w:t>
      </w:r>
    </w:p>
    <w:p w14:paraId="79337A6F"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3、销售服务费</w:t>
      </w:r>
    </w:p>
    <w:p w14:paraId="46ECE2D8"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本基金A类基金份额不收取销售服务费，C类基金份额的销售服务费年费率为0.1%。</w:t>
      </w:r>
    </w:p>
    <w:p w14:paraId="08C74F50"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 xml:space="preserve">本基金销售服务费将专门用于本基金的销售与基金份额持有人服务， 销售服务费计提的计算公式如下： </w:t>
      </w:r>
    </w:p>
    <w:p w14:paraId="613A778B"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H=E×0.1%÷当年天数</w:t>
      </w:r>
    </w:p>
    <w:p w14:paraId="1B08F447"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H为C类基金份额每日应计提的销售服务费</w:t>
      </w:r>
    </w:p>
    <w:p w14:paraId="41900708"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E为C类基金份额前一日基金资产净值</w:t>
      </w:r>
    </w:p>
    <w:p w14:paraId="4D6AA36F"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销售服务费每日计算，逐日累计至每月月末，按月支付。由基金管理人向基金托管人发送基金销售服务费划付指令，基金托管人复核后于次月前5个工作日内从基金财产中一次性支付给基金管理人。若遇法定节假日、公休假等，支付日期顺延。</w:t>
      </w:r>
    </w:p>
    <w:p w14:paraId="0F0CB7E3"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上述“一、基金费用的种类中第4－10项费用”，根据有关法规及相应协议规定，按费用实际支出金额列入当期费用，由基金托管人从基金财产中支付。</w:t>
      </w:r>
    </w:p>
    <w:p w14:paraId="75F73BC7" w14:textId="77777777" w:rsidR="003E4D36" w:rsidRDefault="00E729B5">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三、不列入基金费用的项目</w:t>
      </w:r>
    </w:p>
    <w:p w14:paraId="28BD49F7"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下列费用不列入基金费用：</w:t>
      </w:r>
    </w:p>
    <w:p w14:paraId="00CB4833"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1、基金管理人和基金托管人因未履行或未完全履行义务导致的费用支出或基金财产的损失；</w:t>
      </w:r>
    </w:p>
    <w:p w14:paraId="119D7A3D"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2、基金管理人和基金托管人处理与基金运作无关的事项发生的费用；</w:t>
      </w:r>
    </w:p>
    <w:p w14:paraId="616721FE"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3、《基金合同》生效前的相关费用；</w:t>
      </w:r>
    </w:p>
    <w:p w14:paraId="4C8FFC94"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4、其他根据相关法律法规及中国证监会的有关规定不得列入基金费用的项目。</w:t>
      </w:r>
    </w:p>
    <w:p w14:paraId="4AD9A01E" w14:textId="77777777" w:rsidR="003E4D36" w:rsidRDefault="00E729B5">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四、基金税收</w:t>
      </w:r>
    </w:p>
    <w:p w14:paraId="19E07D63"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本基金运作过程中涉及的各纳税主体，其纳税义务按国家税收法律、法规执行。</w:t>
      </w:r>
    </w:p>
    <w:p w14:paraId="5436F450"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基金财产投资的相关税收，由基金份额持有人承担，基金管理人或者其他扣缴义务人按照国家有关税收征收的规定代扣代缴。</w:t>
      </w:r>
      <w:bookmarkStart w:id="264" w:name="_Toc416264550"/>
      <w:bookmarkStart w:id="265" w:name="_Toc263092322"/>
      <w:bookmarkStart w:id="266" w:name="_Toc214873603"/>
      <w:bookmarkStart w:id="267" w:name="_Toc12105"/>
      <w:bookmarkStart w:id="268" w:name="_Toc141703895"/>
      <w:bookmarkStart w:id="269" w:name="_Toc139991745"/>
      <w:bookmarkStart w:id="270" w:name="_Toc32046"/>
      <w:bookmarkStart w:id="271" w:name="_Toc13987"/>
      <w:bookmarkStart w:id="272" w:name="_Toc19706"/>
      <w:bookmarkStart w:id="273" w:name="_Toc32041"/>
      <w:bookmarkStart w:id="274" w:name="_Toc6493"/>
      <w:bookmarkStart w:id="275" w:name="_Toc3365"/>
      <w:bookmarkStart w:id="276" w:name="_Toc32227"/>
      <w:bookmarkStart w:id="277" w:name="_Toc19752"/>
      <w:bookmarkStart w:id="278" w:name="_Toc24601"/>
      <w:bookmarkStart w:id="279" w:name="_Toc15779"/>
      <w:bookmarkStart w:id="280" w:name="_Toc352229761"/>
      <w:bookmarkEnd w:id="253"/>
      <w:bookmarkEnd w:id="254"/>
      <w:bookmarkEnd w:id="255"/>
      <w:bookmarkEnd w:id="256"/>
      <w:bookmarkEnd w:id="257"/>
      <w:bookmarkEnd w:id="258"/>
      <w:bookmarkEnd w:id="259"/>
      <w:bookmarkEnd w:id="260"/>
      <w:bookmarkEnd w:id="261"/>
      <w:bookmarkEnd w:id="262"/>
    </w:p>
    <w:p w14:paraId="5B47877D" w14:textId="77777777" w:rsidR="003E4D36" w:rsidRDefault="00E729B5">
      <w:pPr>
        <w:widowControl/>
        <w:jc w:val="left"/>
        <w:rPr>
          <w:rFonts w:asciiTheme="minorEastAsia" w:hAnsiTheme="minorEastAsia" w:cs="Times New Roman"/>
          <w:bCs/>
          <w:sz w:val="24"/>
          <w:szCs w:val="24"/>
        </w:rPr>
      </w:pPr>
      <w:r>
        <w:rPr>
          <w:rFonts w:asciiTheme="minorEastAsia" w:hAnsiTheme="minorEastAsia" w:cs="Times New Roman"/>
          <w:bCs/>
          <w:sz w:val="24"/>
          <w:szCs w:val="24"/>
        </w:rPr>
        <w:br w:type="page"/>
      </w:r>
    </w:p>
    <w:p w14:paraId="6225ABDC" w14:textId="77777777" w:rsidR="003E4D36" w:rsidRDefault="00E729B5">
      <w:pPr>
        <w:pStyle w:val="1"/>
        <w:jc w:val="center"/>
        <w:rPr>
          <w:sz w:val="30"/>
          <w:szCs w:val="30"/>
        </w:rPr>
      </w:pPr>
      <w:bookmarkStart w:id="281" w:name="_Toc523243829"/>
      <w:r>
        <w:rPr>
          <w:rFonts w:hint="eastAsia"/>
          <w:sz w:val="30"/>
          <w:szCs w:val="30"/>
        </w:rPr>
        <w:lastRenderedPageBreak/>
        <w:t>第十四部分</w:t>
      </w:r>
      <w:r>
        <w:rPr>
          <w:sz w:val="30"/>
          <w:szCs w:val="30"/>
        </w:rPr>
        <w:t xml:space="preserve">  </w:t>
      </w:r>
      <w:r>
        <w:rPr>
          <w:rFonts w:hint="eastAsia"/>
          <w:sz w:val="30"/>
          <w:szCs w:val="30"/>
        </w:rPr>
        <w:t>基金的会计与审计</w:t>
      </w:r>
      <w:bookmarkEnd w:id="264"/>
      <w:bookmarkEnd w:id="265"/>
      <w:bookmarkEnd w:id="266"/>
      <w:bookmarkEnd w:id="281"/>
    </w:p>
    <w:p w14:paraId="5A3F14E0" w14:textId="77777777" w:rsidR="003E4D36" w:rsidRDefault="00E729B5">
      <w:pPr>
        <w:adjustRightInd w:val="0"/>
        <w:snapToGrid w:val="0"/>
        <w:spacing w:line="360" w:lineRule="auto"/>
        <w:ind w:firstLineChars="200" w:firstLine="482"/>
        <w:rPr>
          <w:rFonts w:asciiTheme="minorEastAsia" w:hAnsiTheme="minorEastAsia" w:cs="Times New Roman"/>
          <w:b/>
          <w:sz w:val="24"/>
          <w:szCs w:val="24"/>
        </w:rPr>
      </w:pPr>
      <w:r>
        <w:rPr>
          <w:rFonts w:asciiTheme="minorEastAsia" w:hAnsiTheme="minorEastAsia" w:cs="Times New Roman" w:hint="eastAsia"/>
          <w:b/>
          <w:sz w:val="24"/>
          <w:szCs w:val="24"/>
        </w:rPr>
        <w:t>一、基金会计政策</w:t>
      </w:r>
    </w:p>
    <w:p w14:paraId="4110BC2D"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1、基金管理人为本基金的基金会计责任方；</w:t>
      </w:r>
    </w:p>
    <w:p w14:paraId="3A0FEC48"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2、基金的会计年度为公历年度的1月1日至12月31日；基金首次募集的会计年度按如下原则：如果《基金合同》生效少于2个月，可以并入下一个会计年度披露；</w:t>
      </w:r>
    </w:p>
    <w:p w14:paraId="0FE84925"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3、基金核算以人民币为记账本位币，以人民币元为记账单位；</w:t>
      </w:r>
    </w:p>
    <w:p w14:paraId="5D4AD2C0"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4、会计制度执行国家有关会计制度；</w:t>
      </w:r>
    </w:p>
    <w:p w14:paraId="1A840670"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5、本基金独立建账、独立核算；</w:t>
      </w:r>
    </w:p>
    <w:p w14:paraId="55F7C5BC"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6、基金管理人及基金托管人各自保留完整的会计账目、凭证并进行日常的会计核算，按照有关规定编制基金会计报表；</w:t>
      </w:r>
    </w:p>
    <w:p w14:paraId="1D69AF57"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7、基金托管人每月与基金管理人就基金的会计核算、报表编制等进行核对并以书面方式确认。</w:t>
      </w:r>
    </w:p>
    <w:p w14:paraId="7A78619C" w14:textId="77777777" w:rsidR="003E4D36" w:rsidRDefault="00E729B5">
      <w:pPr>
        <w:adjustRightInd w:val="0"/>
        <w:snapToGrid w:val="0"/>
        <w:spacing w:line="360" w:lineRule="auto"/>
        <w:ind w:firstLineChars="200" w:firstLine="482"/>
        <w:rPr>
          <w:rFonts w:asciiTheme="minorEastAsia" w:hAnsiTheme="minorEastAsia" w:cs="Times New Roman"/>
          <w:b/>
          <w:sz w:val="24"/>
          <w:szCs w:val="24"/>
        </w:rPr>
      </w:pPr>
      <w:r>
        <w:rPr>
          <w:rFonts w:asciiTheme="minorEastAsia" w:hAnsiTheme="minorEastAsia" w:cs="Times New Roman" w:hint="eastAsia"/>
          <w:b/>
          <w:sz w:val="24"/>
          <w:szCs w:val="24"/>
        </w:rPr>
        <w:t>二、基金的年度审计</w:t>
      </w:r>
    </w:p>
    <w:p w14:paraId="7745A909" w14:textId="58918A8F"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1、基金管理人聘请与基金管理人、基金托管人相互独立的</w:t>
      </w:r>
      <w:r w:rsidR="00966052" w:rsidRPr="00966052">
        <w:rPr>
          <w:rFonts w:asciiTheme="minorEastAsia" w:hAnsiTheme="minorEastAsia" w:cs="Times New Roman" w:hint="eastAsia"/>
          <w:sz w:val="24"/>
          <w:szCs w:val="24"/>
        </w:rPr>
        <w:t>具有证券、期货相关业务资格的</w:t>
      </w:r>
      <w:r>
        <w:rPr>
          <w:rFonts w:asciiTheme="minorEastAsia" w:hAnsiTheme="minorEastAsia" w:cs="Times New Roman" w:hint="eastAsia"/>
          <w:sz w:val="24"/>
          <w:szCs w:val="24"/>
        </w:rPr>
        <w:t>会计师事务所及其注册会计师对本基金的年度财务报表进行审计。</w:t>
      </w:r>
    </w:p>
    <w:p w14:paraId="4672B8C7"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2、会计师事务所更换经办注册会计师，应事先征得基金管理人同意。</w:t>
      </w:r>
    </w:p>
    <w:p w14:paraId="3A278389" w14:textId="627D66DD"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3、基金管理人认为有充足理由更换会计师事务所，须通报基金托管人。更换会计师事务所需在2个工作日内在指定媒介公告。</w:t>
      </w:r>
    </w:p>
    <w:p w14:paraId="18EDDF10" w14:textId="77777777" w:rsidR="003E4D36" w:rsidRDefault="00E729B5">
      <w:pPr>
        <w:widowControl/>
        <w:jc w:val="left"/>
        <w:rPr>
          <w:rFonts w:asciiTheme="minorEastAsia" w:hAnsiTheme="minorEastAsia" w:cs="Times New Roman"/>
          <w:b/>
          <w:kern w:val="0"/>
          <w:sz w:val="24"/>
          <w:szCs w:val="24"/>
          <w:lang w:val="zh-CN"/>
        </w:rPr>
      </w:pPr>
      <w:r>
        <w:rPr>
          <w:rFonts w:asciiTheme="minorEastAsia" w:hAnsiTheme="minorEastAsia" w:cs="Times New Roman"/>
          <w:b/>
          <w:kern w:val="0"/>
          <w:sz w:val="24"/>
          <w:szCs w:val="24"/>
          <w:lang w:val="zh-CN"/>
        </w:rPr>
        <w:br w:type="page"/>
      </w:r>
    </w:p>
    <w:p w14:paraId="78931671" w14:textId="77777777" w:rsidR="003E4D36" w:rsidRDefault="00E729B5">
      <w:pPr>
        <w:pStyle w:val="1"/>
        <w:jc w:val="center"/>
        <w:rPr>
          <w:sz w:val="30"/>
          <w:szCs w:val="30"/>
        </w:rPr>
      </w:pPr>
      <w:bookmarkStart w:id="282" w:name="_Toc416264551"/>
      <w:bookmarkStart w:id="283" w:name="_Toc79978642"/>
      <w:bookmarkStart w:id="284" w:name="_Toc263092323"/>
      <w:bookmarkStart w:id="285" w:name="_Toc523243830"/>
      <w:bookmarkStart w:id="286" w:name="_Toc214873604"/>
      <w:bookmarkStart w:id="287" w:name="_Toc19558"/>
      <w:bookmarkStart w:id="288" w:name="_Toc3656"/>
      <w:bookmarkStart w:id="289" w:name="_Toc128310499"/>
      <w:bookmarkStart w:id="290" w:name="_Toc93226149"/>
      <w:bookmarkStart w:id="291" w:name="_Toc20052"/>
      <w:bookmarkStart w:id="292" w:name="_Toc178"/>
      <w:bookmarkStart w:id="293" w:name="_Toc1617"/>
      <w:bookmarkStart w:id="294" w:name="_Toc141703896"/>
      <w:bookmarkStart w:id="295" w:name="_Toc92662707"/>
      <w:bookmarkStart w:id="296" w:name="_Toc21829"/>
      <w:bookmarkStart w:id="297" w:name="_Toc15351"/>
      <w:bookmarkStart w:id="298" w:name="_Toc352229762"/>
      <w:bookmarkStart w:id="299" w:name="_Toc12761"/>
      <w:bookmarkStart w:id="300" w:name="_Toc25883"/>
      <w:bookmarkStart w:id="301" w:name="_Toc15525"/>
      <w:bookmarkStart w:id="302" w:name="_Toc22552"/>
      <w:bookmarkStart w:id="303" w:name="_Toc13999174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r>
        <w:rPr>
          <w:rFonts w:hint="eastAsia"/>
          <w:sz w:val="30"/>
          <w:szCs w:val="30"/>
        </w:rPr>
        <w:lastRenderedPageBreak/>
        <w:t>第十五部分</w:t>
      </w:r>
      <w:r>
        <w:rPr>
          <w:sz w:val="30"/>
          <w:szCs w:val="30"/>
        </w:rPr>
        <w:t xml:space="preserve">  </w:t>
      </w:r>
      <w:r>
        <w:rPr>
          <w:rFonts w:hint="eastAsia"/>
          <w:sz w:val="30"/>
          <w:szCs w:val="30"/>
        </w:rPr>
        <w:t>基金的信息披露</w:t>
      </w:r>
      <w:bookmarkEnd w:id="282"/>
      <w:bookmarkEnd w:id="283"/>
      <w:bookmarkEnd w:id="284"/>
      <w:bookmarkEnd w:id="285"/>
      <w:bookmarkEnd w:id="286"/>
    </w:p>
    <w:p w14:paraId="3DD0DEA4" w14:textId="77777777" w:rsidR="003E4D36" w:rsidRDefault="00E729B5">
      <w:pPr>
        <w:autoSpaceDE w:val="0"/>
        <w:autoSpaceDN w:val="0"/>
        <w:spacing w:line="360" w:lineRule="auto"/>
        <w:ind w:firstLineChars="200" w:firstLine="482"/>
        <w:textAlignment w:val="bottom"/>
        <w:rPr>
          <w:rFonts w:asciiTheme="minorEastAsia" w:hAnsiTheme="minorEastAsia" w:cs="Times New Roman"/>
          <w:b/>
          <w:sz w:val="24"/>
          <w:szCs w:val="24"/>
        </w:rPr>
      </w:pPr>
      <w:r>
        <w:rPr>
          <w:rFonts w:asciiTheme="minorEastAsia" w:hAnsiTheme="minorEastAsia" w:cs="Times New Roman" w:hint="eastAsia"/>
          <w:b/>
          <w:sz w:val="24"/>
          <w:szCs w:val="24"/>
        </w:rPr>
        <w:t>一、本基金的信息披露应符合《基金法》、《运作办法》、《信息披露办法》、《基金合同》及其他有关规定。</w:t>
      </w:r>
    </w:p>
    <w:p w14:paraId="10FA2182" w14:textId="77777777" w:rsidR="003E4D36" w:rsidRDefault="00E729B5">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二、信息披露义务人</w:t>
      </w:r>
    </w:p>
    <w:p w14:paraId="66E4293A" w14:textId="7FE02118"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本基金信息披露义务人包括基金管理人、基金托管人、召集基金份额持有人大会的基金份额持有人等法律法规和中国证监会规定的自然人、法人和</w:t>
      </w:r>
      <w:r w:rsidR="00B118FF">
        <w:rPr>
          <w:rFonts w:asciiTheme="minorEastAsia" w:hAnsiTheme="minorEastAsia" w:cs="Times New Roman" w:hint="eastAsia"/>
          <w:bCs/>
          <w:sz w:val="24"/>
          <w:szCs w:val="24"/>
        </w:rPr>
        <w:t>非法人</w:t>
      </w:r>
      <w:r>
        <w:rPr>
          <w:rFonts w:asciiTheme="minorEastAsia" w:hAnsiTheme="minorEastAsia" w:cs="Times New Roman" w:hint="eastAsia"/>
          <w:bCs/>
          <w:sz w:val="24"/>
          <w:szCs w:val="24"/>
        </w:rPr>
        <w:t>组织。</w:t>
      </w:r>
    </w:p>
    <w:p w14:paraId="5A0E8E54" w14:textId="54629CBD"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本基金信息披露义务人</w:t>
      </w:r>
      <w:r w:rsidR="00B118FF" w:rsidRPr="00C2456F">
        <w:rPr>
          <w:rFonts w:asciiTheme="minorEastAsia" w:hAnsiTheme="minorEastAsia" w:cs="Times New Roman" w:hint="eastAsia"/>
          <w:bCs/>
          <w:sz w:val="24"/>
          <w:szCs w:val="24"/>
        </w:rPr>
        <w:t>以保护基金份额持有人利益为根本出发</w:t>
      </w:r>
      <w:r w:rsidR="00B118FF" w:rsidRPr="00B118FF">
        <w:rPr>
          <w:rFonts w:asciiTheme="minorEastAsia" w:hAnsiTheme="minorEastAsia" w:cs="Times New Roman" w:hint="eastAsia"/>
          <w:bCs/>
          <w:sz w:val="24"/>
          <w:szCs w:val="24"/>
        </w:rPr>
        <w:t>点，</w:t>
      </w:r>
      <w:r>
        <w:rPr>
          <w:rFonts w:asciiTheme="minorEastAsia" w:hAnsiTheme="minorEastAsia" w:cs="Times New Roman" w:hint="eastAsia"/>
          <w:bCs/>
          <w:sz w:val="24"/>
          <w:szCs w:val="24"/>
        </w:rPr>
        <w:t>按照法律法规和中国证监会的规定披露基金信息，并保证所披露信息的真实性、准确性</w:t>
      </w:r>
      <w:r w:rsidR="00C2456F">
        <w:rPr>
          <w:rFonts w:asciiTheme="minorEastAsia" w:hAnsiTheme="minorEastAsia" w:cs="Times New Roman" w:hint="eastAsia"/>
          <w:bCs/>
          <w:sz w:val="24"/>
          <w:szCs w:val="24"/>
        </w:rPr>
        <w:t>、</w:t>
      </w:r>
      <w:r>
        <w:rPr>
          <w:rFonts w:asciiTheme="minorEastAsia" w:hAnsiTheme="minorEastAsia" w:cs="Times New Roman" w:hint="eastAsia"/>
          <w:bCs/>
          <w:sz w:val="24"/>
          <w:szCs w:val="24"/>
        </w:rPr>
        <w:t>完整性</w:t>
      </w:r>
      <w:r w:rsidR="00C2456F" w:rsidRPr="00C2456F">
        <w:rPr>
          <w:rFonts w:asciiTheme="minorEastAsia" w:hAnsiTheme="minorEastAsia" w:cs="Times New Roman" w:hint="eastAsia"/>
          <w:bCs/>
          <w:sz w:val="24"/>
          <w:szCs w:val="24"/>
        </w:rPr>
        <w:t>、及时性、简明性和易得性</w:t>
      </w:r>
      <w:r>
        <w:rPr>
          <w:rFonts w:asciiTheme="minorEastAsia" w:hAnsiTheme="minorEastAsia" w:cs="Times New Roman" w:hint="eastAsia"/>
          <w:bCs/>
          <w:sz w:val="24"/>
          <w:szCs w:val="24"/>
        </w:rPr>
        <w:t>。</w:t>
      </w:r>
    </w:p>
    <w:p w14:paraId="7B771ACF"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信息披露义务人应当在中国证监会规定时间内，将应予披露的基金信息通过中国证监会指定的媒介和基金管理人、基金托管人的互联网网站（以下简称“网站”）等媒介披露，并保证基金投资者能够按照《基金合同》约定的时间和方式查阅或者复制公开披露的信息资料。</w:t>
      </w:r>
    </w:p>
    <w:p w14:paraId="234C5F6D" w14:textId="77777777" w:rsidR="003E4D36" w:rsidRDefault="00E729B5">
      <w:pPr>
        <w:autoSpaceDE w:val="0"/>
        <w:autoSpaceDN w:val="0"/>
        <w:spacing w:line="360" w:lineRule="auto"/>
        <w:ind w:firstLineChars="200" w:firstLine="482"/>
        <w:textAlignment w:val="bottom"/>
        <w:rPr>
          <w:rFonts w:asciiTheme="minorEastAsia" w:hAnsiTheme="minorEastAsia" w:cs="Times New Roman"/>
          <w:bCs/>
          <w:sz w:val="24"/>
          <w:szCs w:val="24"/>
        </w:rPr>
      </w:pPr>
      <w:r>
        <w:rPr>
          <w:rFonts w:asciiTheme="minorEastAsia" w:hAnsiTheme="minorEastAsia" w:cs="Times New Roman" w:hint="eastAsia"/>
          <w:b/>
          <w:sz w:val="24"/>
          <w:szCs w:val="24"/>
        </w:rPr>
        <w:t>三、本基金信息披露义务人承诺公开披露的基金信息，不得有下列行为：</w:t>
      </w:r>
    </w:p>
    <w:p w14:paraId="43F5A58D"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1、虚假记载、误导性陈述或者重大遗漏；</w:t>
      </w:r>
    </w:p>
    <w:p w14:paraId="41DCDA9B"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2、对证券投资业绩进行预测；</w:t>
      </w:r>
    </w:p>
    <w:p w14:paraId="50BB319E"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3、违规承诺收益或者承担损失；</w:t>
      </w:r>
    </w:p>
    <w:p w14:paraId="386B54EA"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4、诋毁其他基金管理人、基金托管人或者基金销售机构；</w:t>
      </w:r>
    </w:p>
    <w:p w14:paraId="08A558AC" w14:textId="6623E4C9"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5、登载任何自然人、法人或者</w:t>
      </w:r>
      <w:r w:rsidR="00C2456F">
        <w:rPr>
          <w:rFonts w:asciiTheme="minorEastAsia" w:hAnsiTheme="minorEastAsia" w:cs="Times New Roman" w:hint="eastAsia"/>
          <w:bCs/>
          <w:sz w:val="24"/>
          <w:szCs w:val="24"/>
        </w:rPr>
        <w:t>非法人</w:t>
      </w:r>
      <w:r>
        <w:rPr>
          <w:rFonts w:asciiTheme="minorEastAsia" w:hAnsiTheme="minorEastAsia" w:cs="Times New Roman" w:hint="eastAsia"/>
          <w:bCs/>
          <w:sz w:val="24"/>
          <w:szCs w:val="24"/>
        </w:rPr>
        <w:t>组织的祝贺性、恭维性或推荐性的文字；</w:t>
      </w:r>
    </w:p>
    <w:p w14:paraId="4A4772C9"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6、中国证监会禁止的其他行为。</w:t>
      </w:r>
    </w:p>
    <w:p w14:paraId="320B5A9E" w14:textId="0A0CE2F7" w:rsidR="003E4D36" w:rsidRDefault="00E729B5">
      <w:pPr>
        <w:autoSpaceDE w:val="0"/>
        <w:autoSpaceDN w:val="0"/>
        <w:spacing w:line="360" w:lineRule="auto"/>
        <w:ind w:firstLineChars="200" w:firstLine="482"/>
        <w:textAlignment w:val="bottom"/>
        <w:rPr>
          <w:rFonts w:asciiTheme="minorEastAsia" w:hAnsiTheme="minorEastAsia" w:cs="Times New Roman"/>
          <w:b/>
          <w:sz w:val="24"/>
          <w:szCs w:val="24"/>
        </w:rPr>
      </w:pPr>
      <w:r>
        <w:rPr>
          <w:rFonts w:asciiTheme="minorEastAsia" w:hAnsiTheme="minorEastAsia" w:cs="Times New Roman" w:hint="eastAsia"/>
          <w:b/>
          <w:sz w:val="24"/>
          <w:szCs w:val="24"/>
        </w:rPr>
        <w:t>四、本基金公开披露的信息应采用中文文本。</w:t>
      </w:r>
      <w:r w:rsidR="00C2456F" w:rsidRPr="00C2456F">
        <w:rPr>
          <w:rFonts w:asciiTheme="minorEastAsia" w:hAnsiTheme="minorEastAsia" w:cs="Times New Roman" w:hint="eastAsia"/>
          <w:b/>
          <w:sz w:val="24"/>
          <w:szCs w:val="24"/>
        </w:rPr>
        <w:t>如同时采用外文文本的，基金信息披露义务人应</w:t>
      </w:r>
      <w:r w:rsidR="00C2456F">
        <w:rPr>
          <w:rFonts w:asciiTheme="minorEastAsia" w:hAnsiTheme="minorEastAsia" w:cs="Times New Roman" w:hint="eastAsia"/>
          <w:b/>
          <w:sz w:val="24"/>
          <w:szCs w:val="24"/>
        </w:rPr>
        <w:t>保证不同文本的内容一致。不同文本之间发生歧义的，以中文文本为准</w:t>
      </w:r>
      <w:r>
        <w:rPr>
          <w:rFonts w:asciiTheme="minorEastAsia" w:hAnsiTheme="minorEastAsia" w:cs="Times New Roman" w:hint="eastAsia"/>
          <w:b/>
          <w:sz w:val="24"/>
          <w:szCs w:val="24"/>
        </w:rPr>
        <w:t>。</w:t>
      </w:r>
    </w:p>
    <w:p w14:paraId="78A031D1"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本基金公开披露的信息采用阿拉伯数字；除特别说明外，货币单位为人民币元。</w:t>
      </w:r>
    </w:p>
    <w:p w14:paraId="34A417A3" w14:textId="77777777" w:rsidR="003E4D36" w:rsidRDefault="00E729B5">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五、公开披露的基金信息</w:t>
      </w:r>
    </w:p>
    <w:p w14:paraId="162B93AC"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公开披露的基金信息包括：</w:t>
      </w:r>
    </w:p>
    <w:p w14:paraId="20CCDD97" w14:textId="27B353B9"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（一）基金招募说明书、《基金合同》、基金托管协议</w:t>
      </w:r>
      <w:r w:rsidR="00C2456F" w:rsidRPr="00C2456F">
        <w:rPr>
          <w:rFonts w:asciiTheme="minorEastAsia" w:hAnsiTheme="minorEastAsia" w:cs="Times New Roman" w:hint="eastAsia"/>
          <w:bCs/>
          <w:sz w:val="24"/>
          <w:szCs w:val="24"/>
        </w:rPr>
        <w:t>、基金产品资料概要</w:t>
      </w:r>
    </w:p>
    <w:p w14:paraId="6E5DB4DB"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1、《基金合同》是界定《基金合同》当事人的各项权利、义务关系，明确基金份额持有人大会召开的规则及具体程序，说明基金产品的特性等涉及基金投资者重大利益的事项的法律文件。</w:t>
      </w:r>
    </w:p>
    <w:p w14:paraId="1BF02EF2" w14:textId="25D1F78D"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2、基金招募说明书应当最大限度地披露影响基金投资者决策的全部事项，说明基金认购、申购和赎回安排、基金投资、基金产品特性、风险揭示、信息披露及基金份额持有人服务等内容。《基金合同》生效后，</w:t>
      </w:r>
      <w:r w:rsidR="00C2456F" w:rsidRPr="00C2456F">
        <w:rPr>
          <w:rFonts w:asciiTheme="minorEastAsia" w:hAnsiTheme="minorEastAsia" w:cs="Times New Roman" w:hint="eastAsia"/>
          <w:bCs/>
          <w:sz w:val="24"/>
          <w:szCs w:val="24"/>
        </w:rPr>
        <w:t>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p>
    <w:p w14:paraId="6845B747"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3、基金托管协议是界定基金托管人和基金管理人在基金财产保管及基金运作监督等活动中的权利、义务关系的法律文件。</w:t>
      </w:r>
    </w:p>
    <w:p w14:paraId="01CD680A" w14:textId="77777777" w:rsidR="00C2456F" w:rsidRPr="00C2456F" w:rsidRDefault="00C2456F" w:rsidP="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4、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559515EE" w14:textId="45F03BB3" w:rsidR="003E4D36" w:rsidRDefault="00C2456F" w:rsidP="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5、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53771DF5"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（二）基金份额发售公告</w:t>
      </w:r>
    </w:p>
    <w:p w14:paraId="1BC51952"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基金管理人应当就基金份额发售的具体事宜编制基金份额发售公告，并在披露招募说明书的当日登载于指定媒介上。</w:t>
      </w:r>
    </w:p>
    <w:p w14:paraId="7369260B"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（三）《基金合同》生效公告</w:t>
      </w:r>
    </w:p>
    <w:p w14:paraId="23E56A3C"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基金管理人应当在收到中国证监会确认文件的次日在指定媒介上登载《基金</w:t>
      </w:r>
      <w:r>
        <w:rPr>
          <w:rFonts w:asciiTheme="minorEastAsia" w:hAnsiTheme="minorEastAsia" w:cs="Times New Roman" w:hint="eastAsia"/>
          <w:bCs/>
          <w:sz w:val="24"/>
          <w:szCs w:val="24"/>
        </w:rPr>
        <w:lastRenderedPageBreak/>
        <w:t>合同》生效公告。</w:t>
      </w:r>
    </w:p>
    <w:p w14:paraId="33294B8D" w14:textId="2C2F0F21"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（四）</w:t>
      </w:r>
      <w:r w:rsidR="00C2456F" w:rsidRPr="00C2456F">
        <w:rPr>
          <w:rFonts w:asciiTheme="minorEastAsia" w:hAnsiTheme="minorEastAsia" w:cs="Times New Roman" w:hint="eastAsia"/>
          <w:bCs/>
          <w:sz w:val="24"/>
          <w:szCs w:val="24"/>
        </w:rPr>
        <w:t>基金净值信息</w:t>
      </w:r>
    </w:p>
    <w:p w14:paraId="52442C33" w14:textId="24643B4F"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《基金合同》生效后，在开始办理基金份额申购或者赎回前，</w:t>
      </w:r>
      <w:r w:rsidR="00C2456F" w:rsidRPr="00C2456F">
        <w:rPr>
          <w:rFonts w:asciiTheme="minorEastAsia" w:hAnsiTheme="minorEastAsia" w:cs="Times New Roman" w:hint="eastAsia"/>
          <w:bCs/>
          <w:sz w:val="24"/>
          <w:szCs w:val="24"/>
        </w:rPr>
        <w:t>基金管理</w:t>
      </w:r>
      <w:r w:rsidR="00C2456F">
        <w:rPr>
          <w:rFonts w:asciiTheme="minorEastAsia" w:hAnsiTheme="minorEastAsia" w:cs="Times New Roman" w:hint="eastAsia"/>
          <w:bCs/>
          <w:sz w:val="24"/>
          <w:szCs w:val="24"/>
        </w:rPr>
        <w:t>人应当至少每周在指定网站披露一次基金份额净值和基金份额累计净值</w:t>
      </w:r>
      <w:r>
        <w:rPr>
          <w:rFonts w:asciiTheme="minorEastAsia" w:hAnsiTheme="minorEastAsia" w:cs="Times New Roman" w:hint="eastAsia"/>
          <w:bCs/>
          <w:sz w:val="24"/>
          <w:szCs w:val="24"/>
        </w:rPr>
        <w:t>。</w:t>
      </w:r>
    </w:p>
    <w:p w14:paraId="1C60816A" w14:textId="344402C4"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在开始办理基金份额申购或者赎回后，</w:t>
      </w:r>
      <w:r w:rsidR="00C2456F" w:rsidRPr="00C2456F">
        <w:rPr>
          <w:rFonts w:asciiTheme="minorEastAsia" w:hAnsiTheme="minorEastAsia" w:cs="Times New Roman" w:hint="eastAsia"/>
          <w:bCs/>
          <w:sz w:val="24"/>
          <w:szCs w:val="24"/>
        </w:rPr>
        <w:t>基金管理人应当在不晚于每个开放日的次日，通过其指定网站、基金销售机构网站或营业网点披露开放日的基金份额净值和基金份额累计净值。</w:t>
      </w:r>
    </w:p>
    <w:p w14:paraId="3D516DAA" w14:textId="7AF15C35" w:rsidR="003E4D36" w:rsidRDefault="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基金管理人应在不晚于半年度和年度最后一日的次日，在指定网站披露半年度和年度最后一日的基金份额净值和基金份额累计净值。</w:t>
      </w:r>
    </w:p>
    <w:p w14:paraId="77E8E866"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（五）基金份额申购、赎回价格</w:t>
      </w:r>
    </w:p>
    <w:p w14:paraId="3D28827F" w14:textId="186B5B70"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基金管理人应当在《基金合同》、招募说明书等信息披露文件上载明基金份额申购、赎回价格的计算方式及有关申购、赎回费率，</w:t>
      </w:r>
      <w:r w:rsidR="00C2456F" w:rsidRPr="00C2456F">
        <w:rPr>
          <w:rFonts w:asciiTheme="minorEastAsia" w:hAnsiTheme="minorEastAsia" w:cs="Times New Roman" w:hint="eastAsia"/>
          <w:bCs/>
          <w:sz w:val="24"/>
          <w:szCs w:val="24"/>
        </w:rPr>
        <w:t>并保证投</w:t>
      </w:r>
      <w:r w:rsidR="00C2456F">
        <w:rPr>
          <w:rFonts w:asciiTheme="minorEastAsia" w:hAnsiTheme="minorEastAsia" w:cs="Times New Roman" w:hint="eastAsia"/>
          <w:bCs/>
          <w:sz w:val="24"/>
          <w:szCs w:val="24"/>
        </w:rPr>
        <w:t>资者能够在基金销售机构网站或营业网点查阅或者复制前述信息库资料</w:t>
      </w:r>
      <w:r>
        <w:rPr>
          <w:rFonts w:asciiTheme="minorEastAsia" w:hAnsiTheme="minorEastAsia" w:cs="Times New Roman" w:hint="eastAsia"/>
          <w:bCs/>
          <w:sz w:val="24"/>
          <w:szCs w:val="24"/>
        </w:rPr>
        <w:t>。</w:t>
      </w:r>
    </w:p>
    <w:p w14:paraId="56231C46" w14:textId="699F86AA"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（六）基金定期报告，包括基金年度报告、基金</w:t>
      </w:r>
      <w:r w:rsidR="00C2456F">
        <w:rPr>
          <w:rFonts w:asciiTheme="minorEastAsia" w:hAnsiTheme="minorEastAsia" w:cs="Times New Roman" w:hint="eastAsia"/>
          <w:bCs/>
          <w:sz w:val="24"/>
          <w:szCs w:val="24"/>
        </w:rPr>
        <w:t>中期</w:t>
      </w:r>
      <w:r>
        <w:rPr>
          <w:rFonts w:asciiTheme="minorEastAsia" w:hAnsiTheme="minorEastAsia" w:cs="Times New Roman" w:hint="eastAsia"/>
          <w:bCs/>
          <w:sz w:val="24"/>
          <w:szCs w:val="24"/>
        </w:rPr>
        <w:t>报告和基金季度报告</w:t>
      </w:r>
    </w:p>
    <w:p w14:paraId="1C0096FA" w14:textId="70BEF740"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基金管理人应当在每年结束之日起</w:t>
      </w:r>
      <w:r w:rsidR="00C2456F">
        <w:rPr>
          <w:rFonts w:asciiTheme="minorEastAsia" w:hAnsiTheme="minorEastAsia" w:cs="Times New Roman" w:hint="eastAsia"/>
          <w:bCs/>
          <w:sz w:val="24"/>
          <w:szCs w:val="24"/>
        </w:rPr>
        <w:t>三个月</w:t>
      </w:r>
      <w:r>
        <w:rPr>
          <w:rFonts w:asciiTheme="minorEastAsia" w:hAnsiTheme="minorEastAsia" w:cs="Times New Roman" w:hint="eastAsia"/>
          <w:bCs/>
          <w:sz w:val="24"/>
          <w:szCs w:val="24"/>
        </w:rPr>
        <w:t>内，编制完成基金年度报告，</w:t>
      </w:r>
      <w:r w:rsidR="00C2456F" w:rsidRPr="00C2456F">
        <w:rPr>
          <w:rFonts w:asciiTheme="minorEastAsia" w:hAnsiTheme="minorEastAsia" w:cs="Times New Roman" w:hint="eastAsia"/>
          <w:bCs/>
          <w:sz w:val="24"/>
          <w:szCs w:val="24"/>
        </w:rPr>
        <w:t>将年度报告登载在指定网站上，将年度报告提示性公告登载在指定报刊上。基金年度报告中的财务会计报告应当经过具有证券、期货相关业务资格的会计师事务所审计。</w:t>
      </w:r>
    </w:p>
    <w:p w14:paraId="5DACBDB9" w14:textId="097195F4" w:rsidR="003E4D36" w:rsidRDefault="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基金管理人应当在上半年结束之日起两个月内，编制完成基金中期报告，将中期报告登载在指定网站上，并将中期报告提示性公告登载在指定报刊上。</w:t>
      </w:r>
    </w:p>
    <w:p w14:paraId="46F7584B" w14:textId="5F79A399" w:rsidR="003E4D36" w:rsidRDefault="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基金管理人应当在每个季度结束之日起15个工作日内，编制完成基金季度报告，将季度报告登载在指定网站上，并将季度报告提示性公告登载在指定报刊上。</w:t>
      </w:r>
    </w:p>
    <w:p w14:paraId="1A031947" w14:textId="58861F8A"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《基金合同》生效不足2个月的，</w:t>
      </w:r>
      <w:r w:rsidR="00C2456F" w:rsidRPr="00C2456F">
        <w:rPr>
          <w:rFonts w:asciiTheme="minorEastAsia" w:hAnsiTheme="minorEastAsia" w:cs="Times New Roman" w:hint="eastAsia"/>
          <w:bCs/>
          <w:sz w:val="24"/>
          <w:szCs w:val="24"/>
        </w:rPr>
        <w:t>基金管理人可以不编制当期季度报告、中期报告或者年度报告。</w:t>
      </w:r>
    </w:p>
    <w:p w14:paraId="4930E447" w14:textId="77777777" w:rsidR="003E4D36" w:rsidRDefault="00E729B5">
      <w:pPr>
        <w:autoSpaceDE w:val="0"/>
        <w:autoSpaceDN w:val="0"/>
        <w:spacing w:line="360" w:lineRule="auto"/>
        <w:ind w:firstLineChars="200" w:firstLine="480"/>
        <w:textAlignment w:val="bottom"/>
        <w:rPr>
          <w:bCs/>
          <w:sz w:val="24"/>
        </w:rPr>
      </w:pPr>
      <w:r>
        <w:rPr>
          <w:rFonts w:hint="eastAsia"/>
          <w:bCs/>
          <w:sz w:val="24"/>
        </w:rPr>
        <w:t>如报告期内出现单一投资者持有基金份额达到或超过基金总份额</w:t>
      </w:r>
      <w:r>
        <w:rPr>
          <w:rFonts w:hint="eastAsia"/>
          <w:bCs/>
          <w:sz w:val="24"/>
        </w:rPr>
        <w:t>20%</w:t>
      </w:r>
      <w:r>
        <w:rPr>
          <w:rFonts w:hint="eastAsia"/>
          <w:bCs/>
          <w:sz w:val="24"/>
        </w:rPr>
        <w:t>的情形，为保障其他投资者利益，基金管理人至少应当在定期报告“影响投资者决策的其他重要信息”项下披露该投资者的类别、报告期末持有份额及占比、报告期内持有份额变化情况及本基金的特有风险。</w:t>
      </w:r>
    </w:p>
    <w:p w14:paraId="73B2529A" w14:textId="644A51F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hint="eastAsia"/>
          <w:bCs/>
          <w:sz w:val="24"/>
        </w:rPr>
        <w:t>本基金持续运作过程中，应当在基金年度报告和</w:t>
      </w:r>
      <w:r w:rsidR="00C2456F">
        <w:rPr>
          <w:rFonts w:hint="eastAsia"/>
          <w:bCs/>
          <w:sz w:val="24"/>
        </w:rPr>
        <w:t>中期</w:t>
      </w:r>
      <w:r>
        <w:rPr>
          <w:rFonts w:hint="eastAsia"/>
          <w:bCs/>
          <w:sz w:val="24"/>
        </w:rPr>
        <w:t>报告中披露基金组合资</w:t>
      </w:r>
      <w:r>
        <w:rPr>
          <w:rFonts w:hint="eastAsia"/>
          <w:bCs/>
          <w:sz w:val="24"/>
        </w:rPr>
        <w:lastRenderedPageBreak/>
        <w:t>产情况及其流动性风险分析等</w:t>
      </w:r>
      <w:r>
        <w:rPr>
          <w:rFonts w:asciiTheme="minorEastAsia" w:hAnsiTheme="minorEastAsia" w:cs="Times New Roman" w:hint="eastAsia"/>
          <w:bCs/>
          <w:sz w:val="24"/>
          <w:szCs w:val="24"/>
        </w:rPr>
        <w:t>。</w:t>
      </w:r>
    </w:p>
    <w:p w14:paraId="1B17E3D8"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（七）临时报告</w:t>
      </w:r>
    </w:p>
    <w:p w14:paraId="7E8C9FB8" w14:textId="40EBA923" w:rsidR="003E4D36" w:rsidRDefault="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本基金发生重大事件，有关信息披露义务人应在2日内编制临时报告书，并登载在指定报刊和指定网站上。</w:t>
      </w:r>
    </w:p>
    <w:p w14:paraId="73D85645"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前款所称重大事件，是指可能对基金份额持有人权益或者基金份额的价格产生重大影响的下列事件：</w:t>
      </w:r>
    </w:p>
    <w:p w14:paraId="6F9C41F3" w14:textId="77777777" w:rsidR="00C2456F" w:rsidRPr="00C2456F" w:rsidRDefault="00C2456F" w:rsidP="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1、基金份额持有人大会的召开及决定的事项；</w:t>
      </w:r>
    </w:p>
    <w:p w14:paraId="589B0BF9" w14:textId="77777777" w:rsidR="00C2456F" w:rsidRPr="00C2456F" w:rsidRDefault="00C2456F" w:rsidP="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2、基金终止上市交易、基金合同终止、基金清算；</w:t>
      </w:r>
    </w:p>
    <w:p w14:paraId="4F2743AC" w14:textId="77777777" w:rsidR="00C2456F" w:rsidRPr="00C2456F" w:rsidRDefault="00C2456F" w:rsidP="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3、转换基金运作方式、基金合并；</w:t>
      </w:r>
    </w:p>
    <w:p w14:paraId="305BECC3" w14:textId="77777777" w:rsidR="00C2456F" w:rsidRPr="00C2456F" w:rsidRDefault="00C2456F" w:rsidP="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4、更换基金管理人、基金托管人、基金份额登记机构，基金改聘会计师事务所；</w:t>
      </w:r>
    </w:p>
    <w:p w14:paraId="5196AF0F" w14:textId="77777777" w:rsidR="00C2456F" w:rsidRPr="00C2456F" w:rsidRDefault="00C2456F" w:rsidP="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5、基金管理人委托基金服务机构代为办理基金的份额登记、核算、估值等事项，基金托管人委托基金服务机构代为办理基金的核算、估值、复核等事项；</w:t>
      </w:r>
    </w:p>
    <w:p w14:paraId="1CC6B176" w14:textId="77777777" w:rsidR="00C2456F" w:rsidRPr="00C2456F" w:rsidRDefault="00C2456F" w:rsidP="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6、基金管理人、基金托管人的法定名称、住所发生变更；</w:t>
      </w:r>
    </w:p>
    <w:p w14:paraId="0D92BBA2" w14:textId="77777777" w:rsidR="00C2456F" w:rsidRPr="00C2456F" w:rsidRDefault="00C2456F" w:rsidP="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7、基金管理人变更持有百分之五以上股权的股东、基金管理人的实际控制人变更；</w:t>
      </w:r>
    </w:p>
    <w:p w14:paraId="5134FF6E" w14:textId="77777777" w:rsidR="00C2456F" w:rsidRPr="00C2456F" w:rsidRDefault="00C2456F" w:rsidP="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8、基金募集期延长或提前结束募集；</w:t>
      </w:r>
    </w:p>
    <w:p w14:paraId="79380708" w14:textId="77777777" w:rsidR="00C2456F" w:rsidRPr="00C2456F" w:rsidRDefault="00C2456F" w:rsidP="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9、基金管理人的高级管理人员、基金经理和基金托管人专门基金托管部门负责人发生变动；</w:t>
      </w:r>
    </w:p>
    <w:p w14:paraId="7572C992" w14:textId="77777777" w:rsidR="00C2456F" w:rsidRPr="00C2456F" w:rsidRDefault="00C2456F" w:rsidP="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10、基金管理人的董事在最近12个月内变更超过百分之五十，基金管理人、基金托管人专门基金托管部门的主要业务人员在最近12个月内，变动超过百分之三十；</w:t>
      </w:r>
    </w:p>
    <w:p w14:paraId="4FABD60E" w14:textId="77777777" w:rsidR="00C2456F" w:rsidRPr="00C2456F" w:rsidRDefault="00C2456F" w:rsidP="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11、涉及基金财产、基金管理业务、基金托管业务的诉讼或仲裁；</w:t>
      </w:r>
    </w:p>
    <w:p w14:paraId="0E3FC635" w14:textId="77777777" w:rsidR="00C2456F" w:rsidRPr="00C2456F" w:rsidRDefault="00C2456F" w:rsidP="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12、基金管理人或其高级管理人员、基金经理因基金管理业务相关行为受到重大行政处罚、刑事处罚，基金托管人或其专门基金托管部门负责人因基金托管业务相关行为受到重大行政处罚、刑事处罚；</w:t>
      </w:r>
    </w:p>
    <w:p w14:paraId="3FA3A10B" w14:textId="77777777" w:rsidR="00C2456F" w:rsidRPr="00C2456F" w:rsidRDefault="00C2456F" w:rsidP="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13、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0365E8E9" w14:textId="77777777" w:rsidR="00C2456F" w:rsidRPr="00C2456F" w:rsidRDefault="00C2456F" w:rsidP="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lastRenderedPageBreak/>
        <w:t>14、基金收益分配事项；</w:t>
      </w:r>
    </w:p>
    <w:p w14:paraId="77A4D1D0" w14:textId="77777777" w:rsidR="00C2456F" w:rsidRPr="00C2456F" w:rsidRDefault="00C2456F" w:rsidP="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15、管理费、托管费、申购费、赎回费等费用计提标准、计提方式和费率发生变更；</w:t>
      </w:r>
    </w:p>
    <w:p w14:paraId="091207FC" w14:textId="77777777" w:rsidR="00C2456F" w:rsidRPr="00C2456F" w:rsidRDefault="00C2456F" w:rsidP="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16、基金份额净值计价错误达基金份额净值百分之零点五；</w:t>
      </w:r>
    </w:p>
    <w:p w14:paraId="13C905EC" w14:textId="77777777" w:rsidR="00C2456F" w:rsidRPr="00C2456F" w:rsidRDefault="00C2456F" w:rsidP="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17、本基金开始办理申购、赎回；</w:t>
      </w:r>
    </w:p>
    <w:p w14:paraId="21F4EB21" w14:textId="77777777" w:rsidR="00C2456F" w:rsidRPr="00C2456F" w:rsidRDefault="00C2456F" w:rsidP="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18、本基金暂定接受申购、赎回申请或重新接受申购、赎回申请；</w:t>
      </w:r>
    </w:p>
    <w:p w14:paraId="4BED13E6" w14:textId="77777777" w:rsidR="00C2456F" w:rsidRPr="00C2456F" w:rsidRDefault="00C2456F" w:rsidP="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19、基金变更标的指数；</w:t>
      </w:r>
    </w:p>
    <w:p w14:paraId="61214042" w14:textId="77777777" w:rsidR="00C2456F" w:rsidRPr="00C2456F" w:rsidRDefault="00C2456F" w:rsidP="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20、基金份额停牌、复牌、暂停上市、恢复上市或终止上市交易；</w:t>
      </w:r>
    </w:p>
    <w:p w14:paraId="53AB1EC8" w14:textId="77777777" w:rsidR="00C2456F" w:rsidRPr="00C2456F" w:rsidRDefault="00C2456F" w:rsidP="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21、调整最小申购赎回单位、申购赎回方式及申购对价、赎回对价组成；</w:t>
      </w:r>
    </w:p>
    <w:p w14:paraId="66C8D3B1" w14:textId="77777777" w:rsidR="00C2456F" w:rsidRPr="00C2456F" w:rsidRDefault="00C2456F" w:rsidP="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22、调整基金份额类别的设置；</w:t>
      </w:r>
    </w:p>
    <w:p w14:paraId="416E22DD" w14:textId="77777777" w:rsidR="00C2456F" w:rsidRPr="00C2456F" w:rsidRDefault="00C2456F" w:rsidP="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23、基金推出新业务或服务；</w:t>
      </w:r>
    </w:p>
    <w:p w14:paraId="34913971" w14:textId="6185F813" w:rsidR="003E4D36" w:rsidRDefault="00C2456F">
      <w:pPr>
        <w:autoSpaceDE w:val="0"/>
        <w:autoSpaceDN w:val="0"/>
        <w:spacing w:line="360" w:lineRule="auto"/>
        <w:ind w:firstLineChars="200" w:firstLine="480"/>
        <w:textAlignment w:val="bottom"/>
        <w:rPr>
          <w:bCs/>
          <w:sz w:val="24"/>
        </w:rPr>
      </w:pPr>
      <w:r w:rsidRPr="00C2456F">
        <w:rPr>
          <w:rFonts w:asciiTheme="minorEastAsia" w:hAnsiTheme="minorEastAsia" w:cs="Times New Roman" w:hint="eastAsia"/>
          <w:bCs/>
          <w:sz w:val="24"/>
          <w:szCs w:val="24"/>
        </w:rPr>
        <w:t>24、基金信息披露义务人认为可能对基金份额持有人权益或者基金份额的价格产生重大影响的其他事项或中国证监会规定的其他事项。</w:t>
      </w:r>
    </w:p>
    <w:p w14:paraId="42556C82"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（八）澄清公告</w:t>
      </w:r>
    </w:p>
    <w:p w14:paraId="62308380" w14:textId="6B8AE929" w:rsidR="003E4D36" w:rsidRDefault="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14:paraId="50B18BAA" w14:textId="77777777" w:rsidR="00C2456F" w:rsidRPr="00C2456F" w:rsidRDefault="00C2456F" w:rsidP="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（九）清算报告</w:t>
      </w:r>
    </w:p>
    <w:p w14:paraId="50BFBDA0" w14:textId="4647D140" w:rsidR="00C2456F" w:rsidRDefault="00C2456F" w:rsidP="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基金合同终止的，基金管理人应当依法组织基金财产清算小组对基金财产进行清算并作出清算报告。基金财产清算小组应当将清算报告登载在指定网站上，并将清算报告提示性公告登载在指定报刊上。</w:t>
      </w:r>
    </w:p>
    <w:p w14:paraId="7A31C241" w14:textId="4B1FB830"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w:t>
      </w:r>
      <w:r w:rsidR="00C2456F">
        <w:rPr>
          <w:rFonts w:asciiTheme="minorEastAsia" w:hAnsiTheme="minorEastAsia" w:cs="Times New Roman" w:hint="eastAsia"/>
          <w:bCs/>
          <w:sz w:val="24"/>
          <w:szCs w:val="24"/>
        </w:rPr>
        <w:t>十</w:t>
      </w:r>
      <w:r>
        <w:rPr>
          <w:rFonts w:asciiTheme="minorEastAsia" w:hAnsiTheme="minorEastAsia" w:cs="Times New Roman" w:hint="eastAsia"/>
          <w:bCs/>
          <w:sz w:val="24"/>
          <w:szCs w:val="24"/>
        </w:rPr>
        <w:t>）基金份额持有人大会决议</w:t>
      </w:r>
    </w:p>
    <w:p w14:paraId="61F62202"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基金份额持有人大会决定的事项，应当依法报中国证监会备案，并予以公告。</w:t>
      </w:r>
    </w:p>
    <w:p w14:paraId="3A83A43B" w14:textId="1AB954B0"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（十</w:t>
      </w:r>
      <w:r w:rsidR="00C2456F">
        <w:rPr>
          <w:rFonts w:asciiTheme="minorEastAsia" w:hAnsiTheme="minorEastAsia" w:cs="Times New Roman" w:hint="eastAsia"/>
          <w:bCs/>
          <w:sz w:val="24"/>
          <w:szCs w:val="24"/>
        </w:rPr>
        <w:t>一</w:t>
      </w:r>
      <w:r>
        <w:rPr>
          <w:rFonts w:asciiTheme="minorEastAsia" w:hAnsiTheme="minorEastAsia" w:cs="Times New Roman" w:hint="eastAsia"/>
          <w:bCs/>
          <w:sz w:val="24"/>
          <w:szCs w:val="24"/>
        </w:rPr>
        <w:t>）投资股指期货的信息披露</w:t>
      </w:r>
    </w:p>
    <w:p w14:paraId="67404EC9" w14:textId="1AE9F1AA"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基金管理人应当在基金季度报告、基金</w:t>
      </w:r>
      <w:r w:rsidR="00C2456F">
        <w:rPr>
          <w:rFonts w:asciiTheme="minorEastAsia" w:hAnsiTheme="minorEastAsia" w:cs="Times New Roman" w:hint="eastAsia"/>
          <w:bCs/>
          <w:sz w:val="24"/>
          <w:szCs w:val="24"/>
        </w:rPr>
        <w:t>中期</w:t>
      </w:r>
      <w:r>
        <w:rPr>
          <w:rFonts w:asciiTheme="minorEastAsia" w:hAnsiTheme="minorEastAsia" w:cs="Times New Roman" w:hint="eastAsia"/>
          <w:bCs/>
          <w:sz w:val="24"/>
          <w:szCs w:val="24"/>
        </w:rPr>
        <w:t>报告、基金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14:paraId="291B6FAE" w14:textId="1BE8D3A3"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（十</w:t>
      </w:r>
      <w:r w:rsidR="00C2456F">
        <w:rPr>
          <w:rFonts w:asciiTheme="minorEastAsia" w:hAnsiTheme="minorEastAsia" w:cs="Times New Roman" w:hint="eastAsia"/>
          <w:bCs/>
          <w:sz w:val="24"/>
          <w:szCs w:val="24"/>
        </w:rPr>
        <w:t>二</w:t>
      </w:r>
      <w:r>
        <w:rPr>
          <w:rFonts w:asciiTheme="minorEastAsia" w:hAnsiTheme="minorEastAsia" w:cs="Times New Roman" w:hint="eastAsia"/>
          <w:bCs/>
          <w:sz w:val="24"/>
          <w:szCs w:val="24"/>
        </w:rPr>
        <w:t>）投资国债期货的信息披露</w:t>
      </w:r>
    </w:p>
    <w:p w14:paraId="1C9826F4" w14:textId="4E0BD5A0"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基金管理人应当在基金季度报告、基金</w:t>
      </w:r>
      <w:r w:rsidR="00C2456F">
        <w:rPr>
          <w:rFonts w:asciiTheme="minorEastAsia" w:hAnsiTheme="minorEastAsia" w:cs="Times New Roman" w:hint="eastAsia"/>
          <w:bCs/>
          <w:sz w:val="24"/>
          <w:szCs w:val="24"/>
        </w:rPr>
        <w:t>中期</w:t>
      </w:r>
      <w:r>
        <w:rPr>
          <w:rFonts w:asciiTheme="minorEastAsia" w:hAnsiTheme="minorEastAsia" w:cs="Times New Roman" w:hint="eastAsia"/>
          <w:bCs/>
          <w:sz w:val="24"/>
          <w:szCs w:val="24"/>
        </w:rPr>
        <w:t>报告、基金年度报告等定期报告和招募说明书（更新）等文件中披露国债期货交易情况，包括投资政策、持仓情况、损益情况、风险指标等，并充分揭示国债期货交易对基金总体风险的影响以及是否符合既定的投资政策和投资目标等。</w:t>
      </w:r>
    </w:p>
    <w:p w14:paraId="141B0FB9" w14:textId="370F4AEB"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（十</w:t>
      </w:r>
      <w:r w:rsidR="00C2456F">
        <w:rPr>
          <w:rFonts w:asciiTheme="minorEastAsia" w:hAnsiTheme="minorEastAsia" w:cs="Times New Roman" w:hint="eastAsia"/>
          <w:bCs/>
          <w:sz w:val="24"/>
          <w:szCs w:val="24"/>
        </w:rPr>
        <w:t>三</w:t>
      </w:r>
      <w:r>
        <w:rPr>
          <w:rFonts w:asciiTheme="minorEastAsia" w:hAnsiTheme="minorEastAsia" w:cs="Times New Roman" w:hint="eastAsia"/>
          <w:bCs/>
          <w:sz w:val="24"/>
          <w:szCs w:val="24"/>
        </w:rPr>
        <w:t>）投资股票期权的信息披露</w:t>
      </w:r>
    </w:p>
    <w:p w14:paraId="6D36DEB5"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在定期信息披露文件中披露参与股票期权交易的有关情况，包括投资政策、持仓情况、损益情况、风险指标、估值方法等，并充分揭示股票期权交易对基金总体风险的影响以及是否符合既定的投资政策和投资目标。</w:t>
      </w:r>
    </w:p>
    <w:p w14:paraId="6D0AAFED" w14:textId="60B9F382"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（十</w:t>
      </w:r>
      <w:r w:rsidR="00C2456F">
        <w:rPr>
          <w:rFonts w:asciiTheme="minorEastAsia" w:hAnsiTheme="minorEastAsia" w:cs="Times New Roman" w:hint="eastAsia"/>
          <w:bCs/>
          <w:sz w:val="24"/>
          <w:szCs w:val="24"/>
        </w:rPr>
        <w:t>四</w:t>
      </w:r>
      <w:r>
        <w:rPr>
          <w:rFonts w:asciiTheme="minorEastAsia" w:hAnsiTheme="minorEastAsia" w:cs="Times New Roman" w:hint="eastAsia"/>
          <w:bCs/>
          <w:sz w:val="24"/>
          <w:szCs w:val="24"/>
        </w:rPr>
        <w:t>）投资中小企业私募债券的信息披露</w:t>
      </w:r>
    </w:p>
    <w:p w14:paraId="4E0BFFC6" w14:textId="58BFAFC5"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基金管理人应当在基金投资中小企业私募债券后2个交易日内，在中国证监会指定媒介披露所投资中小企业私募债券的名称、数量、期限、收益率等信息。基金管理人应当在基金年度报告、基金</w:t>
      </w:r>
      <w:r w:rsidR="00C2456F">
        <w:rPr>
          <w:rFonts w:asciiTheme="minorEastAsia" w:hAnsiTheme="minorEastAsia" w:cs="Times New Roman" w:hint="eastAsia"/>
          <w:bCs/>
          <w:sz w:val="24"/>
          <w:szCs w:val="24"/>
        </w:rPr>
        <w:t>中期</w:t>
      </w:r>
      <w:r>
        <w:rPr>
          <w:rFonts w:asciiTheme="minorEastAsia" w:hAnsiTheme="minorEastAsia" w:cs="Times New Roman" w:hint="eastAsia"/>
          <w:bCs/>
          <w:sz w:val="24"/>
          <w:szCs w:val="24"/>
        </w:rPr>
        <w:t>报告和基金季度报告等定期报告和招募说明书等文件中披露中小企业私募债券的投资情况。</w:t>
      </w:r>
    </w:p>
    <w:p w14:paraId="3D601F54" w14:textId="4CC707D6"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（十</w:t>
      </w:r>
      <w:r w:rsidR="00C2456F">
        <w:rPr>
          <w:rFonts w:asciiTheme="minorEastAsia" w:hAnsiTheme="minorEastAsia" w:cs="Times New Roman" w:hint="eastAsia"/>
          <w:bCs/>
          <w:sz w:val="24"/>
          <w:szCs w:val="24"/>
        </w:rPr>
        <w:t>五</w:t>
      </w:r>
      <w:r>
        <w:rPr>
          <w:rFonts w:asciiTheme="minorEastAsia" w:hAnsiTheme="minorEastAsia" w:cs="Times New Roman" w:hint="eastAsia"/>
          <w:bCs/>
          <w:sz w:val="24"/>
          <w:szCs w:val="24"/>
        </w:rPr>
        <w:t>）投资资产支持证券的信息披露</w:t>
      </w:r>
    </w:p>
    <w:p w14:paraId="2B9EAF89" w14:textId="1541F543"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本基金投资资产支持证券，基金管理人应在基金年报及</w:t>
      </w:r>
      <w:r w:rsidR="00C2456F">
        <w:rPr>
          <w:rFonts w:asciiTheme="minorEastAsia" w:hAnsiTheme="minorEastAsia" w:cs="Times New Roman" w:hint="eastAsia"/>
          <w:bCs/>
          <w:sz w:val="24"/>
          <w:szCs w:val="24"/>
        </w:rPr>
        <w:t>中期报告</w:t>
      </w:r>
      <w:r>
        <w:rPr>
          <w:rFonts w:asciiTheme="minorEastAsia" w:hAnsiTheme="minorEastAsia" w:cs="Times New Roman" w:hint="eastAsia"/>
          <w:bCs/>
          <w:sz w:val="24"/>
          <w:szCs w:val="24"/>
        </w:rPr>
        <w:t>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10名资产支持证券明细。</w:t>
      </w:r>
    </w:p>
    <w:p w14:paraId="01C0E255" w14:textId="1E6AD1A0"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（十</w:t>
      </w:r>
      <w:r w:rsidR="00C2456F">
        <w:rPr>
          <w:rFonts w:asciiTheme="minorEastAsia" w:hAnsiTheme="minorEastAsia" w:cs="Times New Roman" w:hint="eastAsia"/>
          <w:bCs/>
          <w:sz w:val="24"/>
          <w:szCs w:val="24"/>
        </w:rPr>
        <w:t>六</w:t>
      </w:r>
      <w:r>
        <w:rPr>
          <w:rFonts w:asciiTheme="minorEastAsia" w:hAnsiTheme="minorEastAsia" w:cs="Times New Roman" w:hint="eastAsia"/>
          <w:bCs/>
          <w:sz w:val="24"/>
          <w:szCs w:val="24"/>
        </w:rPr>
        <w:t>）中国证监会规定的其他信息。</w:t>
      </w:r>
    </w:p>
    <w:p w14:paraId="5FB775E6" w14:textId="77777777" w:rsidR="003E4D36" w:rsidRDefault="00E729B5">
      <w:pPr>
        <w:autoSpaceDE w:val="0"/>
        <w:autoSpaceDN w:val="0"/>
        <w:spacing w:line="360" w:lineRule="auto"/>
        <w:ind w:firstLineChars="200" w:firstLine="482"/>
        <w:textAlignment w:val="bottom"/>
        <w:rPr>
          <w:rFonts w:asciiTheme="minorEastAsia" w:hAnsiTheme="minorEastAsia" w:cs="Times New Roman"/>
          <w:b/>
          <w:sz w:val="24"/>
          <w:szCs w:val="24"/>
        </w:rPr>
      </w:pPr>
      <w:r>
        <w:rPr>
          <w:rFonts w:asciiTheme="minorEastAsia" w:hAnsiTheme="minorEastAsia" w:cs="Times New Roman" w:hint="eastAsia"/>
          <w:b/>
          <w:sz w:val="24"/>
          <w:szCs w:val="24"/>
        </w:rPr>
        <w:t>六、信息披露事务管理</w:t>
      </w:r>
    </w:p>
    <w:p w14:paraId="6153D808" w14:textId="77777777" w:rsidR="00C2456F" w:rsidRPr="00C2456F" w:rsidRDefault="00C2456F" w:rsidP="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基金管理人、基金托管人应当建立健全信息披露管理制度，指定专门部门及高级管理人员负责管理信息披露事务。</w:t>
      </w:r>
    </w:p>
    <w:p w14:paraId="68939873" w14:textId="77777777" w:rsidR="00C2456F" w:rsidRPr="00C2456F" w:rsidRDefault="00C2456F" w:rsidP="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基金信息披露义务人公开披露基金信息，应当符合中国证监会相关基金信息披露内容与格式准则等法规的规定。</w:t>
      </w:r>
    </w:p>
    <w:p w14:paraId="014C630D" w14:textId="77777777" w:rsidR="00C2456F" w:rsidRPr="00C2456F" w:rsidRDefault="00C2456F" w:rsidP="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基金托管人应当按照相关法律法规、中国证监会的规定和基金合同的约定，对基金管理人编制的基金资产净值、基金份额净值、基金份额申购赎回对价、基金定期报告、更新的招募说明书、基金产品资料概要、基金清算报告等公开披露</w:t>
      </w:r>
      <w:r w:rsidRPr="00C2456F">
        <w:rPr>
          <w:rFonts w:asciiTheme="minorEastAsia" w:hAnsiTheme="minorEastAsia" w:cs="Times New Roman" w:hint="eastAsia"/>
          <w:bCs/>
          <w:sz w:val="24"/>
          <w:szCs w:val="24"/>
        </w:rPr>
        <w:lastRenderedPageBreak/>
        <w:t>的相关基金信息进行进行复核、审查，并向基金管理人进行书面或电子确认。</w:t>
      </w:r>
    </w:p>
    <w:p w14:paraId="6A809315" w14:textId="77777777" w:rsidR="00C2456F" w:rsidRPr="00C2456F" w:rsidRDefault="00C2456F" w:rsidP="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基金管理人、基金托管人应当在指定报刊中选择一家报刊披露本基金信息。基金管理人、基金托管人应当向中国证监会基金电子披露网站报送拟披露的基金信息，并保证相关报送信息的真实、准确、完整、及时。</w:t>
      </w:r>
    </w:p>
    <w:p w14:paraId="619770A8" w14:textId="77777777" w:rsidR="00C2456F" w:rsidRPr="00C2456F" w:rsidRDefault="00C2456F" w:rsidP="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基金管理人、基金托管人除依法在指定媒介上披露信息外，还可以根据需要在其他公共媒介披露信息，但是其他公共媒介不得早于指定媒介披露信息，并且在不同媒介上披露同一信息的内容应当一致。</w:t>
      </w:r>
    </w:p>
    <w:p w14:paraId="2832B40B" w14:textId="3D6E1013" w:rsidR="003E4D36" w:rsidRDefault="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基金管理人、基金托管人除按法律法规要求披露信息外、也可着眼于为投资者决策提供有用信息的角度，在保证公平对待投资者、不误导投资者、不影响基金正常投资操作的前提下，自主提升信息披露服务的质量。具体要求应当符合中国证监会及自律规则的相关规定。前述自主披露如产生信息披露费用，该费用不得从基金财产中列支。</w:t>
      </w:r>
    </w:p>
    <w:p w14:paraId="3C31D73F"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为基金信息披露义务人公开披露的基金信息出具审计报告、法律意见书的专业机构，应当制作工作底稿，并将相关档案至少保存到《基金合同》终止后10年。</w:t>
      </w:r>
    </w:p>
    <w:p w14:paraId="5F1B7024" w14:textId="77777777" w:rsidR="003E4D36" w:rsidRDefault="00E729B5">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七、信息披露文件的存放与查阅</w:t>
      </w:r>
    </w:p>
    <w:p w14:paraId="24733CB8" w14:textId="56DE5BD4" w:rsidR="003E4D36" w:rsidRDefault="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依法必须披露的信息发布后，基金管理人、基金托管人应当按照相关法律法规规定将信息置备于公司住所、基金上市交易的证券交易所，供社会公众查阅、复制。</w:t>
      </w:r>
    </w:p>
    <w:p w14:paraId="73ED146A" w14:textId="77777777" w:rsidR="003E4D36" w:rsidRDefault="00E729B5">
      <w:pPr>
        <w:pStyle w:val="1"/>
        <w:jc w:val="center"/>
        <w:rPr>
          <w:sz w:val="30"/>
          <w:szCs w:val="30"/>
        </w:rPr>
      </w:pPr>
      <w:bookmarkStart w:id="304" w:name="_Toc147463125"/>
      <w:bookmarkStart w:id="305" w:name="_Toc263092324"/>
      <w:bookmarkStart w:id="306" w:name="_Toc12357178"/>
      <w:bookmarkStart w:id="307" w:name="_Toc21073398"/>
      <w:bookmarkStart w:id="308" w:name="_Toc416264552"/>
      <w:bookmarkStart w:id="309" w:name="_Toc214873605"/>
      <w:bookmarkStart w:id="310" w:name="_Toc523243831"/>
      <w:bookmarkStart w:id="311" w:name="_Toc92662708"/>
      <w:bookmarkStart w:id="312" w:name="_Toc93226150"/>
      <w:bookmarkStart w:id="313" w:name="_Toc17499"/>
      <w:bookmarkStart w:id="314" w:name="_Toc10894"/>
      <w:bookmarkStart w:id="315" w:name="_Toc1043"/>
      <w:bookmarkStart w:id="316" w:name="_Toc141703897"/>
      <w:bookmarkStart w:id="317" w:name="_Toc352229763"/>
      <w:bookmarkStart w:id="318" w:name="_Toc128310500"/>
      <w:bookmarkStart w:id="319" w:name="_Toc21206"/>
      <w:bookmarkStart w:id="320" w:name="_Toc23859"/>
      <w:bookmarkStart w:id="321" w:name="_Toc18747"/>
      <w:bookmarkStart w:id="322" w:name="_Toc139991747"/>
      <w:bookmarkStart w:id="323" w:name="_Toc13255"/>
      <w:bookmarkStart w:id="324" w:name="_Toc18007"/>
      <w:bookmarkStart w:id="325" w:name="_Toc28961"/>
      <w:bookmarkStart w:id="326" w:name="_Toc29695"/>
      <w:bookmarkStart w:id="327" w:name="_Toc3173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r>
        <w:rPr>
          <w:rFonts w:hint="eastAsia"/>
          <w:sz w:val="30"/>
          <w:szCs w:val="30"/>
        </w:rPr>
        <w:t>第十六部分</w:t>
      </w:r>
      <w:r>
        <w:rPr>
          <w:sz w:val="30"/>
          <w:szCs w:val="30"/>
        </w:rPr>
        <w:t xml:space="preserve">  </w:t>
      </w:r>
      <w:r>
        <w:rPr>
          <w:rFonts w:hint="eastAsia"/>
          <w:sz w:val="30"/>
          <w:szCs w:val="30"/>
        </w:rPr>
        <w:t>风险揭示</w:t>
      </w:r>
      <w:bookmarkEnd w:id="304"/>
      <w:bookmarkEnd w:id="305"/>
      <w:bookmarkEnd w:id="306"/>
      <w:bookmarkEnd w:id="307"/>
      <w:bookmarkEnd w:id="308"/>
      <w:bookmarkEnd w:id="309"/>
      <w:bookmarkEnd w:id="310"/>
    </w:p>
    <w:p w14:paraId="693521D6" w14:textId="77777777" w:rsidR="003E4D36" w:rsidRDefault="00E729B5">
      <w:pPr>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Times New Roman" w:hint="eastAsia"/>
          <w:b/>
          <w:sz w:val="24"/>
          <w:szCs w:val="24"/>
        </w:rPr>
        <w:t>一、投资于本基金的主要风险</w:t>
      </w:r>
    </w:p>
    <w:p w14:paraId="36600E59"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、市场风险</w:t>
      </w:r>
    </w:p>
    <w:p w14:paraId="1E132C9F"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证券市场价格受到各种因素的影响，导致基金收益水平变化而产生风险，主要包括：</w:t>
      </w:r>
    </w:p>
    <w:p w14:paraId="60A3A3C1"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w:t>
      </w:r>
      <w:r>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00CE14B5"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2</w:t>
      </w:r>
      <w:r>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7CFD2550"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w:t>
      </w:r>
      <w:r>
        <w:rPr>
          <w:rFonts w:asciiTheme="minorEastAsia" w:hAnsiTheme="minorEastAsia" w:cs="Arial" w:hint="eastAsia"/>
          <w:bCs/>
          <w:sz w:val="24"/>
          <w:szCs w:val="24"/>
        </w:rPr>
        <w:t>）利率风险。金融市场利率的波动会导致证券市场价格和收益率的变动。</w:t>
      </w:r>
    </w:p>
    <w:p w14:paraId="168D6BCC"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lastRenderedPageBreak/>
        <w:t>（</w:t>
      </w:r>
      <w:r>
        <w:rPr>
          <w:rFonts w:asciiTheme="minorEastAsia" w:hAnsiTheme="minorEastAsia" w:cs="Arial"/>
          <w:bCs/>
          <w:sz w:val="24"/>
          <w:szCs w:val="24"/>
        </w:rPr>
        <w:t>4</w:t>
      </w:r>
      <w:r>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4A6D282E"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5</w:t>
      </w:r>
      <w:r>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58AB59F5"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、信用风险</w:t>
      </w:r>
    </w:p>
    <w:p w14:paraId="40A6DF66"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5CD52C43"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、流动性风险</w:t>
      </w:r>
    </w:p>
    <w:p w14:paraId="790FE8DE"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72658761"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（1）拟投资市场、行业及资产的流动性风险评估</w:t>
      </w:r>
    </w:p>
    <w:p w14:paraId="3C078275"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债券和货币市场工具等），同时本基金基于分散投资的原则在行业和个券方面未有高集中度的特征，综合评估在正常市场环境下本基金的流动性风险适中。</w:t>
      </w:r>
    </w:p>
    <w:p w14:paraId="0724A3D7"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 xml:space="preserve">（2）巨额赎回情形下的流动性风险管理措施 </w:t>
      </w:r>
    </w:p>
    <w:p w14:paraId="23AE20B6"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14:paraId="6A29A308"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（3）实施备用的流动性风险管理工具的情形、程序及对投资者的潜在影响</w:t>
      </w:r>
    </w:p>
    <w:p w14:paraId="5A605D98"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w:t>
      </w:r>
      <w:r>
        <w:rPr>
          <w:rFonts w:asciiTheme="minorEastAsia" w:hAnsiTheme="minorEastAsia" w:cs="Arial" w:hint="eastAsia"/>
          <w:bCs/>
          <w:sz w:val="24"/>
          <w:szCs w:val="24"/>
        </w:rPr>
        <w:lastRenderedPageBreak/>
        <w:t>在实际运用各类流动性风险管理工具时，投资者的赎回申请、赎回款项支付等可能受到相应影响，基金管理人将严格依照法律法规及基金合同的约定进行操作，全面保障投资者的合法权益。</w:t>
      </w:r>
    </w:p>
    <w:p w14:paraId="3DF37B71"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4</w:t>
      </w:r>
      <w:r>
        <w:rPr>
          <w:rFonts w:asciiTheme="minorEastAsia" w:hAnsiTheme="minorEastAsia" w:cs="Arial" w:hint="eastAsia"/>
          <w:bCs/>
          <w:sz w:val="24"/>
          <w:szCs w:val="24"/>
        </w:rPr>
        <w:t>、操作风险</w:t>
      </w:r>
    </w:p>
    <w:p w14:paraId="40D3751E"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Pr>
          <w:rFonts w:asciiTheme="minorEastAsia" w:hAnsiTheme="minorEastAsia" w:cs="Arial"/>
          <w:bCs/>
          <w:sz w:val="24"/>
          <w:szCs w:val="24"/>
        </w:rPr>
        <w:t>IT</w:t>
      </w:r>
      <w:r>
        <w:rPr>
          <w:rFonts w:asciiTheme="minorEastAsia" w:hAnsiTheme="minorEastAsia" w:cs="Arial" w:hint="eastAsia"/>
          <w:bCs/>
          <w:sz w:val="24"/>
          <w:szCs w:val="24"/>
        </w:rPr>
        <w:t>系统故障等风险。</w:t>
      </w:r>
    </w:p>
    <w:p w14:paraId="0B40DC4A"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5</w:t>
      </w:r>
      <w:r>
        <w:rPr>
          <w:rFonts w:asciiTheme="minorEastAsia" w:hAnsiTheme="minorEastAsia" w:cs="Arial" w:hint="eastAsia"/>
          <w:bCs/>
          <w:sz w:val="24"/>
          <w:szCs w:val="24"/>
        </w:rPr>
        <w:t>、管理风险</w:t>
      </w:r>
    </w:p>
    <w:p w14:paraId="524FB4EF"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56DD1B8D"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6</w:t>
      </w:r>
      <w:r>
        <w:rPr>
          <w:rFonts w:asciiTheme="minorEastAsia" w:hAnsiTheme="minorEastAsia" w:cs="Arial" w:hint="eastAsia"/>
          <w:bCs/>
          <w:sz w:val="24"/>
          <w:szCs w:val="24"/>
        </w:rPr>
        <w:t>、合规风险</w:t>
      </w:r>
    </w:p>
    <w:p w14:paraId="7B76CB2F"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合规风险指基金管理或运作过程中，违反国家法律、法规的规定，或者违反《基金合同》有关规定的风险。</w:t>
      </w:r>
    </w:p>
    <w:p w14:paraId="175DB78C" w14:textId="77777777" w:rsidR="003E4D36" w:rsidRDefault="00E729B5">
      <w:pPr>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二、投资于本基金的特有风险</w:t>
      </w:r>
    </w:p>
    <w:p w14:paraId="015737E0"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本基金为灵活配置混合型证券投资基金，存在大类资产配置风险，有可能因为受到经济周期、市场环境或管理人能力等因素的影响，导致基金的大类资产配置比例偏离最优化水平，给基金投资组合的绩效带来风险。同时，本基金在股票投资方面采取自下而上的方法，以深入的基本面研究为基础，精选成长与价值特性突出的上市公司股票，这种对股票的评估具有一定的主观性，将在个股投资决策中给基金带来一定的不确定性，因而存在个股选择风险。</w:t>
      </w:r>
    </w:p>
    <w:p w14:paraId="0A0740D4"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、股指期货、国债期货等金融衍生品投资风险</w:t>
      </w:r>
    </w:p>
    <w:p w14:paraId="534EBE30"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衍生品需承受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0EE30D1F"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股指期货、国债期货采用保证金交易制度，由于保证金交易具有杠杆性，当出现不利行情时，股价、指数微小的变动就可能会使投资者权益遭受较大损失。</w:t>
      </w:r>
      <w:r>
        <w:rPr>
          <w:rFonts w:asciiTheme="minorEastAsia" w:hAnsiTheme="minorEastAsia" w:cs="Arial" w:hint="eastAsia"/>
          <w:bCs/>
          <w:sz w:val="24"/>
          <w:szCs w:val="24"/>
        </w:rPr>
        <w:lastRenderedPageBreak/>
        <w:t>股指期货、国债期货采用每日无负债结算制度，如果没有在规定的时间内补足保证金，按规定将被强制平仓，可能给投资带来重大损失。</w:t>
      </w:r>
    </w:p>
    <w:p w14:paraId="377B199B"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、中小企业私募债券投资风险</w:t>
      </w:r>
    </w:p>
    <w:p w14:paraId="089223C2"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所投资的中小企业私募债券之债务人出现违约，或在交易过程中发生交收违约，或由于中小企业私募债券信用质量降低导致价格下降，可能造成基金财产损失。此外，受市场规模及交易活跃程度的影响，中小企业私募债券可能无法在同一价格水平上进行较大数量的买入或卖出，存在一定的流动性风险，从而对基金收益造成影响。</w:t>
      </w:r>
    </w:p>
    <w:p w14:paraId="697271C9"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4、资产支持证券投资风险</w:t>
      </w:r>
    </w:p>
    <w:p w14:paraId="66842194"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投资资产支持证券，资产支持证券（ABS）或资产支持票据（ABN）是一种债券性质的金融工具，其向投资者支付的本息来自于基础资产池产生的现金流或剩余权益。与股票和一般债券不同，资产支持证券不是对某一经营实体的利益要求权，而是对基础资产池所产生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76092ABD" w14:textId="77777777" w:rsidR="003E4D36" w:rsidRDefault="00E729B5">
      <w:pPr>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三、其他风险</w:t>
      </w:r>
    </w:p>
    <w:p w14:paraId="58B99E27"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、技术风险</w:t>
      </w:r>
    </w:p>
    <w:p w14:paraId="63F523FE"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4E72C1B5"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、法律风险</w:t>
      </w:r>
    </w:p>
    <w:p w14:paraId="237E0EF4"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由于法律法规方面的原因，某些市场行为受到限制或合同不能正常执行，导致基金资产的损失。</w:t>
      </w:r>
    </w:p>
    <w:p w14:paraId="36106415"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、其他风险</w:t>
      </w:r>
    </w:p>
    <w:p w14:paraId="2DDC515F"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接控制能力之外的风险，可能导致基金或者基金份额持有人利益受损。</w:t>
      </w:r>
    </w:p>
    <w:p w14:paraId="782A77E2" w14:textId="77777777" w:rsidR="003E4D36" w:rsidRDefault="00E729B5">
      <w:pPr>
        <w:widowControl/>
        <w:jc w:val="left"/>
        <w:rPr>
          <w:rFonts w:asciiTheme="minorEastAsia" w:hAnsiTheme="minorEastAsia" w:cs="Times New Roman"/>
          <w:b/>
          <w:bCs/>
          <w:kern w:val="44"/>
          <w:sz w:val="24"/>
          <w:szCs w:val="24"/>
        </w:rPr>
      </w:pPr>
      <w:r>
        <w:rPr>
          <w:rFonts w:asciiTheme="minorEastAsia" w:hAnsiTheme="minorEastAsia" w:cs="Times New Roman"/>
          <w:b/>
          <w:bCs/>
          <w:kern w:val="44"/>
          <w:sz w:val="24"/>
          <w:szCs w:val="24"/>
        </w:rPr>
        <w:lastRenderedPageBreak/>
        <w:br w:type="page"/>
      </w:r>
    </w:p>
    <w:p w14:paraId="10461928" w14:textId="77777777" w:rsidR="003E4D36" w:rsidRDefault="00E729B5">
      <w:pPr>
        <w:pStyle w:val="1"/>
        <w:jc w:val="center"/>
        <w:rPr>
          <w:sz w:val="30"/>
          <w:szCs w:val="30"/>
        </w:rPr>
      </w:pPr>
      <w:bookmarkStart w:id="328" w:name="_Toc523243832"/>
      <w:r>
        <w:rPr>
          <w:rFonts w:hint="eastAsia"/>
          <w:sz w:val="30"/>
          <w:szCs w:val="30"/>
        </w:rPr>
        <w:lastRenderedPageBreak/>
        <w:t>第十七部分</w:t>
      </w:r>
      <w:r>
        <w:rPr>
          <w:sz w:val="30"/>
          <w:szCs w:val="30"/>
        </w:rPr>
        <w:t xml:space="preserve">  </w:t>
      </w:r>
      <w:bookmarkEnd w:id="311"/>
      <w:bookmarkEnd w:id="312"/>
      <w:r>
        <w:rPr>
          <w:rFonts w:hint="eastAsia"/>
          <w:sz w:val="30"/>
          <w:szCs w:val="30"/>
        </w:rPr>
        <w:t>基金合同的变更、终止与基金财产的清算</w:t>
      </w:r>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p>
    <w:p w14:paraId="6C3FD757" w14:textId="77777777" w:rsidR="003E4D36" w:rsidRDefault="003E4D36">
      <w:pPr>
        <w:spacing w:line="360" w:lineRule="auto"/>
        <w:ind w:firstLineChars="200" w:firstLine="480"/>
        <w:rPr>
          <w:rFonts w:asciiTheme="minorEastAsia" w:hAnsiTheme="minorEastAsia" w:cs="Times New Roman"/>
          <w:bCs/>
          <w:sz w:val="24"/>
          <w:szCs w:val="24"/>
        </w:rPr>
      </w:pPr>
    </w:p>
    <w:p w14:paraId="68350D34" w14:textId="77777777" w:rsidR="003E4D36" w:rsidRDefault="00E729B5">
      <w:pPr>
        <w:adjustRightInd w:val="0"/>
        <w:snapToGrid w:val="0"/>
        <w:spacing w:line="360" w:lineRule="auto"/>
        <w:ind w:firstLineChars="200" w:firstLine="482"/>
        <w:rPr>
          <w:rFonts w:asciiTheme="minorEastAsia" w:hAnsiTheme="minorEastAsia" w:cs="Times New Roman"/>
          <w:b/>
          <w:sz w:val="24"/>
          <w:szCs w:val="24"/>
        </w:rPr>
      </w:pPr>
      <w:bookmarkStart w:id="329" w:name="_Toc128310501"/>
      <w:bookmarkStart w:id="330" w:name="_Toc8512"/>
      <w:bookmarkStart w:id="331" w:name="_Toc31866"/>
      <w:bookmarkStart w:id="332" w:name="_Toc12028"/>
      <w:bookmarkStart w:id="333" w:name="_Toc352229764"/>
      <w:bookmarkStart w:id="334" w:name="_Toc141703898"/>
      <w:bookmarkStart w:id="335" w:name="_Toc139991748"/>
      <w:bookmarkStart w:id="336" w:name="_Toc92662709"/>
      <w:bookmarkStart w:id="337" w:name="_Toc21351"/>
      <w:bookmarkStart w:id="338" w:name="_Toc1173"/>
      <w:bookmarkStart w:id="339" w:name="_Toc29289"/>
      <w:bookmarkStart w:id="340" w:name="_Toc11049"/>
      <w:bookmarkStart w:id="341" w:name="_Toc11802"/>
      <w:bookmarkStart w:id="342" w:name="_Toc93226151"/>
      <w:bookmarkStart w:id="343" w:name="_Toc193"/>
      <w:bookmarkStart w:id="344" w:name="_Toc3056"/>
      <w:bookmarkStart w:id="345" w:name="_Toc1421"/>
      <w:r>
        <w:rPr>
          <w:rFonts w:asciiTheme="minorEastAsia" w:hAnsiTheme="minorEastAsia" w:cs="Times New Roman" w:hint="eastAsia"/>
          <w:b/>
          <w:sz w:val="24"/>
          <w:szCs w:val="24"/>
        </w:rPr>
        <w:t>一、《基金合同》的变更</w:t>
      </w:r>
    </w:p>
    <w:p w14:paraId="5648739C"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变更基金合同涉及法律法规规定或基金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14:paraId="3487FAD8"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 2、关于《基金合同》变更的基金份额持有人大会决议自生效后方可执行，并自决议生效后两个工作日内在指定媒介公告。</w:t>
      </w:r>
    </w:p>
    <w:p w14:paraId="5FAEFBC5" w14:textId="77777777" w:rsidR="003E4D36" w:rsidRDefault="00E729B5">
      <w:pPr>
        <w:adjustRightInd w:val="0"/>
        <w:snapToGrid w:val="0"/>
        <w:spacing w:line="360" w:lineRule="auto"/>
        <w:ind w:firstLineChars="200" w:firstLine="482"/>
        <w:rPr>
          <w:rFonts w:asciiTheme="minorEastAsia" w:hAnsiTheme="minorEastAsia" w:cs="Times New Roman"/>
          <w:b/>
          <w:sz w:val="24"/>
          <w:szCs w:val="24"/>
        </w:rPr>
      </w:pPr>
      <w:r>
        <w:rPr>
          <w:rFonts w:asciiTheme="minorEastAsia" w:hAnsiTheme="minorEastAsia" w:cs="Times New Roman" w:hint="eastAsia"/>
          <w:b/>
          <w:sz w:val="24"/>
          <w:szCs w:val="24"/>
        </w:rPr>
        <w:t>二、《基金合同》的终止事由</w:t>
      </w:r>
    </w:p>
    <w:p w14:paraId="56FDA376"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有下列情形之一的，《基金合同》应当终止：</w:t>
      </w:r>
    </w:p>
    <w:p w14:paraId="5B74B91C"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1、基金份额持有人大会决定终止的；</w:t>
      </w:r>
    </w:p>
    <w:p w14:paraId="27EE5FCF"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2、基金管理人、基金托管人职责终止，在6个月内没有新基金管理人、新基金托管人承接的；</w:t>
      </w:r>
    </w:p>
    <w:p w14:paraId="7EDE4C9B"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3、《基金合同》约定的其他情形；</w:t>
      </w:r>
    </w:p>
    <w:p w14:paraId="312DD04B"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4、相关法律法规和中国证监会规定的其他情况。</w:t>
      </w:r>
    </w:p>
    <w:p w14:paraId="459C9BFF" w14:textId="77777777" w:rsidR="003E4D36" w:rsidRDefault="00E729B5">
      <w:pPr>
        <w:adjustRightInd w:val="0"/>
        <w:snapToGrid w:val="0"/>
        <w:spacing w:line="360" w:lineRule="auto"/>
        <w:ind w:firstLineChars="200" w:firstLine="482"/>
        <w:rPr>
          <w:rFonts w:asciiTheme="minorEastAsia" w:hAnsiTheme="minorEastAsia" w:cs="Times New Roman"/>
          <w:b/>
          <w:sz w:val="24"/>
          <w:szCs w:val="24"/>
        </w:rPr>
      </w:pPr>
      <w:r>
        <w:rPr>
          <w:rFonts w:asciiTheme="minorEastAsia" w:hAnsiTheme="minorEastAsia" w:cs="Times New Roman" w:hint="eastAsia"/>
          <w:b/>
          <w:sz w:val="24"/>
          <w:szCs w:val="24"/>
        </w:rPr>
        <w:t>三、基金财产的清算</w:t>
      </w:r>
    </w:p>
    <w:p w14:paraId="24195BCE"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1、基金财产清算小组：自出现《基金合同》终止事由之日起30个工作日内成立清算小组，基金管理人组织基金财产清算小组并在中国证监会的监督下进行基金清算。</w:t>
      </w:r>
    </w:p>
    <w:p w14:paraId="7BE3C353" w14:textId="5F4A7D52"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2、基金财产清算小组组成：基金财产清算小组成员由基金管理人、基金托管人、</w:t>
      </w:r>
      <w:r w:rsidR="009D5C97" w:rsidRPr="009D5C97">
        <w:rPr>
          <w:rFonts w:asciiTheme="minorEastAsia" w:hAnsiTheme="minorEastAsia" w:cs="Times New Roman" w:hint="eastAsia"/>
          <w:sz w:val="24"/>
          <w:szCs w:val="24"/>
        </w:rPr>
        <w:t>具有证券、期货相关业务资格的</w:t>
      </w:r>
      <w:r>
        <w:rPr>
          <w:rFonts w:asciiTheme="minorEastAsia" w:hAnsiTheme="minorEastAsia" w:cs="Times New Roman" w:hint="eastAsia"/>
          <w:sz w:val="24"/>
          <w:szCs w:val="24"/>
        </w:rPr>
        <w:t>注册会计师、律师以及中国证监会指定的人员组成。基金财产清算小组可以聘用必要的工作人员。</w:t>
      </w:r>
    </w:p>
    <w:p w14:paraId="6BC95105"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3、基金财产清算小组职责：基金财产清算小组负责基金财产的保管、清理、估价、变现和分配。基金财产清算小组可以依法进行必要的民事活动。</w:t>
      </w:r>
    </w:p>
    <w:p w14:paraId="25360F0D"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4、基金财产清算程序：</w:t>
      </w:r>
    </w:p>
    <w:p w14:paraId="25EC1E4C"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（1）《基金合同》终止情形出现时，由基金财产清算小组统一接管基金；</w:t>
      </w:r>
    </w:p>
    <w:p w14:paraId="6E530267"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（2）对基金财产和债权债务进行清理和确认；</w:t>
      </w:r>
    </w:p>
    <w:p w14:paraId="01901D7C"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（3）对基金财产进行估值和变现；</w:t>
      </w:r>
    </w:p>
    <w:p w14:paraId="10C7DF76"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（4）制作清算报告；</w:t>
      </w:r>
    </w:p>
    <w:p w14:paraId="5ED47B4C" w14:textId="47B698B1"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（5）聘请</w:t>
      </w:r>
      <w:r w:rsidR="009D5C97" w:rsidRPr="009D5C97">
        <w:rPr>
          <w:rFonts w:asciiTheme="minorEastAsia" w:hAnsiTheme="minorEastAsia" w:cs="Times New Roman" w:hint="eastAsia"/>
          <w:sz w:val="24"/>
          <w:szCs w:val="24"/>
        </w:rPr>
        <w:t>具有证券、期货相关业务资格的</w:t>
      </w:r>
      <w:r>
        <w:rPr>
          <w:rFonts w:asciiTheme="minorEastAsia" w:hAnsiTheme="minorEastAsia" w:cs="Times New Roman" w:hint="eastAsia"/>
          <w:sz w:val="24"/>
          <w:szCs w:val="24"/>
        </w:rPr>
        <w:t>会计师事务所对清算报告进行外部审计，聘请律师事务所对清算报告出具法律意见书；</w:t>
      </w:r>
    </w:p>
    <w:p w14:paraId="188AF841"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（6）将清算报告报中国证监会备案并公告；</w:t>
      </w:r>
    </w:p>
    <w:p w14:paraId="2662851F"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（7）对基金剩余财产进行分配。</w:t>
      </w:r>
    </w:p>
    <w:p w14:paraId="2C99AFE2"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5、基金财产清算的期限为6个月。</w:t>
      </w:r>
    </w:p>
    <w:p w14:paraId="1EFD3EBB" w14:textId="77777777" w:rsidR="003E4D36" w:rsidRDefault="00E729B5">
      <w:pPr>
        <w:adjustRightInd w:val="0"/>
        <w:snapToGrid w:val="0"/>
        <w:spacing w:line="360" w:lineRule="auto"/>
        <w:ind w:firstLineChars="200" w:firstLine="482"/>
        <w:rPr>
          <w:rFonts w:asciiTheme="minorEastAsia" w:hAnsiTheme="minorEastAsia" w:cs="Times New Roman"/>
          <w:b/>
          <w:sz w:val="24"/>
          <w:szCs w:val="24"/>
        </w:rPr>
      </w:pPr>
      <w:r>
        <w:rPr>
          <w:rFonts w:asciiTheme="minorEastAsia" w:hAnsiTheme="minorEastAsia" w:cs="Times New Roman" w:hint="eastAsia"/>
          <w:b/>
          <w:sz w:val="24"/>
          <w:szCs w:val="24"/>
        </w:rPr>
        <w:t>四、清算费用</w:t>
      </w:r>
    </w:p>
    <w:p w14:paraId="745C464D"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清算费用是指基金财产清算小组在进行基金清算过程中发生的所有合理费用，清算费用由基金财产清算小组优先从基金财产中支付。</w:t>
      </w:r>
    </w:p>
    <w:p w14:paraId="1301E4EC" w14:textId="77777777" w:rsidR="003E4D36" w:rsidRDefault="00E729B5">
      <w:pPr>
        <w:adjustRightInd w:val="0"/>
        <w:snapToGrid w:val="0"/>
        <w:spacing w:line="360" w:lineRule="auto"/>
        <w:ind w:firstLineChars="200" w:firstLine="482"/>
        <w:rPr>
          <w:rFonts w:asciiTheme="minorEastAsia" w:hAnsiTheme="minorEastAsia" w:cs="Times New Roman"/>
          <w:b/>
          <w:sz w:val="24"/>
          <w:szCs w:val="24"/>
        </w:rPr>
      </w:pPr>
      <w:r>
        <w:rPr>
          <w:rFonts w:asciiTheme="minorEastAsia" w:hAnsiTheme="minorEastAsia" w:cs="Times New Roman" w:hint="eastAsia"/>
          <w:b/>
          <w:sz w:val="24"/>
          <w:szCs w:val="24"/>
        </w:rPr>
        <w:t>五、基金财产清算剩余资产的分配</w:t>
      </w:r>
    </w:p>
    <w:p w14:paraId="4AB7E968"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依据基金财产清算的分配方案，将基金财产清算后的全部剩余资产扣除基金财产清算费用、交纳所欠税款并清偿基金债务后，按基金份额持有人持有的基金份额比例进行分配。</w:t>
      </w:r>
    </w:p>
    <w:p w14:paraId="0C82130D" w14:textId="77777777" w:rsidR="003E4D36" w:rsidRDefault="00E729B5">
      <w:pPr>
        <w:adjustRightInd w:val="0"/>
        <w:snapToGrid w:val="0"/>
        <w:spacing w:line="360" w:lineRule="auto"/>
        <w:ind w:firstLineChars="200" w:firstLine="482"/>
        <w:rPr>
          <w:rFonts w:asciiTheme="minorEastAsia" w:hAnsiTheme="minorEastAsia" w:cs="Times New Roman"/>
          <w:b/>
          <w:sz w:val="24"/>
          <w:szCs w:val="24"/>
        </w:rPr>
      </w:pPr>
      <w:r>
        <w:rPr>
          <w:rFonts w:asciiTheme="minorEastAsia" w:hAnsiTheme="minorEastAsia" w:cs="Times New Roman" w:hint="eastAsia"/>
          <w:b/>
          <w:sz w:val="24"/>
          <w:szCs w:val="24"/>
        </w:rPr>
        <w:t>六、基金财产清算的公告</w:t>
      </w:r>
    </w:p>
    <w:p w14:paraId="75218C25" w14:textId="430C995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清算过程中的有关重大事项须及时公告；基金财产清算报告经</w:t>
      </w:r>
      <w:r w:rsidR="009D5C97" w:rsidRPr="009D5C97">
        <w:rPr>
          <w:rFonts w:asciiTheme="minorEastAsia" w:hAnsiTheme="minorEastAsia" w:cs="Times New Roman" w:hint="eastAsia"/>
          <w:sz w:val="24"/>
          <w:szCs w:val="24"/>
        </w:rPr>
        <w:t>具有证券、期货相关业务资格的</w:t>
      </w:r>
      <w:r>
        <w:rPr>
          <w:rFonts w:asciiTheme="minorEastAsia" w:hAnsiTheme="minorEastAsia" w:cs="Times New Roman" w:hint="eastAsia"/>
          <w:sz w:val="24"/>
          <w:szCs w:val="24"/>
        </w:rPr>
        <w:t>会计师事务所审计并由律师事务所出具法律意见书后报中国证监会备案并公告。基金财产清算公告于基金财产清算报告报中国证监会备案后5个工作日内由基金财产清算小组进行公告。</w:t>
      </w:r>
    </w:p>
    <w:p w14:paraId="230A7103" w14:textId="77777777" w:rsidR="003E4D36" w:rsidRDefault="00E729B5">
      <w:pPr>
        <w:adjustRightInd w:val="0"/>
        <w:snapToGrid w:val="0"/>
        <w:spacing w:line="360" w:lineRule="auto"/>
        <w:ind w:firstLineChars="200" w:firstLine="482"/>
        <w:rPr>
          <w:rFonts w:asciiTheme="minorEastAsia" w:hAnsiTheme="minorEastAsia" w:cs="Times New Roman"/>
          <w:b/>
          <w:sz w:val="24"/>
          <w:szCs w:val="24"/>
        </w:rPr>
      </w:pPr>
      <w:r>
        <w:rPr>
          <w:rFonts w:asciiTheme="minorEastAsia" w:hAnsiTheme="minorEastAsia" w:cs="Times New Roman" w:hint="eastAsia"/>
          <w:b/>
          <w:sz w:val="24"/>
          <w:szCs w:val="24"/>
        </w:rPr>
        <w:t>七、基金财产清算账册及文件的保存</w:t>
      </w:r>
    </w:p>
    <w:p w14:paraId="629E4672"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基金财产清算账册及有关文件由基金托管人保存15年以上。</w:t>
      </w:r>
    </w:p>
    <w:p w14:paraId="6D0172C1" w14:textId="77777777" w:rsidR="003E4D36" w:rsidRDefault="00E729B5">
      <w:pPr>
        <w:widowControl/>
        <w:jc w:val="left"/>
        <w:rPr>
          <w:rFonts w:asciiTheme="minorEastAsia" w:hAnsiTheme="minorEastAsia" w:cs="Times New Roman"/>
          <w:sz w:val="24"/>
          <w:szCs w:val="24"/>
        </w:rPr>
      </w:pPr>
      <w:r>
        <w:rPr>
          <w:rFonts w:asciiTheme="minorEastAsia" w:hAnsiTheme="minorEastAsia" w:cs="Times New Roman"/>
          <w:sz w:val="24"/>
          <w:szCs w:val="24"/>
        </w:rPr>
        <w:br w:type="page"/>
      </w:r>
    </w:p>
    <w:p w14:paraId="6B9C532B" w14:textId="77777777" w:rsidR="003E4D36" w:rsidRDefault="00E729B5">
      <w:pPr>
        <w:pStyle w:val="1"/>
        <w:jc w:val="center"/>
        <w:rPr>
          <w:sz w:val="30"/>
          <w:szCs w:val="30"/>
        </w:rPr>
      </w:pPr>
      <w:bookmarkStart w:id="346" w:name="_Toc416264553"/>
      <w:bookmarkStart w:id="347" w:name="_Toc523243833"/>
      <w:bookmarkStart w:id="348" w:name="_Toc263092326"/>
      <w:bookmarkStart w:id="349" w:name="_Toc214873607"/>
      <w:bookmarkStart w:id="350" w:name="_Toc352229765"/>
      <w:bookmarkStart w:id="351" w:name="_Toc123051465"/>
      <w:bookmarkStart w:id="352" w:name="_Toc27464"/>
      <w:bookmarkStart w:id="353" w:name="_Toc141703899"/>
      <w:bookmarkStart w:id="354" w:name="_Toc10006"/>
      <w:bookmarkStart w:id="355" w:name="_Toc8049"/>
      <w:bookmarkStart w:id="356" w:name="_Toc9005"/>
      <w:bookmarkStart w:id="357" w:name="_Toc98560364"/>
      <w:bookmarkStart w:id="358" w:name="_Toc123102466"/>
      <w:bookmarkStart w:id="359" w:name="_Toc11113"/>
      <w:bookmarkStart w:id="360" w:name="_Toc25647"/>
      <w:bookmarkStart w:id="361" w:name="_Toc139991749"/>
      <w:bookmarkStart w:id="362" w:name="_Toc8059"/>
      <w:bookmarkStart w:id="363" w:name="_Toc6237"/>
      <w:bookmarkStart w:id="364" w:name="_Toc29891"/>
      <w:bookmarkStart w:id="365" w:name="_Toc7170"/>
      <w:bookmarkStart w:id="366" w:name="_Toc22978"/>
      <w:bookmarkStart w:id="367" w:name="_Toc123112247"/>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r>
        <w:rPr>
          <w:rFonts w:hint="eastAsia"/>
          <w:sz w:val="30"/>
          <w:szCs w:val="30"/>
        </w:rPr>
        <w:lastRenderedPageBreak/>
        <w:t>第十八部分</w:t>
      </w:r>
      <w:r>
        <w:rPr>
          <w:sz w:val="30"/>
          <w:szCs w:val="30"/>
        </w:rPr>
        <w:t xml:space="preserve">  </w:t>
      </w:r>
      <w:r>
        <w:rPr>
          <w:rFonts w:hint="eastAsia"/>
          <w:sz w:val="30"/>
          <w:szCs w:val="30"/>
        </w:rPr>
        <w:t>基金合同的内容摘要</w:t>
      </w:r>
      <w:bookmarkEnd w:id="346"/>
      <w:bookmarkEnd w:id="347"/>
      <w:bookmarkEnd w:id="348"/>
      <w:bookmarkEnd w:id="349"/>
    </w:p>
    <w:p w14:paraId="672F789A" w14:textId="77777777" w:rsidR="003E4D36" w:rsidRDefault="00E729B5">
      <w:pPr>
        <w:widowControl/>
        <w:spacing w:line="360" w:lineRule="auto"/>
        <w:ind w:firstLineChars="200" w:firstLine="482"/>
        <w:jc w:val="left"/>
        <w:rPr>
          <w:rFonts w:asciiTheme="minorEastAsia" w:hAnsiTheme="minorEastAsia" w:cs="Times New Roman"/>
          <w:b/>
          <w:sz w:val="24"/>
          <w:szCs w:val="24"/>
        </w:rPr>
      </w:pPr>
      <w:r>
        <w:rPr>
          <w:rFonts w:asciiTheme="minorEastAsia" w:hAnsiTheme="minorEastAsia" w:cs="Times New Roman" w:hint="eastAsia"/>
          <w:b/>
          <w:sz w:val="24"/>
          <w:szCs w:val="24"/>
        </w:rPr>
        <w:t>一、基金份额持有人、基金管理人和基金托管人的权利、义务</w:t>
      </w:r>
    </w:p>
    <w:p w14:paraId="2332A003"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w:t>
      </w:r>
      <w:r>
        <w:rPr>
          <w:rFonts w:asciiTheme="minorEastAsia" w:hAnsiTheme="minorEastAsia" w:cs="Times New Roman" w:hint="eastAsia"/>
          <w:bCs/>
          <w:sz w:val="24"/>
          <w:szCs w:val="24"/>
        </w:rPr>
        <w:tab/>
        <w:t>基金管理人的权利与义务</w:t>
      </w:r>
    </w:p>
    <w:p w14:paraId="6831546D"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1、根据《基金法》、《运作办法》及其他有关规定，基金管理人的权利包括但不限于：</w:t>
      </w:r>
    </w:p>
    <w:p w14:paraId="4780C26C"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（1）依法募集资金；</w:t>
      </w:r>
    </w:p>
    <w:p w14:paraId="31AF877F"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（2）自《基金合同》生效之日起，根据法律法规和《基金合同》独立运用并管理基金财产；</w:t>
      </w:r>
    </w:p>
    <w:p w14:paraId="35EDD9F2"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（3）依照《基金合同》收取基金管理费以及法律法规规定或中国证监会批准的其他费用；</w:t>
      </w:r>
    </w:p>
    <w:p w14:paraId="00CEE558"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（4）销售基金份额；</w:t>
      </w:r>
    </w:p>
    <w:p w14:paraId="1C411EF0"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（5）按照规定召集基金份额持有人大会；</w:t>
      </w:r>
    </w:p>
    <w:p w14:paraId="094C98FC"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（6）依据《基金合同》及有关法律规定监督基金托管人，如认为基金托管人违反了《基金合同》及国家有关法律规定，应呈报中国证监会和其他监管部门，并采取必要措施保护基金投资者的利益；</w:t>
      </w:r>
    </w:p>
    <w:p w14:paraId="5A95B893"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（7）在基金托管人更换时，提名新的基金托管人；</w:t>
      </w:r>
    </w:p>
    <w:p w14:paraId="3CD6CA5D"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 xml:space="preserve">（8）选择、更换基金销售机构，对基金销售机构的相关行为进行监督和处理； </w:t>
      </w:r>
    </w:p>
    <w:p w14:paraId="171E239C"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 xml:space="preserve">（9）担任或委托其他符合条件的机构担任基金登记机构办理基金登记业务并获得《基金合同》规定的费用； </w:t>
      </w:r>
    </w:p>
    <w:p w14:paraId="7A48D8A2"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（10）依据《基金合同》及有关法律规定决定基金收益的分配方案；</w:t>
      </w:r>
      <w:r>
        <w:rPr>
          <w:rFonts w:asciiTheme="minorEastAsia" w:hAnsiTheme="minorEastAsia" w:cs="Times New Roman" w:hint="eastAsia"/>
          <w:bCs/>
          <w:sz w:val="24"/>
          <w:szCs w:val="24"/>
        </w:rPr>
        <w:tab/>
      </w:r>
    </w:p>
    <w:p w14:paraId="57ABAB32"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 xml:space="preserve">（11）在《基金合同》约定的范围内，拒绝或暂停受理申购与赎回申请； </w:t>
      </w:r>
    </w:p>
    <w:p w14:paraId="6FD3902D"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（12）依照法律法规为基金的利益对被投资公司行使股东权利，为基金的利益行使因基金财产投资于证券所产生的权利；</w:t>
      </w:r>
      <w:r>
        <w:rPr>
          <w:rFonts w:asciiTheme="minorEastAsia" w:hAnsiTheme="minorEastAsia" w:cs="Times New Roman" w:hint="eastAsia"/>
          <w:bCs/>
          <w:sz w:val="24"/>
          <w:szCs w:val="24"/>
        </w:rPr>
        <w:tab/>
      </w:r>
    </w:p>
    <w:p w14:paraId="224F0795"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（13）以基金管理人的名义，代表基金份额持有人的利益行使诉讼权利或者实施其他法律行为；</w:t>
      </w:r>
      <w:r>
        <w:rPr>
          <w:rFonts w:asciiTheme="minorEastAsia" w:hAnsiTheme="minorEastAsia" w:cs="Times New Roman" w:hint="eastAsia"/>
          <w:bCs/>
          <w:sz w:val="24"/>
          <w:szCs w:val="24"/>
        </w:rPr>
        <w:tab/>
      </w:r>
    </w:p>
    <w:p w14:paraId="4CE2B512"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（14）选择、更换律师事务所、会计师事务所、证券经纪商、期货经纪商或其他为基金提供服务的外部机构；</w:t>
      </w:r>
      <w:r>
        <w:rPr>
          <w:rFonts w:asciiTheme="minorEastAsia" w:hAnsiTheme="minorEastAsia" w:cs="Times New Roman" w:hint="eastAsia"/>
          <w:bCs/>
          <w:sz w:val="24"/>
          <w:szCs w:val="24"/>
        </w:rPr>
        <w:tab/>
      </w:r>
    </w:p>
    <w:p w14:paraId="30495A7E"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（15）在符合有关法律、法规的前提下，制订和调整有关基金认购、申购、赎回、转换和非交易过户等业务规则；</w:t>
      </w:r>
    </w:p>
    <w:p w14:paraId="09215D48"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（16）法律法规及中国证监会规定的和《基金合同》约定的其他权利。</w:t>
      </w:r>
    </w:p>
    <w:p w14:paraId="60044DE6"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2、根据《基金法》、《运作办法》及其他有关规定，基金管理人的义务包括但不限于：</w:t>
      </w:r>
    </w:p>
    <w:p w14:paraId="202D59FB"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（1）依法募集资金，办理或者委托经中国证监会认定的其他机构代为办理基金份额的发售、申购、赎回和登记事宜；</w:t>
      </w:r>
    </w:p>
    <w:p w14:paraId="06E1BB78"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（2）办理基金备案手续；</w:t>
      </w:r>
    </w:p>
    <w:p w14:paraId="1CE1906F"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（3）自《基金合同》生效之日起，以诚实信用、谨慎勤勉的原则管理和运用基金财产；</w:t>
      </w:r>
    </w:p>
    <w:p w14:paraId="146EC1C0"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（4）配备足够的具有专业资格的人员进行基金投资分析、决策，以专业化的经营方式管理和运作基金财产；</w:t>
      </w:r>
    </w:p>
    <w:p w14:paraId="780BAAE7"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（5）建立健全内部风险控制、监察与稽核、财务管理及人事管理等制度，保证所管理的基金财产和基金管理人的财产相互独立，对所管理的不同基金分别管理，分别记账，进行证券投资；</w:t>
      </w:r>
    </w:p>
    <w:p w14:paraId="72A85D0C"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（6）除依据《基金法》、《基金合同》及其他有关规定外，不得利用基金财产为自己及任何第三人谋取利益，不得委托第三人运作基金财产；</w:t>
      </w:r>
    </w:p>
    <w:p w14:paraId="40067C63"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（7）依法接受基金托管人的监督；</w:t>
      </w:r>
    </w:p>
    <w:p w14:paraId="53DEB283" w14:textId="55636CAE"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（8）采取适当合理的措施使计算基金份额认购、申购、赎回和注销价格的方法符合《基金合同》等法律文件的规定，按有关规定计算并公告</w:t>
      </w:r>
      <w:r w:rsidR="00EA55BA" w:rsidRPr="00EA55BA">
        <w:rPr>
          <w:rFonts w:asciiTheme="minorEastAsia" w:hAnsiTheme="minorEastAsia" w:cs="Times New Roman" w:hint="eastAsia"/>
          <w:bCs/>
          <w:sz w:val="24"/>
          <w:szCs w:val="24"/>
        </w:rPr>
        <w:t>基金净值信息，确定基金份额申购、赎回对价，编制申购赎回清单</w:t>
      </w:r>
      <w:r>
        <w:rPr>
          <w:rFonts w:asciiTheme="minorEastAsia" w:hAnsiTheme="minorEastAsia" w:cs="Times New Roman" w:hint="eastAsia"/>
          <w:bCs/>
          <w:sz w:val="24"/>
          <w:szCs w:val="24"/>
        </w:rPr>
        <w:t>；</w:t>
      </w:r>
    </w:p>
    <w:p w14:paraId="21732F8C"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（9）进行基金会计核算并编制基金财务会计报告；</w:t>
      </w:r>
    </w:p>
    <w:p w14:paraId="5AF3CD2C" w14:textId="46B9578C"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（10）编制季度</w:t>
      </w:r>
      <w:r w:rsidR="00EA55BA">
        <w:rPr>
          <w:rFonts w:asciiTheme="minorEastAsia" w:hAnsiTheme="minorEastAsia" w:cs="Times New Roman" w:hint="eastAsia"/>
          <w:bCs/>
          <w:sz w:val="24"/>
          <w:szCs w:val="24"/>
        </w:rPr>
        <w:t>报告</w:t>
      </w:r>
      <w:r>
        <w:rPr>
          <w:rFonts w:asciiTheme="minorEastAsia" w:hAnsiTheme="minorEastAsia" w:cs="Times New Roman" w:hint="eastAsia"/>
          <w:bCs/>
          <w:sz w:val="24"/>
          <w:szCs w:val="24"/>
        </w:rPr>
        <w:t>、</w:t>
      </w:r>
      <w:r w:rsidR="00EA55BA">
        <w:rPr>
          <w:rFonts w:asciiTheme="minorEastAsia" w:hAnsiTheme="minorEastAsia" w:cs="Times New Roman" w:hint="eastAsia"/>
          <w:bCs/>
          <w:sz w:val="24"/>
          <w:szCs w:val="24"/>
        </w:rPr>
        <w:t>中期报告</w:t>
      </w:r>
      <w:r>
        <w:rPr>
          <w:rFonts w:asciiTheme="minorEastAsia" w:hAnsiTheme="minorEastAsia" w:cs="Times New Roman" w:hint="eastAsia"/>
          <w:bCs/>
          <w:sz w:val="24"/>
          <w:szCs w:val="24"/>
        </w:rPr>
        <w:t>和年度报告；</w:t>
      </w:r>
    </w:p>
    <w:p w14:paraId="5612FD7B"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（11）严格按照《基金法》、《基金合同》及其他有关规定，履行信息披露及报告义务；</w:t>
      </w:r>
    </w:p>
    <w:p w14:paraId="31933220"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（12）保守基金商业秘密，不泄露基金投资计划、投资意向等。除《基金法》、《基金合同》及其他有关规定另有规定外，在基金信息公开披露前应予保密，不向他人泄露；</w:t>
      </w:r>
    </w:p>
    <w:p w14:paraId="76F6B250"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（13）按《基金合同》的约定确定基金收益分配方案，及时向基金份额持有人分配基金收益；</w:t>
      </w:r>
    </w:p>
    <w:p w14:paraId="7123AC35"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（14）按规定受理申购与赎回申请，及时、足额支付赎回款项；</w:t>
      </w:r>
    </w:p>
    <w:p w14:paraId="009264EB"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（15）依据《基金法》、《基金合同》及其他有关规定召集基金份额持有人大会或配合基金托管人、基金份额持有人依法召集基金份额持有人大会；</w:t>
      </w:r>
    </w:p>
    <w:p w14:paraId="0B3641FF"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（16）按规定保存基金财产管理业务活动的会计账册、报表、记录和其他相关资料15年以上；</w:t>
      </w:r>
    </w:p>
    <w:p w14:paraId="3B8E9713"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68468529"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（18）组织并参加基金财产清算小组，参与基金财产的保管、清理、估价、变现和分配；</w:t>
      </w:r>
    </w:p>
    <w:p w14:paraId="746F628A"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（19）面临解散、依法被撤销或者被依法宣告破产时，及时报告中国证监会并通知基金托管人；</w:t>
      </w:r>
    </w:p>
    <w:p w14:paraId="70243081"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（20）因违反《基金合同》导致基金财产的损失或损害基金份额持有人合法权益时，应当承担赔偿责任，其赔偿责任不因其退任而免除；</w:t>
      </w:r>
    </w:p>
    <w:p w14:paraId="3765C61E"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（21）监督基金托管人按法律法规和《基金合同》规定履行自己的义务，基金托管人违反《基金合同》造成基金财产损失时，基金管理人应为基金份额持有人利益向基金托管人追偿；</w:t>
      </w:r>
    </w:p>
    <w:p w14:paraId="566E2D1C"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（22）当基金管理人将其义务委托第三方处理时，应当对第三方处理有关基金事务的行为承担责任；</w:t>
      </w:r>
    </w:p>
    <w:p w14:paraId="5BC57E8F"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（23）以基金管理人名义，代表基金份额持有人利益行使诉讼权利或实施其他法律行为；</w:t>
      </w:r>
    </w:p>
    <w:p w14:paraId="429529A9"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（24）基金管理人在募集期间未能达到基金的备案条件，《基金合同》不能生效，基金管理人承担全部募集费用，将已募集资金并加计银行同期活期存款利息在基金募集期结束后30日内退还基金认购人；</w:t>
      </w:r>
    </w:p>
    <w:p w14:paraId="6F6C1FF1"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（25）执行生效的基金份额持有人大会的决议；</w:t>
      </w:r>
    </w:p>
    <w:p w14:paraId="221261CE"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（26）建立并保存基金份额持有人名册；</w:t>
      </w:r>
    </w:p>
    <w:p w14:paraId="363EDC0D"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（27）法律法规及中国证监会规定的和《基金合同》约定的其他义务。</w:t>
      </w:r>
    </w:p>
    <w:p w14:paraId="248CABC0"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（二）</w:t>
      </w:r>
      <w:r>
        <w:rPr>
          <w:rFonts w:asciiTheme="minorEastAsia" w:hAnsiTheme="minorEastAsia" w:cs="Times New Roman" w:hint="eastAsia"/>
          <w:bCs/>
          <w:sz w:val="24"/>
          <w:szCs w:val="24"/>
        </w:rPr>
        <w:tab/>
        <w:t>基金托管人的权利与义务</w:t>
      </w:r>
    </w:p>
    <w:p w14:paraId="43A5B419"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1、根据《基金法》、《运作办法》及其他有关规定，基金托管人的权利包括但不限于：</w:t>
      </w:r>
    </w:p>
    <w:p w14:paraId="46FB0AA2"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（1）自《基金合同》生效之日起，依法律法规和《基金合同》的规定安全保管基金财产；</w:t>
      </w:r>
    </w:p>
    <w:p w14:paraId="27D3C3BE"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（2）依《基金合同》约定获得基金托管费以及法律法规规定或监管部门批准的其他费用；</w:t>
      </w:r>
    </w:p>
    <w:p w14:paraId="0209102B"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30BDE151"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（4）根据相关市场规则，为基金开设资金账户、证券账户等投资所需账户，为基金办理证券、期货交易资金清算；</w:t>
      </w:r>
    </w:p>
    <w:p w14:paraId="7F79B3E5"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（5）提议召开或召集基金份额持有人大会；</w:t>
      </w:r>
    </w:p>
    <w:p w14:paraId="7AF7565E"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（6）在基金管理人更换时，提名新的基金管理人；</w:t>
      </w:r>
    </w:p>
    <w:p w14:paraId="7DB94FDA"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（7）法律法规及中国证监会规定的和《基金合同》约定的其他权利。</w:t>
      </w:r>
    </w:p>
    <w:p w14:paraId="49395A34"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2、根据《基金法》、《运作办法》及其他有关规定，基金托管人的义务包括但不限于：</w:t>
      </w:r>
    </w:p>
    <w:p w14:paraId="3846480B"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（1）以诚实信用、勤勉尽责的原则持有并安全保管基金财产；</w:t>
      </w:r>
    </w:p>
    <w:p w14:paraId="7B46AEF3"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（2）设立专门的基金托管部门，具有符合要求的营业场所，配备足够的、合格的熟悉基金托管业务的专职人员，负责基金财产托管事宜；</w:t>
      </w:r>
    </w:p>
    <w:p w14:paraId="61B2A220"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1D029D96"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（4）除依据《基金法》、《基金合同》及其他有关规定外，不得利用基金财产为自己及任何第三人谋取利益，不得委托第三人托管基金财产；</w:t>
      </w:r>
    </w:p>
    <w:p w14:paraId="086455EB"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（5）保管由基金管理人代表基金签订的与基金有关的重大合同及有关凭证；</w:t>
      </w:r>
    </w:p>
    <w:p w14:paraId="0C40C45C"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（6）按规定开设基金财产的资金账户、证券账户等投资所需账户，按照《基金合同》的约定，根据基金管理人的投资指令，及时办理清算、交割事宜；</w:t>
      </w:r>
    </w:p>
    <w:p w14:paraId="2BB9A270"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（7）保守基金商业秘密，除《基金法》、《基金合同》及其他有关规定另有规定外，在基金信息公开披露前予以保密，不得向他人泄露；</w:t>
      </w:r>
    </w:p>
    <w:p w14:paraId="0B997231" w14:textId="4F6075FE"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（8）复核、审查基金管理人计算的</w:t>
      </w:r>
      <w:r w:rsidR="00EA55BA" w:rsidRPr="00EA55BA">
        <w:rPr>
          <w:rFonts w:asciiTheme="minorEastAsia" w:hAnsiTheme="minorEastAsia" w:cs="Times New Roman" w:hint="eastAsia"/>
          <w:bCs/>
          <w:sz w:val="24"/>
          <w:szCs w:val="24"/>
        </w:rPr>
        <w:t>基金资产净值、基金份额净值、基金份额申购、赎回价格</w:t>
      </w:r>
      <w:r>
        <w:rPr>
          <w:rFonts w:asciiTheme="minorEastAsia" w:hAnsiTheme="minorEastAsia" w:cs="Times New Roman" w:hint="eastAsia"/>
          <w:bCs/>
          <w:sz w:val="24"/>
          <w:szCs w:val="24"/>
        </w:rPr>
        <w:t>；</w:t>
      </w:r>
    </w:p>
    <w:p w14:paraId="18BE6A91"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（9）办理与基金托管业务活动有关的信息披露事项；</w:t>
      </w:r>
    </w:p>
    <w:p w14:paraId="5C0AE8F5" w14:textId="5FAB263B"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（10）对基金财务会计报告、季度</w:t>
      </w:r>
      <w:r w:rsidR="00EA55BA">
        <w:rPr>
          <w:rFonts w:asciiTheme="minorEastAsia" w:hAnsiTheme="minorEastAsia" w:cs="Times New Roman" w:hint="eastAsia"/>
          <w:bCs/>
          <w:sz w:val="24"/>
          <w:szCs w:val="24"/>
        </w:rPr>
        <w:t>报告</w:t>
      </w:r>
      <w:r>
        <w:rPr>
          <w:rFonts w:asciiTheme="minorEastAsia" w:hAnsiTheme="minorEastAsia" w:cs="Times New Roman" w:hint="eastAsia"/>
          <w:bCs/>
          <w:sz w:val="24"/>
          <w:szCs w:val="24"/>
        </w:rPr>
        <w:t>、</w:t>
      </w:r>
      <w:r w:rsidR="00EA55BA">
        <w:rPr>
          <w:rFonts w:asciiTheme="minorEastAsia" w:hAnsiTheme="minorEastAsia" w:cs="Times New Roman" w:hint="eastAsia"/>
          <w:bCs/>
          <w:sz w:val="24"/>
          <w:szCs w:val="24"/>
        </w:rPr>
        <w:t>中期报告</w:t>
      </w:r>
      <w:r>
        <w:rPr>
          <w:rFonts w:asciiTheme="minorEastAsia" w:hAnsiTheme="minorEastAsia" w:cs="Times New Roman" w:hint="eastAsia"/>
          <w:bCs/>
          <w:sz w:val="24"/>
          <w:szCs w:val="24"/>
        </w:rPr>
        <w:t>和年度报告出具意见，说明基金管理人在各重要方面的运作是否严格按照《基金合同》的规定进行；如果基金管理人有未执行《基金合同》规定的行为，还应当说明基金托管人是否采取了适当的措施；</w:t>
      </w:r>
    </w:p>
    <w:p w14:paraId="2997E642"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（11）保存基金托管业务活动的记录、账册、报表和其他相关资料15年以上；</w:t>
      </w:r>
    </w:p>
    <w:p w14:paraId="436930FE"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（12）建立并保存基金份额持有人名册；</w:t>
      </w:r>
    </w:p>
    <w:p w14:paraId="358950E6"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（13）按规定制作相关账册并与基金管理人核对；</w:t>
      </w:r>
    </w:p>
    <w:p w14:paraId="6FF14C1D"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（14）依据基金管理人的指令或有关规定向基金份额持有人支付基金收益和赎回款项；</w:t>
      </w:r>
    </w:p>
    <w:p w14:paraId="1701D618"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（15）依据《基金法》、《基金合同》及其他有关规定，召集基金份额持有人大会或配合基金管理人、基金份额持有人依法召集基金份额持有人大会；</w:t>
      </w:r>
    </w:p>
    <w:p w14:paraId="3C7F1D60"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（16）按照法律法规和《基金合同》的规定监督基金管理人的投资运作；</w:t>
      </w:r>
    </w:p>
    <w:p w14:paraId="7396D0BA"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（17）参加基金财产清算小组，参与基金财产的保管、清理、估价、变现和分配；</w:t>
      </w:r>
    </w:p>
    <w:p w14:paraId="7BD25C23"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（18）面临解散、依法被撤销或者被依法宣告破产时，及时报告中国证监会和银行监管机构，并通知基金管理人；</w:t>
      </w:r>
    </w:p>
    <w:p w14:paraId="5025B28F"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（19）因违反《基金合同》导致基金财产损失时，应承担赔偿责任，其赔偿责任不因其退任而免除；</w:t>
      </w:r>
    </w:p>
    <w:p w14:paraId="513FFDED"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（20）按规定监督基金管理人按法律法规和《基金合同》规定履行自己的义务，基金管理人因违反《基金合同》造成基金财产损失时，应为基金份额持有人利益向基金管理人追偿；</w:t>
      </w:r>
    </w:p>
    <w:p w14:paraId="1EFD4F1B"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（21）执行生效的基金份额持有人大会的决议；</w:t>
      </w:r>
    </w:p>
    <w:p w14:paraId="76D088C3"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（22）法律法规及中国证监会规定的和《基金合同》约定的其他义务。</w:t>
      </w:r>
    </w:p>
    <w:p w14:paraId="391B8565"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（三）基金份额持有人的权利和义务</w:t>
      </w:r>
    </w:p>
    <w:p w14:paraId="6FD94489"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投资者持有本基金基金份额的行为即视为对《基金合同》的承认和接受，基金投资者自依据《基金合同》取得基金份额，即成为本基金份额持有人和《基金合同》的当事人，直至其不再持有本基金的基金份额。基金份额持有人作为《基金合同》当事人并不以在《基金合同》上书面签章或签字为必要条件。</w:t>
      </w:r>
    </w:p>
    <w:p w14:paraId="7D273B98"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同一类别每份基金份额具有同等的合法权益。本基金A类基金份额与C类基金份额由于基金份额净值的不同，基金收益分配的金额以及参与清算后的剩余基金财产分配的数量将可能有所不同。</w:t>
      </w:r>
    </w:p>
    <w:p w14:paraId="652631EC"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1、根据《基金法》、《运作办法》及其他有关规定，基金份额持有人的权利包括但不限于：</w:t>
      </w:r>
    </w:p>
    <w:p w14:paraId="055626BF"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（1）分享基金财产收益；</w:t>
      </w:r>
    </w:p>
    <w:p w14:paraId="5519121A"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（2）参与分配清算后的剩余基金财产；</w:t>
      </w:r>
    </w:p>
    <w:p w14:paraId="3DD8496F"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（3）依法申请赎回其持有的基金份额；</w:t>
      </w:r>
    </w:p>
    <w:p w14:paraId="2D8606EF"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（4）按照规定要求召开基金份额持有人大会或者召集基金份额持有人大会；</w:t>
      </w:r>
    </w:p>
    <w:p w14:paraId="09C4CFFA"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（5）出席或者委派代表出席基金份额持有人大会，对基金份额持有人大会审议事项行使表决权；</w:t>
      </w:r>
    </w:p>
    <w:p w14:paraId="5E6B526E"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（6）查阅或者复制公开披露的基金信息资料；</w:t>
      </w:r>
    </w:p>
    <w:p w14:paraId="56463108"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（7）监督基金管理人的投资运作；</w:t>
      </w:r>
    </w:p>
    <w:p w14:paraId="5DD3EF66"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（8）对基金管理人、基金托管人、基金服务机构损害其合法权益的行为依法提起诉讼或仲裁；</w:t>
      </w:r>
    </w:p>
    <w:p w14:paraId="269400AF"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（9）法律法规及中国证监会规定的和《基金合同》约定的其他权利。</w:t>
      </w:r>
    </w:p>
    <w:p w14:paraId="16EB113E"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2、根据《基金法》、《运作办法》及其他有关规定，基金份额持有人的义务包括但不限于：</w:t>
      </w:r>
    </w:p>
    <w:p w14:paraId="53013EEE"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（1）认真阅读并遵守《基金合同》、招募说明书等信息披露文件；</w:t>
      </w:r>
    </w:p>
    <w:p w14:paraId="71D80E45"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（2）了解所投资基金产品，了解自身风险承受能力，自主判断基金的投资价值，自主做出投资决策，自行承担投资风险；</w:t>
      </w:r>
    </w:p>
    <w:p w14:paraId="08A856CB"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（3）关注基金信息披露，及时行使权利和履行义务；</w:t>
      </w:r>
    </w:p>
    <w:p w14:paraId="3D16689D"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（4）缴纳基金认购、申购款项及法律法规和《基金合同》所规定的费用；</w:t>
      </w:r>
    </w:p>
    <w:p w14:paraId="1FB811B9"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（5）在其持有的基金份额范围内，承担基金亏损或者《基金合同》终止的有限责任；</w:t>
      </w:r>
    </w:p>
    <w:p w14:paraId="738CB301"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（6）不从事任何有损基金及其他《基金合同》当事人合法权益的活动；</w:t>
      </w:r>
    </w:p>
    <w:p w14:paraId="77BC3488"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（7）执行生效的基金份额持有人大会的决议；</w:t>
      </w:r>
    </w:p>
    <w:p w14:paraId="0A383953"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（8）返还在基金交易过程中因任何原因获得的不当得利；</w:t>
      </w:r>
    </w:p>
    <w:p w14:paraId="29FBD8A1"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（9）法律法规及中国证监会规定的和《基金合同》约定的其他义务。</w:t>
      </w:r>
    </w:p>
    <w:p w14:paraId="3DB26A29" w14:textId="77777777" w:rsidR="003E4D36" w:rsidRDefault="00E729B5">
      <w:pPr>
        <w:widowControl/>
        <w:spacing w:line="360" w:lineRule="auto"/>
        <w:ind w:firstLineChars="200" w:firstLine="482"/>
        <w:jc w:val="left"/>
        <w:rPr>
          <w:rFonts w:asciiTheme="minorEastAsia" w:hAnsiTheme="minorEastAsia" w:cs="Times New Roman"/>
          <w:bCs/>
          <w:sz w:val="24"/>
          <w:szCs w:val="24"/>
        </w:rPr>
      </w:pPr>
      <w:r>
        <w:rPr>
          <w:rFonts w:asciiTheme="minorEastAsia" w:hAnsiTheme="minorEastAsia" w:cs="Times New Roman" w:hint="eastAsia"/>
          <w:b/>
          <w:sz w:val="24"/>
          <w:szCs w:val="24"/>
        </w:rPr>
        <w:t>二、基金份额持有人大会召集、议事及表决的程序和规则</w:t>
      </w:r>
    </w:p>
    <w:p w14:paraId="009F804A"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基金份额持有人大会由基金份额持有人组成，基金份额持有人的合法授权代表有权代表基金份额持有人出席会议并表决。基金份额持有人持有的每一基金份额拥有平等的投票权。</w:t>
      </w:r>
    </w:p>
    <w:p w14:paraId="02093EC0"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本基金份额持有人大会不设日常机构。</w:t>
      </w:r>
    </w:p>
    <w:p w14:paraId="37B8F124"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（一）召开事由</w:t>
      </w:r>
    </w:p>
    <w:p w14:paraId="4D07C98E"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1、当出现或需要决定下列事由之一的，应当召开基金份额持有人大会：</w:t>
      </w:r>
    </w:p>
    <w:p w14:paraId="3ECC2527"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（1）终止《基金合同》，但《基金合同》另有约定的除外；</w:t>
      </w:r>
    </w:p>
    <w:p w14:paraId="38BA1778"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（2）更换基金管理人；</w:t>
      </w:r>
    </w:p>
    <w:p w14:paraId="56232950"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（3）更换基金托管人；</w:t>
      </w:r>
    </w:p>
    <w:p w14:paraId="1DF4D049"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（4）转换基金运作方式；</w:t>
      </w:r>
    </w:p>
    <w:p w14:paraId="53E73B6A"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（5）调整基金管理人、基金托管人</w:t>
      </w:r>
      <w:r>
        <w:rPr>
          <w:rFonts w:hint="eastAsia"/>
          <w:bCs/>
          <w:sz w:val="24"/>
          <w:szCs w:val="24"/>
        </w:rPr>
        <w:t>的报酬标准</w:t>
      </w:r>
      <w:r>
        <w:rPr>
          <w:rFonts w:asciiTheme="minorEastAsia" w:hAnsiTheme="minorEastAsia" w:cs="Times New Roman" w:hint="eastAsia"/>
          <w:bCs/>
          <w:sz w:val="24"/>
          <w:szCs w:val="24"/>
        </w:rPr>
        <w:t>或调高销售服务费率；</w:t>
      </w:r>
    </w:p>
    <w:p w14:paraId="68DF2281"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（6）变更基金类别；</w:t>
      </w:r>
    </w:p>
    <w:p w14:paraId="533B9643"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（7）本基金与其他基金的合并；</w:t>
      </w:r>
    </w:p>
    <w:p w14:paraId="30007BA8"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（8）变更基金投资目标、范围或策略；</w:t>
      </w:r>
    </w:p>
    <w:p w14:paraId="1D94A46A"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（9）变更基金份额持有人大会程序；</w:t>
      </w:r>
    </w:p>
    <w:p w14:paraId="6A743BD0"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（10）基金管理人或基金托管人要求召开基金份额持有人大会；</w:t>
      </w:r>
    </w:p>
    <w:p w14:paraId="08279B71"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（11）单独或合计持有本基金总份额10%以上（含10%）基金份额的基金份额持有人（以基金管理人收到提议当日的基金份额计算，下同）就同一事项书面要求召开基金份额持有人大会；</w:t>
      </w:r>
    </w:p>
    <w:p w14:paraId="728301B5"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（12）对基金合同当事人权利和义务产生重大影响的其他事项；</w:t>
      </w:r>
    </w:p>
    <w:p w14:paraId="26E57DC8"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（13）法律法规、《基金合同》或中国证监会规定的其他应当召开基金份额持有人大会的事项。</w:t>
      </w:r>
    </w:p>
    <w:p w14:paraId="4D173367"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2、以下情况可由基金管理人和基金托管人协商后修改，不需召开基金份额持有人大会：</w:t>
      </w:r>
    </w:p>
    <w:p w14:paraId="0E1BD6C7"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（1）调低销售服务费；</w:t>
      </w:r>
    </w:p>
    <w:p w14:paraId="5D0B5A65"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（2）法律法规要求增加的基金费用的收取；</w:t>
      </w:r>
    </w:p>
    <w:p w14:paraId="1797C72F"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在法律法规和《基金合同》规定的范围内且对现有基金份额持有人利益无实质性不利影响的前提下调整本基金的申购费率、调低赎回费率或变更收费方式、增加、减少或调整基金份额类别设置、对基金份额分类办法及规则进行调整、推出新业务或新服务；</w:t>
      </w:r>
    </w:p>
    <w:p w14:paraId="34C11E88"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（4）因相应的法律法规发生变动而应当对《基金合同》进行修改；</w:t>
      </w:r>
    </w:p>
    <w:p w14:paraId="6FBD13AE"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（5）对《基金合同》的修改对基金份额持有人利益无实质性不利影响或修改不涉及《基金合同》当事人权利义务关系发生重大变化；</w:t>
      </w:r>
    </w:p>
    <w:p w14:paraId="43A8F6F7"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（6）按照法律法规和《基金合同》规定不需召开基金份额持有人大会的其他情形。</w:t>
      </w:r>
    </w:p>
    <w:p w14:paraId="44174C34"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（二）会议召集人及召集方式</w:t>
      </w:r>
    </w:p>
    <w:p w14:paraId="4CD34500"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1、除法律法规规定或《基金合同》另有约定外，基金份额持有人大会由基金管理人召集；</w:t>
      </w:r>
    </w:p>
    <w:p w14:paraId="600AF03B"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2、基金管理人未按规定召集或不能召集时，由基金托管人召集；</w:t>
      </w:r>
    </w:p>
    <w:p w14:paraId="1EAF0278"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基金托管人认为有必要召开基金份额持有人大会的，应当向基金管理人提出书面提议。基金管理人应当自收到书面提议之日起10日内决定是否召集，并书面告知基金托管人。基金管理人决定召集的，应当自出具书面决定之日起日60日内召开；基金管理人决定不召集，基金托管人仍认为有必要召开的，应当由基金托管人自行召集，并自出具书面决定之日起60日内召开并告知基金管理人，基金管理人应当配合；</w:t>
      </w:r>
    </w:p>
    <w:p w14:paraId="3AFE72D0"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代表基金份额10%以上（含10%）的基金份额持有人就同一事项书面要求召开基金份额持有人大会，应当向基金管理人提出书面提议。基金管理人应当自收到书面提议之日起10日内决定是否召集，并书面告知提出提议的基金份额持有人代表和基金托管人。基金管理人决定召集的，应当自出具书面决定之日起60日内召开；基金管理人决定不召集，代表基金份额10%以上（含10%）的基金份额持有人仍认为有必要召开的，应当向基金托管人提出书面提议。基金托管人</w:t>
      </w:r>
      <w:r>
        <w:rPr>
          <w:rFonts w:asciiTheme="minorEastAsia" w:hAnsiTheme="minorEastAsia" w:cs="Times New Roman" w:hint="eastAsia"/>
          <w:bCs/>
          <w:sz w:val="24"/>
          <w:szCs w:val="24"/>
        </w:rPr>
        <w:lastRenderedPageBreak/>
        <w:t>应当自收到书面提议之日起10日内决定是否召集，并书面告知提出提议的基金份额持有人代表和基金管理人；基金托管人决定召集的，应当自出具书面决定之日起60日内召开并告知基金管理人，基金管理人应当配合；</w:t>
      </w:r>
    </w:p>
    <w:p w14:paraId="4E875866"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代表基金份额10%以上（含10%）的基金份额持有人就同一事项要求召开基金份额持有人大会，而基金管理人、基金托管人都不召集的，单独或合计代表基金份额10%以上（含10%）的基金份额持有人有权自行召集，并至少提前30日报中国证监会备案。基金份额持有人依法自行召集基金份额持有人大会的，基金管理人、基金托管人应当配合，不得阻碍、干扰；</w:t>
      </w:r>
    </w:p>
    <w:p w14:paraId="39571BCB"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6、基金份额持有人会议的召集人负责选择确定开会时间、地点、方式和权益登记日。</w:t>
      </w:r>
    </w:p>
    <w:p w14:paraId="5DD2134F"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（三）召开基金份额持有人大会的通知时间、通知内容、通知方式</w:t>
      </w:r>
    </w:p>
    <w:p w14:paraId="5F3BB25C"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1、召开基金份额持有人大会，召集人应于会议召开前30日，在指定媒介公告。基金份额持有人大会通知应至少载明以下内容：</w:t>
      </w:r>
    </w:p>
    <w:p w14:paraId="10366C82"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（1）会议召开的时间、地点和会议形式；</w:t>
      </w:r>
    </w:p>
    <w:p w14:paraId="12ED7F16"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（2）会议拟审议的事项、议事程序和表决方式；</w:t>
      </w:r>
    </w:p>
    <w:p w14:paraId="3C3129E3"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（3）有权出席基金份额持有人大会的基金份额持有人的权益登记日；</w:t>
      </w:r>
    </w:p>
    <w:p w14:paraId="4520BA76"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（4）授权委托证明的内容要求（包括但不限于代理人身份，代理权限和代理有效期限等）、送达时间和地点；</w:t>
      </w:r>
    </w:p>
    <w:p w14:paraId="139E2845"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（5）会务常设联系人姓名及联系电话；</w:t>
      </w:r>
    </w:p>
    <w:p w14:paraId="357BAC05"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（6）出席会议者必须准备的文件和必须履行的手续；</w:t>
      </w:r>
    </w:p>
    <w:p w14:paraId="64830432"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（7）召集人需要通知的其他事项。</w:t>
      </w:r>
    </w:p>
    <w:p w14:paraId="1144DDD7"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19FF3542"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w:t>
      </w:r>
      <w:r>
        <w:rPr>
          <w:rFonts w:asciiTheme="minorEastAsia" w:hAnsiTheme="minorEastAsia" w:cs="Times New Roman" w:hint="eastAsia"/>
          <w:bCs/>
          <w:sz w:val="24"/>
          <w:szCs w:val="24"/>
        </w:rPr>
        <w:lastRenderedPageBreak/>
        <w:t>管理人或基金托管人拒不派代表对表决意见的计票进行监督的，不影响表决意见的计票效力。</w:t>
      </w:r>
    </w:p>
    <w:p w14:paraId="6EAAE8A2"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（四）基金份额持有人出席会议的方式</w:t>
      </w:r>
    </w:p>
    <w:p w14:paraId="2DAB8FE1"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基金份额持有人大会可通过现场开会方式、通讯开会方式或法律法规、监管机构允许的其他方式召开，会议的召开方式由会议召集人确定。</w:t>
      </w:r>
    </w:p>
    <w:p w14:paraId="29BB7C7D"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18A38168"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53A83CE2"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3个月以后、6个月以内，就原定审议事项重新召集基金份额持有人大会。重新召集的基金份额持有人大会到会者在权益登记日代表的有效的基金份额应不少于本基金在权益登记日基金总份额的三分之一（含三分之一）。</w:t>
      </w:r>
    </w:p>
    <w:p w14:paraId="78349C97"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通讯开会。通讯开会系指基金份额持有人将其对表决事项的投票以书面形式或大会公告载明的其他方式在表决截至日以前送达至召集人指定的地址。通讯开会应以书面方式或大会公告载明的其他方式进行表决。</w:t>
      </w:r>
    </w:p>
    <w:p w14:paraId="15683BAD"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在同时符合以下条件时，通讯开会的方式视为有效：</w:t>
      </w:r>
    </w:p>
    <w:p w14:paraId="5AC62833"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（1）会议召集人按《基金合同》约定公布会议通知后，在2个工作日内连续公布相关提示性公告；</w:t>
      </w:r>
    </w:p>
    <w:p w14:paraId="7F0109E2"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召集人按基金合同约定通知基金托管人（如果基金托管人为召集人，则为基金管理人）到指定地点对表决意见的计票进行监督。会议召集人在基金托管人（如果基金托管人为召集人，则为基金管理人）和公证机关的监督下按照会</w:t>
      </w:r>
      <w:r>
        <w:rPr>
          <w:rFonts w:asciiTheme="minorEastAsia" w:hAnsiTheme="minorEastAsia" w:cs="Times New Roman" w:hint="eastAsia"/>
          <w:bCs/>
          <w:sz w:val="24"/>
          <w:szCs w:val="24"/>
        </w:rPr>
        <w:lastRenderedPageBreak/>
        <w:t>议通知规定的方式收取基金份额持有人的表决意见；基金托管人或基金管理人经通知不参加收取表决意见的，不影响表决效力；</w:t>
      </w:r>
    </w:p>
    <w:p w14:paraId="65E52FBD"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3个月以后、6个月以内，就原定审议事项重新召集基金份额持有人大会。重新召集的基金份额持有人大会应当有代表三分之一（含三分之一）以上基金份额的持有人直接出具表决意见或授权他人代表出具表决意见；</w:t>
      </w:r>
    </w:p>
    <w:p w14:paraId="2465639E"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上述第（3）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60AB64D6"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3、在法律法规和监管机关允许的情况下，本基金的基金份额持有人亦可采用其他非书面方式授权其代理人出席基金份额持有人大会，具体方式由会议召集人确定并在会议通知中列明。</w:t>
      </w:r>
    </w:p>
    <w:p w14:paraId="2A4847AD"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4、在会议召开方式上，本基金亦可采用其他非现场方式或者以现场方式与非现场方式相结合的方式召开基金份额持有人大会，会议程序比照现场开会和通讯方式开会的程序进行。</w:t>
      </w:r>
    </w:p>
    <w:p w14:paraId="31F27AD6"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（五）议事内容与程序</w:t>
      </w:r>
    </w:p>
    <w:p w14:paraId="3E5F260E"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1、议事内容及提案权</w:t>
      </w:r>
    </w:p>
    <w:p w14:paraId="6343B768"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37E00632"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基金份额持有人大会的召集人发出召集会议的通知后，对原有提案的修改应当在基金份额持有人大会召开前及时公告。</w:t>
      </w:r>
    </w:p>
    <w:p w14:paraId="285A77D8"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基金份额持有人大会不得对未事先公告的议事内容进行表决。</w:t>
      </w:r>
    </w:p>
    <w:p w14:paraId="31B45E7B"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2、议事程序</w:t>
      </w:r>
    </w:p>
    <w:p w14:paraId="6F995352"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（1）现场开会</w:t>
      </w:r>
    </w:p>
    <w:p w14:paraId="681E6B4B"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作出的决议的效力。</w:t>
      </w:r>
    </w:p>
    <w:p w14:paraId="72071BD9"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会议召集人应当制作出席会议人员的签名册。签名册载明参加会议人员姓名（或单位名称）、身份证明文件号码、持有或代表有表决权的基金份额、委托人姓名（或单位名称）和联系方式等事项。</w:t>
      </w:r>
    </w:p>
    <w:p w14:paraId="15C43A7D"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（2）通讯开会</w:t>
      </w:r>
    </w:p>
    <w:p w14:paraId="24047B32"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在通讯开会的情况下，首先由召集人提前30日公布提案，在所通知的表决截止日期后2个工作日内在公证机关监督下由召集人统计全部有效表决，在公证机关监督下形成决议。</w:t>
      </w:r>
    </w:p>
    <w:p w14:paraId="5AF6DFF7"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（六）表决</w:t>
      </w:r>
    </w:p>
    <w:p w14:paraId="4BFAE66A"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基金份额持有人所持每份基金份额有一票表决权。</w:t>
      </w:r>
    </w:p>
    <w:p w14:paraId="7366489F"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基金份额持有人大会决议分为一般决议和特别决议：</w:t>
      </w:r>
    </w:p>
    <w:p w14:paraId="35FCECFB"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一般决议，一般决议须经参加大会的基金份额持有人或其代理人所持表决权的二分之一以上（含二分之一）通过方为有效；除下列第2项所规定的须以特别决议通过事项以外的其他事项均以一般决议的方式通过。</w:t>
      </w:r>
    </w:p>
    <w:p w14:paraId="431C1E58"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特别决议，特别决议应当经参加大会的基金份额持有人或其代理人所持表决权的三分之二以上（含三分之二）通过方可做出。除《基金合同》另有约定外，转换基金运作方式、更换基金管理人或者基金托管人、终止《基金合同》、本基金与其他基金合并以特别决议通过方为有效。</w:t>
      </w:r>
    </w:p>
    <w:p w14:paraId="28C4E28C"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基金份额持有人大会采取记名方式进行投票表决。</w:t>
      </w:r>
    </w:p>
    <w:p w14:paraId="2433E0C4"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754272C0"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基金份额持有人大会的各项提案或同一项提案内并列的各项议题应当分开审议、逐项表决。</w:t>
      </w:r>
    </w:p>
    <w:p w14:paraId="11392EC2"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（七）计票</w:t>
      </w:r>
    </w:p>
    <w:p w14:paraId="59C37775"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1、现场开会</w:t>
      </w:r>
    </w:p>
    <w:p w14:paraId="3ACA9913"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095F3204"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（2）监票人应当在基金份额持有人表决后立即进行清点并由大会主持人当场公布计票结果。</w:t>
      </w:r>
    </w:p>
    <w:p w14:paraId="240E7B34"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14:paraId="5A9932C3"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（4）计票过程应由公证机关予以公证，基金管理人或基金托管人拒不出席大会的，不影响计票的效力。</w:t>
      </w:r>
    </w:p>
    <w:p w14:paraId="423D3782"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2、通讯开会</w:t>
      </w:r>
    </w:p>
    <w:p w14:paraId="418759CE"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表决意见的计票进行监督的，不影响计票和表决结果。</w:t>
      </w:r>
    </w:p>
    <w:p w14:paraId="008D1D0A"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（八）生效与公告</w:t>
      </w:r>
    </w:p>
    <w:p w14:paraId="409FBD02"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基金份额持有人大会的决议，召集人应当自通过之日起5日内报中国证监会备案。</w:t>
      </w:r>
    </w:p>
    <w:p w14:paraId="4B22CE4B"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基金份额持有人大会的决议自表决通过之日起生效。</w:t>
      </w:r>
    </w:p>
    <w:p w14:paraId="1150ED03"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基金份额持有人大会决议自生效之日起2个工作日内在指定媒介上公告。如果采用通讯方式进行表决，在公告基金份额持有人大会决议时，必须将公证书全文、公证机构、公证员姓名等一同公告。</w:t>
      </w:r>
    </w:p>
    <w:p w14:paraId="68A156CB"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基金管理人、基金托管人和基金份额持有人应当执行生效的基金份额持有人大会的决议。生效的基金份额持有人大会决议对全体基金份额持有人、基金管理人、基金托管人均有约束力。</w:t>
      </w:r>
    </w:p>
    <w:p w14:paraId="108B8743"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九）本部分关于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53D0BCD4" w14:textId="77777777" w:rsidR="003E4D36" w:rsidRDefault="00E729B5">
      <w:pPr>
        <w:widowControl/>
        <w:spacing w:line="360" w:lineRule="auto"/>
        <w:ind w:firstLineChars="200" w:firstLine="482"/>
        <w:jc w:val="left"/>
        <w:rPr>
          <w:rFonts w:asciiTheme="minorEastAsia" w:hAnsiTheme="minorEastAsia" w:cs="Times New Roman"/>
          <w:b/>
          <w:sz w:val="24"/>
          <w:szCs w:val="24"/>
        </w:rPr>
      </w:pPr>
      <w:r>
        <w:rPr>
          <w:rFonts w:asciiTheme="minorEastAsia" w:hAnsiTheme="minorEastAsia" w:cs="Times New Roman" w:hint="eastAsia"/>
          <w:b/>
          <w:sz w:val="24"/>
          <w:szCs w:val="24"/>
        </w:rPr>
        <w:t>三、基金合同解除和终止的事由、程序以及基金财产清算方式</w:t>
      </w:r>
    </w:p>
    <w:p w14:paraId="09E8E04B"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（一）《基金合同》的变更</w:t>
      </w:r>
    </w:p>
    <w:p w14:paraId="45F15777"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变更基金合同涉及法律法规规定或本基金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14:paraId="56B54F3D"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 xml:space="preserve"> 2、关于《基金合同》变更的基金份额持有人大会决议自生效后方可执行，并自决议生效后两个工作日内在指定媒介公告。</w:t>
      </w:r>
    </w:p>
    <w:p w14:paraId="04ADBD4B"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（二）《基金合同》的终止事由</w:t>
      </w:r>
    </w:p>
    <w:p w14:paraId="18438977"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有下列情形之一的，《基金合同》应当终止：</w:t>
      </w:r>
    </w:p>
    <w:p w14:paraId="71FD5BF1"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1、基金份额持有人大会决定终止的；</w:t>
      </w:r>
    </w:p>
    <w:p w14:paraId="1FBD11DB"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2、基金管理人、基金托管人职责终止，在6个月内没有新基金管理人、新基金托管人承接的；</w:t>
      </w:r>
    </w:p>
    <w:p w14:paraId="3362C837"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3、《基金合同》约定的其他情形；</w:t>
      </w:r>
    </w:p>
    <w:p w14:paraId="6FA7AEA9"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4、相关法律法规和中国证监会规定的其他情况。</w:t>
      </w:r>
    </w:p>
    <w:p w14:paraId="0EE46A94"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（三）基金财产的清算</w:t>
      </w:r>
    </w:p>
    <w:p w14:paraId="6BD979DE"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1、基金财产清算小组：自出现《基金合同》终止事由之日起30个工作日内成立清算小组，基金管理人组织基金财产清算小组并在中国证监会的监督下进行基金清算。</w:t>
      </w:r>
    </w:p>
    <w:p w14:paraId="11252C24" w14:textId="43E69321"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2、基金财产清算小组组成：基金财产清算小组成员由基金管理人、基金托管人、</w:t>
      </w:r>
      <w:r w:rsidR="00EA55BA" w:rsidRPr="00EA55BA">
        <w:rPr>
          <w:rFonts w:asciiTheme="minorEastAsia" w:hAnsiTheme="minorEastAsia" w:cs="Times New Roman" w:hint="eastAsia"/>
          <w:bCs/>
          <w:sz w:val="24"/>
          <w:szCs w:val="24"/>
        </w:rPr>
        <w:t>具有证券、期货相关业务资格的</w:t>
      </w:r>
      <w:r>
        <w:rPr>
          <w:rFonts w:asciiTheme="minorEastAsia" w:hAnsiTheme="minorEastAsia" w:cs="Times New Roman" w:hint="eastAsia"/>
          <w:bCs/>
          <w:sz w:val="24"/>
          <w:szCs w:val="24"/>
        </w:rPr>
        <w:t>注册会计师、律师以及中国证监会指定的人员组成。基金财产清算小组可以聘用必要的工作人员。</w:t>
      </w:r>
    </w:p>
    <w:p w14:paraId="5A1B2988"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3、基金财产清算小组职责：基金财产清算小组负责基金财产的保管、清理、估价、变现和分配。基金财产清算小组可以依法进行必要的民事活动。</w:t>
      </w:r>
    </w:p>
    <w:p w14:paraId="5F15390C"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4、基金财产清算程序：</w:t>
      </w:r>
    </w:p>
    <w:p w14:paraId="4C3A57C0"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（1）《基金合同》终止情形出现时，由基金财产清算小组统一接管基金；</w:t>
      </w:r>
    </w:p>
    <w:p w14:paraId="75454B25"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（2）对基金财产和债权债务进行清理和确认；</w:t>
      </w:r>
    </w:p>
    <w:p w14:paraId="7E60C7F1"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（3）对基金财产进行估值和变现；</w:t>
      </w:r>
    </w:p>
    <w:p w14:paraId="61E37258"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（4）制作清算报告；</w:t>
      </w:r>
    </w:p>
    <w:p w14:paraId="6DA6754E" w14:textId="1EDA0E5E"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（5）聘请</w:t>
      </w:r>
      <w:r w:rsidR="00EA55BA" w:rsidRPr="00EA55BA">
        <w:rPr>
          <w:rFonts w:asciiTheme="minorEastAsia" w:hAnsiTheme="minorEastAsia" w:cs="Times New Roman" w:hint="eastAsia"/>
          <w:bCs/>
          <w:sz w:val="24"/>
          <w:szCs w:val="24"/>
        </w:rPr>
        <w:t>具有证券、期货相关业务资格的</w:t>
      </w:r>
      <w:r>
        <w:rPr>
          <w:rFonts w:asciiTheme="minorEastAsia" w:hAnsiTheme="minorEastAsia" w:cs="Times New Roman" w:hint="eastAsia"/>
          <w:bCs/>
          <w:sz w:val="24"/>
          <w:szCs w:val="24"/>
        </w:rPr>
        <w:t>会计师事务所对清算报告进行外部审计，聘请律师事务所对清算报告出具法律意见书；</w:t>
      </w:r>
    </w:p>
    <w:p w14:paraId="25EF1B49"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（6）将清算报告报中国证监会备案并公告；</w:t>
      </w:r>
    </w:p>
    <w:p w14:paraId="60F6935D"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（7）对基金剩余财产进行分配。</w:t>
      </w:r>
    </w:p>
    <w:p w14:paraId="6E803A70"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5、基金财产清算的期限为6个月。</w:t>
      </w:r>
    </w:p>
    <w:p w14:paraId="484ECADB"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四、争议解决方式</w:t>
      </w:r>
    </w:p>
    <w:p w14:paraId="11C90A41"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各方当事人同意，因《基金合同》而产生的或与《基金合同》有关的一切争议，如经友好协商未能解决的，任何一方均有权将争议提交华南国际经济贸易仲裁委员会，根据该会当时有效的仲裁规则进行仲裁，仲裁地点为深圳市，仲裁裁决是终局性的并对各方当事人具有约束力，仲裁费由败诉方承担。</w:t>
      </w:r>
    </w:p>
    <w:p w14:paraId="689B1928"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争议处理期间，基金合同当事人应恪守各自的职责，继续忠实、勤勉、尽责地履行基金合同规定的义务，维护基金份额持有人的合法权益。</w:t>
      </w:r>
    </w:p>
    <w:p w14:paraId="2121008E"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《基金合同》受中国法律管辖。</w:t>
      </w:r>
    </w:p>
    <w:p w14:paraId="0A1F0614"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五、基金合同存放地和投资人取得基金合同的方式</w:t>
      </w:r>
    </w:p>
    <w:p w14:paraId="6338F379"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《基金合同》可印制成册，供投资人在基金管理人、基金托管人、销售机构的办公场所和营业场所查阅。</w:t>
      </w:r>
    </w:p>
    <w:p w14:paraId="1AE14A5E" w14:textId="77777777" w:rsidR="003E4D36" w:rsidRDefault="00E729B5">
      <w:pPr>
        <w:widowControl/>
        <w:jc w:val="left"/>
        <w:rPr>
          <w:rFonts w:asciiTheme="minorEastAsia" w:hAnsiTheme="minorEastAsia" w:cs="Times New Roman"/>
          <w:bCs/>
          <w:sz w:val="24"/>
          <w:szCs w:val="24"/>
        </w:rPr>
      </w:pPr>
      <w:r>
        <w:rPr>
          <w:rFonts w:asciiTheme="minorEastAsia" w:hAnsiTheme="minorEastAsia" w:cs="Times New Roman"/>
          <w:bCs/>
          <w:sz w:val="24"/>
          <w:szCs w:val="24"/>
        </w:rPr>
        <w:br w:type="page"/>
      </w:r>
    </w:p>
    <w:p w14:paraId="4FEEB0B8" w14:textId="77777777" w:rsidR="003E4D36" w:rsidRDefault="00E729B5">
      <w:pPr>
        <w:pStyle w:val="1"/>
        <w:jc w:val="center"/>
        <w:rPr>
          <w:sz w:val="30"/>
          <w:szCs w:val="30"/>
        </w:rPr>
      </w:pPr>
      <w:bookmarkStart w:id="368" w:name="_Toc214873614"/>
      <w:bookmarkStart w:id="369" w:name="_Toc416264554"/>
      <w:bookmarkStart w:id="370" w:name="_Toc263092327"/>
      <w:bookmarkStart w:id="371" w:name="_Toc523243834"/>
      <w:bookmarkStart w:id="372" w:name="_Toc48649720"/>
      <w:bookmarkStart w:id="373" w:name="_Toc139991750"/>
      <w:bookmarkStart w:id="374" w:name="_Toc13398"/>
      <w:bookmarkStart w:id="375" w:name="_Toc23166"/>
      <w:bookmarkStart w:id="376" w:name="_Toc30645"/>
      <w:bookmarkStart w:id="377" w:name="_Toc27058"/>
      <w:bookmarkStart w:id="378" w:name="_Toc9708"/>
      <w:bookmarkStart w:id="379" w:name="_Toc28549"/>
      <w:bookmarkStart w:id="380" w:name="_Toc123102467"/>
      <w:bookmarkStart w:id="381" w:name="_Toc21240"/>
      <w:bookmarkStart w:id="382" w:name="_Toc79392641"/>
      <w:bookmarkStart w:id="383" w:name="_Toc141703901"/>
      <w:bookmarkStart w:id="384" w:name="_Toc123112248"/>
      <w:bookmarkStart w:id="385" w:name="_Toc8710"/>
      <w:bookmarkStart w:id="386" w:name="_Toc23022"/>
      <w:bookmarkStart w:id="387" w:name="_Toc12191"/>
      <w:bookmarkStart w:id="388" w:name="_Toc98560365"/>
      <w:bookmarkStart w:id="389" w:name="_Toc352229766"/>
      <w:bookmarkStart w:id="390" w:name="_Toc123051466"/>
      <w:bookmarkStart w:id="391" w:name="_Toc7367"/>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r>
        <w:rPr>
          <w:rFonts w:hint="eastAsia"/>
          <w:sz w:val="30"/>
          <w:szCs w:val="30"/>
        </w:rPr>
        <w:lastRenderedPageBreak/>
        <w:t>第十九部分</w:t>
      </w:r>
      <w:r>
        <w:rPr>
          <w:sz w:val="30"/>
          <w:szCs w:val="30"/>
        </w:rPr>
        <w:t xml:space="preserve">  </w:t>
      </w:r>
      <w:r>
        <w:rPr>
          <w:rFonts w:hint="eastAsia"/>
          <w:sz w:val="30"/>
          <w:szCs w:val="30"/>
        </w:rPr>
        <w:t>基金托管协议的内容摘要</w:t>
      </w:r>
      <w:bookmarkEnd w:id="368"/>
      <w:bookmarkEnd w:id="369"/>
      <w:bookmarkEnd w:id="370"/>
      <w:bookmarkEnd w:id="371"/>
    </w:p>
    <w:p w14:paraId="12FE6201" w14:textId="77777777" w:rsidR="003E4D36" w:rsidRDefault="00E729B5">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一、托管协议当事人</w:t>
      </w:r>
    </w:p>
    <w:p w14:paraId="44028E10" w14:textId="77777777" w:rsidR="003E4D36" w:rsidRDefault="00E729B5">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（一）基金管理人（或简称“管理人”）</w:t>
      </w:r>
    </w:p>
    <w:p w14:paraId="3110E384" w14:textId="77777777" w:rsidR="003E4D36" w:rsidRDefault="00E729B5">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名称：富荣基金管理有限公司</w:t>
      </w:r>
    </w:p>
    <w:p w14:paraId="6FF50169" w14:textId="77777777" w:rsidR="003E4D36" w:rsidRDefault="00E729B5">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住所：广州市南沙区海滨路171号南沙金融大厦11楼1101之一J20室</w:t>
      </w:r>
    </w:p>
    <w:p w14:paraId="25441DC5" w14:textId="77777777" w:rsidR="003E4D36" w:rsidRDefault="00E729B5">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办公地址：深圳市福田区深南大道2012号深圳证券交易所广场3501室</w:t>
      </w:r>
    </w:p>
    <w:p w14:paraId="4136D586" w14:textId="7FA72FD4" w:rsidR="003E4D36" w:rsidRDefault="00E729B5">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法定代表人：</w:t>
      </w:r>
      <w:r w:rsidR="00EA55BA">
        <w:rPr>
          <w:rFonts w:asciiTheme="minorEastAsia" w:hAnsiTheme="minorEastAsia" w:cs="Arial" w:hint="eastAsia"/>
          <w:kern w:val="0"/>
          <w:sz w:val="24"/>
          <w:szCs w:val="24"/>
        </w:rPr>
        <w:t>杨小舟</w:t>
      </w:r>
    </w:p>
    <w:p w14:paraId="6FAA500A" w14:textId="77777777" w:rsidR="003E4D36" w:rsidRDefault="00E729B5">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成立日期：2016年1月25日</w:t>
      </w:r>
      <w:r>
        <w:rPr>
          <w:rFonts w:asciiTheme="minorEastAsia" w:hAnsiTheme="minorEastAsia" w:cs="Arial" w:hint="eastAsia"/>
          <w:kern w:val="0"/>
          <w:sz w:val="24"/>
          <w:szCs w:val="24"/>
        </w:rPr>
        <w:tab/>
      </w:r>
    </w:p>
    <w:p w14:paraId="73CD9215" w14:textId="77777777" w:rsidR="003E4D36" w:rsidRDefault="00E729B5">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批准设立机关及批准设立文号：中国证监会证监许可【2015】3118号</w:t>
      </w:r>
    </w:p>
    <w:p w14:paraId="306A129C" w14:textId="77777777" w:rsidR="003E4D36" w:rsidRDefault="00E729B5">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组织形式：有限责任公司</w:t>
      </w:r>
    </w:p>
    <w:p w14:paraId="7058C28F" w14:textId="77777777" w:rsidR="003E4D36" w:rsidRDefault="00E729B5">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注册资本：</w:t>
      </w:r>
      <w:r>
        <w:rPr>
          <w:rFonts w:asciiTheme="minorEastAsia" w:hAnsiTheme="minorEastAsia" w:cs="Arial"/>
          <w:kern w:val="0"/>
          <w:sz w:val="24"/>
          <w:szCs w:val="24"/>
        </w:rPr>
        <w:t>2</w:t>
      </w:r>
      <w:r>
        <w:rPr>
          <w:rFonts w:asciiTheme="minorEastAsia" w:hAnsiTheme="minorEastAsia" w:cs="Arial" w:hint="eastAsia"/>
          <w:kern w:val="0"/>
          <w:sz w:val="24"/>
          <w:szCs w:val="24"/>
        </w:rPr>
        <w:t>亿元人民币</w:t>
      </w:r>
    </w:p>
    <w:p w14:paraId="182CEAA0" w14:textId="77777777" w:rsidR="003E4D36" w:rsidRDefault="00E729B5">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存续期间：永续经营</w:t>
      </w:r>
    </w:p>
    <w:p w14:paraId="0E31CD93" w14:textId="77777777" w:rsidR="003E4D36" w:rsidRDefault="00E729B5">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经营范围：基金募集；基金销售；资产管理以及中国证监会许可的其它业务</w:t>
      </w:r>
    </w:p>
    <w:p w14:paraId="27A844E3" w14:textId="77777777" w:rsidR="003E4D36" w:rsidRDefault="00E729B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（二）基金托管人</w:t>
      </w:r>
    </w:p>
    <w:p w14:paraId="7D67930D"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名称：平安银行股份有限公司</w:t>
      </w:r>
    </w:p>
    <w:p w14:paraId="09814AB8"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注册地址：广东省深圳市深南东路5047 号</w:t>
      </w:r>
    </w:p>
    <w:p w14:paraId="401C2506"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办公地址：广东省深圳市深南东路5047 号</w:t>
      </w:r>
    </w:p>
    <w:p w14:paraId="12C52928"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法定代表人：</w:t>
      </w:r>
      <w:r>
        <w:rPr>
          <w:rFonts w:ascii="宋体" w:hAnsi="宋体" w:hint="eastAsia"/>
          <w:color w:val="000000"/>
          <w:sz w:val="24"/>
        </w:rPr>
        <w:t>谢永林</w:t>
      </w:r>
    </w:p>
    <w:p w14:paraId="30C88C12"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成立时间：1987年12月22日</w:t>
      </w:r>
    </w:p>
    <w:p w14:paraId="18B24C48"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组织形式：股份有限公司</w:t>
      </w:r>
    </w:p>
    <w:p w14:paraId="0B253369"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注册资本：</w:t>
      </w:r>
      <w:r>
        <w:rPr>
          <w:rFonts w:ascii="宋体" w:hAnsi="宋体" w:cs="Times New Roman"/>
          <w:sz w:val="24"/>
          <w:szCs w:val="24"/>
        </w:rPr>
        <w:t>11,424,894,787</w:t>
      </w:r>
      <w:r>
        <w:rPr>
          <w:rFonts w:ascii="宋体" w:hAnsi="宋体" w:cs="Times New Roman" w:hint="eastAsia"/>
          <w:color w:val="000000"/>
          <w:sz w:val="24"/>
          <w:szCs w:val="24"/>
        </w:rPr>
        <w:t>元人民币</w:t>
      </w:r>
    </w:p>
    <w:p w14:paraId="2D320109"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存续期间：永续经营</w:t>
      </w:r>
    </w:p>
    <w:p w14:paraId="725E9174"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基金托管资格批准文号：中国证监会证监许可[2008]1037号</w:t>
      </w:r>
    </w:p>
    <w:p w14:paraId="30FF1184"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经营范围：办理人民币存、贷、结算、汇兑业务；人民币票据承兑和贴现各项信托业务；经监管机构批准发行或买卖人民币有价证券；发行金融债券；代理发行、代理兑付、承销政府债券；买卖政府债券；外汇存款、汇款；境内境外借款；从事同业拆借；外汇借款；外汇担保；在境内境外发行或代理发行外币有价证券；买卖或代客买卖外汇及外币有价证券、自营外汇买卖；贸易、非贸易结算；办理国内结算；国际结算；外币票据的承兑和贴现；外汇贷款；资信调查、咨询、</w:t>
      </w:r>
      <w:r>
        <w:rPr>
          <w:rFonts w:asciiTheme="minorEastAsia" w:hAnsiTheme="minorEastAsia" w:cs="Arial" w:hint="eastAsia"/>
          <w:sz w:val="24"/>
          <w:szCs w:val="24"/>
        </w:rPr>
        <w:lastRenderedPageBreak/>
        <w:t>见证业务；保险兼业代理业务；代理收付款项；黄金进口业务；提供信用证服务及担保；提供保管箱服务；外币兑换；结汇、售汇；信用卡业务；经有关监管机构批准或允许的其他业务。</w:t>
      </w:r>
    </w:p>
    <w:p w14:paraId="444FD0E4" w14:textId="77777777" w:rsidR="003E4D36" w:rsidRDefault="00E729B5">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二、基金托管人对基金管理人的业务监督和核查</w:t>
      </w:r>
    </w:p>
    <w:p w14:paraId="450D8FCC"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（一）基金托管人根据有关法律法规的规定及基金合同的约定，对基金投资范围、投资对象进行监督。</w:t>
      </w:r>
    </w:p>
    <w:p w14:paraId="34525E33"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合同明确约定基金投资风格或证券选择标准的，基金管理人应按照基金托管人要求的格式提供投资品种池和交易对手库，以便基金托管人运用相关技术系统，对基金实际投资是否符合基金合同关于证券选择标准的约定进行监督，对存在疑义的事项进行核查。</w:t>
      </w:r>
    </w:p>
    <w:p w14:paraId="56F4A33E"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的投资范围主要为具有良好流动性的金融工具，包括国内依法发行上市的股票（包括中小板、创业板及其他经中国证监会核准上市的股票），债券（含国债、金融债、企业债、公司债、央行票据、中期票据、短期融资券、超短期融资券、政府支持机构债、地方政府债、次级债、可转换债券、可交换债券、中小企业私募债及其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p>
    <w:p w14:paraId="02275DC4"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本基金的投资组合比例为：股票资产占基金资产的0%-95%；每个交易日日终在扣除股指期货、国债期货合约需缴纳的保证金以后，本基金保留的现金或到期日在一年以内的政府债券不低于基金资产净值的5%</w:t>
      </w:r>
      <w:r>
        <w:rPr>
          <w:rFonts w:hint="eastAsia"/>
          <w:bCs/>
          <w:sz w:val="24"/>
        </w:rPr>
        <w:t>，其中现金不包括结算备付金、存出保证金、应收申购款等</w:t>
      </w:r>
      <w:r>
        <w:rPr>
          <w:rFonts w:asciiTheme="minorEastAsia" w:hAnsiTheme="minorEastAsia" w:cs="Arial" w:hint="eastAsia"/>
          <w:color w:val="000000"/>
          <w:sz w:val="24"/>
          <w:szCs w:val="24"/>
        </w:rPr>
        <w:t>；权证投资占基金资产净值的0-3%。</w:t>
      </w:r>
    </w:p>
    <w:p w14:paraId="3B44CC52"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（二）基金托管人根据有关法律法规的规定及基金合同的约定，对基金投资、融资比例进行监督。基金托管人按下述比例和调整期限进行监督：</w:t>
      </w:r>
    </w:p>
    <w:p w14:paraId="595F2E65"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基金的投资组合应遵循以下限制：</w:t>
      </w:r>
    </w:p>
    <w:p w14:paraId="3383C9E9"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（1）股票投资占基金资产的比例为0%–95%；</w:t>
      </w:r>
    </w:p>
    <w:p w14:paraId="61E5B4BA"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（2）每个交易日日终在扣除股指期货、国债期货合约需缴纳的交易保证金后，保持不低于基金资产净值5％的现金或者到期日在一年以内的政府债券</w:t>
      </w:r>
      <w:r>
        <w:rPr>
          <w:rFonts w:hint="eastAsia"/>
          <w:bCs/>
          <w:sz w:val="24"/>
        </w:rPr>
        <w:t>，其中现金不包括结算备付金、存出保证金、应收申购款等</w:t>
      </w:r>
      <w:r>
        <w:rPr>
          <w:rFonts w:asciiTheme="minorEastAsia" w:hAnsiTheme="minorEastAsia" w:cs="Arial" w:hint="eastAsia"/>
          <w:color w:val="000000"/>
          <w:sz w:val="24"/>
          <w:szCs w:val="24"/>
        </w:rPr>
        <w:t>；</w:t>
      </w:r>
    </w:p>
    <w:p w14:paraId="44532F8B"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lastRenderedPageBreak/>
        <w:t>（3）本基金持有一家公司发行的证券，其市值不超过基金资产净值的10％；</w:t>
      </w:r>
    </w:p>
    <w:p w14:paraId="4653B785"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（4）本基金管理人管理的全部基金持有一家公司发行的证券，不超过该证券的10％；</w:t>
      </w:r>
    </w:p>
    <w:p w14:paraId="14B442DC"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（5）本基金持有的全部权证，其市值不得超过基金资产净值的3％；</w:t>
      </w:r>
    </w:p>
    <w:p w14:paraId="6275A7B8"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（6）本基金管理人管理的全部基金持有的同一权证，不得超过该权证的10％；</w:t>
      </w:r>
    </w:p>
    <w:p w14:paraId="56B027B7"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（7）本基金在任何交易日买入权证的总金额，不得超过上一交易日基金资产净值的0.5％；</w:t>
      </w:r>
    </w:p>
    <w:p w14:paraId="3EF08A92"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（8）本基金投资于同一原始权益人的各类资产支持证券的比例，不得超过基金资产净值的10％；</w:t>
      </w:r>
    </w:p>
    <w:p w14:paraId="2D00DCE1"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（9）本基金持有的全部资产支持证券，其市值不得超过基金资产净值的20％，中国证监会规定的特殊品种除外；</w:t>
      </w:r>
    </w:p>
    <w:p w14:paraId="1526756A"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（10）本基金持有的同一(指同一信用级别)资产支持证券的比例，不得超过该资产支持证券规模的10％；</w:t>
      </w:r>
    </w:p>
    <w:p w14:paraId="7F731688"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（11）本基金管理人管理的全部基金投资于同一原始权益人的各类资产支持证券，不得超过其各类资产支持证券合计规模的10％；</w:t>
      </w:r>
    </w:p>
    <w:p w14:paraId="7D3453FE"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（12）本基金应投资于信用级别评级为BBB以上(含BBB)的资产支持证券。基金持有资产支持证券期间，如果其信用等级下降、不再符合投资标准，应在评级报告发布之日起3个月内予以全部卖出；</w:t>
      </w:r>
    </w:p>
    <w:p w14:paraId="5B872963"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（13）基金财产参与股票发行申购，本基金所申报的金额不超过本基金的总资产，本基金所申报的股票数量不超过拟发行股票公司本次发行股票的总量；</w:t>
      </w:r>
    </w:p>
    <w:p w14:paraId="6B4BAD61"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（14）本基金进入全国银行间同业市场进行债券回购的资金余额不得超过基金资产净值的40%，在全国银行间同业市场的债券回购最长期限为1年，债券回购到期后不得展期；</w:t>
      </w:r>
    </w:p>
    <w:p w14:paraId="51474A17"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（15）本基金总资产不得超过基金净资产的 140%；</w:t>
      </w:r>
    </w:p>
    <w:p w14:paraId="36F224E7" w14:textId="77777777" w:rsidR="003E4D36" w:rsidRDefault="00E729B5">
      <w:pPr>
        <w:adjustRightInd w:val="0"/>
        <w:snapToGrid w:val="0"/>
        <w:spacing w:line="276"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（16）</w:t>
      </w:r>
      <w:r>
        <w:rPr>
          <w:rFonts w:hint="eastAsia"/>
          <w:bCs/>
          <w:sz w:val="24"/>
        </w:rPr>
        <w:t>本基金持有单只中小企业私募债券，其市值不得超过本基金资产净值的</w:t>
      </w:r>
      <w:r>
        <w:rPr>
          <w:rFonts w:hint="eastAsia"/>
          <w:bCs/>
          <w:sz w:val="24"/>
        </w:rPr>
        <w:t>10%</w:t>
      </w:r>
      <w:r>
        <w:rPr>
          <w:rFonts w:hint="eastAsia"/>
          <w:bCs/>
          <w:sz w:val="24"/>
        </w:rPr>
        <w:t>；</w:t>
      </w:r>
      <w:r>
        <w:rPr>
          <w:rFonts w:asciiTheme="minorEastAsia" w:hAnsiTheme="minorEastAsia" w:cs="Arial" w:hint="eastAsia"/>
          <w:color w:val="000000"/>
          <w:sz w:val="24"/>
          <w:szCs w:val="24"/>
        </w:rPr>
        <w:t>基金投资于中小企业私募债的比例不超过基金资产净值的20%；</w:t>
      </w:r>
    </w:p>
    <w:p w14:paraId="027E95E0"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（17）本基金若参与股指期货、国债期货交易，需遵守下列规定：</w:t>
      </w:r>
    </w:p>
    <w:p w14:paraId="4D4871B0" w14:textId="77777777" w:rsidR="003E4D36" w:rsidRDefault="00E729B5">
      <w:pPr>
        <w:adjustRightInd w:val="0"/>
        <w:snapToGrid w:val="0"/>
        <w:spacing w:line="276"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1）本基金在任何交易日日终，持有的买入股指期货合约价值，不得超过基金资产净值的10%；</w:t>
      </w:r>
    </w:p>
    <w:p w14:paraId="6F3E596F"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2）本基金在任何交易日日终，持有的买入股指期货、国债期货合约价值与</w:t>
      </w:r>
      <w:r>
        <w:rPr>
          <w:rFonts w:asciiTheme="minorEastAsia" w:hAnsiTheme="minorEastAsia" w:cs="Arial" w:hint="eastAsia"/>
          <w:color w:val="000000"/>
          <w:sz w:val="24"/>
          <w:szCs w:val="24"/>
        </w:rPr>
        <w:lastRenderedPageBreak/>
        <w:t>有价证券市值之和，不得超过基金资产净值的95%，其中，有价证券指股票、债券（不含到期日在一年以内的政府债券）、权证、资产支持证券、买入返售金融资产（不含质押式回购）等；</w:t>
      </w:r>
    </w:p>
    <w:p w14:paraId="45F9E8C4"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3）本基金在任何交易日日终，持有的卖出股指期货合约价值不得超过基金持有的股票总市值的20%；</w:t>
      </w:r>
    </w:p>
    <w:p w14:paraId="1F638158"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4）本基金在任何交易日内交易（不包括平仓）的股指期货合约的成交金额不得超过上一交易日基金资产净值的20%；</w:t>
      </w:r>
    </w:p>
    <w:p w14:paraId="4765D427"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5）本基金所持有的股票市值和买入、卖出股指期货合约价值，合计（轧差计算）应当符合基金合同关于股票投资比例的有关规定；</w:t>
      </w:r>
    </w:p>
    <w:p w14:paraId="2888A513"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6）本基金在任何交易日日终，持有的买入国债期货合约价值，不得超过基金资产净值的15%；</w:t>
      </w:r>
    </w:p>
    <w:p w14:paraId="1D3199A1"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7）本基金在任何交易日日终，持有的卖出国债期货合约价值不得超过基金持有的债券总市值的30%；</w:t>
      </w:r>
    </w:p>
    <w:p w14:paraId="12DF7328"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8）本基金在任何交易日内交易（不包括平仓）的国债期货合约的成交金额不得超过上一交易日基金资产净值的30%；</w:t>
      </w:r>
    </w:p>
    <w:p w14:paraId="21518BD1"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（18）本基金若参与股票期权交易，需遵守下列投资比例限制：</w:t>
      </w:r>
    </w:p>
    <w:p w14:paraId="506D92F0"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1）本基金因未平仓的期权合约支付和收取的权利金总额不得超过基金资产净值的10%；</w:t>
      </w:r>
    </w:p>
    <w:p w14:paraId="16AADC01"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2）本基金开仓卖出认购期权的，应持有足额标的证券；开仓卖出认沽期权的，应持有合约行权所需的全额现金或交易所规则认可的可冲抵期权保证金的现金等价物；</w:t>
      </w:r>
    </w:p>
    <w:p w14:paraId="33C6CB89"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3）本基金未平仓的期权合约面值不得超过基金资产净值的20%。其中，合约面值按照行权价乘以合约乘数计算；</w:t>
      </w:r>
    </w:p>
    <w:p w14:paraId="6C7B10F2" w14:textId="77777777" w:rsidR="003E4D36" w:rsidRDefault="00E729B5">
      <w:pPr>
        <w:spacing w:line="360" w:lineRule="auto"/>
        <w:ind w:firstLineChars="200" w:firstLine="480"/>
        <w:rPr>
          <w:bCs/>
          <w:sz w:val="24"/>
        </w:rPr>
      </w:pPr>
      <w:r>
        <w:rPr>
          <w:rFonts w:hint="eastAsia"/>
          <w:bCs/>
          <w:sz w:val="24"/>
        </w:rPr>
        <w:t>（</w:t>
      </w:r>
      <w:r>
        <w:rPr>
          <w:rFonts w:hint="eastAsia"/>
          <w:bCs/>
          <w:sz w:val="24"/>
        </w:rPr>
        <w:t>19</w:t>
      </w:r>
      <w:r>
        <w:rPr>
          <w:rFonts w:hint="eastAsia"/>
          <w:bCs/>
          <w:sz w:val="24"/>
        </w:rPr>
        <w:t>）本基金管理人管理的全部开放式基金（包括开放式基金以及处于开放期的定期开放基金）持有一家上市公司发行的可流通股票，不得超过该上市公司可流通股票的</w:t>
      </w:r>
      <w:r>
        <w:rPr>
          <w:rFonts w:hint="eastAsia"/>
          <w:bCs/>
          <w:sz w:val="24"/>
        </w:rPr>
        <w:t>15%</w:t>
      </w:r>
      <w:r>
        <w:rPr>
          <w:rFonts w:hint="eastAsia"/>
          <w:bCs/>
          <w:sz w:val="24"/>
        </w:rPr>
        <w:t>；本基金管理人管理的全部投资组合持有一家上市公司发行的可流通股票，不得超过该上市公司可流通股票的</w:t>
      </w:r>
      <w:r>
        <w:rPr>
          <w:rFonts w:hint="eastAsia"/>
          <w:bCs/>
          <w:sz w:val="24"/>
        </w:rPr>
        <w:t>30%</w:t>
      </w:r>
      <w:r>
        <w:rPr>
          <w:rFonts w:hint="eastAsia"/>
          <w:bCs/>
          <w:sz w:val="24"/>
        </w:rPr>
        <w:t>；</w:t>
      </w:r>
    </w:p>
    <w:p w14:paraId="48460D5F" w14:textId="77777777" w:rsidR="003E4D36" w:rsidRDefault="00E729B5">
      <w:pPr>
        <w:spacing w:line="360" w:lineRule="auto"/>
        <w:ind w:firstLineChars="200" w:firstLine="480"/>
        <w:rPr>
          <w:bCs/>
          <w:sz w:val="24"/>
        </w:rPr>
      </w:pPr>
      <w:r>
        <w:rPr>
          <w:rFonts w:hint="eastAsia"/>
          <w:bCs/>
          <w:sz w:val="24"/>
        </w:rPr>
        <w:t>（</w:t>
      </w:r>
      <w:r>
        <w:rPr>
          <w:rFonts w:hint="eastAsia"/>
          <w:bCs/>
          <w:sz w:val="24"/>
        </w:rPr>
        <w:t>20</w:t>
      </w:r>
      <w:r>
        <w:rPr>
          <w:rFonts w:hint="eastAsia"/>
          <w:bCs/>
          <w:sz w:val="24"/>
        </w:rPr>
        <w:t>）本基金主动投资于流动性受限资产的市值合计不得超过基金资产净值的</w:t>
      </w:r>
      <w:r>
        <w:rPr>
          <w:rFonts w:hint="eastAsia"/>
          <w:bCs/>
          <w:sz w:val="24"/>
        </w:rPr>
        <w:t>15%</w:t>
      </w:r>
      <w:r>
        <w:rPr>
          <w:rFonts w:hint="eastAsia"/>
          <w:bCs/>
          <w:sz w:val="24"/>
        </w:rPr>
        <w:t>；</w:t>
      </w:r>
    </w:p>
    <w:p w14:paraId="427BE049" w14:textId="77777777" w:rsidR="003E4D36" w:rsidRDefault="00E729B5">
      <w:pPr>
        <w:spacing w:line="360" w:lineRule="auto"/>
        <w:ind w:firstLineChars="200" w:firstLine="480"/>
        <w:rPr>
          <w:bCs/>
          <w:sz w:val="24"/>
        </w:rPr>
      </w:pPr>
      <w:r>
        <w:rPr>
          <w:rFonts w:hint="eastAsia"/>
          <w:bCs/>
          <w:sz w:val="24"/>
        </w:rPr>
        <w:t>因证券市场波动、上市公司股票停牌、基金规模变动等基金管理人之外的因</w:t>
      </w:r>
      <w:r>
        <w:rPr>
          <w:rFonts w:hint="eastAsia"/>
          <w:bCs/>
          <w:sz w:val="24"/>
        </w:rPr>
        <w:lastRenderedPageBreak/>
        <w:t>素致使基金不符合前款所规定比例限制的，基金管理人不得主动新增流动性受限资产的投资；</w:t>
      </w:r>
    </w:p>
    <w:p w14:paraId="25582424" w14:textId="77777777" w:rsidR="003E4D36" w:rsidRDefault="00E729B5">
      <w:pPr>
        <w:spacing w:line="360" w:lineRule="auto"/>
        <w:ind w:firstLineChars="200" w:firstLine="480"/>
        <w:rPr>
          <w:bCs/>
          <w:sz w:val="24"/>
        </w:rPr>
      </w:pPr>
      <w:r>
        <w:rPr>
          <w:rFonts w:hint="eastAsia"/>
          <w:bCs/>
          <w:sz w:val="24"/>
        </w:rPr>
        <w:t>（</w:t>
      </w:r>
      <w:r>
        <w:rPr>
          <w:rFonts w:hint="eastAsia"/>
          <w:bCs/>
          <w:sz w:val="24"/>
        </w:rPr>
        <w:t>21</w:t>
      </w:r>
      <w:r>
        <w:rPr>
          <w:rFonts w:hint="eastAsia"/>
          <w:bCs/>
          <w:sz w:val="24"/>
        </w:rPr>
        <w:t>）本基金与私募类证券资管产品及中国证监会认定的其他主体为交易对手开展逆回购交易的，可接受质押品的资质要求应当与基金合同约定的投资范围保持一致；</w:t>
      </w:r>
    </w:p>
    <w:p w14:paraId="416F47D4" w14:textId="77777777" w:rsidR="003E4D36" w:rsidRDefault="00E729B5">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）法律法规及中国证监会规定的和《基金合同》约定的其他投资限制。</w:t>
      </w:r>
    </w:p>
    <w:p w14:paraId="6523662E" w14:textId="77777777" w:rsidR="003E4D36" w:rsidRDefault="00E729B5">
      <w:pPr>
        <w:autoSpaceDE w:val="0"/>
        <w:autoSpaceDN w:val="0"/>
        <w:spacing w:line="360" w:lineRule="auto"/>
        <w:ind w:firstLineChars="200" w:firstLine="480"/>
        <w:textAlignment w:val="bottom"/>
        <w:rPr>
          <w:bCs/>
          <w:sz w:val="24"/>
        </w:rPr>
      </w:pPr>
      <w:r>
        <w:rPr>
          <w:rFonts w:hint="eastAsia"/>
          <w:bCs/>
          <w:sz w:val="24"/>
        </w:rPr>
        <w:t>除上述第（</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Pr>
          <w:bCs/>
          <w:sz w:val="24"/>
        </w:rPr>
        <w:t>20</w:t>
      </w:r>
      <w:r>
        <w:rPr>
          <w:rFonts w:hint="eastAsia"/>
          <w:bCs/>
          <w:sz w:val="24"/>
        </w:rPr>
        <w:t>）、（</w:t>
      </w:r>
      <w:r>
        <w:rPr>
          <w:rFonts w:hint="eastAsia"/>
          <w:bCs/>
          <w:sz w:val="24"/>
        </w:rPr>
        <w:t>21</w:t>
      </w:r>
      <w:r>
        <w:rPr>
          <w:rFonts w:hint="eastAsia"/>
          <w:bCs/>
          <w:sz w:val="24"/>
        </w:rPr>
        <w:t>）项外，因证券、期货市场波动、上市公司合并、基金规模变动、股权分置改革中支付对价等基金管理人之外的因素致使基金投资比例不符合上述规定投资比例的，基金管理人应当在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w:t>
      </w:r>
    </w:p>
    <w:p w14:paraId="1A13EE92"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当自基金合同生效之日起6个月内使基金的投资组合比例符合基金合同的有关约定。在上述期间内，本基金的投资范围、投资策略应当符合基金合同的约定。基金托管人对基金的投资的监督与检查自基金合同生效之日起开始。</w:t>
      </w:r>
    </w:p>
    <w:p w14:paraId="09B4142F"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法律法规或监管部门取消或变更上述限制，如适用于本基金，基金管理人在履行适当程序后，则本基金投资不再受相关限制或按调整后的规定执行。</w:t>
      </w:r>
    </w:p>
    <w:p w14:paraId="5C770AF1"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（三）基金托管人根据有关法律法规的规定及基金合同的约定，对本托管协议第十五条第九款基金投资禁止行为进行监督。</w:t>
      </w:r>
    </w:p>
    <w:p w14:paraId="5DEB9E69"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基金托管人通过事后监督方式对基金管理人基金投资禁止行为进行监督。</w:t>
      </w:r>
    </w:p>
    <w:p w14:paraId="3328FA56"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根据法律法规有关基金从事关联交易的规定，基金管理人和基金托管人应事先相互提供与本机构有控股关系的股东、与本机构有其他重大利害关系的公司名单及有关关联方发行的证券名单。基金管理人和基金托管人有责任确保关联交易名单的真实性、准确性、完整性，并负责及时将更新后的名单发送给对方。</w:t>
      </w:r>
    </w:p>
    <w:p w14:paraId="46188710"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（四）基金托管人根据有关法律法规的规定及基金合同的约定，对基金管理人参与银行间债券市场进行监督。</w:t>
      </w:r>
    </w:p>
    <w:p w14:paraId="36025824"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在基金投资运作之前向基金托管人提供符合法律法规及行业标准的、经慎重选择的、本基金适用的银行间债券市场交易对手名单。基金管理人应严格按照交易对手名单的范围在银行间债券市场选择交易对手。基金托管人监督基金管理人是否按事前提供的银行间债券市场交易对手名单进行交易。基金管理人可以每半年对银行间债券市场交易对手名单进行更新，新名单确定前已与</w:t>
      </w:r>
      <w:r>
        <w:rPr>
          <w:rFonts w:asciiTheme="minorEastAsia" w:hAnsiTheme="minorEastAsia" w:cs="Arial" w:hint="eastAsia"/>
          <w:color w:val="000000"/>
          <w:sz w:val="24"/>
          <w:szCs w:val="24"/>
        </w:rPr>
        <w:lastRenderedPageBreak/>
        <w:t>本次剔除的交易对手所进行但尚未结算的交易，仍应按照协议进行结算。如基金管理人根据市场情况需要临时调整银行间债券市场交易对手名单的，应向基金托管人说明理由，并在与交易对手发生交易前3个工作日内与基金托管人协商解决。</w:t>
      </w:r>
    </w:p>
    <w:p w14:paraId="12FC2310"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负责对交易对手的资信控制，按银行间债券市场的交易规则进行交易，并承担交易对手不履行合同造成的损失，基金托管人则根据银行间债券市场成交单对合同履行情况进行监督。如基金托管人事后发现基金管理人没有按照事先约定的交易对手进行交易时，基金托管人应及时提醒基金管理人，基金托管人不承担由此造成的任何损失和责任。</w:t>
      </w:r>
    </w:p>
    <w:p w14:paraId="6DD9E950"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 xml:space="preserve">（五）基金托管人根据有关法律法规的规定及《基金合同》的约定，对基金管理人选择存款银行进行监督。 </w:t>
      </w:r>
    </w:p>
    <w:p w14:paraId="5BD88D5C"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 xml:space="preserve">基金投资银行定期存款的，基金管理人应根据法律法规的规定及《基金合同》的约定，确定符合条件的所有存款银行的名单，并及时提供给基金托管人，基金托管人应据以对基金投资银行存款的交易对手是否符合有关规定进行监督。 </w:t>
      </w:r>
    </w:p>
    <w:p w14:paraId="1DB3E076"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 xml:space="preserve">本基金投资银行存款应符合如下规定： </w:t>
      </w:r>
    </w:p>
    <w:p w14:paraId="18B6C0C6"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1、基金管理人、基金托管人应当与存款银行建立定期对账机制，确保基金银行存款业务账目及核算的真实、准确。</w:t>
      </w:r>
    </w:p>
    <w:p w14:paraId="360E1E5B"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 xml:space="preserve">2、基金管理人与基金托管人应根据相关规定，就本基金银行存款业务另行签订书面协议，明确双方在相关协议签署、账户开设与管理、投资指令传达与执行、资金划拨、账目核对、到期兑付、文件保管以及存款证实书的开立、传递、保管等流程中的权利、义务和职责，以确保基金财产的安全，保护基金份额持有人的合法权益。 </w:t>
      </w:r>
    </w:p>
    <w:p w14:paraId="56AF6C43"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3、基金托管人应加强对基金银行存款业务的监督与核查，严格审查、复核相关协议、账户资料、投资指令、存款证实书等有关文件，切实履行托管职责。</w:t>
      </w:r>
    </w:p>
    <w:p w14:paraId="22D93310"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4、基金管理人与基金托管人在开展基金存款业务时，应严格遵守《基金法》、《运作办法》等有关法律法规，以及国家有关账户管理、利率管理、支付结算等的各项规定。 基金托管人发现基金管理人在选择存款银行时有违反有关法律法规的规定及《基金合同》的约定的行为，应及时以书面形式通知基金管理人在10个工作日内纠正。基金管理人对基金托管人通知的违规事项未能在10个工作日内纠正的，基金托管人应报告中国证监会。基金托管人发现基金管理人有重大</w:t>
      </w:r>
      <w:r>
        <w:rPr>
          <w:rFonts w:asciiTheme="minorEastAsia" w:hAnsiTheme="minorEastAsia" w:cs="Arial" w:hint="eastAsia"/>
          <w:color w:val="000000"/>
          <w:sz w:val="24"/>
          <w:szCs w:val="24"/>
        </w:rPr>
        <w:lastRenderedPageBreak/>
        <w:t>违规行为，应立即报告中国证监会，同时通知基金管理人在10个工作日内纠正或拒绝结算，若基金管理人拒不执行造成基金财产的损失，基金托管人不承担任何责任。</w:t>
      </w:r>
    </w:p>
    <w:p w14:paraId="0188B5CC"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（六）基金托管人根据有关法律法规的规定及基金合同的约定，对基金投资流通受限证券进行监督。</w:t>
      </w:r>
    </w:p>
    <w:p w14:paraId="74B3036F"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1．基金投资流通受限证券，应遵守《关于基金投资非公开发行股票等流通受限证券有关问题的通知》等有关法律法规规定。</w:t>
      </w:r>
    </w:p>
    <w:p w14:paraId="1297BF9A"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流通受限证券，包括由《上市公司证券发行管理办法》规范的非公开发行股票、公开发行股票网下配售部分等在发行时明确一定期限锁定期的可交易证券,不包括由于发布重大消息或其他原因而临时停牌的证券、已发行未上市证券、回购交易中的质押券等流通受限证券。</w:t>
      </w:r>
    </w:p>
    <w:p w14:paraId="629E22C7"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在首次投资流通受限证券之前，基金管理人应当制定相关投资决策流程、风险控制等规章制度。基金管理人应当根据基金的投资风格和流动性的需要合理安排流通受限证券的投资比例，并在相关制度中明确具体比例，避免基金出现流动性风险。基金投资非公开发行股票，基金管理人还应提供流动性风险处置预案。上述资料应包括但不限于基金投资流通受限证券的投资额度和投资比例控制情况。</w:t>
      </w:r>
    </w:p>
    <w:p w14:paraId="67A91018"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上述规章制度须经基金管理人董事会批准。上述规章制度经董事会通过之后，基金管理人应至少于首次投资流通受限证券之前两个工作日将上述资料书面发至基金托管人，保证基金托管人有足够的时间进行审核。</w:t>
      </w:r>
    </w:p>
    <w:p w14:paraId="5BDB66D2"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在投资流通受限证券之前，基金管理人应按约定时间向基金托管人提供符合法律法规要求的有关流通受限证券的信息，具体应当包括但不限于如下文件（如有）：拟发行证券主体的中国证监会批准文件、拟发行数量、定价依据、锁定期、基金拟认购的数量、价格、总成本、总成本占基金资产净值的比例、已持有流通受限证券市值占基金资产净值的比例、划款账号、划款金额、划款时间文件等。基金管理人应保证上述信息的真实、完整。</w:t>
      </w:r>
    </w:p>
    <w:p w14:paraId="0B047B08"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基金投资流通受限证券，基金管理人应根据本协议的规定与基金托管银行签订风险控制补充协议。协议应包括基金托管人对于基金管理人是否遵守相关制度、流动型风险处置预案以及相关投资额度和比例的情况进行监督等内容。</w:t>
      </w:r>
    </w:p>
    <w:p w14:paraId="45F0953B"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6．基金管理人应在基金投资非公开发行股票后两个交易日内，在中国证监</w:t>
      </w:r>
      <w:r>
        <w:rPr>
          <w:rFonts w:asciiTheme="minorEastAsia" w:hAnsiTheme="minorEastAsia" w:cs="Arial" w:hint="eastAsia"/>
          <w:color w:val="000000"/>
          <w:sz w:val="24"/>
          <w:szCs w:val="24"/>
        </w:rPr>
        <w:lastRenderedPageBreak/>
        <w:t>会指定媒介披露所投资非公开发行股票的名称、数量、总成本、账面价值，以及总成本和账面价值占基金资产净值的比例、锁定期等信息。</w:t>
      </w:r>
    </w:p>
    <w:p w14:paraId="3999E288"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7．基金托管人应对基金管理人是否遵守法律法规、投资决策流程、风险控制制度、流动性风险处置预案情况进行监督，并审核基金管理人提供的有关书面信息。基金托管人认为上述资料可能导致基金出现风险的，有权要求基金管理人在投资流通受限证券前就该风险的消除或防范措施进行补充书面说明，并保留查看基金管理人风险管理部门就基金投资流通受限证券出具的风险评估报告等备查资料的权利。否则，基金托管人有权拒绝执行有关指令。因拒绝执行该指令造成基金财产损失的，基金托管人不承担任何责任，并有权报告中国证监会。</w:t>
      </w:r>
    </w:p>
    <w:p w14:paraId="5F945D09"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如基金管理人和基金托管人无法达成一致，应及时上报中国证监会请求解决。</w:t>
      </w:r>
    </w:p>
    <w:p w14:paraId="59C2161B"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七）基金托管人根据有关法律法规的规定及基金合同的约定，对基金资产净值计算、基金份额净值计算、应收资金到账、基金费用开支及收入确定、基金收益分配、相关信息披露、基金宣传推介材料中登载基金业绩表现数据等进行监督和核查。</w:t>
      </w:r>
    </w:p>
    <w:p w14:paraId="05D702F9"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（八）基金托管人发现基金管理人的上述事项及投资指令或实际投资运作违反法律法规、基金合同和本托管协议的规定，应及时以电话提醒或书面提示等方式通知基金管理人限期纠正。</w:t>
      </w:r>
    </w:p>
    <w:p w14:paraId="2499B2EC"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积极配合和协助基金托管人的监督和核查。基金管理人收到书面通知后应在两个工作日内及时核对并以书面形式给基金托管人发出回函，就基金托管人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3771BE82"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（九）基金管理人有义务配合和协助基金托管人依照法律法规、基金合同和本托管协议对基金业务执行核查。</w:t>
      </w:r>
    </w:p>
    <w:p w14:paraId="21A6529A"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对基金托管人发出的书面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14:paraId="04BB9B77"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lastRenderedPageBreak/>
        <w:t>（十）若基金托管人发现基金管理人依据交易程序已经生效的指令违反法律、行政法规和其他有关规定，或者违反基金合同约定的，应当立即通知基金管理人。</w:t>
      </w:r>
    </w:p>
    <w:p w14:paraId="2C47DC94"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（十一）基金托管人发现基金管理人有重大违规行为，应及时报告中国证监会，同时通知基金管理人限期纠正，并将纠正结果报告中国证监会。</w:t>
      </w:r>
    </w:p>
    <w:p w14:paraId="5BE5E405"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基金管理人无正当理由，拒绝、阻挠对方根据本托管协议规定行使监督权，或采取拖延、欺诈等手段妨碍对方进行有效监督，情节严重或经基金托管人提出警告仍不改正的，基金托管人应报告中国证监会。</w:t>
      </w:r>
    </w:p>
    <w:p w14:paraId="1D696DE2" w14:textId="77777777" w:rsidR="003E4D36" w:rsidRDefault="00E729B5">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三、基金管理人对基金托管人的业务核查</w:t>
      </w:r>
    </w:p>
    <w:p w14:paraId="70A93750"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基金管理人对基金托管人履行托管职责情况进行核查，核查事项包括基金托管人安全保管基金财产、开设基金财产的资金账户、证券账户、期货账户等投资所需账户、复核基金管理人计算的基金资产净值和基金份额净值、根据基金管理人指令办理清算交收、相关信息披露和监督基金投资运作等行为。</w:t>
      </w:r>
    </w:p>
    <w:p w14:paraId="26BBEB74"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w:t>
      </w:r>
    </w:p>
    <w:p w14:paraId="1244907E"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供基金管理人核查托管财产的完整性和真实性，在规定时间内答复基金管理人并改正。</w:t>
      </w:r>
    </w:p>
    <w:p w14:paraId="6B67F2F5"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（三）基金管理人发现基金托管人有重大违规行为，应及时报告中国证监会，同时通知基金托管人限期纠正，并将纠正结果报告中国证监会。</w:t>
      </w:r>
    </w:p>
    <w:p w14:paraId="0DE0A242"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基金托管人无正当理由，拒绝、阻挠对方根据本协议规定行使监督权，或采取拖延、欺诈等手段妨碍对方进行有效监督，情节严重或经基金管理人提出警告仍不改正的，基金管理人应报告中国证监会。</w:t>
      </w:r>
    </w:p>
    <w:p w14:paraId="7DBD7E30" w14:textId="77777777" w:rsidR="003E4D36" w:rsidRDefault="00E729B5">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四、基金财产的保管</w:t>
      </w:r>
    </w:p>
    <w:p w14:paraId="699EEAD3"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（一）基金财产保管的原则</w:t>
      </w:r>
    </w:p>
    <w:p w14:paraId="10A3965E"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1．基金财产应独立于基金管理人、基金托管人的固有财产；</w:t>
      </w:r>
    </w:p>
    <w:p w14:paraId="6ECC5555"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2．基金托管人应安全保管基金财产；</w:t>
      </w:r>
    </w:p>
    <w:p w14:paraId="2FF29F22"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3．基金托管人按照规定开设基金财产的资金账户、证券账户和期货账户等投资所需账户；</w:t>
      </w:r>
    </w:p>
    <w:p w14:paraId="09CF9B92"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4．基金托管人对所托管的不同基金财产分别设置账户，确保基金财产的完整与独立； </w:t>
      </w:r>
    </w:p>
    <w:p w14:paraId="7C8FD6B3"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5．基金托管人根据基金管理人的指令，按照基金合同和本协议的约定保管基金财产，如有特殊情况双方可另行协商解决；</w:t>
      </w:r>
    </w:p>
    <w:p w14:paraId="352C86BE"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6．对于因为基金投资产生的应收资产，应由基金管理人负责与有关当事人确定到账日期并通知基金托管人，到账日基金财产没有到达基金账户的，基金托管人应及时通知基金管理人采取措施进行催收。由此给基金财产造成损失的，基金管理人应负责向有关当事人追偿基金财产的损失，基金托管人对此不承担任何责任；</w:t>
      </w:r>
    </w:p>
    <w:p w14:paraId="0839E84A"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7．除依据法律法规和基金合同的规定外，基金托管人不得委托第三人托管基金财产。</w:t>
      </w:r>
    </w:p>
    <w:p w14:paraId="30911A61"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（二）基金募集期间及募集资金的验资</w:t>
      </w:r>
    </w:p>
    <w:p w14:paraId="49ADB741"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1．基金募集期间募集的资金应存于基金募集专户，该账户由基金管理人开立并管理。</w:t>
      </w:r>
    </w:p>
    <w:p w14:paraId="285C2569"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募集期满或基金停止募集时，募集的基金份额总额、基金募集金额、基金份额持有人人数符合《基金法》、《运作办法》等有关规定后，基金管理人应将属于基金财产的全部资金划入基金托管人开立的基金托管专户，同时在规定时间内，聘请具有从事证券相关业务资格的会计师事务所进行验资，出具验资报告。出具的验资报告由参加验资的2名或2名以上中国注册会计师签字方为有效。</w:t>
      </w:r>
    </w:p>
    <w:p w14:paraId="7213FD17"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3．若基金募集期限届满，未能达到基金合同生效的条件，由基金管理人按规定办理退款等事宜。</w:t>
      </w:r>
    </w:p>
    <w:p w14:paraId="03E1544B"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（三）基金托管专户的开立和管理</w:t>
      </w:r>
    </w:p>
    <w:p w14:paraId="766B7B50"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托管人以本基金的名义在其营业机构开设基金托管专户，保管基金的银行存款。本基金的一切货币收支活动，包括但不限于投资、支付赎回金额、支付基金收益、收取申购款，均需通过基金托管专户进行。基金管理人授权基金托管人办理托管专户的开立、销户、变更工作，本基金托管账户无需预留印鉴，具体按基金托管人要求办理。</w:t>
      </w:r>
    </w:p>
    <w:p w14:paraId="1466A380"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2．基金托管专户的开立和使用，限于满足开展本基金业务的需要。基金托管人和基金管理人不得假借本基金的名义开立任何其他银行账户；亦不得使用基金的任何账户进行本基金业务以外的活动。</w:t>
      </w:r>
    </w:p>
    <w:p w14:paraId="409B2DA8"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3．基金托管专户的开立和管理应符合有关法律法规以及银行业监督管理机构的其他有关规定。</w:t>
      </w:r>
    </w:p>
    <w:p w14:paraId="1C335CCD"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（四）基金证券账户和结算备付金账户的开立和管理</w:t>
      </w:r>
    </w:p>
    <w:p w14:paraId="797BE4FC"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1．基金托管人在中国证券登记结算有限责任公司上海分公司、深圳分公司为基金开立基金托管人与本基金联名的证券账户。</w:t>
      </w:r>
    </w:p>
    <w:p w14:paraId="210C8073"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2．基金证券账户的开立和使用，仅限于满足开展本基金业务的需要。基金托管人和基金管理人不得出借或转让基金的任何证券账户，亦不得使用基金的任何账户进行本基金业务以外的活动。</w:t>
      </w:r>
    </w:p>
    <w:p w14:paraId="77A87AA4"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3．基金证券账户的开立和证券账户卡的保管由基金托管人负责，账户资产的管理和运用由基金管理人负责。</w:t>
      </w:r>
    </w:p>
    <w:p w14:paraId="1575CEA1"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基金托管人以基金托管人的名义在中国证券登记结算有限责任公司上海分公司、深圳分公司开立结算备付金账户，并代表所托管的基金完成与中国证券登记结算有限责任公司的一级法人清算工作，基金管理人应予以积极协助。结算备付金、交收价差资金等的收取按照中国证券登记结算有限责任公司的规定执行。</w:t>
      </w:r>
    </w:p>
    <w:p w14:paraId="6384C370"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5．若中国证监会或其他监管机构在本托管协议订立日之后允许基金从事其他投资品种的投资业务，涉及相关账户的开立、使用的，若无相关规定，则基金托管人比照上述关于账户开立、使用的规定执行。</w:t>
      </w:r>
    </w:p>
    <w:p w14:paraId="774A8E6E"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（五）银行间债券托管专户的开设和管理</w:t>
      </w:r>
    </w:p>
    <w:p w14:paraId="0246FDA3"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合同生效后，基金管理人负责以本基金的名义申请并取得进入全国银行间同业拆借市场的交易资格，并代表基金进行交易；基金托管人负责以本基金的名义在中央国债登记结算有限责任公司和银行间市场清算所股份有限公司开设银行间债券市场债券托管账户，并代表基金进行银行间市场债券的结算。基金管理人和基金托管人共同代表基金签订全国银行间债券市场债券回购主协议，基金管理人保管协议正本，基金托管人保存协议副本。</w:t>
      </w:r>
    </w:p>
    <w:p w14:paraId="787D0A70"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（六）其他账户的开立和管理</w:t>
      </w:r>
    </w:p>
    <w:p w14:paraId="70065BAE"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在本托管协议签订日之后，本基金被允许从事符合法律法规规定和《基金合</w:t>
      </w:r>
      <w:r>
        <w:rPr>
          <w:rFonts w:asciiTheme="minorEastAsia" w:hAnsiTheme="minorEastAsia" w:cs="Arial" w:hint="eastAsia"/>
          <w:sz w:val="24"/>
          <w:szCs w:val="24"/>
        </w:rPr>
        <w:lastRenderedPageBreak/>
        <w:t>同》约定的其他投资品种的投资业务时，如果涉及相关账户的开设和使用，由基金管理人协助基金托管人根据有关法律法规的规定和《基金合同》的约定，开立有关账户。该账户按有关规则使用并管理。</w:t>
      </w:r>
    </w:p>
    <w:p w14:paraId="3EF80FD5"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（七）基金财产投资的有关有价凭证等的保管</w:t>
      </w:r>
    </w:p>
    <w:p w14:paraId="4D842E54"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财产投资的有关实物证券等有价凭证由基金托管人存放于基金托管人的保管库，也可存入中央国债登记结算有限责任公司、中国证券登记结算有限责任公司上海分公司/深圳分公司或票据营业中心的代保管库，保管凭证由基金托管人持有。实物证券等有价凭证的购买和转让，由基金管理人和基金托管人共同办理。基金托管人对由基金托管人以外机构实际有效控制的证券不承担保管责任。</w:t>
      </w:r>
    </w:p>
    <w:p w14:paraId="62F21F16"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（八）与基金财产有关的重大合同的保管</w:t>
      </w:r>
    </w:p>
    <w:p w14:paraId="7D9F6F46"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基金管理人应保证基金管理人和基金托管人至少各持有一份正本的原件。基金管理人应在重大合同签署后及时将重大合同传真给基金托管人，并在30个工作日内将正本送达基金托管人处。重大合同的保管期限为基金合同终止后15年。</w:t>
      </w:r>
    </w:p>
    <w:p w14:paraId="687CB9ED" w14:textId="77777777" w:rsidR="003E4D36" w:rsidRDefault="00E729B5">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五、基金资产净值计算、估值和会计核算</w:t>
      </w:r>
    </w:p>
    <w:p w14:paraId="13F5AFB6"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（一）基金资产净值的计算、复核与完成的时间及程序</w:t>
      </w:r>
    </w:p>
    <w:p w14:paraId="5362A133"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1．基金资产净值</w:t>
      </w:r>
    </w:p>
    <w:p w14:paraId="09CEF154"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基金资产净值是指基金资产总值减去负债后的金额。</w:t>
      </w:r>
    </w:p>
    <w:p w14:paraId="630CE826"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基金份额净值是指基金资产净值除以基金份额总数，基金份额净值的计算，精确到0.0001元，小数点后第5位四舍五入，国家另有规定的，从其规定。</w:t>
      </w:r>
    </w:p>
    <w:p w14:paraId="0132E255"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基金管理人每个工作日计算基金资产净值及基金份额净值，经基金托管人复核，按规定公告。</w:t>
      </w:r>
    </w:p>
    <w:p w14:paraId="18219945"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2．复核程序</w:t>
      </w:r>
    </w:p>
    <w:p w14:paraId="5C019CFF"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基金管理人每工作日对基金资产进行估值后，将基金份额净值结果发送基金托管人，经基金托管人复核无误后，由基金管理人对外公布。</w:t>
      </w:r>
    </w:p>
    <w:p w14:paraId="44F0B911"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3．根据有关法律法规，基金资产净值计算和基金会计核算的义务由基金管</w:t>
      </w:r>
      <w:r>
        <w:rPr>
          <w:rFonts w:asciiTheme="minorEastAsia" w:hAnsiTheme="minorEastAsia" w:cs="Arial" w:hint="eastAsia"/>
          <w:sz w:val="24"/>
          <w:szCs w:val="24"/>
        </w:rPr>
        <w:lastRenderedPageBreak/>
        <w:t>理人承担。本基金的基金会计责任方由基金管理人担任，因此，就与本基金有关的会计问题，如经相关各方在平等基础上充分讨论后，仍无法达成一致意见的，按照基金管理人对基金资产净值的计算结果对外予以公布。</w:t>
      </w:r>
    </w:p>
    <w:p w14:paraId="61F89BD6"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（二）基金会计核算</w:t>
      </w:r>
    </w:p>
    <w:p w14:paraId="197F58B4"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1、基金账册的建立</w:t>
      </w:r>
    </w:p>
    <w:p w14:paraId="457AC3D0"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进行基金会计核算并编制基金财务会计报告。基金管理人、基金托管人独立地设置、记录和保管本基金的全套账册。若基金管理人和基金托管人对会计处理方法存在分歧，应以基金管理人的处理方法为准。若当日核对不符，暂时无法查找到错账的原因而影响到基金资产净值的计算和公告的，以基金管理人的账册为准。</w:t>
      </w:r>
    </w:p>
    <w:p w14:paraId="11B6D4E9"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2、基金财务报表和定期报告的编制和复核</w:t>
      </w:r>
    </w:p>
    <w:p w14:paraId="2E12BA06" w14:textId="269AE783"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基金管理人应当在每月结束后5个工作日内完成月度报表的编制；在每个季度结束之日起15个工作日内完成基金季度报告的编制；在上半年结束之日起</w:t>
      </w:r>
      <w:r w:rsidR="00EA55BA">
        <w:rPr>
          <w:rFonts w:asciiTheme="minorEastAsia" w:hAnsiTheme="minorEastAsia" w:cs="Arial" w:hint="eastAsia"/>
          <w:sz w:val="24"/>
          <w:szCs w:val="24"/>
        </w:rPr>
        <w:t>两个月</w:t>
      </w:r>
      <w:r>
        <w:rPr>
          <w:rFonts w:asciiTheme="minorEastAsia" w:hAnsiTheme="minorEastAsia" w:cs="Arial" w:hint="eastAsia"/>
          <w:sz w:val="24"/>
          <w:szCs w:val="24"/>
        </w:rPr>
        <w:t>内完成基金</w:t>
      </w:r>
      <w:r w:rsidR="00EA55BA">
        <w:rPr>
          <w:rFonts w:asciiTheme="minorEastAsia" w:hAnsiTheme="minorEastAsia" w:cs="Arial" w:hint="eastAsia"/>
          <w:sz w:val="24"/>
          <w:szCs w:val="24"/>
        </w:rPr>
        <w:t>中期</w:t>
      </w:r>
      <w:r>
        <w:rPr>
          <w:rFonts w:asciiTheme="minorEastAsia" w:hAnsiTheme="minorEastAsia" w:cs="Arial" w:hint="eastAsia"/>
          <w:sz w:val="24"/>
          <w:szCs w:val="24"/>
        </w:rPr>
        <w:t>报告的编制；在每年结束之日起</w:t>
      </w:r>
      <w:r w:rsidR="00EA55BA">
        <w:rPr>
          <w:rFonts w:asciiTheme="minorEastAsia" w:hAnsiTheme="minorEastAsia" w:cs="Arial" w:hint="eastAsia"/>
          <w:sz w:val="24"/>
          <w:szCs w:val="24"/>
        </w:rPr>
        <w:t>三个月</w:t>
      </w:r>
      <w:r>
        <w:rPr>
          <w:rFonts w:asciiTheme="minorEastAsia" w:hAnsiTheme="minorEastAsia" w:cs="Arial" w:hint="eastAsia"/>
          <w:sz w:val="24"/>
          <w:szCs w:val="24"/>
        </w:rPr>
        <w:t>内完成基金年度报告的编制。基金年度报告的财务会计报告应当经过审计。基金合同生效不足两个月的，基金管理人可以不编制当期季度报告、</w:t>
      </w:r>
      <w:r w:rsidR="00EA55BA">
        <w:rPr>
          <w:rFonts w:asciiTheme="minorEastAsia" w:hAnsiTheme="minorEastAsia" w:cs="Arial" w:hint="eastAsia"/>
          <w:sz w:val="24"/>
          <w:szCs w:val="24"/>
        </w:rPr>
        <w:t>中期</w:t>
      </w:r>
      <w:r>
        <w:rPr>
          <w:rFonts w:asciiTheme="minorEastAsia" w:hAnsiTheme="minorEastAsia" w:cs="Arial" w:hint="eastAsia"/>
          <w:sz w:val="24"/>
          <w:szCs w:val="24"/>
        </w:rPr>
        <w:t>报告或者年度报告。</w:t>
      </w:r>
    </w:p>
    <w:p w14:paraId="1F7747AE"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基金管理人应及时完成报表编制，将有关报表提供基金托管人复核；基金托管人在复核过程中，发现双方的报表存在不符时，基金管理人和基金托管人应共同查明原因，进行调整，调整以国家有关规定为准。</w:t>
      </w:r>
    </w:p>
    <w:p w14:paraId="3E05AD56"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基金管理人应留足充分的时间，便于基金托管人复核相关报表及报告。</w:t>
      </w:r>
    </w:p>
    <w:p w14:paraId="7AD78EE3" w14:textId="77777777" w:rsidR="003E4D36" w:rsidRDefault="00E729B5">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六、基金份额持有人名册的保管</w:t>
      </w:r>
    </w:p>
    <w:p w14:paraId="3A9181B7"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份额持有人名册至少应包括基金份额持有人的名称和持有的基金份额。基金份额持有人名册由基金登记机构根据基金管理人的指令编制和保管，基金管理人和基金托管人应分别保管基金份额持有人名册。保管方式可以采用电子或文档的形式，保存期不少于15年。如不能妥善保管，则按相关法规承担责任。</w:t>
      </w:r>
    </w:p>
    <w:p w14:paraId="7B2A2F01"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人因编制基金定期报告等合理原因要求基金管理人提供相关资料时，基金管理人应将有关资料送交基金托管人，不得无故拒绝或延误提供，并保证其真实性、准确性和完整性。基金托管人不得将所保管的基金份额持有人名册用于基金托管业务以外的其他用途，并应遵守保密义务。</w:t>
      </w:r>
    </w:p>
    <w:p w14:paraId="1C5A3E4A" w14:textId="77777777" w:rsidR="003E4D36" w:rsidRDefault="00E729B5">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七、争议解决方式</w:t>
      </w:r>
    </w:p>
    <w:p w14:paraId="4D145959"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因本协议产生或与之相关的争议，双方当事人应通过协商、调解解决，协商、调解不能解决的，任何一方均有权将争议提交华南国际经济贸易仲裁委员会，仲裁地点为深圳市，按照华南国际经济贸易仲裁委员会届时有效的仲裁规则进行仲裁。仲裁裁决是终局的，对当事人均有约束力，仲裁费用由败诉方承担。</w:t>
      </w:r>
    </w:p>
    <w:p w14:paraId="20B49B94"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争议处理期间，双方当事人应恪守基金管理人和基金托管人职责，各自继续忠实、勤勉、尽责地履行基金合同和本托管协议规定的义务，维护基金份额持有人的合法权益。</w:t>
      </w:r>
    </w:p>
    <w:p w14:paraId="4BC133FD"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本协议受中国法律管辖。</w:t>
      </w:r>
    </w:p>
    <w:p w14:paraId="4DF445BA" w14:textId="77777777" w:rsidR="003E4D36" w:rsidRDefault="00E729B5">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八、</w:t>
      </w:r>
      <w:r>
        <w:rPr>
          <w:rFonts w:asciiTheme="minorEastAsia" w:hAnsiTheme="minorEastAsia" w:cs="Times New Roman" w:hint="eastAsia"/>
          <w:b/>
          <w:color w:val="000000"/>
          <w:sz w:val="24"/>
          <w:szCs w:val="24"/>
        </w:rPr>
        <w:t>托管协议的变更、终止与基金财产的清算</w:t>
      </w:r>
    </w:p>
    <w:p w14:paraId="2F23E217"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（一）托管协议的变更</w:t>
      </w:r>
    </w:p>
    <w:p w14:paraId="0EA546F4"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本协议双方当事人经协商一致，可以对协议进行修改。修改后的新协议，其内容不得与基金合同的规定有任何冲突。基金托管协议的变更报中国证监会备案。</w:t>
      </w:r>
    </w:p>
    <w:p w14:paraId="759FB3C3"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（二）基金托管协议终止出现的情形</w:t>
      </w:r>
    </w:p>
    <w:p w14:paraId="0AC037BB"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w:t>
      </w:r>
      <w:r>
        <w:rPr>
          <w:rFonts w:asciiTheme="minorEastAsia" w:hAnsiTheme="minorEastAsia" w:cs="Times New Roman" w:hint="eastAsia"/>
          <w:sz w:val="24"/>
          <w:szCs w:val="24"/>
        </w:rPr>
        <w:tab/>
        <w:t>基金合同终止；</w:t>
      </w:r>
    </w:p>
    <w:p w14:paraId="0B26A607"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w:t>
      </w:r>
      <w:r>
        <w:rPr>
          <w:rFonts w:asciiTheme="minorEastAsia" w:hAnsiTheme="minorEastAsia" w:cs="Times New Roman" w:hint="eastAsia"/>
          <w:sz w:val="24"/>
          <w:szCs w:val="24"/>
        </w:rPr>
        <w:tab/>
        <w:t>基金托管人解散、依法被撤销、破产或由其他基金托管人接管基金资产；</w:t>
      </w:r>
    </w:p>
    <w:p w14:paraId="64BC0AA5"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w:t>
      </w:r>
      <w:r>
        <w:rPr>
          <w:rFonts w:asciiTheme="minorEastAsia" w:hAnsiTheme="minorEastAsia" w:cs="Times New Roman" w:hint="eastAsia"/>
          <w:sz w:val="24"/>
          <w:szCs w:val="24"/>
        </w:rPr>
        <w:tab/>
        <w:t>基金管理人解散、依法被撤销、破产或由其他基金管理人接管基金管理权；</w:t>
      </w:r>
    </w:p>
    <w:p w14:paraId="1CF14D4F"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w:t>
      </w:r>
      <w:r>
        <w:rPr>
          <w:rFonts w:asciiTheme="minorEastAsia" w:hAnsiTheme="minorEastAsia" w:cs="Times New Roman" w:hint="eastAsia"/>
          <w:sz w:val="24"/>
          <w:szCs w:val="24"/>
        </w:rPr>
        <w:tab/>
        <w:t>发生法律法规或基金合同规定的终止事项。</w:t>
      </w:r>
    </w:p>
    <w:p w14:paraId="702FA2B8" w14:textId="77777777" w:rsidR="003E4D36" w:rsidRDefault="00E729B5">
      <w:pPr>
        <w:widowControl/>
        <w:jc w:val="left"/>
        <w:rPr>
          <w:rFonts w:asciiTheme="minorEastAsia" w:hAnsiTheme="minorEastAsia" w:cs="Times New Roman"/>
          <w:sz w:val="24"/>
          <w:szCs w:val="24"/>
        </w:rPr>
      </w:pPr>
      <w:r>
        <w:rPr>
          <w:rFonts w:asciiTheme="minorEastAsia" w:hAnsiTheme="minorEastAsia" w:cs="Times New Roman"/>
          <w:sz w:val="24"/>
          <w:szCs w:val="24"/>
        </w:rPr>
        <w:br w:type="page"/>
      </w:r>
    </w:p>
    <w:p w14:paraId="6E825092" w14:textId="77777777" w:rsidR="003E4D36" w:rsidRDefault="00E729B5">
      <w:pPr>
        <w:pStyle w:val="1"/>
        <w:jc w:val="center"/>
        <w:rPr>
          <w:sz w:val="30"/>
          <w:szCs w:val="30"/>
        </w:rPr>
      </w:pPr>
      <w:bookmarkStart w:id="392" w:name="_Toc523243835"/>
      <w:bookmarkStart w:id="393" w:name="_Toc12357176"/>
      <w:bookmarkStart w:id="394" w:name="_Toc147463123"/>
      <w:bookmarkStart w:id="395" w:name="_Toc263092328"/>
      <w:bookmarkStart w:id="396" w:name="_Toc21073396"/>
      <w:bookmarkStart w:id="397" w:name="_Toc416264555"/>
      <w:bookmarkStart w:id="398" w:name="_Toc214873621"/>
      <w:bookmarkStart w:id="399" w:name="_Toc21983"/>
      <w:bookmarkStart w:id="400" w:name="_Toc98560366"/>
      <w:bookmarkStart w:id="401" w:name="_Toc123051467"/>
      <w:bookmarkStart w:id="402" w:name="_Toc123102468"/>
      <w:bookmarkStart w:id="403" w:name="_Toc24923"/>
      <w:bookmarkStart w:id="404" w:name="_Toc23999"/>
      <w:bookmarkStart w:id="405" w:name="_Toc30350"/>
      <w:bookmarkStart w:id="406" w:name="_Toc352229767"/>
      <w:bookmarkStart w:id="407" w:name="_Toc6110"/>
      <w:bookmarkStart w:id="408" w:name="_Toc1790"/>
      <w:bookmarkStart w:id="409" w:name="_Toc6202"/>
      <w:bookmarkStart w:id="410" w:name="_Toc141703902"/>
      <w:bookmarkStart w:id="411" w:name="_Toc139991751"/>
      <w:bookmarkStart w:id="412" w:name="_Toc25651"/>
      <w:bookmarkStart w:id="413" w:name="_Toc7288"/>
      <w:bookmarkStart w:id="414" w:name="_Toc3319"/>
      <w:bookmarkStart w:id="415" w:name="_Toc123112249"/>
      <w:bookmarkStart w:id="416" w:name="_Toc8636"/>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r>
        <w:rPr>
          <w:rFonts w:hint="eastAsia"/>
          <w:sz w:val="30"/>
          <w:szCs w:val="30"/>
        </w:rPr>
        <w:lastRenderedPageBreak/>
        <w:t>第二十部分</w:t>
      </w:r>
      <w:r>
        <w:rPr>
          <w:sz w:val="30"/>
          <w:szCs w:val="30"/>
        </w:rPr>
        <w:t xml:space="preserve">  </w:t>
      </w:r>
      <w:r>
        <w:rPr>
          <w:rFonts w:hint="eastAsia"/>
          <w:sz w:val="30"/>
          <w:szCs w:val="30"/>
        </w:rPr>
        <w:t>对基金份额持有人的服务</w:t>
      </w:r>
      <w:bookmarkEnd w:id="392"/>
    </w:p>
    <w:p w14:paraId="1859E841"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4C2FB8CA"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（一）电话人工咨询服务</w:t>
      </w:r>
    </w:p>
    <w:p w14:paraId="5DD0F98B"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3502335F"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客服热线：4006855600</w:t>
      </w:r>
    </w:p>
    <w:p w14:paraId="3079903D"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（二）自助查询服务</w:t>
      </w:r>
    </w:p>
    <w:p w14:paraId="429F4E00"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748027AB"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基金管理人网址：www.furamc.com.cn</w:t>
      </w:r>
    </w:p>
    <w:p w14:paraId="737ECADF"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（三）邮件咨询服务</w:t>
      </w:r>
    </w:p>
    <w:p w14:paraId="6239C1AC"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5CC7DCA4"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客服邮箱：service@furamc.com.cn</w:t>
      </w:r>
    </w:p>
    <w:p w14:paraId="7A6874C3"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（四）免费信息订阅服务</w:t>
      </w:r>
    </w:p>
    <w:p w14:paraId="14546058"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E-MAIL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0400BB0E"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（五）资料邮寄服务</w:t>
      </w:r>
    </w:p>
    <w:p w14:paraId="2B14CC92"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基金管理人可免费为基金投资人提供基金持有证明和交易对账单邮寄服务。投资者可根据需要，通过基金管理人网站或客服热线定制、修改或取消该服务。</w:t>
      </w:r>
    </w:p>
    <w:p w14:paraId="57F8D7A0"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（六）客户投诉受理服务</w:t>
      </w:r>
    </w:p>
    <w:p w14:paraId="0075061F"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投资人可以通过客服热线、书信、电子邮件等渠道，对基金管理人和销售机</w:t>
      </w:r>
      <w:r>
        <w:rPr>
          <w:rFonts w:asciiTheme="minorEastAsia" w:hAnsiTheme="minorEastAsia" w:cs="Arial" w:hint="eastAsia"/>
          <w:sz w:val="24"/>
          <w:szCs w:val="24"/>
        </w:rPr>
        <w:lastRenderedPageBreak/>
        <w:t>构所提供的服务进行投诉。</w:t>
      </w:r>
    </w:p>
    <w:p w14:paraId="24788371"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对于工作日期间受理的投诉，以“及时回复”为处理原则，对于不能及时回复的投诉，基金管理人承诺在 3 个工作日之内对基金投资人的投诉做出回复。对于非工作日提出的投诉，基金管理人将在顺延到下 1 个工作日进行回复。</w:t>
      </w:r>
    </w:p>
    <w:p w14:paraId="3E575806"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基金管理人客户服务部地址：深圳市福田区深南大道2012号深圳证券交易所广场3501，富荣基金管理有限公司客户服务部（收）</w:t>
      </w:r>
    </w:p>
    <w:p w14:paraId="37D8B895"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邮编：518038</w:t>
      </w:r>
    </w:p>
    <w:p w14:paraId="102DF88F" w14:textId="77777777" w:rsidR="003E4D36" w:rsidRDefault="00E729B5">
      <w:pPr>
        <w:spacing w:line="360" w:lineRule="auto"/>
        <w:ind w:firstLineChars="200" w:firstLine="480"/>
        <w:rPr>
          <w:rFonts w:asciiTheme="minorEastAsia" w:hAnsiTheme="minorEastAsia"/>
          <w:sz w:val="24"/>
          <w:szCs w:val="24"/>
        </w:rPr>
        <w:sectPr w:rsidR="003E4D36">
          <w:footerReference w:type="default" r:id="rId17"/>
          <w:pgSz w:w="11906" w:h="16838"/>
          <w:pgMar w:top="1440" w:right="1800" w:bottom="1440" w:left="1800" w:header="851" w:footer="992" w:gutter="0"/>
          <w:pgNumType w:start="1" w:chapStyle="1"/>
          <w:cols w:space="720"/>
          <w:docGrid w:type="lines" w:linePitch="312"/>
        </w:sectPr>
      </w:pPr>
      <w:r>
        <w:rPr>
          <w:rFonts w:asciiTheme="minorEastAsia" w:hAnsiTheme="minorEastAsia" w:cs="Arial" w:hint="eastAsia"/>
          <w:sz w:val="24"/>
          <w:szCs w:val="24"/>
        </w:rPr>
        <w:t>（七）如本招募说明书存在任何您/贵机构无法理解的内容，请通过上述联系方式联系基金管理人。请确保投资前，您/贵机构已经全面理解了本招募说明书</w:t>
      </w:r>
      <w:r>
        <w:rPr>
          <w:rFonts w:asciiTheme="minorEastAsia" w:hAnsiTheme="minorEastAsia" w:cs="Arial"/>
          <w:sz w:val="24"/>
          <w:szCs w:val="24"/>
        </w:rPr>
        <w:t>。</w:t>
      </w:r>
    </w:p>
    <w:p w14:paraId="4EA543EA" w14:textId="0F7B6FE0" w:rsidR="003E4D36" w:rsidRDefault="00B8731C">
      <w:pPr>
        <w:pStyle w:val="1"/>
        <w:jc w:val="center"/>
        <w:rPr>
          <w:sz w:val="30"/>
          <w:szCs w:val="30"/>
        </w:rPr>
      </w:pPr>
      <w:bookmarkStart w:id="417" w:name="_Toc523243836"/>
      <w:bookmarkStart w:id="418" w:name="_Toc214873622"/>
      <w:bookmarkStart w:id="419" w:name="_Toc416264556"/>
      <w:bookmarkStart w:id="420" w:name="_Toc530223198"/>
      <w:bookmarkStart w:id="421" w:name="_Toc263092329"/>
      <w:bookmarkEnd w:id="393"/>
      <w:bookmarkEnd w:id="394"/>
      <w:bookmarkEnd w:id="395"/>
      <w:bookmarkEnd w:id="396"/>
      <w:bookmarkEnd w:id="397"/>
      <w:bookmarkEnd w:id="398"/>
      <w:r>
        <w:rPr>
          <w:rFonts w:hint="eastAsia"/>
          <w:sz w:val="30"/>
          <w:szCs w:val="30"/>
        </w:rPr>
        <w:lastRenderedPageBreak/>
        <w:t xml:space="preserve"> </w:t>
      </w:r>
      <w:r w:rsidR="00E729B5">
        <w:rPr>
          <w:rFonts w:hint="eastAsia"/>
          <w:sz w:val="30"/>
          <w:szCs w:val="30"/>
        </w:rPr>
        <w:t>第</w:t>
      </w:r>
      <w:r w:rsidR="00E729B5">
        <w:rPr>
          <w:sz w:val="30"/>
          <w:szCs w:val="30"/>
        </w:rPr>
        <w:t>二十一部分</w:t>
      </w:r>
      <w:r w:rsidR="00E729B5">
        <w:rPr>
          <w:rFonts w:hint="eastAsia"/>
          <w:sz w:val="30"/>
          <w:szCs w:val="30"/>
        </w:rPr>
        <w:t xml:space="preserve"> </w:t>
      </w:r>
      <w:r w:rsidR="00E729B5">
        <w:rPr>
          <w:sz w:val="30"/>
          <w:szCs w:val="30"/>
        </w:rPr>
        <w:t xml:space="preserve"> </w:t>
      </w:r>
      <w:r w:rsidR="00E729B5">
        <w:rPr>
          <w:rFonts w:hint="eastAsia"/>
          <w:sz w:val="30"/>
          <w:szCs w:val="30"/>
        </w:rPr>
        <w:t>其他</w:t>
      </w:r>
      <w:r w:rsidR="00E729B5">
        <w:rPr>
          <w:sz w:val="30"/>
          <w:szCs w:val="30"/>
        </w:rPr>
        <w:t>应披露事项</w:t>
      </w:r>
      <w:bookmarkEnd w:id="417"/>
    </w:p>
    <w:tbl>
      <w:tblPr>
        <w:tblW w:w="83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75"/>
        <w:gridCol w:w="5850"/>
        <w:gridCol w:w="1829"/>
      </w:tblGrid>
      <w:tr w:rsidR="003E4D36" w14:paraId="0B68D359" w14:textId="77777777">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352B4A2A" w14:textId="77777777" w:rsidR="003E4D36" w:rsidRDefault="00E729B5">
            <w:pPr>
              <w:jc w:val="center"/>
              <w:rPr>
                <w:rFonts w:ascii="宋体" w:eastAsia="宋体" w:hAnsi="宋体"/>
                <w:sz w:val="24"/>
                <w:szCs w:val="24"/>
              </w:rPr>
            </w:pPr>
            <w:r>
              <w:rPr>
                <w:rFonts w:ascii="宋体" w:eastAsia="宋体" w:hAnsi="宋体" w:hint="eastAsia"/>
                <w:sz w:val="24"/>
                <w:szCs w:val="24"/>
              </w:rPr>
              <w:t>序号</w:t>
            </w:r>
          </w:p>
        </w:tc>
        <w:tc>
          <w:tcPr>
            <w:tcW w:w="5850" w:type="dxa"/>
            <w:tcBorders>
              <w:top w:val="single" w:sz="4" w:space="0" w:color="auto"/>
              <w:left w:val="single" w:sz="4" w:space="0" w:color="auto"/>
              <w:bottom w:val="single" w:sz="4" w:space="0" w:color="auto"/>
              <w:right w:val="single" w:sz="4" w:space="0" w:color="auto"/>
            </w:tcBorders>
            <w:shd w:val="clear" w:color="auto" w:fill="auto"/>
          </w:tcPr>
          <w:p w14:paraId="58C90526" w14:textId="77777777" w:rsidR="003E4D36" w:rsidRDefault="00E729B5">
            <w:pPr>
              <w:jc w:val="center"/>
              <w:rPr>
                <w:rFonts w:ascii="宋体" w:eastAsia="宋体" w:hAnsi="宋体"/>
                <w:sz w:val="24"/>
                <w:szCs w:val="24"/>
              </w:rPr>
            </w:pPr>
            <w:r>
              <w:rPr>
                <w:rFonts w:ascii="宋体" w:eastAsia="宋体" w:hAnsi="宋体" w:hint="eastAsia"/>
                <w:sz w:val="24"/>
                <w:szCs w:val="24"/>
              </w:rPr>
              <w:t>公告事项</w:t>
            </w:r>
          </w:p>
        </w:tc>
        <w:tc>
          <w:tcPr>
            <w:tcW w:w="1829" w:type="dxa"/>
            <w:tcBorders>
              <w:top w:val="single" w:sz="4" w:space="0" w:color="auto"/>
              <w:left w:val="single" w:sz="4" w:space="0" w:color="auto"/>
              <w:bottom w:val="single" w:sz="4" w:space="0" w:color="auto"/>
              <w:right w:val="single" w:sz="4" w:space="0" w:color="auto"/>
            </w:tcBorders>
            <w:shd w:val="clear" w:color="auto" w:fill="auto"/>
          </w:tcPr>
          <w:p w14:paraId="32D75F1E" w14:textId="77777777" w:rsidR="003E4D36" w:rsidRDefault="00E729B5">
            <w:pPr>
              <w:jc w:val="center"/>
              <w:rPr>
                <w:rFonts w:ascii="宋体" w:eastAsia="宋体" w:hAnsi="宋体"/>
                <w:sz w:val="24"/>
                <w:szCs w:val="24"/>
              </w:rPr>
            </w:pPr>
            <w:r>
              <w:rPr>
                <w:rFonts w:ascii="宋体" w:eastAsia="宋体" w:hAnsi="宋体" w:hint="eastAsia"/>
                <w:sz w:val="24"/>
                <w:szCs w:val="24"/>
              </w:rPr>
              <w:t>披露日期</w:t>
            </w:r>
          </w:p>
        </w:tc>
      </w:tr>
      <w:tr w:rsidR="00DD7E43" w14:paraId="491A85AC" w14:textId="77777777" w:rsidTr="00E11C09">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4F80C1D1" w14:textId="77777777" w:rsidR="00DD7E43" w:rsidRPr="00C1630A" w:rsidRDefault="00DD7E43" w:rsidP="00DD7E43">
            <w:pPr>
              <w:jc w:val="center"/>
              <w:rPr>
                <w:rFonts w:ascii="宋体" w:eastAsia="宋体" w:hAnsi="宋体"/>
                <w:sz w:val="24"/>
                <w:szCs w:val="24"/>
              </w:rPr>
            </w:pPr>
            <w:r w:rsidRPr="00C1630A">
              <w:rPr>
                <w:rFonts w:ascii="宋体" w:eastAsia="宋体" w:hAnsi="宋体" w:hint="eastAsia"/>
                <w:sz w:val="24"/>
                <w:szCs w:val="24"/>
              </w:rPr>
              <w:t>1</w:t>
            </w:r>
          </w:p>
        </w:tc>
        <w:tc>
          <w:tcPr>
            <w:tcW w:w="5850" w:type="dxa"/>
            <w:tcBorders>
              <w:top w:val="single" w:sz="4" w:space="0" w:color="auto"/>
              <w:left w:val="single" w:sz="4" w:space="0" w:color="auto"/>
              <w:bottom w:val="single" w:sz="4" w:space="0" w:color="auto"/>
              <w:right w:val="single" w:sz="4" w:space="0" w:color="auto"/>
            </w:tcBorders>
            <w:shd w:val="clear" w:color="auto" w:fill="auto"/>
            <w:vAlign w:val="center"/>
          </w:tcPr>
          <w:p w14:paraId="19984984" w14:textId="499877DF"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富荣基金管理有限公司关于旗下部分基金参加北京蛋卷基金销售有限公司基金转换费率优惠活动的公告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bottom"/>
          </w:tcPr>
          <w:p w14:paraId="02491796" w14:textId="707F0EB3" w:rsidR="00DD7E43" w:rsidRPr="00C1630A" w:rsidRDefault="00DD7E43" w:rsidP="00DD7E43">
            <w:pPr>
              <w:jc w:val="center"/>
              <w:rPr>
                <w:rFonts w:ascii="宋体" w:eastAsia="宋体" w:hAnsi="宋体"/>
                <w:sz w:val="24"/>
                <w:szCs w:val="24"/>
              </w:rPr>
            </w:pPr>
            <w:r>
              <w:rPr>
                <w:rFonts w:hint="eastAsia"/>
                <w:color w:val="000000"/>
                <w:sz w:val="22"/>
              </w:rPr>
              <w:t>2019</w:t>
            </w:r>
            <w:r>
              <w:rPr>
                <w:rFonts w:hint="eastAsia"/>
                <w:color w:val="000000"/>
                <w:sz w:val="22"/>
              </w:rPr>
              <w:t>年</w:t>
            </w:r>
            <w:r>
              <w:rPr>
                <w:rFonts w:hint="eastAsia"/>
                <w:color w:val="000000"/>
                <w:sz w:val="22"/>
              </w:rPr>
              <w:t>02</w:t>
            </w:r>
            <w:r>
              <w:rPr>
                <w:rFonts w:hint="eastAsia"/>
                <w:color w:val="000000"/>
                <w:sz w:val="22"/>
              </w:rPr>
              <w:t>月</w:t>
            </w:r>
            <w:r>
              <w:rPr>
                <w:rFonts w:hint="eastAsia"/>
                <w:color w:val="000000"/>
                <w:sz w:val="22"/>
              </w:rPr>
              <w:t>27</w:t>
            </w:r>
            <w:r>
              <w:rPr>
                <w:rFonts w:hint="eastAsia"/>
                <w:color w:val="000000"/>
                <w:sz w:val="22"/>
              </w:rPr>
              <w:t>日</w:t>
            </w:r>
          </w:p>
        </w:tc>
      </w:tr>
      <w:tr w:rsidR="00DD7E43" w14:paraId="71E5E15D" w14:textId="77777777" w:rsidTr="00E11C09">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1986E976" w14:textId="77777777" w:rsidR="00DD7E43" w:rsidRPr="00C1630A" w:rsidRDefault="00DD7E43" w:rsidP="00DD7E43">
            <w:pPr>
              <w:jc w:val="center"/>
              <w:rPr>
                <w:rFonts w:ascii="宋体" w:eastAsia="宋体" w:hAnsi="宋体"/>
                <w:sz w:val="24"/>
                <w:szCs w:val="24"/>
              </w:rPr>
            </w:pPr>
            <w:r w:rsidRPr="00C1630A">
              <w:rPr>
                <w:rFonts w:ascii="宋体" w:eastAsia="宋体" w:hAnsi="宋体" w:hint="eastAsia"/>
                <w:sz w:val="24"/>
                <w:szCs w:val="24"/>
              </w:rPr>
              <w:t>2</w:t>
            </w:r>
          </w:p>
        </w:tc>
        <w:tc>
          <w:tcPr>
            <w:tcW w:w="5850" w:type="dxa"/>
            <w:tcBorders>
              <w:top w:val="single" w:sz="4" w:space="0" w:color="auto"/>
              <w:left w:val="single" w:sz="4" w:space="0" w:color="auto"/>
              <w:bottom w:val="single" w:sz="4" w:space="0" w:color="auto"/>
              <w:right w:val="single" w:sz="4" w:space="0" w:color="auto"/>
            </w:tcBorders>
            <w:shd w:val="clear" w:color="auto" w:fill="auto"/>
            <w:vAlign w:val="center"/>
          </w:tcPr>
          <w:p w14:paraId="67B71367" w14:textId="5563EE79"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富荣基金管理有限公司关于旗下部分基金新增北京蛋卷基金销售有限公司为销售机构并开通基金定投转换业务的公告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bottom"/>
          </w:tcPr>
          <w:p w14:paraId="757057D1" w14:textId="3E14F69E" w:rsidR="00DD7E43" w:rsidRPr="00C1630A" w:rsidRDefault="00DD7E43" w:rsidP="00DD7E43">
            <w:pPr>
              <w:jc w:val="center"/>
              <w:rPr>
                <w:rFonts w:ascii="宋体" w:eastAsia="宋体" w:hAnsi="宋体"/>
                <w:sz w:val="24"/>
                <w:szCs w:val="24"/>
              </w:rPr>
            </w:pPr>
            <w:r>
              <w:rPr>
                <w:rFonts w:hint="eastAsia"/>
                <w:color w:val="000000"/>
                <w:sz w:val="22"/>
              </w:rPr>
              <w:t>2019</w:t>
            </w:r>
            <w:r>
              <w:rPr>
                <w:rFonts w:hint="eastAsia"/>
                <w:color w:val="000000"/>
                <w:sz w:val="22"/>
              </w:rPr>
              <w:t>年</w:t>
            </w:r>
            <w:r>
              <w:rPr>
                <w:rFonts w:hint="eastAsia"/>
                <w:color w:val="000000"/>
                <w:sz w:val="22"/>
              </w:rPr>
              <w:t>02</w:t>
            </w:r>
            <w:r>
              <w:rPr>
                <w:rFonts w:hint="eastAsia"/>
                <w:color w:val="000000"/>
                <w:sz w:val="22"/>
              </w:rPr>
              <w:t>月</w:t>
            </w:r>
            <w:r>
              <w:rPr>
                <w:rFonts w:hint="eastAsia"/>
                <w:color w:val="000000"/>
                <w:sz w:val="22"/>
              </w:rPr>
              <w:t>27</w:t>
            </w:r>
            <w:r>
              <w:rPr>
                <w:rFonts w:hint="eastAsia"/>
                <w:color w:val="000000"/>
                <w:sz w:val="22"/>
              </w:rPr>
              <w:t>日</w:t>
            </w:r>
          </w:p>
        </w:tc>
      </w:tr>
      <w:tr w:rsidR="00DD7E43" w14:paraId="60A76EED" w14:textId="77777777" w:rsidTr="00E11C09">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1B03911E" w14:textId="77777777" w:rsidR="00DD7E43" w:rsidRPr="00C1630A" w:rsidRDefault="00DD7E43" w:rsidP="00DD7E43">
            <w:pPr>
              <w:jc w:val="center"/>
              <w:rPr>
                <w:rFonts w:ascii="宋体" w:eastAsia="宋体" w:hAnsi="宋体"/>
                <w:sz w:val="24"/>
                <w:szCs w:val="24"/>
              </w:rPr>
            </w:pPr>
            <w:r>
              <w:rPr>
                <w:rFonts w:ascii="宋体" w:eastAsia="宋体" w:hAnsi="宋体" w:hint="eastAsia"/>
                <w:sz w:val="24"/>
                <w:szCs w:val="24"/>
              </w:rPr>
              <w:t>3</w:t>
            </w:r>
          </w:p>
        </w:tc>
        <w:tc>
          <w:tcPr>
            <w:tcW w:w="5850" w:type="dxa"/>
            <w:tcBorders>
              <w:top w:val="single" w:sz="4" w:space="0" w:color="auto"/>
              <w:left w:val="single" w:sz="4" w:space="0" w:color="auto"/>
              <w:bottom w:val="single" w:sz="4" w:space="0" w:color="auto"/>
              <w:right w:val="single" w:sz="4" w:space="0" w:color="auto"/>
            </w:tcBorders>
            <w:shd w:val="clear" w:color="auto" w:fill="auto"/>
            <w:vAlign w:val="center"/>
          </w:tcPr>
          <w:p w14:paraId="05E22911" w14:textId="07BB3C8D"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富荣基金管理有限公司关于旗下部分基金参加北京蛋卷基金销售有限公司基金申购及定期定额投资申购费率优惠活动的公告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bottom"/>
          </w:tcPr>
          <w:p w14:paraId="504E2327" w14:textId="41B2DCDF" w:rsidR="00DD7E43" w:rsidRPr="00C1630A" w:rsidRDefault="00DD7E43" w:rsidP="00DD7E43">
            <w:pPr>
              <w:jc w:val="center"/>
              <w:rPr>
                <w:rFonts w:ascii="宋体" w:eastAsia="宋体" w:hAnsi="宋体"/>
                <w:sz w:val="24"/>
                <w:szCs w:val="24"/>
              </w:rPr>
            </w:pPr>
            <w:r>
              <w:rPr>
                <w:rFonts w:hint="eastAsia"/>
                <w:color w:val="000000"/>
                <w:sz w:val="22"/>
              </w:rPr>
              <w:t>2019</w:t>
            </w:r>
            <w:r>
              <w:rPr>
                <w:rFonts w:hint="eastAsia"/>
                <w:color w:val="000000"/>
                <w:sz w:val="22"/>
              </w:rPr>
              <w:t>年</w:t>
            </w:r>
            <w:r>
              <w:rPr>
                <w:rFonts w:hint="eastAsia"/>
                <w:color w:val="000000"/>
                <w:sz w:val="22"/>
              </w:rPr>
              <w:t>02</w:t>
            </w:r>
            <w:r>
              <w:rPr>
                <w:rFonts w:hint="eastAsia"/>
                <w:color w:val="000000"/>
                <w:sz w:val="22"/>
              </w:rPr>
              <w:t>月</w:t>
            </w:r>
            <w:r>
              <w:rPr>
                <w:rFonts w:hint="eastAsia"/>
                <w:color w:val="000000"/>
                <w:sz w:val="22"/>
              </w:rPr>
              <w:t>27</w:t>
            </w:r>
            <w:r>
              <w:rPr>
                <w:rFonts w:hint="eastAsia"/>
                <w:color w:val="000000"/>
                <w:sz w:val="22"/>
              </w:rPr>
              <w:t>日</w:t>
            </w:r>
          </w:p>
        </w:tc>
      </w:tr>
      <w:tr w:rsidR="00DD7E43" w14:paraId="41234D7B" w14:textId="77777777" w:rsidTr="00E11C09">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1257592F" w14:textId="77777777" w:rsidR="00DD7E43" w:rsidRPr="00C1630A" w:rsidRDefault="00DD7E43" w:rsidP="00DD7E43">
            <w:pPr>
              <w:jc w:val="center"/>
              <w:rPr>
                <w:rFonts w:ascii="宋体" w:eastAsia="宋体" w:hAnsi="宋体"/>
                <w:sz w:val="24"/>
                <w:szCs w:val="24"/>
              </w:rPr>
            </w:pPr>
            <w:r>
              <w:rPr>
                <w:rFonts w:ascii="宋体" w:eastAsia="宋体" w:hAnsi="宋体" w:hint="eastAsia"/>
                <w:sz w:val="24"/>
                <w:szCs w:val="24"/>
              </w:rPr>
              <w:t>4</w:t>
            </w:r>
          </w:p>
        </w:tc>
        <w:tc>
          <w:tcPr>
            <w:tcW w:w="5850" w:type="dxa"/>
            <w:tcBorders>
              <w:top w:val="single" w:sz="4" w:space="0" w:color="auto"/>
              <w:left w:val="single" w:sz="4" w:space="0" w:color="auto"/>
              <w:bottom w:val="single" w:sz="4" w:space="0" w:color="auto"/>
              <w:right w:val="single" w:sz="4" w:space="0" w:color="auto"/>
            </w:tcBorders>
            <w:shd w:val="clear" w:color="auto" w:fill="auto"/>
            <w:vAlign w:val="center"/>
          </w:tcPr>
          <w:p w14:paraId="3C0526CF" w14:textId="05D04097"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富荣基金管理有限公司关于旗下部分基金参加北京恒天明泽基金销售有限公司基金申购及定期定额投资申购费率优惠活动的公告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bottom"/>
          </w:tcPr>
          <w:p w14:paraId="2CAE98A9" w14:textId="75208DF8"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02</w:t>
            </w:r>
            <w:r>
              <w:rPr>
                <w:rFonts w:hint="eastAsia"/>
                <w:color w:val="000000"/>
                <w:sz w:val="22"/>
              </w:rPr>
              <w:t>月</w:t>
            </w:r>
            <w:r>
              <w:rPr>
                <w:rFonts w:hint="eastAsia"/>
                <w:color w:val="000000"/>
                <w:sz w:val="22"/>
              </w:rPr>
              <w:t>28</w:t>
            </w:r>
            <w:r>
              <w:rPr>
                <w:rFonts w:hint="eastAsia"/>
                <w:color w:val="000000"/>
                <w:sz w:val="22"/>
              </w:rPr>
              <w:t>日</w:t>
            </w:r>
          </w:p>
        </w:tc>
      </w:tr>
      <w:tr w:rsidR="00DD7E43" w14:paraId="11125C96" w14:textId="77777777" w:rsidTr="00E11C09">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02604978" w14:textId="77777777" w:rsidR="00DD7E43" w:rsidRPr="00C1630A" w:rsidRDefault="00DD7E43" w:rsidP="00DD7E43">
            <w:pPr>
              <w:jc w:val="center"/>
              <w:rPr>
                <w:rFonts w:ascii="宋体" w:eastAsia="宋体" w:hAnsi="宋体"/>
                <w:sz w:val="24"/>
                <w:szCs w:val="24"/>
              </w:rPr>
            </w:pPr>
            <w:r>
              <w:rPr>
                <w:rFonts w:ascii="宋体" w:eastAsia="宋体" w:hAnsi="宋体" w:hint="eastAsia"/>
                <w:sz w:val="24"/>
                <w:szCs w:val="24"/>
              </w:rPr>
              <w:t>5</w:t>
            </w:r>
          </w:p>
        </w:tc>
        <w:tc>
          <w:tcPr>
            <w:tcW w:w="5850" w:type="dxa"/>
            <w:tcBorders>
              <w:top w:val="single" w:sz="4" w:space="0" w:color="auto"/>
              <w:left w:val="single" w:sz="4" w:space="0" w:color="auto"/>
              <w:bottom w:val="single" w:sz="4" w:space="0" w:color="auto"/>
              <w:right w:val="single" w:sz="4" w:space="0" w:color="auto"/>
            </w:tcBorders>
            <w:shd w:val="clear" w:color="auto" w:fill="auto"/>
            <w:vAlign w:val="center"/>
          </w:tcPr>
          <w:p w14:paraId="6DE9C57F" w14:textId="1D2FEF39"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富荣基金管理有限公司关于旗下部分基金新增北京恒天明泽基金销售有限公司为销售机构并开通基金定投转换业务的公告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bottom"/>
          </w:tcPr>
          <w:p w14:paraId="3C4A7FB7" w14:textId="66A2D58A"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02</w:t>
            </w:r>
            <w:r>
              <w:rPr>
                <w:rFonts w:hint="eastAsia"/>
                <w:color w:val="000000"/>
                <w:sz w:val="22"/>
              </w:rPr>
              <w:t>月</w:t>
            </w:r>
            <w:r>
              <w:rPr>
                <w:rFonts w:hint="eastAsia"/>
                <w:color w:val="000000"/>
                <w:sz w:val="22"/>
              </w:rPr>
              <w:t>28</w:t>
            </w:r>
            <w:r>
              <w:rPr>
                <w:rFonts w:hint="eastAsia"/>
                <w:color w:val="000000"/>
                <w:sz w:val="22"/>
              </w:rPr>
              <w:t>日</w:t>
            </w:r>
          </w:p>
        </w:tc>
      </w:tr>
      <w:tr w:rsidR="00DD7E43" w14:paraId="152D43EB" w14:textId="77777777" w:rsidTr="00E11C09">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08769673" w14:textId="77777777" w:rsidR="00DD7E43" w:rsidRPr="00C1630A" w:rsidRDefault="00DD7E43" w:rsidP="00DD7E43">
            <w:pPr>
              <w:jc w:val="center"/>
              <w:rPr>
                <w:rFonts w:ascii="宋体" w:eastAsia="宋体" w:hAnsi="宋体"/>
                <w:sz w:val="24"/>
                <w:szCs w:val="24"/>
              </w:rPr>
            </w:pPr>
            <w:r>
              <w:rPr>
                <w:rFonts w:ascii="宋体" w:eastAsia="宋体" w:hAnsi="宋体" w:hint="eastAsia"/>
                <w:sz w:val="24"/>
                <w:szCs w:val="24"/>
              </w:rPr>
              <w:t>6</w:t>
            </w:r>
          </w:p>
        </w:tc>
        <w:tc>
          <w:tcPr>
            <w:tcW w:w="5850" w:type="dxa"/>
            <w:tcBorders>
              <w:top w:val="single" w:sz="4" w:space="0" w:color="auto"/>
              <w:left w:val="single" w:sz="4" w:space="0" w:color="auto"/>
              <w:bottom w:val="single" w:sz="4" w:space="0" w:color="auto"/>
              <w:right w:val="single" w:sz="4" w:space="0" w:color="auto"/>
            </w:tcBorders>
            <w:shd w:val="clear" w:color="auto" w:fill="auto"/>
            <w:vAlign w:val="center"/>
          </w:tcPr>
          <w:p w14:paraId="487676D8" w14:textId="0FE6F99C"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富荣基金管理有限公司关于旗下基金所持停牌股票长春高新估值调整的公告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bottom"/>
          </w:tcPr>
          <w:p w14:paraId="03BA17BC" w14:textId="0805BADB"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03</w:t>
            </w:r>
            <w:r>
              <w:rPr>
                <w:rFonts w:hint="eastAsia"/>
                <w:color w:val="000000"/>
                <w:sz w:val="22"/>
              </w:rPr>
              <w:t>月</w:t>
            </w:r>
            <w:r>
              <w:rPr>
                <w:rFonts w:hint="eastAsia"/>
                <w:color w:val="000000"/>
                <w:sz w:val="22"/>
              </w:rPr>
              <w:t>05</w:t>
            </w:r>
            <w:r>
              <w:rPr>
                <w:rFonts w:hint="eastAsia"/>
                <w:color w:val="000000"/>
                <w:sz w:val="22"/>
              </w:rPr>
              <w:t>日</w:t>
            </w:r>
          </w:p>
        </w:tc>
      </w:tr>
      <w:tr w:rsidR="00DD7E43" w14:paraId="114D975E" w14:textId="77777777" w:rsidTr="00E11C09">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04933FD4" w14:textId="77777777" w:rsidR="00DD7E43" w:rsidRPr="00C1630A" w:rsidRDefault="00DD7E43" w:rsidP="00DD7E43">
            <w:pPr>
              <w:jc w:val="center"/>
              <w:rPr>
                <w:rFonts w:ascii="宋体" w:eastAsia="宋体" w:hAnsi="宋体"/>
                <w:sz w:val="24"/>
                <w:szCs w:val="24"/>
              </w:rPr>
            </w:pPr>
            <w:r>
              <w:rPr>
                <w:rFonts w:ascii="宋体" w:eastAsia="宋体" w:hAnsi="宋体" w:hint="eastAsia"/>
                <w:sz w:val="24"/>
                <w:szCs w:val="24"/>
              </w:rPr>
              <w:t>7</w:t>
            </w:r>
          </w:p>
        </w:tc>
        <w:tc>
          <w:tcPr>
            <w:tcW w:w="5850" w:type="dxa"/>
            <w:tcBorders>
              <w:top w:val="single" w:sz="4" w:space="0" w:color="auto"/>
              <w:left w:val="single" w:sz="4" w:space="0" w:color="auto"/>
              <w:bottom w:val="single" w:sz="4" w:space="0" w:color="auto"/>
              <w:right w:val="single" w:sz="4" w:space="0" w:color="auto"/>
            </w:tcBorders>
            <w:shd w:val="clear" w:color="auto" w:fill="auto"/>
            <w:vAlign w:val="center"/>
          </w:tcPr>
          <w:p w14:paraId="200456FF" w14:textId="5EDE15C2"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富荣福鑫灵活配置混合型证券投资基金更新的招募说明书</w:t>
            </w:r>
            <w:r>
              <w:rPr>
                <w:rFonts w:hint="eastAsia"/>
                <w:color w:val="000000"/>
                <w:sz w:val="22"/>
              </w:rPr>
              <w:t>(2019</w:t>
            </w:r>
            <w:r>
              <w:rPr>
                <w:rFonts w:hint="eastAsia"/>
                <w:color w:val="000000"/>
                <w:sz w:val="22"/>
              </w:rPr>
              <w:t>年第</w:t>
            </w:r>
            <w:r>
              <w:rPr>
                <w:rFonts w:hint="eastAsia"/>
                <w:color w:val="000000"/>
                <w:sz w:val="22"/>
              </w:rPr>
              <w:t>1</w:t>
            </w:r>
            <w:r>
              <w:rPr>
                <w:rFonts w:hint="eastAsia"/>
                <w:color w:val="000000"/>
                <w:sz w:val="22"/>
              </w:rPr>
              <w:t>号</w:t>
            </w:r>
            <w:r>
              <w:rPr>
                <w:rFonts w:hint="eastAsia"/>
                <w:color w:val="000000"/>
                <w:sz w:val="22"/>
              </w:rPr>
              <w:t>)</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bottom"/>
          </w:tcPr>
          <w:p w14:paraId="618A4A34" w14:textId="5986D57F"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03</w:t>
            </w:r>
            <w:r>
              <w:rPr>
                <w:rFonts w:hint="eastAsia"/>
                <w:color w:val="000000"/>
                <w:sz w:val="22"/>
              </w:rPr>
              <w:t>月</w:t>
            </w:r>
            <w:r>
              <w:rPr>
                <w:rFonts w:hint="eastAsia"/>
                <w:color w:val="000000"/>
                <w:sz w:val="22"/>
              </w:rPr>
              <w:t>13</w:t>
            </w:r>
            <w:r>
              <w:rPr>
                <w:rFonts w:hint="eastAsia"/>
                <w:color w:val="000000"/>
                <w:sz w:val="22"/>
              </w:rPr>
              <w:t>日</w:t>
            </w:r>
          </w:p>
        </w:tc>
      </w:tr>
      <w:tr w:rsidR="00DD7E43" w14:paraId="6E2F4E6E" w14:textId="77777777" w:rsidTr="00E11C09">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68B4A8E5" w14:textId="77777777" w:rsidR="00DD7E43" w:rsidRPr="00C1630A" w:rsidRDefault="00DD7E43" w:rsidP="00DD7E43">
            <w:pPr>
              <w:jc w:val="center"/>
              <w:rPr>
                <w:rFonts w:ascii="宋体" w:eastAsia="宋体" w:hAnsi="宋体"/>
                <w:sz w:val="24"/>
                <w:szCs w:val="24"/>
              </w:rPr>
            </w:pPr>
            <w:r>
              <w:rPr>
                <w:rFonts w:ascii="宋体" w:eastAsia="宋体" w:hAnsi="宋体" w:hint="eastAsia"/>
                <w:sz w:val="24"/>
                <w:szCs w:val="24"/>
              </w:rPr>
              <w:t>8</w:t>
            </w:r>
          </w:p>
        </w:tc>
        <w:tc>
          <w:tcPr>
            <w:tcW w:w="5850" w:type="dxa"/>
            <w:tcBorders>
              <w:top w:val="single" w:sz="4" w:space="0" w:color="auto"/>
              <w:left w:val="single" w:sz="4" w:space="0" w:color="auto"/>
              <w:bottom w:val="single" w:sz="4" w:space="0" w:color="auto"/>
              <w:right w:val="single" w:sz="4" w:space="0" w:color="auto"/>
            </w:tcBorders>
            <w:shd w:val="clear" w:color="auto" w:fill="auto"/>
            <w:vAlign w:val="center"/>
          </w:tcPr>
          <w:p w14:paraId="75C0386C" w14:textId="24B95C74"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富荣基金管理有限公司关于旗下部分基金新增深圳前海财厚基金销售有限公司为销售机构并开通基金定投转换业务的公告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bottom"/>
          </w:tcPr>
          <w:p w14:paraId="6A418244" w14:textId="47133761"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03</w:t>
            </w:r>
            <w:r>
              <w:rPr>
                <w:rFonts w:hint="eastAsia"/>
                <w:color w:val="000000"/>
                <w:sz w:val="22"/>
              </w:rPr>
              <w:t>月</w:t>
            </w:r>
            <w:r>
              <w:rPr>
                <w:rFonts w:hint="eastAsia"/>
                <w:color w:val="000000"/>
                <w:sz w:val="22"/>
              </w:rPr>
              <w:t>13</w:t>
            </w:r>
            <w:r>
              <w:rPr>
                <w:rFonts w:hint="eastAsia"/>
                <w:color w:val="000000"/>
                <w:sz w:val="22"/>
              </w:rPr>
              <w:t>日</w:t>
            </w:r>
          </w:p>
        </w:tc>
      </w:tr>
      <w:tr w:rsidR="00DD7E43" w14:paraId="3FDB11D1" w14:textId="77777777" w:rsidTr="00E11C09">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27E0C919" w14:textId="77777777" w:rsidR="00DD7E43" w:rsidRPr="00C1630A" w:rsidRDefault="00DD7E43" w:rsidP="00DD7E43">
            <w:pPr>
              <w:jc w:val="center"/>
              <w:rPr>
                <w:rFonts w:ascii="宋体" w:eastAsia="宋体" w:hAnsi="宋体"/>
                <w:sz w:val="24"/>
                <w:szCs w:val="24"/>
              </w:rPr>
            </w:pPr>
            <w:r>
              <w:rPr>
                <w:rFonts w:ascii="宋体" w:eastAsia="宋体" w:hAnsi="宋体" w:hint="eastAsia"/>
                <w:sz w:val="24"/>
                <w:szCs w:val="24"/>
              </w:rPr>
              <w:t>9</w:t>
            </w:r>
          </w:p>
        </w:tc>
        <w:tc>
          <w:tcPr>
            <w:tcW w:w="5850" w:type="dxa"/>
            <w:tcBorders>
              <w:top w:val="single" w:sz="4" w:space="0" w:color="auto"/>
              <w:left w:val="single" w:sz="4" w:space="0" w:color="auto"/>
              <w:bottom w:val="single" w:sz="4" w:space="0" w:color="auto"/>
              <w:right w:val="single" w:sz="4" w:space="0" w:color="auto"/>
            </w:tcBorders>
            <w:shd w:val="clear" w:color="auto" w:fill="auto"/>
            <w:vAlign w:val="center"/>
          </w:tcPr>
          <w:p w14:paraId="758F96BA" w14:textId="47405324"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富荣基金管理有限公司关于旗下部分基金参加深圳前海财厚基金销售有限公司基金申购及定期定额投资申购费率优惠活动的公告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bottom"/>
          </w:tcPr>
          <w:p w14:paraId="209644D3" w14:textId="04CE89B4"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03</w:t>
            </w:r>
            <w:r>
              <w:rPr>
                <w:rFonts w:hint="eastAsia"/>
                <w:color w:val="000000"/>
                <w:sz w:val="22"/>
              </w:rPr>
              <w:t>月</w:t>
            </w:r>
            <w:r>
              <w:rPr>
                <w:rFonts w:hint="eastAsia"/>
                <w:color w:val="000000"/>
                <w:sz w:val="22"/>
              </w:rPr>
              <w:t>13</w:t>
            </w:r>
            <w:r>
              <w:rPr>
                <w:rFonts w:hint="eastAsia"/>
                <w:color w:val="000000"/>
                <w:sz w:val="22"/>
              </w:rPr>
              <w:t>日</w:t>
            </w:r>
          </w:p>
        </w:tc>
      </w:tr>
      <w:tr w:rsidR="00DD7E43" w14:paraId="583ED434" w14:textId="77777777" w:rsidTr="00E11C09">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52475D7C" w14:textId="77777777" w:rsidR="00DD7E43" w:rsidRPr="00C1630A" w:rsidRDefault="00DD7E43" w:rsidP="00DD7E43">
            <w:pPr>
              <w:jc w:val="center"/>
              <w:rPr>
                <w:rFonts w:ascii="宋体" w:eastAsia="宋体" w:hAnsi="宋体"/>
                <w:sz w:val="24"/>
                <w:szCs w:val="24"/>
              </w:rPr>
            </w:pPr>
            <w:r>
              <w:rPr>
                <w:rFonts w:ascii="宋体" w:eastAsia="宋体" w:hAnsi="宋体" w:hint="eastAsia"/>
                <w:sz w:val="24"/>
                <w:szCs w:val="24"/>
              </w:rPr>
              <w:t>10</w:t>
            </w:r>
          </w:p>
        </w:tc>
        <w:tc>
          <w:tcPr>
            <w:tcW w:w="5850" w:type="dxa"/>
            <w:tcBorders>
              <w:top w:val="single" w:sz="4" w:space="0" w:color="auto"/>
              <w:left w:val="single" w:sz="4" w:space="0" w:color="auto"/>
              <w:bottom w:val="single" w:sz="4" w:space="0" w:color="auto"/>
              <w:right w:val="single" w:sz="4" w:space="0" w:color="auto"/>
            </w:tcBorders>
            <w:shd w:val="clear" w:color="auto" w:fill="auto"/>
            <w:vAlign w:val="center"/>
          </w:tcPr>
          <w:p w14:paraId="16DA40BB" w14:textId="0285668E"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富荣基金管理有限公司关于旗下部分基金参加深圳前海财厚基金销售有限公司基金转换费率优惠活动的公告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bottom"/>
          </w:tcPr>
          <w:p w14:paraId="4DF201E0" w14:textId="42FF3DCC"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03</w:t>
            </w:r>
            <w:r>
              <w:rPr>
                <w:rFonts w:hint="eastAsia"/>
                <w:color w:val="000000"/>
                <w:sz w:val="22"/>
              </w:rPr>
              <w:t>月</w:t>
            </w:r>
            <w:r>
              <w:rPr>
                <w:rFonts w:hint="eastAsia"/>
                <w:color w:val="000000"/>
                <w:sz w:val="22"/>
              </w:rPr>
              <w:t>13</w:t>
            </w:r>
            <w:r>
              <w:rPr>
                <w:rFonts w:hint="eastAsia"/>
                <w:color w:val="000000"/>
                <w:sz w:val="22"/>
              </w:rPr>
              <w:t>日</w:t>
            </w:r>
          </w:p>
        </w:tc>
      </w:tr>
      <w:tr w:rsidR="00DD7E43" w14:paraId="6515EED8" w14:textId="77777777" w:rsidTr="00E11C09">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7D5FA2F5" w14:textId="77777777" w:rsidR="00DD7E43" w:rsidRPr="00C1630A" w:rsidRDefault="00DD7E43" w:rsidP="00DD7E43">
            <w:pPr>
              <w:jc w:val="center"/>
              <w:rPr>
                <w:rFonts w:ascii="宋体" w:eastAsia="宋体" w:hAnsi="宋体"/>
                <w:sz w:val="24"/>
                <w:szCs w:val="24"/>
              </w:rPr>
            </w:pPr>
            <w:r>
              <w:rPr>
                <w:rFonts w:ascii="宋体" w:eastAsia="宋体" w:hAnsi="宋体" w:hint="eastAsia"/>
                <w:sz w:val="24"/>
                <w:szCs w:val="24"/>
              </w:rPr>
              <w:t>11</w:t>
            </w:r>
          </w:p>
        </w:tc>
        <w:tc>
          <w:tcPr>
            <w:tcW w:w="5850" w:type="dxa"/>
            <w:tcBorders>
              <w:top w:val="single" w:sz="4" w:space="0" w:color="auto"/>
              <w:left w:val="single" w:sz="4" w:space="0" w:color="auto"/>
              <w:bottom w:val="single" w:sz="4" w:space="0" w:color="auto"/>
              <w:right w:val="single" w:sz="4" w:space="0" w:color="auto"/>
            </w:tcBorders>
            <w:shd w:val="clear" w:color="auto" w:fill="auto"/>
            <w:vAlign w:val="center"/>
          </w:tcPr>
          <w:p w14:paraId="44D93D31" w14:textId="11C575C3"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富荣基金管理有限公司关于旗下部分基金新增上海基煜基金销售有限公司为销售机构并开通基金定投转换业务的公告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bottom"/>
          </w:tcPr>
          <w:p w14:paraId="5D0D5F82" w14:textId="0821FB60"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03</w:t>
            </w:r>
            <w:r>
              <w:rPr>
                <w:rFonts w:hint="eastAsia"/>
                <w:color w:val="000000"/>
                <w:sz w:val="22"/>
              </w:rPr>
              <w:t>月</w:t>
            </w:r>
            <w:r>
              <w:rPr>
                <w:rFonts w:hint="eastAsia"/>
                <w:color w:val="000000"/>
                <w:sz w:val="22"/>
              </w:rPr>
              <w:t>16</w:t>
            </w:r>
            <w:r>
              <w:rPr>
                <w:rFonts w:hint="eastAsia"/>
                <w:color w:val="000000"/>
                <w:sz w:val="22"/>
              </w:rPr>
              <w:t>日</w:t>
            </w:r>
          </w:p>
        </w:tc>
      </w:tr>
      <w:tr w:rsidR="00DD7E43" w14:paraId="72B84BC0" w14:textId="77777777" w:rsidTr="00E11C09">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1578AE89" w14:textId="77777777" w:rsidR="00DD7E43" w:rsidRPr="00C1630A" w:rsidRDefault="00DD7E43" w:rsidP="00DD7E43">
            <w:pPr>
              <w:jc w:val="center"/>
              <w:rPr>
                <w:rFonts w:ascii="宋体" w:eastAsia="宋体" w:hAnsi="宋体"/>
                <w:sz w:val="24"/>
                <w:szCs w:val="24"/>
              </w:rPr>
            </w:pPr>
            <w:r>
              <w:rPr>
                <w:rFonts w:ascii="宋体" w:eastAsia="宋体" w:hAnsi="宋体" w:hint="eastAsia"/>
                <w:sz w:val="24"/>
                <w:szCs w:val="24"/>
              </w:rPr>
              <w:t>12</w:t>
            </w:r>
          </w:p>
        </w:tc>
        <w:tc>
          <w:tcPr>
            <w:tcW w:w="5850" w:type="dxa"/>
            <w:tcBorders>
              <w:top w:val="single" w:sz="4" w:space="0" w:color="auto"/>
              <w:left w:val="single" w:sz="4" w:space="0" w:color="auto"/>
              <w:bottom w:val="single" w:sz="4" w:space="0" w:color="auto"/>
              <w:right w:val="single" w:sz="4" w:space="0" w:color="auto"/>
            </w:tcBorders>
            <w:shd w:val="clear" w:color="auto" w:fill="auto"/>
            <w:vAlign w:val="center"/>
          </w:tcPr>
          <w:p w14:paraId="51CC7DFB" w14:textId="1AB5395D"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富荣基金管理有限公司关于旗下部分基金参加上海基煜基金销售有限公司基金申购及定期定额投资申购费率优惠活动的公告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bottom"/>
          </w:tcPr>
          <w:p w14:paraId="2D09F993" w14:textId="62A9D552"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03</w:t>
            </w:r>
            <w:r>
              <w:rPr>
                <w:rFonts w:hint="eastAsia"/>
                <w:color w:val="000000"/>
                <w:sz w:val="22"/>
              </w:rPr>
              <w:t>月</w:t>
            </w:r>
            <w:r>
              <w:rPr>
                <w:rFonts w:hint="eastAsia"/>
                <w:color w:val="000000"/>
                <w:sz w:val="22"/>
              </w:rPr>
              <w:t>16</w:t>
            </w:r>
            <w:r>
              <w:rPr>
                <w:rFonts w:hint="eastAsia"/>
                <w:color w:val="000000"/>
                <w:sz w:val="22"/>
              </w:rPr>
              <w:t>日</w:t>
            </w:r>
          </w:p>
        </w:tc>
      </w:tr>
      <w:tr w:rsidR="00DD7E43" w14:paraId="66DCB56F" w14:textId="77777777" w:rsidTr="00E11C09">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233EEC4E" w14:textId="77777777" w:rsidR="00DD7E43" w:rsidRPr="00C1630A" w:rsidRDefault="00DD7E43" w:rsidP="00DD7E43">
            <w:pPr>
              <w:jc w:val="center"/>
              <w:rPr>
                <w:rFonts w:ascii="宋体" w:eastAsia="宋体" w:hAnsi="宋体"/>
                <w:sz w:val="24"/>
                <w:szCs w:val="24"/>
              </w:rPr>
            </w:pPr>
            <w:r>
              <w:rPr>
                <w:rFonts w:ascii="宋体" w:eastAsia="宋体" w:hAnsi="宋体" w:hint="eastAsia"/>
                <w:sz w:val="24"/>
                <w:szCs w:val="24"/>
              </w:rPr>
              <w:t>13</w:t>
            </w:r>
          </w:p>
        </w:tc>
        <w:tc>
          <w:tcPr>
            <w:tcW w:w="5850" w:type="dxa"/>
            <w:tcBorders>
              <w:top w:val="single" w:sz="4" w:space="0" w:color="auto"/>
              <w:left w:val="single" w:sz="4" w:space="0" w:color="auto"/>
              <w:bottom w:val="single" w:sz="4" w:space="0" w:color="auto"/>
              <w:right w:val="single" w:sz="4" w:space="0" w:color="auto"/>
            </w:tcBorders>
            <w:shd w:val="clear" w:color="auto" w:fill="auto"/>
            <w:vAlign w:val="center"/>
          </w:tcPr>
          <w:p w14:paraId="3FFC2103" w14:textId="28699BB5"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富荣基金管理有限公司关于旗下部分基金参加深圳盈信基金销售有限公司基金申购及定期定额投资申购费率优惠活动的公告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bottom"/>
          </w:tcPr>
          <w:p w14:paraId="468B3E2A" w14:textId="25CC4BBF"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03</w:t>
            </w:r>
            <w:r>
              <w:rPr>
                <w:rFonts w:hint="eastAsia"/>
                <w:color w:val="000000"/>
                <w:sz w:val="22"/>
              </w:rPr>
              <w:t>月</w:t>
            </w:r>
            <w:r>
              <w:rPr>
                <w:rFonts w:hint="eastAsia"/>
                <w:color w:val="000000"/>
                <w:sz w:val="22"/>
              </w:rPr>
              <w:t>20</w:t>
            </w:r>
            <w:r>
              <w:rPr>
                <w:rFonts w:hint="eastAsia"/>
                <w:color w:val="000000"/>
                <w:sz w:val="22"/>
              </w:rPr>
              <w:t>日</w:t>
            </w:r>
          </w:p>
        </w:tc>
      </w:tr>
      <w:tr w:rsidR="00DD7E43" w14:paraId="3DA72608" w14:textId="77777777" w:rsidTr="00E11C09">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3C295DE8" w14:textId="77777777" w:rsidR="00DD7E43" w:rsidRPr="00C1630A" w:rsidRDefault="00DD7E43" w:rsidP="00DD7E43">
            <w:pPr>
              <w:jc w:val="center"/>
              <w:rPr>
                <w:rFonts w:ascii="宋体" w:eastAsia="宋体" w:hAnsi="宋体"/>
                <w:sz w:val="24"/>
                <w:szCs w:val="24"/>
              </w:rPr>
            </w:pPr>
            <w:r>
              <w:rPr>
                <w:rFonts w:ascii="宋体" w:eastAsia="宋体" w:hAnsi="宋体" w:hint="eastAsia"/>
                <w:sz w:val="24"/>
                <w:szCs w:val="24"/>
              </w:rPr>
              <w:t>14</w:t>
            </w:r>
          </w:p>
        </w:tc>
        <w:tc>
          <w:tcPr>
            <w:tcW w:w="5850" w:type="dxa"/>
            <w:tcBorders>
              <w:top w:val="single" w:sz="4" w:space="0" w:color="auto"/>
              <w:left w:val="single" w:sz="4" w:space="0" w:color="auto"/>
              <w:bottom w:val="single" w:sz="4" w:space="0" w:color="auto"/>
              <w:right w:val="single" w:sz="4" w:space="0" w:color="auto"/>
            </w:tcBorders>
            <w:shd w:val="clear" w:color="auto" w:fill="auto"/>
            <w:vAlign w:val="center"/>
          </w:tcPr>
          <w:p w14:paraId="1A046D6B" w14:textId="2982A14D"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富荣基金管理有限公司关于旗下部分基金新增深圳盈信基金销售有限公司为销售机构并开通基金定投转换业务的公告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bottom"/>
          </w:tcPr>
          <w:p w14:paraId="36E65712" w14:textId="3E9A76A5"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03</w:t>
            </w:r>
            <w:r>
              <w:rPr>
                <w:rFonts w:hint="eastAsia"/>
                <w:color w:val="000000"/>
                <w:sz w:val="22"/>
              </w:rPr>
              <w:t>月</w:t>
            </w:r>
            <w:r>
              <w:rPr>
                <w:rFonts w:hint="eastAsia"/>
                <w:color w:val="000000"/>
                <w:sz w:val="22"/>
              </w:rPr>
              <w:t>20</w:t>
            </w:r>
            <w:r>
              <w:rPr>
                <w:rFonts w:hint="eastAsia"/>
                <w:color w:val="000000"/>
                <w:sz w:val="22"/>
              </w:rPr>
              <w:t>日</w:t>
            </w:r>
          </w:p>
        </w:tc>
      </w:tr>
      <w:tr w:rsidR="00DD7E43" w14:paraId="73F4573F" w14:textId="77777777" w:rsidTr="00E11C09">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506AC83D" w14:textId="77777777" w:rsidR="00DD7E43" w:rsidRPr="00C1630A" w:rsidRDefault="00DD7E43" w:rsidP="00DD7E43">
            <w:pPr>
              <w:jc w:val="center"/>
              <w:rPr>
                <w:rFonts w:ascii="宋体" w:eastAsia="宋体" w:hAnsi="宋体"/>
                <w:sz w:val="24"/>
                <w:szCs w:val="24"/>
              </w:rPr>
            </w:pPr>
            <w:r>
              <w:rPr>
                <w:rFonts w:ascii="宋体" w:eastAsia="宋体" w:hAnsi="宋体" w:hint="eastAsia"/>
                <w:sz w:val="24"/>
                <w:szCs w:val="24"/>
              </w:rPr>
              <w:t>15</w:t>
            </w:r>
          </w:p>
        </w:tc>
        <w:tc>
          <w:tcPr>
            <w:tcW w:w="5850" w:type="dxa"/>
            <w:tcBorders>
              <w:top w:val="single" w:sz="4" w:space="0" w:color="auto"/>
              <w:left w:val="single" w:sz="4" w:space="0" w:color="auto"/>
              <w:bottom w:val="single" w:sz="4" w:space="0" w:color="auto"/>
              <w:right w:val="single" w:sz="4" w:space="0" w:color="auto"/>
            </w:tcBorders>
            <w:shd w:val="clear" w:color="auto" w:fill="auto"/>
            <w:vAlign w:val="center"/>
          </w:tcPr>
          <w:p w14:paraId="2B90A301" w14:textId="3B046EA6"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富荣基金管理有限公司关于旗下部分基金新增上海联泰基</w:t>
            </w:r>
            <w:r>
              <w:rPr>
                <w:rFonts w:hint="eastAsia"/>
                <w:color w:val="000000"/>
                <w:sz w:val="22"/>
              </w:rPr>
              <w:lastRenderedPageBreak/>
              <w:t>金销售有限公司为销售机构并开通基金定投转换业务的公告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bottom"/>
          </w:tcPr>
          <w:p w14:paraId="66CA24D8" w14:textId="32799BA9"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lastRenderedPageBreak/>
              <w:t>2019</w:t>
            </w:r>
            <w:r>
              <w:rPr>
                <w:rFonts w:hint="eastAsia"/>
                <w:color w:val="000000"/>
                <w:sz w:val="22"/>
              </w:rPr>
              <w:t>年</w:t>
            </w:r>
            <w:r>
              <w:rPr>
                <w:rFonts w:hint="eastAsia"/>
                <w:color w:val="000000"/>
                <w:sz w:val="22"/>
              </w:rPr>
              <w:t>03</w:t>
            </w:r>
            <w:r>
              <w:rPr>
                <w:rFonts w:hint="eastAsia"/>
                <w:color w:val="000000"/>
                <w:sz w:val="22"/>
              </w:rPr>
              <w:t>月</w:t>
            </w:r>
            <w:r>
              <w:rPr>
                <w:rFonts w:hint="eastAsia"/>
                <w:color w:val="000000"/>
                <w:sz w:val="22"/>
              </w:rPr>
              <w:t>20</w:t>
            </w:r>
            <w:r>
              <w:rPr>
                <w:rFonts w:hint="eastAsia"/>
                <w:color w:val="000000"/>
                <w:sz w:val="22"/>
              </w:rPr>
              <w:lastRenderedPageBreak/>
              <w:t>日</w:t>
            </w:r>
          </w:p>
        </w:tc>
      </w:tr>
      <w:tr w:rsidR="00DD7E43" w14:paraId="769817EF" w14:textId="77777777" w:rsidTr="00E11C09">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7FC3F17C" w14:textId="77777777" w:rsidR="00DD7E43" w:rsidRPr="00C1630A" w:rsidRDefault="00DD7E43" w:rsidP="00DD7E43">
            <w:pPr>
              <w:jc w:val="center"/>
              <w:rPr>
                <w:rFonts w:ascii="宋体" w:eastAsia="宋体" w:hAnsi="宋体"/>
                <w:sz w:val="24"/>
                <w:szCs w:val="24"/>
              </w:rPr>
            </w:pPr>
            <w:r>
              <w:rPr>
                <w:rFonts w:ascii="宋体" w:eastAsia="宋体" w:hAnsi="宋体" w:hint="eastAsia"/>
                <w:sz w:val="24"/>
                <w:szCs w:val="24"/>
              </w:rPr>
              <w:lastRenderedPageBreak/>
              <w:t>16</w:t>
            </w:r>
          </w:p>
        </w:tc>
        <w:tc>
          <w:tcPr>
            <w:tcW w:w="5850" w:type="dxa"/>
            <w:tcBorders>
              <w:top w:val="single" w:sz="4" w:space="0" w:color="auto"/>
              <w:left w:val="single" w:sz="4" w:space="0" w:color="auto"/>
              <w:bottom w:val="single" w:sz="4" w:space="0" w:color="auto"/>
              <w:right w:val="single" w:sz="4" w:space="0" w:color="auto"/>
            </w:tcBorders>
            <w:shd w:val="clear" w:color="auto" w:fill="auto"/>
            <w:vAlign w:val="center"/>
          </w:tcPr>
          <w:p w14:paraId="1B142DF1" w14:textId="7E555F02"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富荣基金管理有限公司关于旗下部分基金参加上海联泰基金销售有限公司基金申购及定期定额投资申购费率优惠活动的公告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bottom"/>
          </w:tcPr>
          <w:p w14:paraId="70332ED2" w14:textId="5263FA14"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03</w:t>
            </w:r>
            <w:r>
              <w:rPr>
                <w:rFonts w:hint="eastAsia"/>
                <w:color w:val="000000"/>
                <w:sz w:val="22"/>
              </w:rPr>
              <w:t>月</w:t>
            </w:r>
            <w:r>
              <w:rPr>
                <w:rFonts w:hint="eastAsia"/>
                <w:color w:val="000000"/>
                <w:sz w:val="22"/>
              </w:rPr>
              <w:t>20</w:t>
            </w:r>
            <w:r>
              <w:rPr>
                <w:rFonts w:hint="eastAsia"/>
                <w:color w:val="000000"/>
                <w:sz w:val="22"/>
              </w:rPr>
              <w:t>日</w:t>
            </w:r>
          </w:p>
        </w:tc>
      </w:tr>
      <w:tr w:rsidR="00DD7E43" w14:paraId="35C8C5CB" w14:textId="77777777" w:rsidTr="00E11C09">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43DB3086" w14:textId="77777777" w:rsidR="00DD7E43" w:rsidRPr="00C1630A" w:rsidRDefault="00DD7E43" w:rsidP="00DD7E43">
            <w:pPr>
              <w:jc w:val="center"/>
              <w:rPr>
                <w:rFonts w:ascii="宋体" w:eastAsia="宋体" w:hAnsi="宋体"/>
                <w:sz w:val="24"/>
                <w:szCs w:val="24"/>
              </w:rPr>
            </w:pPr>
            <w:r>
              <w:rPr>
                <w:rFonts w:ascii="宋体" w:eastAsia="宋体" w:hAnsi="宋体" w:hint="eastAsia"/>
                <w:sz w:val="24"/>
                <w:szCs w:val="24"/>
              </w:rPr>
              <w:t>17</w:t>
            </w:r>
          </w:p>
        </w:tc>
        <w:tc>
          <w:tcPr>
            <w:tcW w:w="5850" w:type="dxa"/>
            <w:tcBorders>
              <w:top w:val="single" w:sz="4" w:space="0" w:color="auto"/>
              <w:left w:val="single" w:sz="4" w:space="0" w:color="auto"/>
              <w:bottom w:val="single" w:sz="4" w:space="0" w:color="auto"/>
              <w:right w:val="single" w:sz="4" w:space="0" w:color="auto"/>
            </w:tcBorders>
            <w:shd w:val="clear" w:color="auto" w:fill="auto"/>
            <w:vAlign w:val="center"/>
          </w:tcPr>
          <w:p w14:paraId="4AE15288" w14:textId="607DBB96"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富荣福鑫灵活配置混合型证券投资基金</w:t>
            </w:r>
            <w:r>
              <w:rPr>
                <w:rFonts w:hint="eastAsia"/>
                <w:color w:val="000000"/>
                <w:sz w:val="22"/>
              </w:rPr>
              <w:t>2018</w:t>
            </w:r>
            <w:r>
              <w:rPr>
                <w:rFonts w:hint="eastAsia"/>
                <w:color w:val="000000"/>
                <w:sz w:val="22"/>
              </w:rPr>
              <w:t>年年度报告摘要</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bottom"/>
          </w:tcPr>
          <w:p w14:paraId="4127FAAE" w14:textId="61FACFDC"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03</w:t>
            </w:r>
            <w:r>
              <w:rPr>
                <w:rFonts w:hint="eastAsia"/>
                <w:color w:val="000000"/>
                <w:sz w:val="22"/>
              </w:rPr>
              <w:t>月</w:t>
            </w:r>
            <w:r>
              <w:rPr>
                <w:rFonts w:hint="eastAsia"/>
                <w:color w:val="000000"/>
                <w:sz w:val="22"/>
              </w:rPr>
              <w:t>29</w:t>
            </w:r>
            <w:r>
              <w:rPr>
                <w:rFonts w:hint="eastAsia"/>
                <w:color w:val="000000"/>
                <w:sz w:val="22"/>
              </w:rPr>
              <w:t>日</w:t>
            </w:r>
          </w:p>
        </w:tc>
      </w:tr>
      <w:tr w:rsidR="00DD7E43" w14:paraId="42C51A64" w14:textId="77777777" w:rsidTr="00E11C09">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7258DBC1" w14:textId="77777777" w:rsidR="00DD7E43" w:rsidRPr="00C1630A" w:rsidRDefault="00DD7E43" w:rsidP="00DD7E43">
            <w:pPr>
              <w:jc w:val="center"/>
              <w:rPr>
                <w:rFonts w:ascii="宋体" w:eastAsia="宋体" w:hAnsi="宋体"/>
                <w:sz w:val="24"/>
                <w:szCs w:val="24"/>
              </w:rPr>
            </w:pPr>
            <w:r>
              <w:rPr>
                <w:rFonts w:ascii="宋体" w:eastAsia="宋体" w:hAnsi="宋体" w:hint="eastAsia"/>
                <w:sz w:val="24"/>
                <w:szCs w:val="24"/>
              </w:rPr>
              <w:t>18</w:t>
            </w:r>
          </w:p>
        </w:tc>
        <w:tc>
          <w:tcPr>
            <w:tcW w:w="5850" w:type="dxa"/>
            <w:tcBorders>
              <w:top w:val="single" w:sz="4" w:space="0" w:color="auto"/>
              <w:left w:val="single" w:sz="4" w:space="0" w:color="auto"/>
              <w:bottom w:val="single" w:sz="4" w:space="0" w:color="auto"/>
              <w:right w:val="single" w:sz="4" w:space="0" w:color="auto"/>
            </w:tcBorders>
            <w:shd w:val="clear" w:color="auto" w:fill="auto"/>
            <w:vAlign w:val="center"/>
          </w:tcPr>
          <w:p w14:paraId="55F3613D" w14:textId="6E0526B3"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富荣基金管理有限公司关于旗下部分基金参加华鑫证券有限责任公司基金申购及定期定额投资申购费率优惠活动的公告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bottom"/>
          </w:tcPr>
          <w:p w14:paraId="74E6512D" w14:textId="0A63A069"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04</w:t>
            </w:r>
            <w:r>
              <w:rPr>
                <w:rFonts w:hint="eastAsia"/>
                <w:color w:val="000000"/>
                <w:sz w:val="22"/>
              </w:rPr>
              <w:t>月</w:t>
            </w:r>
            <w:r>
              <w:rPr>
                <w:rFonts w:hint="eastAsia"/>
                <w:color w:val="000000"/>
                <w:sz w:val="22"/>
              </w:rPr>
              <w:t>09</w:t>
            </w:r>
            <w:r>
              <w:rPr>
                <w:rFonts w:hint="eastAsia"/>
                <w:color w:val="000000"/>
                <w:sz w:val="22"/>
              </w:rPr>
              <w:t>日</w:t>
            </w:r>
          </w:p>
        </w:tc>
      </w:tr>
      <w:tr w:rsidR="00DD7E43" w14:paraId="00AA90CC" w14:textId="77777777" w:rsidTr="00E11C09">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1E924FAA" w14:textId="77777777" w:rsidR="00DD7E43" w:rsidRPr="00C1630A" w:rsidRDefault="00DD7E43" w:rsidP="00DD7E43">
            <w:pPr>
              <w:jc w:val="center"/>
              <w:rPr>
                <w:rFonts w:ascii="宋体" w:eastAsia="宋体" w:hAnsi="宋体"/>
                <w:sz w:val="24"/>
                <w:szCs w:val="24"/>
              </w:rPr>
            </w:pPr>
            <w:r>
              <w:rPr>
                <w:rFonts w:ascii="宋体" w:eastAsia="宋体" w:hAnsi="宋体" w:hint="eastAsia"/>
                <w:sz w:val="24"/>
                <w:szCs w:val="24"/>
              </w:rPr>
              <w:t>19</w:t>
            </w:r>
          </w:p>
        </w:tc>
        <w:tc>
          <w:tcPr>
            <w:tcW w:w="5850" w:type="dxa"/>
            <w:tcBorders>
              <w:top w:val="single" w:sz="4" w:space="0" w:color="auto"/>
              <w:left w:val="single" w:sz="4" w:space="0" w:color="auto"/>
              <w:bottom w:val="single" w:sz="4" w:space="0" w:color="auto"/>
              <w:right w:val="single" w:sz="4" w:space="0" w:color="auto"/>
            </w:tcBorders>
            <w:shd w:val="clear" w:color="auto" w:fill="auto"/>
            <w:vAlign w:val="center"/>
          </w:tcPr>
          <w:p w14:paraId="6E06DE5C" w14:textId="2B0D9FE2"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富荣基金管理有限公司关于旗下部分基金新增华鑫证券有限责任公司为销售机构并开通基金定投转换业务的公告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bottom"/>
          </w:tcPr>
          <w:p w14:paraId="188D52B4" w14:textId="0B09204B"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04</w:t>
            </w:r>
            <w:r>
              <w:rPr>
                <w:rFonts w:hint="eastAsia"/>
                <w:color w:val="000000"/>
                <w:sz w:val="22"/>
              </w:rPr>
              <w:t>月</w:t>
            </w:r>
            <w:r>
              <w:rPr>
                <w:rFonts w:hint="eastAsia"/>
                <w:color w:val="000000"/>
                <w:sz w:val="22"/>
              </w:rPr>
              <w:t>09</w:t>
            </w:r>
            <w:r>
              <w:rPr>
                <w:rFonts w:hint="eastAsia"/>
                <w:color w:val="000000"/>
                <w:sz w:val="22"/>
              </w:rPr>
              <w:t>日</w:t>
            </w:r>
          </w:p>
        </w:tc>
      </w:tr>
      <w:tr w:rsidR="00DD7E43" w14:paraId="532EFDB9" w14:textId="77777777" w:rsidTr="00E11C09">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2A818793" w14:textId="77777777" w:rsidR="00DD7E43" w:rsidRPr="00C1630A" w:rsidRDefault="00DD7E43" w:rsidP="00DD7E43">
            <w:pPr>
              <w:jc w:val="center"/>
              <w:rPr>
                <w:rFonts w:ascii="宋体" w:eastAsia="宋体" w:hAnsi="宋体"/>
                <w:sz w:val="24"/>
                <w:szCs w:val="24"/>
              </w:rPr>
            </w:pPr>
            <w:r>
              <w:rPr>
                <w:rFonts w:ascii="宋体" w:eastAsia="宋体" w:hAnsi="宋体" w:hint="eastAsia"/>
                <w:sz w:val="24"/>
                <w:szCs w:val="24"/>
              </w:rPr>
              <w:t>20</w:t>
            </w:r>
          </w:p>
        </w:tc>
        <w:tc>
          <w:tcPr>
            <w:tcW w:w="5850" w:type="dxa"/>
            <w:tcBorders>
              <w:top w:val="single" w:sz="4" w:space="0" w:color="auto"/>
              <w:left w:val="single" w:sz="4" w:space="0" w:color="auto"/>
              <w:bottom w:val="single" w:sz="4" w:space="0" w:color="auto"/>
              <w:right w:val="single" w:sz="4" w:space="0" w:color="auto"/>
            </w:tcBorders>
            <w:shd w:val="clear" w:color="auto" w:fill="auto"/>
            <w:vAlign w:val="center"/>
          </w:tcPr>
          <w:p w14:paraId="463AE559" w14:textId="78289AC2"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富荣基金管理有限公司关于旗下部分基金参加上海挖财基金销售有限公司基金申购及定期定额投资申购费率优惠活动的公告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bottom"/>
          </w:tcPr>
          <w:p w14:paraId="5C7D6F98" w14:textId="42E5E2CA"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04</w:t>
            </w:r>
            <w:r>
              <w:rPr>
                <w:rFonts w:hint="eastAsia"/>
                <w:color w:val="000000"/>
                <w:sz w:val="22"/>
              </w:rPr>
              <w:t>月</w:t>
            </w:r>
            <w:r>
              <w:rPr>
                <w:rFonts w:hint="eastAsia"/>
                <w:color w:val="000000"/>
                <w:sz w:val="22"/>
              </w:rPr>
              <w:t>18</w:t>
            </w:r>
            <w:r>
              <w:rPr>
                <w:rFonts w:hint="eastAsia"/>
                <w:color w:val="000000"/>
                <w:sz w:val="22"/>
              </w:rPr>
              <w:t>日</w:t>
            </w:r>
          </w:p>
        </w:tc>
      </w:tr>
      <w:tr w:rsidR="00DD7E43" w14:paraId="36481E8C" w14:textId="77777777" w:rsidTr="00E11C09">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4CC88470" w14:textId="77777777" w:rsidR="00DD7E43" w:rsidRPr="00C1630A" w:rsidRDefault="00DD7E43" w:rsidP="00DD7E43">
            <w:pPr>
              <w:jc w:val="center"/>
              <w:rPr>
                <w:rFonts w:ascii="宋体" w:eastAsia="宋体" w:hAnsi="宋体"/>
                <w:sz w:val="24"/>
                <w:szCs w:val="24"/>
              </w:rPr>
            </w:pPr>
            <w:r>
              <w:rPr>
                <w:rFonts w:ascii="宋体" w:eastAsia="宋体" w:hAnsi="宋体" w:hint="eastAsia"/>
                <w:sz w:val="24"/>
                <w:szCs w:val="24"/>
              </w:rPr>
              <w:t>21</w:t>
            </w:r>
          </w:p>
        </w:tc>
        <w:tc>
          <w:tcPr>
            <w:tcW w:w="5850" w:type="dxa"/>
            <w:tcBorders>
              <w:top w:val="single" w:sz="4" w:space="0" w:color="auto"/>
              <w:left w:val="single" w:sz="4" w:space="0" w:color="auto"/>
              <w:bottom w:val="single" w:sz="4" w:space="0" w:color="auto"/>
              <w:right w:val="single" w:sz="4" w:space="0" w:color="auto"/>
            </w:tcBorders>
            <w:shd w:val="clear" w:color="auto" w:fill="auto"/>
            <w:vAlign w:val="center"/>
          </w:tcPr>
          <w:p w14:paraId="438D9B8C" w14:textId="39676487"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富荣基金管理有限公司关于旗下部分基金新增上海挖财基金销售有限公司为销售机构并开通基金定投转换业务的公告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bottom"/>
          </w:tcPr>
          <w:p w14:paraId="2A95220D" w14:textId="64CB1840"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04</w:t>
            </w:r>
            <w:r>
              <w:rPr>
                <w:rFonts w:hint="eastAsia"/>
                <w:color w:val="000000"/>
                <w:sz w:val="22"/>
              </w:rPr>
              <w:t>月</w:t>
            </w:r>
            <w:r>
              <w:rPr>
                <w:rFonts w:hint="eastAsia"/>
                <w:color w:val="000000"/>
                <w:sz w:val="22"/>
              </w:rPr>
              <w:t>18</w:t>
            </w:r>
            <w:r>
              <w:rPr>
                <w:rFonts w:hint="eastAsia"/>
                <w:color w:val="000000"/>
                <w:sz w:val="22"/>
              </w:rPr>
              <w:t>日</w:t>
            </w:r>
          </w:p>
        </w:tc>
      </w:tr>
      <w:tr w:rsidR="00DD7E43" w14:paraId="4D85B5C7" w14:textId="77777777" w:rsidTr="00E11C09">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07C8A1D3" w14:textId="77777777" w:rsidR="00DD7E43" w:rsidRPr="00C1630A" w:rsidRDefault="00DD7E43" w:rsidP="00DD7E43">
            <w:pPr>
              <w:jc w:val="center"/>
              <w:rPr>
                <w:rFonts w:ascii="宋体" w:eastAsia="宋体" w:hAnsi="宋体"/>
                <w:sz w:val="24"/>
                <w:szCs w:val="24"/>
              </w:rPr>
            </w:pPr>
            <w:r>
              <w:rPr>
                <w:rFonts w:ascii="宋体" w:eastAsia="宋体" w:hAnsi="宋体" w:hint="eastAsia"/>
                <w:sz w:val="24"/>
                <w:szCs w:val="24"/>
              </w:rPr>
              <w:t>22</w:t>
            </w:r>
          </w:p>
        </w:tc>
        <w:tc>
          <w:tcPr>
            <w:tcW w:w="5850" w:type="dxa"/>
            <w:tcBorders>
              <w:top w:val="single" w:sz="4" w:space="0" w:color="auto"/>
              <w:left w:val="single" w:sz="4" w:space="0" w:color="auto"/>
              <w:bottom w:val="single" w:sz="4" w:space="0" w:color="auto"/>
              <w:right w:val="single" w:sz="4" w:space="0" w:color="auto"/>
            </w:tcBorders>
            <w:shd w:val="clear" w:color="auto" w:fill="auto"/>
            <w:vAlign w:val="center"/>
          </w:tcPr>
          <w:p w14:paraId="36F4E1A3" w14:textId="1D686E38"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富荣基金管理有限公司关于旗下部分基金参加诺亚正行基金销售有限公司基金申购及定期定额投资申购费率优惠活动的公告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bottom"/>
          </w:tcPr>
          <w:p w14:paraId="6B80F6B7" w14:textId="12E5B495"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04</w:t>
            </w:r>
            <w:r>
              <w:rPr>
                <w:rFonts w:hint="eastAsia"/>
                <w:color w:val="000000"/>
                <w:sz w:val="22"/>
              </w:rPr>
              <w:t>月</w:t>
            </w:r>
            <w:r>
              <w:rPr>
                <w:rFonts w:hint="eastAsia"/>
                <w:color w:val="000000"/>
                <w:sz w:val="22"/>
              </w:rPr>
              <w:t>18</w:t>
            </w:r>
            <w:r>
              <w:rPr>
                <w:rFonts w:hint="eastAsia"/>
                <w:color w:val="000000"/>
                <w:sz w:val="22"/>
              </w:rPr>
              <w:t>日</w:t>
            </w:r>
          </w:p>
        </w:tc>
      </w:tr>
      <w:tr w:rsidR="00DD7E43" w14:paraId="1B3078B2" w14:textId="77777777" w:rsidTr="00E11C09">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1D9B7155" w14:textId="77777777" w:rsidR="00DD7E43" w:rsidRPr="00C1630A" w:rsidRDefault="00DD7E43" w:rsidP="00DD7E43">
            <w:pPr>
              <w:jc w:val="center"/>
              <w:rPr>
                <w:rFonts w:ascii="宋体" w:eastAsia="宋体" w:hAnsi="宋体"/>
                <w:sz w:val="24"/>
                <w:szCs w:val="24"/>
              </w:rPr>
            </w:pPr>
            <w:r>
              <w:rPr>
                <w:rFonts w:ascii="宋体" w:eastAsia="宋体" w:hAnsi="宋体" w:hint="eastAsia"/>
                <w:sz w:val="24"/>
                <w:szCs w:val="24"/>
              </w:rPr>
              <w:t>23</w:t>
            </w:r>
          </w:p>
        </w:tc>
        <w:tc>
          <w:tcPr>
            <w:tcW w:w="5850" w:type="dxa"/>
            <w:tcBorders>
              <w:top w:val="single" w:sz="4" w:space="0" w:color="auto"/>
              <w:left w:val="single" w:sz="4" w:space="0" w:color="auto"/>
              <w:bottom w:val="single" w:sz="4" w:space="0" w:color="auto"/>
              <w:right w:val="single" w:sz="4" w:space="0" w:color="auto"/>
            </w:tcBorders>
            <w:shd w:val="clear" w:color="auto" w:fill="auto"/>
            <w:vAlign w:val="center"/>
          </w:tcPr>
          <w:p w14:paraId="6F577BC7" w14:textId="114D77F9"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富荣基金管理有限公司关于旗下部分基金新增诺亚正行基金销售有限公司为销售机构并开通基金定投业务的公告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bottom"/>
          </w:tcPr>
          <w:p w14:paraId="0A348073" w14:textId="71FDBDC1"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04</w:t>
            </w:r>
            <w:r>
              <w:rPr>
                <w:rFonts w:hint="eastAsia"/>
                <w:color w:val="000000"/>
                <w:sz w:val="22"/>
              </w:rPr>
              <w:t>月</w:t>
            </w:r>
            <w:r>
              <w:rPr>
                <w:rFonts w:hint="eastAsia"/>
                <w:color w:val="000000"/>
                <w:sz w:val="22"/>
              </w:rPr>
              <w:t>18</w:t>
            </w:r>
            <w:r>
              <w:rPr>
                <w:rFonts w:hint="eastAsia"/>
                <w:color w:val="000000"/>
                <w:sz w:val="22"/>
              </w:rPr>
              <w:t>日</w:t>
            </w:r>
          </w:p>
        </w:tc>
      </w:tr>
      <w:tr w:rsidR="00DD7E43" w14:paraId="336C4A69" w14:textId="77777777" w:rsidTr="00E11C09">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2D9311FE" w14:textId="77777777" w:rsidR="00DD7E43" w:rsidRDefault="0055787C" w:rsidP="00DD7E43">
            <w:pPr>
              <w:jc w:val="center"/>
              <w:rPr>
                <w:rFonts w:ascii="宋体" w:eastAsia="宋体" w:hAnsi="宋体"/>
                <w:sz w:val="24"/>
                <w:szCs w:val="24"/>
              </w:rPr>
            </w:pPr>
            <w:r>
              <w:rPr>
                <w:rFonts w:ascii="宋体" w:eastAsia="宋体" w:hAnsi="宋体" w:hint="eastAsia"/>
                <w:sz w:val="24"/>
                <w:szCs w:val="24"/>
              </w:rPr>
              <w:t>24</w:t>
            </w:r>
          </w:p>
        </w:tc>
        <w:tc>
          <w:tcPr>
            <w:tcW w:w="5850" w:type="dxa"/>
            <w:tcBorders>
              <w:top w:val="single" w:sz="4" w:space="0" w:color="auto"/>
              <w:left w:val="single" w:sz="4" w:space="0" w:color="auto"/>
              <w:bottom w:val="single" w:sz="4" w:space="0" w:color="auto"/>
              <w:right w:val="single" w:sz="4" w:space="0" w:color="auto"/>
            </w:tcBorders>
            <w:shd w:val="clear" w:color="auto" w:fill="auto"/>
            <w:vAlign w:val="center"/>
          </w:tcPr>
          <w:p w14:paraId="7E260221" w14:textId="77777777"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富荣福鑫灵活配置混合型证券投资基金</w:t>
            </w:r>
            <w:r>
              <w:rPr>
                <w:rFonts w:hint="eastAsia"/>
                <w:color w:val="000000"/>
                <w:sz w:val="22"/>
              </w:rPr>
              <w:t>2019</w:t>
            </w:r>
            <w:r>
              <w:rPr>
                <w:rFonts w:hint="eastAsia"/>
                <w:color w:val="000000"/>
                <w:sz w:val="22"/>
              </w:rPr>
              <w:t>年第一季度报告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bottom"/>
          </w:tcPr>
          <w:p w14:paraId="132CA96C" w14:textId="77777777"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04</w:t>
            </w:r>
            <w:r>
              <w:rPr>
                <w:rFonts w:hint="eastAsia"/>
                <w:color w:val="000000"/>
                <w:sz w:val="22"/>
              </w:rPr>
              <w:t>月</w:t>
            </w:r>
            <w:r>
              <w:rPr>
                <w:rFonts w:hint="eastAsia"/>
                <w:color w:val="000000"/>
                <w:sz w:val="22"/>
              </w:rPr>
              <w:t>20</w:t>
            </w:r>
            <w:r>
              <w:rPr>
                <w:rFonts w:hint="eastAsia"/>
                <w:color w:val="000000"/>
                <w:sz w:val="22"/>
              </w:rPr>
              <w:t>日</w:t>
            </w:r>
          </w:p>
        </w:tc>
      </w:tr>
      <w:tr w:rsidR="00DD7E43" w14:paraId="7CF35D90" w14:textId="77777777" w:rsidTr="00E11C09">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5C6F5E22" w14:textId="77777777" w:rsidR="00DD7E43" w:rsidRDefault="0055787C" w:rsidP="00DD7E43">
            <w:pPr>
              <w:jc w:val="center"/>
              <w:rPr>
                <w:rFonts w:ascii="宋体" w:eastAsia="宋体" w:hAnsi="宋体"/>
                <w:sz w:val="24"/>
                <w:szCs w:val="24"/>
              </w:rPr>
            </w:pPr>
            <w:r>
              <w:rPr>
                <w:rFonts w:ascii="宋体" w:eastAsia="宋体" w:hAnsi="宋体" w:hint="eastAsia"/>
                <w:sz w:val="24"/>
                <w:szCs w:val="24"/>
              </w:rPr>
              <w:t>25</w:t>
            </w:r>
          </w:p>
        </w:tc>
        <w:tc>
          <w:tcPr>
            <w:tcW w:w="5850" w:type="dxa"/>
            <w:tcBorders>
              <w:top w:val="single" w:sz="4" w:space="0" w:color="auto"/>
              <w:left w:val="single" w:sz="4" w:space="0" w:color="auto"/>
              <w:bottom w:val="single" w:sz="4" w:space="0" w:color="auto"/>
              <w:right w:val="single" w:sz="4" w:space="0" w:color="auto"/>
            </w:tcBorders>
            <w:shd w:val="clear" w:color="auto" w:fill="auto"/>
            <w:vAlign w:val="center"/>
          </w:tcPr>
          <w:p w14:paraId="377B1CD6" w14:textId="77777777"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富荣基金管理有限公司关于旗下部分基金参加上海凯石财富基金销售有限公司基金申购及定期定额投资申购费率优惠活动的公告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bottom"/>
          </w:tcPr>
          <w:p w14:paraId="090E1975" w14:textId="77777777"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05</w:t>
            </w:r>
            <w:r>
              <w:rPr>
                <w:rFonts w:hint="eastAsia"/>
                <w:color w:val="000000"/>
                <w:sz w:val="22"/>
              </w:rPr>
              <w:t>月</w:t>
            </w:r>
            <w:r>
              <w:rPr>
                <w:rFonts w:hint="eastAsia"/>
                <w:color w:val="000000"/>
                <w:sz w:val="22"/>
              </w:rPr>
              <w:t>07</w:t>
            </w:r>
            <w:r>
              <w:rPr>
                <w:rFonts w:hint="eastAsia"/>
                <w:color w:val="000000"/>
                <w:sz w:val="22"/>
              </w:rPr>
              <w:t>日</w:t>
            </w:r>
          </w:p>
        </w:tc>
      </w:tr>
      <w:tr w:rsidR="00DD7E43" w14:paraId="63889263" w14:textId="77777777" w:rsidTr="00E11C09">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1F596922" w14:textId="77777777" w:rsidR="00DD7E43" w:rsidRDefault="0055787C" w:rsidP="00DD7E43">
            <w:pPr>
              <w:jc w:val="center"/>
              <w:rPr>
                <w:rFonts w:ascii="宋体" w:eastAsia="宋体" w:hAnsi="宋体"/>
                <w:sz w:val="24"/>
                <w:szCs w:val="24"/>
              </w:rPr>
            </w:pPr>
            <w:r>
              <w:rPr>
                <w:rFonts w:ascii="宋体" w:eastAsia="宋体" w:hAnsi="宋体" w:hint="eastAsia"/>
                <w:sz w:val="24"/>
                <w:szCs w:val="24"/>
              </w:rPr>
              <w:t>26</w:t>
            </w:r>
          </w:p>
        </w:tc>
        <w:tc>
          <w:tcPr>
            <w:tcW w:w="5850" w:type="dxa"/>
            <w:tcBorders>
              <w:top w:val="single" w:sz="4" w:space="0" w:color="auto"/>
              <w:left w:val="single" w:sz="4" w:space="0" w:color="auto"/>
              <w:bottom w:val="single" w:sz="4" w:space="0" w:color="auto"/>
              <w:right w:val="single" w:sz="4" w:space="0" w:color="auto"/>
            </w:tcBorders>
            <w:shd w:val="clear" w:color="auto" w:fill="auto"/>
            <w:vAlign w:val="center"/>
          </w:tcPr>
          <w:p w14:paraId="4422EEBB" w14:textId="77777777"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富荣基金管理有限公司关于旗下部分基金新增上海凯石财富基金销售有限公司为销售机构并开通基金定投转换业务的公告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bottom"/>
          </w:tcPr>
          <w:p w14:paraId="0B2D4A50" w14:textId="77777777"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05</w:t>
            </w:r>
            <w:r>
              <w:rPr>
                <w:rFonts w:hint="eastAsia"/>
                <w:color w:val="000000"/>
                <w:sz w:val="22"/>
              </w:rPr>
              <w:t>月</w:t>
            </w:r>
            <w:r>
              <w:rPr>
                <w:rFonts w:hint="eastAsia"/>
                <w:color w:val="000000"/>
                <w:sz w:val="22"/>
              </w:rPr>
              <w:t>07</w:t>
            </w:r>
            <w:r>
              <w:rPr>
                <w:rFonts w:hint="eastAsia"/>
                <w:color w:val="000000"/>
                <w:sz w:val="22"/>
              </w:rPr>
              <w:t>日</w:t>
            </w:r>
          </w:p>
        </w:tc>
      </w:tr>
      <w:tr w:rsidR="00DD7E43" w14:paraId="4EC7C8C6" w14:textId="77777777" w:rsidTr="00E11C09">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0964CA11" w14:textId="77777777" w:rsidR="00DD7E43" w:rsidRDefault="0055787C" w:rsidP="00DD7E43">
            <w:pPr>
              <w:jc w:val="center"/>
              <w:rPr>
                <w:rFonts w:ascii="宋体" w:eastAsia="宋体" w:hAnsi="宋体"/>
                <w:sz w:val="24"/>
                <w:szCs w:val="24"/>
              </w:rPr>
            </w:pPr>
            <w:r>
              <w:rPr>
                <w:rFonts w:ascii="宋体" w:eastAsia="宋体" w:hAnsi="宋体" w:hint="eastAsia"/>
                <w:sz w:val="24"/>
                <w:szCs w:val="24"/>
              </w:rPr>
              <w:t>27</w:t>
            </w:r>
          </w:p>
        </w:tc>
        <w:tc>
          <w:tcPr>
            <w:tcW w:w="5850" w:type="dxa"/>
            <w:tcBorders>
              <w:top w:val="single" w:sz="4" w:space="0" w:color="auto"/>
              <w:left w:val="single" w:sz="4" w:space="0" w:color="auto"/>
              <w:bottom w:val="single" w:sz="4" w:space="0" w:color="auto"/>
              <w:right w:val="single" w:sz="4" w:space="0" w:color="auto"/>
            </w:tcBorders>
            <w:shd w:val="clear" w:color="auto" w:fill="auto"/>
            <w:vAlign w:val="center"/>
          </w:tcPr>
          <w:p w14:paraId="7AA8A971" w14:textId="77777777"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富荣基金管理有限公司关于旗下部分基金参加泰信财富基金销售有限公司基金申购及定期定额投资申购费率优惠活动的公告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bottom"/>
          </w:tcPr>
          <w:p w14:paraId="337947E4" w14:textId="77777777"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05</w:t>
            </w:r>
            <w:r>
              <w:rPr>
                <w:rFonts w:hint="eastAsia"/>
                <w:color w:val="000000"/>
                <w:sz w:val="22"/>
              </w:rPr>
              <w:t>月</w:t>
            </w:r>
            <w:r>
              <w:rPr>
                <w:rFonts w:hint="eastAsia"/>
                <w:color w:val="000000"/>
                <w:sz w:val="22"/>
              </w:rPr>
              <w:t>14</w:t>
            </w:r>
            <w:r>
              <w:rPr>
                <w:rFonts w:hint="eastAsia"/>
                <w:color w:val="000000"/>
                <w:sz w:val="22"/>
              </w:rPr>
              <w:t>日</w:t>
            </w:r>
          </w:p>
        </w:tc>
      </w:tr>
      <w:tr w:rsidR="00DD7E43" w14:paraId="4715405B" w14:textId="77777777" w:rsidTr="00E11C09">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616E30B0" w14:textId="77777777" w:rsidR="00DD7E43" w:rsidRDefault="0055787C" w:rsidP="00DD7E43">
            <w:pPr>
              <w:jc w:val="center"/>
              <w:rPr>
                <w:rFonts w:ascii="宋体" w:eastAsia="宋体" w:hAnsi="宋体"/>
                <w:sz w:val="24"/>
                <w:szCs w:val="24"/>
              </w:rPr>
            </w:pPr>
            <w:r>
              <w:rPr>
                <w:rFonts w:ascii="宋体" w:eastAsia="宋体" w:hAnsi="宋体" w:hint="eastAsia"/>
                <w:sz w:val="24"/>
                <w:szCs w:val="24"/>
              </w:rPr>
              <w:t>28</w:t>
            </w:r>
          </w:p>
        </w:tc>
        <w:tc>
          <w:tcPr>
            <w:tcW w:w="5850" w:type="dxa"/>
            <w:tcBorders>
              <w:top w:val="single" w:sz="4" w:space="0" w:color="auto"/>
              <w:left w:val="single" w:sz="4" w:space="0" w:color="auto"/>
              <w:bottom w:val="single" w:sz="4" w:space="0" w:color="auto"/>
              <w:right w:val="single" w:sz="4" w:space="0" w:color="auto"/>
            </w:tcBorders>
            <w:shd w:val="clear" w:color="auto" w:fill="auto"/>
            <w:vAlign w:val="center"/>
          </w:tcPr>
          <w:p w14:paraId="5B4ECB31" w14:textId="77777777"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富荣基金管理有限公司关于旗下部分基金新增泰信财富基金销售有限公司为销售机构并开通基金定投转换业务的公告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bottom"/>
          </w:tcPr>
          <w:p w14:paraId="78D60F48" w14:textId="77777777"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05</w:t>
            </w:r>
            <w:r>
              <w:rPr>
                <w:rFonts w:hint="eastAsia"/>
                <w:color w:val="000000"/>
                <w:sz w:val="22"/>
              </w:rPr>
              <w:t>月</w:t>
            </w:r>
            <w:r>
              <w:rPr>
                <w:rFonts w:hint="eastAsia"/>
                <w:color w:val="000000"/>
                <w:sz w:val="22"/>
              </w:rPr>
              <w:t>14</w:t>
            </w:r>
            <w:r>
              <w:rPr>
                <w:rFonts w:hint="eastAsia"/>
                <w:color w:val="000000"/>
                <w:sz w:val="22"/>
              </w:rPr>
              <w:t>日</w:t>
            </w:r>
          </w:p>
        </w:tc>
      </w:tr>
      <w:tr w:rsidR="00DD7E43" w14:paraId="3A4961C5" w14:textId="77777777" w:rsidTr="00E11C09">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1552BF00" w14:textId="77777777" w:rsidR="00DD7E43" w:rsidRDefault="0055787C" w:rsidP="00DD7E43">
            <w:pPr>
              <w:jc w:val="center"/>
              <w:rPr>
                <w:rFonts w:ascii="宋体" w:eastAsia="宋体" w:hAnsi="宋体"/>
                <w:sz w:val="24"/>
                <w:szCs w:val="24"/>
              </w:rPr>
            </w:pPr>
            <w:r>
              <w:rPr>
                <w:rFonts w:ascii="宋体" w:eastAsia="宋体" w:hAnsi="宋体" w:hint="eastAsia"/>
                <w:sz w:val="24"/>
                <w:szCs w:val="24"/>
              </w:rPr>
              <w:t>29</w:t>
            </w:r>
          </w:p>
        </w:tc>
        <w:tc>
          <w:tcPr>
            <w:tcW w:w="5850" w:type="dxa"/>
            <w:tcBorders>
              <w:top w:val="single" w:sz="4" w:space="0" w:color="auto"/>
              <w:left w:val="single" w:sz="4" w:space="0" w:color="auto"/>
              <w:bottom w:val="single" w:sz="4" w:space="0" w:color="auto"/>
              <w:right w:val="single" w:sz="4" w:space="0" w:color="auto"/>
            </w:tcBorders>
            <w:shd w:val="clear" w:color="auto" w:fill="auto"/>
            <w:vAlign w:val="center"/>
          </w:tcPr>
          <w:p w14:paraId="2276119C" w14:textId="77777777"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富荣基金管理有限公司关于旗下部分基金暂停大泰金石代销渠道申购、定期定额投资及转换转入业务的公告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bottom"/>
          </w:tcPr>
          <w:p w14:paraId="268E4066" w14:textId="77777777"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05</w:t>
            </w:r>
            <w:r>
              <w:rPr>
                <w:rFonts w:hint="eastAsia"/>
                <w:color w:val="000000"/>
                <w:sz w:val="22"/>
              </w:rPr>
              <w:t>月</w:t>
            </w:r>
            <w:r>
              <w:rPr>
                <w:rFonts w:hint="eastAsia"/>
                <w:color w:val="000000"/>
                <w:sz w:val="22"/>
              </w:rPr>
              <w:t>22</w:t>
            </w:r>
            <w:r>
              <w:rPr>
                <w:rFonts w:hint="eastAsia"/>
                <w:color w:val="000000"/>
                <w:sz w:val="22"/>
              </w:rPr>
              <w:t>日</w:t>
            </w:r>
          </w:p>
        </w:tc>
      </w:tr>
      <w:tr w:rsidR="00DD7E43" w14:paraId="20BB901F" w14:textId="77777777" w:rsidTr="00E11C09">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2C389ECE" w14:textId="77777777" w:rsidR="00DD7E43" w:rsidRDefault="0055787C" w:rsidP="00DD7E43">
            <w:pPr>
              <w:jc w:val="center"/>
              <w:rPr>
                <w:rFonts w:ascii="宋体" w:eastAsia="宋体" w:hAnsi="宋体"/>
                <w:sz w:val="24"/>
                <w:szCs w:val="24"/>
              </w:rPr>
            </w:pPr>
            <w:r>
              <w:rPr>
                <w:rFonts w:ascii="宋体" w:eastAsia="宋体" w:hAnsi="宋体" w:hint="eastAsia"/>
                <w:sz w:val="24"/>
                <w:szCs w:val="24"/>
              </w:rPr>
              <w:t>30</w:t>
            </w:r>
          </w:p>
        </w:tc>
        <w:tc>
          <w:tcPr>
            <w:tcW w:w="5850" w:type="dxa"/>
            <w:tcBorders>
              <w:top w:val="single" w:sz="4" w:space="0" w:color="auto"/>
              <w:left w:val="single" w:sz="4" w:space="0" w:color="auto"/>
              <w:bottom w:val="single" w:sz="4" w:space="0" w:color="auto"/>
              <w:right w:val="single" w:sz="4" w:space="0" w:color="auto"/>
            </w:tcBorders>
            <w:shd w:val="clear" w:color="auto" w:fill="auto"/>
            <w:vAlign w:val="center"/>
          </w:tcPr>
          <w:p w14:paraId="13310F51" w14:textId="77777777"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富荣基金管理有限公司关于增聘副总经理的公告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bottom"/>
          </w:tcPr>
          <w:p w14:paraId="5C255F08" w14:textId="77777777"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06</w:t>
            </w:r>
            <w:r>
              <w:rPr>
                <w:rFonts w:hint="eastAsia"/>
                <w:color w:val="000000"/>
                <w:sz w:val="22"/>
              </w:rPr>
              <w:t>月</w:t>
            </w:r>
            <w:r>
              <w:rPr>
                <w:rFonts w:hint="eastAsia"/>
                <w:color w:val="000000"/>
                <w:sz w:val="22"/>
              </w:rPr>
              <w:t>15</w:t>
            </w:r>
            <w:r>
              <w:rPr>
                <w:rFonts w:hint="eastAsia"/>
                <w:color w:val="000000"/>
                <w:sz w:val="22"/>
              </w:rPr>
              <w:t>日</w:t>
            </w:r>
          </w:p>
        </w:tc>
      </w:tr>
      <w:tr w:rsidR="00DD7E43" w14:paraId="30CEB77A" w14:textId="77777777" w:rsidTr="00E11C09">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5694C369" w14:textId="77777777" w:rsidR="00DD7E43" w:rsidRDefault="0055787C" w:rsidP="00DD7E43">
            <w:pPr>
              <w:jc w:val="center"/>
              <w:rPr>
                <w:rFonts w:ascii="宋体" w:eastAsia="宋体" w:hAnsi="宋体"/>
                <w:sz w:val="24"/>
                <w:szCs w:val="24"/>
              </w:rPr>
            </w:pPr>
            <w:r>
              <w:rPr>
                <w:rFonts w:ascii="宋体" w:eastAsia="宋体" w:hAnsi="宋体" w:hint="eastAsia"/>
                <w:sz w:val="24"/>
                <w:szCs w:val="24"/>
              </w:rPr>
              <w:t>31</w:t>
            </w:r>
          </w:p>
        </w:tc>
        <w:tc>
          <w:tcPr>
            <w:tcW w:w="5850" w:type="dxa"/>
            <w:tcBorders>
              <w:top w:val="single" w:sz="4" w:space="0" w:color="auto"/>
              <w:left w:val="single" w:sz="4" w:space="0" w:color="auto"/>
              <w:bottom w:val="single" w:sz="4" w:space="0" w:color="auto"/>
              <w:right w:val="single" w:sz="4" w:space="0" w:color="auto"/>
            </w:tcBorders>
            <w:shd w:val="clear" w:color="auto" w:fill="auto"/>
            <w:vAlign w:val="center"/>
          </w:tcPr>
          <w:p w14:paraId="24197E4B" w14:textId="77777777"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富荣基金管理有限公司关于旗下部分基金新增长城证券股份有限公司为销售机构并开通基金转换业务的公告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bottom"/>
          </w:tcPr>
          <w:p w14:paraId="010ED359" w14:textId="77777777"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06</w:t>
            </w:r>
            <w:r>
              <w:rPr>
                <w:rFonts w:hint="eastAsia"/>
                <w:color w:val="000000"/>
                <w:sz w:val="22"/>
              </w:rPr>
              <w:t>月</w:t>
            </w:r>
            <w:r>
              <w:rPr>
                <w:rFonts w:hint="eastAsia"/>
                <w:color w:val="000000"/>
                <w:sz w:val="22"/>
              </w:rPr>
              <w:t>21</w:t>
            </w:r>
            <w:r>
              <w:rPr>
                <w:rFonts w:hint="eastAsia"/>
                <w:color w:val="000000"/>
                <w:sz w:val="22"/>
              </w:rPr>
              <w:t>日</w:t>
            </w:r>
          </w:p>
        </w:tc>
      </w:tr>
      <w:tr w:rsidR="00DD7E43" w14:paraId="78B94EC0" w14:textId="77777777" w:rsidTr="00E11C09">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05619B5E" w14:textId="77777777" w:rsidR="00DD7E43" w:rsidRDefault="0055787C" w:rsidP="00DD7E43">
            <w:pPr>
              <w:jc w:val="center"/>
              <w:rPr>
                <w:rFonts w:ascii="宋体" w:eastAsia="宋体" w:hAnsi="宋体"/>
                <w:sz w:val="24"/>
                <w:szCs w:val="24"/>
              </w:rPr>
            </w:pPr>
            <w:r>
              <w:rPr>
                <w:rFonts w:ascii="宋体" w:eastAsia="宋体" w:hAnsi="宋体" w:hint="eastAsia"/>
                <w:sz w:val="24"/>
                <w:szCs w:val="24"/>
              </w:rPr>
              <w:lastRenderedPageBreak/>
              <w:t>32</w:t>
            </w:r>
          </w:p>
        </w:tc>
        <w:tc>
          <w:tcPr>
            <w:tcW w:w="5850" w:type="dxa"/>
            <w:tcBorders>
              <w:top w:val="single" w:sz="4" w:space="0" w:color="auto"/>
              <w:left w:val="single" w:sz="4" w:space="0" w:color="auto"/>
              <w:bottom w:val="single" w:sz="4" w:space="0" w:color="auto"/>
              <w:right w:val="single" w:sz="4" w:space="0" w:color="auto"/>
            </w:tcBorders>
            <w:shd w:val="clear" w:color="auto" w:fill="auto"/>
            <w:vAlign w:val="center"/>
          </w:tcPr>
          <w:p w14:paraId="0C920E2D" w14:textId="77777777"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富荣基金管理有限公司关于旗下部分基金可投资于科创板股票的公告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bottom"/>
          </w:tcPr>
          <w:p w14:paraId="5A3685D6" w14:textId="77777777"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06</w:t>
            </w:r>
            <w:r>
              <w:rPr>
                <w:rFonts w:hint="eastAsia"/>
                <w:color w:val="000000"/>
                <w:sz w:val="22"/>
              </w:rPr>
              <w:t>月</w:t>
            </w:r>
            <w:r>
              <w:rPr>
                <w:rFonts w:hint="eastAsia"/>
                <w:color w:val="000000"/>
                <w:sz w:val="22"/>
              </w:rPr>
              <w:t>27</w:t>
            </w:r>
            <w:r>
              <w:rPr>
                <w:rFonts w:hint="eastAsia"/>
                <w:color w:val="000000"/>
                <w:sz w:val="22"/>
              </w:rPr>
              <w:t>日</w:t>
            </w:r>
          </w:p>
        </w:tc>
      </w:tr>
      <w:tr w:rsidR="00DD7E43" w14:paraId="6E5445F2" w14:textId="77777777" w:rsidTr="00E11C09">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780F0266" w14:textId="77777777" w:rsidR="00DD7E43" w:rsidRDefault="0055787C" w:rsidP="00DD7E43">
            <w:pPr>
              <w:jc w:val="center"/>
              <w:rPr>
                <w:rFonts w:ascii="宋体" w:eastAsia="宋体" w:hAnsi="宋体"/>
                <w:sz w:val="24"/>
                <w:szCs w:val="24"/>
              </w:rPr>
            </w:pPr>
            <w:r>
              <w:rPr>
                <w:rFonts w:ascii="宋体" w:eastAsia="宋体" w:hAnsi="宋体" w:hint="eastAsia"/>
                <w:sz w:val="24"/>
                <w:szCs w:val="24"/>
              </w:rPr>
              <w:t>33</w:t>
            </w:r>
          </w:p>
        </w:tc>
        <w:tc>
          <w:tcPr>
            <w:tcW w:w="5850" w:type="dxa"/>
            <w:tcBorders>
              <w:top w:val="single" w:sz="4" w:space="0" w:color="auto"/>
              <w:left w:val="single" w:sz="4" w:space="0" w:color="auto"/>
              <w:bottom w:val="single" w:sz="4" w:space="0" w:color="auto"/>
              <w:right w:val="single" w:sz="4" w:space="0" w:color="auto"/>
            </w:tcBorders>
            <w:shd w:val="clear" w:color="auto" w:fill="auto"/>
            <w:vAlign w:val="center"/>
          </w:tcPr>
          <w:p w14:paraId="72DBFD8F" w14:textId="77777777"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富荣基金管理有限公司关于旗下部分基金新增上海好买基金销售有限公司为销售机构并开通基金定投转换业务的公告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bottom"/>
          </w:tcPr>
          <w:p w14:paraId="7C9B568C" w14:textId="77777777"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06</w:t>
            </w:r>
            <w:r>
              <w:rPr>
                <w:rFonts w:hint="eastAsia"/>
                <w:color w:val="000000"/>
                <w:sz w:val="22"/>
              </w:rPr>
              <w:t>月</w:t>
            </w:r>
            <w:r>
              <w:rPr>
                <w:rFonts w:hint="eastAsia"/>
                <w:color w:val="000000"/>
                <w:sz w:val="22"/>
              </w:rPr>
              <w:t>29</w:t>
            </w:r>
            <w:r>
              <w:rPr>
                <w:rFonts w:hint="eastAsia"/>
                <w:color w:val="000000"/>
                <w:sz w:val="22"/>
              </w:rPr>
              <w:t>日</w:t>
            </w:r>
          </w:p>
        </w:tc>
      </w:tr>
      <w:tr w:rsidR="00DD7E43" w14:paraId="25AFC253" w14:textId="77777777" w:rsidTr="00E11C09">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320C5651" w14:textId="77777777" w:rsidR="00DD7E43" w:rsidRDefault="0055787C" w:rsidP="00DD7E43">
            <w:pPr>
              <w:jc w:val="center"/>
              <w:rPr>
                <w:rFonts w:ascii="宋体" w:eastAsia="宋体" w:hAnsi="宋体"/>
                <w:sz w:val="24"/>
                <w:szCs w:val="24"/>
              </w:rPr>
            </w:pPr>
            <w:r>
              <w:rPr>
                <w:rFonts w:ascii="宋体" w:eastAsia="宋体" w:hAnsi="宋体" w:hint="eastAsia"/>
                <w:sz w:val="24"/>
                <w:szCs w:val="24"/>
              </w:rPr>
              <w:t>34</w:t>
            </w:r>
          </w:p>
        </w:tc>
        <w:tc>
          <w:tcPr>
            <w:tcW w:w="5850" w:type="dxa"/>
            <w:tcBorders>
              <w:top w:val="single" w:sz="4" w:space="0" w:color="auto"/>
              <w:left w:val="single" w:sz="4" w:space="0" w:color="auto"/>
              <w:bottom w:val="single" w:sz="4" w:space="0" w:color="auto"/>
              <w:right w:val="single" w:sz="4" w:space="0" w:color="auto"/>
            </w:tcBorders>
            <w:shd w:val="clear" w:color="auto" w:fill="auto"/>
            <w:vAlign w:val="center"/>
          </w:tcPr>
          <w:p w14:paraId="1E582F94" w14:textId="77777777"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富荣基金管理有限公司关于旗下部分基金参加上海好买基金销售有限公司基金申购及定期定额投资申购费率优惠活动的公告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bottom"/>
          </w:tcPr>
          <w:p w14:paraId="3826058D" w14:textId="77777777"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06</w:t>
            </w:r>
            <w:r>
              <w:rPr>
                <w:rFonts w:hint="eastAsia"/>
                <w:color w:val="000000"/>
                <w:sz w:val="22"/>
              </w:rPr>
              <w:t>月</w:t>
            </w:r>
            <w:r>
              <w:rPr>
                <w:rFonts w:hint="eastAsia"/>
                <w:color w:val="000000"/>
                <w:sz w:val="22"/>
              </w:rPr>
              <w:t>29</w:t>
            </w:r>
            <w:r>
              <w:rPr>
                <w:rFonts w:hint="eastAsia"/>
                <w:color w:val="000000"/>
                <w:sz w:val="22"/>
              </w:rPr>
              <w:t>日</w:t>
            </w:r>
          </w:p>
        </w:tc>
      </w:tr>
      <w:tr w:rsidR="00DD7E43" w14:paraId="4C46F9CA" w14:textId="77777777" w:rsidTr="00E11C09">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62BEA44B" w14:textId="77777777" w:rsidR="00DD7E43" w:rsidRDefault="0055787C" w:rsidP="00DD7E43">
            <w:pPr>
              <w:jc w:val="center"/>
              <w:rPr>
                <w:rFonts w:ascii="宋体" w:eastAsia="宋体" w:hAnsi="宋体"/>
                <w:sz w:val="24"/>
                <w:szCs w:val="24"/>
              </w:rPr>
            </w:pPr>
            <w:r>
              <w:rPr>
                <w:rFonts w:ascii="宋体" w:eastAsia="宋体" w:hAnsi="宋体" w:hint="eastAsia"/>
                <w:sz w:val="24"/>
                <w:szCs w:val="24"/>
              </w:rPr>
              <w:t>35</w:t>
            </w:r>
          </w:p>
        </w:tc>
        <w:tc>
          <w:tcPr>
            <w:tcW w:w="5850" w:type="dxa"/>
            <w:tcBorders>
              <w:top w:val="single" w:sz="4" w:space="0" w:color="auto"/>
              <w:left w:val="single" w:sz="4" w:space="0" w:color="auto"/>
              <w:bottom w:val="single" w:sz="4" w:space="0" w:color="auto"/>
              <w:right w:val="single" w:sz="4" w:space="0" w:color="auto"/>
            </w:tcBorders>
            <w:shd w:val="clear" w:color="auto" w:fill="auto"/>
            <w:vAlign w:val="center"/>
          </w:tcPr>
          <w:p w14:paraId="46B1CFA6" w14:textId="77777777"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富荣基金管理有限公司旗下基金</w:t>
            </w:r>
            <w:r>
              <w:rPr>
                <w:rFonts w:hint="eastAsia"/>
                <w:color w:val="000000"/>
                <w:sz w:val="22"/>
              </w:rPr>
              <w:t>2019</w:t>
            </w:r>
            <w:r>
              <w:rPr>
                <w:rFonts w:hint="eastAsia"/>
                <w:color w:val="000000"/>
                <w:sz w:val="22"/>
              </w:rPr>
              <w:t>年半年度最后一个交易日基金资产净值、基金份额净值及份额累计净值公告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bottom"/>
          </w:tcPr>
          <w:p w14:paraId="2E77FD8E" w14:textId="77777777" w:rsidR="00DD7E43" w:rsidRPr="00C1630A" w:rsidRDefault="00DD7E43" w:rsidP="00DD7E43">
            <w:pPr>
              <w:jc w:val="center"/>
              <w:rPr>
                <w:rStyle w:val="af9"/>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06</w:t>
            </w:r>
            <w:r>
              <w:rPr>
                <w:rFonts w:hint="eastAsia"/>
                <w:color w:val="000000"/>
                <w:sz w:val="22"/>
              </w:rPr>
              <w:t>月</w:t>
            </w:r>
            <w:r>
              <w:rPr>
                <w:rFonts w:hint="eastAsia"/>
                <w:color w:val="000000"/>
                <w:sz w:val="22"/>
              </w:rPr>
              <w:t>29</w:t>
            </w:r>
            <w:r>
              <w:rPr>
                <w:rFonts w:hint="eastAsia"/>
                <w:color w:val="000000"/>
                <w:sz w:val="22"/>
              </w:rPr>
              <w:t>日</w:t>
            </w:r>
          </w:p>
        </w:tc>
      </w:tr>
      <w:tr w:rsidR="00DD7E43" w14:paraId="782AE8EA" w14:textId="77777777" w:rsidTr="000219D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59E9A5FB" w14:textId="77777777" w:rsidR="00DD7E43" w:rsidRDefault="0055787C" w:rsidP="00DD7E43">
            <w:pPr>
              <w:jc w:val="center"/>
              <w:rPr>
                <w:rFonts w:ascii="宋体" w:eastAsia="宋体" w:hAnsi="宋体"/>
                <w:sz w:val="24"/>
                <w:szCs w:val="24"/>
              </w:rPr>
            </w:pPr>
            <w:r>
              <w:rPr>
                <w:rFonts w:ascii="宋体" w:eastAsia="宋体" w:hAnsi="宋体" w:hint="eastAsia"/>
                <w:sz w:val="24"/>
                <w:szCs w:val="24"/>
              </w:rPr>
              <w:t>36</w:t>
            </w:r>
          </w:p>
        </w:tc>
        <w:tc>
          <w:tcPr>
            <w:tcW w:w="5850" w:type="dxa"/>
            <w:tcBorders>
              <w:top w:val="single" w:sz="4" w:space="0" w:color="auto"/>
              <w:left w:val="single" w:sz="4" w:space="0" w:color="auto"/>
              <w:bottom w:val="single" w:sz="4" w:space="0" w:color="auto"/>
              <w:right w:val="single" w:sz="4" w:space="0" w:color="auto"/>
            </w:tcBorders>
            <w:shd w:val="clear" w:color="auto" w:fill="auto"/>
            <w:vAlign w:val="center"/>
          </w:tcPr>
          <w:p w14:paraId="739161BA" w14:textId="77777777" w:rsidR="00DD7E43" w:rsidRDefault="00DD7E43" w:rsidP="00DD7E43">
            <w:pPr>
              <w:jc w:val="center"/>
              <w:rPr>
                <w:color w:val="000000"/>
                <w:sz w:val="22"/>
              </w:rPr>
            </w:pPr>
            <w:r w:rsidRPr="00DD7E43">
              <w:rPr>
                <w:rFonts w:hint="eastAsia"/>
                <w:color w:val="000000"/>
                <w:sz w:val="22"/>
              </w:rPr>
              <w:t>富荣基金管理有限公司旗下基金</w:t>
            </w:r>
            <w:r w:rsidRPr="00DD7E43">
              <w:rPr>
                <w:rFonts w:hint="eastAsia"/>
                <w:color w:val="000000"/>
                <w:sz w:val="22"/>
              </w:rPr>
              <w:t>2019</w:t>
            </w:r>
            <w:r w:rsidRPr="00DD7E43">
              <w:rPr>
                <w:rFonts w:hint="eastAsia"/>
                <w:color w:val="000000"/>
                <w:sz w:val="22"/>
              </w:rPr>
              <w:t>年半年度最后一个市场自然日基金资产净值、基金份额净值及份额累计净值公告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bottom"/>
          </w:tcPr>
          <w:p w14:paraId="2B5F0AB7" w14:textId="77777777" w:rsidR="00DD7E43" w:rsidRDefault="00DD7E43" w:rsidP="00DD7E43">
            <w:pPr>
              <w:jc w:val="center"/>
              <w:rPr>
                <w:color w:val="000000"/>
                <w:sz w:val="22"/>
              </w:rPr>
            </w:pPr>
            <w:r>
              <w:rPr>
                <w:rFonts w:hint="eastAsia"/>
                <w:color w:val="000000"/>
                <w:sz w:val="22"/>
              </w:rPr>
              <w:t>2019</w:t>
            </w:r>
            <w:r>
              <w:rPr>
                <w:rFonts w:hint="eastAsia"/>
                <w:color w:val="000000"/>
                <w:sz w:val="22"/>
              </w:rPr>
              <w:t>年</w:t>
            </w:r>
            <w:r>
              <w:rPr>
                <w:rFonts w:hint="eastAsia"/>
                <w:color w:val="000000"/>
                <w:sz w:val="22"/>
              </w:rPr>
              <w:t>07</w:t>
            </w:r>
            <w:r>
              <w:rPr>
                <w:rFonts w:hint="eastAsia"/>
                <w:color w:val="000000"/>
                <w:sz w:val="22"/>
              </w:rPr>
              <w:t>月</w:t>
            </w:r>
            <w:r>
              <w:rPr>
                <w:rFonts w:hint="eastAsia"/>
                <w:color w:val="000000"/>
                <w:sz w:val="22"/>
              </w:rPr>
              <w:t>01</w:t>
            </w:r>
            <w:r>
              <w:rPr>
                <w:rFonts w:hint="eastAsia"/>
                <w:color w:val="000000"/>
                <w:sz w:val="22"/>
              </w:rPr>
              <w:t>日</w:t>
            </w:r>
          </w:p>
        </w:tc>
      </w:tr>
      <w:tr w:rsidR="00DD7E43" w14:paraId="73A88660" w14:textId="77777777" w:rsidTr="000219D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2136626E" w14:textId="77777777" w:rsidR="00DD7E43" w:rsidRDefault="0055787C" w:rsidP="00DD7E43">
            <w:pPr>
              <w:jc w:val="center"/>
              <w:rPr>
                <w:rFonts w:ascii="宋体" w:eastAsia="宋体" w:hAnsi="宋体"/>
                <w:sz w:val="24"/>
                <w:szCs w:val="24"/>
              </w:rPr>
            </w:pPr>
            <w:r>
              <w:rPr>
                <w:rFonts w:ascii="宋体" w:eastAsia="宋体" w:hAnsi="宋体" w:hint="eastAsia"/>
                <w:sz w:val="24"/>
                <w:szCs w:val="24"/>
              </w:rPr>
              <w:t>37</w:t>
            </w:r>
          </w:p>
        </w:tc>
        <w:tc>
          <w:tcPr>
            <w:tcW w:w="5850" w:type="dxa"/>
            <w:tcBorders>
              <w:top w:val="single" w:sz="4" w:space="0" w:color="auto"/>
              <w:left w:val="single" w:sz="4" w:space="0" w:color="auto"/>
              <w:bottom w:val="single" w:sz="4" w:space="0" w:color="auto"/>
              <w:right w:val="single" w:sz="4" w:space="0" w:color="auto"/>
            </w:tcBorders>
            <w:shd w:val="clear" w:color="auto" w:fill="auto"/>
            <w:vAlign w:val="center"/>
          </w:tcPr>
          <w:p w14:paraId="3E6ACE88" w14:textId="77777777" w:rsidR="00DD7E43" w:rsidRDefault="00DD7E43" w:rsidP="00DD7E43">
            <w:pPr>
              <w:jc w:val="center"/>
              <w:rPr>
                <w:color w:val="000000"/>
                <w:sz w:val="22"/>
              </w:rPr>
            </w:pPr>
            <w:r w:rsidRPr="00DD7E43">
              <w:rPr>
                <w:rFonts w:hint="eastAsia"/>
                <w:color w:val="000000"/>
                <w:sz w:val="22"/>
              </w:rPr>
              <w:t>富荣基金管理有限公司关于旗下部分基金参加上海天天基金销售有限公司基金申购及定期定额投资申购费率优惠活动的公告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bottom"/>
          </w:tcPr>
          <w:p w14:paraId="22821691" w14:textId="77777777" w:rsidR="00DD7E43" w:rsidRDefault="00DD7E43" w:rsidP="00DD7E43">
            <w:pPr>
              <w:jc w:val="center"/>
              <w:rPr>
                <w:color w:val="000000"/>
                <w:sz w:val="22"/>
              </w:rPr>
            </w:pPr>
            <w:r>
              <w:rPr>
                <w:rFonts w:hint="eastAsia"/>
                <w:color w:val="000000"/>
                <w:sz w:val="22"/>
              </w:rPr>
              <w:t>2019</w:t>
            </w:r>
            <w:r>
              <w:rPr>
                <w:rFonts w:hint="eastAsia"/>
                <w:color w:val="000000"/>
                <w:sz w:val="22"/>
              </w:rPr>
              <w:t>年</w:t>
            </w:r>
            <w:r>
              <w:rPr>
                <w:rFonts w:hint="eastAsia"/>
                <w:color w:val="000000"/>
                <w:sz w:val="22"/>
              </w:rPr>
              <w:t>07</w:t>
            </w:r>
            <w:r>
              <w:rPr>
                <w:rFonts w:hint="eastAsia"/>
                <w:color w:val="000000"/>
                <w:sz w:val="22"/>
              </w:rPr>
              <w:t>月</w:t>
            </w:r>
            <w:r>
              <w:rPr>
                <w:rFonts w:hint="eastAsia"/>
                <w:color w:val="000000"/>
                <w:sz w:val="22"/>
              </w:rPr>
              <w:t>15</w:t>
            </w:r>
            <w:r>
              <w:rPr>
                <w:rFonts w:hint="eastAsia"/>
                <w:color w:val="000000"/>
                <w:sz w:val="22"/>
              </w:rPr>
              <w:t>日</w:t>
            </w:r>
          </w:p>
        </w:tc>
      </w:tr>
      <w:tr w:rsidR="00DD7E43" w14:paraId="209EBEB0" w14:textId="77777777" w:rsidTr="000219D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2337F894" w14:textId="77777777" w:rsidR="00DD7E43" w:rsidRDefault="0055787C" w:rsidP="00DD7E43">
            <w:pPr>
              <w:jc w:val="center"/>
              <w:rPr>
                <w:rFonts w:ascii="宋体" w:eastAsia="宋体" w:hAnsi="宋体"/>
                <w:sz w:val="24"/>
                <w:szCs w:val="24"/>
              </w:rPr>
            </w:pPr>
            <w:r>
              <w:rPr>
                <w:rFonts w:ascii="宋体" w:eastAsia="宋体" w:hAnsi="宋体" w:hint="eastAsia"/>
                <w:sz w:val="24"/>
                <w:szCs w:val="24"/>
              </w:rPr>
              <w:t>38</w:t>
            </w:r>
          </w:p>
        </w:tc>
        <w:tc>
          <w:tcPr>
            <w:tcW w:w="5850" w:type="dxa"/>
            <w:tcBorders>
              <w:top w:val="single" w:sz="4" w:space="0" w:color="auto"/>
              <w:left w:val="single" w:sz="4" w:space="0" w:color="auto"/>
              <w:bottom w:val="single" w:sz="4" w:space="0" w:color="auto"/>
              <w:right w:val="single" w:sz="4" w:space="0" w:color="auto"/>
            </w:tcBorders>
            <w:shd w:val="clear" w:color="auto" w:fill="auto"/>
            <w:vAlign w:val="center"/>
          </w:tcPr>
          <w:p w14:paraId="3548083A" w14:textId="77777777" w:rsidR="00DD7E43" w:rsidRDefault="00DD7E43" w:rsidP="00DD7E43">
            <w:pPr>
              <w:jc w:val="center"/>
              <w:rPr>
                <w:color w:val="000000"/>
                <w:sz w:val="22"/>
              </w:rPr>
            </w:pPr>
            <w:r w:rsidRPr="00DD7E43">
              <w:rPr>
                <w:rFonts w:hint="eastAsia"/>
                <w:color w:val="000000"/>
                <w:sz w:val="22"/>
              </w:rPr>
              <w:t>富荣基金管理有限公司关于旗下部分基金新增上海天天基金销售有限公司为销售机构并开通基金定投转换业务的公告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bottom"/>
          </w:tcPr>
          <w:p w14:paraId="27707755" w14:textId="77777777" w:rsidR="00DD7E43" w:rsidRDefault="00DD7E43" w:rsidP="00DD7E43">
            <w:pPr>
              <w:jc w:val="center"/>
              <w:rPr>
                <w:color w:val="000000"/>
                <w:sz w:val="22"/>
              </w:rPr>
            </w:pPr>
            <w:r>
              <w:rPr>
                <w:rFonts w:hint="eastAsia"/>
                <w:color w:val="000000"/>
                <w:sz w:val="22"/>
              </w:rPr>
              <w:t>2019</w:t>
            </w:r>
            <w:r>
              <w:rPr>
                <w:rFonts w:hint="eastAsia"/>
                <w:color w:val="000000"/>
                <w:sz w:val="22"/>
              </w:rPr>
              <w:t>年</w:t>
            </w:r>
            <w:r>
              <w:rPr>
                <w:rFonts w:hint="eastAsia"/>
                <w:color w:val="000000"/>
                <w:sz w:val="22"/>
              </w:rPr>
              <w:t>07</w:t>
            </w:r>
            <w:r>
              <w:rPr>
                <w:rFonts w:hint="eastAsia"/>
                <w:color w:val="000000"/>
                <w:sz w:val="22"/>
              </w:rPr>
              <w:t>月</w:t>
            </w:r>
            <w:r>
              <w:rPr>
                <w:rFonts w:hint="eastAsia"/>
                <w:color w:val="000000"/>
                <w:sz w:val="22"/>
              </w:rPr>
              <w:t>15</w:t>
            </w:r>
            <w:r>
              <w:rPr>
                <w:rFonts w:hint="eastAsia"/>
                <w:color w:val="000000"/>
                <w:sz w:val="22"/>
              </w:rPr>
              <w:t>日</w:t>
            </w:r>
          </w:p>
        </w:tc>
      </w:tr>
      <w:tr w:rsidR="00DD7E43" w14:paraId="67C8DE31" w14:textId="77777777" w:rsidTr="000219D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0506325E" w14:textId="77777777" w:rsidR="00DD7E43" w:rsidRDefault="0055787C" w:rsidP="00DD7E43">
            <w:pPr>
              <w:jc w:val="center"/>
              <w:rPr>
                <w:rFonts w:ascii="宋体" w:eastAsia="宋体" w:hAnsi="宋体"/>
                <w:sz w:val="24"/>
                <w:szCs w:val="24"/>
              </w:rPr>
            </w:pPr>
            <w:r>
              <w:rPr>
                <w:rFonts w:ascii="宋体" w:eastAsia="宋体" w:hAnsi="宋体" w:hint="eastAsia"/>
                <w:sz w:val="24"/>
                <w:szCs w:val="24"/>
              </w:rPr>
              <w:t>39</w:t>
            </w:r>
          </w:p>
        </w:tc>
        <w:tc>
          <w:tcPr>
            <w:tcW w:w="5850" w:type="dxa"/>
            <w:tcBorders>
              <w:top w:val="single" w:sz="4" w:space="0" w:color="auto"/>
              <w:left w:val="single" w:sz="4" w:space="0" w:color="auto"/>
              <w:bottom w:val="single" w:sz="4" w:space="0" w:color="auto"/>
              <w:right w:val="single" w:sz="4" w:space="0" w:color="auto"/>
            </w:tcBorders>
            <w:shd w:val="clear" w:color="auto" w:fill="auto"/>
            <w:vAlign w:val="center"/>
          </w:tcPr>
          <w:p w14:paraId="59C6FE1D" w14:textId="77777777" w:rsidR="00DD7E43" w:rsidRDefault="00DD7E43" w:rsidP="00DD7E43">
            <w:pPr>
              <w:jc w:val="center"/>
              <w:rPr>
                <w:color w:val="000000"/>
                <w:sz w:val="22"/>
              </w:rPr>
            </w:pPr>
            <w:r w:rsidRPr="00DD7E43">
              <w:rPr>
                <w:rFonts w:hint="eastAsia"/>
                <w:color w:val="000000"/>
                <w:sz w:val="22"/>
              </w:rPr>
              <w:t>富荣基金管理有限公司关于旗下部分基金参加五矿证券有限公司基金申购及定期定额投资申购费率优惠活动的公告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bottom"/>
          </w:tcPr>
          <w:p w14:paraId="420F80B1" w14:textId="77777777" w:rsidR="00DD7E43" w:rsidRDefault="00DD7E43" w:rsidP="00DD7E43">
            <w:pPr>
              <w:jc w:val="center"/>
              <w:rPr>
                <w:color w:val="000000"/>
                <w:sz w:val="22"/>
              </w:rPr>
            </w:pPr>
            <w:r>
              <w:rPr>
                <w:rFonts w:hint="eastAsia"/>
                <w:color w:val="000000"/>
                <w:sz w:val="22"/>
              </w:rPr>
              <w:t>2019</w:t>
            </w:r>
            <w:r>
              <w:rPr>
                <w:rFonts w:hint="eastAsia"/>
                <w:color w:val="000000"/>
                <w:sz w:val="22"/>
              </w:rPr>
              <w:t>年</w:t>
            </w:r>
            <w:r>
              <w:rPr>
                <w:rFonts w:hint="eastAsia"/>
                <w:color w:val="000000"/>
                <w:sz w:val="22"/>
              </w:rPr>
              <w:t>07</w:t>
            </w:r>
            <w:r>
              <w:rPr>
                <w:rFonts w:hint="eastAsia"/>
                <w:color w:val="000000"/>
                <w:sz w:val="22"/>
              </w:rPr>
              <w:t>月</w:t>
            </w:r>
            <w:r>
              <w:rPr>
                <w:rFonts w:hint="eastAsia"/>
                <w:color w:val="000000"/>
                <w:sz w:val="22"/>
              </w:rPr>
              <w:t>17</w:t>
            </w:r>
            <w:r>
              <w:rPr>
                <w:rFonts w:hint="eastAsia"/>
                <w:color w:val="000000"/>
                <w:sz w:val="22"/>
              </w:rPr>
              <w:t>日</w:t>
            </w:r>
          </w:p>
        </w:tc>
      </w:tr>
      <w:tr w:rsidR="00DD7E43" w14:paraId="77ABE87E" w14:textId="77777777" w:rsidTr="000219D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2000DA1D" w14:textId="77777777" w:rsidR="00DD7E43" w:rsidRDefault="0055787C" w:rsidP="00DD7E43">
            <w:pPr>
              <w:jc w:val="center"/>
              <w:rPr>
                <w:rFonts w:ascii="宋体" w:eastAsia="宋体" w:hAnsi="宋体"/>
                <w:sz w:val="24"/>
                <w:szCs w:val="24"/>
              </w:rPr>
            </w:pPr>
            <w:r>
              <w:rPr>
                <w:rFonts w:ascii="宋体" w:eastAsia="宋体" w:hAnsi="宋体" w:hint="eastAsia"/>
                <w:sz w:val="24"/>
                <w:szCs w:val="24"/>
              </w:rPr>
              <w:t>40</w:t>
            </w:r>
          </w:p>
        </w:tc>
        <w:tc>
          <w:tcPr>
            <w:tcW w:w="5850" w:type="dxa"/>
            <w:tcBorders>
              <w:top w:val="single" w:sz="4" w:space="0" w:color="auto"/>
              <w:left w:val="single" w:sz="4" w:space="0" w:color="auto"/>
              <w:bottom w:val="single" w:sz="4" w:space="0" w:color="auto"/>
              <w:right w:val="single" w:sz="4" w:space="0" w:color="auto"/>
            </w:tcBorders>
            <w:shd w:val="clear" w:color="auto" w:fill="auto"/>
            <w:vAlign w:val="center"/>
          </w:tcPr>
          <w:p w14:paraId="5BBC5BFB" w14:textId="77777777" w:rsidR="00DD7E43" w:rsidRDefault="00DD7E43" w:rsidP="00DD7E43">
            <w:pPr>
              <w:jc w:val="center"/>
              <w:rPr>
                <w:color w:val="000000"/>
                <w:sz w:val="22"/>
              </w:rPr>
            </w:pPr>
            <w:r w:rsidRPr="00DD7E43">
              <w:rPr>
                <w:rFonts w:hint="eastAsia"/>
                <w:color w:val="000000"/>
                <w:sz w:val="22"/>
              </w:rPr>
              <w:t>富荣基金管理有限公司关于旗下部分基金新增五矿证券有限公司为销售机构并开通基金定投转换业务的公告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bottom"/>
          </w:tcPr>
          <w:p w14:paraId="64219708" w14:textId="77777777" w:rsidR="00DD7E43" w:rsidRDefault="00DD7E43" w:rsidP="00DD7E43">
            <w:pPr>
              <w:jc w:val="center"/>
              <w:rPr>
                <w:color w:val="000000"/>
                <w:sz w:val="22"/>
              </w:rPr>
            </w:pPr>
            <w:r>
              <w:rPr>
                <w:rFonts w:hint="eastAsia"/>
                <w:color w:val="000000"/>
                <w:sz w:val="22"/>
              </w:rPr>
              <w:t>2019</w:t>
            </w:r>
            <w:r>
              <w:rPr>
                <w:rFonts w:hint="eastAsia"/>
                <w:color w:val="000000"/>
                <w:sz w:val="22"/>
              </w:rPr>
              <w:t>年</w:t>
            </w:r>
            <w:r>
              <w:rPr>
                <w:rFonts w:hint="eastAsia"/>
                <w:color w:val="000000"/>
                <w:sz w:val="22"/>
              </w:rPr>
              <w:t>07</w:t>
            </w:r>
            <w:r>
              <w:rPr>
                <w:rFonts w:hint="eastAsia"/>
                <w:color w:val="000000"/>
                <w:sz w:val="22"/>
              </w:rPr>
              <w:t>月</w:t>
            </w:r>
            <w:r>
              <w:rPr>
                <w:rFonts w:hint="eastAsia"/>
                <w:color w:val="000000"/>
                <w:sz w:val="22"/>
              </w:rPr>
              <w:t>17</w:t>
            </w:r>
            <w:r>
              <w:rPr>
                <w:rFonts w:hint="eastAsia"/>
                <w:color w:val="000000"/>
                <w:sz w:val="22"/>
              </w:rPr>
              <w:t>日</w:t>
            </w:r>
          </w:p>
        </w:tc>
      </w:tr>
      <w:tr w:rsidR="00DD7E43" w14:paraId="7F92C451" w14:textId="77777777" w:rsidTr="000219D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19031AC5" w14:textId="77777777" w:rsidR="00DD7E43" w:rsidRDefault="0055787C" w:rsidP="00DD7E43">
            <w:pPr>
              <w:jc w:val="center"/>
              <w:rPr>
                <w:rFonts w:ascii="宋体" w:eastAsia="宋体" w:hAnsi="宋体"/>
                <w:sz w:val="24"/>
                <w:szCs w:val="24"/>
              </w:rPr>
            </w:pPr>
            <w:r>
              <w:rPr>
                <w:rFonts w:ascii="宋体" w:eastAsia="宋体" w:hAnsi="宋体" w:hint="eastAsia"/>
                <w:sz w:val="24"/>
                <w:szCs w:val="24"/>
              </w:rPr>
              <w:t>41</w:t>
            </w:r>
          </w:p>
        </w:tc>
        <w:tc>
          <w:tcPr>
            <w:tcW w:w="5850" w:type="dxa"/>
            <w:tcBorders>
              <w:top w:val="single" w:sz="4" w:space="0" w:color="auto"/>
              <w:left w:val="single" w:sz="4" w:space="0" w:color="auto"/>
              <w:bottom w:val="single" w:sz="4" w:space="0" w:color="auto"/>
              <w:right w:val="single" w:sz="4" w:space="0" w:color="auto"/>
            </w:tcBorders>
            <w:shd w:val="clear" w:color="auto" w:fill="auto"/>
            <w:vAlign w:val="center"/>
          </w:tcPr>
          <w:p w14:paraId="2726A7BF" w14:textId="77777777" w:rsidR="00DD7E43" w:rsidRDefault="00DD7E43" w:rsidP="00DD7E43">
            <w:pPr>
              <w:jc w:val="center"/>
              <w:rPr>
                <w:color w:val="000000"/>
                <w:sz w:val="22"/>
              </w:rPr>
            </w:pPr>
            <w:r w:rsidRPr="00DD7E43">
              <w:rPr>
                <w:rFonts w:hint="eastAsia"/>
                <w:color w:val="000000"/>
                <w:sz w:val="22"/>
              </w:rPr>
              <w:t>富荣福鑫灵活配置混合型证券投资基金</w:t>
            </w:r>
            <w:r w:rsidRPr="00DD7E43">
              <w:rPr>
                <w:rFonts w:hint="eastAsia"/>
                <w:color w:val="000000"/>
                <w:sz w:val="22"/>
              </w:rPr>
              <w:t>2019</w:t>
            </w:r>
            <w:r w:rsidRPr="00DD7E43">
              <w:rPr>
                <w:rFonts w:hint="eastAsia"/>
                <w:color w:val="000000"/>
                <w:sz w:val="22"/>
              </w:rPr>
              <w:t>年第二季度报告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bottom"/>
          </w:tcPr>
          <w:p w14:paraId="10FE1C5D" w14:textId="77777777" w:rsidR="00DD7E43" w:rsidRDefault="00DD7E43" w:rsidP="00DD7E43">
            <w:pPr>
              <w:jc w:val="center"/>
              <w:rPr>
                <w:color w:val="000000"/>
                <w:sz w:val="22"/>
              </w:rPr>
            </w:pPr>
            <w:r>
              <w:rPr>
                <w:rFonts w:hint="eastAsia"/>
                <w:color w:val="000000"/>
                <w:sz w:val="22"/>
              </w:rPr>
              <w:t>2019</w:t>
            </w:r>
            <w:r>
              <w:rPr>
                <w:rFonts w:hint="eastAsia"/>
                <w:color w:val="000000"/>
                <w:sz w:val="22"/>
              </w:rPr>
              <w:t>年</w:t>
            </w:r>
            <w:r>
              <w:rPr>
                <w:rFonts w:hint="eastAsia"/>
                <w:color w:val="000000"/>
                <w:sz w:val="22"/>
              </w:rPr>
              <w:t>07</w:t>
            </w:r>
            <w:r>
              <w:rPr>
                <w:rFonts w:hint="eastAsia"/>
                <w:color w:val="000000"/>
                <w:sz w:val="22"/>
              </w:rPr>
              <w:t>月</w:t>
            </w:r>
            <w:r>
              <w:rPr>
                <w:rFonts w:hint="eastAsia"/>
                <w:color w:val="000000"/>
                <w:sz w:val="22"/>
              </w:rPr>
              <w:t>18</w:t>
            </w:r>
            <w:r>
              <w:rPr>
                <w:rFonts w:hint="eastAsia"/>
                <w:color w:val="000000"/>
                <w:sz w:val="22"/>
              </w:rPr>
              <w:t>日</w:t>
            </w:r>
          </w:p>
        </w:tc>
      </w:tr>
      <w:tr w:rsidR="00DD7E43" w14:paraId="62B8A5AC" w14:textId="77777777" w:rsidTr="000219D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3C8261E5" w14:textId="77777777" w:rsidR="00DD7E43" w:rsidRDefault="0055787C" w:rsidP="00DD7E43">
            <w:pPr>
              <w:jc w:val="center"/>
              <w:rPr>
                <w:rFonts w:ascii="宋体" w:eastAsia="宋体" w:hAnsi="宋体"/>
                <w:sz w:val="24"/>
                <w:szCs w:val="24"/>
              </w:rPr>
            </w:pPr>
            <w:r>
              <w:rPr>
                <w:rFonts w:ascii="宋体" w:eastAsia="宋体" w:hAnsi="宋体" w:hint="eastAsia"/>
                <w:sz w:val="24"/>
                <w:szCs w:val="24"/>
              </w:rPr>
              <w:t>42</w:t>
            </w:r>
          </w:p>
        </w:tc>
        <w:tc>
          <w:tcPr>
            <w:tcW w:w="5850" w:type="dxa"/>
            <w:tcBorders>
              <w:top w:val="single" w:sz="4" w:space="0" w:color="auto"/>
              <w:left w:val="single" w:sz="4" w:space="0" w:color="auto"/>
              <w:bottom w:val="single" w:sz="4" w:space="0" w:color="auto"/>
              <w:right w:val="single" w:sz="4" w:space="0" w:color="auto"/>
            </w:tcBorders>
            <w:shd w:val="clear" w:color="auto" w:fill="auto"/>
            <w:vAlign w:val="center"/>
          </w:tcPr>
          <w:p w14:paraId="70F25B71" w14:textId="77777777" w:rsidR="00DD7E43" w:rsidRDefault="00DD7E43" w:rsidP="00DD7E43">
            <w:pPr>
              <w:jc w:val="center"/>
              <w:rPr>
                <w:color w:val="000000"/>
                <w:sz w:val="22"/>
              </w:rPr>
            </w:pPr>
            <w:r w:rsidRPr="00DD7E43">
              <w:rPr>
                <w:rFonts w:hint="eastAsia"/>
                <w:color w:val="000000"/>
                <w:sz w:val="22"/>
              </w:rPr>
              <w:t>富荣基金管理有限公司关于旗下部分基金参加蚂蚁（杭州）基金销售有限公司基金申购及定期定额投资申购费率优惠活动的公告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bottom"/>
          </w:tcPr>
          <w:p w14:paraId="1CAAE24F" w14:textId="77777777" w:rsidR="00DD7E43" w:rsidRDefault="00DD7E43" w:rsidP="00DD7E43">
            <w:pPr>
              <w:jc w:val="center"/>
              <w:rPr>
                <w:color w:val="000000"/>
                <w:sz w:val="22"/>
              </w:rPr>
            </w:pPr>
            <w:r>
              <w:rPr>
                <w:rFonts w:hint="eastAsia"/>
                <w:color w:val="000000"/>
                <w:sz w:val="22"/>
              </w:rPr>
              <w:t>2019</w:t>
            </w:r>
            <w:r>
              <w:rPr>
                <w:rFonts w:hint="eastAsia"/>
                <w:color w:val="000000"/>
                <w:sz w:val="22"/>
              </w:rPr>
              <w:t>年</w:t>
            </w:r>
            <w:r>
              <w:rPr>
                <w:rFonts w:hint="eastAsia"/>
                <w:color w:val="000000"/>
                <w:sz w:val="22"/>
              </w:rPr>
              <w:t>07</w:t>
            </w:r>
            <w:r>
              <w:rPr>
                <w:rFonts w:hint="eastAsia"/>
                <w:color w:val="000000"/>
                <w:sz w:val="22"/>
              </w:rPr>
              <w:t>月</w:t>
            </w:r>
            <w:r>
              <w:rPr>
                <w:rFonts w:hint="eastAsia"/>
                <w:color w:val="000000"/>
                <w:sz w:val="22"/>
              </w:rPr>
              <w:t>22</w:t>
            </w:r>
            <w:r>
              <w:rPr>
                <w:rFonts w:hint="eastAsia"/>
                <w:color w:val="000000"/>
                <w:sz w:val="22"/>
              </w:rPr>
              <w:t>日</w:t>
            </w:r>
          </w:p>
        </w:tc>
      </w:tr>
      <w:tr w:rsidR="00DD7E43" w14:paraId="5BD145D1" w14:textId="77777777" w:rsidTr="000219D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60B8A16E" w14:textId="77777777" w:rsidR="00DD7E43" w:rsidRDefault="0055787C" w:rsidP="00DD7E43">
            <w:pPr>
              <w:jc w:val="center"/>
              <w:rPr>
                <w:rFonts w:ascii="宋体" w:eastAsia="宋体" w:hAnsi="宋体"/>
                <w:sz w:val="24"/>
                <w:szCs w:val="24"/>
              </w:rPr>
            </w:pPr>
            <w:r>
              <w:rPr>
                <w:rFonts w:ascii="宋体" w:eastAsia="宋体" w:hAnsi="宋体" w:hint="eastAsia"/>
                <w:sz w:val="24"/>
                <w:szCs w:val="24"/>
              </w:rPr>
              <w:t>43</w:t>
            </w:r>
          </w:p>
        </w:tc>
        <w:tc>
          <w:tcPr>
            <w:tcW w:w="5850" w:type="dxa"/>
            <w:tcBorders>
              <w:top w:val="single" w:sz="4" w:space="0" w:color="auto"/>
              <w:left w:val="single" w:sz="4" w:space="0" w:color="auto"/>
              <w:bottom w:val="single" w:sz="4" w:space="0" w:color="auto"/>
              <w:right w:val="single" w:sz="4" w:space="0" w:color="auto"/>
            </w:tcBorders>
            <w:shd w:val="clear" w:color="auto" w:fill="auto"/>
            <w:vAlign w:val="center"/>
          </w:tcPr>
          <w:p w14:paraId="2615F305" w14:textId="77777777" w:rsidR="00DD7E43" w:rsidRDefault="00DD7E43" w:rsidP="00DD7E43">
            <w:pPr>
              <w:jc w:val="center"/>
              <w:rPr>
                <w:color w:val="000000"/>
                <w:sz w:val="22"/>
              </w:rPr>
            </w:pPr>
            <w:r w:rsidRPr="00DD7E43">
              <w:rPr>
                <w:rFonts w:hint="eastAsia"/>
                <w:color w:val="000000"/>
                <w:sz w:val="22"/>
              </w:rPr>
              <w:t>富荣基金管理有限公司关于旗下部分基金新增蚂蚁（杭州）基金销售有限公司为销售机构并开通基金定投转换业务的公告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bottom"/>
          </w:tcPr>
          <w:p w14:paraId="3318DC89" w14:textId="77777777" w:rsidR="00DD7E43" w:rsidRDefault="00DD7E43" w:rsidP="00DD7E43">
            <w:pPr>
              <w:jc w:val="center"/>
              <w:rPr>
                <w:color w:val="000000"/>
                <w:sz w:val="22"/>
              </w:rPr>
            </w:pPr>
            <w:r>
              <w:rPr>
                <w:rFonts w:hint="eastAsia"/>
                <w:color w:val="000000"/>
                <w:sz w:val="22"/>
              </w:rPr>
              <w:t>2019</w:t>
            </w:r>
            <w:r>
              <w:rPr>
                <w:rFonts w:hint="eastAsia"/>
                <w:color w:val="000000"/>
                <w:sz w:val="22"/>
              </w:rPr>
              <w:t>年</w:t>
            </w:r>
            <w:r>
              <w:rPr>
                <w:rFonts w:hint="eastAsia"/>
                <w:color w:val="000000"/>
                <w:sz w:val="22"/>
              </w:rPr>
              <w:t>07</w:t>
            </w:r>
            <w:r>
              <w:rPr>
                <w:rFonts w:hint="eastAsia"/>
                <w:color w:val="000000"/>
                <w:sz w:val="22"/>
              </w:rPr>
              <w:t>月</w:t>
            </w:r>
            <w:r>
              <w:rPr>
                <w:rFonts w:hint="eastAsia"/>
                <w:color w:val="000000"/>
                <w:sz w:val="22"/>
              </w:rPr>
              <w:t>22</w:t>
            </w:r>
            <w:r>
              <w:rPr>
                <w:rFonts w:hint="eastAsia"/>
                <w:color w:val="000000"/>
                <w:sz w:val="22"/>
              </w:rPr>
              <w:t>日</w:t>
            </w:r>
          </w:p>
        </w:tc>
      </w:tr>
      <w:tr w:rsidR="009F1B19" w14:paraId="3C96F0AF" w14:textId="77777777" w:rsidTr="000219D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067038CC" w14:textId="77777777" w:rsidR="009F1B19" w:rsidRDefault="0055787C" w:rsidP="009F1B19">
            <w:pPr>
              <w:jc w:val="center"/>
              <w:rPr>
                <w:rFonts w:ascii="宋体" w:eastAsia="宋体" w:hAnsi="宋体"/>
                <w:sz w:val="24"/>
                <w:szCs w:val="24"/>
              </w:rPr>
            </w:pPr>
            <w:r>
              <w:rPr>
                <w:rFonts w:ascii="宋体" w:eastAsia="宋体" w:hAnsi="宋体" w:hint="eastAsia"/>
                <w:sz w:val="24"/>
                <w:szCs w:val="24"/>
              </w:rPr>
              <w:t>44</w:t>
            </w:r>
          </w:p>
        </w:tc>
        <w:tc>
          <w:tcPr>
            <w:tcW w:w="5850" w:type="dxa"/>
            <w:tcBorders>
              <w:top w:val="single" w:sz="4" w:space="0" w:color="auto"/>
              <w:left w:val="single" w:sz="4" w:space="0" w:color="auto"/>
              <w:bottom w:val="single" w:sz="4" w:space="0" w:color="auto"/>
              <w:right w:val="single" w:sz="4" w:space="0" w:color="auto"/>
            </w:tcBorders>
            <w:shd w:val="clear" w:color="auto" w:fill="auto"/>
            <w:vAlign w:val="center"/>
          </w:tcPr>
          <w:p w14:paraId="1A3FA3BB" w14:textId="77777777" w:rsidR="009F1B19" w:rsidRDefault="009F1B19" w:rsidP="009F1B19">
            <w:pPr>
              <w:jc w:val="center"/>
              <w:rPr>
                <w:color w:val="000000"/>
                <w:sz w:val="22"/>
              </w:rPr>
            </w:pPr>
            <w:r w:rsidRPr="009F1B19">
              <w:rPr>
                <w:rFonts w:hint="eastAsia"/>
                <w:color w:val="000000"/>
                <w:sz w:val="22"/>
              </w:rPr>
              <w:t>富荣基金管理有限公司关于旗下部分基金参加上海联泰资产管理有限公司</w:t>
            </w:r>
            <w:r w:rsidRPr="009F1B19">
              <w:rPr>
                <w:rFonts w:hint="eastAsia"/>
                <w:color w:val="000000"/>
                <w:sz w:val="22"/>
              </w:rPr>
              <w:t xml:space="preserve"> </w:t>
            </w:r>
            <w:r w:rsidRPr="009F1B19">
              <w:rPr>
                <w:rFonts w:hint="eastAsia"/>
                <w:color w:val="000000"/>
                <w:sz w:val="22"/>
              </w:rPr>
              <w:t>基金申购及定期定额投资申购费率优惠活动的公告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bottom"/>
          </w:tcPr>
          <w:p w14:paraId="16790A90" w14:textId="77777777" w:rsidR="009F1B19" w:rsidRDefault="009F1B19" w:rsidP="009F1B19">
            <w:pPr>
              <w:jc w:val="center"/>
              <w:rPr>
                <w:color w:val="000000"/>
                <w:sz w:val="22"/>
              </w:rPr>
            </w:pPr>
            <w:r>
              <w:rPr>
                <w:rFonts w:hint="eastAsia"/>
                <w:color w:val="000000"/>
                <w:sz w:val="22"/>
              </w:rPr>
              <w:t>2019</w:t>
            </w:r>
            <w:r>
              <w:rPr>
                <w:rFonts w:hint="eastAsia"/>
                <w:color w:val="000000"/>
                <w:sz w:val="22"/>
              </w:rPr>
              <w:t>年</w:t>
            </w:r>
            <w:r>
              <w:rPr>
                <w:rFonts w:hint="eastAsia"/>
                <w:color w:val="000000"/>
                <w:sz w:val="22"/>
              </w:rPr>
              <w:t>07</w:t>
            </w:r>
            <w:r>
              <w:rPr>
                <w:rFonts w:hint="eastAsia"/>
                <w:color w:val="000000"/>
                <w:sz w:val="22"/>
              </w:rPr>
              <w:t>月</w:t>
            </w:r>
            <w:r>
              <w:rPr>
                <w:rFonts w:hint="eastAsia"/>
                <w:color w:val="000000"/>
                <w:sz w:val="22"/>
              </w:rPr>
              <w:t>25</w:t>
            </w:r>
            <w:r>
              <w:rPr>
                <w:rFonts w:hint="eastAsia"/>
                <w:color w:val="000000"/>
                <w:sz w:val="22"/>
              </w:rPr>
              <w:t>日</w:t>
            </w:r>
          </w:p>
        </w:tc>
      </w:tr>
      <w:tr w:rsidR="009F1B19" w14:paraId="3FA6D88F" w14:textId="77777777" w:rsidTr="000219D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059C3029" w14:textId="77777777" w:rsidR="009F1B19" w:rsidRDefault="0055787C" w:rsidP="009F1B19">
            <w:pPr>
              <w:jc w:val="center"/>
              <w:rPr>
                <w:rFonts w:ascii="宋体" w:eastAsia="宋体" w:hAnsi="宋体"/>
                <w:sz w:val="24"/>
                <w:szCs w:val="24"/>
              </w:rPr>
            </w:pPr>
            <w:r>
              <w:rPr>
                <w:rFonts w:ascii="宋体" w:eastAsia="宋体" w:hAnsi="宋体" w:hint="eastAsia"/>
                <w:sz w:val="24"/>
                <w:szCs w:val="24"/>
              </w:rPr>
              <w:t>4</w:t>
            </w:r>
            <w:r>
              <w:rPr>
                <w:rFonts w:ascii="宋体" w:eastAsia="宋体" w:hAnsi="宋体"/>
                <w:sz w:val="24"/>
                <w:szCs w:val="24"/>
              </w:rPr>
              <w:t>5</w:t>
            </w:r>
          </w:p>
        </w:tc>
        <w:tc>
          <w:tcPr>
            <w:tcW w:w="5850" w:type="dxa"/>
            <w:tcBorders>
              <w:top w:val="single" w:sz="4" w:space="0" w:color="auto"/>
              <w:left w:val="single" w:sz="4" w:space="0" w:color="auto"/>
              <w:bottom w:val="single" w:sz="4" w:space="0" w:color="auto"/>
              <w:right w:val="single" w:sz="4" w:space="0" w:color="auto"/>
            </w:tcBorders>
            <w:shd w:val="clear" w:color="auto" w:fill="auto"/>
            <w:vAlign w:val="center"/>
          </w:tcPr>
          <w:p w14:paraId="53F04C6A" w14:textId="77777777" w:rsidR="009F1B19" w:rsidRDefault="009F1B19" w:rsidP="009F1B19">
            <w:pPr>
              <w:jc w:val="center"/>
              <w:rPr>
                <w:color w:val="000000"/>
                <w:sz w:val="22"/>
              </w:rPr>
            </w:pPr>
            <w:r w:rsidRPr="009F1B19">
              <w:rPr>
                <w:rFonts w:hint="eastAsia"/>
                <w:color w:val="000000"/>
                <w:sz w:val="22"/>
              </w:rPr>
              <w:t>富荣基金管理有限公司关于旗下部分基金新增上海联泰资产管理有限公司为销售机构并开通基金定投转换业务的公告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bottom"/>
          </w:tcPr>
          <w:p w14:paraId="44B06F33" w14:textId="77777777" w:rsidR="009F1B19" w:rsidRDefault="009F1B19" w:rsidP="009F1B19">
            <w:pPr>
              <w:jc w:val="center"/>
              <w:rPr>
                <w:color w:val="000000"/>
                <w:sz w:val="22"/>
              </w:rPr>
            </w:pPr>
            <w:r>
              <w:rPr>
                <w:rFonts w:hint="eastAsia"/>
                <w:color w:val="000000"/>
                <w:sz w:val="22"/>
              </w:rPr>
              <w:t>2019</w:t>
            </w:r>
            <w:r>
              <w:rPr>
                <w:rFonts w:hint="eastAsia"/>
                <w:color w:val="000000"/>
                <w:sz w:val="22"/>
              </w:rPr>
              <w:t>年</w:t>
            </w:r>
            <w:r>
              <w:rPr>
                <w:rFonts w:hint="eastAsia"/>
                <w:color w:val="000000"/>
                <w:sz w:val="22"/>
              </w:rPr>
              <w:t>07</w:t>
            </w:r>
            <w:r>
              <w:rPr>
                <w:rFonts w:hint="eastAsia"/>
                <w:color w:val="000000"/>
                <w:sz w:val="22"/>
              </w:rPr>
              <w:t>月</w:t>
            </w:r>
            <w:r>
              <w:rPr>
                <w:rFonts w:hint="eastAsia"/>
                <w:color w:val="000000"/>
                <w:sz w:val="22"/>
              </w:rPr>
              <w:t>25</w:t>
            </w:r>
            <w:r>
              <w:rPr>
                <w:rFonts w:hint="eastAsia"/>
                <w:color w:val="000000"/>
                <w:sz w:val="22"/>
              </w:rPr>
              <w:t>日</w:t>
            </w:r>
          </w:p>
        </w:tc>
      </w:tr>
      <w:tr w:rsidR="009F1B19" w14:paraId="5CD5B1BC" w14:textId="77777777" w:rsidTr="000219D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7ECEC867" w14:textId="77777777" w:rsidR="009F1B19" w:rsidRDefault="0055787C" w:rsidP="009F1B19">
            <w:pPr>
              <w:jc w:val="center"/>
              <w:rPr>
                <w:rFonts w:ascii="宋体" w:eastAsia="宋体" w:hAnsi="宋体"/>
                <w:sz w:val="24"/>
                <w:szCs w:val="24"/>
              </w:rPr>
            </w:pPr>
            <w:r>
              <w:rPr>
                <w:rFonts w:ascii="宋体" w:eastAsia="宋体" w:hAnsi="宋体" w:hint="eastAsia"/>
                <w:sz w:val="24"/>
                <w:szCs w:val="24"/>
              </w:rPr>
              <w:t>46</w:t>
            </w:r>
          </w:p>
        </w:tc>
        <w:tc>
          <w:tcPr>
            <w:tcW w:w="5850" w:type="dxa"/>
            <w:tcBorders>
              <w:top w:val="single" w:sz="4" w:space="0" w:color="auto"/>
              <w:left w:val="single" w:sz="4" w:space="0" w:color="auto"/>
              <w:bottom w:val="single" w:sz="4" w:space="0" w:color="auto"/>
              <w:right w:val="single" w:sz="4" w:space="0" w:color="auto"/>
            </w:tcBorders>
            <w:shd w:val="clear" w:color="auto" w:fill="auto"/>
            <w:vAlign w:val="center"/>
          </w:tcPr>
          <w:p w14:paraId="5DEB0B2E" w14:textId="77777777" w:rsidR="009F1B19" w:rsidRPr="009F1B19" w:rsidRDefault="009F1B19" w:rsidP="009F1B19">
            <w:pPr>
              <w:jc w:val="center"/>
              <w:rPr>
                <w:color w:val="000000"/>
                <w:sz w:val="22"/>
              </w:rPr>
            </w:pPr>
            <w:r w:rsidRPr="009F1B19">
              <w:rPr>
                <w:rFonts w:hint="eastAsia"/>
                <w:color w:val="000000"/>
                <w:sz w:val="22"/>
              </w:rPr>
              <w:t>富荣基金管理有限公司关于独立董事变更的公告</w:t>
            </w:r>
            <w:r w:rsidRPr="009F1B19">
              <w:rPr>
                <w:rFonts w:hint="eastAsia"/>
                <w:color w:val="000000"/>
                <w:sz w:val="22"/>
              </w:rPr>
              <w:t xml:space="preserve">  </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bottom"/>
          </w:tcPr>
          <w:p w14:paraId="1D18D5FB" w14:textId="77777777" w:rsidR="009F1B19" w:rsidRDefault="009F1B19" w:rsidP="009F1B19">
            <w:pPr>
              <w:jc w:val="center"/>
              <w:rPr>
                <w:color w:val="000000"/>
                <w:sz w:val="22"/>
              </w:rPr>
            </w:pPr>
            <w:r>
              <w:rPr>
                <w:rFonts w:hint="eastAsia"/>
                <w:color w:val="000000"/>
                <w:sz w:val="22"/>
              </w:rPr>
              <w:t>2019</w:t>
            </w:r>
            <w:r>
              <w:rPr>
                <w:rFonts w:hint="eastAsia"/>
                <w:color w:val="000000"/>
                <w:sz w:val="22"/>
              </w:rPr>
              <w:t>年</w:t>
            </w:r>
            <w:r>
              <w:rPr>
                <w:rFonts w:hint="eastAsia"/>
                <w:color w:val="000000"/>
                <w:sz w:val="22"/>
              </w:rPr>
              <w:t>08</w:t>
            </w:r>
            <w:r>
              <w:rPr>
                <w:rFonts w:hint="eastAsia"/>
                <w:color w:val="000000"/>
                <w:sz w:val="22"/>
              </w:rPr>
              <w:t>月</w:t>
            </w:r>
            <w:r>
              <w:rPr>
                <w:rFonts w:hint="eastAsia"/>
                <w:color w:val="000000"/>
                <w:sz w:val="22"/>
              </w:rPr>
              <w:t>07</w:t>
            </w:r>
            <w:r>
              <w:rPr>
                <w:rFonts w:hint="eastAsia"/>
                <w:color w:val="000000"/>
                <w:sz w:val="22"/>
              </w:rPr>
              <w:t>日</w:t>
            </w:r>
          </w:p>
        </w:tc>
      </w:tr>
    </w:tbl>
    <w:p w14:paraId="0D1051F1" w14:textId="77777777" w:rsidR="007066F0" w:rsidRDefault="007066F0" w:rsidP="007066F0">
      <w:pPr>
        <w:rPr>
          <w:lang w:val="zh-CN"/>
        </w:rPr>
      </w:pPr>
      <w:bookmarkStart w:id="422" w:name="_Toc523243837"/>
    </w:p>
    <w:p w14:paraId="46243975" w14:textId="77777777" w:rsidR="007066F0" w:rsidRDefault="007066F0" w:rsidP="007066F0">
      <w:pPr>
        <w:rPr>
          <w:lang w:val="zh-CN"/>
        </w:rPr>
      </w:pPr>
    </w:p>
    <w:p w14:paraId="76BD0C1A" w14:textId="77777777" w:rsidR="007066F0" w:rsidRDefault="007066F0" w:rsidP="007066F0">
      <w:pPr>
        <w:rPr>
          <w:lang w:val="zh-CN"/>
        </w:rPr>
      </w:pPr>
    </w:p>
    <w:p w14:paraId="4D86300A" w14:textId="77777777" w:rsidR="007066F0" w:rsidRDefault="007066F0" w:rsidP="007066F0">
      <w:pPr>
        <w:rPr>
          <w:lang w:val="zh-CN"/>
        </w:rPr>
      </w:pPr>
    </w:p>
    <w:p w14:paraId="1CFC6E1F" w14:textId="77777777" w:rsidR="007066F0" w:rsidRDefault="007066F0" w:rsidP="007066F0">
      <w:pPr>
        <w:rPr>
          <w:lang w:val="zh-CN"/>
        </w:rPr>
      </w:pPr>
    </w:p>
    <w:p w14:paraId="1B1960DF" w14:textId="77777777" w:rsidR="007066F0" w:rsidRDefault="007066F0" w:rsidP="007066F0">
      <w:pPr>
        <w:rPr>
          <w:lang w:val="zh-CN"/>
        </w:rPr>
      </w:pPr>
    </w:p>
    <w:p w14:paraId="37A61B09" w14:textId="77777777" w:rsidR="003E4D36" w:rsidRDefault="00E729B5" w:rsidP="00A10872">
      <w:pPr>
        <w:pStyle w:val="1"/>
        <w:jc w:val="center"/>
        <w:rPr>
          <w:sz w:val="30"/>
          <w:szCs w:val="30"/>
        </w:rPr>
      </w:pPr>
      <w:r>
        <w:rPr>
          <w:rFonts w:hint="eastAsia"/>
          <w:sz w:val="30"/>
          <w:szCs w:val="30"/>
        </w:rPr>
        <w:lastRenderedPageBreak/>
        <w:t>第二十二部分</w:t>
      </w:r>
      <w:r>
        <w:rPr>
          <w:sz w:val="30"/>
          <w:szCs w:val="30"/>
        </w:rPr>
        <w:t xml:space="preserve">  </w:t>
      </w:r>
      <w:r>
        <w:rPr>
          <w:rFonts w:hint="eastAsia"/>
          <w:sz w:val="30"/>
          <w:szCs w:val="30"/>
        </w:rPr>
        <w:t>招募说明书存放及查阅方式</w:t>
      </w:r>
      <w:bookmarkEnd w:id="418"/>
      <w:bookmarkEnd w:id="419"/>
      <w:bookmarkEnd w:id="420"/>
      <w:bookmarkEnd w:id="421"/>
      <w:bookmarkEnd w:id="422"/>
    </w:p>
    <w:p w14:paraId="7A6801CE" w14:textId="1FB045C3" w:rsidR="003E4D36" w:rsidRDefault="00835957">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835957">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w:t>
      </w:r>
      <w:r w:rsidR="00E729B5">
        <w:rPr>
          <w:rFonts w:asciiTheme="minorEastAsia" w:hAnsiTheme="minorEastAsia" w:cs="Arial" w:hint="eastAsia"/>
          <w:kern w:val="0"/>
          <w:sz w:val="24"/>
          <w:szCs w:val="24"/>
        </w:rPr>
        <w:t>；投资人在支付工本费后，可在合理时间内取得上述文件复制件或复印件。对投资人按此种方式所获得的文件及其复印件，基金管理人保证文本的内容与所公告的内容完全一致。</w:t>
      </w:r>
    </w:p>
    <w:p w14:paraId="031A3E5D" w14:textId="77777777" w:rsidR="003E4D36" w:rsidRDefault="00E729B5">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投资人还可以直接登录基金管理人的网站（www.furamc.com.cn）查阅和下载招募说明书。</w:t>
      </w:r>
    </w:p>
    <w:p w14:paraId="20D73973" w14:textId="77777777" w:rsidR="003E4D36" w:rsidRDefault="00E729B5">
      <w:pPr>
        <w:widowControl/>
        <w:jc w:val="left"/>
        <w:rPr>
          <w:rFonts w:asciiTheme="minorEastAsia" w:hAnsiTheme="minorEastAsia" w:cs="Arial"/>
          <w:kern w:val="0"/>
          <w:sz w:val="24"/>
          <w:szCs w:val="24"/>
        </w:rPr>
      </w:pPr>
      <w:r>
        <w:rPr>
          <w:rFonts w:asciiTheme="minorEastAsia" w:hAnsiTheme="minorEastAsia" w:cs="Arial"/>
          <w:kern w:val="0"/>
          <w:sz w:val="24"/>
          <w:szCs w:val="24"/>
        </w:rPr>
        <w:br w:type="page"/>
      </w:r>
    </w:p>
    <w:p w14:paraId="7BC3A514" w14:textId="77777777" w:rsidR="003E4D36" w:rsidRDefault="00E729B5">
      <w:pPr>
        <w:pStyle w:val="1"/>
        <w:jc w:val="center"/>
        <w:rPr>
          <w:sz w:val="30"/>
          <w:szCs w:val="30"/>
        </w:rPr>
      </w:pPr>
      <w:bookmarkStart w:id="423" w:name="_Toc523243838"/>
      <w:bookmarkEnd w:id="61"/>
      <w:bookmarkEnd w:id="62"/>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r>
        <w:rPr>
          <w:sz w:val="30"/>
          <w:szCs w:val="30"/>
        </w:rPr>
        <w:lastRenderedPageBreak/>
        <w:t>第二十</w:t>
      </w:r>
      <w:r>
        <w:rPr>
          <w:rFonts w:hint="eastAsia"/>
          <w:sz w:val="30"/>
          <w:szCs w:val="30"/>
        </w:rPr>
        <w:t>三</w:t>
      </w:r>
      <w:r>
        <w:rPr>
          <w:sz w:val="30"/>
          <w:szCs w:val="30"/>
        </w:rPr>
        <w:t>部分  备查文件</w:t>
      </w:r>
      <w:bookmarkEnd w:id="423"/>
    </w:p>
    <w:p w14:paraId="1BA0D8DE" w14:textId="77777777" w:rsidR="003E4D36" w:rsidRDefault="003E4D36">
      <w:pPr>
        <w:rPr>
          <w:rFonts w:asciiTheme="minorEastAsia" w:hAnsiTheme="minorEastAsia" w:cs="Times New Roman"/>
          <w:sz w:val="24"/>
          <w:szCs w:val="24"/>
          <w:lang w:val="zh-CN"/>
        </w:rPr>
      </w:pPr>
    </w:p>
    <w:p w14:paraId="04AC8602" w14:textId="77777777" w:rsidR="003E4D36" w:rsidRDefault="00E729B5">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以下备查文件存放在基金管理人的办公场所，在办公时间可供免费查阅。</w:t>
      </w:r>
    </w:p>
    <w:p w14:paraId="699DA788" w14:textId="77777777" w:rsidR="003E4D36" w:rsidRDefault="00E729B5">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（一）中国证监会</w:t>
      </w:r>
      <w:r>
        <w:rPr>
          <w:rFonts w:asciiTheme="minorEastAsia" w:hAnsiTheme="minorEastAsia" w:cs="Arial" w:hint="eastAsia"/>
          <w:kern w:val="0"/>
          <w:sz w:val="24"/>
          <w:szCs w:val="24"/>
        </w:rPr>
        <w:t>准予</w:t>
      </w:r>
      <w:r>
        <w:rPr>
          <w:rFonts w:asciiTheme="minorEastAsia" w:hAnsiTheme="minorEastAsia" w:cs="Arial"/>
          <w:kern w:val="0"/>
          <w:sz w:val="24"/>
          <w:szCs w:val="24"/>
        </w:rPr>
        <w:t>富荣福鑫灵活配置混合型证券投资基金募集</w:t>
      </w:r>
      <w:r>
        <w:rPr>
          <w:rFonts w:asciiTheme="minorEastAsia" w:hAnsiTheme="minorEastAsia" w:cs="Arial" w:hint="eastAsia"/>
          <w:kern w:val="0"/>
          <w:sz w:val="24"/>
          <w:szCs w:val="24"/>
        </w:rPr>
        <w:t>注册</w:t>
      </w:r>
      <w:r>
        <w:rPr>
          <w:rFonts w:asciiTheme="minorEastAsia" w:hAnsiTheme="minorEastAsia" w:cs="Arial"/>
          <w:kern w:val="0"/>
          <w:sz w:val="24"/>
          <w:szCs w:val="24"/>
        </w:rPr>
        <w:t xml:space="preserve">的文件 </w:t>
      </w:r>
    </w:p>
    <w:p w14:paraId="6030FE12" w14:textId="77777777" w:rsidR="003E4D36" w:rsidRDefault="00E729B5">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 xml:space="preserve">（二）《富荣福鑫灵活配置混合型证券投资基金基金合同》 </w:t>
      </w:r>
    </w:p>
    <w:p w14:paraId="528FE76F" w14:textId="77777777" w:rsidR="003E4D36" w:rsidRDefault="00E729B5">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 xml:space="preserve">（三）《富荣福鑫灵活配置混合型证券投资基金托管协议》 </w:t>
      </w:r>
    </w:p>
    <w:p w14:paraId="75AE6091" w14:textId="77777777" w:rsidR="003E4D36" w:rsidRDefault="00E729B5">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（四）基金管理人业务资格批件、营业执照</w:t>
      </w:r>
    </w:p>
    <w:p w14:paraId="3DBB9350" w14:textId="77777777" w:rsidR="003E4D36" w:rsidRDefault="00E729B5">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（五）基金托管人业务资格批件、营业执照</w:t>
      </w:r>
    </w:p>
    <w:p w14:paraId="600F289F" w14:textId="77777777" w:rsidR="003E4D36" w:rsidRDefault="00E729B5">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（六）关于申请募集</w:t>
      </w:r>
      <w:r>
        <w:rPr>
          <w:rFonts w:asciiTheme="minorEastAsia" w:hAnsiTheme="minorEastAsia" w:cs="Arial" w:hint="eastAsia"/>
          <w:kern w:val="0"/>
          <w:sz w:val="24"/>
          <w:szCs w:val="24"/>
        </w:rPr>
        <w:t>注册</w:t>
      </w:r>
      <w:r>
        <w:rPr>
          <w:rFonts w:asciiTheme="minorEastAsia" w:hAnsiTheme="minorEastAsia" w:cs="Arial"/>
          <w:kern w:val="0"/>
          <w:sz w:val="24"/>
          <w:szCs w:val="24"/>
        </w:rPr>
        <w:t>富荣福鑫灵活配置混合型证券投资基金</w:t>
      </w:r>
      <w:r>
        <w:rPr>
          <w:rFonts w:asciiTheme="minorEastAsia" w:hAnsiTheme="minorEastAsia" w:cs="Arial" w:hint="eastAsia"/>
          <w:kern w:val="0"/>
          <w:sz w:val="24"/>
          <w:szCs w:val="24"/>
        </w:rPr>
        <w:t>的</w:t>
      </w:r>
      <w:r>
        <w:rPr>
          <w:rFonts w:asciiTheme="minorEastAsia" w:hAnsiTheme="minorEastAsia" w:cs="Arial"/>
          <w:kern w:val="0"/>
          <w:sz w:val="24"/>
          <w:szCs w:val="24"/>
        </w:rPr>
        <w:t>法律意见书</w:t>
      </w:r>
    </w:p>
    <w:p w14:paraId="40963D52" w14:textId="77777777" w:rsidR="003E4D36" w:rsidRDefault="00E729B5">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（七）中国证监会要求的其他文件</w:t>
      </w:r>
    </w:p>
    <w:p w14:paraId="5EBB394C" w14:textId="77777777" w:rsidR="003E4D36" w:rsidRDefault="00E729B5">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查阅方式：投资者可在营业时间免费查阅，也可按工本费购买复印件。</w:t>
      </w:r>
    </w:p>
    <w:p w14:paraId="4F91EF87" w14:textId="77777777" w:rsidR="003E4D36" w:rsidRDefault="003E4D36">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2C9EDC7F" w14:textId="77777777" w:rsidR="003E4D36" w:rsidRDefault="003E4D36">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657DAE6E" w14:textId="77777777" w:rsidR="003E4D36" w:rsidRDefault="003E4D36">
      <w:pPr>
        <w:widowControl/>
        <w:adjustRightInd w:val="0"/>
        <w:snapToGrid w:val="0"/>
        <w:spacing w:line="360" w:lineRule="auto"/>
        <w:ind w:rightChars="-85" w:right="-178" w:firstLineChars="200" w:firstLine="420"/>
        <w:rPr>
          <w:rFonts w:ascii="Arial" w:eastAsia="宋体" w:hAnsi="Arial" w:cs="Arial"/>
          <w:kern w:val="0"/>
          <w:szCs w:val="21"/>
        </w:rPr>
      </w:pPr>
    </w:p>
    <w:p w14:paraId="219997F1" w14:textId="77777777" w:rsidR="003E4D36" w:rsidRDefault="003E4D36">
      <w:pPr>
        <w:widowControl/>
        <w:adjustRightInd w:val="0"/>
        <w:snapToGrid w:val="0"/>
        <w:spacing w:line="360" w:lineRule="auto"/>
        <w:ind w:rightChars="-85" w:right="-178" w:firstLineChars="200" w:firstLine="420"/>
        <w:rPr>
          <w:rFonts w:ascii="Arial" w:eastAsia="宋体" w:hAnsi="Arial" w:cs="Arial"/>
          <w:kern w:val="0"/>
          <w:szCs w:val="21"/>
        </w:rPr>
      </w:pPr>
    </w:p>
    <w:p w14:paraId="1C66B432" w14:textId="77777777" w:rsidR="003E4D36" w:rsidRDefault="00E729B5">
      <w:pPr>
        <w:widowControl/>
        <w:adjustRightInd w:val="0"/>
        <w:snapToGrid w:val="0"/>
        <w:spacing w:line="360" w:lineRule="auto"/>
        <w:ind w:rightChars="-85" w:right="-178"/>
        <w:jc w:val="center"/>
        <w:rPr>
          <w:rFonts w:asciiTheme="minorEastAsia" w:hAnsiTheme="minorEastAsia" w:cs="Arial"/>
          <w:kern w:val="0"/>
          <w:sz w:val="24"/>
          <w:szCs w:val="24"/>
        </w:rPr>
      </w:pPr>
      <w:r>
        <w:rPr>
          <w:rFonts w:asciiTheme="minorEastAsia" w:hAnsiTheme="minorEastAsia" w:cs="Arial" w:hint="eastAsia"/>
          <w:kern w:val="0"/>
          <w:sz w:val="24"/>
          <w:szCs w:val="24"/>
        </w:rPr>
        <w:t xml:space="preserve">                                                  富荣基金管理有限公司</w:t>
      </w:r>
    </w:p>
    <w:p w14:paraId="2B1BAC1F" w14:textId="77777777" w:rsidR="003E4D36" w:rsidRDefault="003E4D36">
      <w:pPr>
        <w:widowControl/>
        <w:adjustRightInd w:val="0"/>
        <w:snapToGrid w:val="0"/>
        <w:spacing w:line="360" w:lineRule="auto"/>
        <w:ind w:rightChars="-85" w:right="-178"/>
        <w:jc w:val="center"/>
        <w:rPr>
          <w:rFonts w:asciiTheme="minorEastAsia" w:hAnsiTheme="minorEastAsia" w:cs="Arial"/>
          <w:kern w:val="0"/>
          <w:sz w:val="24"/>
          <w:szCs w:val="24"/>
        </w:rPr>
      </w:pPr>
    </w:p>
    <w:p w14:paraId="5FA6DF73" w14:textId="5BEAD6BF" w:rsidR="003E4D36" w:rsidRDefault="00E729B5">
      <w:pPr>
        <w:widowControl/>
        <w:adjustRightInd w:val="0"/>
        <w:snapToGrid w:val="0"/>
        <w:spacing w:line="360" w:lineRule="auto"/>
        <w:ind w:rightChars="-85" w:right="-178"/>
        <w:jc w:val="center"/>
        <w:rPr>
          <w:rFonts w:asciiTheme="minorEastAsia" w:hAnsiTheme="minorEastAsia" w:cs="Arial"/>
          <w:kern w:val="0"/>
          <w:sz w:val="24"/>
          <w:szCs w:val="24"/>
        </w:rPr>
      </w:pPr>
      <w:r>
        <w:rPr>
          <w:rFonts w:asciiTheme="minorEastAsia" w:hAnsiTheme="minorEastAsia" w:cs="Arial" w:hint="eastAsia"/>
          <w:kern w:val="0"/>
          <w:sz w:val="24"/>
          <w:szCs w:val="24"/>
        </w:rPr>
        <w:t xml:space="preserve">                                                  201</w:t>
      </w:r>
      <w:r w:rsidR="007673DE">
        <w:rPr>
          <w:rFonts w:asciiTheme="minorEastAsia" w:hAnsiTheme="minorEastAsia" w:cs="Arial" w:hint="eastAsia"/>
          <w:kern w:val="0"/>
          <w:sz w:val="24"/>
          <w:szCs w:val="24"/>
        </w:rPr>
        <w:t>9</w:t>
      </w:r>
      <w:r>
        <w:rPr>
          <w:rFonts w:asciiTheme="minorEastAsia" w:hAnsiTheme="minorEastAsia" w:cs="Arial" w:hint="eastAsia"/>
          <w:kern w:val="0"/>
          <w:sz w:val="24"/>
          <w:szCs w:val="24"/>
        </w:rPr>
        <w:t>年</w:t>
      </w:r>
      <w:r w:rsidR="0092781B">
        <w:rPr>
          <w:rFonts w:asciiTheme="minorEastAsia" w:hAnsiTheme="minorEastAsia" w:cs="Arial"/>
          <w:kern w:val="0"/>
          <w:sz w:val="24"/>
          <w:szCs w:val="24"/>
        </w:rPr>
        <w:t>12</w:t>
      </w:r>
      <w:r>
        <w:rPr>
          <w:rFonts w:asciiTheme="minorEastAsia" w:hAnsiTheme="minorEastAsia" w:cs="Arial" w:hint="eastAsia"/>
          <w:kern w:val="0"/>
          <w:sz w:val="24"/>
          <w:szCs w:val="24"/>
        </w:rPr>
        <w:t>月</w:t>
      </w:r>
      <w:r w:rsidR="00D50A6A">
        <w:rPr>
          <w:rFonts w:asciiTheme="minorEastAsia" w:hAnsiTheme="minorEastAsia" w:cs="Arial"/>
          <w:kern w:val="0"/>
          <w:sz w:val="24"/>
          <w:szCs w:val="24"/>
        </w:rPr>
        <w:t>7</w:t>
      </w:r>
      <w:bookmarkStart w:id="424" w:name="_GoBack"/>
      <w:bookmarkEnd w:id="424"/>
      <w:r>
        <w:rPr>
          <w:rFonts w:asciiTheme="minorEastAsia" w:hAnsiTheme="minorEastAsia" w:cs="Arial" w:hint="eastAsia"/>
          <w:kern w:val="0"/>
          <w:sz w:val="24"/>
          <w:szCs w:val="24"/>
        </w:rPr>
        <w:t>日</w:t>
      </w:r>
    </w:p>
    <w:p w14:paraId="1FD735D7" w14:textId="77777777" w:rsidR="003E4D36" w:rsidRDefault="003E4D36">
      <w:pPr>
        <w:widowControl/>
        <w:adjustRightInd w:val="0"/>
        <w:snapToGrid w:val="0"/>
        <w:spacing w:line="360" w:lineRule="auto"/>
        <w:ind w:rightChars="-85" w:right="-178" w:firstLineChars="200" w:firstLine="420"/>
        <w:rPr>
          <w:rFonts w:ascii="Arial" w:eastAsia="宋体" w:hAnsi="Arial" w:cs="Arial"/>
          <w:kern w:val="0"/>
          <w:szCs w:val="21"/>
        </w:rPr>
      </w:pPr>
    </w:p>
    <w:p w14:paraId="1E3944A3" w14:textId="77777777" w:rsidR="003E4D36" w:rsidRDefault="003E4D36">
      <w:pPr>
        <w:widowControl/>
        <w:adjustRightInd w:val="0"/>
        <w:snapToGrid w:val="0"/>
        <w:spacing w:line="360" w:lineRule="auto"/>
        <w:ind w:rightChars="-85" w:right="-178" w:firstLineChars="200" w:firstLine="420"/>
        <w:rPr>
          <w:rFonts w:ascii="Arial" w:eastAsia="宋体" w:hAnsi="Arial" w:cs="Arial"/>
          <w:kern w:val="0"/>
          <w:szCs w:val="21"/>
        </w:rPr>
      </w:pPr>
    </w:p>
    <w:p w14:paraId="160AD84A" w14:textId="77777777" w:rsidR="003E4D36" w:rsidRDefault="003E4D36">
      <w:pPr>
        <w:widowControl/>
        <w:adjustRightInd w:val="0"/>
        <w:snapToGrid w:val="0"/>
        <w:spacing w:line="360" w:lineRule="auto"/>
        <w:ind w:rightChars="-85" w:right="-178" w:firstLineChars="200" w:firstLine="420"/>
        <w:rPr>
          <w:rFonts w:ascii="Arial" w:eastAsia="宋体" w:hAnsi="Arial" w:cs="Arial"/>
          <w:kern w:val="0"/>
          <w:szCs w:val="21"/>
        </w:rPr>
      </w:pPr>
    </w:p>
    <w:p w14:paraId="391855C4" w14:textId="77777777" w:rsidR="003E4D36" w:rsidRDefault="003E4D36">
      <w:pPr>
        <w:widowControl/>
        <w:adjustRightInd w:val="0"/>
        <w:snapToGrid w:val="0"/>
        <w:spacing w:line="360" w:lineRule="auto"/>
        <w:ind w:rightChars="-85" w:right="-178" w:firstLineChars="200" w:firstLine="420"/>
        <w:rPr>
          <w:rFonts w:ascii="Arial" w:eastAsia="宋体" w:hAnsi="Arial" w:cs="Arial"/>
          <w:kern w:val="0"/>
          <w:szCs w:val="21"/>
        </w:rPr>
      </w:pPr>
    </w:p>
    <w:p w14:paraId="759F1398" w14:textId="77777777" w:rsidR="003E4D36" w:rsidRDefault="003E4D36">
      <w:pPr>
        <w:widowControl/>
        <w:adjustRightInd w:val="0"/>
        <w:snapToGrid w:val="0"/>
        <w:spacing w:line="360" w:lineRule="auto"/>
        <w:ind w:rightChars="-85" w:right="-178" w:firstLineChars="200" w:firstLine="420"/>
        <w:rPr>
          <w:rFonts w:ascii="Arial" w:eastAsia="宋体" w:hAnsi="Arial" w:cs="Arial"/>
          <w:kern w:val="0"/>
          <w:szCs w:val="21"/>
        </w:rPr>
      </w:pPr>
    </w:p>
    <w:p w14:paraId="72BFB4CA" w14:textId="77777777" w:rsidR="003E4D36" w:rsidRDefault="003E4D36">
      <w:pPr>
        <w:widowControl/>
        <w:adjustRightInd w:val="0"/>
        <w:snapToGrid w:val="0"/>
        <w:spacing w:line="360" w:lineRule="auto"/>
        <w:ind w:rightChars="-85" w:right="-178" w:firstLineChars="200" w:firstLine="420"/>
        <w:rPr>
          <w:rFonts w:ascii="Arial" w:eastAsia="宋体" w:hAnsi="Arial" w:cs="Arial"/>
          <w:kern w:val="0"/>
          <w:szCs w:val="21"/>
        </w:rPr>
      </w:pPr>
    </w:p>
    <w:p w14:paraId="3F878BEA" w14:textId="77777777" w:rsidR="003E4D36" w:rsidRDefault="003E4D36">
      <w:pPr>
        <w:widowControl/>
        <w:adjustRightInd w:val="0"/>
        <w:snapToGrid w:val="0"/>
        <w:spacing w:line="360" w:lineRule="auto"/>
        <w:ind w:rightChars="-85" w:right="-178" w:firstLineChars="200" w:firstLine="420"/>
        <w:rPr>
          <w:rFonts w:ascii="Arial" w:eastAsia="宋体" w:hAnsi="Arial" w:cs="Arial"/>
          <w:kern w:val="0"/>
          <w:szCs w:val="21"/>
        </w:rPr>
      </w:pPr>
    </w:p>
    <w:p w14:paraId="4E0F6474" w14:textId="77777777" w:rsidR="003E4D36" w:rsidRDefault="003E4D36">
      <w:pPr>
        <w:widowControl/>
        <w:adjustRightInd w:val="0"/>
        <w:snapToGrid w:val="0"/>
        <w:spacing w:line="360" w:lineRule="auto"/>
        <w:ind w:rightChars="-85" w:right="-178" w:firstLineChars="200" w:firstLine="420"/>
        <w:rPr>
          <w:rFonts w:ascii="Arial" w:eastAsia="宋体" w:hAnsi="Arial" w:cs="Arial"/>
          <w:kern w:val="0"/>
          <w:szCs w:val="21"/>
        </w:rPr>
      </w:pPr>
    </w:p>
    <w:p w14:paraId="3F8D84D1" w14:textId="77777777" w:rsidR="003E4D36" w:rsidRDefault="003E4D36">
      <w:pPr>
        <w:widowControl/>
        <w:adjustRightInd w:val="0"/>
        <w:snapToGrid w:val="0"/>
        <w:spacing w:line="360" w:lineRule="auto"/>
        <w:ind w:rightChars="-85" w:right="-178" w:firstLineChars="200" w:firstLine="420"/>
        <w:rPr>
          <w:rFonts w:ascii="Arial" w:eastAsia="宋体" w:hAnsi="Arial" w:cs="Arial"/>
          <w:kern w:val="0"/>
          <w:szCs w:val="21"/>
        </w:rPr>
      </w:pPr>
    </w:p>
    <w:p w14:paraId="332D1520" w14:textId="77777777" w:rsidR="003E4D36" w:rsidRDefault="003E4D36">
      <w:pPr>
        <w:widowControl/>
        <w:adjustRightInd w:val="0"/>
        <w:snapToGrid w:val="0"/>
        <w:spacing w:line="360" w:lineRule="auto"/>
        <w:ind w:rightChars="-85" w:right="-178" w:firstLineChars="200" w:firstLine="420"/>
        <w:rPr>
          <w:rFonts w:ascii="Arial" w:eastAsia="宋体" w:hAnsi="Arial" w:cs="Arial"/>
          <w:kern w:val="0"/>
          <w:szCs w:val="21"/>
        </w:rPr>
      </w:pPr>
    </w:p>
    <w:p w14:paraId="6390463D" w14:textId="77777777" w:rsidR="003E4D36" w:rsidRDefault="003E4D36">
      <w:pPr>
        <w:widowControl/>
        <w:adjustRightInd w:val="0"/>
        <w:snapToGrid w:val="0"/>
        <w:spacing w:line="360" w:lineRule="auto"/>
        <w:ind w:rightChars="-85" w:right="-178" w:firstLineChars="200" w:firstLine="420"/>
        <w:rPr>
          <w:rFonts w:ascii="Arial" w:eastAsia="宋体" w:hAnsi="Arial" w:cs="Arial"/>
          <w:kern w:val="0"/>
          <w:szCs w:val="21"/>
        </w:rPr>
      </w:pPr>
    </w:p>
    <w:p w14:paraId="30E3754B" w14:textId="77777777" w:rsidR="003E4D36" w:rsidRDefault="003E4D36">
      <w:pPr>
        <w:widowControl/>
        <w:adjustRightInd w:val="0"/>
        <w:snapToGrid w:val="0"/>
        <w:spacing w:line="360" w:lineRule="auto"/>
        <w:ind w:rightChars="-85" w:right="-178" w:firstLineChars="200" w:firstLine="420"/>
        <w:rPr>
          <w:rFonts w:ascii="Arial" w:eastAsia="宋体" w:hAnsi="Arial" w:cs="Arial"/>
          <w:kern w:val="0"/>
          <w:szCs w:val="21"/>
        </w:rPr>
      </w:pPr>
    </w:p>
    <w:p w14:paraId="21177DA3" w14:textId="77777777" w:rsidR="003E4D36" w:rsidRDefault="003E4D36">
      <w:pPr>
        <w:widowControl/>
        <w:adjustRightInd w:val="0"/>
        <w:snapToGrid w:val="0"/>
        <w:spacing w:line="360" w:lineRule="auto"/>
        <w:ind w:rightChars="-85" w:right="-178" w:firstLineChars="3050" w:firstLine="6405"/>
        <w:rPr>
          <w:lang w:val="zh-CN"/>
        </w:rPr>
      </w:pPr>
    </w:p>
    <w:sectPr w:rsidR="003E4D36" w:rsidSect="00B50748">
      <w:footerReference w:type="default" r:id="rId18"/>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DBD762A" w14:textId="77777777" w:rsidR="008B5FB7" w:rsidRDefault="008B5FB7">
      <w:r>
        <w:separator/>
      </w:r>
    </w:p>
  </w:endnote>
  <w:endnote w:type="continuationSeparator" w:id="0">
    <w:p w14:paraId="503C9B65" w14:textId="77777777" w:rsidR="008B5FB7" w:rsidRDefault="008B5F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仿宋_GB2312">
    <w:altName w:val="仿宋"/>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ˎ̥">
    <w:panose1 w:val="00000000000000000000"/>
    <w:charset w:val="00"/>
    <w:family w:val="roman"/>
    <w:notTrueType/>
    <w:pitch w:val="default"/>
  </w:font>
  <w:font w:name="方正仿宋简体">
    <w:altName w:val="宋体"/>
    <w:charset w:val="86"/>
    <w:family w:val="auto"/>
    <w:pitch w:val="default"/>
    <w:sig w:usb0="00000000" w:usb1="00000000" w:usb2="00000010" w:usb3="00000000" w:csb0="00040000"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D3B187" w14:textId="77777777" w:rsidR="005A3450" w:rsidRDefault="005A3450">
    <w:pPr>
      <w:pStyle w:val="af0"/>
      <w:jc w:val="center"/>
    </w:pPr>
  </w:p>
  <w:p w14:paraId="544E4136" w14:textId="77777777" w:rsidR="005A3450" w:rsidRDefault="005A3450">
    <w:pPr>
      <w:pStyle w:val="af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19384729"/>
      <w:docPartObj>
        <w:docPartGallery w:val="AutoText"/>
      </w:docPartObj>
    </w:sdtPr>
    <w:sdtEndPr/>
    <w:sdtContent>
      <w:p w14:paraId="6035AB81" w14:textId="09F86882" w:rsidR="005A3450" w:rsidRDefault="005A3450">
        <w:pPr>
          <w:pStyle w:val="af0"/>
          <w:jc w:val="center"/>
        </w:pPr>
        <w:r>
          <w:rPr>
            <w:noProof/>
            <w:lang w:val="zh-CN"/>
          </w:rPr>
          <w:fldChar w:fldCharType="begin"/>
        </w:r>
        <w:r>
          <w:rPr>
            <w:noProof/>
            <w:lang w:val="zh-CN"/>
          </w:rPr>
          <w:instrText>PAGE   \* MERGEFORMAT</w:instrText>
        </w:r>
        <w:r>
          <w:rPr>
            <w:noProof/>
            <w:lang w:val="zh-CN"/>
          </w:rPr>
          <w:fldChar w:fldCharType="separate"/>
        </w:r>
        <w:r w:rsidR="00D50A6A">
          <w:rPr>
            <w:noProof/>
            <w:lang w:val="zh-CN"/>
          </w:rPr>
          <w:t>115</w:t>
        </w:r>
        <w:r>
          <w:rPr>
            <w:noProof/>
            <w:lang w:val="zh-CN"/>
          </w:rPr>
          <w:fldChar w:fldCharType="end"/>
        </w:r>
      </w:p>
    </w:sdtContent>
  </w:sdt>
  <w:p w14:paraId="06014D08" w14:textId="77777777" w:rsidR="005A3450" w:rsidRDefault="005A3450">
    <w:pPr>
      <w:pStyle w:val="af0"/>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05549968"/>
      <w:docPartObj>
        <w:docPartGallery w:val="AutoText"/>
      </w:docPartObj>
    </w:sdtPr>
    <w:sdtEndPr/>
    <w:sdtContent>
      <w:p w14:paraId="200ABA30" w14:textId="7AA8A0D4" w:rsidR="005A3450" w:rsidRDefault="005A3450">
        <w:pPr>
          <w:pStyle w:val="af0"/>
          <w:jc w:val="center"/>
        </w:pPr>
        <w:r>
          <w:rPr>
            <w:noProof/>
            <w:lang w:val="zh-CN"/>
          </w:rPr>
          <w:fldChar w:fldCharType="begin"/>
        </w:r>
        <w:r>
          <w:rPr>
            <w:noProof/>
            <w:lang w:val="zh-CN"/>
          </w:rPr>
          <w:instrText>PAGE   \* MERGEFORMAT</w:instrText>
        </w:r>
        <w:r>
          <w:rPr>
            <w:noProof/>
            <w:lang w:val="zh-CN"/>
          </w:rPr>
          <w:fldChar w:fldCharType="separate"/>
        </w:r>
        <w:r w:rsidR="00D50A6A">
          <w:rPr>
            <w:noProof/>
            <w:lang w:val="zh-CN"/>
          </w:rPr>
          <w:t>120</w:t>
        </w:r>
        <w:r>
          <w:rPr>
            <w:noProof/>
            <w:lang w:val="zh-CN"/>
          </w:rPr>
          <w:fldChar w:fldCharType="end"/>
        </w:r>
      </w:p>
    </w:sdtContent>
  </w:sdt>
  <w:p w14:paraId="56958E4A" w14:textId="77777777" w:rsidR="005A3450" w:rsidRDefault="005A3450">
    <w:pPr>
      <w:pStyle w:val="af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F1F7F9F" w14:textId="77777777" w:rsidR="008B5FB7" w:rsidRDefault="008B5FB7">
      <w:r>
        <w:separator/>
      </w:r>
    </w:p>
  </w:footnote>
  <w:footnote w:type="continuationSeparator" w:id="0">
    <w:p w14:paraId="7A29BB0C" w14:textId="77777777" w:rsidR="008B5FB7" w:rsidRDefault="008B5F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23DE46" w14:textId="3519D6EA" w:rsidR="005A3450" w:rsidRDefault="005A3450">
    <w:pPr>
      <w:pStyle w:val="af2"/>
      <w:jc w:val="left"/>
    </w:pPr>
    <w:r>
      <w:rPr>
        <w:rFonts w:ascii="Arial" w:hAnsi="Arial" w:cs="Arial" w:hint="eastAsia"/>
        <w:szCs w:val="21"/>
      </w:rPr>
      <w:t>富荣福鑫灵活配置混合型证券投资基金更新</w:t>
    </w:r>
    <w:r>
      <w:rPr>
        <w:rFonts w:ascii="Arial" w:hAnsi="Arial" w:cs="Arial"/>
        <w:szCs w:val="21"/>
      </w:rPr>
      <w:t>的招募说明书</w:t>
    </w:r>
    <w:r>
      <w:rPr>
        <w:rFonts w:ascii="Arial" w:hAnsi="Arial" w:cs="Arial" w:hint="eastAsia"/>
        <w:szCs w:val="21"/>
      </w:rPr>
      <w:t>（</w:t>
    </w:r>
    <w:r>
      <w:rPr>
        <w:rFonts w:ascii="Arial" w:hAnsi="Arial" w:cs="Arial" w:hint="eastAsia"/>
        <w:szCs w:val="21"/>
      </w:rPr>
      <w:t>2019</w:t>
    </w:r>
    <w:r>
      <w:rPr>
        <w:rFonts w:ascii="Arial" w:hAnsi="Arial" w:cs="Arial" w:hint="eastAsia"/>
        <w:szCs w:val="21"/>
      </w:rPr>
      <w:t>年</w:t>
    </w:r>
    <w:r>
      <w:rPr>
        <w:rFonts w:ascii="Arial" w:hAnsi="Arial" w:cs="Arial"/>
        <w:szCs w:val="21"/>
      </w:rPr>
      <w:t>第</w:t>
    </w:r>
    <w:r>
      <w:rPr>
        <w:rFonts w:ascii="Arial" w:hAnsi="Arial" w:cs="Arial"/>
        <w:szCs w:val="21"/>
      </w:rPr>
      <w:t>3</w:t>
    </w:r>
    <w:r>
      <w:rPr>
        <w:rFonts w:ascii="Arial" w:hAnsi="Arial" w:cs="Arial" w:hint="eastAsia"/>
        <w:szCs w:val="21"/>
      </w:rPr>
      <w:t>号）</w:t>
    </w:r>
    <w:r>
      <w:rPr>
        <w:rFonts w:ascii="Arial" w:hAnsi="Arial" w:cs="Arial" w:hint="eastAsia"/>
        <w:szCs w:val="21"/>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BFC8C49"/>
    <w:multiLevelType w:val="singleLevel"/>
    <w:tmpl w:val="8BFC8C49"/>
    <w:lvl w:ilvl="0">
      <w:start w:val="2"/>
      <w:numFmt w:val="decimal"/>
      <w:suff w:val="nothing"/>
      <w:lvlText w:val="%1、"/>
      <w:lvlJc w:val="left"/>
    </w:lvl>
  </w:abstractNum>
  <w:abstractNum w:abstractNumId="1"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F562CC"/>
    <w:rsid w:val="0000032A"/>
    <w:rsid w:val="0000336D"/>
    <w:rsid w:val="00011E0C"/>
    <w:rsid w:val="000134DF"/>
    <w:rsid w:val="000141B3"/>
    <w:rsid w:val="000150A1"/>
    <w:rsid w:val="00016B2F"/>
    <w:rsid w:val="000178C9"/>
    <w:rsid w:val="00017B51"/>
    <w:rsid w:val="000201A2"/>
    <w:rsid w:val="000219D5"/>
    <w:rsid w:val="00021C6F"/>
    <w:rsid w:val="00026A47"/>
    <w:rsid w:val="00032C15"/>
    <w:rsid w:val="00041B54"/>
    <w:rsid w:val="00043AE1"/>
    <w:rsid w:val="00043AE3"/>
    <w:rsid w:val="000455CE"/>
    <w:rsid w:val="00047A49"/>
    <w:rsid w:val="000507C1"/>
    <w:rsid w:val="00050D60"/>
    <w:rsid w:val="00050E32"/>
    <w:rsid w:val="0005270F"/>
    <w:rsid w:val="00053A28"/>
    <w:rsid w:val="00055889"/>
    <w:rsid w:val="0006090B"/>
    <w:rsid w:val="00061EFE"/>
    <w:rsid w:val="00062C1B"/>
    <w:rsid w:val="00066597"/>
    <w:rsid w:val="00072066"/>
    <w:rsid w:val="00073EEF"/>
    <w:rsid w:val="00076E9C"/>
    <w:rsid w:val="00076F0A"/>
    <w:rsid w:val="000817BB"/>
    <w:rsid w:val="00084A9D"/>
    <w:rsid w:val="00084EBD"/>
    <w:rsid w:val="00092FE3"/>
    <w:rsid w:val="00093B11"/>
    <w:rsid w:val="0009505B"/>
    <w:rsid w:val="0009610D"/>
    <w:rsid w:val="00096D0E"/>
    <w:rsid w:val="000A1798"/>
    <w:rsid w:val="000A1D6A"/>
    <w:rsid w:val="000A1FED"/>
    <w:rsid w:val="000A2809"/>
    <w:rsid w:val="000B0075"/>
    <w:rsid w:val="000B0F0B"/>
    <w:rsid w:val="000B4DA0"/>
    <w:rsid w:val="000B6836"/>
    <w:rsid w:val="000B720D"/>
    <w:rsid w:val="000B7428"/>
    <w:rsid w:val="000B7622"/>
    <w:rsid w:val="000B7ACE"/>
    <w:rsid w:val="000C3020"/>
    <w:rsid w:val="000C36FD"/>
    <w:rsid w:val="000C4C8F"/>
    <w:rsid w:val="000C5204"/>
    <w:rsid w:val="000D3337"/>
    <w:rsid w:val="000D6FDD"/>
    <w:rsid w:val="000E1E9B"/>
    <w:rsid w:val="000E3D34"/>
    <w:rsid w:val="000E4187"/>
    <w:rsid w:val="000E67E3"/>
    <w:rsid w:val="000F248B"/>
    <w:rsid w:val="000F4000"/>
    <w:rsid w:val="000F5C40"/>
    <w:rsid w:val="000F63F5"/>
    <w:rsid w:val="00102D5B"/>
    <w:rsid w:val="00112609"/>
    <w:rsid w:val="00112BE2"/>
    <w:rsid w:val="0012019B"/>
    <w:rsid w:val="00127ED5"/>
    <w:rsid w:val="00132839"/>
    <w:rsid w:val="00133E74"/>
    <w:rsid w:val="001369D9"/>
    <w:rsid w:val="00145063"/>
    <w:rsid w:val="00147C35"/>
    <w:rsid w:val="00150907"/>
    <w:rsid w:val="001545B6"/>
    <w:rsid w:val="001609F9"/>
    <w:rsid w:val="0016112E"/>
    <w:rsid w:val="001635EE"/>
    <w:rsid w:val="00163E1B"/>
    <w:rsid w:val="00165259"/>
    <w:rsid w:val="00166406"/>
    <w:rsid w:val="0016706A"/>
    <w:rsid w:val="001745C9"/>
    <w:rsid w:val="0017467F"/>
    <w:rsid w:val="00174F6A"/>
    <w:rsid w:val="0018127A"/>
    <w:rsid w:val="00181F45"/>
    <w:rsid w:val="001824D3"/>
    <w:rsid w:val="00184AAE"/>
    <w:rsid w:val="00184E9F"/>
    <w:rsid w:val="00185938"/>
    <w:rsid w:val="00185F7E"/>
    <w:rsid w:val="001903DC"/>
    <w:rsid w:val="001A0D71"/>
    <w:rsid w:val="001A0FAD"/>
    <w:rsid w:val="001A1315"/>
    <w:rsid w:val="001A3539"/>
    <w:rsid w:val="001A64DD"/>
    <w:rsid w:val="001B02C1"/>
    <w:rsid w:val="001B101B"/>
    <w:rsid w:val="001B11B3"/>
    <w:rsid w:val="001B1C13"/>
    <w:rsid w:val="001B32CE"/>
    <w:rsid w:val="001B598D"/>
    <w:rsid w:val="001B716E"/>
    <w:rsid w:val="001C0AE8"/>
    <w:rsid w:val="001C258D"/>
    <w:rsid w:val="001C404F"/>
    <w:rsid w:val="001D0185"/>
    <w:rsid w:val="001D2EF8"/>
    <w:rsid w:val="001D2F48"/>
    <w:rsid w:val="001E05E8"/>
    <w:rsid w:val="001F141D"/>
    <w:rsid w:val="001F2A1F"/>
    <w:rsid w:val="001F32BF"/>
    <w:rsid w:val="001F5570"/>
    <w:rsid w:val="001F7512"/>
    <w:rsid w:val="002001D3"/>
    <w:rsid w:val="00201AB5"/>
    <w:rsid w:val="002047D1"/>
    <w:rsid w:val="00205E21"/>
    <w:rsid w:val="002078F3"/>
    <w:rsid w:val="00207CD5"/>
    <w:rsid w:val="00214E5D"/>
    <w:rsid w:val="00220CDC"/>
    <w:rsid w:val="00224EE1"/>
    <w:rsid w:val="0022597A"/>
    <w:rsid w:val="00227859"/>
    <w:rsid w:val="00231846"/>
    <w:rsid w:val="0023220C"/>
    <w:rsid w:val="00233D45"/>
    <w:rsid w:val="0023618C"/>
    <w:rsid w:val="00241ACA"/>
    <w:rsid w:val="002430FE"/>
    <w:rsid w:val="00244A82"/>
    <w:rsid w:val="002453CC"/>
    <w:rsid w:val="002507FE"/>
    <w:rsid w:val="00250CC4"/>
    <w:rsid w:val="0025184A"/>
    <w:rsid w:val="0025398C"/>
    <w:rsid w:val="002601E9"/>
    <w:rsid w:val="00260AE0"/>
    <w:rsid w:val="00263BCA"/>
    <w:rsid w:val="00266A12"/>
    <w:rsid w:val="002701CE"/>
    <w:rsid w:val="002706A4"/>
    <w:rsid w:val="00272F3A"/>
    <w:rsid w:val="00273F62"/>
    <w:rsid w:val="00274D96"/>
    <w:rsid w:val="00277C9D"/>
    <w:rsid w:val="00283A8E"/>
    <w:rsid w:val="00283F15"/>
    <w:rsid w:val="00286219"/>
    <w:rsid w:val="002863C8"/>
    <w:rsid w:val="00291943"/>
    <w:rsid w:val="00293EA5"/>
    <w:rsid w:val="002966EC"/>
    <w:rsid w:val="002A00BA"/>
    <w:rsid w:val="002A1DD0"/>
    <w:rsid w:val="002A6E10"/>
    <w:rsid w:val="002A7618"/>
    <w:rsid w:val="002B01D8"/>
    <w:rsid w:val="002B028E"/>
    <w:rsid w:val="002B64A8"/>
    <w:rsid w:val="002C438F"/>
    <w:rsid w:val="002C4E0D"/>
    <w:rsid w:val="002D0DE7"/>
    <w:rsid w:val="002D32E2"/>
    <w:rsid w:val="002E342B"/>
    <w:rsid w:val="002E3582"/>
    <w:rsid w:val="002E6770"/>
    <w:rsid w:val="002E7690"/>
    <w:rsid w:val="002F0AEB"/>
    <w:rsid w:val="002F29FC"/>
    <w:rsid w:val="002F71C2"/>
    <w:rsid w:val="002F7A61"/>
    <w:rsid w:val="00301FB3"/>
    <w:rsid w:val="003050DA"/>
    <w:rsid w:val="00310536"/>
    <w:rsid w:val="0031518F"/>
    <w:rsid w:val="003155E3"/>
    <w:rsid w:val="00315D57"/>
    <w:rsid w:val="00322772"/>
    <w:rsid w:val="00326A72"/>
    <w:rsid w:val="003271BF"/>
    <w:rsid w:val="0032747B"/>
    <w:rsid w:val="00327B0A"/>
    <w:rsid w:val="00327DF4"/>
    <w:rsid w:val="0033271C"/>
    <w:rsid w:val="0033347C"/>
    <w:rsid w:val="00333E36"/>
    <w:rsid w:val="00334B30"/>
    <w:rsid w:val="00344461"/>
    <w:rsid w:val="00345D8B"/>
    <w:rsid w:val="003464D5"/>
    <w:rsid w:val="00352C16"/>
    <w:rsid w:val="00353591"/>
    <w:rsid w:val="00354A44"/>
    <w:rsid w:val="00365C58"/>
    <w:rsid w:val="0036697D"/>
    <w:rsid w:val="00370B4F"/>
    <w:rsid w:val="00371ED5"/>
    <w:rsid w:val="00377542"/>
    <w:rsid w:val="003847E5"/>
    <w:rsid w:val="003854AA"/>
    <w:rsid w:val="00386A86"/>
    <w:rsid w:val="00386C47"/>
    <w:rsid w:val="00390719"/>
    <w:rsid w:val="00391D58"/>
    <w:rsid w:val="003928DF"/>
    <w:rsid w:val="003962D5"/>
    <w:rsid w:val="003A1C92"/>
    <w:rsid w:val="003A3022"/>
    <w:rsid w:val="003A6148"/>
    <w:rsid w:val="003A733C"/>
    <w:rsid w:val="003B0808"/>
    <w:rsid w:val="003B2407"/>
    <w:rsid w:val="003B374D"/>
    <w:rsid w:val="003B4F90"/>
    <w:rsid w:val="003B5179"/>
    <w:rsid w:val="003B66F5"/>
    <w:rsid w:val="003C0A28"/>
    <w:rsid w:val="003C3BD4"/>
    <w:rsid w:val="003C4E68"/>
    <w:rsid w:val="003C51F4"/>
    <w:rsid w:val="003D1CE3"/>
    <w:rsid w:val="003D32C5"/>
    <w:rsid w:val="003D4F54"/>
    <w:rsid w:val="003E4D36"/>
    <w:rsid w:val="003F024E"/>
    <w:rsid w:val="003F0D6B"/>
    <w:rsid w:val="003F1645"/>
    <w:rsid w:val="003F2C03"/>
    <w:rsid w:val="003F7179"/>
    <w:rsid w:val="00402349"/>
    <w:rsid w:val="004052E3"/>
    <w:rsid w:val="00412850"/>
    <w:rsid w:val="00413B26"/>
    <w:rsid w:val="00416668"/>
    <w:rsid w:val="00416A03"/>
    <w:rsid w:val="00417728"/>
    <w:rsid w:val="004254CB"/>
    <w:rsid w:val="00427D57"/>
    <w:rsid w:val="004313D8"/>
    <w:rsid w:val="00432722"/>
    <w:rsid w:val="004334EC"/>
    <w:rsid w:val="00434ACE"/>
    <w:rsid w:val="00441196"/>
    <w:rsid w:val="004419FB"/>
    <w:rsid w:val="00443B45"/>
    <w:rsid w:val="00443C74"/>
    <w:rsid w:val="00463AC0"/>
    <w:rsid w:val="00463D15"/>
    <w:rsid w:val="004657EA"/>
    <w:rsid w:val="00465DA1"/>
    <w:rsid w:val="00467F0E"/>
    <w:rsid w:val="00470701"/>
    <w:rsid w:val="004822FB"/>
    <w:rsid w:val="00485822"/>
    <w:rsid w:val="00485D15"/>
    <w:rsid w:val="0048715E"/>
    <w:rsid w:val="00487357"/>
    <w:rsid w:val="00487BD8"/>
    <w:rsid w:val="00494FA6"/>
    <w:rsid w:val="00495EB6"/>
    <w:rsid w:val="004B4833"/>
    <w:rsid w:val="004C1F9B"/>
    <w:rsid w:val="004C27F1"/>
    <w:rsid w:val="004C3863"/>
    <w:rsid w:val="004C4A0F"/>
    <w:rsid w:val="004C6CFC"/>
    <w:rsid w:val="004D2D86"/>
    <w:rsid w:val="004D3208"/>
    <w:rsid w:val="004D73CA"/>
    <w:rsid w:val="004D7A1C"/>
    <w:rsid w:val="004E08FD"/>
    <w:rsid w:val="004E35AE"/>
    <w:rsid w:val="004F02E3"/>
    <w:rsid w:val="004F4E07"/>
    <w:rsid w:val="004F4E5A"/>
    <w:rsid w:val="004F7007"/>
    <w:rsid w:val="00501B0D"/>
    <w:rsid w:val="005043F9"/>
    <w:rsid w:val="005046CA"/>
    <w:rsid w:val="00505039"/>
    <w:rsid w:val="00506A9D"/>
    <w:rsid w:val="00511556"/>
    <w:rsid w:val="00517167"/>
    <w:rsid w:val="00520016"/>
    <w:rsid w:val="005266D4"/>
    <w:rsid w:val="005368DD"/>
    <w:rsid w:val="00540285"/>
    <w:rsid w:val="005435FB"/>
    <w:rsid w:val="00552750"/>
    <w:rsid w:val="00555BA2"/>
    <w:rsid w:val="0055734F"/>
    <w:rsid w:val="0055787C"/>
    <w:rsid w:val="005622B6"/>
    <w:rsid w:val="005677AD"/>
    <w:rsid w:val="00571308"/>
    <w:rsid w:val="005730A9"/>
    <w:rsid w:val="0057704C"/>
    <w:rsid w:val="005803F4"/>
    <w:rsid w:val="005819A7"/>
    <w:rsid w:val="0058387A"/>
    <w:rsid w:val="00585A88"/>
    <w:rsid w:val="0059102D"/>
    <w:rsid w:val="005916C4"/>
    <w:rsid w:val="005921E3"/>
    <w:rsid w:val="0059486A"/>
    <w:rsid w:val="00596A50"/>
    <w:rsid w:val="00597B85"/>
    <w:rsid w:val="005A3450"/>
    <w:rsid w:val="005A3605"/>
    <w:rsid w:val="005A4328"/>
    <w:rsid w:val="005A463E"/>
    <w:rsid w:val="005A7A85"/>
    <w:rsid w:val="005B0297"/>
    <w:rsid w:val="005B766D"/>
    <w:rsid w:val="005C5145"/>
    <w:rsid w:val="005D58E2"/>
    <w:rsid w:val="005D7E0D"/>
    <w:rsid w:val="005D7E1E"/>
    <w:rsid w:val="005E18B6"/>
    <w:rsid w:val="005F3AD5"/>
    <w:rsid w:val="005F62D9"/>
    <w:rsid w:val="00601DA1"/>
    <w:rsid w:val="006038C3"/>
    <w:rsid w:val="006059FA"/>
    <w:rsid w:val="006061C4"/>
    <w:rsid w:val="00611CEA"/>
    <w:rsid w:val="006132D5"/>
    <w:rsid w:val="006140CC"/>
    <w:rsid w:val="0061438B"/>
    <w:rsid w:val="00616C7B"/>
    <w:rsid w:val="006212EC"/>
    <w:rsid w:val="006259CB"/>
    <w:rsid w:val="00627DBF"/>
    <w:rsid w:val="00632249"/>
    <w:rsid w:val="00635709"/>
    <w:rsid w:val="006367A1"/>
    <w:rsid w:val="00637A2B"/>
    <w:rsid w:val="0064244A"/>
    <w:rsid w:val="006424F1"/>
    <w:rsid w:val="0064649E"/>
    <w:rsid w:val="00646533"/>
    <w:rsid w:val="00646DF1"/>
    <w:rsid w:val="00647036"/>
    <w:rsid w:val="00656F9A"/>
    <w:rsid w:val="00660591"/>
    <w:rsid w:val="006620BA"/>
    <w:rsid w:val="00662717"/>
    <w:rsid w:val="00664829"/>
    <w:rsid w:val="006662A1"/>
    <w:rsid w:val="00666C25"/>
    <w:rsid w:val="00671DB5"/>
    <w:rsid w:val="00673746"/>
    <w:rsid w:val="00673BD7"/>
    <w:rsid w:val="006748D6"/>
    <w:rsid w:val="00675885"/>
    <w:rsid w:val="0068156F"/>
    <w:rsid w:val="0068209D"/>
    <w:rsid w:val="006827D6"/>
    <w:rsid w:val="006845DD"/>
    <w:rsid w:val="00685B0F"/>
    <w:rsid w:val="00687B59"/>
    <w:rsid w:val="00692BE9"/>
    <w:rsid w:val="006A3AEA"/>
    <w:rsid w:val="006A609D"/>
    <w:rsid w:val="006A62A6"/>
    <w:rsid w:val="006B11BB"/>
    <w:rsid w:val="006B324A"/>
    <w:rsid w:val="006B5B58"/>
    <w:rsid w:val="006B5E4E"/>
    <w:rsid w:val="006B788D"/>
    <w:rsid w:val="006C2816"/>
    <w:rsid w:val="006C632A"/>
    <w:rsid w:val="006D0194"/>
    <w:rsid w:val="006D11CD"/>
    <w:rsid w:val="006D4512"/>
    <w:rsid w:val="006D6E03"/>
    <w:rsid w:val="006E55E8"/>
    <w:rsid w:val="006F36D3"/>
    <w:rsid w:val="006F4638"/>
    <w:rsid w:val="00702DD7"/>
    <w:rsid w:val="00704D7F"/>
    <w:rsid w:val="007066B5"/>
    <w:rsid w:val="007066F0"/>
    <w:rsid w:val="00710D35"/>
    <w:rsid w:val="00716D3B"/>
    <w:rsid w:val="007204D6"/>
    <w:rsid w:val="00721EED"/>
    <w:rsid w:val="00722704"/>
    <w:rsid w:val="00722FF0"/>
    <w:rsid w:val="007248CE"/>
    <w:rsid w:val="00732DA2"/>
    <w:rsid w:val="00736608"/>
    <w:rsid w:val="00737CB3"/>
    <w:rsid w:val="00740060"/>
    <w:rsid w:val="00740CBA"/>
    <w:rsid w:val="00742372"/>
    <w:rsid w:val="00743C6B"/>
    <w:rsid w:val="0074463C"/>
    <w:rsid w:val="007474CE"/>
    <w:rsid w:val="00750314"/>
    <w:rsid w:val="00750772"/>
    <w:rsid w:val="007511C5"/>
    <w:rsid w:val="0076028F"/>
    <w:rsid w:val="00763ACE"/>
    <w:rsid w:val="00766DBF"/>
    <w:rsid w:val="007673DE"/>
    <w:rsid w:val="00767E9E"/>
    <w:rsid w:val="00771C0C"/>
    <w:rsid w:val="00771D0E"/>
    <w:rsid w:val="00773E87"/>
    <w:rsid w:val="007743FF"/>
    <w:rsid w:val="00780A15"/>
    <w:rsid w:val="0078216F"/>
    <w:rsid w:val="00785310"/>
    <w:rsid w:val="00790FC7"/>
    <w:rsid w:val="007929DD"/>
    <w:rsid w:val="00795893"/>
    <w:rsid w:val="00795A6A"/>
    <w:rsid w:val="007A1A06"/>
    <w:rsid w:val="007A4472"/>
    <w:rsid w:val="007A57BE"/>
    <w:rsid w:val="007A659F"/>
    <w:rsid w:val="007A708A"/>
    <w:rsid w:val="007B0530"/>
    <w:rsid w:val="007B11A4"/>
    <w:rsid w:val="007B1A77"/>
    <w:rsid w:val="007B4187"/>
    <w:rsid w:val="007C17DD"/>
    <w:rsid w:val="007C40D7"/>
    <w:rsid w:val="007C5BF3"/>
    <w:rsid w:val="007C7D83"/>
    <w:rsid w:val="007D3786"/>
    <w:rsid w:val="007D3B33"/>
    <w:rsid w:val="007D4996"/>
    <w:rsid w:val="007D5AB6"/>
    <w:rsid w:val="007D60CA"/>
    <w:rsid w:val="007E0DDF"/>
    <w:rsid w:val="007E59DF"/>
    <w:rsid w:val="007E6165"/>
    <w:rsid w:val="007E6BE8"/>
    <w:rsid w:val="007E7483"/>
    <w:rsid w:val="007F0F86"/>
    <w:rsid w:val="007F3452"/>
    <w:rsid w:val="007F610C"/>
    <w:rsid w:val="007F62EE"/>
    <w:rsid w:val="007F72A0"/>
    <w:rsid w:val="00805BBA"/>
    <w:rsid w:val="008101DA"/>
    <w:rsid w:val="0081071F"/>
    <w:rsid w:val="00811640"/>
    <w:rsid w:val="0081243C"/>
    <w:rsid w:val="00815169"/>
    <w:rsid w:val="00816187"/>
    <w:rsid w:val="008170B0"/>
    <w:rsid w:val="00817FFC"/>
    <w:rsid w:val="0082089D"/>
    <w:rsid w:val="0082147A"/>
    <w:rsid w:val="00824FDE"/>
    <w:rsid w:val="008253FA"/>
    <w:rsid w:val="00826E64"/>
    <w:rsid w:val="00827565"/>
    <w:rsid w:val="008276B4"/>
    <w:rsid w:val="00827F46"/>
    <w:rsid w:val="00831A98"/>
    <w:rsid w:val="00833506"/>
    <w:rsid w:val="00834A50"/>
    <w:rsid w:val="00835957"/>
    <w:rsid w:val="00847C44"/>
    <w:rsid w:val="00853093"/>
    <w:rsid w:val="00856EA5"/>
    <w:rsid w:val="00860F0D"/>
    <w:rsid w:val="00863DCB"/>
    <w:rsid w:val="00864D27"/>
    <w:rsid w:val="0086578E"/>
    <w:rsid w:val="00865A22"/>
    <w:rsid w:val="008667D3"/>
    <w:rsid w:val="00883182"/>
    <w:rsid w:val="00884A4F"/>
    <w:rsid w:val="00886530"/>
    <w:rsid w:val="0088667C"/>
    <w:rsid w:val="00886EAA"/>
    <w:rsid w:val="00890371"/>
    <w:rsid w:val="008929A7"/>
    <w:rsid w:val="0089384B"/>
    <w:rsid w:val="008A154B"/>
    <w:rsid w:val="008A3545"/>
    <w:rsid w:val="008A35AA"/>
    <w:rsid w:val="008A4226"/>
    <w:rsid w:val="008A562A"/>
    <w:rsid w:val="008B0E2E"/>
    <w:rsid w:val="008B1C1C"/>
    <w:rsid w:val="008B2FEF"/>
    <w:rsid w:val="008B5FB7"/>
    <w:rsid w:val="008C72FF"/>
    <w:rsid w:val="008C7AAA"/>
    <w:rsid w:val="008D1644"/>
    <w:rsid w:val="008D2EA1"/>
    <w:rsid w:val="008D4429"/>
    <w:rsid w:val="008D682A"/>
    <w:rsid w:val="008D769B"/>
    <w:rsid w:val="008F1EE2"/>
    <w:rsid w:val="008F6E8B"/>
    <w:rsid w:val="00902224"/>
    <w:rsid w:val="00904611"/>
    <w:rsid w:val="009046B4"/>
    <w:rsid w:val="00904D87"/>
    <w:rsid w:val="00904EB3"/>
    <w:rsid w:val="0090511D"/>
    <w:rsid w:val="00905381"/>
    <w:rsid w:val="00906588"/>
    <w:rsid w:val="00913D49"/>
    <w:rsid w:val="0091583E"/>
    <w:rsid w:val="00916A1B"/>
    <w:rsid w:val="009202B7"/>
    <w:rsid w:val="009258F8"/>
    <w:rsid w:val="009277AE"/>
    <w:rsid w:val="0092781B"/>
    <w:rsid w:val="00935379"/>
    <w:rsid w:val="00940E35"/>
    <w:rsid w:val="00943D86"/>
    <w:rsid w:val="00943E94"/>
    <w:rsid w:val="00944250"/>
    <w:rsid w:val="00945E08"/>
    <w:rsid w:val="0095094F"/>
    <w:rsid w:val="00953446"/>
    <w:rsid w:val="0095481A"/>
    <w:rsid w:val="00956E76"/>
    <w:rsid w:val="00961F52"/>
    <w:rsid w:val="00965E53"/>
    <w:rsid w:val="00966052"/>
    <w:rsid w:val="00966F69"/>
    <w:rsid w:val="009673D0"/>
    <w:rsid w:val="00971061"/>
    <w:rsid w:val="00971DE3"/>
    <w:rsid w:val="00980EE0"/>
    <w:rsid w:val="00980F20"/>
    <w:rsid w:val="00982E09"/>
    <w:rsid w:val="00982F8A"/>
    <w:rsid w:val="00986F18"/>
    <w:rsid w:val="0098753F"/>
    <w:rsid w:val="00990719"/>
    <w:rsid w:val="00992BC7"/>
    <w:rsid w:val="00993A01"/>
    <w:rsid w:val="0099657E"/>
    <w:rsid w:val="009974C2"/>
    <w:rsid w:val="00997664"/>
    <w:rsid w:val="00997906"/>
    <w:rsid w:val="009A1160"/>
    <w:rsid w:val="009A3D58"/>
    <w:rsid w:val="009A479E"/>
    <w:rsid w:val="009A5C6A"/>
    <w:rsid w:val="009A718C"/>
    <w:rsid w:val="009A7297"/>
    <w:rsid w:val="009B2161"/>
    <w:rsid w:val="009B33F0"/>
    <w:rsid w:val="009B3B2B"/>
    <w:rsid w:val="009B5534"/>
    <w:rsid w:val="009C0798"/>
    <w:rsid w:val="009C0ED0"/>
    <w:rsid w:val="009C494D"/>
    <w:rsid w:val="009D11EF"/>
    <w:rsid w:val="009D5C97"/>
    <w:rsid w:val="009E0008"/>
    <w:rsid w:val="009E71B1"/>
    <w:rsid w:val="009F05AC"/>
    <w:rsid w:val="009F0AD2"/>
    <w:rsid w:val="009F11B8"/>
    <w:rsid w:val="009F1B19"/>
    <w:rsid w:val="009F527B"/>
    <w:rsid w:val="00A0265F"/>
    <w:rsid w:val="00A029B0"/>
    <w:rsid w:val="00A02CF1"/>
    <w:rsid w:val="00A03899"/>
    <w:rsid w:val="00A0497F"/>
    <w:rsid w:val="00A06114"/>
    <w:rsid w:val="00A10026"/>
    <w:rsid w:val="00A104AB"/>
    <w:rsid w:val="00A10872"/>
    <w:rsid w:val="00A10B82"/>
    <w:rsid w:val="00A12790"/>
    <w:rsid w:val="00A13228"/>
    <w:rsid w:val="00A233EB"/>
    <w:rsid w:val="00A2548F"/>
    <w:rsid w:val="00A25F53"/>
    <w:rsid w:val="00A268F2"/>
    <w:rsid w:val="00A27A58"/>
    <w:rsid w:val="00A36D05"/>
    <w:rsid w:val="00A441D8"/>
    <w:rsid w:val="00A46540"/>
    <w:rsid w:val="00A519F0"/>
    <w:rsid w:val="00A617C7"/>
    <w:rsid w:val="00A64091"/>
    <w:rsid w:val="00A653ED"/>
    <w:rsid w:val="00A66633"/>
    <w:rsid w:val="00A66927"/>
    <w:rsid w:val="00A70800"/>
    <w:rsid w:val="00A70CD3"/>
    <w:rsid w:val="00A737CD"/>
    <w:rsid w:val="00A73B39"/>
    <w:rsid w:val="00A7461F"/>
    <w:rsid w:val="00A8081E"/>
    <w:rsid w:val="00A85BF2"/>
    <w:rsid w:val="00A86555"/>
    <w:rsid w:val="00A90C15"/>
    <w:rsid w:val="00A93783"/>
    <w:rsid w:val="00A94EE3"/>
    <w:rsid w:val="00A9733E"/>
    <w:rsid w:val="00AA00C1"/>
    <w:rsid w:val="00AA06B3"/>
    <w:rsid w:val="00AA0914"/>
    <w:rsid w:val="00AA23F2"/>
    <w:rsid w:val="00AB7A62"/>
    <w:rsid w:val="00AC23C9"/>
    <w:rsid w:val="00AC48B9"/>
    <w:rsid w:val="00AC6ACB"/>
    <w:rsid w:val="00AC7FFA"/>
    <w:rsid w:val="00AD2515"/>
    <w:rsid w:val="00AD352B"/>
    <w:rsid w:val="00AD4A06"/>
    <w:rsid w:val="00AD4B02"/>
    <w:rsid w:val="00AD6CDD"/>
    <w:rsid w:val="00AE0D8D"/>
    <w:rsid w:val="00AE216B"/>
    <w:rsid w:val="00AE3BBE"/>
    <w:rsid w:val="00AE58E1"/>
    <w:rsid w:val="00AF2EDB"/>
    <w:rsid w:val="00AF4E3B"/>
    <w:rsid w:val="00AF666B"/>
    <w:rsid w:val="00AF7806"/>
    <w:rsid w:val="00B00CB2"/>
    <w:rsid w:val="00B01097"/>
    <w:rsid w:val="00B013D2"/>
    <w:rsid w:val="00B05F2B"/>
    <w:rsid w:val="00B06A50"/>
    <w:rsid w:val="00B06B61"/>
    <w:rsid w:val="00B118FF"/>
    <w:rsid w:val="00B11BD0"/>
    <w:rsid w:val="00B17408"/>
    <w:rsid w:val="00B203C2"/>
    <w:rsid w:val="00B208BE"/>
    <w:rsid w:val="00B22682"/>
    <w:rsid w:val="00B230AC"/>
    <w:rsid w:val="00B257F8"/>
    <w:rsid w:val="00B26126"/>
    <w:rsid w:val="00B3218B"/>
    <w:rsid w:val="00B378E1"/>
    <w:rsid w:val="00B50748"/>
    <w:rsid w:val="00B57A86"/>
    <w:rsid w:val="00B57FB0"/>
    <w:rsid w:val="00B60CAE"/>
    <w:rsid w:val="00B649E3"/>
    <w:rsid w:val="00B6572D"/>
    <w:rsid w:val="00B6781E"/>
    <w:rsid w:val="00B713F9"/>
    <w:rsid w:val="00B71D7A"/>
    <w:rsid w:val="00B725B9"/>
    <w:rsid w:val="00B731F8"/>
    <w:rsid w:val="00B7394E"/>
    <w:rsid w:val="00B74BBF"/>
    <w:rsid w:val="00B76A24"/>
    <w:rsid w:val="00B8145F"/>
    <w:rsid w:val="00B841A9"/>
    <w:rsid w:val="00B8731C"/>
    <w:rsid w:val="00B901B4"/>
    <w:rsid w:val="00B90670"/>
    <w:rsid w:val="00BA50DD"/>
    <w:rsid w:val="00BA64C2"/>
    <w:rsid w:val="00BA6732"/>
    <w:rsid w:val="00BD1E6E"/>
    <w:rsid w:val="00BD2A33"/>
    <w:rsid w:val="00BE059D"/>
    <w:rsid w:val="00BE31E8"/>
    <w:rsid w:val="00BE37BA"/>
    <w:rsid w:val="00BE52BC"/>
    <w:rsid w:val="00BF303E"/>
    <w:rsid w:val="00BF7B8F"/>
    <w:rsid w:val="00C01DB3"/>
    <w:rsid w:val="00C02B65"/>
    <w:rsid w:val="00C040F0"/>
    <w:rsid w:val="00C119B3"/>
    <w:rsid w:val="00C13C8B"/>
    <w:rsid w:val="00C1630A"/>
    <w:rsid w:val="00C169CD"/>
    <w:rsid w:val="00C214F3"/>
    <w:rsid w:val="00C2456F"/>
    <w:rsid w:val="00C3180D"/>
    <w:rsid w:val="00C325B9"/>
    <w:rsid w:val="00C32B76"/>
    <w:rsid w:val="00C33B54"/>
    <w:rsid w:val="00C372E8"/>
    <w:rsid w:val="00C43018"/>
    <w:rsid w:val="00C4420B"/>
    <w:rsid w:val="00C45E81"/>
    <w:rsid w:val="00C5197E"/>
    <w:rsid w:val="00C569CB"/>
    <w:rsid w:val="00C61360"/>
    <w:rsid w:val="00C61A87"/>
    <w:rsid w:val="00C62978"/>
    <w:rsid w:val="00C63530"/>
    <w:rsid w:val="00C63B66"/>
    <w:rsid w:val="00C71655"/>
    <w:rsid w:val="00C716C4"/>
    <w:rsid w:val="00C71CCE"/>
    <w:rsid w:val="00C7727C"/>
    <w:rsid w:val="00C7780F"/>
    <w:rsid w:val="00C840C4"/>
    <w:rsid w:val="00C8697E"/>
    <w:rsid w:val="00C8745B"/>
    <w:rsid w:val="00C87F34"/>
    <w:rsid w:val="00CA3D1C"/>
    <w:rsid w:val="00CA3FA0"/>
    <w:rsid w:val="00CB483E"/>
    <w:rsid w:val="00CB4F45"/>
    <w:rsid w:val="00CB5CF7"/>
    <w:rsid w:val="00CB7FDF"/>
    <w:rsid w:val="00CC016C"/>
    <w:rsid w:val="00CC1524"/>
    <w:rsid w:val="00CC38BC"/>
    <w:rsid w:val="00CC3FD6"/>
    <w:rsid w:val="00CC4646"/>
    <w:rsid w:val="00CC4BBF"/>
    <w:rsid w:val="00CC6F62"/>
    <w:rsid w:val="00CD5B92"/>
    <w:rsid w:val="00CD6203"/>
    <w:rsid w:val="00CD6407"/>
    <w:rsid w:val="00CF2220"/>
    <w:rsid w:val="00CF48EF"/>
    <w:rsid w:val="00D04446"/>
    <w:rsid w:val="00D076A0"/>
    <w:rsid w:val="00D10AEE"/>
    <w:rsid w:val="00D116D7"/>
    <w:rsid w:val="00D144B9"/>
    <w:rsid w:val="00D153A1"/>
    <w:rsid w:val="00D15D01"/>
    <w:rsid w:val="00D201F4"/>
    <w:rsid w:val="00D20D5E"/>
    <w:rsid w:val="00D21C3E"/>
    <w:rsid w:val="00D30B5E"/>
    <w:rsid w:val="00D31D4F"/>
    <w:rsid w:val="00D32E0A"/>
    <w:rsid w:val="00D3314C"/>
    <w:rsid w:val="00D3382D"/>
    <w:rsid w:val="00D3499F"/>
    <w:rsid w:val="00D35821"/>
    <w:rsid w:val="00D3588A"/>
    <w:rsid w:val="00D36EED"/>
    <w:rsid w:val="00D40F56"/>
    <w:rsid w:val="00D42938"/>
    <w:rsid w:val="00D50A6A"/>
    <w:rsid w:val="00D51F1D"/>
    <w:rsid w:val="00D54704"/>
    <w:rsid w:val="00D56867"/>
    <w:rsid w:val="00D56BEF"/>
    <w:rsid w:val="00D579D9"/>
    <w:rsid w:val="00D60C57"/>
    <w:rsid w:val="00D62D7A"/>
    <w:rsid w:val="00D646EF"/>
    <w:rsid w:val="00D65943"/>
    <w:rsid w:val="00D65C12"/>
    <w:rsid w:val="00D66165"/>
    <w:rsid w:val="00D678EB"/>
    <w:rsid w:val="00D67B99"/>
    <w:rsid w:val="00D724F6"/>
    <w:rsid w:val="00D72F9D"/>
    <w:rsid w:val="00D73195"/>
    <w:rsid w:val="00D73219"/>
    <w:rsid w:val="00D73D18"/>
    <w:rsid w:val="00D756F0"/>
    <w:rsid w:val="00D75C25"/>
    <w:rsid w:val="00D90250"/>
    <w:rsid w:val="00D9048A"/>
    <w:rsid w:val="00D930F8"/>
    <w:rsid w:val="00D9445F"/>
    <w:rsid w:val="00D944CB"/>
    <w:rsid w:val="00D963EA"/>
    <w:rsid w:val="00DA3702"/>
    <w:rsid w:val="00DA3803"/>
    <w:rsid w:val="00DA53A0"/>
    <w:rsid w:val="00DA672B"/>
    <w:rsid w:val="00DA6765"/>
    <w:rsid w:val="00DB0B27"/>
    <w:rsid w:val="00DB2B1C"/>
    <w:rsid w:val="00DB36A1"/>
    <w:rsid w:val="00DC18B9"/>
    <w:rsid w:val="00DC34EA"/>
    <w:rsid w:val="00DD0A4B"/>
    <w:rsid w:val="00DD27F1"/>
    <w:rsid w:val="00DD4528"/>
    <w:rsid w:val="00DD53A7"/>
    <w:rsid w:val="00DD56A4"/>
    <w:rsid w:val="00DD7E43"/>
    <w:rsid w:val="00DE3476"/>
    <w:rsid w:val="00DE3FEA"/>
    <w:rsid w:val="00DE633F"/>
    <w:rsid w:val="00DF2DA9"/>
    <w:rsid w:val="00DF31EF"/>
    <w:rsid w:val="00DF38F8"/>
    <w:rsid w:val="00DF45B1"/>
    <w:rsid w:val="00DF4EED"/>
    <w:rsid w:val="00E02857"/>
    <w:rsid w:val="00E03AA1"/>
    <w:rsid w:val="00E06A86"/>
    <w:rsid w:val="00E11C09"/>
    <w:rsid w:val="00E14466"/>
    <w:rsid w:val="00E174CD"/>
    <w:rsid w:val="00E222D8"/>
    <w:rsid w:val="00E2242D"/>
    <w:rsid w:val="00E22517"/>
    <w:rsid w:val="00E240DA"/>
    <w:rsid w:val="00E24BAE"/>
    <w:rsid w:val="00E30437"/>
    <w:rsid w:val="00E3056A"/>
    <w:rsid w:val="00E30609"/>
    <w:rsid w:val="00E334FD"/>
    <w:rsid w:val="00E33B1F"/>
    <w:rsid w:val="00E34EBC"/>
    <w:rsid w:val="00E355E6"/>
    <w:rsid w:val="00E362E4"/>
    <w:rsid w:val="00E41248"/>
    <w:rsid w:val="00E4128A"/>
    <w:rsid w:val="00E42641"/>
    <w:rsid w:val="00E5173A"/>
    <w:rsid w:val="00E63ED8"/>
    <w:rsid w:val="00E63FD3"/>
    <w:rsid w:val="00E669D9"/>
    <w:rsid w:val="00E70940"/>
    <w:rsid w:val="00E717B9"/>
    <w:rsid w:val="00E71AA1"/>
    <w:rsid w:val="00E729B5"/>
    <w:rsid w:val="00E76519"/>
    <w:rsid w:val="00E80F55"/>
    <w:rsid w:val="00E85501"/>
    <w:rsid w:val="00E94C6B"/>
    <w:rsid w:val="00E94FCE"/>
    <w:rsid w:val="00EA4756"/>
    <w:rsid w:val="00EA55BA"/>
    <w:rsid w:val="00EB7500"/>
    <w:rsid w:val="00EC127F"/>
    <w:rsid w:val="00EC44C5"/>
    <w:rsid w:val="00ED00EB"/>
    <w:rsid w:val="00ED0330"/>
    <w:rsid w:val="00ED161A"/>
    <w:rsid w:val="00ED759A"/>
    <w:rsid w:val="00EE2CAD"/>
    <w:rsid w:val="00EE2DDB"/>
    <w:rsid w:val="00EE361C"/>
    <w:rsid w:val="00EE769B"/>
    <w:rsid w:val="00EF005C"/>
    <w:rsid w:val="00EF666F"/>
    <w:rsid w:val="00F0312E"/>
    <w:rsid w:val="00F109AB"/>
    <w:rsid w:val="00F1118A"/>
    <w:rsid w:val="00F13903"/>
    <w:rsid w:val="00F152EA"/>
    <w:rsid w:val="00F16B98"/>
    <w:rsid w:val="00F21671"/>
    <w:rsid w:val="00F26472"/>
    <w:rsid w:val="00F32B8F"/>
    <w:rsid w:val="00F37574"/>
    <w:rsid w:val="00F456C8"/>
    <w:rsid w:val="00F47904"/>
    <w:rsid w:val="00F52598"/>
    <w:rsid w:val="00F53671"/>
    <w:rsid w:val="00F536CC"/>
    <w:rsid w:val="00F559B1"/>
    <w:rsid w:val="00F562CC"/>
    <w:rsid w:val="00F5641D"/>
    <w:rsid w:val="00F5696E"/>
    <w:rsid w:val="00F56E3C"/>
    <w:rsid w:val="00F57BAE"/>
    <w:rsid w:val="00F60BD9"/>
    <w:rsid w:val="00F61F55"/>
    <w:rsid w:val="00F732DC"/>
    <w:rsid w:val="00F7651F"/>
    <w:rsid w:val="00F80437"/>
    <w:rsid w:val="00F8118C"/>
    <w:rsid w:val="00F813DA"/>
    <w:rsid w:val="00F8348C"/>
    <w:rsid w:val="00F90B48"/>
    <w:rsid w:val="00F919AC"/>
    <w:rsid w:val="00F92CCB"/>
    <w:rsid w:val="00F974D6"/>
    <w:rsid w:val="00FA6603"/>
    <w:rsid w:val="00FB0B07"/>
    <w:rsid w:val="00FB360B"/>
    <w:rsid w:val="00FB389B"/>
    <w:rsid w:val="00FB5917"/>
    <w:rsid w:val="00FB5D4F"/>
    <w:rsid w:val="00FC1646"/>
    <w:rsid w:val="00FC33A5"/>
    <w:rsid w:val="00FC6EC5"/>
    <w:rsid w:val="00FC72AC"/>
    <w:rsid w:val="00FC761C"/>
    <w:rsid w:val="00FD3125"/>
    <w:rsid w:val="00FD40A6"/>
    <w:rsid w:val="00FE011F"/>
    <w:rsid w:val="00FE09BA"/>
    <w:rsid w:val="00FE0E24"/>
    <w:rsid w:val="00FE3CB6"/>
    <w:rsid w:val="00FE6303"/>
    <w:rsid w:val="00FE6A3D"/>
    <w:rsid w:val="00FE71D4"/>
    <w:rsid w:val="00FF171F"/>
    <w:rsid w:val="00FF1AC9"/>
    <w:rsid w:val="00FF5B67"/>
    <w:rsid w:val="00FF6AC1"/>
    <w:rsid w:val="03D24459"/>
    <w:rsid w:val="044D1467"/>
    <w:rsid w:val="068752DA"/>
    <w:rsid w:val="12654DA3"/>
    <w:rsid w:val="15C13406"/>
    <w:rsid w:val="1BC01BEA"/>
    <w:rsid w:val="1BDA1E17"/>
    <w:rsid w:val="1E9A0226"/>
    <w:rsid w:val="35E4609C"/>
    <w:rsid w:val="363D6249"/>
    <w:rsid w:val="3AB2719F"/>
    <w:rsid w:val="3E182468"/>
    <w:rsid w:val="465B0C9E"/>
    <w:rsid w:val="4A8C63AD"/>
    <w:rsid w:val="5D026D44"/>
    <w:rsid w:val="5EAA18D9"/>
    <w:rsid w:val="5EB365A5"/>
    <w:rsid w:val="5FBB164E"/>
    <w:rsid w:val="64C37364"/>
    <w:rsid w:val="659F2EC5"/>
    <w:rsid w:val="6F2916E8"/>
    <w:rsid w:val="72F9028C"/>
    <w:rsid w:val="787A75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97904DD"/>
  <w15:docId w15:val="{B0A642CF-85AD-4A20-8710-1D5F61A11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50748"/>
    <w:pPr>
      <w:widowControl w:val="0"/>
      <w:jc w:val="both"/>
    </w:pPr>
    <w:rPr>
      <w:kern w:val="2"/>
      <w:sz w:val="21"/>
      <w:szCs w:val="22"/>
    </w:rPr>
  </w:style>
  <w:style w:type="paragraph" w:styleId="1">
    <w:name w:val="heading 1"/>
    <w:basedOn w:val="a"/>
    <w:next w:val="a"/>
    <w:link w:val="10"/>
    <w:uiPriority w:val="9"/>
    <w:qFormat/>
    <w:rsid w:val="00B50748"/>
    <w:pPr>
      <w:keepNext/>
      <w:keepLines/>
      <w:spacing w:before="120" w:after="120" w:line="360" w:lineRule="auto"/>
      <w:outlineLvl w:val="0"/>
    </w:pPr>
    <w:rPr>
      <w:rFonts w:ascii="宋体" w:eastAsia="宋体" w:hAnsi="Times New Roman" w:cs="Times New Roman"/>
      <w:b/>
      <w:color w:val="000000"/>
      <w:kern w:val="0"/>
      <w:sz w:val="24"/>
      <w:szCs w:val="20"/>
      <w:lang w:val="zh-CN"/>
    </w:rPr>
  </w:style>
  <w:style w:type="paragraph" w:styleId="2">
    <w:name w:val="heading 2"/>
    <w:basedOn w:val="a"/>
    <w:next w:val="a"/>
    <w:link w:val="20"/>
    <w:semiHidden/>
    <w:unhideWhenUsed/>
    <w:qFormat/>
    <w:rsid w:val="00B50748"/>
    <w:pPr>
      <w:keepNext/>
      <w:keepLines/>
      <w:numPr>
        <w:numId w:val="1"/>
      </w:numPr>
      <w:spacing w:before="260" w:after="260" w:line="412" w:lineRule="auto"/>
      <w:outlineLvl w:val="1"/>
    </w:pPr>
    <w:rPr>
      <w:rFonts w:ascii="Arial" w:eastAsia="黑体" w:hAnsi="Arial" w:cs="Times New Roman"/>
      <w:b/>
      <w:sz w:val="32"/>
      <w:szCs w:val="20"/>
      <w:lang w:val="zh-CN"/>
    </w:rPr>
  </w:style>
  <w:style w:type="paragraph" w:styleId="3">
    <w:name w:val="heading 3"/>
    <w:basedOn w:val="a"/>
    <w:next w:val="a"/>
    <w:link w:val="30"/>
    <w:semiHidden/>
    <w:unhideWhenUsed/>
    <w:qFormat/>
    <w:rsid w:val="00B50748"/>
    <w:pPr>
      <w:keepNext/>
      <w:keepLines/>
      <w:spacing w:before="260" w:after="260" w:line="412" w:lineRule="auto"/>
      <w:outlineLvl w:val="2"/>
    </w:pPr>
    <w:rPr>
      <w:rFonts w:ascii="Times New Roman" w:eastAsia="宋体" w:hAnsi="Times New Roman" w:cs="Times New Roman"/>
      <w:b/>
      <w:kern w:val="0"/>
      <w:sz w:val="32"/>
      <w:szCs w:val="20"/>
      <w:lang w:val="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semiHidden/>
    <w:unhideWhenUsed/>
    <w:qFormat/>
    <w:rsid w:val="00B50748"/>
    <w:rPr>
      <w:b/>
    </w:rPr>
  </w:style>
  <w:style w:type="paragraph" w:styleId="a4">
    <w:name w:val="annotation text"/>
    <w:basedOn w:val="a"/>
    <w:link w:val="a6"/>
    <w:uiPriority w:val="99"/>
    <w:unhideWhenUsed/>
    <w:qFormat/>
    <w:rsid w:val="00B50748"/>
    <w:pPr>
      <w:jc w:val="left"/>
    </w:pPr>
    <w:rPr>
      <w:rFonts w:ascii="Times New Roman" w:eastAsia="宋体" w:hAnsi="Times New Roman" w:cs="Times New Roman"/>
      <w:szCs w:val="20"/>
    </w:rPr>
  </w:style>
  <w:style w:type="paragraph" w:styleId="a7">
    <w:name w:val="Normal Indent"/>
    <w:basedOn w:val="a"/>
    <w:semiHidden/>
    <w:unhideWhenUsed/>
    <w:qFormat/>
    <w:rsid w:val="00B50748"/>
    <w:pPr>
      <w:ind w:firstLineChars="200" w:firstLine="420"/>
    </w:pPr>
    <w:rPr>
      <w:rFonts w:ascii="Times New Roman" w:eastAsia="宋体" w:hAnsi="Times New Roman" w:cs="Times New Roman"/>
      <w:szCs w:val="20"/>
    </w:rPr>
  </w:style>
  <w:style w:type="paragraph" w:styleId="a8">
    <w:name w:val="Document Map"/>
    <w:basedOn w:val="a"/>
    <w:link w:val="a9"/>
    <w:semiHidden/>
    <w:unhideWhenUsed/>
    <w:qFormat/>
    <w:rsid w:val="00B50748"/>
    <w:pPr>
      <w:shd w:val="clear" w:color="auto" w:fill="000080"/>
    </w:pPr>
    <w:rPr>
      <w:rFonts w:ascii="Times New Roman" w:eastAsia="宋体" w:hAnsi="Times New Roman" w:cs="Times New Roman"/>
      <w:szCs w:val="20"/>
    </w:rPr>
  </w:style>
  <w:style w:type="paragraph" w:styleId="aa">
    <w:name w:val="Body Text"/>
    <w:basedOn w:val="a"/>
    <w:link w:val="ab"/>
    <w:semiHidden/>
    <w:unhideWhenUsed/>
    <w:rsid w:val="00B50748"/>
    <w:pPr>
      <w:autoSpaceDE w:val="0"/>
      <w:autoSpaceDN w:val="0"/>
      <w:adjustRightInd w:val="0"/>
      <w:spacing w:line="360" w:lineRule="auto"/>
      <w:jc w:val="left"/>
    </w:pPr>
    <w:rPr>
      <w:rFonts w:ascii="宋体" w:eastAsia="宋体" w:hAnsi="Calibri" w:cs="Times New Roman"/>
      <w:kern w:val="0"/>
    </w:rPr>
  </w:style>
  <w:style w:type="paragraph" w:styleId="31">
    <w:name w:val="toc 3"/>
    <w:basedOn w:val="a"/>
    <w:next w:val="a"/>
    <w:semiHidden/>
    <w:unhideWhenUsed/>
    <w:rsid w:val="00B50748"/>
    <w:pPr>
      <w:ind w:leftChars="400" w:left="840"/>
    </w:pPr>
    <w:rPr>
      <w:rFonts w:ascii="Times New Roman" w:eastAsia="宋体" w:hAnsi="Times New Roman" w:cs="Times New Roman"/>
      <w:szCs w:val="20"/>
    </w:rPr>
  </w:style>
  <w:style w:type="paragraph" w:styleId="ac">
    <w:name w:val="Plain Text"/>
    <w:basedOn w:val="a"/>
    <w:link w:val="ad"/>
    <w:semiHidden/>
    <w:unhideWhenUsed/>
    <w:qFormat/>
    <w:rsid w:val="00B50748"/>
    <w:pPr>
      <w:adjustRightInd w:val="0"/>
      <w:spacing w:line="312" w:lineRule="atLeast"/>
    </w:pPr>
    <w:rPr>
      <w:rFonts w:ascii="宋体" w:eastAsia="宋体" w:hAnsi="Courier New" w:cs="Times New Roman"/>
      <w:kern w:val="0"/>
      <w:szCs w:val="20"/>
    </w:rPr>
  </w:style>
  <w:style w:type="paragraph" w:styleId="21">
    <w:name w:val="Body Text Indent 2"/>
    <w:basedOn w:val="a"/>
    <w:link w:val="22"/>
    <w:semiHidden/>
    <w:unhideWhenUsed/>
    <w:qFormat/>
    <w:rsid w:val="00B50748"/>
    <w:pPr>
      <w:spacing w:line="360" w:lineRule="auto"/>
      <w:ind w:firstLine="425"/>
    </w:pPr>
    <w:rPr>
      <w:rFonts w:ascii="仿宋_GB2312" w:eastAsia="仿宋_GB2312" w:hAnsi="Times New Roman" w:cs="Times New Roman"/>
      <w:sz w:val="28"/>
      <w:szCs w:val="20"/>
    </w:rPr>
  </w:style>
  <w:style w:type="paragraph" w:styleId="ae">
    <w:name w:val="Balloon Text"/>
    <w:basedOn w:val="a"/>
    <w:link w:val="af"/>
    <w:semiHidden/>
    <w:unhideWhenUsed/>
    <w:qFormat/>
    <w:rsid w:val="00B50748"/>
    <w:rPr>
      <w:rFonts w:ascii="Times New Roman" w:eastAsia="宋体" w:hAnsi="Times New Roman" w:cs="Times New Roman"/>
      <w:sz w:val="18"/>
      <w:szCs w:val="20"/>
    </w:rPr>
  </w:style>
  <w:style w:type="paragraph" w:styleId="af0">
    <w:name w:val="footer"/>
    <w:basedOn w:val="a"/>
    <w:link w:val="af1"/>
    <w:uiPriority w:val="99"/>
    <w:unhideWhenUsed/>
    <w:qFormat/>
    <w:rsid w:val="00B50748"/>
    <w:pPr>
      <w:tabs>
        <w:tab w:val="center" w:pos="4153"/>
        <w:tab w:val="right" w:pos="8306"/>
      </w:tabs>
      <w:snapToGrid w:val="0"/>
      <w:jc w:val="left"/>
    </w:pPr>
    <w:rPr>
      <w:rFonts w:ascii="Times New Roman" w:eastAsia="宋体" w:hAnsi="Times New Roman" w:cs="Times New Roman"/>
      <w:sz w:val="18"/>
      <w:szCs w:val="18"/>
    </w:rPr>
  </w:style>
  <w:style w:type="paragraph" w:styleId="af2">
    <w:name w:val="header"/>
    <w:basedOn w:val="a"/>
    <w:link w:val="af3"/>
    <w:uiPriority w:val="99"/>
    <w:unhideWhenUsed/>
    <w:qFormat/>
    <w:rsid w:val="00B50748"/>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11">
    <w:name w:val="toc 1"/>
    <w:basedOn w:val="a"/>
    <w:next w:val="a"/>
    <w:uiPriority w:val="39"/>
    <w:unhideWhenUsed/>
    <w:qFormat/>
    <w:rsid w:val="00B50748"/>
    <w:pPr>
      <w:tabs>
        <w:tab w:val="right" w:leader="dot" w:pos="8296"/>
      </w:tabs>
      <w:spacing w:line="360" w:lineRule="auto"/>
    </w:pPr>
    <w:rPr>
      <w:rFonts w:ascii="Times New Roman" w:eastAsia="宋体" w:hAnsi="Times New Roman" w:cs="Times New Roman"/>
      <w:szCs w:val="20"/>
    </w:rPr>
  </w:style>
  <w:style w:type="paragraph" w:styleId="af4">
    <w:name w:val="footnote text"/>
    <w:basedOn w:val="a"/>
    <w:link w:val="af5"/>
    <w:semiHidden/>
    <w:unhideWhenUsed/>
    <w:qFormat/>
    <w:rsid w:val="00B50748"/>
    <w:pPr>
      <w:snapToGrid w:val="0"/>
      <w:jc w:val="left"/>
    </w:pPr>
    <w:rPr>
      <w:rFonts w:ascii="Times New Roman" w:eastAsia="宋体" w:hAnsi="Times New Roman" w:cs="Times New Roman"/>
      <w:sz w:val="18"/>
      <w:szCs w:val="20"/>
    </w:rPr>
  </w:style>
  <w:style w:type="paragraph" w:styleId="32">
    <w:name w:val="Body Text Indent 3"/>
    <w:basedOn w:val="a"/>
    <w:link w:val="33"/>
    <w:semiHidden/>
    <w:unhideWhenUsed/>
    <w:qFormat/>
    <w:rsid w:val="00B50748"/>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6">
    <w:name w:val="Title"/>
    <w:basedOn w:val="a"/>
    <w:next w:val="a"/>
    <w:link w:val="af7"/>
    <w:qFormat/>
    <w:rsid w:val="00B50748"/>
    <w:pPr>
      <w:spacing w:before="240" w:after="60"/>
      <w:jc w:val="center"/>
      <w:outlineLvl w:val="0"/>
    </w:pPr>
    <w:rPr>
      <w:rFonts w:ascii="Cambria" w:eastAsia="宋体" w:hAnsi="Cambria" w:cs="Times New Roman"/>
      <w:b/>
      <w:sz w:val="32"/>
    </w:rPr>
  </w:style>
  <w:style w:type="character" w:styleId="af8">
    <w:name w:val="FollowedHyperlink"/>
    <w:basedOn w:val="a0"/>
    <w:uiPriority w:val="99"/>
    <w:semiHidden/>
    <w:unhideWhenUsed/>
    <w:qFormat/>
    <w:rsid w:val="00B50748"/>
    <w:rPr>
      <w:color w:val="800080" w:themeColor="followedHyperlink"/>
      <w:u w:val="single"/>
    </w:rPr>
  </w:style>
  <w:style w:type="character" w:styleId="af9">
    <w:name w:val="Hyperlink"/>
    <w:uiPriority w:val="99"/>
    <w:unhideWhenUsed/>
    <w:qFormat/>
    <w:rsid w:val="00B50748"/>
    <w:rPr>
      <w:color w:val="0000FF"/>
      <w:u w:val="single"/>
    </w:rPr>
  </w:style>
  <w:style w:type="character" w:styleId="afa">
    <w:name w:val="annotation reference"/>
    <w:semiHidden/>
    <w:unhideWhenUsed/>
    <w:qFormat/>
    <w:rsid w:val="00B50748"/>
    <w:rPr>
      <w:sz w:val="21"/>
    </w:rPr>
  </w:style>
  <w:style w:type="character" w:styleId="afb">
    <w:name w:val="footnote reference"/>
    <w:semiHidden/>
    <w:unhideWhenUsed/>
    <w:qFormat/>
    <w:rsid w:val="00B50748"/>
    <w:rPr>
      <w:vertAlign w:val="superscript"/>
    </w:rPr>
  </w:style>
  <w:style w:type="table" w:styleId="afc">
    <w:name w:val="Table Grid"/>
    <w:basedOn w:val="a1"/>
    <w:qFormat/>
    <w:rsid w:val="00B507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标题 1 字符"/>
    <w:basedOn w:val="a0"/>
    <w:link w:val="1"/>
    <w:uiPriority w:val="9"/>
    <w:rsid w:val="00B50748"/>
    <w:rPr>
      <w:rFonts w:ascii="宋体" w:eastAsia="宋体" w:hAnsi="Times New Roman" w:cs="Times New Roman"/>
      <w:b/>
      <w:color w:val="000000"/>
      <w:kern w:val="0"/>
      <w:sz w:val="24"/>
      <w:szCs w:val="20"/>
      <w:lang w:val="zh-CN" w:eastAsia="zh-CN"/>
    </w:rPr>
  </w:style>
  <w:style w:type="character" w:customStyle="1" w:styleId="20">
    <w:name w:val="标题 2 字符"/>
    <w:basedOn w:val="a0"/>
    <w:link w:val="2"/>
    <w:semiHidden/>
    <w:qFormat/>
    <w:rsid w:val="00B50748"/>
    <w:rPr>
      <w:rFonts w:ascii="Arial" w:eastAsia="黑体" w:hAnsi="Arial" w:cs="Times New Roman"/>
      <w:b/>
      <w:sz w:val="32"/>
      <w:szCs w:val="20"/>
      <w:lang w:val="zh-CN" w:eastAsia="zh-CN"/>
    </w:rPr>
  </w:style>
  <w:style w:type="character" w:customStyle="1" w:styleId="30">
    <w:name w:val="标题 3 字符"/>
    <w:basedOn w:val="a0"/>
    <w:link w:val="3"/>
    <w:semiHidden/>
    <w:qFormat/>
    <w:rsid w:val="00B50748"/>
    <w:rPr>
      <w:rFonts w:ascii="Times New Roman" w:eastAsia="宋体" w:hAnsi="Times New Roman" w:cs="Times New Roman"/>
      <w:b/>
      <w:kern w:val="0"/>
      <w:sz w:val="32"/>
      <w:szCs w:val="20"/>
      <w:lang w:val="zh-CN" w:eastAsia="zh-CN"/>
    </w:rPr>
  </w:style>
  <w:style w:type="character" w:customStyle="1" w:styleId="af5">
    <w:name w:val="脚注文本 字符"/>
    <w:basedOn w:val="a0"/>
    <w:link w:val="af4"/>
    <w:semiHidden/>
    <w:qFormat/>
    <w:rsid w:val="00B50748"/>
    <w:rPr>
      <w:rFonts w:ascii="Times New Roman" w:eastAsia="宋体" w:hAnsi="Times New Roman" w:cs="Times New Roman"/>
      <w:sz w:val="18"/>
      <w:szCs w:val="20"/>
    </w:rPr>
  </w:style>
  <w:style w:type="character" w:customStyle="1" w:styleId="Char">
    <w:name w:val="批注文字 Char"/>
    <w:basedOn w:val="a0"/>
    <w:semiHidden/>
    <w:qFormat/>
    <w:rsid w:val="00B50748"/>
  </w:style>
  <w:style w:type="character" w:customStyle="1" w:styleId="af3">
    <w:name w:val="页眉 字符"/>
    <w:basedOn w:val="a0"/>
    <w:link w:val="af2"/>
    <w:uiPriority w:val="99"/>
    <w:qFormat/>
    <w:rsid w:val="00B50748"/>
    <w:rPr>
      <w:rFonts w:ascii="Times New Roman" w:eastAsia="宋体" w:hAnsi="Times New Roman" w:cs="Times New Roman"/>
      <w:sz w:val="18"/>
      <w:szCs w:val="18"/>
    </w:rPr>
  </w:style>
  <w:style w:type="character" w:customStyle="1" w:styleId="af1">
    <w:name w:val="页脚 字符"/>
    <w:basedOn w:val="a0"/>
    <w:link w:val="af0"/>
    <w:uiPriority w:val="99"/>
    <w:qFormat/>
    <w:rsid w:val="00B50748"/>
    <w:rPr>
      <w:rFonts w:ascii="Times New Roman" w:eastAsia="宋体" w:hAnsi="Times New Roman" w:cs="Times New Roman"/>
      <w:sz w:val="18"/>
      <w:szCs w:val="18"/>
    </w:rPr>
  </w:style>
  <w:style w:type="character" w:customStyle="1" w:styleId="af7">
    <w:name w:val="标题 字符"/>
    <w:basedOn w:val="a0"/>
    <w:link w:val="af6"/>
    <w:qFormat/>
    <w:rsid w:val="00B50748"/>
    <w:rPr>
      <w:rFonts w:ascii="Cambria" w:eastAsia="宋体" w:hAnsi="Cambria" w:cs="Times New Roman"/>
      <w:b/>
      <w:sz w:val="32"/>
    </w:rPr>
  </w:style>
  <w:style w:type="character" w:customStyle="1" w:styleId="ab">
    <w:name w:val="正文文本 字符"/>
    <w:basedOn w:val="a0"/>
    <w:link w:val="aa"/>
    <w:semiHidden/>
    <w:qFormat/>
    <w:rsid w:val="00B50748"/>
    <w:rPr>
      <w:rFonts w:ascii="宋体" w:eastAsia="宋体" w:hAnsi="Calibri" w:cs="Times New Roman"/>
      <w:kern w:val="0"/>
    </w:rPr>
  </w:style>
  <w:style w:type="character" w:customStyle="1" w:styleId="22">
    <w:name w:val="正文文本缩进 2 字符"/>
    <w:basedOn w:val="a0"/>
    <w:link w:val="21"/>
    <w:semiHidden/>
    <w:qFormat/>
    <w:rsid w:val="00B50748"/>
    <w:rPr>
      <w:rFonts w:ascii="仿宋_GB2312" w:eastAsia="仿宋_GB2312" w:hAnsi="Times New Roman" w:cs="Times New Roman"/>
      <w:sz w:val="28"/>
      <w:szCs w:val="20"/>
    </w:rPr>
  </w:style>
  <w:style w:type="character" w:customStyle="1" w:styleId="33">
    <w:name w:val="正文文本缩进 3 字符"/>
    <w:basedOn w:val="a0"/>
    <w:link w:val="32"/>
    <w:semiHidden/>
    <w:qFormat/>
    <w:rsid w:val="00B50748"/>
    <w:rPr>
      <w:rFonts w:ascii="Times New Roman" w:eastAsia="宋体" w:hAnsi="Times New Roman" w:cs="Times New Roman"/>
      <w:color w:val="0000FF"/>
      <w:szCs w:val="20"/>
    </w:rPr>
  </w:style>
  <w:style w:type="character" w:customStyle="1" w:styleId="a9">
    <w:name w:val="文档结构图 字符"/>
    <w:basedOn w:val="a0"/>
    <w:link w:val="a8"/>
    <w:semiHidden/>
    <w:qFormat/>
    <w:rsid w:val="00B50748"/>
    <w:rPr>
      <w:rFonts w:ascii="Times New Roman" w:eastAsia="宋体" w:hAnsi="Times New Roman" w:cs="Times New Roman"/>
      <w:szCs w:val="20"/>
      <w:shd w:val="clear" w:color="auto" w:fill="000080"/>
    </w:rPr>
  </w:style>
  <w:style w:type="character" w:customStyle="1" w:styleId="ad">
    <w:name w:val="纯文本 字符"/>
    <w:basedOn w:val="a0"/>
    <w:link w:val="ac"/>
    <w:semiHidden/>
    <w:qFormat/>
    <w:rsid w:val="00B50748"/>
    <w:rPr>
      <w:rFonts w:ascii="宋体" w:eastAsia="宋体" w:hAnsi="Courier New" w:cs="Times New Roman"/>
      <w:kern w:val="0"/>
      <w:szCs w:val="20"/>
    </w:rPr>
  </w:style>
  <w:style w:type="character" w:customStyle="1" w:styleId="a5">
    <w:name w:val="批注主题 字符"/>
    <w:basedOn w:val="Char"/>
    <w:link w:val="a3"/>
    <w:semiHidden/>
    <w:qFormat/>
    <w:rsid w:val="00B50748"/>
    <w:rPr>
      <w:rFonts w:ascii="Times New Roman" w:eastAsia="宋体" w:hAnsi="Times New Roman" w:cs="Times New Roman"/>
      <w:b/>
      <w:szCs w:val="20"/>
    </w:rPr>
  </w:style>
  <w:style w:type="character" w:customStyle="1" w:styleId="af">
    <w:name w:val="批注框文本 字符"/>
    <w:basedOn w:val="a0"/>
    <w:link w:val="ae"/>
    <w:semiHidden/>
    <w:qFormat/>
    <w:rsid w:val="00B50748"/>
    <w:rPr>
      <w:rFonts w:ascii="Times New Roman" w:eastAsia="宋体" w:hAnsi="Times New Roman" w:cs="Times New Roman"/>
      <w:sz w:val="18"/>
      <w:szCs w:val="20"/>
    </w:rPr>
  </w:style>
  <w:style w:type="paragraph" w:customStyle="1" w:styleId="12">
    <w:name w:val="修订1"/>
    <w:semiHidden/>
    <w:qFormat/>
    <w:rsid w:val="00B50748"/>
    <w:rPr>
      <w:rFonts w:ascii="Times New Roman" w:eastAsia="宋体" w:hAnsi="Times New Roman" w:cs="Times New Roman"/>
      <w:kern w:val="2"/>
      <w:sz w:val="21"/>
    </w:rPr>
  </w:style>
  <w:style w:type="paragraph" w:customStyle="1" w:styleId="Listbullet">
    <w:name w:val="List_bullet"/>
    <w:basedOn w:val="a"/>
    <w:qFormat/>
    <w:rsid w:val="00B50748"/>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sid w:val="00B50748"/>
    <w:rPr>
      <w:rFonts w:ascii="Times New Roman" w:eastAsia="宋体" w:hAnsi="Times New Roman" w:cs="Times New Roman"/>
      <w:szCs w:val="20"/>
    </w:rPr>
  </w:style>
  <w:style w:type="paragraph" w:customStyle="1" w:styleId="afd">
    <w:name w:val="正文所"/>
    <w:basedOn w:val="a"/>
    <w:qFormat/>
    <w:rsid w:val="00B50748"/>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rsid w:val="00B50748"/>
    <w:pPr>
      <w:tabs>
        <w:tab w:val="left" w:pos="360"/>
      </w:tabs>
    </w:pPr>
    <w:rPr>
      <w:rFonts w:ascii="Times New Roman" w:eastAsia="宋体" w:hAnsi="Times New Roman" w:cs="Times New Roman"/>
      <w:szCs w:val="20"/>
    </w:rPr>
  </w:style>
  <w:style w:type="paragraph" w:customStyle="1" w:styleId="Char0">
    <w:name w:val="Char"/>
    <w:basedOn w:val="a"/>
    <w:qFormat/>
    <w:rsid w:val="00B50748"/>
    <w:rPr>
      <w:rFonts w:ascii="Times New Roman" w:eastAsia="宋体" w:hAnsi="Times New Roman" w:cs="Times New Roman"/>
      <w:szCs w:val="20"/>
    </w:rPr>
  </w:style>
  <w:style w:type="paragraph" w:customStyle="1" w:styleId="unnamed1">
    <w:name w:val="unnamed1"/>
    <w:basedOn w:val="a"/>
    <w:qFormat/>
    <w:rsid w:val="00B50748"/>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rsid w:val="00B50748"/>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a"/>
    <w:qFormat/>
    <w:rsid w:val="00B50748"/>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rsid w:val="00B50748"/>
    <w:pPr>
      <w:widowControl w:val="0"/>
      <w:jc w:val="both"/>
    </w:pPr>
    <w:rPr>
      <w:rFonts w:ascii="Times New Roman" w:eastAsia="宋体" w:hAnsi="Times New Roman" w:cs="Times New Roman"/>
      <w:kern w:val="2"/>
      <w:sz w:val="21"/>
    </w:rPr>
  </w:style>
  <w:style w:type="paragraph" w:customStyle="1" w:styleId="CharChar">
    <w:name w:val="Char Char"/>
    <w:basedOn w:val="a"/>
    <w:qFormat/>
    <w:rsid w:val="00B50748"/>
    <w:rPr>
      <w:rFonts w:ascii="Times New Roman" w:eastAsia="宋体" w:hAnsi="Times New Roman" w:cs="Times New Roman"/>
      <w:szCs w:val="20"/>
    </w:rPr>
  </w:style>
  <w:style w:type="paragraph" w:customStyle="1" w:styleId="CharChar1">
    <w:name w:val="Char Char1"/>
    <w:basedOn w:val="a"/>
    <w:qFormat/>
    <w:rsid w:val="00B50748"/>
    <w:rPr>
      <w:rFonts w:ascii="Times New Roman" w:eastAsia="宋体" w:hAnsi="Times New Roman" w:cs="Times New Roman"/>
      <w:szCs w:val="20"/>
    </w:rPr>
  </w:style>
  <w:style w:type="paragraph" w:customStyle="1" w:styleId="afe">
    <w:name w:val="正文正文"/>
    <w:basedOn w:val="a"/>
    <w:qFormat/>
    <w:rsid w:val="00B50748"/>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rsid w:val="00B50748"/>
    <w:pPr>
      <w:widowControl w:val="0"/>
      <w:autoSpaceDE w:val="0"/>
      <w:autoSpaceDN w:val="0"/>
      <w:adjustRightInd w:val="0"/>
    </w:pPr>
    <w:rPr>
      <w:rFonts w:ascii="宋体" w:eastAsia="宋体" w:hAnsi="Times New Roman" w:cs="Times New Roman"/>
      <w:color w:val="000000"/>
      <w:sz w:val="24"/>
    </w:rPr>
  </w:style>
  <w:style w:type="character" w:customStyle="1" w:styleId="Char1">
    <w:name w:val="页眉 Char1"/>
    <w:qFormat/>
    <w:rsid w:val="00B50748"/>
    <w:rPr>
      <w:rFonts w:ascii="Times New Roman" w:eastAsia="宋体" w:hAnsi="Times New Roman" w:cs="Times New Roman" w:hint="default"/>
      <w:sz w:val="18"/>
      <w:szCs w:val="18"/>
    </w:rPr>
  </w:style>
  <w:style w:type="character" w:customStyle="1" w:styleId="unnamed11">
    <w:name w:val="unnamed11"/>
    <w:qFormat/>
    <w:rsid w:val="00B50748"/>
    <w:rPr>
      <w:rFonts w:ascii="宋体" w:eastAsia="宋体" w:hAnsi="宋体" w:hint="eastAsia"/>
      <w:sz w:val="18"/>
    </w:rPr>
  </w:style>
  <w:style w:type="character" w:customStyle="1" w:styleId="read">
    <w:name w:val="read"/>
    <w:basedOn w:val="a0"/>
    <w:qFormat/>
    <w:rsid w:val="00B50748"/>
  </w:style>
  <w:style w:type="character" w:customStyle="1" w:styleId="Char10">
    <w:name w:val="正文文本 Char1"/>
    <w:qFormat/>
    <w:rsid w:val="00B50748"/>
    <w:rPr>
      <w:rFonts w:ascii="Times New Roman" w:eastAsia="宋体" w:hAnsi="Times New Roman" w:cs="Times New Roman" w:hint="default"/>
      <w:szCs w:val="20"/>
    </w:rPr>
  </w:style>
  <w:style w:type="character" w:customStyle="1" w:styleId="Char11">
    <w:name w:val="标题 Char1"/>
    <w:qFormat/>
    <w:rsid w:val="00B50748"/>
    <w:rPr>
      <w:rFonts w:ascii="Cambria" w:eastAsia="宋体" w:hAnsi="Cambria" w:cs="Times New Roman" w:hint="default"/>
      <w:b/>
      <w:bCs/>
      <w:sz w:val="32"/>
      <w:szCs w:val="32"/>
    </w:rPr>
  </w:style>
  <w:style w:type="character" w:customStyle="1" w:styleId="Char2">
    <w:name w:val="正文文本 Char2"/>
    <w:basedOn w:val="a0"/>
    <w:uiPriority w:val="99"/>
    <w:semiHidden/>
    <w:qFormat/>
    <w:rsid w:val="00B50748"/>
    <w:rPr>
      <w:rFonts w:ascii="Times New Roman" w:eastAsia="宋体" w:hAnsi="Times New Roman" w:cs="Times New Roman" w:hint="default"/>
      <w:szCs w:val="20"/>
    </w:rPr>
  </w:style>
  <w:style w:type="character" w:customStyle="1" w:styleId="2Char1">
    <w:name w:val="正文文本缩进 2 Char1"/>
    <w:basedOn w:val="a0"/>
    <w:uiPriority w:val="99"/>
    <w:semiHidden/>
    <w:qFormat/>
    <w:rsid w:val="00B50748"/>
    <w:rPr>
      <w:rFonts w:ascii="Times New Roman" w:eastAsia="宋体" w:hAnsi="Times New Roman" w:cs="Times New Roman" w:hint="default"/>
      <w:szCs w:val="20"/>
    </w:rPr>
  </w:style>
  <w:style w:type="character" w:customStyle="1" w:styleId="a6">
    <w:name w:val="批注文字 字符"/>
    <w:basedOn w:val="a0"/>
    <w:link w:val="a4"/>
    <w:uiPriority w:val="99"/>
    <w:qFormat/>
    <w:locked/>
    <w:rsid w:val="00B50748"/>
    <w:rPr>
      <w:rFonts w:ascii="Times New Roman" w:eastAsia="宋体" w:hAnsi="Times New Roman" w:cs="Times New Roman"/>
      <w:szCs w:val="20"/>
    </w:rPr>
  </w:style>
  <w:style w:type="character" w:customStyle="1" w:styleId="Char12">
    <w:name w:val="批注主题 Char1"/>
    <w:basedOn w:val="a6"/>
    <w:uiPriority w:val="99"/>
    <w:semiHidden/>
    <w:qFormat/>
    <w:rsid w:val="00B50748"/>
    <w:rPr>
      <w:rFonts w:ascii="Times New Roman" w:eastAsia="宋体" w:hAnsi="Times New Roman" w:cs="Times New Roman"/>
      <w:b/>
      <w:bCs/>
      <w:szCs w:val="20"/>
    </w:rPr>
  </w:style>
  <w:style w:type="character" w:customStyle="1" w:styleId="3Char1">
    <w:name w:val="正文文本缩进 3 Char1"/>
    <w:basedOn w:val="a0"/>
    <w:uiPriority w:val="99"/>
    <w:semiHidden/>
    <w:qFormat/>
    <w:rsid w:val="00B50748"/>
    <w:rPr>
      <w:rFonts w:ascii="Times New Roman" w:eastAsia="宋体" w:hAnsi="Times New Roman" w:cs="Times New Roman" w:hint="default"/>
      <w:sz w:val="16"/>
      <w:szCs w:val="16"/>
    </w:rPr>
  </w:style>
  <w:style w:type="character" w:customStyle="1" w:styleId="Char13">
    <w:name w:val="纯文本 Char1"/>
    <w:basedOn w:val="a0"/>
    <w:uiPriority w:val="99"/>
    <w:semiHidden/>
    <w:qFormat/>
    <w:rsid w:val="00B50748"/>
    <w:rPr>
      <w:rFonts w:ascii="宋体" w:eastAsia="宋体" w:hAnsi="Courier New" w:cs="Courier New" w:hint="eastAsia"/>
      <w:szCs w:val="21"/>
    </w:rPr>
  </w:style>
  <w:style w:type="character" w:customStyle="1" w:styleId="Char20">
    <w:name w:val="标题 Char2"/>
    <w:basedOn w:val="a0"/>
    <w:uiPriority w:val="10"/>
    <w:qFormat/>
    <w:rsid w:val="00B50748"/>
    <w:rPr>
      <w:rFonts w:ascii="Cambria" w:eastAsia="宋体" w:hAnsi="Cambria" w:cs="Times New Roman" w:hint="default"/>
      <w:b/>
      <w:bCs/>
      <w:sz w:val="32"/>
      <w:szCs w:val="32"/>
    </w:rPr>
  </w:style>
  <w:style w:type="character" w:customStyle="1" w:styleId="Char14">
    <w:name w:val="文档结构图 Char1"/>
    <w:basedOn w:val="a0"/>
    <w:uiPriority w:val="99"/>
    <w:semiHidden/>
    <w:qFormat/>
    <w:rsid w:val="00B50748"/>
    <w:rPr>
      <w:rFonts w:ascii="宋体" w:eastAsia="宋体" w:hAnsi="Times New Roman" w:cs="Times New Roman" w:hint="eastAsia"/>
      <w:sz w:val="18"/>
      <w:szCs w:val="18"/>
    </w:rPr>
  </w:style>
  <w:style w:type="character" w:customStyle="1" w:styleId="Char15">
    <w:name w:val="批注框文本 Char1"/>
    <w:basedOn w:val="a0"/>
    <w:uiPriority w:val="99"/>
    <w:semiHidden/>
    <w:qFormat/>
    <w:rsid w:val="00B50748"/>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sid w:val="00B50748"/>
    <w:rPr>
      <w:rFonts w:ascii="Times New Roman" w:eastAsia="宋体" w:hAnsi="Times New Roman" w:cs="Times New Roman" w:hint="default"/>
      <w:sz w:val="18"/>
      <w:szCs w:val="18"/>
    </w:rPr>
  </w:style>
  <w:style w:type="character" w:customStyle="1" w:styleId="txtcontent11">
    <w:name w:val="txtcontent11"/>
    <w:qFormat/>
    <w:rsid w:val="00B50748"/>
    <w:rPr>
      <w:rFonts w:ascii="ˎ̥" w:hAnsi="ˎ̥" w:hint="default"/>
      <w:color w:val="000000"/>
      <w:sz w:val="21"/>
      <w:szCs w:val="21"/>
    </w:rPr>
  </w:style>
  <w:style w:type="paragraph" w:styleId="aff">
    <w:name w:val="List Paragraph"/>
    <w:basedOn w:val="a"/>
    <w:uiPriority w:val="34"/>
    <w:qFormat/>
    <w:rsid w:val="00B50748"/>
    <w:pPr>
      <w:ind w:firstLineChars="200" w:firstLine="420"/>
    </w:pPr>
  </w:style>
  <w:style w:type="paragraph" w:customStyle="1" w:styleId="CharCharCharCharCharChar1CharCharChar">
    <w:name w:val="Char Char Char Char Char Char1 Char Char Char"/>
    <w:basedOn w:val="a"/>
    <w:qFormat/>
    <w:rsid w:val="00B50748"/>
    <w:pPr>
      <w:autoSpaceDE w:val="0"/>
      <w:autoSpaceDN w:val="0"/>
      <w:adjustRightInd w:val="0"/>
      <w:jc w:val="left"/>
      <w:textAlignment w:val="baseline"/>
    </w:pPr>
    <w:rPr>
      <w:rFonts w:ascii="Times New Roman" w:eastAsia="方正仿宋简体" w:hAnsi="Times New Roman" w:cs="Times New Roman"/>
      <w:sz w:val="32"/>
      <w:szCs w:val="20"/>
    </w:rPr>
  </w:style>
  <w:style w:type="paragraph" w:customStyle="1" w:styleId="zhangjiep">
    <w:name w:val="zhangjie_p"/>
    <w:basedOn w:val="a"/>
    <w:qFormat/>
    <w:rsid w:val="00B50748"/>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biaogeright">
    <w:name w:val="biaoge_right"/>
    <w:basedOn w:val="a"/>
    <w:qFormat/>
    <w:rsid w:val="00B50748"/>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biaogeleft">
    <w:name w:val="biaoge_left"/>
    <w:basedOn w:val="a"/>
    <w:qFormat/>
    <w:rsid w:val="00B50748"/>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qFormat/>
    <w:rsid w:val="00B50748"/>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dazhangjie">
    <w:name w:val="dazhangjie"/>
    <w:basedOn w:val="a"/>
    <w:qFormat/>
    <w:rsid w:val="00B50748"/>
    <w:pPr>
      <w:widowControl/>
      <w:autoSpaceDE w:val="0"/>
      <w:autoSpaceDN w:val="0"/>
      <w:adjustRightInd w:val="0"/>
      <w:spacing w:before="30" w:line="288" w:lineRule="auto"/>
      <w:ind w:left="15"/>
      <w:jc w:val="center"/>
      <w:outlineLvl w:val="0"/>
    </w:pPr>
    <w:rPr>
      <w:rFonts w:ascii="宋体" w:eastAsia="宋体" w:hAnsi="宋体" w:cs="宋体"/>
      <w:kern w:val="0"/>
      <w:sz w:val="24"/>
      <w:szCs w:val="24"/>
    </w:rPr>
  </w:style>
  <w:style w:type="paragraph" w:customStyle="1" w:styleId="zhangjiep2">
    <w:name w:val="zhangjie_p2"/>
    <w:basedOn w:val="a"/>
    <w:qFormat/>
    <w:rsid w:val="00B50748"/>
    <w:pPr>
      <w:widowControl/>
      <w:autoSpaceDE w:val="0"/>
      <w:autoSpaceDN w:val="0"/>
      <w:adjustRightInd w:val="0"/>
      <w:spacing w:before="24" w:line="288" w:lineRule="auto"/>
      <w:ind w:left="15"/>
      <w:jc w:val="left"/>
    </w:pPr>
    <w:rPr>
      <w:rFonts w:ascii="宋体" w:eastAsia="宋体" w:hAnsi="宋体" w:cs="宋体"/>
      <w:kern w:val="0"/>
      <w:sz w:val="24"/>
      <w:szCs w:val="24"/>
    </w:rPr>
  </w:style>
  <w:style w:type="paragraph" w:customStyle="1" w:styleId="neirong">
    <w:name w:val="neirong"/>
    <w:basedOn w:val="a"/>
    <w:qFormat/>
    <w:rsid w:val="00B50748"/>
    <w:pPr>
      <w:widowControl/>
      <w:autoSpaceDE w:val="0"/>
      <w:autoSpaceDN w:val="0"/>
      <w:adjustRightInd w:val="0"/>
      <w:spacing w:before="29" w:line="288" w:lineRule="auto"/>
      <w:ind w:left="15"/>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22819072">
      <w:bodyDiv w:val="1"/>
      <w:marLeft w:val="0"/>
      <w:marRight w:val="0"/>
      <w:marTop w:val="0"/>
      <w:marBottom w:val="0"/>
      <w:divBdr>
        <w:top w:val="none" w:sz="0" w:space="0" w:color="auto"/>
        <w:left w:val="none" w:sz="0" w:space="0" w:color="auto"/>
        <w:bottom w:val="none" w:sz="0" w:space="0" w:color="auto"/>
        <w:right w:val="none" w:sz="0" w:space="0" w:color="auto"/>
      </w:divBdr>
    </w:div>
    <w:div w:id="191030994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jjmmw.com" TargetMode="External"/><Relationship Id="rId18" Type="http://schemas.openxmlformats.org/officeDocument/2006/relationships/footer" Target="foot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www.zlfund.cn"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image" Target="media/image2.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jianfortune.com" TargetMode="External"/><Relationship Id="rId5" Type="http://schemas.openxmlformats.org/officeDocument/2006/relationships/settings" Target="settings.xml"/><Relationship Id="rId15" Type="http://schemas.openxmlformats.org/officeDocument/2006/relationships/image" Target="media/image1.jpeg"/><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yperlink" Target="http://www.wacaijijin.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A08F5D4-FB6E-44A1-8A36-D9E7ADBA54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471</TotalTime>
  <Pages>1</Pages>
  <Words>12637</Words>
  <Characters>72035</Characters>
  <Application>Microsoft Office Word</Application>
  <DocSecurity>0</DocSecurity>
  <Lines>600</Lines>
  <Paragraphs>169</Paragraphs>
  <ScaleCrop>false</ScaleCrop>
  <Company/>
  <LinksUpToDate>false</LinksUpToDate>
  <CharactersWithSpaces>84503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汤玲</dc:creator>
  <cp:lastModifiedBy>于 连驰</cp:lastModifiedBy>
  <cp:revision>88</cp:revision>
  <cp:lastPrinted>2019-11-22T05:18:00Z</cp:lastPrinted>
  <dcterms:created xsi:type="dcterms:W3CDTF">2018-09-04T06:10:00Z</dcterms:created>
  <dcterms:modified xsi:type="dcterms:W3CDTF">2019-12-06T07:43:00Z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