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E59BDE7" w14:textId="434AFA32" w:rsidR="002C4C07" w:rsidRPr="00EF6393" w:rsidRDefault="002C4C07" w:rsidP="002C4C07">
      <w:pPr>
        <w:jc w:val="center"/>
        <w:rPr>
          <w:b/>
        </w:rPr>
      </w:pPr>
      <w:r w:rsidRPr="00EF6393">
        <w:rPr>
          <w:rFonts w:hint="eastAsia"/>
          <w:b/>
        </w:rPr>
        <w:t>富荣量化周观察——</w:t>
      </w:r>
      <w:r w:rsidR="00BC509D">
        <w:rPr>
          <w:rFonts w:hint="eastAsia"/>
          <w:b/>
        </w:rPr>
        <w:t>行稳致远</w:t>
      </w:r>
    </w:p>
    <w:p w14:paraId="5AECE854" w14:textId="3E75F77D" w:rsidR="00BC509D" w:rsidRDefault="002C4C07" w:rsidP="002C4C07">
      <w:pPr>
        <w:ind w:firstLineChars="200" w:firstLine="480"/>
      </w:pPr>
      <w:r>
        <w:rPr>
          <w:rFonts w:hint="eastAsia"/>
        </w:rPr>
        <w:t>本周</w:t>
      </w:r>
      <w:r w:rsidR="00BC509D">
        <w:rPr>
          <w:rFonts w:hint="eastAsia"/>
        </w:rPr>
        <w:t>市场延续上周的上行趋势，市场日均成交持续为1.6</w:t>
      </w:r>
      <w:proofErr w:type="gramStart"/>
      <w:r w:rsidR="00BC509D">
        <w:rPr>
          <w:rFonts w:hint="eastAsia"/>
        </w:rPr>
        <w:t>万亿</w:t>
      </w:r>
      <w:proofErr w:type="gramEnd"/>
      <w:r w:rsidR="00BC509D">
        <w:rPr>
          <w:rFonts w:hint="eastAsia"/>
        </w:rPr>
        <w:t>元左右高位，其中尤其以创业板最为强势，收涨12.83%，上证50和沪深300则在周一大幅上涨引起市场风格切换争议后有所</w:t>
      </w:r>
      <w:r w:rsidR="008A3150">
        <w:rPr>
          <w:rFonts w:hint="eastAsia"/>
        </w:rPr>
        <w:t>缓和，最终分别收涨6.10%和7.55%。短期内的连续大涨，让市场火热过度，而且无论是已经入场的投资者心理都充满焦虑和疑惑，监管层则因15年剧烈波动的经验对资产市场的相关政策发生边际变化。</w:t>
      </w:r>
      <w:r w:rsidR="00C17C4F">
        <w:rPr>
          <w:rFonts w:hint="eastAsia"/>
        </w:rPr>
        <w:t>因此</w:t>
      </w:r>
      <w:r w:rsidR="008A3150">
        <w:rPr>
          <w:rFonts w:hint="eastAsia"/>
        </w:rPr>
        <w:t>在市场情绪</w:t>
      </w:r>
      <w:r w:rsidR="00C17C4F">
        <w:rPr>
          <w:rFonts w:hint="eastAsia"/>
        </w:rPr>
        <w:t>过分</w:t>
      </w:r>
      <w:r w:rsidR="008A3150">
        <w:rPr>
          <w:rFonts w:hint="eastAsia"/>
        </w:rPr>
        <w:t>高涨，经济基本面依然有待修复以及各种不确定因素环绕下，我们认为投资者和监管层对市场的态度都在发生边际</w:t>
      </w:r>
      <w:r w:rsidR="00C17C4F">
        <w:rPr>
          <w:rFonts w:hint="eastAsia"/>
        </w:rPr>
        <w:t>变化</w:t>
      </w:r>
      <w:r w:rsidR="008A3150">
        <w:rPr>
          <w:rFonts w:hint="eastAsia"/>
        </w:rPr>
        <w:t>，</w:t>
      </w:r>
      <w:r w:rsidR="00C17C4F">
        <w:rPr>
          <w:rFonts w:hint="eastAsia"/>
        </w:rPr>
        <w:t>尤其以监管层的态度最为重要，而且过度的市场情绪对资本市场改革是不利的。</w:t>
      </w:r>
    </w:p>
    <w:p w14:paraId="0AE3B5A0" w14:textId="055EA919" w:rsidR="006C7CF6" w:rsidRDefault="001D6061" w:rsidP="002C4C07">
      <w:pPr>
        <w:ind w:firstLineChars="200" w:firstLine="480"/>
      </w:pPr>
      <w:r>
        <w:rPr>
          <w:rFonts w:hint="eastAsia"/>
        </w:rPr>
        <w:t>本周上证指数</w:t>
      </w:r>
      <w:r w:rsidR="006C7CF6">
        <w:rPr>
          <w:rFonts w:hint="eastAsia"/>
        </w:rPr>
        <w:t>涨</w:t>
      </w:r>
      <w:r w:rsidR="00C17C4F">
        <w:rPr>
          <w:rFonts w:hint="eastAsia"/>
        </w:rPr>
        <w:t>7.3</w:t>
      </w:r>
      <w:r w:rsidR="006C7CF6">
        <w:rPr>
          <w:rFonts w:hint="eastAsia"/>
        </w:rPr>
        <w:t>%，上证5</w:t>
      </w:r>
      <w:r w:rsidR="006C7CF6">
        <w:t>0</w:t>
      </w:r>
      <w:r w:rsidR="00C17C4F">
        <w:rPr>
          <w:rFonts w:hint="eastAsia"/>
        </w:rPr>
        <w:t>涨6.10</w:t>
      </w:r>
      <w:r w:rsidR="006C7CF6">
        <w:rPr>
          <w:rFonts w:hint="eastAsia"/>
        </w:rPr>
        <w:t>%，沪深3</w:t>
      </w:r>
      <w:r w:rsidR="006C7CF6">
        <w:t>00</w:t>
      </w:r>
      <w:r w:rsidR="006C7CF6">
        <w:rPr>
          <w:rFonts w:hint="eastAsia"/>
        </w:rPr>
        <w:t>涨</w:t>
      </w:r>
      <w:r w:rsidR="00C17C4F">
        <w:rPr>
          <w:rFonts w:hint="eastAsia"/>
        </w:rPr>
        <w:t>7.55</w:t>
      </w:r>
      <w:r w:rsidR="006C7CF6">
        <w:rPr>
          <w:rFonts w:hint="eastAsia"/>
        </w:rPr>
        <w:t>%，深证成指涨</w:t>
      </w:r>
      <w:r w:rsidR="00C17C4F">
        <w:rPr>
          <w:rFonts w:hint="eastAsia"/>
        </w:rPr>
        <w:t>9.96</w:t>
      </w:r>
      <w:r w:rsidR="006C7CF6">
        <w:rPr>
          <w:rFonts w:hint="eastAsia"/>
        </w:rPr>
        <w:t>%，创业板指</w:t>
      </w:r>
      <w:r w:rsidR="00C17C4F">
        <w:rPr>
          <w:rFonts w:hint="eastAsia"/>
        </w:rPr>
        <w:t>12.83</w:t>
      </w:r>
      <w:r w:rsidR="006C7CF6">
        <w:rPr>
          <w:rFonts w:hint="eastAsia"/>
        </w:rPr>
        <w:t>%</w:t>
      </w:r>
      <w:r w:rsidR="00C17C4F">
        <w:rPr>
          <w:rFonts w:hint="eastAsia"/>
        </w:rPr>
        <w:t>。</w:t>
      </w:r>
      <w:r w:rsidR="006C7CF6">
        <w:rPr>
          <w:rFonts w:hint="eastAsia"/>
        </w:rPr>
        <w:t>行业上以</w:t>
      </w:r>
      <w:r w:rsidR="00C17C4F">
        <w:rPr>
          <w:rFonts w:hint="eastAsia"/>
        </w:rPr>
        <w:t>军工板块为头，上一周表现较好的低估值周期行业，如煤炭、房地产等相对落后</w:t>
      </w:r>
      <w:r w:rsidR="006C7CF6">
        <w:rPr>
          <w:rFonts w:hint="eastAsia"/>
        </w:rPr>
        <w:t>。</w:t>
      </w:r>
      <w:r w:rsidR="00C17C4F" w:rsidRPr="00C17C4F">
        <w:rPr>
          <w:rFonts w:hint="eastAsia"/>
        </w:rPr>
        <w:t>从行业估值角度，所有行业的PE估值均有显著上升，其中国防军工（68.23倍）、商业贸易（30.59倍）、有色金属（44.82倍）、计算机（89.42倍）；所有行业PB估值均有明显上升，其中国防军工（3.19倍）、商业贸易（2.02倍）和综合（2.48倍）、计算机（5.51倍）行业PB回升较为明显。</w:t>
      </w:r>
    </w:p>
    <w:p w14:paraId="0CB0C22C" w14:textId="5ADA4E9F" w:rsidR="001D6061" w:rsidRDefault="006C7CF6" w:rsidP="002C4C07">
      <w:pPr>
        <w:ind w:firstLineChars="200" w:firstLine="480"/>
      </w:pPr>
      <w:r>
        <w:rPr>
          <w:rFonts w:hint="eastAsia"/>
        </w:rPr>
        <w:t>我们在</w:t>
      </w:r>
      <w:r w:rsidR="00A20CFF">
        <w:rPr>
          <w:rFonts w:hint="eastAsia"/>
        </w:rPr>
        <w:t>上一周的</w:t>
      </w:r>
      <w:r>
        <w:rPr>
          <w:rFonts w:hint="eastAsia"/>
        </w:rPr>
        <w:t>周观察（</w:t>
      </w:r>
      <w:r w:rsidR="00A20CFF">
        <w:rPr>
          <w:rFonts w:hint="eastAsia"/>
        </w:rPr>
        <w:t>风格切换？）</w:t>
      </w:r>
      <w:r>
        <w:rPr>
          <w:rFonts w:hint="eastAsia"/>
        </w:rPr>
        <w:t>提到</w:t>
      </w:r>
      <w:r w:rsidR="00A20CFF">
        <w:rPr>
          <w:rFonts w:hint="eastAsia"/>
        </w:rPr>
        <w:t>我们认为短期内的低估值暴动更大概率是低估值蓝筹股在各种市场条件叠加下的快速修复，而不是内因或外部因素带来的风格切换，现在判断风格切换可能维持过早，市场短期内在情绪高涨下会惯性上行，但是需要警惕可能出现的回撤风险，这个暂缓上行符合入场和尚未入场的投资者以及监管的需求，因此市场短期内会有震荡和修复是大概率存在的。</w:t>
      </w:r>
    </w:p>
    <w:p w14:paraId="0CEF6B53" w14:textId="7BDECDFC" w:rsidR="00A20CFF" w:rsidRDefault="00BC61FC" w:rsidP="002C4C07">
      <w:pPr>
        <w:ind w:firstLine="480"/>
      </w:pPr>
      <w:r>
        <w:rPr>
          <w:rFonts w:hint="eastAsia"/>
        </w:rPr>
        <w:t>市场</w:t>
      </w:r>
      <w:r w:rsidR="00DD21CB">
        <w:rPr>
          <w:rFonts w:hint="eastAsia"/>
        </w:rPr>
        <w:t>表现</w:t>
      </w:r>
      <w:r>
        <w:rPr>
          <w:rFonts w:hint="eastAsia"/>
        </w:rPr>
        <w:t>方面，本</w:t>
      </w:r>
      <w:proofErr w:type="gramStart"/>
      <w:r>
        <w:rPr>
          <w:rFonts w:hint="eastAsia"/>
        </w:rPr>
        <w:t>周波动率</w:t>
      </w:r>
      <w:r w:rsidR="00A20CFF">
        <w:rPr>
          <w:rFonts w:hint="eastAsia"/>
        </w:rPr>
        <w:t>在</w:t>
      </w:r>
      <w:proofErr w:type="gramEnd"/>
      <w:r w:rsidR="00A20CFF">
        <w:rPr>
          <w:rFonts w:hint="eastAsia"/>
        </w:rPr>
        <w:t>指数继续上行</w:t>
      </w:r>
      <w:r w:rsidR="004E3614">
        <w:rPr>
          <w:rFonts w:hint="eastAsia"/>
        </w:rPr>
        <w:t>的</w:t>
      </w:r>
      <w:r w:rsidR="00A20CFF">
        <w:rPr>
          <w:rFonts w:hint="eastAsia"/>
        </w:rPr>
        <w:t>情况下</w:t>
      </w:r>
      <w:r w:rsidR="004E3614">
        <w:rPr>
          <w:rFonts w:hint="eastAsia"/>
        </w:rPr>
        <w:t>，</w:t>
      </w:r>
      <w:r w:rsidR="00A20CFF">
        <w:rPr>
          <w:rFonts w:hint="eastAsia"/>
        </w:rPr>
        <w:t>周一大幅度上涨。</w:t>
      </w:r>
      <w:proofErr w:type="gramStart"/>
      <w:r w:rsidR="002C4C07">
        <w:rPr>
          <w:rFonts w:hint="eastAsia"/>
        </w:rPr>
        <w:t>以上证</w:t>
      </w:r>
      <w:proofErr w:type="gramEnd"/>
      <w:r w:rsidR="002C4C07">
        <w:rPr>
          <w:rFonts w:hint="eastAsia"/>
        </w:rPr>
        <w:t>50ETF期权和沪深300ETF期权计算的波动</w:t>
      </w:r>
      <w:proofErr w:type="gramStart"/>
      <w:r w:rsidR="002C4C07">
        <w:rPr>
          <w:rFonts w:hint="eastAsia"/>
        </w:rPr>
        <w:t>率指数</w:t>
      </w:r>
      <w:proofErr w:type="gramEnd"/>
      <w:r w:rsidR="004E3614">
        <w:rPr>
          <w:rFonts w:hint="eastAsia"/>
        </w:rPr>
        <w:t>来看，市场的情绪</w:t>
      </w:r>
      <w:r w:rsidR="00A20CFF">
        <w:rPr>
          <w:rFonts w:hint="eastAsia"/>
        </w:rPr>
        <w:t>达到今年新高，甚至超过3月份全球疫情造成的恐慌高度。历史上具有如此高的波动率只发生过4次，其中2018年2月和2019年2月都是因为金融股异动带来的市场情绪，2016年1月则是熔断后发生的恐慌，但是2016年1月则开启是维持两年的市场风格切换。还有一次则是2015年牛市的起点带来的高涨市场情绪，那一年市场波动率上涨到了80%。</w:t>
      </w:r>
    </w:p>
    <w:p w14:paraId="527CB7C4" w14:textId="2E7DAE49" w:rsidR="00B82632" w:rsidRPr="00B82632" w:rsidRDefault="00B82632" w:rsidP="004E3614">
      <w:pPr>
        <w:ind w:firstLineChars="200" w:firstLine="480"/>
      </w:pPr>
      <w:bookmarkStart w:id="0" w:name="_GoBack"/>
      <w:bookmarkEnd w:id="0"/>
      <w:r>
        <w:rPr>
          <w:rFonts w:hint="eastAsia"/>
        </w:rPr>
        <w:t>从多因子选股模型出发，回顾各类因子本周的表现来看，估值因子</w:t>
      </w:r>
      <w:r w:rsidR="00981D4C">
        <w:rPr>
          <w:rFonts w:hint="eastAsia"/>
        </w:rPr>
        <w:t>本周重新</w:t>
      </w:r>
      <w:r w:rsidR="00981D4C">
        <w:rPr>
          <w:rFonts w:hint="eastAsia"/>
        </w:rPr>
        <w:lastRenderedPageBreak/>
        <w:t>下跌收敛</w:t>
      </w:r>
      <w:r w:rsidR="004E3614">
        <w:rPr>
          <w:rFonts w:hint="eastAsia"/>
        </w:rPr>
        <w:t>，估值因子在失效一年后</w:t>
      </w:r>
      <w:r w:rsidR="00981D4C">
        <w:rPr>
          <w:rFonts w:hint="eastAsia"/>
        </w:rPr>
        <w:t>在上一周</w:t>
      </w:r>
      <w:r w:rsidR="004E3614">
        <w:rPr>
          <w:rFonts w:hint="eastAsia"/>
        </w:rPr>
        <w:t>出现快速的回升引发投资者对市场风格切换的讨论</w:t>
      </w:r>
      <w:r w:rsidR="00981D4C">
        <w:rPr>
          <w:rFonts w:hint="eastAsia"/>
        </w:rPr>
        <w:t>，但本周又快速下跌，这非常符合我们上周周观察的判断</w:t>
      </w:r>
      <w:r w:rsidR="004E3614">
        <w:rPr>
          <w:rFonts w:hint="eastAsia"/>
        </w:rPr>
        <w:t>。</w:t>
      </w:r>
    </w:p>
    <w:p w14:paraId="7BE5D648" w14:textId="76DEE869" w:rsidR="008540B7" w:rsidRDefault="008540B7" w:rsidP="002C4C07">
      <w:pPr>
        <w:jc w:val="center"/>
      </w:pPr>
    </w:p>
    <w:sectPr w:rsidR="008540B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AC884AC" w14:textId="77777777" w:rsidR="001F4102" w:rsidRDefault="001F4102" w:rsidP="002C4C07">
      <w:pPr>
        <w:spacing w:line="240" w:lineRule="auto"/>
      </w:pPr>
      <w:r>
        <w:separator/>
      </w:r>
    </w:p>
  </w:endnote>
  <w:endnote w:type="continuationSeparator" w:id="0">
    <w:p w14:paraId="3AA66C4F" w14:textId="77777777" w:rsidR="001F4102" w:rsidRDefault="001F4102" w:rsidP="002C4C0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B86C892" w14:textId="77777777" w:rsidR="001F4102" w:rsidRDefault="001F4102" w:rsidP="002C4C07">
      <w:pPr>
        <w:spacing w:line="240" w:lineRule="auto"/>
      </w:pPr>
      <w:r>
        <w:separator/>
      </w:r>
    </w:p>
  </w:footnote>
  <w:footnote w:type="continuationSeparator" w:id="0">
    <w:p w14:paraId="16CEAD4C" w14:textId="77777777" w:rsidR="001F4102" w:rsidRDefault="001F4102" w:rsidP="002C4C07">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6C8A"/>
    <w:rsid w:val="0000012D"/>
    <w:rsid w:val="00035595"/>
    <w:rsid w:val="00070AA2"/>
    <w:rsid w:val="001867FC"/>
    <w:rsid w:val="001D19B6"/>
    <w:rsid w:val="001D6061"/>
    <w:rsid w:val="001F4102"/>
    <w:rsid w:val="0020342A"/>
    <w:rsid w:val="002062DE"/>
    <w:rsid w:val="002129BA"/>
    <w:rsid w:val="0027193D"/>
    <w:rsid w:val="002A093A"/>
    <w:rsid w:val="002B15CF"/>
    <w:rsid w:val="002C4C07"/>
    <w:rsid w:val="002C7EF7"/>
    <w:rsid w:val="002E17CD"/>
    <w:rsid w:val="00374124"/>
    <w:rsid w:val="00386B38"/>
    <w:rsid w:val="00386DFB"/>
    <w:rsid w:val="003B3C83"/>
    <w:rsid w:val="003D637F"/>
    <w:rsid w:val="003F6050"/>
    <w:rsid w:val="00454A3A"/>
    <w:rsid w:val="004E1AF1"/>
    <w:rsid w:val="004E3614"/>
    <w:rsid w:val="00525A53"/>
    <w:rsid w:val="005A2D48"/>
    <w:rsid w:val="005C4905"/>
    <w:rsid w:val="006965D2"/>
    <w:rsid w:val="006B1D85"/>
    <w:rsid w:val="006C7CF6"/>
    <w:rsid w:val="006E2C43"/>
    <w:rsid w:val="006E639C"/>
    <w:rsid w:val="0073379B"/>
    <w:rsid w:val="007537B2"/>
    <w:rsid w:val="00756EC7"/>
    <w:rsid w:val="007D5907"/>
    <w:rsid w:val="007F6A29"/>
    <w:rsid w:val="00830122"/>
    <w:rsid w:val="00830C71"/>
    <w:rsid w:val="008540B7"/>
    <w:rsid w:val="008916E0"/>
    <w:rsid w:val="00893C6A"/>
    <w:rsid w:val="008A3150"/>
    <w:rsid w:val="008A74C1"/>
    <w:rsid w:val="008B1754"/>
    <w:rsid w:val="008B27E8"/>
    <w:rsid w:val="00907C93"/>
    <w:rsid w:val="00981D4C"/>
    <w:rsid w:val="00987C63"/>
    <w:rsid w:val="009953B9"/>
    <w:rsid w:val="009D02A8"/>
    <w:rsid w:val="00A07990"/>
    <w:rsid w:val="00A20CFF"/>
    <w:rsid w:val="00A51293"/>
    <w:rsid w:val="00A61347"/>
    <w:rsid w:val="00A90927"/>
    <w:rsid w:val="00B82632"/>
    <w:rsid w:val="00B91093"/>
    <w:rsid w:val="00BA3587"/>
    <w:rsid w:val="00BA72C2"/>
    <w:rsid w:val="00BC509D"/>
    <w:rsid w:val="00BC61FC"/>
    <w:rsid w:val="00BD6BA1"/>
    <w:rsid w:val="00C17C4F"/>
    <w:rsid w:val="00C24E54"/>
    <w:rsid w:val="00CD5494"/>
    <w:rsid w:val="00CD673E"/>
    <w:rsid w:val="00D055BF"/>
    <w:rsid w:val="00D46833"/>
    <w:rsid w:val="00DD21CB"/>
    <w:rsid w:val="00DD2E6A"/>
    <w:rsid w:val="00DF6F9A"/>
    <w:rsid w:val="00E86C8A"/>
    <w:rsid w:val="00E87750"/>
    <w:rsid w:val="00EF2A7A"/>
    <w:rsid w:val="00F13186"/>
    <w:rsid w:val="00FC5D34"/>
    <w:rsid w:val="00FF64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8C63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72C2"/>
    <w:pPr>
      <w:widowControl w:val="0"/>
      <w:spacing w:line="360" w:lineRule="auto"/>
      <w:jc w:val="both"/>
    </w:pPr>
    <w:rPr>
      <w:rFonts w:ascii="楷体" w:eastAsia="楷体" w:hAnsi="楷体"/>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C4C07"/>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Char">
    <w:name w:val="页眉 Char"/>
    <w:basedOn w:val="a0"/>
    <w:link w:val="a3"/>
    <w:uiPriority w:val="99"/>
    <w:rsid w:val="002C4C07"/>
    <w:rPr>
      <w:sz w:val="18"/>
      <w:szCs w:val="18"/>
    </w:rPr>
  </w:style>
  <w:style w:type="paragraph" w:styleId="a4">
    <w:name w:val="footer"/>
    <w:basedOn w:val="a"/>
    <w:link w:val="Char0"/>
    <w:uiPriority w:val="99"/>
    <w:unhideWhenUsed/>
    <w:rsid w:val="002C4C07"/>
    <w:pPr>
      <w:tabs>
        <w:tab w:val="center" w:pos="4153"/>
        <w:tab w:val="right" w:pos="8306"/>
      </w:tabs>
      <w:snapToGrid w:val="0"/>
      <w:spacing w:line="240" w:lineRule="auto"/>
      <w:jc w:val="left"/>
    </w:pPr>
    <w:rPr>
      <w:rFonts w:asciiTheme="minorHAnsi" w:eastAsiaTheme="minorEastAsia" w:hAnsiTheme="minorHAnsi"/>
      <w:sz w:val="18"/>
      <w:szCs w:val="18"/>
    </w:rPr>
  </w:style>
  <w:style w:type="character" w:customStyle="1" w:styleId="Char0">
    <w:name w:val="页脚 Char"/>
    <w:basedOn w:val="a0"/>
    <w:link w:val="a4"/>
    <w:uiPriority w:val="99"/>
    <w:rsid w:val="002C4C07"/>
    <w:rPr>
      <w:sz w:val="18"/>
      <w:szCs w:val="18"/>
    </w:rPr>
  </w:style>
  <w:style w:type="paragraph" w:styleId="a5">
    <w:name w:val="Balloon Text"/>
    <w:basedOn w:val="a"/>
    <w:link w:val="Char1"/>
    <w:uiPriority w:val="99"/>
    <w:semiHidden/>
    <w:unhideWhenUsed/>
    <w:rsid w:val="002C4C07"/>
    <w:pPr>
      <w:spacing w:line="240" w:lineRule="auto"/>
    </w:pPr>
    <w:rPr>
      <w:sz w:val="18"/>
      <w:szCs w:val="18"/>
    </w:rPr>
  </w:style>
  <w:style w:type="character" w:customStyle="1" w:styleId="Char1">
    <w:name w:val="批注框文本 Char"/>
    <w:basedOn w:val="a0"/>
    <w:link w:val="a5"/>
    <w:uiPriority w:val="99"/>
    <w:semiHidden/>
    <w:rsid w:val="002C4C07"/>
    <w:rPr>
      <w:rFonts w:ascii="楷体" w:eastAsia="楷体" w:hAnsi="楷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72C2"/>
    <w:pPr>
      <w:widowControl w:val="0"/>
      <w:spacing w:line="360" w:lineRule="auto"/>
      <w:jc w:val="both"/>
    </w:pPr>
    <w:rPr>
      <w:rFonts w:ascii="楷体" w:eastAsia="楷体" w:hAnsi="楷体"/>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C4C07"/>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Char">
    <w:name w:val="页眉 Char"/>
    <w:basedOn w:val="a0"/>
    <w:link w:val="a3"/>
    <w:uiPriority w:val="99"/>
    <w:rsid w:val="002C4C07"/>
    <w:rPr>
      <w:sz w:val="18"/>
      <w:szCs w:val="18"/>
    </w:rPr>
  </w:style>
  <w:style w:type="paragraph" w:styleId="a4">
    <w:name w:val="footer"/>
    <w:basedOn w:val="a"/>
    <w:link w:val="Char0"/>
    <w:uiPriority w:val="99"/>
    <w:unhideWhenUsed/>
    <w:rsid w:val="002C4C07"/>
    <w:pPr>
      <w:tabs>
        <w:tab w:val="center" w:pos="4153"/>
        <w:tab w:val="right" w:pos="8306"/>
      </w:tabs>
      <w:snapToGrid w:val="0"/>
      <w:spacing w:line="240" w:lineRule="auto"/>
      <w:jc w:val="left"/>
    </w:pPr>
    <w:rPr>
      <w:rFonts w:asciiTheme="minorHAnsi" w:eastAsiaTheme="minorEastAsia" w:hAnsiTheme="minorHAnsi"/>
      <w:sz w:val="18"/>
      <w:szCs w:val="18"/>
    </w:rPr>
  </w:style>
  <w:style w:type="character" w:customStyle="1" w:styleId="Char0">
    <w:name w:val="页脚 Char"/>
    <w:basedOn w:val="a0"/>
    <w:link w:val="a4"/>
    <w:uiPriority w:val="99"/>
    <w:rsid w:val="002C4C07"/>
    <w:rPr>
      <w:sz w:val="18"/>
      <w:szCs w:val="18"/>
    </w:rPr>
  </w:style>
  <w:style w:type="paragraph" w:styleId="a5">
    <w:name w:val="Balloon Text"/>
    <w:basedOn w:val="a"/>
    <w:link w:val="Char1"/>
    <w:uiPriority w:val="99"/>
    <w:semiHidden/>
    <w:unhideWhenUsed/>
    <w:rsid w:val="002C4C07"/>
    <w:pPr>
      <w:spacing w:line="240" w:lineRule="auto"/>
    </w:pPr>
    <w:rPr>
      <w:sz w:val="18"/>
      <w:szCs w:val="18"/>
    </w:rPr>
  </w:style>
  <w:style w:type="character" w:customStyle="1" w:styleId="Char1">
    <w:name w:val="批注框文本 Char"/>
    <w:basedOn w:val="a0"/>
    <w:link w:val="a5"/>
    <w:uiPriority w:val="99"/>
    <w:semiHidden/>
    <w:rsid w:val="002C4C07"/>
    <w:rPr>
      <w:rFonts w:ascii="楷体" w:eastAsia="楷体" w:hAnsi="楷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83</TotalTime>
  <Pages>2</Pages>
  <Words>156</Words>
  <Characters>895</Characters>
  <Application>Microsoft Office Word</Application>
  <DocSecurity>0</DocSecurity>
  <Lines>7</Lines>
  <Paragraphs>2</Paragraphs>
  <ScaleCrop>false</ScaleCrop>
  <Company/>
  <LinksUpToDate>false</LinksUpToDate>
  <CharactersWithSpaces>1049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邱紫华</dc:creator>
  <cp:keywords/>
  <dc:description/>
  <cp:lastModifiedBy>Administrator</cp:lastModifiedBy>
  <cp:revision>8</cp:revision>
  <dcterms:created xsi:type="dcterms:W3CDTF">2020-07-06T03:36:00Z</dcterms:created>
  <dcterms:modified xsi:type="dcterms:W3CDTF">2020-07-13T07:58:00Z</dcterms:modified>
</cp:coreProperties>
</file>