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7DC0B57"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054072">
        <w:rPr>
          <w:rFonts w:ascii="楷体" w:eastAsia="楷体" w:hAnsi="楷体" w:hint="eastAsia"/>
          <w:sz w:val="28"/>
          <w:szCs w:val="28"/>
        </w:rPr>
        <w:t>预期落地伴随市场快速调整</w:t>
      </w:r>
      <w:r w:rsidR="00655808">
        <w:rPr>
          <w:rFonts w:ascii="楷体" w:eastAsia="楷体" w:hAnsi="楷体" w:hint="eastAsia"/>
          <w:sz w:val="28"/>
          <w:szCs w:val="28"/>
        </w:rPr>
        <w:t>，</w:t>
      </w:r>
      <w:r w:rsidR="00B778AC">
        <w:rPr>
          <w:rFonts w:ascii="楷体" w:eastAsia="楷体" w:hAnsi="楷体" w:hint="eastAsia"/>
          <w:sz w:val="28"/>
          <w:szCs w:val="28"/>
        </w:rPr>
        <w:t>债市</w:t>
      </w:r>
      <w:r w:rsidR="00054072">
        <w:rPr>
          <w:rFonts w:ascii="楷体" w:eastAsia="楷体" w:hAnsi="楷体" w:hint="eastAsia"/>
          <w:sz w:val="28"/>
          <w:szCs w:val="28"/>
        </w:rPr>
        <w:t>比价优势日益凸现</w:t>
      </w:r>
      <w:r w:rsidR="00655808" w:rsidRPr="00541553">
        <w:rPr>
          <w:rFonts w:ascii="楷体" w:eastAsia="楷体" w:hAnsi="楷体"/>
          <w:sz w:val="28"/>
          <w:szCs w:val="28"/>
        </w:rPr>
        <w:t xml:space="preserve"> </w:t>
      </w:r>
    </w:p>
    <w:p w14:paraId="0A7A9383" w14:textId="06578F25"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9D4E61">
        <w:rPr>
          <w:rFonts w:ascii="楷体" w:eastAsia="楷体" w:hAnsi="楷体"/>
          <w:sz w:val="28"/>
          <w:szCs w:val="28"/>
        </w:rPr>
        <w:t>7</w:t>
      </w:r>
      <w:r w:rsidR="009C30E2" w:rsidRPr="00FA6C01">
        <w:rPr>
          <w:rFonts w:ascii="楷体" w:eastAsia="楷体" w:hAnsi="楷体"/>
          <w:sz w:val="28"/>
          <w:szCs w:val="28"/>
        </w:rPr>
        <w:t>月</w:t>
      </w:r>
      <w:r w:rsidR="00B30DBF">
        <w:rPr>
          <w:rFonts w:ascii="楷体" w:eastAsia="楷体" w:hAnsi="楷体" w:hint="eastAsia"/>
          <w:sz w:val="28"/>
          <w:szCs w:val="28"/>
        </w:rPr>
        <w:t>1</w:t>
      </w:r>
      <w:r w:rsidR="00CC2278">
        <w:rPr>
          <w:rFonts w:ascii="楷体" w:eastAsia="楷体" w:hAnsi="楷体" w:hint="eastAsia"/>
          <w:sz w:val="28"/>
          <w:szCs w:val="28"/>
        </w:rPr>
        <w:t>7</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009DD2B" w14:textId="6308B70D" w:rsidR="00B06163" w:rsidRPr="00B778AC" w:rsidRDefault="00B778AC" w:rsidP="002B739B">
      <w:pPr>
        <w:pStyle w:val="Body-text"/>
        <w:spacing w:after="240"/>
        <w:ind w:firstLineChars="200" w:firstLine="460"/>
        <w:rPr>
          <w:sz w:val="23"/>
          <w:szCs w:val="23"/>
        </w:rPr>
      </w:pPr>
      <w:r w:rsidRPr="00B778AC">
        <w:rPr>
          <w:rFonts w:hint="eastAsia"/>
          <w:sz w:val="23"/>
          <w:szCs w:val="23"/>
        </w:rPr>
        <w:t>本周公布数据：</w:t>
      </w:r>
      <w:r w:rsidR="00B3294D">
        <w:rPr>
          <w:rFonts w:hint="eastAsia"/>
          <w:sz w:val="23"/>
          <w:szCs w:val="23"/>
          <w:lang w:eastAsia="zh-CN"/>
        </w:rPr>
        <w:t>经济数据方面，</w:t>
      </w:r>
      <w:r w:rsidR="007E70D6" w:rsidRPr="007E70D6">
        <w:rPr>
          <w:rFonts w:hint="eastAsia"/>
          <w:sz w:val="23"/>
          <w:szCs w:val="23"/>
          <w:lang w:eastAsia="zh-CN"/>
        </w:rPr>
        <w:t>中国二季度</w:t>
      </w:r>
      <w:r w:rsidR="007E70D6" w:rsidRPr="007E70D6">
        <w:rPr>
          <w:rFonts w:hint="eastAsia"/>
          <w:sz w:val="23"/>
          <w:szCs w:val="23"/>
          <w:lang w:eastAsia="zh-CN"/>
        </w:rPr>
        <w:t>GDP</w:t>
      </w:r>
      <w:r w:rsidR="007E70D6" w:rsidRPr="007E70D6">
        <w:rPr>
          <w:rFonts w:hint="eastAsia"/>
          <w:sz w:val="23"/>
          <w:szCs w:val="23"/>
          <w:lang w:eastAsia="zh-CN"/>
        </w:rPr>
        <w:t>同比</w:t>
      </w:r>
      <w:r w:rsidR="007E70D6" w:rsidRPr="007E70D6">
        <w:rPr>
          <w:rFonts w:hint="eastAsia"/>
          <w:sz w:val="23"/>
          <w:szCs w:val="23"/>
          <w:lang w:eastAsia="zh-CN"/>
        </w:rPr>
        <w:t xml:space="preserve"> 3.2%</w:t>
      </w:r>
      <w:r w:rsidR="007E70D6" w:rsidRPr="007E70D6">
        <w:rPr>
          <w:rFonts w:hint="eastAsia"/>
          <w:sz w:val="23"/>
          <w:szCs w:val="23"/>
          <w:lang w:eastAsia="zh-CN"/>
        </w:rPr>
        <w:t>，预期</w:t>
      </w:r>
      <w:r w:rsidR="007E70D6" w:rsidRPr="007E70D6">
        <w:rPr>
          <w:rFonts w:hint="eastAsia"/>
          <w:sz w:val="23"/>
          <w:szCs w:val="23"/>
          <w:lang w:eastAsia="zh-CN"/>
        </w:rPr>
        <w:t xml:space="preserve"> 2.4%</w:t>
      </w:r>
      <w:r w:rsidR="007E70D6" w:rsidRPr="007E70D6">
        <w:rPr>
          <w:rFonts w:hint="eastAsia"/>
          <w:sz w:val="23"/>
          <w:szCs w:val="23"/>
          <w:lang w:eastAsia="zh-CN"/>
        </w:rPr>
        <w:t>，前值</w:t>
      </w:r>
      <w:r w:rsidR="007E70D6" w:rsidRPr="007E70D6">
        <w:rPr>
          <w:rFonts w:hint="eastAsia"/>
          <w:sz w:val="23"/>
          <w:szCs w:val="23"/>
          <w:lang w:eastAsia="zh-CN"/>
        </w:rPr>
        <w:t xml:space="preserve"> -6.8%</w:t>
      </w:r>
      <w:r w:rsidR="007E70D6" w:rsidRPr="007E70D6">
        <w:rPr>
          <w:rFonts w:hint="eastAsia"/>
          <w:sz w:val="23"/>
          <w:szCs w:val="23"/>
          <w:lang w:eastAsia="zh-CN"/>
        </w:rPr>
        <w:t>；上半年固定资产投资（不含农户）同比降</w:t>
      </w:r>
      <w:r w:rsidR="007E70D6" w:rsidRPr="007E70D6">
        <w:rPr>
          <w:rFonts w:hint="eastAsia"/>
          <w:sz w:val="23"/>
          <w:szCs w:val="23"/>
          <w:lang w:eastAsia="zh-CN"/>
        </w:rPr>
        <w:t>3.1%</w:t>
      </w:r>
      <w:r w:rsidR="007E70D6" w:rsidRPr="007E70D6">
        <w:rPr>
          <w:rFonts w:hint="eastAsia"/>
          <w:sz w:val="23"/>
          <w:szCs w:val="23"/>
          <w:lang w:eastAsia="zh-CN"/>
        </w:rPr>
        <w:t>，预期降</w:t>
      </w:r>
      <w:r w:rsidR="007E70D6" w:rsidRPr="007E70D6">
        <w:rPr>
          <w:rFonts w:hint="eastAsia"/>
          <w:sz w:val="23"/>
          <w:szCs w:val="23"/>
          <w:lang w:eastAsia="zh-CN"/>
        </w:rPr>
        <w:t>3.5%</w:t>
      </w:r>
      <w:r w:rsidR="007E70D6" w:rsidRPr="007E70D6">
        <w:rPr>
          <w:rFonts w:hint="eastAsia"/>
          <w:sz w:val="23"/>
          <w:szCs w:val="23"/>
          <w:lang w:eastAsia="zh-CN"/>
        </w:rPr>
        <w:t>，前值降</w:t>
      </w:r>
      <w:r w:rsidR="007E70D6" w:rsidRPr="007E70D6">
        <w:rPr>
          <w:rFonts w:hint="eastAsia"/>
          <w:sz w:val="23"/>
          <w:szCs w:val="23"/>
          <w:lang w:eastAsia="zh-CN"/>
        </w:rPr>
        <w:t>6.3%</w:t>
      </w:r>
      <w:r w:rsidR="007E70D6" w:rsidRPr="007E70D6">
        <w:rPr>
          <w:rFonts w:hint="eastAsia"/>
          <w:sz w:val="23"/>
          <w:szCs w:val="23"/>
          <w:lang w:eastAsia="zh-CN"/>
        </w:rPr>
        <w:t>；上半年房地产开发投资同比增</w:t>
      </w:r>
      <w:r w:rsidR="007E70D6" w:rsidRPr="007E70D6">
        <w:rPr>
          <w:rFonts w:hint="eastAsia"/>
          <w:sz w:val="23"/>
          <w:szCs w:val="23"/>
          <w:lang w:eastAsia="zh-CN"/>
        </w:rPr>
        <w:t>1.9%</w:t>
      </w:r>
      <w:r w:rsidR="007E70D6" w:rsidRPr="007E70D6">
        <w:rPr>
          <w:rFonts w:hint="eastAsia"/>
          <w:sz w:val="23"/>
          <w:szCs w:val="23"/>
          <w:lang w:eastAsia="zh-CN"/>
        </w:rPr>
        <w:t>，</w:t>
      </w:r>
      <w:r w:rsidR="007E70D6" w:rsidRPr="007E70D6">
        <w:rPr>
          <w:rFonts w:hint="eastAsia"/>
          <w:sz w:val="23"/>
          <w:szCs w:val="23"/>
          <w:lang w:eastAsia="zh-CN"/>
        </w:rPr>
        <w:t>1-5</w:t>
      </w:r>
      <w:r w:rsidR="007E70D6" w:rsidRPr="007E70D6">
        <w:rPr>
          <w:rFonts w:hint="eastAsia"/>
          <w:sz w:val="23"/>
          <w:szCs w:val="23"/>
          <w:lang w:eastAsia="zh-CN"/>
        </w:rPr>
        <w:t>月降</w:t>
      </w:r>
      <w:r w:rsidR="007E70D6" w:rsidRPr="007E70D6">
        <w:rPr>
          <w:rFonts w:hint="eastAsia"/>
          <w:sz w:val="23"/>
          <w:szCs w:val="23"/>
          <w:lang w:eastAsia="zh-CN"/>
        </w:rPr>
        <w:t>0.3%</w:t>
      </w:r>
      <w:r w:rsidR="007E70D6" w:rsidRPr="007E70D6">
        <w:rPr>
          <w:rFonts w:hint="eastAsia"/>
          <w:sz w:val="23"/>
          <w:szCs w:val="23"/>
          <w:lang w:eastAsia="zh-CN"/>
        </w:rPr>
        <w:t>；</w:t>
      </w:r>
      <w:r w:rsidR="007E70D6" w:rsidRPr="007E70D6">
        <w:rPr>
          <w:rFonts w:hint="eastAsia"/>
          <w:sz w:val="23"/>
          <w:szCs w:val="23"/>
          <w:lang w:eastAsia="zh-CN"/>
        </w:rPr>
        <w:t>6</w:t>
      </w:r>
      <w:r w:rsidR="007E70D6" w:rsidRPr="007E70D6">
        <w:rPr>
          <w:rFonts w:hint="eastAsia"/>
          <w:sz w:val="23"/>
          <w:szCs w:val="23"/>
          <w:lang w:eastAsia="zh-CN"/>
        </w:rPr>
        <w:t>月社零消费同比</w:t>
      </w:r>
      <w:r w:rsidR="007E70D6" w:rsidRPr="007E70D6">
        <w:rPr>
          <w:rFonts w:hint="eastAsia"/>
          <w:sz w:val="23"/>
          <w:szCs w:val="23"/>
          <w:lang w:eastAsia="zh-CN"/>
        </w:rPr>
        <w:t>-1.5%</w:t>
      </w:r>
      <w:r w:rsidR="007E70D6" w:rsidRPr="007E70D6">
        <w:rPr>
          <w:rFonts w:hint="eastAsia"/>
          <w:sz w:val="23"/>
          <w:szCs w:val="23"/>
          <w:lang w:eastAsia="zh-CN"/>
        </w:rPr>
        <w:t>，预期</w:t>
      </w:r>
      <w:r w:rsidR="007E70D6" w:rsidRPr="007E70D6">
        <w:rPr>
          <w:rFonts w:hint="eastAsia"/>
          <w:sz w:val="23"/>
          <w:szCs w:val="23"/>
          <w:lang w:eastAsia="zh-CN"/>
        </w:rPr>
        <w:t>0.5%</w:t>
      </w:r>
      <w:r w:rsidR="007E70D6" w:rsidRPr="007E70D6">
        <w:rPr>
          <w:rFonts w:hint="eastAsia"/>
          <w:sz w:val="23"/>
          <w:szCs w:val="23"/>
          <w:lang w:eastAsia="zh-CN"/>
        </w:rPr>
        <w:t>，前值</w:t>
      </w:r>
      <w:r w:rsidR="007E70D6" w:rsidRPr="007E70D6">
        <w:rPr>
          <w:rFonts w:hint="eastAsia"/>
          <w:sz w:val="23"/>
          <w:szCs w:val="23"/>
          <w:lang w:eastAsia="zh-CN"/>
        </w:rPr>
        <w:t>-2.8%</w:t>
      </w:r>
      <w:r w:rsidR="007E70D6" w:rsidRPr="007E70D6">
        <w:rPr>
          <w:rFonts w:hint="eastAsia"/>
          <w:sz w:val="23"/>
          <w:szCs w:val="23"/>
          <w:lang w:eastAsia="zh-CN"/>
        </w:rPr>
        <w:t>；</w:t>
      </w:r>
      <w:r w:rsidR="007E70D6" w:rsidRPr="007E70D6">
        <w:rPr>
          <w:rFonts w:hint="eastAsia"/>
          <w:sz w:val="23"/>
          <w:szCs w:val="23"/>
          <w:lang w:eastAsia="zh-CN"/>
        </w:rPr>
        <w:t>6</w:t>
      </w:r>
      <w:r w:rsidR="007E70D6" w:rsidRPr="007E70D6">
        <w:rPr>
          <w:rFonts w:hint="eastAsia"/>
          <w:sz w:val="23"/>
          <w:szCs w:val="23"/>
          <w:lang w:eastAsia="zh-CN"/>
        </w:rPr>
        <w:t>月工业增加值同比</w:t>
      </w:r>
      <w:r w:rsidR="007E70D6" w:rsidRPr="007E70D6">
        <w:rPr>
          <w:rFonts w:hint="eastAsia"/>
          <w:sz w:val="23"/>
          <w:szCs w:val="23"/>
          <w:lang w:eastAsia="zh-CN"/>
        </w:rPr>
        <w:t>4.8%</w:t>
      </w:r>
      <w:r w:rsidR="007E70D6" w:rsidRPr="007E70D6">
        <w:rPr>
          <w:rFonts w:hint="eastAsia"/>
          <w:sz w:val="23"/>
          <w:szCs w:val="23"/>
          <w:lang w:eastAsia="zh-CN"/>
        </w:rPr>
        <w:t>，预期</w:t>
      </w:r>
      <w:r w:rsidR="007E70D6" w:rsidRPr="007E70D6">
        <w:rPr>
          <w:rFonts w:hint="eastAsia"/>
          <w:sz w:val="23"/>
          <w:szCs w:val="23"/>
          <w:lang w:eastAsia="zh-CN"/>
        </w:rPr>
        <w:t>4.8%</w:t>
      </w:r>
      <w:r w:rsidR="007E70D6" w:rsidRPr="007E70D6">
        <w:rPr>
          <w:rFonts w:hint="eastAsia"/>
          <w:sz w:val="23"/>
          <w:szCs w:val="23"/>
          <w:lang w:eastAsia="zh-CN"/>
        </w:rPr>
        <w:t>，前值</w:t>
      </w:r>
      <w:r w:rsidR="007E70D6" w:rsidRPr="007E70D6">
        <w:rPr>
          <w:rFonts w:hint="eastAsia"/>
          <w:sz w:val="23"/>
          <w:szCs w:val="23"/>
          <w:lang w:eastAsia="zh-CN"/>
        </w:rPr>
        <w:t>4.4%</w:t>
      </w:r>
      <w:r w:rsidR="007E70D6" w:rsidRPr="007E70D6">
        <w:rPr>
          <w:rFonts w:hint="eastAsia"/>
          <w:sz w:val="23"/>
          <w:szCs w:val="23"/>
          <w:lang w:eastAsia="zh-CN"/>
        </w:rPr>
        <w:t>；</w:t>
      </w:r>
      <w:r w:rsidR="007E70D6" w:rsidRPr="007E70D6">
        <w:rPr>
          <w:rFonts w:hint="eastAsia"/>
          <w:sz w:val="23"/>
          <w:szCs w:val="23"/>
          <w:lang w:eastAsia="zh-CN"/>
        </w:rPr>
        <w:t>6</w:t>
      </w:r>
      <w:r w:rsidR="007E70D6" w:rsidRPr="007E70D6">
        <w:rPr>
          <w:rFonts w:hint="eastAsia"/>
          <w:sz w:val="23"/>
          <w:szCs w:val="23"/>
          <w:lang w:eastAsia="zh-CN"/>
        </w:rPr>
        <w:t>月失业率</w:t>
      </w:r>
      <w:r w:rsidR="007E70D6" w:rsidRPr="007E70D6">
        <w:rPr>
          <w:rFonts w:hint="eastAsia"/>
          <w:sz w:val="23"/>
          <w:szCs w:val="23"/>
          <w:lang w:eastAsia="zh-CN"/>
        </w:rPr>
        <w:t>5.7%</w:t>
      </w:r>
      <w:r w:rsidR="007E70D6" w:rsidRPr="007E70D6">
        <w:rPr>
          <w:rFonts w:hint="eastAsia"/>
          <w:sz w:val="23"/>
          <w:szCs w:val="23"/>
          <w:lang w:eastAsia="zh-CN"/>
        </w:rPr>
        <w:t>，略低于</w:t>
      </w:r>
      <w:r w:rsidR="007E70D6" w:rsidRPr="007E70D6">
        <w:rPr>
          <w:rFonts w:hint="eastAsia"/>
          <w:sz w:val="23"/>
          <w:szCs w:val="23"/>
          <w:lang w:eastAsia="zh-CN"/>
        </w:rPr>
        <w:t>5</w:t>
      </w:r>
      <w:r w:rsidR="007E70D6" w:rsidRPr="007E70D6">
        <w:rPr>
          <w:rFonts w:hint="eastAsia"/>
          <w:sz w:val="23"/>
          <w:szCs w:val="23"/>
          <w:lang w:eastAsia="zh-CN"/>
        </w:rPr>
        <w:t>月的</w:t>
      </w:r>
      <w:r w:rsidR="007E70D6" w:rsidRPr="007E70D6">
        <w:rPr>
          <w:rFonts w:hint="eastAsia"/>
          <w:sz w:val="23"/>
          <w:szCs w:val="23"/>
          <w:lang w:eastAsia="zh-CN"/>
        </w:rPr>
        <w:t>5.9%</w:t>
      </w:r>
      <w:r w:rsidR="007E70D6" w:rsidRPr="007E70D6">
        <w:rPr>
          <w:rFonts w:hint="eastAsia"/>
          <w:sz w:val="23"/>
          <w:szCs w:val="23"/>
          <w:lang w:eastAsia="zh-CN"/>
        </w:rPr>
        <w:t>。</w:t>
      </w:r>
    </w:p>
    <w:p w14:paraId="359AA921" w14:textId="77777777" w:rsidR="008E4F23" w:rsidRDefault="0000220D" w:rsidP="00AF2AF8">
      <w:pPr>
        <w:pStyle w:val="Body-text"/>
        <w:spacing w:after="240"/>
        <w:ind w:firstLine="480"/>
        <w:rPr>
          <w:sz w:val="23"/>
          <w:szCs w:val="23"/>
          <w:lang w:eastAsia="zh-CN"/>
        </w:rPr>
      </w:pPr>
      <w:r>
        <w:rPr>
          <w:rFonts w:hint="eastAsia"/>
          <w:sz w:val="23"/>
          <w:szCs w:val="23"/>
          <w:lang w:eastAsia="zh-CN"/>
        </w:rPr>
        <w:t>数据</w:t>
      </w:r>
      <w:r w:rsidR="00A56A98">
        <w:rPr>
          <w:rFonts w:hint="eastAsia"/>
          <w:sz w:val="23"/>
          <w:szCs w:val="23"/>
          <w:lang w:eastAsia="zh-CN"/>
        </w:rPr>
        <w:t>具体来看</w:t>
      </w:r>
      <w:r w:rsidR="008E4F23">
        <w:rPr>
          <w:rFonts w:hint="eastAsia"/>
          <w:sz w:val="23"/>
          <w:szCs w:val="23"/>
          <w:lang w:eastAsia="zh-CN"/>
        </w:rPr>
        <w:t>，</w:t>
      </w:r>
      <w:r w:rsidR="008E4F23">
        <w:rPr>
          <w:sz w:val="23"/>
          <w:szCs w:val="23"/>
          <w:lang w:eastAsia="zh-CN"/>
        </w:rPr>
        <w:t>主要有几个</w:t>
      </w:r>
      <w:r w:rsidR="008E4F23">
        <w:rPr>
          <w:rFonts w:hint="eastAsia"/>
          <w:sz w:val="23"/>
          <w:szCs w:val="23"/>
          <w:lang w:eastAsia="zh-CN"/>
        </w:rPr>
        <w:t>要</w:t>
      </w:r>
      <w:r w:rsidR="008E4F23">
        <w:rPr>
          <w:sz w:val="23"/>
          <w:szCs w:val="23"/>
          <w:lang w:eastAsia="zh-CN"/>
        </w:rPr>
        <w:t>点</w:t>
      </w:r>
      <w:r w:rsidR="00A56A98">
        <w:rPr>
          <w:rFonts w:hint="eastAsia"/>
          <w:sz w:val="23"/>
          <w:szCs w:val="23"/>
          <w:lang w:eastAsia="zh-CN"/>
        </w:rPr>
        <w:t>：</w:t>
      </w:r>
    </w:p>
    <w:p w14:paraId="2738B422" w14:textId="09571C73" w:rsidR="008E4F23" w:rsidRDefault="007E70D6" w:rsidP="00AF2AF8">
      <w:pPr>
        <w:pStyle w:val="Body-text"/>
        <w:spacing w:after="240"/>
        <w:ind w:firstLine="480"/>
        <w:rPr>
          <w:sz w:val="23"/>
          <w:szCs w:val="23"/>
          <w:lang w:eastAsia="zh-CN"/>
        </w:rPr>
      </w:pPr>
      <w:r>
        <w:rPr>
          <w:rFonts w:hint="eastAsia"/>
          <w:sz w:val="23"/>
          <w:szCs w:val="23"/>
          <w:lang w:eastAsia="zh-CN"/>
        </w:rPr>
        <w:t>1</w:t>
      </w:r>
      <w:r>
        <w:rPr>
          <w:rFonts w:hint="eastAsia"/>
          <w:sz w:val="23"/>
          <w:szCs w:val="23"/>
          <w:lang w:eastAsia="zh-CN"/>
        </w:rPr>
        <w:t>）</w:t>
      </w:r>
      <w:r w:rsidR="00A56A98">
        <w:rPr>
          <w:rFonts w:hint="eastAsia"/>
          <w:sz w:val="23"/>
          <w:szCs w:val="23"/>
          <w:lang w:eastAsia="zh-CN"/>
        </w:rPr>
        <w:t>进</w:t>
      </w:r>
      <w:r>
        <w:rPr>
          <w:rFonts w:hint="eastAsia"/>
          <w:sz w:val="23"/>
          <w:szCs w:val="23"/>
          <w:lang w:eastAsia="zh-CN"/>
        </w:rPr>
        <w:t>出口数据较好</w:t>
      </w:r>
      <w:r w:rsidR="00A56A98">
        <w:rPr>
          <w:rFonts w:hint="eastAsia"/>
          <w:sz w:val="23"/>
          <w:szCs w:val="23"/>
          <w:lang w:eastAsia="zh-CN"/>
        </w:rPr>
        <w:t>对</w:t>
      </w:r>
      <w:r w:rsidR="00A56A98">
        <w:rPr>
          <w:rFonts w:hint="eastAsia"/>
          <w:sz w:val="23"/>
          <w:szCs w:val="23"/>
          <w:lang w:eastAsia="zh-CN"/>
        </w:rPr>
        <w:t>GDP</w:t>
      </w:r>
      <w:r w:rsidR="00A56A98">
        <w:rPr>
          <w:rFonts w:hint="eastAsia"/>
          <w:sz w:val="23"/>
          <w:szCs w:val="23"/>
          <w:lang w:eastAsia="zh-CN"/>
        </w:rPr>
        <w:t>数据持续带来正向拉动</w:t>
      </w:r>
      <w:r>
        <w:rPr>
          <w:rFonts w:hint="eastAsia"/>
          <w:sz w:val="23"/>
          <w:szCs w:val="23"/>
          <w:lang w:eastAsia="zh-CN"/>
        </w:rPr>
        <w:t>，</w:t>
      </w:r>
      <w:r>
        <w:rPr>
          <w:rFonts w:hint="eastAsia"/>
          <w:sz w:val="23"/>
          <w:szCs w:val="23"/>
          <w:lang w:eastAsia="zh-CN"/>
        </w:rPr>
        <w:t>6</w:t>
      </w:r>
      <w:r>
        <w:rPr>
          <w:rFonts w:hint="eastAsia"/>
          <w:sz w:val="23"/>
          <w:szCs w:val="23"/>
          <w:lang w:eastAsia="zh-CN"/>
        </w:rPr>
        <w:t>月出口增速转正，同时进口大幅增加，对</w:t>
      </w:r>
      <w:r>
        <w:rPr>
          <w:rFonts w:hint="eastAsia"/>
          <w:sz w:val="23"/>
          <w:szCs w:val="23"/>
          <w:lang w:eastAsia="zh-CN"/>
        </w:rPr>
        <w:t>GDP</w:t>
      </w:r>
      <w:r>
        <w:rPr>
          <w:rFonts w:hint="eastAsia"/>
          <w:sz w:val="23"/>
          <w:szCs w:val="23"/>
          <w:lang w:eastAsia="zh-CN"/>
        </w:rPr>
        <w:t>数据产生一定正</w:t>
      </w:r>
      <w:r w:rsidR="00362C0F">
        <w:rPr>
          <w:rFonts w:hint="eastAsia"/>
          <w:sz w:val="23"/>
          <w:szCs w:val="23"/>
          <w:lang w:eastAsia="zh-CN"/>
        </w:rPr>
        <w:t>拉动</w:t>
      </w:r>
      <w:r>
        <w:rPr>
          <w:rFonts w:hint="eastAsia"/>
          <w:sz w:val="23"/>
          <w:szCs w:val="23"/>
          <w:lang w:eastAsia="zh-CN"/>
        </w:rPr>
        <w:t>贡献。</w:t>
      </w:r>
    </w:p>
    <w:p w14:paraId="6DEB29DD" w14:textId="7AB559EC" w:rsidR="008E4F23" w:rsidRDefault="007E70D6" w:rsidP="00AF2AF8">
      <w:pPr>
        <w:pStyle w:val="Body-text"/>
        <w:spacing w:after="240"/>
        <w:ind w:firstLine="480"/>
        <w:rPr>
          <w:sz w:val="23"/>
          <w:szCs w:val="23"/>
          <w:lang w:eastAsia="zh-CN"/>
        </w:rPr>
      </w:pPr>
      <w:r>
        <w:rPr>
          <w:rFonts w:hint="eastAsia"/>
          <w:sz w:val="23"/>
          <w:szCs w:val="23"/>
          <w:lang w:eastAsia="zh-CN"/>
        </w:rPr>
        <w:t>2</w:t>
      </w:r>
      <w:r>
        <w:rPr>
          <w:rFonts w:hint="eastAsia"/>
          <w:sz w:val="23"/>
          <w:szCs w:val="23"/>
          <w:lang w:eastAsia="zh-CN"/>
        </w:rPr>
        <w:t>）地产和基建投资上半年持续向好，</w:t>
      </w:r>
      <w:r w:rsidR="00A56A98">
        <w:rPr>
          <w:rFonts w:hint="eastAsia"/>
          <w:sz w:val="23"/>
          <w:szCs w:val="23"/>
          <w:lang w:eastAsia="zh-CN"/>
        </w:rPr>
        <w:t>但</w:t>
      </w:r>
      <w:r>
        <w:rPr>
          <w:rFonts w:hint="eastAsia"/>
          <w:sz w:val="23"/>
          <w:szCs w:val="23"/>
          <w:lang w:eastAsia="zh-CN"/>
        </w:rPr>
        <w:t>制造业投资修复略慢。</w:t>
      </w:r>
      <w:r w:rsidRPr="003F481E">
        <w:rPr>
          <w:rFonts w:hint="eastAsia"/>
          <w:sz w:val="23"/>
          <w:szCs w:val="23"/>
          <w:u w:val="single"/>
          <w:lang w:eastAsia="zh-CN"/>
        </w:rPr>
        <w:t>地产投资</w:t>
      </w:r>
      <w:r>
        <w:rPr>
          <w:rFonts w:hint="eastAsia"/>
          <w:sz w:val="23"/>
          <w:szCs w:val="23"/>
          <w:lang w:eastAsia="zh-CN"/>
        </w:rPr>
        <w:t>方面，</w:t>
      </w:r>
      <w:r w:rsidRPr="007E70D6">
        <w:rPr>
          <w:rFonts w:hint="eastAsia"/>
          <w:sz w:val="23"/>
          <w:szCs w:val="23"/>
          <w:lang w:eastAsia="zh-CN"/>
        </w:rPr>
        <w:t>1-6</w:t>
      </w:r>
      <w:r w:rsidRPr="007E70D6">
        <w:rPr>
          <w:rFonts w:hint="eastAsia"/>
          <w:sz w:val="23"/>
          <w:szCs w:val="23"/>
          <w:lang w:eastAsia="zh-CN"/>
        </w:rPr>
        <w:t>月地产投资累计增速转正回升至</w:t>
      </w:r>
      <w:r w:rsidRPr="007E70D6">
        <w:rPr>
          <w:rFonts w:hint="eastAsia"/>
          <w:sz w:val="23"/>
          <w:szCs w:val="23"/>
          <w:lang w:eastAsia="zh-CN"/>
        </w:rPr>
        <w:t>1.9%</w:t>
      </w:r>
      <w:r w:rsidRPr="007E70D6">
        <w:rPr>
          <w:rFonts w:hint="eastAsia"/>
          <w:sz w:val="23"/>
          <w:szCs w:val="23"/>
          <w:lang w:eastAsia="zh-CN"/>
        </w:rPr>
        <w:t>，单月投资增速回升至</w:t>
      </w:r>
      <w:r w:rsidRPr="007E70D6">
        <w:rPr>
          <w:rFonts w:hint="eastAsia"/>
          <w:sz w:val="23"/>
          <w:szCs w:val="23"/>
          <w:lang w:eastAsia="zh-CN"/>
        </w:rPr>
        <w:t>8.5%</w:t>
      </w:r>
      <w:r w:rsidRPr="007E70D6">
        <w:rPr>
          <w:rFonts w:hint="eastAsia"/>
          <w:sz w:val="23"/>
          <w:szCs w:val="23"/>
          <w:lang w:eastAsia="zh-CN"/>
        </w:rPr>
        <w:t>，回暖速度较基建和制造业相对较快。一方面，</w:t>
      </w:r>
      <w:r w:rsidRPr="007E70D6">
        <w:rPr>
          <w:rFonts w:hint="eastAsia"/>
          <w:sz w:val="23"/>
          <w:szCs w:val="23"/>
          <w:lang w:eastAsia="zh-CN"/>
        </w:rPr>
        <w:t>6</w:t>
      </w:r>
      <w:r w:rsidRPr="007E70D6">
        <w:rPr>
          <w:rFonts w:hint="eastAsia"/>
          <w:sz w:val="23"/>
          <w:szCs w:val="23"/>
          <w:lang w:eastAsia="zh-CN"/>
        </w:rPr>
        <w:t>月新开工增速大幅回升至</w:t>
      </w:r>
      <w:r w:rsidRPr="007E70D6">
        <w:rPr>
          <w:rFonts w:hint="eastAsia"/>
          <w:sz w:val="23"/>
          <w:szCs w:val="23"/>
          <w:lang w:eastAsia="zh-CN"/>
        </w:rPr>
        <w:t>8.9%</w:t>
      </w:r>
      <w:r w:rsidRPr="007E70D6">
        <w:rPr>
          <w:rFonts w:hint="eastAsia"/>
          <w:sz w:val="23"/>
          <w:szCs w:val="23"/>
          <w:lang w:eastAsia="zh-CN"/>
        </w:rPr>
        <w:t>，连续两个月均为正值；另一方面，</w:t>
      </w:r>
      <w:r w:rsidRPr="007E70D6">
        <w:rPr>
          <w:rFonts w:hint="eastAsia"/>
          <w:sz w:val="23"/>
          <w:szCs w:val="23"/>
          <w:lang w:eastAsia="zh-CN"/>
        </w:rPr>
        <w:t>6</w:t>
      </w:r>
      <w:r w:rsidRPr="007E70D6">
        <w:rPr>
          <w:rFonts w:hint="eastAsia"/>
          <w:sz w:val="23"/>
          <w:szCs w:val="23"/>
          <w:lang w:eastAsia="zh-CN"/>
        </w:rPr>
        <w:t>月施工面积有所回升，拉动地产投资增速。</w:t>
      </w:r>
      <w:r>
        <w:rPr>
          <w:rFonts w:hint="eastAsia"/>
          <w:sz w:val="23"/>
          <w:szCs w:val="23"/>
          <w:lang w:eastAsia="zh-CN"/>
        </w:rPr>
        <w:t>但考虑到近期部分城市地产政策有所收紧，房住不炒的大方向下，下半年地产数据持续性有待观察。</w:t>
      </w:r>
      <w:r w:rsidRPr="003F481E">
        <w:rPr>
          <w:rFonts w:hint="eastAsia"/>
          <w:sz w:val="23"/>
          <w:szCs w:val="23"/>
          <w:u w:val="single"/>
          <w:lang w:eastAsia="zh-CN"/>
        </w:rPr>
        <w:t>基建投资</w:t>
      </w:r>
      <w:r>
        <w:rPr>
          <w:rFonts w:hint="eastAsia"/>
          <w:sz w:val="23"/>
          <w:szCs w:val="23"/>
          <w:lang w:eastAsia="zh-CN"/>
        </w:rPr>
        <w:t>方面，</w:t>
      </w:r>
      <w:r w:rsidRPr="007E70D6">
        <w:rPr>
          <w:rFonts w:hint="eastAsia"/>
          <w:sz w:val="23"/>
          <w:szCs w:val="23"/>
          <w:lang w:eastAsia="zh-CN"/>
        </w:rPr>
        <w:t>6</w:t>
      </w:r>
      <w:r w:rsidRPr="007E70D6">
        <w:rPr>
          <w:rFonts w:hint="eastAsia"/>
          <w:sz w:val="23"/>
          <w:szCs w:val="23"/>
          <w:lang w:eastAsia="zh-CN"/>
        </w:rPr>
        <w:t>月基建投资增速较</w:t>
      </w:r>
      <w:r w:rsidRPr="007E70D6">
        <w:rPr>
          <w:rFonts w:hint="eastAsia"/>
          <w:sz w:val="23"/>
          <w:szCs w:val="23"/>
          <w:lang w:eastAsia="zh-CN"/>
        </w:rPr>
        <w:t>1~5</w:t>
      </w:r>
      <w:r w:rsidRPr="007E70D6">
        <w:rPr>
          <w:rFonts w:hint="eastAsia"/>
          <w:sz w:val="23"/>
          <w:szCs w:val="23"/>
          <w:lang w:eastAsia="zh-CN"/>
        </w:rPr>
        <w:t>月继续回升，单月同比增速略有回落，</w:t>
      </w:r>
      <w:r w:rsidRPr="007E70D6">
        <w:rPr>
          <w:rFonts w:hint="eastAsia"/>
          <w:sz w:val="23"/>
          <w:szCs w:val="23"/>
          <w:lang w:eastAsia="zh-CN"/>
        </w:rPr>
        <w:t>7</w:t>
      </w:r>
      <w:r w:rsidRPr="007E70D6">
        <w:rPr>
          <w:rFonts w:hint="eastAsia"/>
          <w:sz w:val="23"/>
          <w:szCs w:val="23"/>
          <w:lang w:eastAsia="zh-CN"/>
        </w:rPr>
        <w:t>月单月基建投资增速或再度回升。基建方面，增速较</w:t>
      </w:r>
      <w:r w:rsidRPr="007E70D6">
        <w:rPr>
          <w:rFonts w:hint="eastAsia"/>
          <w:sz w:val="23"/>
          <w:szCs w:val="23"/>
          <w:lang w:eastAsia="zh-CN"/>
        </w:rPr>
        <w:t>1~5</w:t>
      </w:r>
      <w:r w:rsidRPr="007E70D6">
        <w:rPr>
          <w:rFonts w:hint="eastAsia"/>
          <w:sz w:val="23"/>
          <w:szCs w:val="23"/>
          <w:lang w:eastAsia="zh-CN"/>
        </w:rPr>
        <w:t>月继续回升至</w:t>
      </w:r>
      <w:r w:rsidRPr="007E70D6">
        <w:rPr>
          <w:rFonts w:hint="eastAsia"/>
          <w:sz w:val="23"/>
          <w:szCs w:val="23"/>
          <w:lang w:eastAsia="zh-CN"/>
        </w:rPr>
        <w:t>-2.7%</w:t>
      </w:r>
      <w:r w:rsidRPr="007E70D6">
        <w:rPr>
          <w:rFonts w:hint="eastAsia"/>
          <w:sz w:val="23"/>
          <w:szCs w:val="23"/>
          <w:lang w:eastAsia="zh-CN"/>
        </w:rPr>
        <w:t>，从当月同比来看，</w:t>
      </w:r>
      <w:r w:rsidRPr="007E70D6">
        <w:rPr>
          <w:rFonts w:hint="eastAsia"/>
          <w:sz w:val="23"/>
          <w:szCs w:val="23"/>
          <w:lang w:eastAsia="zh-CN"/>
        </w:rPr>
        <w:t>6</w:t>
      </w:r>
      <w:r w:rsidRPr="007E70D6">
        <w:rPr>
          <w:rFonts w:hint="eastAsia"/>
          <w:sz w:val="23"/>
          <w:szCs w:val="23"/>
          <w:lang w:eastAsia="zh-CN"/>
        </w:rPr>
        <w:t>月基建投资单月增速为</w:t>
      </w:r>
      <w:r w:rsidRPr="007E70D6">
        <w:rPr>
          <w:rFonts w:hint="eastAsia"/>
          <w:sz w:val="23"/>
          <w:szCs w:val="23"/>
          <w:lang w:eastAsia="zh-CN"/>
        </w:rPr>
        <w:t>6.8%</w:t>
      </w:r>
      <w:r w:rsidR="00362C0F">
        <w:rPr>
          <w:rFonts w:hint="eastAsia"/>
          <w:sz w:val="23"/>
          <w:szCs w:val="23"/>
          <w:lang w:eastAsia="zh-CN"/>
        </w:rPr>
        <w:t>。考虑到当前南方洪涝灾害持续恶化，后续基建投资可能还有空间，但是增速斜率可能有所减缓。</w:t>
      </w:r>
      <w:r w:rsidR="00362C0F" w:rsidRPr="003F481E">
        <w:rPr>
          <w:rFonts w:hint="eastAsia"/>
          <w:sz w:val="23"/>
          <w:szCs w:val="23"/>
          <w:u w:val="single"/>
          <w:lang w:eastAsia="zh-CN"/>
        </w:rPr>
        <w:t>制造业投资</w:t>
      </w:r>
      <w:r w:rsidR="00362C0F">
        <w:rPr>
          <w:rFonts w:hint="eastAsia"/>
          <w:sz w:val="23"/>
          <w:szCs w:val="23"/>
          <w:lang w:eastAsia="zh-CN"/>
        </w:rPr>
        <w:t>方面，</w:t>
      </w:r>
      <w:r w:rsidR="00362C0F" w:rsidRPr="00362C0F">
        <w:rPr>
          <w:rFonts w:hint="eastAsia"/>
          <w:sz w:val="23"/>
          <w:szCs w:val="23"/>
          <w:lang w:eastAsia="zh-CN"/>
        </w:rPr>
        <w:t>1-6</w:t>
      </w:r>
      <w:r w:rsidR="00362C0F" w:rsidRPr="00362C0F">
        <w:rPr>
          <w:rFonts w:hint="eastAsia"/>
          <w:sz w:val="23"/>
          <w:szCs w:val="23"/>
          <w:lang w:eastAsia="zh-CN"/>
        </w:rPr>
        <w:t>月较</w:t>
      </w:r>
      <w:r w:rsidR="00362C0F" w:rsidRPr="00362C0F">
        <w:rPr>
          <w:rFonts w:hint="eastAsia"/>
          <w:sz w:val="23"/>
          <w:szCs w:val="23"/>
          <w:lang w:eastAsia="zh-CN"/>
        </w:rPr>
        <w:t>1-5</w:t>
      </w:r>
      <w:r w:rsidR="00362C0F" w:rsidRPr="00362C0F">
        <w:rPr>
          <w:rFonts w:hint="eastAsia"/>
          <w:sz w:val="23"/>
          <w:szCs w:val="23"/>
          <w:lang w:eastAsia="zh-CN"/>
        </w:rPr>
        <w:t>月跌幅收窄</w:t>
      </w:r>
      <w:r w:rsidR="00362C0F" w:rsidRPr="00362C0F">
        <w:rPr>
          <w:rFonts w:hint="eastAsia"/>
          <w:sz w:val="23"/>
          <w:szCs w:val="23"/>
          <w:lang w:eastAsia="zh-CN"/>
        </w:rPr>
        <w:t>3.1</w:t>
      </w:r>
      <w:r w:rsidR="00362C0F">
        <w:rPr>
          <w:rFonts w:hint="eastAsia"/>
          <w:sz w:val="23"/>
          <w:szCs w:val="23"/>
          <w:lang w:eastAsia="zh-CN"/>
        </w:rPr>
        <w:t>%</w:t>
      </w:r>
      <w:r w:rsidR="00362C0F" w:rsidRPr="00362C0F">
        <w:rPr>
          <w:rFonts w:hint="eastAsia"/>
          <w:sz w:val="23"/>
          <w:szCs w:val="23"/>
          <w:lang w:eastAsia="zh-CN"/>
        </w:rPr>
        <w:t>，较</w:t>
      </w:r>
      <w:r w:rsidR="00362C0F" w:rsidRPr="00362C0F">
        <w:rPr>
          <w:rFonts w:hint="eastAsia"/>
          <w:sz w:val="23"/>
          <w:szCs w:val="23"/>
          <w:lang w:eastAsia="zh-CN"/>
        </w:rPr>
        <w:t>4</w:t>
      </w:r>
      <w:r w:rsidR="00362C0F" w:rsidRPr="00362C0F">
        <w:rPr>
          <w:rFonts w:hint="eastAsia"/>
          <w:sz w:val="23"/>
          <w:szCs w:val="23"/>
          <w:lang w:eastAsia="zh-CN"/>
        </w:rPr>
        <w:t>月</w:t>
      </w:r>
      <w:r w:rsidR="00362C0F">
        <w:rPr>
          <w:rFonts w:hint="eastAsia"/>
          <w:sz w:val="23"/>
          <w:szCs w:val="23"/>
          <w:lang w:eastAsia="zh-CN"/>
        </w:rPr>
        <w:t>的</w:t>
      </w:r>
      <w:r w:rsidR="00362C0F">
        <w:rPr>
          <w:rFonts w:hint="eastAsia"/>
          <w:sz w:val="23"/>
          <w:szCs w:val="23"/>
          <w:lang w:eastAsia="zh-CN"/>
        </w:rPr>
        <w:t>4%</w:t>
      </w:r>
      <w:r w:rsidR="00362C0F" w:rsidRPr="00362C0F">
        <w:rPr>
          <w:rFonts w:hint="eastAsia"/>
          <w:sz w:val="23"/>
          <w:szCs w:val="23"/>
          <w:lang w:eastAsia="zh-CN"/>
        </w:rPr>
        <w:t>进一步收窄，单月增速由</w:t>
      </w:r>
      <w:r w:rsidR="00362C0F" w:rsidRPr="00362C0F">
        <w:rPr>
          <w:rFonts w:hint="eastAsia"/>
          <w:sz w:val="23"/>
          <w:szCs w:val="23"/>
          <w:lang w:eastAsia="zh-CN"/>
        </w:rPr>
        <w:t>5</w:t>
      </w:r>
      <w:r w:rsidR="00362C0F" w:rsidRPr="00362C0F">
        <w:rPr>
          <w:rFonts w:hint="eastAsia"/>
          <w:sz w:val="23"/>
          <w:szCs w:val="23"/>
          <w:lang w:eastAsia="zh-CN"/>
        </w:rPr>
        <w:t>月的</w:t>
      </w:r>
      <w:r w:rsidR="00362C0F" w:rsidRPr="00362C0F">
        <w:rPr>
          <w:rFonts w:hint="eastAsia"/>
          <w:sz w:val="23"/>
          <w:szCs w:val="23"/>
          <w:lang w:eastAsia="zh-CN"/>
        </w:rPr>
        <w:t>-5.3%</w:t>
      </w:r>
      <w:r w:rsidR="00362C0F" w:rsidRPr="00362C0F">
        <w:rPr>
          <w:rFonts w:hint="eastAsia"/>
          <w:sz w:val="23"/>
          <w:szCs w:val="23"/>
          <w:lang w:eastAsia="zh-CN"/>
        </w:rPr>
        <w:t>小幅回升至</w:t>
      </w:r>
      <w:r w:rsidR="00362C0F" w:rsidRPr="00362C0F">
        <w:rPr>
          <w:rFonts w:hint="eastAsia"/>
          <w:sz w:val="23"/>
          <w:szCs w:val="23"/>
          <w:lang w:eastAsia="zh-CN"/>
        </w:rPr>
        <w:t>-3.5%</w:t>
      </w:r>
      <w:r w:rsidR="00362C0F" w:rsidRPr="00362C0F">
        <w:rPr>
          <w:rFonts w:hint="eastAsia"/>
          <w:sz w:val="23"/>
          <w:szCs w:val="23"/>
          <w:lang w:eastAsia="zh-CN"/>
        </w:rPr>
        <w:t>，</w:t>
      </w:r>
      <w:r w:rsidR="00AA23CC">
        <w:rPr>
          <w:rFonts w:hint="eastAsia"/>
          <w:sz w:val="23"/>
          <w:szCs w:val="23"/>
          <w:lang w:eastAsia="zh-CN"/>
        </w:rPr>
        <w:t>但</w:t>
      </w:r>
      <w:r w:rsidR="00362C0F">
        <w:rPr>
          <w:rFonts w:hint="eastAsia"/>
          <w:sz w:val="23"/>
          <w:szCs w:val="23"/>
          <w:lang w:eastAsia="zh-CN"/>
        </w:rPr>
        <w:t>制造业投资增速回升幅度有所收窄，</w:t>
      </w:r>
      <w:r w:rsidR="00362C0F" w:rsidRPr="00362C0F">
        <w:rPr>
          <w:rFonts w:hint="eastAsia"/>
          <w:sz w:val="23"/>
          <w:szCs w:val="23"/>
          <w:lang w:eastAsia="zh-CN"/>
        </w:rPr>
        <w:t>制造业修复</w:t>
      </w:r>
      <w:r w:rsidR="00362C0F">
        <w:rPr>
          <w:rFonts w:hint="eastAsia"/>
          <w:sz w:val="23"/>
          <w:szCs w:val="23"/>
          <w:lang w:eastAsia="zh-CN"/>
        </w:rPr>
        <w:t>持续</w:t>
      </w:r>
      <w:r w:rsidR="00362C0F" w:rsidRPr="00362C0F">
        <w:rPr>
          <w:rFonts w:hint="eastAsia"/>
          <w:sz w:val="23"/>
          <w:szCs w:val="23"/>
          <w:lang w:eastAsia="zh-CN"/>
        </w:rPr>
        <w:t>放缓。</w:t>
      </w:r>
    </w:p>
    <w:p w14:paraId="731F77D9" w14:textId="2EC6835B" w:rsidR="00A11EDE" w:rsidRDefault="008E4F23" w:rsidP="00AF2AF8">
      <w:pPr>
        <w:pStyle w:val="Body-text"/>
        <w:spacing w:after="240"/>
        <w:ind w:firstLine="480"/>
        <w:rPr>
          <w:sz w:val="23"/>
          <w:szCs w:val="23"/>
          <w:lang w:eastAsia="zh-CN"/>
        </w:rPr>
      </w:pPr>
      <w:r>
        <w:rPr>
          <w:rFonts w:hint="eastAsia"/>
          <w:sz w:val="23"/>
          <w:szCs w:val="23"/>
          <w:lang w:eastAsia="zh-CN"/>
        </w:rPr>
        <w:t>3</w:t>
      </w:r>
      <w:r>
        <w:rPr>
          <w:sz w:val="23"/>
          <w:szCs w:val="23"/>
          <w:lang w:eastAsia="zh-CN"/>
        </w:rPr>
        <w:t>）</w:t>
      </w:r>
      <w:r w:rsidR="00362C0F">
        <w:rPr>
          <w:rFonts w:hint="eastAsia"/>
          <w:sz w:val="23"/>
          <w:szCs w:val="23"/>
          <w:lang w:eastAsia="zh-CN"/>
        </w:rPr>
        <w:t>消费数据略弱于预期，</w:t>
      </w:r>
      <w:proofErr w:type="gramStart"/>
      <w:r w:rsidR="00362C0F" w:rsidRPr="00362C0F">
        <w:rPr>
          <w:rFonts w:hint="eastAsia"/>
          <w:sz w:val="23"/>
          <w:szCs w:val="23"/>
          <w:lang w:eastAsia="zh-CN"/>
        </w:rPr>
        <w:t>6</w:t>
      </w:r>
      <w:r w:rsidR="00362C0F" w:rsidRPr="00362C0F">
        <w:rPr>
          <w:rFonts w:hint="eastAsia"/>
          <w:sz w:val="23"/>
          <w:szCs w:val="23"/>
          <w:lang w:eastAsia="zh-CN"/>
        </w:rPr>
        <w:t>月社零增速</w:t>
      </w:r>
      <w:proofErr w:type="gramEnd"/>
      <w:r w:rsidR="00362C0F" w:rsidRPr="00362C0F">
        <w:rPr>
          <w:rFonts w:hint="eastAsia"/>
          <w:sz w:val="23"/>
          <w:szCs w:val="23"/>
          <w:lang w:eastAsia="zh-CN"/>
        </w:rPr>
        <w:t>-1.5%</w:t>
      </w:r>
      <w:r w:rsidR="00362C0F" w:rsidRPr="00362C0F">
        <w:rPr>
          <w:rFonts w:hint="eastAsia"/>
          <w:sz w:val="23"/>
          <w:szCs w:val="23"/>
          <w:lang w:eastAsia="zh-CN"/>
        </w:rPr>
        <w:t>，</w:t>
      </w:r>
      <w:proofErr w:type="gramStart"/>
      <w:r w:rsidR="00362C0F" w:rsidRPr="00362C0F">
        <w:rPr>
          <w:rFonts w:hint="eastAsia"/>
          <w:sz w:val="23"/>
          <w:szCs w:val="23"/>
          <w:lang w:eastAsia="zh-CN"/>
        </w:rPr>
        <w:t>社零回升</w:t>
      </w:r>
      <w:proofErr w:type="gramEnd"/>
      <w:r w:rsidR="00362C0F" w:rsidRPr="00362C0F">
        <w:rPr>
          <w:rFonts w:hint="eastAsia"/>
          <w:sz w:val="23"/>
          <w:szCs w:val="23"/>
          <w:lang w:eastAsia="zh-CN"/>
        </w:rPr>
        <w:t>幅度不及市场预期。</w:t>
      </w:r>
      <w:r w:rsidR="00362C0F">
        <w:rPr>
          <w:rFonts w:hint="eastAsia"/>
          <w:sz w:val="23"/>
          <w:szCs w:val="23"/>
          <w:lang w:eastAsia="zh-CN"/>
        </w:rPr>
        <w:t>消费数据走弱一方面受居民可支配收入减少影响，另一方面</w:t>
      </w:r>
      <w:r w:rsidR="00362C0F" w:rsidRPr="00362C0F">
        <w:rPr>
          <w:rFonts w:hint="eastAsia"/>
          <w:sz w:val="23"/>
          <w:szCs w:val="23"/>
          <w:lang w:eastAsia="zh-CN"/>
        </w:rPr>
        <w:t>受汽车和石油及其制品拖累</w:t>
      </w:r>
      <w:r w:rsidR="00362C0F">
        <w:rPr>
          <w:rFonts w:hint="eastAsia"/>
          <w:sz w:val="23"/>
          <w:szCs w:val="23"/>
          <w:lang w:eastAsia="zh-CN"/>
        </w:rPr>
        <w:t>。</w:t>
      </w:r>
      <w:r w:rsidR="000F784F">
        <w:rPr>
          <w:rFonts w:hint="eastAsia"/>
          <w:sz w:val="23"/>
          <w:szCs w:val="23"/>
          <w:lang w:eastAsia="zh-CN"/>
        </w:rPr>
        <w:t>此外，</w:t>
      </w:r>
      <w:r w:rsidR="00362C0F">
        <w:rPr>
          <w:rFonts w:hint="eastAsia"/>
          <w:sz w:val="23"/>
          <w:szCs w:val="23"/>
          <w:lang w:eastAsia="zh-CN"/>
        </w:rPr>
        <w:t>网上消费增速走高，</w:t>
      </w:r>
      <w:r w:rsidR="00362C0F" w:rsidRPr="00362C0F">
        <w:rPr>
          <w:rFonts w:hint="eastAsia"/>
          <w:sz w:val="23"/>
          <w:szCs w:val="23"/>
          <w:lang w:eastAsia="zh-CN"/>
        </w:rPr>
        <w:t>6</w:t>
      </w:r>
      <w:r w:rsidR="00362C0F" w:rsidRPr="00362C0F">
        <w:rPr>
          <w:rFonts w:hint="eastAsia"/>
          <w:sz w:val="23"/>
          <w:szCs w:val="23"/>
          <w:lang w:eastAsia="zh-CN"/>
        </w:rPr>
        <w:t>月增速进一步回升至</w:t>
      </w:r>
      <w:r w:rsidR="00362C0F" w:rsidRPr="00362C0F">
        <w:rPr>
          <w:rFonts w:hint="eastAsia"/>
          <w:sz w:val="23"/>
          <w:szCs w:val="23"/>
          <w:lang w:eastAsia="zh-CN"/>
        </w:rPr>
        <w:t>25.7%</w:t>
      </w:r>
      <w:r w:rsidR="00362C0F" w:rsidRPr="00362C0F">
        <w:rPr>
          <w:rFonts w:hint="eastAsia"/>
          <w:sz w:val="23"/>
          <w:szCs w:val="23"/>
          <w:lang w:eastAsia="zh-CN"/>
        </w:rPr>
        <w:t>，对</w:t>
      </w:r>
      <w:proofErr w:type="gramStart"/>
      <w:r w:rsidR="00362C0F" w:rsidRPr="00362C0F">
        <w:rPr>
          <w:rFonts w:hint="eastAsia"/>
          <w:sz w:val="23"/>
          <w:szCs w:val="23"/>
          <w:lang w:eastAsia="zh-CN"/>
        </w:rPr>
        <w:t>社零的拉动率</w:t>
      </w:r>
      <w:proofErr w:type="gramEnd"/>
      <w:r w:rsidR="00362C0F" w:rsidRPr="00362C0F">
        <w:rPr>
          <w:rFonts w:hint="eastAsia"/>
          <w:sz w:val="23"/>
          <w:szCs w:val="23"/>
          <w:lang w:eastAsia="zh-CN"/>
        </w:rPr>
        <w:t>达</w:t>
      </w:r>
      <w:r w:rsidR="00362C0F" w:rsidRPr="00362C0F">
        <w:rPr>
          <w:rFonts w:hint="eastAsia"/>
          <w:sz w:val="23"/>
          <w:szCs w:val="23"/>
          <w:lang w:eastAsia="zh-CN"/>
        </w:rPr>
        <w:t>7.5</w:t>
      </w:r>
      <w:r w:rsidR="00362C0F" w:rsidRPr="00362C0F">
        <w:rPr>
          <w:rFonts w:hint="eastAsia"/>
          <w:sz w:val="23"/>
          <w:szCs w:val="23"/>
          <w:lang w:eastAsia="zh-CN"/>
        </w:rPr>
        <w:t>个百分点，仅次于去年“双十一”的</w:t>
      </w:r>
      <w:r w:rsidR="00362C0F" w:rsidRPr="00362C0F">
        <w:rPr>
          <w:rFonts w:hint="eastAsia"/>
          <w:sz w:val="23"/>
          <w:szCs w:val="23"/>
          <w:lang w:eastAsia="zh-CN"/>
        </w:rPr>
        <w:t>7.6%</w:t>
      </w:r>
      <w:r w:rsidR="00362C0F">
        <w:rPr>
          <w:rFonts w:hint="eastAsia"/>
          <w:sz w:val="23"/>
          <w:szCs w:val="23"/>
          <w:lang w:eastAsia="zh-CN"/>
        </w:rPr>
        <w:t>。</w:t>
      </w:r>
    </w:p>
    <w:p w14:paraId="7BDDFDAC" w14:textId="77777777" w:rsidR="005C6C18" w:rsidRDefault="00A56A98" w:rsidP="005C6C18">
      <w:pPr>
        <w:pStyle w:val="Body-text"/>
        <w:spacing w:after="240"/>
        <w:ind w:firstLine="480"/>
        <w:rPr>
          <w:sz w:val="23"/>
          <w:szCs w:val="23"/>
          <w:lang w:eastAsia="zh-CN"/>
        </w:rPr>
      </w:pPr>
      <w:r>
        <w:rPr>
          <w:rFonts w:hint="eastAsia"/>
          <w:sz w:val="23"/>
          <w:szCs w:val="23"/>
          <w:lang w:eastAsia="zh-CN"/>
        </w:rPr>
        <w:t>整体看，二季度数据持续亮眼，但部分数据</w:t>
      </w:r>
      <w:r w:rsidR="008E4F23">
        <w:rPr>
          <w:rFonts w:hint="eastAsia"/>
          <w:sz w:val="23"/>
          <w:szCs w:val="23"/>
          <w:lang w:eastAsia="zh-CN"/>
        </w:rPr>
        <w:t>修复有所放缓。工业生产快于需求修复，基建地产数据持续亮眼，制造业修复略放缓，企业部分反弹明显强于居民部分。上半年来看，</w:t>
      </w:r>
      <w:r w:rsidR="008E4F23" w:rsidRPr="008E4F23">
        <w:rPr>
          <w:rFonts w:hint="eastAsia"/>
          <w:sz w:val="23"/>
          <w:szCs w:val="23"/>
          <w:lang w:eastAsia="zh-CN"/>
        </w:rPr>
        <w:t>工业生产、基建和地产投资</w:t>
      </w:r>
      <w:r w:rsidR="008E4F23">
        <w:rPr>
          <w:rFonts w:hint="eastAsia"/>
          <w:sz w:val="23"/>
          <w:szCs w:val="23"/>
          <w:lang w:eastAsia="zh-CN"/>
        </w:rPr>
        <w:t>仍</w:t>
      </w:r>
      <w:r w:rsidR="008E4F23" w:rsidRPr="008E4F23">
        <w:rPr>
          <w:rFonts w:hint="eastAsia"/>
          <w:sz w:val="23"/>
          <w:szCs w:val="23"/>
          <w:lang w:eastAsia="zh-CN"/>
        </w:rPr>
        <w:t>是</w:t>
      </w:r>
      <w:r w:rsidR="008E4F23">
        <w:rPr>
          <w:rFonts w:hint="eastAsia"/>
          <w:sz w:val="23"/>
          <w:szCs w:val="23"/>
          <w:lang w:eastAsia="zh-CN"/>
        </w:rPr>
        <w:t>当前</w:t>
      </w:r>
      <w:r w:rsidR="008E4F23" w:rsidRPr="008E4F23">
        <w:rPr>
          <w:rFonts w:hint="eastAsia"/>
          <w:sz w:val="23"/>
          <w:szCs w:val="23"/>
          <w:lang w:eastAsia="zh-CN"/>
        </w:rPr>
        <w:t>经济复苏的主要驱动力，企业利润的快速修复为工业生产的回暖提供了</w:t>
      </w:r>
      <w:r w:rsidR="008E4F23">
        <w:rPr>
          <w:rFonts w:hint="eastAsia"/>
          <w:sz w:val="23"/>
          <w:szCs w:val="23"/>
          <w:lang w:eastAsia="zh-CN"/>
        </w:rPr>
        <w:t>一定</w:t>
      </w:r>
      <w:bookmarkStart w:id="0" w:name="_GoBack"/>
      <w:bookmarkEnd w:id="0"/>
      <w:r w:rsidR="008E4F23" w:rsidRPr="008E4F23">
        <w:rPr>
          <w:rFonts w:hint="eastAsia"/>
          <w:sz w:val="23"/>
          <w:szCs w:val="23"/>
          <w:lang w:eastAsia="zh-CN"/>
        </w:rPr>
        <w:t>保障。</w:t>
      </w:r>
      <w:r w:rsidR="008E4F23">
        <w:rPr>
          <w:rFonts w:hint="eastAsia"/>
          <w:sz w:val="23"/>
          <w:szCs w:val="23"/>
          <w:lang w:eastAsia="zh-CN"/>
        </w:rPr>
        <w:t>后续考虑到，南方洪涝灾害持续恶化、政策对地产和权益市场持续关注、适度“降温”，下半年</w:t>
      </w:r>
      <w:r w:rsidR="008E4F23" w:rsidRPr="008E4F23">
        <w:rPr>
          <w:rFonts w:hint="eastAsia"/>
          <w:sz w:val="23"/>
          <w:szCs w:val="23"/>
          <w:lang w:eastAsia="zh-CN"/>
        </w:rPr>
        <w:t>经济恢复斜率</w:t>
      </w:r>
      <w:r w:rsidR="008E4F23">
        <w:rPr>
          <w:rFonts w:hint="eastAsia"/>
          <w:sz w:val="23"/>
          <w:szCs w:val="23"/>
          <w:lang w:eastAsia="zh-CN"/>
        </w:rPr>
        <w:t>可能边际放缓。此外，就业数据仍值得持续关注，居民部门修复节奏可能略弱，对消费投资修复恐将持续形成拖累</w:t>
      </w:r>
      <w:r w:rsidR="005C6C18">
        <w:rPr>
          <w:rFonts w:hint="eastAsia"/>
          <w:sz w:val="23"/>
          <w:szCs w:val="23"/>
          <w:lang w:eastAsia="zh-CN"/>
        </w:rPr>
        <w:t>。</w:t>
      </w:r>
    </w:p>
    <w:p w14:paraId="3DA4DF44" w14:textId="5259AC08" w:rsidR="00A56A98" w:rsidRDefault="008E4F23" w:rsidP="005C6C18">
      <w:pPr>
        <w:pStyle w:val="Body-text"/>
        <w:spacing w:after="240"/>
        <w:ind w:firstLine="480"/>
        <w:rPr>
          <w:sz w:val="23"/>
          <w:szCs w:val="23"/>
          <w:lang w:eastAsia="zh-CN"/>
        </w:rPr>
      </w:pPr>
      <w:r>
        <w:rPr>
          <w:rFonts w:hint="eastAsia"/>
          <w:sz w:val="23"/>
          <w:szCs w:val="23"/>
          <w:lang w:eastAsia="zh-CN"/>
        </w:rPr>
        <w:t>对于债市，当前</w:t>
      </w:r>
      <w:r w:rsidR="005C6C18">
        <w:rPr>
          <w:rFonts w:hint="eastAsia"/>
          <w:sz w:val="23"/>
          <w:szCs w:val="23"/>
          <w:lang w:eastAsia="zh-CN"/>
        </w:rPr>
        <w:t>经济基本面持续向好的整体态势得到有效验证，</w:t>
      </w:r>
      <w:r w:rsidR="005C6C18" w:rsidRPr="005C6C18">
        <w:rPr>
          <w:rFonts w:hint="eastAsia"/>
          <w:sz w:val="23"/>
          <w:szCs w:val="23"/>
          <w:lang w:eastAsia="zh-CN"/>
        </w:rPr>
        <w:t>逆周期政策延续发力之下，经济基本面的弱复苏格局有望延续，但数据修复速度</w:t>
      </w:r>
      <w:r w:rsidR="005C6C18">
        <w:rPr>
          <w:rFonts w:hint="eastAsia"/>
          <w:sz w:val="23"/>
          <w:szCs w:val="23"/>
          <w:lang w:eastAsia="zh-CN"/>
        </w:rPr>
        <w:t>出现</w:t>
      </w:r>
      <w:r w:rsidR="005C6C18" w:rsidRPr="005C6C18">
        <w:rPr>
          <w:rFonts w:hint="eastAsia"/>
          <w:sz w:val="23"/>
          <w:szCs w:val="23"/>
          <w:lang w:eastAsia="zh-CN"/>
        </w:rPr>
        <w:t>适度放缓的迹象</w:t>
      </w:r>
      <w:r w:rsidR="005C6C18">
        <w:rPr>
          <w:rFonts w:hint="eastAsia"/>
          <w:sz w:val="23"/>
          <w:szCs w:val="23"/>
          <w:lang w:eastAsia="zh-CN"/>
        </w:rPr>
        <w:t>。考虑到金融市场仍走在实体经济前面，但利率债品种已持续大幅调整近</w:t>
      </w:r>
      <w:r w:rsidR="005C6C18">
        <w:rPr>
          <w:rFonts w:hint="eastAsia"/>
          <w:sz w:val="23"/>
          <w:szCs w:val="23"/>
          <w:lang w:eastAsia="zh-CN"/>
        </w:rPr>
        <w:t>2</w:t>
      </w:r>
      <w:r w:rsidR="005C6C18">
        <w:rPr>
          <w:rFonts w:hint="eastAsia"/>
          <w:sz w:val="23"/>
          <w:szCs w:val="23"/>
          <w:lang w:eastAsia="zh-CN"/>
        </w:rPr>
        <w:t>月，</w:t>
      </w:r>
      <w:r w:rsidR="0078385F">
        <w:rPr>
          <w:rFonts w:hint="eastAsia"/>
          <w:sz w:val="23"/>
          <w:szCs w:val="23"/>
          <w:lang w:eastAsia="zh-CN"/>
        </w:rPr>
        <w:t>债市</w:t>
      </w:r>
      <w:r w:rsidR="005C6C18">
        <w:rPr>
          <w:rFonts w:hint="eastAsia"/>
          <w:sz w:val="23"/>
          <w:szCs w:val="23"/>
          <w:lang w:eastAsia="zh-CN"/>
        </w:rPr>
        <w:t>处于配置区间上区间，短期</w:t>
      </w:r>
      <w:r w:rsidR="00BD2383">
        <w:rPr>
          <w:rFonts w:hint="eastAsia"/>
          <w:sz w:val="23"/>
          <w:szCs w:val="23"/>
          <w:lang w:eastAsia="zh-CN"/>
        </w:rPr>
        <w:t>可能</w:t>
      </w:r>
      <w:r w:rsidR="0078385F">
        <w:rPr>
          <w:rFonts w:hint="eastAsia"/>
          <w:sz w:val="23"/>
          <w:szCs w:val="23"/>
          <w:lang w:eastAsia="zh-CN"/>
        </w:rPr>
        <w:t>出现一定</w:t>
      </w:r>
      <w:r w:rsidR="005C6C18">
        <w:rPr>
          <w:rFonts w:hint="eastAsia"/>
          <w:sz w:val="23"/>
          <w:szCs w:val="23"/>
          <w:lang w:eastAsia="zh-CN"/>
        </w:rPr>
        <w:lastRenderedPageBreak/>
        <w:t>博弈机会，中期</w:t>
      </w:r>
      <w:r w:rsidR="0078385F">
        <w:rPr>
          <w:rFonts w:hint="eastAsia"/>
          <w:sz w:val="23"/>
          <w:szCs w:val="23"/>
          <w:lang w:eastAsia="zh-CN"/>
        </w:rPr>
        <w:t>看</w:t>
      </w:r>
      <w:r w:rsidR="00BD2383">
        <w:rPr>
          <w:rFonts w:hint="eastAsia"/>
          <w:sz w:val="23"/>
          <w:szCs w:val="23"/>
          <w:lang w:eastAsia="zh-CN"/>
        </w:rPr>
        <w:t>尚</w:t>
      </w:r>
      <w:r w:rsidR="005C6C18">
        <w:rPr>
          <w:rFonts w:hint="eastAsia"/>
          <w:sz w:val="23"/>
          <w:szCs w:val="23"/>
          <w:lang w:eastAsia="zh-CN"/>
        </w:rPr>
        <w:t>处在宽幅震荡</w:t>
      </w:r>
      <w:r w:rsidR="00BD2383">
        <w:rPr>
          <w:rFonts w:hint="eastAsia"/>
          <w:sz w:val="23"/>
          <w:szCs w:val="23"/>
          <w:lang w:eastAsia="zh-CN"/>
        </w:rPr>
        <w:t>走势中</w:t>
      </w:r>
      <w:r w:rsidR="005C6C18">
        <w:rPr>
          <w:rFonts w:hint="eastAsia"/>
          <w:sz w:val="23"/>
          <w:szCs w:val="23"/>
          <w:lang w:eastAsia="zh-CN"/>
        </w:rPr>
        <w:t>，边际收紧的货币政策对利率</w:t>
      </w:r>
      <w:proofErr w:type="gramStart"/>
      <w:r w:rsidR="005C6C18">
        <w:rPr>
          <w:rFonts w:hint="eastAsia"/>
          <w:sz w:val="23"/>
          <w:szCs w:val="23"/>
          <w:lang w:eastAsia="zh-CN"/>
        </w:rPr>
        <w:t>债能否</w:t>
      </w:r>
      <w:proofErr w:type="gramEnd"/>
      <w:r w:rsidR="00BD2383">
        <w:rPr>
          <w:rFonts w:hint="eastAsia"/>
          <w:sz w:val="23"/>
          <w:szCs w:val="23"/>
          <w:lang w:eastAsia="zh-CN"/>
        </w:rPr>
        <w:t>进一步走出趋势性机会产生一定</w:t>
      </w:r>
      <w:r w:rsidR="005C6C18">
        <w:rPr>
          <w:rFonts w:hint="eastAsia"/>
          <w:sz w:val="23"/>
          <w:szCs w:val="23"/>
          <w:lang w:eastAsia="zh-CN"/>
        </w:rPr>
        <w:t>制约。</w:t>
      </w: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894D4D2"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2C4ACD">
        <w:rPr>
          <w:rFonts w:ascii="华文楷体" w:hAnsi="华文楷体" w:hint="eastAsia"/>
          <w:sz w:val="24"/>
          <w:szCs w:val="24"/>
          <w:lang w:eastAsia="zh-CN"/>
        </w:rPr>
        <w:t>净</w:t>
      </w:r>
      <w:r w:rsidR="00154D0E">
        <w:rPr>
          <w:rFonts w:ascii="华文楷体" w:hAnsi="华文楷体" w:hint="eastAsia"/>
          <w:sz w:val="24"/>
          <w:szCs w:val="24"/>
          <w:lang w:eastAsia="zh-CN"/>
        </w:rPr>
        <w:t>投放</w:t>
      </w:r>
      <w:r w:rsidR="00054072">
        <w:rPr>
          <w:rFonts w:ascii="华文楷体" w:hAnsi="华文楷体" w:hint="eastAsia"/>
          <w:sz w:val="24"/>
          <w:szCs w:val="24"/>
          <w:lang w:eastAsia="zh-CN"/>
        </w:rPr>
        <w:t>53</w:t>
      </w:r>
      <w:r w:rsidR="00B30DBF">
        <w:rPr>
          <w:rFonts w:ascii="华文楷体" w:hAnsi="华文楷体" w:hint="eastAsia"/>
          <w:sz w:val="24"/>
          <w:szCs w:val="24"/>
          <w:lang w:eastAsia="zh-CN"/>
        </w:rPr>
        <w:t>00</w:t>
      </w:r>
      <w:r w:rsidR="002C4ACD">
        <w:rPr>
          <w:rFonts w:ascii="华文楷体" w:hAnsi="华文楷体" w:hint="eastAsia"/>
          <w:sz w:val="24"/>
          <w:szCs w:val="24"/>
          <w:lang w:eastAsia="zh-CN"/>
        </w:rPr>
        <w:t>亿</w:t>
      </w:r>
      <w:r w:rsidR="00200AFA">
        <w:rPr>
          <w:rFonts w:ascii="华文楷体" w:hAnsi="华文楷体" w:hint="eastAsia"/>
          <w:sz w:val="24"/>
          <w:szCs w:val="24"/>
          <w:lang w:eastAsia="zh-CN"/>
        </w:rPr>
        <w:t>,其中</w:t>
      </w:r>
      <w:r w:rsidR="00054072">
        <w:rPr>
          <w:rFonts w:ascii="华文楷体" w:hAnsi="华文楷体" w:hint="eastAsia"/>
          <w:sz w:val="24"/>
          <w:szCs w:val="24"/>
          <w:lang w:eastAsia="zh-CN"/>
        </w:rPr>
        <w:t>MLF到期2000亿。</w:t>
      </w:r>
      <w:r w:rsidR="00854190">
        <w:rPr>
          <w:rFonts w:ascii="华文楷体" w:hAnsi="华文楷体" w:hint="eastAsia"/>
          <w:sz w:val="24"/>
          <w:szCs w:val="24"/>
          <w:lang w:eastAsia="zh-CN"/>
        </w:rPr>
        <w:t>本周</w:t>
      </w:r>
      <w:r w:rsidR="00DC4A12">
        <w:rPr>
          <w:rFonts w:ascii="华文楷体" w:hAnsi="华文楷体" w:hint="eastAsia"/>
          <w:sz w:val="24"/>
          <w:szCs w:val="24"/>
          <w:lang w:eastAsia="zh-CN"/>
        </w:rPr>
        <w:t>资金</w:t>
      </w:r>
      <w:r w:rsidR="00B30DBF">
        <w:rPr>
          <w:rFonts w:ascii="华文楷体" w:hAnsi="华文楷体" w:hint="eastAsia"/>
          <w:sz w:val="24"/>
          <w:szCs w:val="24"/>
          <w:lang w:eastAsia="zh-CN"/>
        </w:rPr>
        <w:t>利率</w:t>
      </w:r>
      <w:r w:rsidR="00054072">
        <w:rPr>
          <w:rFonts w:ascii="华文楷体" w:hAnsi="华文楷体" w:hint="eastAsia"/>
          <w:sz w:val="24"/>
          <w:szCs w:val="24"/>
          <w:lang w:eastAsia="zh-CN"/>
        </w:rPr>
        <w:t>持续</w:t>
      </w:r>
      <w:r w:rsidR="00B30DBF">
        <w:rPr>
          <w:rFonts w:ascii="华文楷体" w:hAnsi="华文楷体" w:hint="eastAsia"/>
          <w:sz w:val="24"/>
          <w:szCs w:val="24"/>
          <w:lang w:eastAsia="zh-CN"/>
        </w:rPr>
        <w:t>小幅抬升、</w:t>
      </w:r>
      <w:r w:rsidR="00054072">
        <w:rPr>
          <w:rFonts w:ascii="华文楷体" w:hAnsi="华文楷体" w:hint="eastAsia"/>
          <w:sz w:val="24"/>
          <w:szCs w:val="24"/>
          <w:lang w:eastAsia="zh-CN"/>
        </w:rPr>
        <w:t>受缴税影响</w:t>
      </w:r>
      <w:r w:rsidR="00B30DBF">
        <w:rPr>
          <w:rFonts w:ascii="华文楷体" w:hAnsi="华文楷体" w:hint="eastAsia"/>
          <w:sz w:val="24"/>
          <w:szCs w:val="24"/>
          <w:lang w:eastAsia="zh-CN"/>
        </w:rPr>
        <w:t>周</w:t>
      </w:r>
      <w:proofErr w:type="gramStart"/>
      <w:r w:rsidR="00B30DBF">
        <w:rPr>
          <w:rFonts w:ascii="华文楷体" w:hAnsi="华文楷体" w:hint="eastAsia"/>
          <w:sz w:val="24"/>
          <w:szCs w:val="24"/>
          <w:lang w:eastAsia="zh-CN"/>
        </w:rPr>
        <w:t>内</w:t>
      </w:r>
      <w:r w:rsidR="00054072">
        <w:rPr>
          <w:rFonts w:ascii="华文楷体" w:hAnsi="华文楷体" w:hint="eastAsia"/>
          <w:sz w:val="24"/>
          <w:szCs w:val="24"/>
          <w:lang w:eastAsia="zh-CN"/>
        </w:rPr>
        <w:t>延</w:t>
      </w:r>
      <w:proofErr w:type="gramEnd"/>
      <w:r w:rsidR="00054072">
        <w:rPr>
          <w:rFonts w:ascii="华文楷体" w:hAnsi="华文楷体" w:hint="eastAsia"/>
          <w:sz w:val="24"/>
          <w:szCs w:val="24"/>
          <w:lang w:eastAsia="zh-CN"/>
        </w:rPr>
        <w:t>续</w:t>
      </w:r>
      <w:r w:rsidR="00B30DBF">
        <w:rPr>
          <w:rFonts w:ascii="华文楷体" w:hAnsi="华文楷体" w:hint="eastAsia"/>
          <w:sz w:val="24"/>
          <w:szCs w:val="24"/>
          <w:lang w:eastAsia="zh-CN"/>
        </w:rPr>
        <w:t>高位震荡</w:t>
      </w:r>
      <w:r w:rsidR="00D9413F">
        <w:rPr>
          <w:rFonts w:ascii="华文楷体" w:hAnsi="华文楷体" w:hint="eastAsia"/>
          <w:sz w:val="24"/>
          <w:szCs w:val="24"/>
          <w:lang w:eastAsia="zh-CN"/>
        </w:rPr>
        <w:t>。</w:t>
      </w:r>
      <w:r w:rsidR="00200AFA">
        <w:rPr>
          <w:rFonts w:ascii="华文楷体" w:hAnsi="华文楷体" w:hint="eastAsia"/>
          <w:sz w:val="24"/>
          <w:szCs w:val="24"/>
          <w:lang w:eastAsia="zh-CN"/>
        </w:rPr>
        <w:t>周</w:t>
      </w:r>
      <w:r w:rsidR="00EC3415">
        <w:rPr>
          <w:rFonts w:ascii="华文楷体" w:hAnsi="华文楷体" w:hint="eastAsia"/>
          <w:sz w:val="24"/>
          <w:szCs w:val="24"/>
          <w:lang w:eastAsia="zh-CN"/>
        </w:rPr>
        <w:t>隔夜</w:t>
      </w:r>
      <w:r w:rsidR="00200AFA">
        <w:rPr>
          <w:rFonts w:ascii="华文楷体" w:hAnsi="华文楷体" w:hint="eastAsia"/>
          <w:sz w:val="24"/>
          <w:szCs w:val="24"/>
          <w:lang w:eastAsia="zh-CN"/>
        </w:rPr>
        <w:t>加权</w:t>
      </w:r>
      <w:r w:rsidR="00D9413F">
        <w:rPr>
          <w:rFonts w:ascii="华文楷体" w:hAnsi="华文楷体" w:hint="eastAsia"/>
          <w:sz w:val="24"/>
          <w:szCs w:val="24"/>
          <w:lang w:eastAsia="zh-CN"/>
        </w:rPr>
        <w:t>较上周</w:t>
      </w:r>
      <w:r w:rsidR="00B30DBF">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E14CF8">
        <w:rPr>
          <w:rFonts w:ascii="华文楷体" w:hAnsi="华文楷体" w:hint="eastAsia"/>
          <w:sz w:val="24"/>
          <w:szCs w:val="24"/>
          <w:lang w:eastAsia="zh-CN"/>
        </w:rPr>
        <w:t>18</w:t>
      </w:r>
      <w:r w:rsidR="00D9413F">
        <w:rPr>
          <w:rFonts w:ascii="华文楷体" w:hAnsi="华文楷体" w:hint="eastAsia"/>
          <w:sz w:val="24"/>
          <w:szCs w:val="24"/>
          <w:lang w:eastAsia="zh-CN"/>
        </w:rPr>
        <w:t>BP至</w:t>
      </w:r>
      <w:r w:rsidR="00E14CF8">
        <w:rPr>
          <w:rFonts w:ascii="华文楷体" w:hAnsi="华文楷体" w:hint="eastAsia"/>
          <w:sz w:val="24"/>
          <w:szCs w:val="24"/>
          <w:lang w:eastAsia="zh-CN"/>
        </w:rPr>
        <w:t>2.14</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E14CF8">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E14CF8">
        <w:rPr>
          <w:rFonts w:ascii="华文楷体" w:hAnsi="华文楷体" w:hint="eastAsia"/>
          <w:sz w:val="24"/>
          <w:szCs w:val="24"/>
          <w:lang w:eastAsia="zh-CN"/>
        </w:rPr>
        <w:t>17</w:t>
      </w:r>
      <w:r w:rsidR="00D9413F">
        <w:rPr>
          <w:rFonts w:ascii="华文楷体" w:hAnsi="华文楷体" w:hint="eastAsia"/>
          <w:sz w:val="24"/>
          <w:szCs w:val="24"/>
          <w:lang w:eastAsia="zh-CN"/>
        </w:rPr>
        <w:t>BP至</w:t>
      </w:r>
      <w:r w:rsidR="00154D0E">
        <w:rPr>
          <w:rFonts w:ascii="华文楷体" w:hAnsi="华文楷体" w:hint="eastAsia"/>
          <w:sz w:val="24"/>
          <w:szCs w:val="24"/>
          <w:lang w:eastAsia="zh-CN"/>
        </w:rPr>
        <w:t>2.</w:t>
      </w:r>
      <w:r w:rsidR="00E14CF8">
        <w:rPr>
          <w:rFonts w:ascii="华文楷体" w:hAnsi="华文楷体" w:hint="eastAsia"/>
          <w:sz w:val="24"/>
          <w:szCs w:val="24"/>
          <w:lang w:eastAsia="zh-CN"/>
        </w:rPr>
        <w:t>33</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操作与MLF</w:t>
      </w:r>
      <w:r w:rsidR="00E14CF8">
        <w:rPr>
          <w:rFonts w:ascii="华文楷体" w:hAnsi="华文楷体" w:hint="eastAsia"/>
          <w:sz w:val="24"/>
          <w:szCs w:val="24"/>
          <w:lang w:eastAsia="zh-CN"/>
        </w:rPr>
        <w:t>等</w:t>
      </w:r>
      <w:r w:rsidR="00854190">
        <w:rPr>
          <w:rFonts w:ascii="华文楷体" w:hAnsi="华文楷体" w:hint="eastAsia"/>
          <w:sz w:val="24"/>
          <w:szCs w:val="24"/>
          <w:lang w:eastAsia="zh-CN"/>
        </w:rPr>
        <w:t>合计到期</w:t>
      </w:r>
      <w:r w:rsidR="00E14CF8">
        <w:rPr>
          <w:rFonts w:ascii="华文楷体" w:hAnsi="华文楷体" w:hint="eastAsia"/>
          <w:sz w:val="24"/>
          <w:szCs w:val="24"/>
          <w:lang w:eastAsia="zh-CN"/>
        </w:rPr>
        <w:t>8277</w:t>
      </w:r>
      <w:r w:rsidR="00854190">
        <w:rPr>
          <w:rFonts w:ascii="华文楷体" w:hAnsi="华文楷体" w:hint="eastAsia"/>
          <w:sz w:val="24"/>
          <w:szCs w:val="24"/>
          <w:lang w:eastAsia="zh-CN"/>
        </w:rPr>
        <w:t>亿</w:t>
      </w:r>
      <w:r w:rsidR="009D5B8D" w:rsidRPr="009D5B8D">
        <w:rPr>
          <w:rFonts w:ascii="华文楷体" w:hAnsi="华文楷体" w:hint="eastAsia"/>
          <w:sz w:val="24"/>
          <w:szCs w:val="24"/>
          <w:lang w:eastAsia="zh-CN"/>
        </w:rPr>
        <w:t>，</w:t>
      </w:r>
      <w:r w:rsidR="00E14CF8">
        <w:rPr>
          <w:rFonts w:ascii="华文楷体" w:hAnsi="华文楷体" w:hint="eastAsia"/>
          <w:sz w:val="24"/>
          <w:szCs w:val="24"/>
          <w:lang w:eastAsia="zh-CN"/>
        </w:rPr>
        <w:t>到期</w:t>
      </w:r>
      <w:r w:rsidR="006438BB">
        <w:rPr>
          <w:rFonts w:ascii="华文楷体" w:hAnsi="华文楷体" w:hint="eastAsia"/>
          <w:sz w:val="24"/>
          <w:szCs w:val="24"/>
          <w:lang w:eastAsia="zh-CN"/>
        </w:rPr>
        <w:t>总量</w:t>
      </w:r>
      <w:r w:rsidR="00E14CF8">
        <w:rPr>
          <w:rFonts w:ascii="华文楷体" w:hAnsi="华文楷体" w:hint="eastAsia"/>
          <w:sz w:val="24"/>
          <w:szCs w:val="24"/>
          <w:lang w:eastAsia="zh-CN"/>
        </w:rPr>
        <w:t>略高</w:t>
      </w:r>
      <w:r w:rsidR="006438BB">
        <w:rPr>
          <w:rFonts w:ascii="华文楷体" w:hAnsi="华文楷体" w:hint="eastAsia"/>
          <w:sz w:val="24"/>
          <w:szCs w:val="24"/>
          <w:lang w:eastAsia="zh-CN"/>
        </w:rPr>
        <w:t>，</w:t>
      </w:r>
      <w:r w:rsidR="00CA0CD1">
        <w:rPr>
          <w:rFonts w:ascii="华文楷体" w:hAnsi="华文楷体" w:hint="eastAsia"/>
          <w:sz w:val="24"/>
          <w:szCs w:val="24"/>
          <w:lang w:eastAsia="zh-CN"/>
        </w:rPr>
        <w:t>关注央行MLF操作续作情况，本月MLF</w:t>
      </w:r>
      <w:r w:rsidR="00E14CF8">
        <w:rPr>
          <w:rFonts w:ascii="华文楷体" w:hAnsi="华文楷体" w:hint="eastAsia"/>
          <w:sz w:val="24"/>
          <w:szCs w:val="24"/>
          <w:lang w:eastAsia="zh-CN"/>
        </w:rPr>
        <w:t>已于15日续作，缴税扰动消退预计OMO可能适度回笼</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054072">
        <w:tblPrEx>
          <w:tblCellMar>
            <w:left w:w="108" w:type="dxa"/>
            <w:right w:w="108" w:type="dxa"/>
          </w:tblCellMar>
        </w:tblPrEx>
        <w:trPr>
          <w:jc w:val="center"/>
        </w:trPr>
        <w:tc>
          <w:tcPr>
            <w:tcW w:w="4939" w:type="dxa"/>
            <w:vAlign w:val="center"/>
          </w:tcPr>
          <w:p w14:paraId="60AEAEDC" w14:textId="3E6B189C" w:rsidR="00E0626C" w:rsidRPr="006438BB" w:rsidRDefault="00054072" w:rsidP="009A2BA0">
            <w:pPr>
              <w:jc w:val="center"/>
              <w:rPr>
                <w:noProof/>
                <w:sz w:val="14"/>
                <w:szCs w:val="14"/>
              </w:rPr>
            </w:pPr>
            <w:r>
              <w:rPr>
                <w:noProof/>
              </w:rPr>
              <w:drawing>
                <wp:inline distT="0" distB="0" distL="0" distR="0" wp14:anchorId="2D9BE2B4" wp14:editId="65791844">
                  <wp:extent cx="2999105" cy="1725792"/>
                  <wp:effectExtent l="0" t="0" r="0" b="8255"/>
                  <wp:docPr id="3" name="图表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493B526" w:rsidR="00E0626C" w:rsidRPr="007E0340" w:rsidRDefault="00054072" w:rsidP="009A2BA0">
            <w:pPr>
              <w:jc w:val="center"/>
              <w:rPr>
                <w:noProof/>
                <w:szCs w:val="18"/>
              </w:rPr>
            </w:pPr>
            <w:r>
              <w:rPr>
                <w:noProof/>
              </w:rPr>
              <w:drawing>
                <wp:inline distT="0" distB="0" distL="0" distR="0" wp14:anchorId="619961FF" wp14:editId="72E54939">
                  <wp:extent cx="3085106" cy="1733550"/>
                  <wp:effectExtent l="0" t="0" r="1270" b="0"/>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5DBD49F3"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880460">
        <w:rPr>
          <w:rFonts w:ascii="华文楷体" w:hAnsi="华文楷体" w:hint="eastAsia"/>
          <w:sz w:val="24"/>
          <w:szCs w:val="24"/>
          <w:lang w:eastAsia="zh-CN"/>
        </w:rPr>
        <w:t>曲线</w:t>
      </w:r>
      <w:r w:rsidR="00726781">
        <w:rPr>
          <w:rFonts w:ascii="华文楷体" w:hAnsi="华文楷体" w:hint="eastAsia"/>
          <w:sz w:val="24"/>
          <w:szCs w:val="24"/>
          <w:lang w:eastAsia="zh-CN"/>
        </w:rPr>
        <w:t>涨跌互现</w:t>
      </w:r>
      <w:r w:rsidR="00880460">
        <w:rPr>
          <w:rFonts w:ascii="华文楷体" w:hAnsi="华文楷体" w:hint="eastAsia"/>
          <w:sz w:val="24"/>
          <w:szCs w:val="24"/>
          <w:lang w:eastAsia="zh-CN"/>
        </w:rPr>
        <w:t>，</w:t>
      </w:r>
      <w:r w:rsidR="00726781">
        <w:rPr>
          <w:rFonts w:ascii="华文楷体" w:hAnsi="华文楷体" w:hint="eastAsia"/>
          <w:sz w:val="24"/>
          <w:szCs w:val="24"/>
          <w:lang w:eastAsia="zh-CN"/>
        </w:rPr>
        <w:t>期限利差适度收窄</w:t>
      </w:r>
      <w:r w:rsidR="00880460">
        <w:rPr>
          <w:rFonts w:ascii="华文楷体" w:hAnsi="华文楷体" w:hint="eastAsia"/>
          <w:sz w:val="24"/>
          <w:szCs w:val="24"/>
          <w:lang w:eastAsia="zh-CN"/>
        </w:rPr>
        <w:t>，</w:t>
      </w:r>
      <w:r w:rsidR="00726781">
        <w:rPr>
          <w:rFonts w:ascii="华文楷体" w:hAnsi="华文楷体" w:hint="eastAsia"/>
          <w:sz w:val="24"/>
          <w:szCs w:val="24"/>
          <w:lang w:eastAsia="zh-CN"/>
        </w:rPr>
        <w:t>国债品种相</w:t>
      </w:r>
      <w:proofErr w:type="gramStart"/>
      <w:r w:rsidR="00726781">
        <w:rPr>
          <w:rFonts w:ascii="华文楷体" w:hAnsi="华文楷体" w:hint="eastAsia"/>
          <w:sz w:val="24"/>
          <w:szCs w:val="24"/>
          <w:lang w:eastAsia="zh-CN"/>
        </w:rPr>
        <w:t>对证金债表现</w:t>
      </w:r>
      <w:proofErr w:type="gramEnd"/>
      <w:r w:rsidR="00726781">
        <w:rPr>
          <w:rFonts w:ascii="华文楷体" w:hAnsi="华文楷体" w:hint="eastAsia"/>
          <w:sz w:val="24"/>
          <w:szCs w:val="24"/>
          <w:lang w:eastAsia="zh-CN"/>
        </w:rPr>
        <w:t>略好</w:t>
      </w:r>
      <w:r w:rsidR="006438BB">
        <w:rPr>
          <w:rFonts w:ascii="华文楷体" w:hAnsi="华文楷体" w:hint="eastAsia"/>
          <w:sz w:val="24"/>
          <w:szCs w:val="24"/>
          <w:lang w:eastAsia="zh-CN"/>
        </w:rPr>
        <w:t>。</w:t>
      </w:r>
      <w:r w:rsidR="001F276D">
        <w:rPr>
          <w:rFonts w:ascii="华文楷体" w:hAnsi="华文楷体" w:hint="eastAsia"/>
          <w:sz w:val="24"/>
          <w:szCs w:val="24"/>
          <w:lang w:eastAsia="zh-CN"/>
        </w:rPr>
        <w:t>国债各期限品种，除3M</w:t>
      </w:r>
      <w:proofErr w:type="gramStart"/>
      <w:r w:rsidR="001F276D">
        <w:rPr>
          <w:rFonts w:ascii="华文楷体" w:hAnsi="华文楷体" w:hint="eastAsia"/>
          <w:sz w:val="24"/>
          <w:szCs w:val="24"/>
          <w:lang w:eastAsia="zh-CN"/>
        </w:rPr>
        <w:t>内品种</w:t>
      </w:r>
      <w:proofErr w:type="gramEnd"/>
      <w:r w:rsidR="001F276D">
        <w:rPr>
          <w:rFonts w:ascii="华文楷体" w:hAnsi="华文楷体" w:hint="eastAsia"/>
          <w:sz w:val="24"/>
          <w:szCs w:val="24"/>
          <w:lang w:eastAsia="zh-CN"/>
        </w:rPr>
        <w:t>受资金扰动影响适度上行外，1Y以上期限呈现明显修复行情，其中3Y品种下行最为明显，较上周下行18BP</w:t>
      </w:r>
      <w:r w:rsidR="008B3A04">
        <w:rPr>
          <w:rFonts w:ascii="华文楷体" w:hAnsi="华文楷体" w:hint="eastAsia"/>
          <w:sz w:val="24"/>
          <w:szCs w:val="24"/>
          <w:lang w:eastAsia="zh-CN"/>
        </w:rPr>
        <w:t>。</w:t>
      </w:r>
      <w:r w:rsidR="001F276D">
        <w:rPr>
          <w:rFonts w:ascii="华文楷体" w:hAnsi="华文楷体" w:hint="eastAsia"/>
          <w:sz w:val="24"/>
          <w:szCs w:val="24"/>
          <w:lang w:eastAsia="zh-CN"/>
        </w:rPr>
        <w:t>国开债品种整体走势与国债类似，但幅度较小，3Y品种下行5BP左右，10Y品种反较上周小幅上行2BP，同期限国债走势出现一定背离。</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1F276D">
        <w:rPr>
          <w:rFonts w:ascii="华文楷体" w:hAnsi="华文楷体" w:hint="eastAsia"/>
          <w:sz w:val="24"/>
          <w:szCs w:val="24"/>
          <w:lang w:eastAsia="zh-CN"/>
        </w:rPr>
        <w:t>下</w:t>
      </w:r>
      <w:r w:rsidR="00C02867">
        <w:rPr>
          <w:rFonts w:ascii="华文楷体" w:hAnsi="华文楷体" w:hint="eastAsia"/>
          <w:sz w:val="24"/>
          <w:szCs w:val="24"/>
          <w:lang w:eastAsia="zh-CN"/>
        </w:rPr>
        <w:t>行</w:t>
      </w:r>
      <w:r w:rsidR="001F276D">
        <w:rPr>
          <w:rFonts w:ascii="华文楷体" w:hAnsi="华文楷体" w:hint="eastAsia"/>
          <w:sz w:val="24"/>
          <w:szCs w:val="24"/>
          <w:lang w:eastAsia="zh-CN"/>
        </w:rPr>
        <w:t>8</w:t>
      </w:r>
      <w:r w:rsidR="00880460">
        <w:rPr>
          <w:rFonts w:ascii="华文楷体" w:hAnsi="华文楷体" w:hint="eastAsia"/>
          <w:sz w:val="24"/>
          <w:szCs w:val="24"/>
          <w:lang w:eastAsia="zh-CN"/>
        </w:rPr>
        <w:t>BP至</w:t>
      </w:r>
      <w:r w:rsidR="001F276D">
        <w:rPr>
          <w:rFonts w:ascii="华文楷体" w:hAnsi="华文楷体" w:hint="eastAsia"/>
          <w:sz w:val="24"/>
          <w:szCs w:val="24"/>
          <w:lang w:eastAsia="zh-CN"/>
        </w:rPr>
        <w:t>2.95</w:t>
      </w:r>
      <w:r w:rsidR="00880460">
        <w:rPr>
          <w:rFonts w:ascii="华文楷体" w:hAnsi="华文楷体" w:hint="eastAsia"/>
          <w:sz w:val="24"/>
          <w:szCs w:val="24"/>
          <w:lang w:eastAsia="zh-CN"/>
        </w:rPr>
        <w:t>%</w:t>
      </w:r>
      <w:r w:rsidR="0092340D">
        <w:rPr>
          <w:rFonts w:ascii="华文楷体" w:hAnsi="华文楷体" w:hint="eastAsia"/>
          <w:sz w:val="24"/>
          <w:szCs w:val="24"/>
          <w:lang w:eastAsia="zh-CN"/>
        </w:rPr>
        <w:t>，10Y</w:t>
      </w:r>
      <w:r w:rsidR="00202D86">
        <w:rPr>
          <w:rFonts w:ascii="华文楷体" w:hAnsi="华文楷体" w:hint="eastAsia"/>
          <w:sz w:val="24"/>
          <w:szCs w:val="24"/>
          <w:lang w:eastAsia="zh-CN"/>
        </w:rPr>
        <w:t>国开</w:t>
      </w:r>
      <w:r w:rsidR="00880460">
        <w:rPr>
          <w:rFonts w:ascii="华文楷体" w:hAnsi="华文楷体" w:hint="eastAsia"/>
          <w:sz w:val="24"/>
          <w:szCs w:val="24"/>
          <w:lang w:eastAsia="zh-CN"/>
        </w:rPr>
        <w:t>上行</w:t>
      </w:r>
      <w:r w:rsidR="001F276D">
        <w:rPr>
          <w:rFonts w:ascii="华文楷体" w:hAnsi="华文楷体" w:hint="eastAsia"/>
          <w:sz w:val="24"/>
          <w:szCs w:val="24"/>
          <w:lang w:eastAsia="zh-CN"/>
        </w:rPr>
        <w:t>1.8</w:t>
      </w:r>
      <w:r w:rsidR="00880460">
        <w:rPr>
          <w:rFonts w:ascii="华文楷体" w:hAnsi="华文楷体" w:hint="eastAsia"/>
          <w:sz w:val="24"/>
          <w:szCs w:val="24"/>
          <w:lang w:eastAsia="zh-CN"/>
        </w:rPr>
        <w:t>BP至3</w:t>
      </w:r>
      <w:r w:rsidR="001F276D">
        <w:rPr>
          <w:rFonts w:ascii="华文楷体" w:hAnsi="华文楷体" w:hint="eastAsia"/>
          <w:sz w:val="24"/>
          <w:szCs w:val="24"/>
          <w:lang w:eastAsia="zh-CN"/>
        </w:rPr>
        <w:t>.44</w:t>
      </w:r>
      <w:r w:rsidR="00880460">
        <w:rPr>
          <w:rFonts w:ascii="华文楷体" w:hAnsi="华文楷体" w:hint="eastAsia"/>
          <w:sz w:val="24"/>
          <w:szCs w:val="24"/>
          <w:lang w:eastAsia="zh-CN"/>
        </w:rPr>
        <w:t>%</w:t>
      </w:r>
      <w:r w:rsidR="0092340D">
        <w:rPr>
          <w:rFonts w:ascii="华文楷体" w:hAnsi="华文楷体" w:hint="eastAsia"/>
          <w:sz w:val="24"/>
          <w:szCs w:val="24"/>
          <w:lang w:eastAsia="zh-CN"/>
        </w:rPr>
        <w:t>，</w:t>
      </w:r>
      <w:r w:rsidR="001163A3">
        <w:rPr>
          <w:rFonts w:ascii="华文楷体" w:hAnsi="华文楷体" w:hint="eastAsia"/>
          <w:sz w:val="24"/>
          <w:szCs w:val="24"/>
          <w:lang w:eastAsia="zh-CN"/>
        </w:rPr>
        <w:t>本周国债、地方债和政策性</w:t>
      </w:r>
      <w:proofErr w:type="gramStart"/>
      <w:r w:rsidR="001163A3">
        <w:rPr>
          <w:rFonts w:ascii="华文楷体" w:hAnsi="华文楷体" w:hint="eastAsia"/>
          <w:sz w:val="24"/>
          <w:szCs w:val="24"/>
          <w:lang w:eastAsia="zh-CN"/>
        </w:rPr>
        <w:t>金融债总发行量</w:t>
      </w:r>
      <w:proofErr w:type="gramEnd"/>
      <w:r w:rsidR="00880460">
        <w:rPr>
          <w:rFonts w:ascii="华文楷体" w:hAnsi="华文楷体" w:hint="eastAsia"/>
          <w:sz w:val="24"/>
          <w:szCs w:val="24"/>
          <w:lang w:eastAsia="zh-CN"/>
        </w:rPr>
        <w:t>3</w:t>
      </w:r>
      <w:r w:rsidR="001F276D">
        <w:rPr>
          <w:rFonts w:ascii="华文楷体" w:hAnsi="华文楷体" w:hint="eastAsia"/>
          <w:sz w:val="24"/>
          <w:szCs w:val="24"/>
          <w:lang w:eastAsia="zh-CN"/>
        </w:rPr>
        <w:t>565.75</w:t>
      </w:r>
      <w:r w:rsidR="001163A3">
        <w:rPr>
          <w:rFonts w:ascii="华文楷体" w:hAnsi="华文楷体" w:hint="eastAsia"/>
          <w:sz w:val="24"/>
          <w:szCs w:val="24"/>
          <w:lang w:eastAsia="zh-CN"/>
        </w:rPr>
        <w:t>亿，到期量</w:t>
      </w:r>
      <w:r w:rsidR="00880460">
        <w:rPr>
          <w:rFonts w:ascii="华文楷体" w:hAnsi="华文楷体" w:hint="eastAsia"/>
          <w:sz w:val="24"/>
          <w:szCs w:val="24"/>
          <w:lang w:eastAsia="zh-CN"/>
        </w:rPr>
        <w:t>1</w:t>
      </w:r>
      <w:r w:rsidR="001F276D">
        <w:rPr>
          <w:rFonts w:ascii="华文楷体" w:hAnsi="华文楷体" w:hint="eastAsia"/>
          <w:sz w:val="24"/>
          <w:szCs w:val="24"/>
          <w:lang w:eastAsia="zh-CN"/>
        </w:rPr>
        <w:t>486.1</w:t>
      </w:r>
      <w:r w:rsidR="001163A3">
        <w:rPr>
          <w:rFonts w:ascii="华文楷体" w:hAnsi="华文楷体" w:hint="eastAsia"/>
          <w:sz w:val="24"/>
          <w:szCs w:val="24"/>
          <w:lang w:eastAsia="zh-CN"/>
        </w:rPr>
        <w:t>亿，净融资</w:t>
      </w:r>
      <w:r w:rsidR="001F276D">
        <w:rPr>
          <w:rFonts w:ascii="华文楷体" w:hAnsi="华文楷体" w:hint="eastAsia"/>
          <w:sz w:val="24"/>
          <w:szCs w:val="24"/>
          <w:lang w:eastAsia="zh-CN"/>
        </w:rPr>
        <w:t>2079.65</w:t>
      </w:r>
      <w:r w:rsidR="001163A3">
        <w:rPr>
          <w:rFonts w:ascii="华文楷体" w:hAnsi="华文楷体" w:hint="eastAsia"/>
          <w:sz w:val="24"/>
          <w:szCs w:val="24"/>
          <w:lang w:eastAsia="zh-CN"/>
        </w:rPr>
        <w:t>亿</w:t>
      </w:r>
      <w:r w:rsidR="00202D86">
        <w:rPr>
          <w:rFonts w:ascii="华文楷体" w:hAnsi="华文楷体" w:hint="eastAsia"/>
          <w:sz w:val="24"/>
          <w:szCs w:val="24"/>
          <w:lang w:eastAsia="zh-CN"/>
        </w:rPr>
        <w:t>。</w:t>
      </w:r>
      <w:r w:rsidR="000C5FDB">
        <w:rPr>
          <w:rFonts w:ascii="华文楷体" w:hAnsi="华文楷体" w:hint="eastAsia"/>
          <w:sz w:val="24"/>
          <w:szCs w:val="24"/>
          <w:lang w:eastAsia="zh-CN"/>
        </w:rPr>
        <w:t>根据当前</w:t>
      </w:r>
      <w:r w:rsidR="007E6905">
        <w:rPr>
          <w:rFonts w:ascii="华文楷体" w:hAnsi="华文楷体" w:hint="eastAsia"/>
          <w:sz w:val="24"/>
          <w:szCs w:val="24"/>
          <w:lang w:eastAsia="zh-CN"/>
        </w:rPr>
        <w:t>发行计划显示</w:t>
      </w:r>
      <w:r w:rsidR="000C5FDB">
        <w:rPr>
          <w:rFonts w:ascii="华文楷体" w:hAnsi="华文楷体" w:hint="eastAsia"/>
          <w:sz w:val="24"/>
          <w:szCs w:val="24"/>
          <w:lang w:eastAsia="zh-CN"/>
        </w:rPr>
        <w:t>，下周</w:t>
      </w:r>
      <w:r w:rsidR="007E6905">
        <w:rPr>
          <w:rFonts w:ascii="华文楷体" w:hAnsi="华文楷体" w:hint="eastAsia"/>
          <w:sz w:val="24"/>
          <w:szCs w:val="24"/>
          <w:lang w:eastAsia="zh-CN"/>
        </w:rPr>
        <w:t>发行量</w:t>
      </w:r>
      <w:r w:rsidR="001F276D">
        <w:rPr>
          <w:rFonts w:ascii="华文楷体" w:hAnsi="华文楷体" w:hint="eastAsia"/>
          <w:sz w:val="24"/>
          <w:szCs w:val="24"/>
          <w:lang w:eastAsia="zh-CN"/>
        </w:rPr>
        <w:t>1785.35</w:t>
      </w:r>
      <w:r w:rsidR="007E6905">
        <w:rPr>
          <w:rFonts w:ascii="华文楷体" w:hAnsi="华文楷体" w:hint="eastAsia"/>
          <w:sz w:val="24"/>
          <w:szCs w:val="24"/>
          <w:lang w:eastAsia="zh-CN"/>
        </w:rPr>
        <w:t>亿，到期量</w:t>
      </w:r>
      <w:r w:rsidR="001F276D">
        <w:rPr>
          <w:rFonts w:ascii="华文楷体" w:hAnsi="华文楷体" w:hint="eastAsia"/>
          <w:sz w:val="24"/>
          <w:szCs w:val="24"/>
          <w:lang w:eastAsia="zh-CN"/>
        </w:rPr>
        <w:t>653.21</w:t>
      </w:r>
      <w:r w:rsidR="007E6905">
        <w:rPr>
          <w:rFonts w:ascii="华文楷体" w:hAnsi="华文楷体" w:hint="eastAsia"/>
          <w:sz w:val="24"/>
          <w:szCs w:val="24"/>
          <w:lang w:eastAsia="zh-CN"/>
        </w:rPr>
        <w:t>亿，净融资</w:t>
      </w:r>
      <w:r w:rsidR="0008760B">
        <w:rPr>
          <w:rFonts w:ascii="华文楷体" w:hAnsi="华文楷体" w:hint="eastAsia"/>
          <w:sz w:val="24"/>
          <w:szCs w:val="24"/>
          <w:lang w:eastAsia="zh-CN"/>
        </w:rPr>
        <w:t>1</w:t>
      </w:r>
      <w:r w:rsidR="001F276D">
        <w:rPr>
          <w:rFonts w:ascii="华文楷体" w:hAnsi="华文楷体" w:hint="eastAsia"/>
          <w:sz w:val="24"/>
          <w:szCs w:val="24"/>
          <w:lang w:eastAsia="zh-CN"/>
        </w:rPr>
        <w:t>132.14</w:t>
      </w:r>
      <w:r w:rsidR="007E6905">
        <w:rPr>
          <w:rFonts w:ascii="华文楷体" w:hAnsi="华文楷体" w:hint="eastAsia"/>
          <w:sz w:val="24"/>
          <w:szCs w:val="24"/>
          <w:lang w:eastAsia="zh-CN"/>
        </w:rPr>
        <w:t>亿。</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726781">
        <w:tblPrEx>
          <w:tblCellMar>
            <w:left w:w="108" w:type="dxa"/>
            <w:right w:w="108" w:type="dxa"/>
          </w:tblCellMar>
        </w:tblPrEx>
        <w:trPr>
          <w:jc w:val="center"/>
        </w:trPr>
        <w:tc>
          <w:tcPr>
            <w:tcW w:w="4939" w:type="dxa"/>
            <w:vAlign w:val="center"/>
          </w:tcPr>
          <w:p w14:paraId="678C97B0" w14:textId="1EA9DA1E" w:rsidR="00E0626C" w:rsidRPr="007E0340" w:rsidRDefault="00726781" w:rsidP="002104B2">
            <w:pPr>
              <w:rPr>
                <w:noProof/>
              </w:rPr>
            </w:pPr>
            <w:r w:rsidRPr="00726781">
              <w:rPr>
                <w:noProof/>
                <w:sz w:val="16"/>
              </w:rPr>
              <w:drawing>
                <wp:inline distT="0" distB="0" distL="0" distR="0" wp14:anchorId="7521692B" wp14:editId="5E20629B">
                  <wp:extent cx="2999105" cy="1750502"/>
                  <wp:effectExtent l="0" t="0" r="0" b="254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3F568887" w:rsidR="00E0626C" w:rsidRPr="007E0340" w:rsidRDefault="00726781" w:rsidP="009A2BA0">
            <w:pPr>
              <w:jc w:val="center"/>
              <w:rPr>
                <w:noProof/>
                <w:szCs w:val="18"/>
              </w:rPr>
            </w:pPr>
            <w:r>
              <w:rPr>
                <w:noProof/>
              </w:rPr>
              <w:drawing>
                <wp:inline distT="0" distB="0" distL="0" distR="0" wp14:anchorId="75C0692C" wp14:editId="1B73CF1E">
                  <wp:extent cx="2998470" cy="1737553"/>
                  <wp:effectExtent l="0" t="0" r="0" b="0"/>
                  <wp:docPr id="7" name="图表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lastRenderedPageBreak/>
        <w:t>3</w:t>
      </w:r>
      <w:r>
        <w:rPr>
          <w:rFonts w:hint="eastAsia"/>
          <w:sz w:val="28"/>
          <w:szCs w:val="21"/>
          <w:lang w:eastAsia="zh-CN"/>
        </w:rPr>
        <w:t>、</w:t>
      </w:r>
      <w:r>
        <w:rPr>
          <w:rFonts w:hint="eastAsia"/>
          <w:sz w:val="28"/>
          <w:szCs w:val="21"/>
        </w:rPr>
        <w:t>信用债</w:t>
      </w:r>
    </w:p>
    <w:p w14:paraId="63B7E22F" w14:textId="37E80387"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807490">
        <w:rPr>
          <w:rFonts w:ascii="华文楷体" w:hAnsi="华文楷体" w:hint="eastAsia"/>
          <w:sz w:val="24"/>
          <w:szCs w:val="24"/>
          <w:lang w:eastAsia="zh-CN"/>
        </w:rPr>
        <w:t>信用品种</w:t>
      </w:r>
      <w:r w:rsidR="0083308F">
        <w:rPr>
          <w:rFonts w:ascii="华文楷体" w:hAnsi="华文楷体" w:hint="eastAsia"/>
          <w:sz w:val="24"/>
          <w:szCs w:val="24"/>
          <w:lang w:eastAsia="zh-CN"/>
        </w:rPr>
        <w:t>整体适度调整</w:t>
      </w:r>
      <w:r w:rsidR="004D1342">
        <w:rPr>
          <w:rFonts w:ascii="华文楷体" w:hAnsi="华文楷体" w:hint="eastAsia"/>
          <w:sz w:val="24"/>
          <w:szCs w:val="24"/>
          <w:lang w:eastAsia="zh-CN"/>
        </w:rPr>
        <w:t>，</w:t>
      </w:r>
      <w:r w:rsidR="0083308F">
        <w:rPr>
          <w:rFonts w:ascii="华文楷体" w:hAnsi="华文楷体" w:hint="eastAsia"/>
          <w:sz w:val="24"/>
          <w:szCs w:val="24"/>
          <w:lang w:eastAsia="zh-CN"/>
        </w:rPr>
        <w:t>其中3Y和7Y品种调整幅度相对其他期限明显</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305223" w:rsidRPr="00305223">
        <w:rPr>
          <w:rFonts w:ascii="华文楷体" w:hAnsi="华文楷体" w:hint="eastAsia"/>
          <w:sz w:val="24"/>
          <w:szCs w:val="24"/>
          <w:lang w:eastAsia="zh-CN"/>
        </w:rPr>
        <w:t>中短期票据</w:t>
      </w:r>
      <w:r w:rsidR="0083308F">
        <w:rPr>
          <w:rFonts w:ascii="华文楷体" w:hAnsi="华文楷体" w:hint="eastAsia"/>
          <w:sz w:val="24"/>
          <w:szCs w:val="24"/>
          <w:lang w:eastAsia="zh-CN"/>
        </w:rPr>
        <w:t>震荡为主</w:t>
      </w:r>
      <w:r w:rsidR="004D1342">
        <w:rPr>
          <w:rFonts w:ascii="华文楷体" w:hAnsi="华文楷体" w:hint="eastAsia"/>
          <w:sz w:val="24"/>
          <w:szCs w:val="24"/>
          <w:lang w:eastAsia="zh-CN"/>
        </w:rPr>
        <w:t>；</w:t>
      </w:r>
      <w:r w:rsidR="00440CFF">
        <w:rPr>
          <w:rFonts w:ascii="华文楷体" w:hAnsi="华文楷体" w:hint="eastAsia"/>
          <w:sz w:val="24"/>
          <w:szCs w:val="24"/>
          <w:lang w:eastAsia="zh-CN"/>
        </w:rPr>
        <w:t>中长期</w:t>
      </w:r>
      <w:r w:rsidR="00EE7787">
        <w:rPr>
          <w:rFonts w:ascii="华文楷体" w:hAnsi="华文楷体" w:hint="eastAsia"/>
          <w:sz w:val="24"/>
          <w:szCs w:val="24"/>
          <w:lang w:eastAsia="zh-CN"/>
        </w:rPr>
        <w:t>中票、企业债品种</w:t>
      </w:r>
      <w:r w:rsidR="0083308F">
        <w:rPr>
          <w:rFonts w:ascii="华文楷体" w:hAnsi="华文楷体" w:hint="eastAsia"/>
          <w:sz w:val="24"/>
          <w:szCs w:val="24"/>
          <w:lang w:eastAsia="zh-CN"/>
        </w:rPr>
        <w:t>3</w:t>
      </w:r>
      <w:r w:rsidR="004D1342">
        <w:rPr>
          <w:rFonts w:ascii="华文楷体" w:hAnsi="华文楷体" w:hint="eastAsia"/>
          <w:sz w:val="24"/>
          <w:szCs w:val="24"/>
          <w:lang w:eastAsia="zh-CN"/>
        </w:rPr>
        <w:t>年</w:t>
      </w:r>
      <w:r w:rsidR="00EE7787">
        <w:rPr>
          <w:rFonts w:ascii="华文楷体" w:hAnsi="华文楷体" w:hint="eastAsia"/>
          <w:sz w:val="24"/>
          <w:szCs w:val="24"/>
          <w:lang w:eastAsia="zh-CN"/>
        </w:rPr>
        <w:t>期上行</w:t>
      </w:r>
      <w:r w:rsidR="0083308F">
        <w:rPr>
          <w:rFonts w:ascii="华文楷体" w:hAnsi="华文楷体" w:hint="eastAsia"/>
          <w:sz w:val="24"/>
          <w:szCs w:val="24"/>
          <w:lang w:eastAsia="zh-CN"/>
        </w:rPr>
        <w:t>4-5</w:t>
      </w:r>
      <w:r w:rsidR="00EE7787">
        <w:rPr>
          <w:rFonts w:ascii="华文楷体" w:hAnsi="华文楷体" w:hint="eastAsia"/>
          <w:sz w:val="24"/>
          <w:szCs w:val="24"/>
          <w:lang w:eastAsia="zh-CN"/>
        </w:rPr>
        <w:t>BP，7年期上行</w:t>
      </w:r>
      <w:r w:rsidR="0083308F">
        <w:rPr>
          <w:rFonts w:ascii="华文楷体" w:hAnsi="华文楷体" w:hint="eastAsia"/>
          <w:sz w:val="24"/>
          <w:szCs w:val="24"/>
          <w:lang w:eastAsia="zh-CN"/>
        </w:rPr>
        <w:t>7</w:t>
      </w:r>
      <w:r w:rsidR="00EE7787">
        <w:rPr>
          <w:rFonts w:ascii="华文楷体" w:hAnsi="华文楷体" w:hint="eastAsia"/>
          <w:sz w:val="24"/>
          <w:szCs w:val="24"/>
          <w:lang w:eastAsia="zh-CN"/>
        </w:rPr>
        <w:t>BP</w:t>
      </w:r>
      <w:r w:rsidR="004D1342">
        <w:rPr>
          <w:rFonts w:ascii="华文楷体" w:hAnsi="华文楷体" w:hint="eastAsia"/>
          <w:sz w:val="24"/>
          <w:szCs w:val="24"/>
          <w:lang w:eastAsia="zh-CN"/>
        </w:rPr>
        <w:t>；</w:t>
      </w:r>
      <w:proofErr w:type="gramStart"/>
      <w:r w:rsidR="004D1342">
        <w:rPr>
          <w:rFonts w:ascii="华文楷体" w:hAnsi="华文楷体" w:hint="eastAsia"/>
          <w:sz w:val="24"/>
          <w:szCs w:val="24"/>
          <w:lang w:eastAsia="zh-CN"/>
        </w:rPr>
        <w:t>城投债</w:t>
      </w:r>
      <w:r w:rsidR="00EE7787">
        <w:rPr>
          <w:rFonts w:ascii="华文楷体" w:hAnsi="华文楷体" w:hint="eastAsia"/>
          <w:sz w:val="24"/>
          <w:szCs w:val="24"/>
          <w:lang w:eastAsia="zh-CN"/>
        </w:rPr>
        <w:t>方面</w:t>
      </w:r>
      <w:proofErr w:type="gramEnd"/>
      <w:r w:rsidR="00EE7787">
        <w:rPr>
          <w:rFonts w:ascii="华文楷体" w:hAnsi="华文楷体" w:hint="eastAsia"/>
          <w:sz w:val="24"/>
          <w:szCs w:val="24"/>
          <w:lang w:eastAsia="zh-CN"/>
        </w:rPr>
        <w:t>，3</w:t>
      </w:r>
      <w:r w:rsidR="004D1342">
        <w:rPr>
          <w:rFonts w:ascii="华文楷体" w:hAnsi="华文楷体" w:hint="eastAsia"/>
          <w:sz w:val="24"/>
          <w:szCs w:val="24"/>
          <w:lang w:eastAsia="zh-CN"/>
        </w:rPr>
        <w:t>年</w:t>
      </w:r>
      <w:r w:rsidR="00440CFF">
        <w:rPr>
          <w:rFonts w:ascii="华文楷体" w:hAnsi="华文楷体" w:hint="eastAsia"/>
          <w:sz w:val="24"/>
          <w:szCs w:val="24"/>
          <w:lang w:eastAsia="zh-CN"/>
        </w:rPr>
        <w:t>城投</w:t>
      </w:r>
      <w:r w:rsidR="0083308F">
        <w:rPr>
          <w:rFonts w:ascii="华文楷体" w:hAnsi="华文楷体" w:hint="eastAsia"/>
          <w:sz w:val="24"/>
          <w:szCs w:val="24"/>
          <w:lang w:eastAsia="zh-CN"/>
        </w:rPr>
        <w:t>本周持续上行，</w:t>
      </w:r>
      <w:r w:rsidR="00EE7787">
        <w:rPr>
          <w:rFonts w:ascii="华文楷体" w:hAnsi="华文楷体" w:hint="eastAsia"/>
          <w:sz w:val="24"/>
          <w:szCs w:val="24"/>
          <w:lang w:eastAsia="zh-CN"/>
        </w:rPr>
        <w:t>幅度在</w:t>
      </w:r>
      <w:r w:rsidR="0083308F">
        <w:rPr>
          <w:rFonts w:ascii="华文楷体" w:hAnsi="华文楷体" w:hint="eastAsia"/>
          <w:sz w:val="24"/>
          <w:szCs w:val="24"/>
          <w:lang w:eastAsia="zh-CN"/>
        </w:rPr>
        <w:t>6-10</w:t>
      </w:r>
      <w:r w:rsidR="00EE7787">
        <w:rPr>
          <w:rFonts w:ascii="华文楷体" w:hAnsi="华文楷体" w:hint="eastAsia"/>
          <w:sz w:val="24"/>
          <w:szCs w:val="24"/>
          <w:lang w:eastAsia="zh-CN"/>
        </w:rPr>
        <w:t>BP</w:t>
      </w:r>
      <w:r w:rsidR="0083308F">
        <w:rPr>
          <w:rFonts w:ascii="华文楷体" w:hAnsi="华文楷体" w:hint="eastAsia"/>
          <w:sz w:val="24"/>
          <w:szCs w:val="24"/>
          <w:lang w:eastAsia="zh-CN"/>
        </w:rPr>
        <w:t>，AA+品种上行明显</w:t>
      </w:r>
      <w:r w:rsidR="004D1342">
        <w:rPr>
          <w:rFonts w:ascii="华文楷体" w:hAnsi="华文楷体" w:hint="eastAsia"/>
          <w:sz w:val="24"/>
          <w:szCs w:val="24"/>
          <w:lang w:eastAsia="zh-CN"/>
        </w:rPr>
        <w:t>。</w:t>
      </w:r>
      <w:r w:rsidR="007275B2">
        <w:rPr>
          <w:rFonts w:ascii="华文楷体" w:hAnsi="华文楷体" w:hint="eastAsia"/>
          <w:sz w:val="24"/>
          <w:szCs w:val="24"/>
          <w:lang w:eastAsia="zh-CN"/>
        </w:rPr>
        <w:t>收益率绝对水平来看，各期限品种</w:t>
      </w:r>
      <w:r w:rsidR="0083308F">
        <w:rPr>
          <w:rFonts w:ascii="华文楷体" w:hAnsi="华文楷体" w:hint="eastAsia"/>
          <w:sz w:val="24"/>
          <w:szCs w:val="24"/>
          <w:lang w:eastAsia="zh-CN"/>
        </w:rPr>
        <w:t>仍大体</w:t>
      </w:r>
      <w:r w:rsidR="008D33AB">
        <w:rPr>
          <w:rFonts w:ascii="华文楷体" w:hAnsi="华文楷体" w:hint="eastAsia"/>
          <w:sz w:val="24"/>
          <w:szCs w:val="24"/>
          <w:lang w:eastAsia="zh-CN"/>
        </w:rPr>
        <w:t>维持在</w:t>
      </w:r>
      <w:r w:rsidR="00EE7787">
        <w:rPr>
          <w:rFonts w:ascii="华文楷体" w:hAnsi="华文楷体" w:hint="eastAsia"/>
          <w:sz w:val="24"/>
          <w:szCs w:val="24"/>
          <w:lang w:eastAsia="zh-CN"/>
        </w:rPr>
        <w:t>20-30</w:t>
      </w:r>
      <w:r w:rsidR="007275B2">
        <w:rPr>
          <w:rFonts w:ascii="华文楷体" w:hAnsi="华文楷体" w:hint="eastAsia"/>
          <w:sz w:val="24"/>
          <w:szCs w:val="24"/>
          <w:lang w:eastAsia="zh-CN"/>
        </w:rPr>
        <w:t>%分位</w:t>
      </w:r>
      <w:r w:rsidR="00C02867">
        <w:rPr>
          <w:rFonts w:ascii="华文楷体" w:hAnsi="华文楷体" w:hint="eastAsia"/>
          <w:sz w:val="24"/>
          <w:szCs w:val="24"/>
          <w:lang w:eastAsia="zh-CN"/>
        </w:rPr>
        <w:t>区间</w:t>
      </w:r>
      <w:r w:rsidR="008D33AB">
        <w:rPr>
          <w:rFonts w:ascii="华文楷体" w:hAnsi="华文楷体" w:hint="eastAsia"/>
          <w:sz w:val="24"/>
          <w:szCs w:val="24"/>
          <w:lang w:eastAsia="zh-CN"/>
        </w:rPr>
        <w:t>，息</w:t>
      </w:r>
      <w:proofErr w:type="gramStart"/>
      <w:r w:rsidR="008D33AB">
        <w:rPr>
          <w:rFonts w:ascii="华文楷体" w:hAnsi="华文楷体" w:hint="eastAsia"/>
          <w:sz w:val="24"/>
          <w:szCs w:val="24"/>
          <w:lang w:eastAsia="zh-CN"/>
        </w:rPr>
        <w:t>差</w:t>
      </w:r>
      <w:r w:rsidR="00157A02">
        <w:rPr>
          <w:rFonts w:ascii="华文楷体" w:hAnsi="华文楷体" w:hint="eastAsia"/>
          <w:sz w:val="24"/>
          <w:szCs w:val="24"/>
          <w:lang w:eastAsia="zh-CN"/>
        </w:rPr>
        <w:t>水平</w:t>
      </w:r>
      <w:proofErr w:type="gramEnd"/>
      <w:r w:rsidR="00157A02">
        <w:rPr>
          <w:rFonts w:ascii="华文楷体" w:hAnsi="华文楷体" w:hint="eastAsia"/>
          <w:sz w:val="24"/>
          <w:szCs w:val="24"/>
          <w:lang w:eastAsia="zh-CN"/>
        </w:rPr>
        <w:t>较上周小幅上行，</w:t>
      </w:r>
      <w:r w:rsidR="00D21148">
        <w:rPr>
          <w:rFonts w:ascii="华文楷体" w:hAnsi="华文楷体" w:hint="eastAsia"/>
          <w:sz w:val="24"/>
          <w:szCs w:val="24"/>
          <w:lang w:eastAsia="zh-CN"/>
        </w:rPr>
        <w:t>处于</w:t>
      </w:r>
      <w:r w:rsidR="00EE7787">
        <w:rPr>
          <w:rFonts w:ascii="华文楷体" w:hAnsi="华文楷体" w:hint="eastAsia"/>
          <w:sz w:val="24"/>
          <w:szCs w:val="24"/>
          <w:lang w:eastAsia="zh-CN"/>
        </w:rPr>
        <w:t>25-</w:t>
      </w:r>
      <w:r w:rsidR="00157A02">
        <w:rPr>
          <w:rFonts w:ascii="华文楷体" w:hAnsi="华文楷体" w:hint="eastAsia"/>
          <w:sz w:val="24"/>
          <w:szCs w:val="24"/>
          <w:lang w:eastAsia="zh-CN"/>
        </w:rPr>
        <w:t>50</w:t>
      </w:r>
      <w:r w:rsidR="008D33AB">
        <w:rPr>
          <w:rFonts w:ascii="华文楷体" w:hAnsi="华文楷体" w:hint="eastAsia"/>
          <w:sz w:val="24"/>
          <w:szCs w:val="24"/>
          <w:lang w:eastAsia="zh-CN"/>
        </w:rPr>
        <w:t>%分位</w:t>
      </w:r>
      <w:r w:rsidR="00440CFF">
        <w:rPr>
          <w:rFonts w:ascii="华文楷体" w:hAnsi="华文楷体" w:hint="eastAsia"/>
          <w:sz w:val="24"/>
          <w:szCs w:val="24"/>
          <w:lang w:eastAsia="zh-CN"/>
        </w:rPr>
        <w:t>区间</w:t>
      </w:r>
      <w:r w:rsidR="008D33AB">
        <w:rPr>
          <w:rFonts w:ascii="华文楷体" w:hAnsi="华文楷体" w:hint="eastAsia"/>
          <w:sz w:val="24"/>
          <w:szCs w:val="24"/>
          <w:lang w:eastAsia="zh-CN"/>
        </w:rPr>
        <w:t>，5年</w:t>
      </w:r>
      <w:r w:rsidR="00C02867">
        <w:rPr>
          <w:rFonts w:ascii="华文楷体" w:hAnsi="华文楷体" w:hint="eastAsia"/>
          <w:sz w:val="24"/>
          <w:szCs w:val="24"/>
          <w:lang w:eastAsia="zh-CN"/>
        </w:rPr>
        <w:t>AAA</w:t>
      </w:r>
      <w:r w:rsidR="004D1342">
        <w:rPr>
          <w:rFonts w:ascii="华文楷体" w:hAnsi="华文楷体" w:hint="eastAsia"/>
          <w:sz w:val="24"/>
          <w:szCs w:val="24"/>
          <w:lang w:eastAsia="zh-CN"/>
        </w:rPr>
        <w:t>中票息差</w:t>
      </w:r>
      <w:r w:rsidR="00C02867">
        <w:rPr>
          <w:rFonts w:ascii="华文楷体" w:hAnsi="华文楷体" w:hint="eastAsia"/>
          <w:sz w:val="24"/>
          <w:szCs w:val="24"/>
          <w:lang w:eastAsia="zh-CN"/>
        </w:rPr>
        <w:t>分位</w:t>
      </w:r>
      <w:r w:rsidR="004D1342">
        <w:rPr>
          <w:rFonts w:ascii="华文楷体" w:hAnsi="华文楷体" w:hint="eastAsia"/>
          <w:sz w:val="24"/>
          <w:szCs w:val="24"/>
          <w:lang w:eastAsia="zh-CN"/>
        </w:rPr>
        <w:t>数</w:t>
      </w:r>
      <w:r w:rsidR="00EE7787">
        <w:rPr>
          <w:rFonts w:ascii="华文楷体" w:hAnsi="华文楷体" w:hint="eastAsia"/>
          <w:sz w:val="24"/>
          <w:szCs w:val="24"/>
          <w:lang w:eastAsia="zh-CN"/>
        </w:rPr>
        <w:t>持续</w:t>
      </w:r>
      <w:r w:rsidR="00157A02">
        <w:rPr>
          <w:rFonts w:ascii="华文楷体" w:hAnsi="华文楷体" w:hint="eastAsia"/>
          <w:sz w:val="24"/>
          <w:szCs w:val="24"/>
          <w:lang w:eastAsia="zh-CN"/>
        </w:rPr>
        <w:t>走</w:t>
      </w:r>
      <w:r w:rsidR="004D1342">
        <w:rPr>
          <w:rFonts w:ascii="华文楷体" w:hAnsi="华文楷体" w:hint="eastAsia"/>
          <w:sz w:val="24"/>
          <w:szCs w:val="24"/>
          <w:lang w:eastAsia="zh-CN"/>
        </w:rPr>
        <w:t>高</w:t>
      </w:r>
      <w:r w:rsidR="00157A02">
        <w:rPr>
          <w:rFonts w:ascii="华文楷体" w:hAnsi="华文楷体" w:hint="eastAsia"/>
          <w:sz w:val="24"/>
          <w:szCs w:val="24"/>
          <w:lang w:eastAsia="zh-CN"/>
        </w:rPr>
        <w:t>，目前AAA评级中票企业债息</w:t>
      </w:r>
      <w:proofErr w:type="gramStart"/>
      <w:r w:rsidR="00157A02">
        <w:rPr>
          <w:rFonts w:ascii="华文楷体" w:hAnsi="华文楷体" w:hint="eastAsia"/>
          <w:sz w:val="24"/>
          <w:szCs w:val="24"/>
          <w:lang w:eastAsia="zh-CN"/>
        </w:rPr>
        <w:t>差水平</w:t>
      </w:r>
      <w:proofErr w:type="gramEnd"/>
      <w:r w:rsidR="00CA73E0">
        <w:rPr>
          <w:rFonts w:ascii="华文楷体" w:hAnsi="华文楷体" w:hint="eastAsia"/>
          <w:sz w:val="24"/>
          <w:szCs w:val="24"/>
          <w:lang w:eastAsia="zh-CN"/>
        </w:rPr>
        <w:t>接近</w:t>
      </w:r>
      <w:r w:rsidR="00157A02">
        <w:rPr>
          <w:rFonts w:ascii="华文楷体" w:hAnsi="华文楷体" w:hint="eastAsia"/>
          <w:sz w:val="24"/>
          <w:szCs w:val="24"/>
          <w:lang w:eastAsia="zh-CN"/>
        </w:rPr>
        <w:t>50</w:t>
      </w:r>
      <w:r w:rsidR="00EE7787">
        <w:rPr>
          <w:rFonts w:ascii="华文楷体" w:hAnsi="华文楷体" w:hint="eastAsia"/>
          <w:sz w:val="24"/>
          <w:szCs w:val="24"/>
          <w:lang w:eastAsia="zh-CN"/>
        </w:rPr>
        <w:t>%</w:t>
      </w:r>
      <w:r w:rsidR="00E13BCF">
        <w:rPr>
          <w:rFonts w:ascii="华文楷体" w:hAnsi="华文楷体" w:hint="eastAsia"/>
          <w:sz w:val="24"/>
          <w:szCs w:val="24"/>
          <w:lang w:eastAsia="zh-CN"/>
        </w:rPr>
        <w:t>。</w:t>
      </w:r>
    </w:p>
    <w:tbl>
      <w:tblPr>
        <w:tblW w:w="9738" w:type="dxa"/>
        <w:jc w:val="center"/>
        <w:tblCellMar>
          <w:left w:w="0" w:type="dxa"/>
          <w:right w:w="0" w:type="dxa"/>
        </w:tblCellMar>
        <w:tblLook w:val="01E0" w:firstRow="1" w:lastRow="1" w:firstColumn="1" w:lastColumn="1" w:noHBand="0" w:noVBand="0"/>
      </w:tblPr>
      <w:tblGrid>
        <w:gridCol w:w="9738"/>
      </w:tblGrid>
      <w:tr w:rsidR="00E0626C" w:rsidRPr="00F966B6" w14:paraId="5602CC82" w14:textId="77777777" w:rsidTr="00E87491">
        <w:trPr>
          <w:trHeight w:val="270"/>
          <w:jc w:val="center"/>
        </w:trPr>
        <w:tc>
          <w:tcPr>
            <w:tcW w:w="9738"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87491">
        <w:tblPrEx>
          <w:tblCellMar>
            <w:left w:w="108" w:type="dxa"/>
            <w:right w:w="108" w:type="dxa"/>
          </w:tblCellMar>
        </w:tblPrEx>
        <w:trPr>
          <w:trHeight w:val="392"/>
          <w:jc w:val="center"/>
        </w:trPr>
        <w:tc>
          <w:tcPr>
            <w:tcW w:w="9738" w:type="dxa"/>
            <w:vAlign w:val="center"/>
          </w:tcPr>
          <w:tbl>
            <w:tblPr>
              <w:tblW w:w="9502" w:type="dxa"/>
              <w:tblInd w:w="1" w:type="dxa"/>
              <w:tblLook w:val="04A0" w:firstRow="1" w:lastRow="0" w:firstColumn="1" w:lastColumn="0" w:noHBand="0" w:noVBand="1"/>
            </w:tblPr>
            <w:tblGrid>
              <w:gridCol w:w="1306"/>
              <w:gridCol w:w="887"/>
              <w:gridCol w:w="887"/>
              <w:gridCol w:w="887"/>
              <w:gridCol w:w="886"/>
              <w:gridCol w:w="1105"/>
              <w:gridCol w:w="886"/>
              <w:gridCol w:w="886"/>
              <w:gridCol w:w="886"/>
              <w:gridCol w:w="886"/>
            </w:tblGrid>
            <w:tr w:rsidR="00034919" w:rsidRPr="00034919" w14:paraId="674F4252" w14:textId="77777777" w:rsidTr="00E87491">
              <w:trPr>
                <w:trHeight w:val="315"/>
              </w:trPr>
              <w:tc>
                <w:tcPr>
                  <w:tcW w:w="1306" w:type="dxa"/>
                  <w:tcBorders>
                    <w:top w:val="nil"/>
                    <w:left w:val="nil"/>
                    <w:bottom w:val="single" w:sz="12" w:space="0" w:color="FFFFFF"/>
                    <w:right w:val="single" w:sz="8" w:space="0" w:color="FFFFFF"/>
                  </w:tcBorders>
                  <w:shd w:val="clear" w:color="000000" w:fill="F79646"/>
                  <w:noWrap/>
                  <w:vAlign w:val="center"/>
                  <w:hideMark/>
                </w:tcPr>
                <w:p w14:paraId="08619E5F"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收益率(%)</w:t>
                  </w:r>
                </w:p>
              </w:tc>
              <w:tc>
                <w:tcPr>
                  <w:tcW w:w="887" w:type="dxa"/>
                  <w:tcBorders>
                    <w:top w:val="nil"/>
                    <w:left w:val="nil"/>
                    <w:bottom w:val="single" w:sz="12" w:space="0" w:color="FFFFFF"/>
                    <w:right w:val="single" w:sz="8" w:space="0" w:color="FFFFFF"/>
                  </w:tcBorders>
                  <w:shd w:val="clear" w:color="000000" w:fill="F79646"/>
                  <w:noWrap/>
                  <w:vAlign w:val="center"/>
                  <w:hideMark/>
                </w:tcPr>
                <w:p w14:paraId="240548E1"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7" w:type="dxa"/>
                  <w:tcBorders>
                    <w:top w:val="nil"/>
                    <w:left w:val="nil"/>
                    <w:bottom w:val="single" w:sz="12" w:space="0" w:color="FFFFFF"/>
                    <w:right w:val="single" w:sz="8" w:space="0" w:color="FFFFFF"/>
                  </w:tcBorders>
                  <w:shd w:val="clear" w:color="000000" w:fill="F79646"/>
                  <w:noWrap/>
                  <w:vAlign w:val="center"/>
                  <w:hideMark/>
                </w:tcPr>
                <w:p w14:paraId="79C99336"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7" w:type="dxa"/>
                  <w:tcBorders>
                    <w:top w:val="nil"/>
                    <w:left w:val="nil"/>
                    <w:bottom w:val="single" w:sz="12" w:space="0" w:color="FFFFFF"/>
                    <w:right w:val="single" w:sz="8" w:space="0" w:color="FFFFFF"/>
                  </w:tcBorders>
                  <w:shd w:val="clear" w:color="000000" w:fill="F79646"/>
                  <w:noWrap/>
                  <w:vAlign w:val="center"/>
                  <w:hideMark/>
                </w:tcPr>
                <w:p w14:paraId="452176A7"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2FD1BE35"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1105" w:type="dxa"/>
                  <w:tcBorders>
                    <w:top w:val="nil"/>
                    <w:left w:val="nil"/>
                    <w:bottom w:val="single" w:sz="12" w:space="0" w:color="FFFFFF"/>
                    <w:right w:val="single" w:sz="8" w:space="0" w:color="FFFFFF"/>
                  </w:tcBorders>
                  <w:shd w:val="clear" w:color="000000" w:fill="F79646"/>
                  <w:noWrap/>
                  <w:vAlign w:val="center"/>
                  <w:hideMark/>
                </w:tcPr>
                <w:p w14:paraId="1C7AD36B"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息差</w:t>
                  </w:r>
                </w:p>
              </w:tc>
              <w:tc>
                <w:tcPr>
                  <w:tcW w:w="886" w:type="dxa"/>
                  <w:tcBorders>
                    <w:top w:val="nil"/>
                    <w:left w:val="nil"/>
                    <w:bottom w:val="single" w:sz="12" w:space="0" w:color="FFFFFF"/>
                    <w:right w:val="single" w:sz="8" w:space="0" w:color="FFFFFF"/>
                  </w:tcBorders>
                  <w:shd w:val="clear" w:color="000000" w:fill="F79646"/>
                  <w:noWrap/>
                  <w:vAlign w:val="center"/>
                  <w:hideMark/>
                </w:tcPr>
                <w:p w14:paraId="2F0D7362"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6" w:type="dxa"/>
                  <w:tcBorders>
                    <w:top w:val="nil"/>
                    <w:left w:val="nil"/>
                    <w:bottom w:val="single" w:sz="12" w:space="0" w:color="FFFFFF"/>
                    <w:right w:val="single" w:sz="8" w:space="0" w:color="FFFFFF"/>
                  </w:tcBorders>
                  <w:shd w:val="clear" w:color="000000" w:fill="F79646"/>
                  <w:noWrap/>
                  <w:vAlign w:val="center"/>
                  <w:hideMark/>
                </w:tcPr>
                <w:p w14:paraId="32104354"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34F3C75B"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0733BFBC"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r>
            <w:tr w:rsidR="00034919" w:rsidRPr="00034919" w14:paraId="00326412" w14:textId="77777777" w:rsidTr="00E87491">
              <w:trPr>
                <w:trHeight w:val="349"/>
              </w:trPr>
              <w:tc>
                <w:tcPr>
                  <w:tcW w:w="1306" w:type="dxa"/>
                  <w:tcBorders>
                    <w:top w:val="nil"/>
                    <w:left w:val="nil"/>
                    <w:bottom w:val="single" w:sz="8" w:space="0" w:color="FFFFFF"/>
                    <w:right w:val="single" w:sz="8" w:space="0" w:color="FFFFFF"/>
                  </w:tcBorders>
                  <w:shd w:val="clear" w:color="000000" w:fill="FCD5B4"/>
                  <w:noWrap/>
                  <w:vAlign w:val="center"/>
                  <w:hideMark/>
                </w:tcPr>
                <w:p w14:paraId="66B03860"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7" w:type="dxa"/>
                  <w:tcBorders>
                    <w:top w:val="nil"/>
                    <w:left w:val="nil"/>
                    <w:bottom w:val="single" w:sz="8" w:space="0" w:color="FFFFFF"/>
                    <w:right w:val="single" w:sz="8" w:space="0" w:color="FFFFFF"/>
                  </w:tcBorders>
                  <w:shd w:val="clear" w:color="000000" w:fill="FCD5B4"/>
                  <w:noWrap/>
                  <w:vAlign w:val="center"/>
                  <w:hideMark/>
                </w:tcPr>
                <w:p w14:paraId="116FACF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2.95 </w:t>
                  </w:r>
                </w:p>
              </w:tc>
              <w:tc>
                <w:tcPr>
                  <w:tcW w:w="887" w:type="dxa"/>
                  <w:tcBorders>
                    <w:top w:val="nil"/>
                    <w:left w:val="nil"/>
                    <w:bottom w:val="single" w:sz="8" w:space="0" w:color="FFFFFF"/>
                    <w:right w:val="single" w:sz="8" w:space="0" w:color="FFFFFF"/>
                  </w:tcBorders>
                  <w:shd w:val="clear" w:color="000000" w:fill="FCD5B4"/>
                  <w:noWrap/>
                  <w:vAlign w:val="center"/>
                  <w:hideMark/>
                </w:tcPr>
                <w:p w14:paraId="044C584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3.14 </w:t>
                  </w:r>
                </w:p>
              </w:tc>
              <w:tc>
                <w:tcPr>
                  <w:tcW w:w="887" w:type="dxa"/>
                  <w:tcBorders>
                    <w:top w:val="nil"/>
                    <w:left w:val="nil"/>
                    <w:bottom w:val="single" w:sz="8" w:space="0" w:color="FFFFFF"/>
                    <w:right w:val="single" w:sz="8" w:space="0" w:color="FFFFFF"/>
                  </w:tcBorders>
                  <w:shd w:val="clear" w:color="000000" w:fill="FCD5B4"/>
                  <w:noWrap/>
                  <w:vAlign w:val="center"/>
                  <w:hideMark/>
                </w:tcPr>
                <w:p w14:paraId="7FE2702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3.47 </w:t>
                  </w:r>
                </w:p>
              </w:tc>
              <w:tc>
                <w:tcPr>
                  <w:tcW w:w="886" w:type="dxa"/>
                  <w:tcBorders>
                    <w:top w:val="nil"/>
                    <w:left w:val="nil"/>
                    <w:bottom w:val="single" w:sz="8" w:space="0" w:color="FFFFFF"/>
                    <w:right w:val="single" w:sz="8" w:space="0" w:color="FFFFFF"/>
                  </w:tcBorders>
                  <w:shd w:val="clear" w:color="000000" w:fill="FCD5B4"/>
                  <w:noWrap/>
                  <w:vAlign w:val="center"/>
                  <w:hideMark/>
                </w:tcPr>
                <w:p w14:paraId="2CF49CD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5.64 </w:t>
                  </w:r>
                </w:p>
              </w:tc>
              <w:tc>
                <w:tcPr>
                  <w:tcW w:w="1105" w:type="dxa"/>
                  <w:tcBorders>
                    <w:top w:val="nil"/>
                    <w:left w:val="nil"/>
                    <w:bottom w:val="single" w:sz="8" w:space="0" w:color="FFFFFF"/>
                    <w:right w:val="single" w:sz="8" w:space="0" w:color="FFFFFF"/>
                  </w:tcBorders>
                  <w:shd w:val="clear" w:color="000000" w:fill="FCD5B4"/>
                  <w:noWrap/>
                  <w:vAlign w:val="center"/>
                  <w:hideMark/>
                </w:tcPr>
                <w:p w14:paraId="3F32ECA8"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6" w:type="dxa"/>
                  <w:tcBorders>
                    <w:top w:val="nil"/>
                    <w:left w:val="nil"/>
                    <w:bottom w:val="single" w:sz="8" w:space="0" w:color="FFFFFF"/>
                    <w:right w:val="single" w:sz="8" w:space="0" w:color="FFFFFF"/>
                  </w:tcBorders>
                  <w:shd w:val="clear" w:color="000000" w:fill="FCD5B4"/>
                  <w:noWrap/>
                  <w:vAlign w:val="center"/>
                  <w:hideMark/>
                </w:tcPr>
                <w:p w14:paraId="1FADB41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0.73 </w:t>
                  </w:r>
                </w:p>
              </w:tc>
              <w:tc>
                <w:tcPr>
                  <w:tcW w:w="886" w:type="dxa"/>
                  <w:tcBorders>
                    <w:top w:val="nil"/>
                    <w:left w:val="nil"/>
                    <w:bottom w:val="single" w:sz="8" w:space="0" w:color="FFFFFF"/>
                    <w:right w:val="single" w:sz="8" w:space="0" w:color="FFFFFF"/>
                  </w:tcBorders>
                  <w:shd w:val="clear" w:color="000000" w:fill="FCD5B4"/>
                  <w:noWrap/>
                  <w:vAlign w:val="center"/>
                  <w:hideMark/>
                </w:tcPr>
                <w:p w14:paraId="65E3702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0.92 </w:t>
                  </w:r>
                </w:p>
              </w:tc>
              <w:tc>
                <w:tcPr>
                  <w:tcW w:w="886" w:type="dxa"/>
                  <w:tcBorders>
                    <w:top w:val="nil"/>
                    <w:left w:val="nil"/>
                    <w:bottom w:val="single" w:sz="8" w:space="0" w:color="FFFFFF"/>
                    <w:right w:val="single" w:sz="8" w:space="0" w:color="FFFFFF"/>
                  </w:tcBorders>
                  <w:shd w:val="clear" w:color="000000" w:fill="FCD5B4"/>
                  <w:noWrap/>
                  <w:vAlign w:val="center"/>
                  <w:hideMark/>
                </w:tcPr>
                <w:p w14:paraId="6152B48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1.25 </w:t>
                  </w:r>
                </w:p>
              </w:tc>
              <w:tc>
                <w:tcPr>
                  <w:tcW w:w="886" w:type="dxa"/>
                  <w:tcBorders>
                    <w:top w:val="nil"/>
                    <w:left w:val="nil"/>
                    <w:bottom w:val="single" w:sz="8" w:space="0" w:color="FFFFFF"/>
                    <w:right w:val="single" w:sz="8" w:space="0" w:color="FFFFFF"/>
                  </w:tcBorders>
                  <w:shd w:val="clear" w:color="000000" w:fill="FCD5B4"/>
                  <w:noWrap/>
                  <w:vAlign w:val="center"/>
                  <w:hideMark/>
                </w:tcPr>
                <w:p w14:paraId="3CE38A0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3.42 </w:t>
                  </w:r>
                </w:p>
              </w:tc>
            </w:tr>
            <w:tr w:rsidR="00034919" w:rsidRPr="00034919" w14:paraId="7E4A7324"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2835A4E3"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7" w:type="dxa"/>
                  <w:tcBorders>
                    <w:top w:val="nil"/>
                    <w:left w:val="nil"/>
                    <w:bottom w:val="single" w:sz="8" w:space="0" w:color="FFFFFF"/>
                    <w:right w:val="single" w:sz="8" w:space="0" w:color="FFFFFF"/>
                  </w:tcBorders>
                  <w:shd w:val="clear" w:color="000000" w:fill="FDE9D9"/>
                  <w:noWrap/>
                  <w:vAlign w:val="center"/>
                  <w:hideMark/>
                </w:tcPr>
                <w:p w14:paraId="2D03619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3.62 </w:t>
                  </w:r>
                </w:p>
              </w:tc>
              <w:tc>
                <w:tcPr>
                  <w:tcW w:w="887" w:type="dxa"/>
                  <w:tcBorders>
                    <w:top w:val="nil"/>
                    <w:left w:val="nil"/>
                    <w:bottom w:val="single" w:sz="8" w:space="0" w:color="FFFFFF"/>
                    <w:right w:val="single" w:sz="8" w:space="0" w:color="FFFFFF"/>
                  </w:tcBorders>
                  <w:shd w:val="clear" w:color="000000" w:fill="FDE9D9"/>
                  <w:noWrap/>
                  <w:vAlign w:val="center"/>
                  <w:hideMark/>
                </w:tcPr>
                <w:p w14:paraId="75C3F73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3.83 </w:t>
                  </w:r>
                </w:p>
              </w:tc>
              <w:tc>
                <w:tcPr>
                  <w:tcW w:w="887" w:type="dxa"/>
                  <w:tcBorders>
                    <w:top w:val="nil"/>
                    <w:left w:val="nil"/>
                    <w:bottom w:val="single" w:sz="8" w:space="0" w:color="FFFFFF"/>
                    <w:right w:val="single" w:sz="8" w:space="0" w:color="FFFFFF"/>
                  </w:tcBorders>
                  <w:shd w:val="clear" w:color="000000" w:fill="FDE9D9"/>
                  <w:noWrap/>
                  <w:vAlign w:val="center"/>
                  <w:hideMark/>
                </w:tcPr>
                <w:p w14:paraId="79F08BA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4.14 </w:t>
                  </w:r>
                </w:p>
              </w:tc>
              <w:tc>
                <w:tcPr>
                  <w:tcW w:w="886" w:type="dxa"/>
                  <w:tcBorders>
                    <w:top w:val="nil"/>
                    <w:left w:val="nil"/>
                    <w:bottom w:val="single" w:sz="8" w:space="0" w:color="FFFFFF"/>
                    <w:right w:val="single" w:sz="8" w:space="0" w:color="FFFFFF"/>
                  </w:tcBorders>
                  <w:shd w:val="clear" w:color="000000" w:fill="FDE9D9"/>
                  <w:noWrap/>
                  <w:vAlign w:val="center"/>
                  <w:hideMark/>
                </w:tcPr>
                <w:p w14:paraId="1C2AF51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6.31 </w:t>
                  </w:r>
                </w:p>
              </w:tc>
              <w:tc>
                <w:tcPr>
                  <w:tcW w:w="1105" w:type="dxa"/>
                  <w:tcBorders>
                    <w:top w:val="nil"/>
                    <w:left w:val="nil"/>
                    <w:bottom w:val="single" w:sz="8" w:space="0" w:color="FFFFFF"/>
                    <w:right w:val="single" w:sz="8" w:space="0" w:color="FFFFFF"/>
                  </w:tcBorders>
                  <w:shd w:val="clear" w:color="000000" w:fill="FDE9D9"/>
                  <w:noWrap/>
                  <w:vAlign w:val="center"/>
                  <w:hideMark/>
                </w:tcPr>
                <w:p w14:paraId="37084DD7"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6" w:type="dxa"/>
                  <w:tcBorders>
                    <w:top w:val="nil"/>
                    <w:left w:val="nil"/>
                    <w:bottom w:val="single" w:sz="8" w:space="0" w:color="FFFFFF"/>
                    <w:right w:val="single" w:sz="8" w:space="0" w:color="FFFFFF"/>
                  </w:tcBorders>
                  <w:shd w:val="clear" w:color="000000" w:fill="FDE9D9"/>
                  <w:noWrap/>
                  <w:vAlign w:val="center"/>
                  <w:hideMark/>
                </w:tcPr>
                <w:p w14:paraId="549F019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1.10 </w:t>
                  </w:r>
                </w:p>
              </w:tc>
              <w:tc>
                <w:tcPr>
                  <w:tcW w:w="886" w:type="dxa"/>
                  <w:tcBorders>
                    <w:top w:val="nil"/>
                    <w:left w:val="nil"/>
                    <w:bottom w:val="single" w:sz="8" w:space="0" w:color="FFFFFF"/>
                    <w:right w:val="single" w:sz="8" w:space="0" w:color="FFFFFF"/>
                  </w:tcBorders>
                  <w:shd w:val="clear" w:color="000000" w:fill="FDE9D9"/>
                  <w:noWrap/>
                  <w:vAlign w:val="center"/>
                  <w:hideMark/>
                </w:tcPr>
                <w:p w14:paraId="730C67C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1.31 </w:t>
                  </w:r>
                </w:p>
              </w:tc>
              <w:tc>
                <w:tcPr>
                  <w:tcW w:w="886" w:type="dxa"/>
                  <w:tcBorders>
                    <w:top w:val="nil"/>
                    <w:left w:val="nil"/>
                    <w:bottom w:val="single" w:sz="8" w:space="0" w:color="FFFFFF"/>
                    <w:right w:val="single" w:sz="8" w:space="0" w:color="FFFFFF"/>
                  </w:tcBorders>
                  <w:shd w:val="clear" w:color="000000" w:fill="FDE9D9"/>
                  <w:noWrap/>
                  <w:vAlign w:val="center"/>
                  <w:hideMark/>
                </w:tcPr>
                <w:p w14:paraId="3DF51A8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1.62 </w:t>
                  </w:r>
                </w:p>
              </w:tc>
              <w:tc>
                <w:tcPr>
                  <w:tcW w:w="886" w:type="dxa"/>
                  <w:tcBorders>
                    <w:top w:val="nil"/>
                    <w:left w:val="nil"/>
                    <w:bottom w:val="single" w:sz="8" w:space="0" w:color="FFFFFF"/>
                    <w:right w:val="single" w:sz="8" w:space="0" w:color="FFFFFF"/>
                  </w:tcBorders>
                  <w:shd w:val="clear" w:color="000000" w:fill="FDE9D9"/>
                  <w:noWrap/>
                  <w:vAlign w:val="center"/>
                  <w:hideMark/>
                </w:tcPr>
                <w:p w14:paraId="7F0858F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3.79 </w:t>
                  </w:r>
                </w:p>
              </w:tc>
            </w:tr>
            <w:tr w:rsidR="00034919" w:rsidRPr="00034919" w14:paraId="3FB085A5"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093023E4"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7" w:type="dxa"/>
                  <w:tcBorders>
                    <w:top w:val="nil"/>
                    <w:left w:val="nil"/>
                    <w:bottom w:val="single" w:sz="8" w:space="0" w:color="FFFFFF"/>
                    <w:right w:val="single" w:sz="8" w:space="0" w:color="FFFFFF"/>
                  </w:tcBorders>
                  <w:shd w:val="clear" w:color="000000" w:fill="FCD5B4"/>
                  <w:noWrap/>
                  <w:vAlign w:val="center"/>
                  <w:hideMark/>
                </w:tcPr>
                <w:p w14:paraId="16DDA66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3.95 </w:t>
                  </w:r>
                </w:p>
              </w:tc>
              <w:tc>
                <w:tcPr>
                  <w:tcW w:w="887" w:type="dxa"/>
                  <w:tcBorders>
                    <w:top w:val="nil"/>
                    <w:left w:val="nil"/>
                    <w:bottom w:val="single" w:sz="8" w:space="0" w:color="FFFFFF"/>
                    <w:right w:val="single" w:sz="8" w:space="0" w:color="FFFFFF"/>
                  </w:tcBorders>
                  <w:shd w:val="clear" w:color="000000" w:fill="FCD5B4"/>
                  <w:noWrap/>
                  <w:vAlign w:val="center"/>
                  <w:hideMark/>
                </w:tcPr>
                <w:p w14:paraId="5045058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4.24 </w:t>
                  </w:r>
                </w:p>
              </w:tc>
              <w:tc>
                <w:tcPr>
                  <w:tcW w:w="887" w:type="dxa"/>
                  <w:tcBorders>
                    <w:top w:val="nil"/>
                    <w:left w:val="nil"/>
                    <w:bottom w:val="single" w:sz="8" w:space="0" w:color="FFFFFF"/>
                    <w:right w:val="single" w:sz="8" w:space="0" w:color="FFFFFF"/>
                  </w:tcBorders>
                  <w:shd w:val="clear" w:color="000000" w:fill="FCD5B4"/>
                  <w:noWrap/>
                  <w:vAlign w:val="center"/>
                  <w:hideMark/>
                </w:tcPr>
                <w:p w14:paraId="02F1AC3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4.60 </w:t>
                  </w:r>
                </w:p>
              </w:tc>
              <w:tc>
                <w:tcPr>
                  <w:tcW w:w="886" w:type="dxa"/>
                  <w:tcBorders>
                    <w:top w:val="nil"/>
                    <w:left w:val="nil"/>
                    <w:bottom w:val="single" w:sz="8" w:space="0" w:color="FFFFFF"/>
                    <w:right w:val="single" w:sz="8" w:space="0" w:color="FFFFFF"/>
                  </w:tcBorders>
                  <w:shd w:val="clear" w:color="000000" w:fill="FCD5B4"/>
                  <w:noWrap/>
                  <w:vAlign w:val="center"/>
                  <w:hideMark/>
                </w:tcPr>
                <w:p w14:paraId="0C67845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6.77 </w:t>
                  </w:r>
                </w:p>
              </w:tc>
              <w:tc>
                <w:tcPr>
                  <w:tcW w:w="1105" w:type="dxa"/>
                  <w:tcBorders>
                    <w:top w:val="nil"/>
                    <w:left w:val="nil"/>
                    <w:bottom w:val="single" w:sz="8" w:space="0" w:color="FFFFFF"/>
                    <w:right w:val="single" w:sz="8" w:space="0" w:color="FFFFFF"/>
                  </w:tcBorders>
                  <w:shd w:val="clear" w:color="000000" w:fill="FCD5B4"/>
                  <w:noWrap/>
                  <w:vAlign w:val="center"/>
                  <w:hideMark/>
                </w:tcPr>
                <w:p w14:paraId="7A4D6582"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6" w:type="dxa"/>
                  <w:tcBorders>
                    <w:top w:val="nil"/>
                    <w:left w:val="nil"/>
                    <w:bottom w:val="single" w:sz="8" w:space="0" w:color="FFFFFF"/>
                    <w:right w:val="single" w:sz="8" w:space="0" w:color="FFFFFF"/>
                  </w:tcBorders>
                  <w:shd w:val="clear" w:color="000000" w:fill="FCD5B4"/>
                  <w:noWrap/>
                  <w:vAlign w:val="center"/>
                  <w:hideMark/>
                </w:tcPr>
                <w:p w14:paraId="063C23E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1.25 </w:t>
                  </w:r>
                </w:p>
              </w:tc>
              <w:tc>
                <w:tcPr>
                  <w:tcW w:w="886" w:type="dxa"/>
                  <w:tcBorders>
                    <w:top w:val="nil"/>
                    <w:left w:val="nil"/>
                    <w:bottom w:val="single" w:sz="8" w:space="0" w:color="FFFFFF"/>
                    <w:right w:val="single" w:sz="8" w:space="0" w:color="FFFFFF"/>
                  </w:tcBorders>
                  <w:shd w:val="clear" w:color="000000" w:fill="FCD5B4"/>
                  <w:noWrap/>
                  <w:vAlign w:val="center"/>
                  <w:hideMark/>
                </w:tcPr>
                <w:p w14:paraId="4C393C7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1.54 </w:t>
                  </w:r>
                </w:p>
              </w:tc>
              <w:tc>
                <w:tcPr>
                  <w:tcW w:w="886" w:type="dxa"/>
                  <w:tcBorders>
                    <w:top w:val="nil"/>
                    <w:left w:val="nil"/>
                    <w:bottom w:val="single" w:sz="8" w:space="0" w:color="FFFFFF"/>
                    <w:right w:val="single" w:sz="8" w:space="0" w:color="FFFFFF"/>
                  </w:tcBorders>
                  <w:shd w:val="clear" w:color="000000" w:fill="FCD5B4"/>
                  <w:noWrap/>
                  <w:vAlign w:val="center"/>
                  <w:hideMark/>
                </w:tcPr>
                <w:p w14:paraId="4AD07C6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1.90 </w:t>
                  </w:r>
                </w:p>
              </w:tc>
              <w:tc>
                <w:tcPr>
                  <w:tcW w:w="886" w:type="dxa"/>
                  <w:tcBorders>
                    <w:top w:val="nil"/>
                    <w:left w:val="nil"/>
                    <w:bottom w:val="single" w:sz="8" w:space="0" w:color="FFFFFF"/>
                    <w:right w:val="single" w:sz="8" w:space="0" w:color="FFFFFF"/>
                  </w:tcBorders>
                  <w:shd w:val="clear" w:color="000000" w:fill="FCD5B4"/>
                  <w:noWrap/>
                  <w:vAlign w:val="center"/>
                  <w:hideMark/>
                </w:tcPr>
                <w:p w14:paraId="3B40CAC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4.07 </w:t>
                  </w:r>
                </w:p>
              </w:tc>
            </w:tr>
            <w:tr w:rsidR="00034919" w:rsidRPr="00034919" w14:paraId="3C33A94F"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7203D1BF"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7" w:type="dxa"/>
                  <w:tcBorders>
                    <w:top w:val="nil"/>
                    <w:left w:val="nil"/>
                    <w:bottom w:val="single" w:sz="8" w:space="0" w:color="FFFFFF"/>
                    <w:right w:val="single" w:sz="8" w:space="0" w:color="FFFFFF"/>
                  </w:tcBorders>
                  <w:shd w:val="clear" w:color="000000" w:fill="FDE9D9"/>
                  <w:noWrap/>
                  <w:vAlign w:val="center"/>
                  <w:hideMark/>
                </w:tcPr>
                <w:p w14:paraId="17927F2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3.62 </w:t>
                  </w:r>
                </w:p>
              </w:tc>
              <w:tc>
                <w:tcPr>
                  <w:tcW w:w="887" w:type="dxa"/>
                  <w:tcBorders>
                    <w:top w:val="nil"/>
                    <w:left w:val="nil"/>
                    <w:bottom w:val="single" w:sz="8" w:space="0" w:color="FFFFFF"/>
                    <w:right w:val="single" w:sz="8" w:space="0" w:color="FFFFFF"/>
                  </w:tcBorders>
                  <w:shd w:val="clear" w:color="000000" w:fill="FDE9D9"/>
                  <w:noWrap/>
                  <w:vAlign w:val="center"/>
                  <w:hideMark/>
                </w:tcPr>
                <w:p w14:paraId="6A25C5A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3.83 </w:t>
                  </w:r>
                </w:p>
              </w:tc>
              <w:tc>
                <w:tcPr>
                  <w:tcW w:w="887" w:type="dxa"/>
                  <w:tcBorders>
                    <w:top w:val="nil"/>
                    <w:left w:val="nil"/>
                    <w:bottom w:val="single" w:sz="8" w:space="0" w:color="FFFFFF"/>
                    <w:right w:val="single" w:sz="8" w:space="0" w:color="FFFFFF"/>
                  </w:tcBorders>
                  <w:shd w:val="clear" w:color="000000" w:fill="FDE9D9"/>
                  <w:noWrap/>
                  <w:vAlign w:val="center"/>
                  <w:hideMark/>
                </w:tcPr>
                <w:p w14:paraId="461D600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4.14 </w:t>
                  </w:r>
                </w:p>
              </w:tc>
              <w:tc>
                <w:tcPr>
                  <w:tcW w:w="886" w:type="dxa"/>
                  <w:tcBorders>
                    <w:top w:val="nil"/>
                    <w:left w:val="nil"/>
                    <w:bottom w:val="single" w:sz="8" w:space="0" w:color="FFFFFF"/>
                    <w:right w:val="single" w:sz="8" w:space="0" w:color="FFFFFF"/>
                  </w:tcBorders>
                  <w:shd w:val="clear" w:color="000000" w:fill="FDE9D9"/>
                  <w:noWrap/>
                  <w:vAlign w:val="center"/>
                  <w:hideMark/>
                </w:tcPr>
                <w:p w14:paraId="6FF8DE4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6.31 </w:t>
                  </w:r>
                </w:p>
              </w:tc>
              <w:tc>
                <w:tcPr>
                  <w:tcW w:w="1105" w:type="dxa"/>
                  <w:tcBorders>
                    <w:top w:val="nil"/>
                    <w:left w:val="nil"/>
                    <w:bottom w:val="single" w:sz="8" w:space="0" w:color="FFFFFF"/>
                    <w:right w:val="single" w:sz="8" w:space="0" w:color="FFFFFF"/>
                  </w:tcBorders>
                  <w:shd w:val="clear" w:color="000000" w:fill="FDE9D9"/>
                  <w:noWrap/>
                  <w:vAlign w:val="center"/>
                  <w:hideMark/>
                </w:tcPr>
                <w:p w14:paraId="39733FED"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6" w:type="dxa"/>
                  <w:tcBorders>
                    <w:top w:val="nil"/>
                    <w:left w:val="nil"/>
                    <w:bottom w:val="single" w:sz="8" w:space="0" w:color="FFFFFF"/>
                    <w:right w:val="single" w:sz="8" w:space="0" w:color="FFFFFF"/>
                  </w:tcBorders>
                  <w:shd w:val="clear" w:color="000000" w:fill="FDE9D9"/>
                  <w:noWrap/>
                  <w:vAlign w:val="center"/>
                  <w:hideMark/>
                </w:tcPr>
                <w:p w14:paraId="1568388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1.11 </w:t>
                  </w:r>
                </w:p>
              </w:tc>
              <w:tc>
                <w:tcPr>
                  <w:tcW w:w="886" w:type="dxa"/>
                  <w:tcBorders>
                    <w:top w:val="nil"/>
                    <w:left w:val="nil"/>
                    <w:bottom w:val="single" w:sz="8" w:space="0" w:color="FFFFFF"/>
                    <w:right w:val="single" w:sz="8" w:space="0" w:color="FFFFFF"/>
                  </w:tcBorders>
                  <w:shd w:val="clear" w:color="000000" w:fill="FDE9D9"/>
                  <w:noWrap/>
                  <w:vAlign w:val="center"/>
                  <w:hideMark/>
                </w:tcPr>
                <w:p w14:paraId="5A4E175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1.32 </w:t>
                  </w:r>
                </w:p>
              </w:tc>
              <w:tc>
                <w:tcPr>
                  <w:tcW w:w="886" w:type="dxa"/>
                  <w:tcBorders>
                    <w:top w:val="nil"/>
                    <w:left w:val="nil"/>
                    <w:bottom w:val="single" w:sz="8" w:space="0" w:color="FFFFFF"/>
                    <w:right w:val="single" w:sz="8" w:space="0" w:color="FFFFFF"/>
                  </w:tcBorders>
                  <w:shd w:val="clear" w:color="000000" w:fill="FDE9D9"/>
                  <w:noWrap/>
                  <w:vAlign w:val="center"/>
                  <w:hideMark/>
                </w:tcPr>
                <w:p w14:paraId="00E2659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1.63 </w:t>
                  </w:r>
                </w:p>
              </w:tc>
              <w:tc>
                <w:tcPr>
                  <w:tcW w:w="886" w:type="dxa"/>
                  <w:tcBorders>
                    <w:top w:val="nil"/>
                    <w:left w:val="nil"/>
                    <w:bottom w:val="single" w:sz="8" w:space="0" w:color="FFFFFF"/>
                    <w:right w:val="single" w:sz="8" w:space="0" w:color="FFFFFF"/>
                  </w:tcBorders>
                  <w:shd w:val="clear" w:color="000000" w:fill="FDE9D9"/>
                  <w:noWrap/>
                  <w:vAlign w:val="center"/>
                  <w:hideMark/>
                </w:tcPr>
                <w:p w14:paraId="085EE99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3.80 </w:t>
                  </w:r>
                </w:p>
              </w:tc>
            </w:tr>
            <w:tr w:rsidR="00034919" w:rsidRPr="00034919" w14:paraId="42037E24"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24F3192D"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7" w:type="dxa"/>
                  <w:tcBorders>
                    <w:top w:val="nil"/>
                    <w:left w:val="nil"/>
                    <w:bottom w:val="single" w:sz="8" w:space="0" w:color="FFFFFF"/>
                    <w:right w:val="single" w:sz="8" w:space="0" w:color="FFFFFF"/>
                  </w:tcBorders>
                  <w:shd w:val="clear" w:color="000000" w:fill="FCD5B4"/>
                  <w:noWrap/>
                  <w:vAlign w:val="center"/>
                  <w:hideMark/>
                </w:tcPr>
                <w:p w14:paraId="1D198A7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3.96 </w:t>
                  </w:r>
                </w:p>
              </w:tc>
              <w:tc>
                <w:tcPr>
                  <w:tcW w:w="887" w:type="dxa"/>
                  <w:tcBorders>
                    <w:top w:val="nil"/>
                    <w:left w:val="nil"/>
                    <w:bottom w:val="single" w:sz="8" w:space="0" w:color="FFFFFF"/>
                    <w:right w:val="single" w:sz="8" w:space="0" w:color="FFFFFF"/>
                  </w:tcBorders>
                  <w:shd w:val="clear" w:color="000000" w:fill="FCD5B4"/>
                  <w:noWrap/>
                  <w:vAlign w:val="center"/>
                  <w:hideMark/>
                </w:tcPr>
                <w:p w14:paraId="77E2F7F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4.25 </w:t>
                  </w:r>
                </w:p>
              </w:tc>
              <w:tc>
                <w:tcPr>
                  <w:tcW w:w="887" w:type="dxa"/>
                  <w:tcBorders>
                    <w:top w:val="nil"/>
                    <w:left w:val="nil"/>
                    <w:bottom w:val="single" w:sz="8" w:space="0" w:color="FFFFFF"/>
                    <w:right w:val="single" w:sz="8" w:space="0" w:color="FFFFFF"/>
                  </w:tcBorders>
                  <w:shd w:val="clear" w:color="000000" w:fill="FCD5B4"/>
                  <w:noWrap/>
                  <w:vAlign w:val="center"/>
                  <w:hideMark/>
                </w:tcPr>
                <w:p w14:paraId="5950742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4.61 </w:t>
                  </w:r>
                </w:p>
              </w:tc>
              <w:tc>
                <w:tcPr>
                  <w:tcW w:w="886" w:type="dxa"/>
                  <w:tcBorders>
                    <w:top w:val="nil"/>
                    <w:left w:val="nil"/>
                    <w:bottom w:val="single" w:sz="8" w:space="0" w:color="FFFFFF"/>
                    <w:right w:val="single" w:sz="8" w:space="0" w:color="FFFFFF"/>
                  </w:tcBorders>
                  <w:shd w:val="clear" w:color="000000" w:fill="FCD5B4"/>
                  <w:noWrap/>
                  <w:vAlign w:val="center"/>
                  <w:hideMark/>
                </w:tcPr>
                <w:p w14:paraId="7E860FC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6.78 </w:t>
                  </w:r>
                </w:p>
              </w:tc>
              <w:tc>
                <w:tcPr>
                  <w:tcW w:w="1105" w:type="dxa"/>
                  <w:tcBorders>
                    <w:top w:val="nil"/>
                    <w:left w:val="nil"/>
                    <w:bottom w:val="single" w:sz="8" w:space="0" w:color="FFFFFF"/>
                    <w:right w:val="single" w:sz="8" w:space="0" w:color="FFFFFF"/>
                  </w:tcBorders>
                  <w:shd w:val="clear" w:color="000000" w:fill="FCD5B4"/>
                  <w:noWrap/>
                  <w:vAlign w:val="center"/>
                  <w:hideMark/>
                </w:tcPr>
                <w:p w14:paraId="78193EC7"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6" w:type="dxa"/>
                  <w:tcBorders>
                    <w:top w:val="nil"/>
                    <w:left w:val="nil"/>
                    <w:bottom w:val="single" w:sz="8" w:space="0" w:color="FFFFFF"/>
                    <w:right w:val="single" w:sz="8" w:space="0" w:color="FFFFFF"/>
                  </w:tcBorders>
                  <w:shd w:val="clear" w:color="000000" w:fill="FCD5B4"/>
                  <w:noWrap/>
                  <w:vAlign w:val="center"/>
                  <w:hideMark/>
                </w:tcPr>
                <w:p w14:paraId="7B8A5CB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1.25 </w:t>
                  </w:r>
                </w:p>
              </w:tc>
              <w:tc>
                <w:tcPr>
                  <w:tcW w:w="886" w:type="dxa"/>
                  <w:tcBorders>
                    <w:top w:val="nil"/>
                    <w:left w:val="nil"/>
                    <w:bottom w:val="single" w:sz="8" w:space="0" w:color="FFFFFF"/>
                    <w:right w:val="single" w:sz="8" w:space="0" w:color="FFFFFF"/>
                  </w:tcBorders>
                  <w:shd w:val="clear" w:color="000000" w:fill="FCD5B4"/>
                  <w:noWrap/>
                  <w:vAlign w:val="center"/>
                  <w:hideMark/>
                </w:tcPr>
                <w:p w14:paraId="0612CAA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1.54 </w:t>
                  </w:r>
                </w:p>
              </w:tc>
              <w:tc>
                <w:tcPr>
                  <w:tcW w:w="886" w:type="dxa"/>
                  <w:tcBorders>
                    <w:top w:val="nil"/>
                    <w:left w:val="nil"/>
                    <w:bottom w:val="single" w:sz="8" w:space="0" w:color="FFFFFF"/>
                    <w:right w:val="single" w:sz="8" w:space="0" w:color="FFFFFF"/>
                  </w:tcBorders>
                  <w:shd w:val="clear" w:color="000000" w:fill="FCD5B4"/>
                  <w:noWrap/>
                  <w:vAlign w:val="center"/>
                  <w:hideMark/>
                </w:tcPr>
                <w:p w14:paraId="19F4D56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1.90 </w:t>
                  </w:r>
                </w:p>
              </w:tc>
              <w:tc>
                <w:tcPr>
                  <w:tcW w:w="886" w:type="dxa"/>
                  <w:tcBorders>
                    <w:top w:val="nil"/>
                    <w:left w:val="nil"/>
                    <w:bottom w:val="single" w:sz="8" w:space="0" w:color="FFFFFF"/>
                    <w:right w:val="single" w:sz="8" w:space="0" w:color="FFFFFF"/>
                  </w:tcBorders>
                  <w:shd w:val="clear" w:color="000000" w:fill="FCD5B4"/>
                  <w:noWrap/>
                  <w:vAlign w:val="center"/>
                  <w:hideMark/>
                </w:tcPr>
                <w:p w14:paraId="60AC033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4.07 </w:t>
                  </w:r>
                </w:p>
              </w:tc>
            </w:tr>
            <w:tr w:rsidR="00034919" w:rsidRPr="00034919" w14:paraId="6E2E9BF0"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1B0AF0EA"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7" w:type="dxa"/>
                  <w:tcBorders>
                    <w:top w:val="nil"/>
                    <w:left w:val="nil"/>
                    <w:bottom w:val="single" w:sz="8" w:space="0" w:color="FFFFFF"/>
                    <w:right w:val="single" w:sz="8" w:space="0" w:color="FFFFFF"/>
                  </w:tcBorders>
                  <w:shd w:val="clear" w:color="000000" w:fill="FDE9D9"/>
                  <w:noWrap/>
                  <w:vAlign w:val="center"/>
                  <w:hideMark/>
                </w:tcPr>
                <w:p w14:paraId="0DC8FF9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4.08 </w:t>
                  </w:r>
                </w:p>
              </w:tc>
              <w:tc>
                <w:tcPr>
                  <w:tcW w:w="887" w:type="dxa"/>
                  <w:tcBorders>
                    <w:top w:val="nil"/>
                    <w:left w:val="nil"/>
                    <w:bottom w:val="single" w:sz="8" w:space="0" w:color="FFFFFF"/>
                    <w:right w:val="single" w:sz="8" w:space="0" w:color="FFFFFF"/>
                  </w:tcBorders>
                  <w:shd w:val="clear" w:color="000000" w:fill="FDE9D9"/>
                  <w:noWrap/>
                  <w:vAlign w:val="center"/>
                  <w:hideMark/>
                </w:tcPr>
                <w:p w14:paraId="7301779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4.44 </w:t>
                  </w:r>
                </w:p>
              </w:tc>
              <w:tc>
                <w:tcPr>
                  <w:tcW w:w="887" w:type="dxa"/>
                  <w:tcBorders>
                    <w:top w:val="nil"/>
                    <w:left w:val="nil"/>
                    <w:bottom w:val="single" w:sz="8" w:space="0" w:color="FFFFFF"/>
                    <w:right w:val="single" w:sz="8" w:space="0" w:color="FFFFFF"/>
                  </w:tcBorders>
                  <w:shd w:val="clear" w:color="000000" w:fill="FDE9D9"/>
                  <w:noWrap/>
                  <w:vAlign w:val="center"/>
                  <w:hideMark/>
                </w:tcPr>
                <w:p w14:paraId="1A55460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4.83 </w:t>
                  </w:r>
                </w:p>
              </w:tc>
              <w:tc>
                <w:tcPr>
                  <w:tcW w:w="886" w:type="dxa"/>
                  <w:tcBorders>
                    <w:top w:val="nil"/>
                    <w:left w:val="nil"/>
                    <w:bottom w:val="single" w:sz="8" w:space="0" w:color="FFFFFF"/>
                    <w:right w:val="single" w:sz="8" w:space="0" w:color="FFFFFF"/>
                  </w:tcBorders>
                  <w:shd w:val="clear" w:color="000000" w:fill="FDE9D9"/>
                  <w:noWrap/>
                  <w:vAlign w:val="center"/>
                  <w:hideMark/>
                </w:tcPr>
                <w:p w14:paraId="546D401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7.00 </w:t>
                  </w:r>
                </w:p>
              </w:tc>
              <w:tc>
                <w:tcPr>
                  <w:tcW w:w="1105" w:type="dxa"/>
                  <w:tcBorders>
                    <w:top w:val="nil"/>
                    <w:left w:val="nil"/>
                    <w:bottom w:val="single" w:sz="8" w:space="0" w:color="FFFFFF"/>
                    <w:right w:val="single" w:sz="8" w:space="0" w:color="FFFFFF"/>
                  </w:tcBorders>
                  <w:shd w:val="clear" w:color="000000" w:fill="FDE9D9"/>
                  <w:noWrap/>
                  <w:vAlign w:val="center"/>
                  <w:hideMark/>
                </w:tcPr>
                <w:p w14:paraId="7E412E69"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6" w:type="dxa"/>
                  <w:tcBorders>
                    <w:top w:val="nil"/>
                    <w:left w:val="nil"/>
                    <w:bottom w:val="single" w:sz="8" w:space="0" w:color="FFFFFF"/>
                    <w:right w:val="single" w:sz="8" w:space="0" w:color="FFFFFF"/>
                  </w:tcBorders>
                  <w:shd w:val="clear" w:color="000000" w:fill="FDE9D9"/>
                  <w:noWrap/>
                  <w:vAlign w:val="center"/>
                  <w:hideMark/>
                </w:tcPr>
                <w:p w14:paraId="259E73D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1.10 </w:t>
                  </w:r>
                </w:p>
              </w:tc>
              <w:tc>
                <w:tcPr>
                  <w:tcW w:w="886" w:type="dxa"/>
                  <w:tcBorders>
                    <w:top w:val="nil"/>
                    <w:left w:val="nil"/>
                    <w:bottom w:val="single" w:sz="8" w:space="0" w:color="FFFFFF"/>
                    <w:right w:val="single" w:sz="8" w:space="0" w:color="FFFFFF"/>
                  </w:tcBorders>
                  <w:shd w:val="clear" w:color="000000" w:fill="FDE9D9"/>
                  <w:noWrap/>
                  <w:vAlign w:val="center"/>
                  <w:hideMark/>
                </w:tcPr>
                <w:p w14:paraId="4ACF0F7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1.46 </w:t>
                  </w:r>
                </w:p>
              </w:tc>
              <w:tc>
                <w:tcPr>
                  <w:tcW w:w="886" w:type="dxa"/>
                  <w:tcBorders>
                    <w:top w:val="nil"/>
                    <w:left w:val="nil"/>
                    <w:bottom w:val="single" w:sz="8" w:space="0" w:color="FFFFFF"/>
                    <w:right w:val="single" w:sz="8" w:space="0" w:color="FFFFFF"/>
                  </w:tcBorders>
                  <w:shd w:val="clear" w:color="000000" w:fill="FDE9D9"/>
                  <w:noWrap/>
                  <w:vAlign w:val="center"/>
                  <w:hideMark/>
                </w:tcPr>
                <w:p w14:paraId="04922F7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1.85 </w:t>
                  </w:r>
                </w:p>
              </w:tc>
              <w:tc>
                <w:tcPr>
                  <w:tcW w:w="886" w:type="dxa"/>
                  <w:tcBorders>
                    <w:top w:val="nil"/>
                    <w:left w:val="nil"/>
                    <w:bottom w:val="single" w:sz="8" w:space="0" w:color="FFFFFF"/>
                    <w:right w:val="single" w:sz="8" w:space="0" w:color="FFFFFF"/>
                  </w:tcBorders>
                  <w:shd w:val="clear" w:color="000000" w:fill="FDE9D9"/>
                  <w:noWrap/>
                  <w:vAlign w:val="center"/>
                  <w:hideMark/>
                </w:tcPr>
                <w:p w14:paraId="7732AD4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4.02 </w:t>
                  </w:r>
                </w:p>
              </w:tc>
            </w:tr>
            <w:tr w:rsidR="00034919" w:rsidRPr="00034919" w14:paraId="65262802"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0D213EE7"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7" w:type="dxa"/>
                  <w:tcBorders>
                    <w:top w:val="nil"/>
                    <w:left w:val="nil"/>
                    <w:bottom w:val="single" w:sz="8" w:space="0" w:color="FFFFFF"/>
                    <w:right w:val="single" w:sz="8" w:space="0" w:color="FFFFFF"/>
                  </w:tcBorders>
                  <w:shd w:val="clear" w:color="000000" w:fill="FCD5B4"/>
                  <w:noWrap/>
                  <w:vAlign w:val="center"/>
                  <w:hideMark/>
                </w:tcPr>
                <w:p w14:paraId="4F76C90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3.67 </w:t>
                  </w:r>
                </w:p>
              </w:tc>
              <w:tc>
                <w:tcPr>
                  <w:tcW w:w="887" w:type="dxa"/>
                  <w:tcBorders>
                    <w:top w:val="nil"/>
                    <w:left w:val="nil"/>
                    <w:bottom w:val="single" w:sz="8" w:space="0" w:color="FFFFFF"/>
                    <w:right w:val="single" w:sz="8" w:space="0" w:color="FFFFFF"/>
                  </w:tcBorders>
                  <w:shd w:val="clear" w:color="000000" w:fill="FCD5B4"/>
                  <w:noWrap/>
                  <w:vAlign w:val="center"/>
                  <w:hideMark/>
                </w:tcPr>
                <w:p w14:paraId="1B0A283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3.84 </w:t>
                  </w:r>
                </w:p>
              </w:tc>
              <w:tc>
                <w:tcPr>
                  <w:tcW w:w="887" w:type="dxa"/>
                  <w:tcBorders>
                    <w:top w:val="nil"/>
                    <w:left w:val="nil"/>
                    <w:bottom w:val="single" w:sz="8" w:space="0" w:color="FFFFFF"/>
                    <w:right w:val="single" w:sz="8" w:space="0" w:color="FFFFFF"/>
                  </w:tcBorders>
                  <w:shd w:val="clear" w:color="000000" w:fill="FCD5B4"/>
                  <w:noWrap/>
                  <w:vAlign w:val="center"/>
                  <w:hideMark/>
                </w:tcPr>
                <w:p w14:paraId="6FB4D12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4.00 </w:t>
                  </w:r>
                </w:p>
              </w:tc>
              <w:tc>
                <w:tcPr>
                  <w:tcW w:w="886" w:type="dxa"/>
                  <w:tcBorders>
                    <w:top w:val="nil"/>
                    <w:left w:val="nil"/>
                    <w:bottom w:val="single" w:sz="8" w:space="0" w:color="FFFFFF"/>
                    <w:right w:val="single" w:sz="8" w:space="0" w:color="FFFFFF"/>
                  </w:tcBorders>
                  <w:shd w:val="clear" w:color="000000" w:fill="FCD5B4"/>
                  <w:noWrap/>
                  <w:vAlign w:val="center"/>
                  <w:hideMark/>
                </w:tcPr>
                <w:p w14:paraId="06C931A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5.87 </w:t>
                  </w:r>
                </w:p>
              </w:tc>
              <w:tc>
                <w:tcPr>
                  <w:tcW w:w="1105" w:type="dxa"/>
                  <w:tcBorders>
                    <w:top w:val="nil"/>
                    <w:left w:val="nil"/>
                    <w:bottom w:val="single" w:sz="8" w:space="0" w:color="FFFFFF"/>
                    <w:right w:val="single" w:sz="8" w:space="0" w:color="FFFFFF"/>
                  </w:tcBorders>
                  <w:shd w:val="clear" w:color="000000" w:fill="FCD5B4"/>
                  <w:noWrap/>
                  <w:vAlign w:val="center"/>
                  <w:hideMark/>
                </w:tcPr>
                <w:p w14:paraId="6F82444E"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6" w:type="dxa"/>
                  <w:tcBorders>
                    <w:top w:val="nil"/>
                    <w:left w:val="nil"/>
                    <w:bottom w:val="single" w:sz="8" w:space="0" w:color="FFFFFF"/>
                    <w:right w:val="single" w:sz="8" w:space="0" w:color="FFFFFF"/>
                  </w:tcBorders>
                  <w:shd w:val="clear" w:color="000000" w:fill="FCD5B4"/>
                  <w:noWrap/>
                  <w:vAlign w:val="center"/>
                  <w:hideMark/>
                </w:tcPr>
                <w:p w14:paraId="73835B7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1.15 </w:t>
                  </w:r>
                </w:p>
              </w:tc>
              <w:tc>
                <w:tcPr>
                  <w:tcW w:w="886" w:type="dxa"/>
                  <w:tcBorders>
                    <w:top w:val="nil"/>
                    <w:left w:val="nil"/>
                    <w:bottom w:val="single" w:sz="8" w:space="0" w:color="FFFFFF"/>
                    <w:right w:val="single" w:sz="8" w:space="0" w:color="FFFFFF"/>
                  </w:tcBorders>
                  <w:shd w:val="clear" w:color="000000" w:fill="FCD5B4"/>
                  <w:noWrap/>
                  <w:vAlign w:val="center"/>
                  <w:hideMark/>
                </w:tcPr>
                <w:p w14:paraId="1159039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1.32 </w:t>
                  </w:r>
                </w:p>
              </w:tc>
              <w:tc>
                <w:tcPr>
                  <w:tcW w:w="886" w:type="dxa"/>
                  <w:tcBorders>
                    <w:top w:val="nil"/>
                    <w:left w:val="nil"/>
                    <w:bottom w:val="single" w:sz="8" w:space="0" w:color="FFFFFF"/>
                    <w:right w:val="single" w:sz="8" w:space="0" w:color="FFFFFF"/>
                  </w:tcBorders>
                  <w:shd w:val="clear" w:color="000000" w:fill="FCD5B4"/>
                  <w:noWrap/>
                  <w:vAlign w:val="center"/>
                  <w:hideMark/>
                </w:tcPr>
                <w:p w14:paraId="1EEC124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1.49 </w:t>
                  </w:r>
                </w:p>
              </w:tc>
              <w:tc>
                <w:tcPr>
                  <w:tcW w:w="886" w:type="dxa"/>
                  <w:tcBorders>
                    <w:top w:val="nil"/>
                    <w:left w:val="nil"/>
                    <w:bottom w:val="single" w:sz="8" w:space="0" w:color="FFFFFF"/>
                    <w:right w:val="single" w:sz="8" w:space="0" w:color="FFFFFF"/>
                  </w:tcBorders>
                  <w:shd w:val="clear" w:color="000000" w:fill="FCD5B4"/>
                  <w:noWrap/>
                  <w:vAlign w:val="center"/>
                  <w:hideMark/>
                </w:tcPr>
                <w:p w14:paraId="6185CD6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3.36 </w:t>
                  </w:r>
                </w:p>
              </w:tc>
            </w:tr>
            <w:tr w:rsidR="00034919" w:rsidRPr="00034919" w14:paraId="5F15C604"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03D9C007"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7" w:type="dxa"/>
                  <w:tcBorders>
                    <w:top w:val="nil"/>
                    <w:left w:val="nil"/>
                    <w:bottom w:val="single" w:sz="8" w:space="0" w:color="FFFFFF"/>
                    <w:right w:val="single" w:sz="8" w:space="0" w:color="FFFFFF"/>
                  </w:tcBorders>
                  <w:shd w:val="clear" w:color="000000" w:fill="FDE9D9"/>
                  <w:noWrap/>
                  <w:vAlign w:val="center"/>
                  <w:hideMark/>
                </w:tcPr>
                <w:p w14:paraId="53A8843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4.01 </w:t>
                  </w:r>
                </w:p>
              </w:tc>
              <w:tc>
                <w:tcPr>
                  <w:tcW w:w="887" w:type="dxa"/>
                  <w:tcBorders>
                    <w:top w:val="nil"/>
                    <w:left w:val="nil"/>
                    <w:bottom w:val="single" w:sz="8" w:space="0" w:color="FFFFFF"/>
                    <w:right w:val="single" w:sz="8" w:space="0" w:color="FFFFFF"/>
                  </w:tcBorders>
                  <w:shd w:val="clear" w:color="000000" w:fill="FDE9D9"/>
                  <w:noWrap/>
                  <w:vAlign w:val="center"/>
                  <w:hideMark/>
                </w:tcPr>
                <w:p w14:paraId="02E50A4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4.20 </w:t>
                  </w:r>
                </w:p>
              </w:tc>
              <w:tc>
                <w:tcPr>
                  <w:tcW w:w="887" w:type="dxa"/>
                  <w:tcBorders>
                    <w:top w:val="nil"/>
                    <w:left w:val="nil"/>
                    <w:bottom w:val="single" w:sz="8" w:space="0" w:color="FFFFFF"/>
                    <w:right w:val="single" w:sz="8" w:space="0" w:color="FFFFFF"/>
                  </w:tcBorders>
                  <w:shd w:val="clear" w:color="000000" w:fill="FDE9D9"/>
                  <w:noWrap/>
                  <w:vAlign w:val="center"/>
                  <w:hideMark/>
                </w:tcPr>
                <w:p w14:paraId="27C6EBA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4.46 </w:t>
                  </w:r>
                </w:p>
              </w:tc>
              <w:tc>
                <w:tcPr>
                  <w:tcW w:w="886" w:type="dxa"/>
                  <w:tcBorders>
                    <w:top w:val="nil"/>
                    <w:left w:val="nil"/>
                    <w:bottom w:val="single" w:sz="8" w:space="0" w:color="FFFFFF"/>
                    <w:right w:val="single" w:sz="8" w:space="0" w:color="FFFFFF"/>
                  </w:tcBorders>
                  <w:shd w:val="clear" w:color="000000" w:fill="FDE9D9"/>
                  <w:noWrap/>
                  <w:vAlign w:val="center"/>
                  <w:hideMark/>
                </w:tcPr>
                <w:p w14:paraId="154C2F0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6.72 </w:t>
                  </w:r>
                </w:p>
              </w:tc>
              <w:tc>
                <w:tcPr>
                  <w:tcW w:w="1105" w:type="dxa"/>
                  <w:tcBorders>
                    <w:top w:val="nil"/>
                    <w:left w:val="nil"/>
                    <w:bottom w:val="single" w:sz="8" w:space="0" w:color="FFFFFF"/>
                    <w:right w:val="single" w:sz="8" w:space="0" w:color="FFFFFF"/>
                  </w:tcBorders>
                  <w:shd w:val="clear" w:color="000000" w:fill="FDE9D9"/>
                  <w:noWrap/>
                  <w:vAlign w:val="center"/>
                  <w:hideMark/>
                </w:tcPr>
                <w:p w14:paraId="26B60973"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6" w:type="dxa"/>
                  <w:tcBorders>
                    <w:top w:val="nil"/>
                    <w:left w:val="nil"/>
                    <w:bottom w:val="single" w:sz="8" w:space="0" w:color="FFFFFF"/>
                    <w:right w:val="single" w:sz="8" w:space="0" w:color="FFFFFF"/>
                  </w:tcBorders>
                  <w:shd w:val="clear" w:color="000000" w:fill="FDE9D9"/>
                  <w:noWrap/>
                  <w:vAlign w:val="center"/>
                  <w:hideMark/>
                </w:tcPr>
                <w:p w14:paraId="309540B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1.30 </w:t>
                  </w:r>
                </w:p>
              </w:tc>
              <w:tc>
                <w:tcPr>
                  <w:tcW w:w="886" w:type="dxa"/>
                  <w:tcBorders>
                    <w:top w:val="nil"/>
                    <w:left w:val="nil"/>
                    <w:bottom w:val="single" w:sz="8" w:space="0" w:color="FFFFFF"/>
                    <w:right w:val="single" w:sz="8" w:space="0" w:color="FFFFFF"/>
                  </w:tcBorders>
                  <w:shd w:val="clear" w:color="000000" w:fill="FDE9D9"/>
                  <w:noWrap/>
                  <w:vAlign w:val="center"/>
                  <w:hideMark/>
                </w:tcPr>
                <w:p w14:paraId="68DF9DD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1.49 </w:t>
                  </w:r>
                </w:p>
              </w:tc>
              <w:tc>
                <w:tcPr>
                  <w:tcW w:w="886" w:type="dxa"/>
                  <w:tcBorders>
                    <w:top w:val="nil"/>
                    <w:left w:val="nil"/>
                    <w:bottom w:val="single" w:sz="8" w:space="0" w:color="FFFFFF"/>
                    <w:right w:val="single" w:sz="8" w:space="0" w:color="FFFFFF"/>
                  </w:tcBorders>
                  <w:shd w:val="clear" w:color="000000" w:fill="FDE9D9"/>
                  <w:noWrap/>
                  <w:vAlign w:val="center"/>
                  <w:hideMark/>
                </w:tcPr>
                <w:p w14:paraId="65B63AC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1.76 </w:t>
                  </w:r>
                </w:p>
              </w:tc>
              <w:tc>
                <w:tcPr>
                  <w:tcW w:w="886" w:type="dxa"/>
                  <w:tcBorders>
                    <w:top w:val="nil"/>
                    <w:left w:val="nil"/>
                    <w:bottom w:val="single" w:sz="8" w:space="0" w:color="FFFFFF"/>
                    <w:right w:val="single" w:sz="8" w:space="0" w:color="FFFFFF"/>
                  </w:tcBorders>
                  <w:shd w:val="clear" w:color="000000" w:fill="FDE9D9"/>
                  <w:noWrap/>
                  <w:vAlign w:val="center"/>
                  <w:hideMark/>
                </w:tcPr>
                <w:p w14:paraId="1AF90A8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4.02 </w:t>
                  </w:r>
                </w:p>
              </w:tc>
            </w:tr>
            <w:tr w:rsidR="00034919" w:rsidRPr="00034919" w14:paraId="7ABB921A" w14:textId="77777777" w:rsidTr="00E87491">
              <w:trPr>
                <w:trHeight w:val="331"/>
              </w:trPr>
              <w:tc>
                <w:tcPr>
                  <w:tcW w:w="1306" w:type="dxa"/>
                  <w:tcBorders>
                    <w:top w:val="nil"/>
                    <w:left w:val="nil"/>
                    <w:bottom w:val="nil"/>
                    <w:right w:val="nil"/>
                  </w:tcBorders>
                  <w:shd w:val="clear" w:color="000000" w:fill="FCD5B4"/>
                  <w:noWrap/>
                  <w:vAlign w:val="center"/>
                  <w:hideMark/>
                </w:tcPr>
                <w:p w14:paraId="615A73A6"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7" w:type="dxa"/>
                  <w:tcBorders>
                    <w:top w:val="nil"/>
                    <w:left w:val="nil"/>
                    <w:bottom w:val="single" w:sz="8" w:space="0" w:color="FFFFFF"/>
                    <w:right w:val="single" w:sz="8" w:space="0" w:color="FFFFFF"/>
                  </w:tcBorders>
                  <w:shd w:val="clear" w:color="000000" w:fill="FCD5B4"/>
                  <w:noWrap/>
                  <w:vAlign w:val="center"/>
                  <w:hideMark/>
                </w:tcPr>
                <w:p w14:paraId="66138C3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4.11 </w:t>
                  </w:r>
                </w:p>
              </w:tc>
              <w:tc>
                <w:tcPr>
                  <w:tcW w:w="887" w:type="dxa"/>
                  <w:tcBorders>
                    <w:top w:val="nil"/>
                    <w:left w:val="nil"/>
                    <w:bottom w:val="single" w:sz="8" w:space="0" w:color="FFFFFF"/>
                    <w:right w:val="single" w:sz="8" w:space="0" w:color="FFFFFF"/>
                  </w:tcBorders>
                  <w:shd w:val="clear" w:color="000000" w:fill="FCD5B4"/>
                  <w:noWrap/>
                  <w:vAlign w:val="center"/>
                  <w:hideMark/>
                </w:tcPr>
                <w:p w14:paraId="16F7A6F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4.30 </w:t>
                  </w:r>
                </w:p>
              </w:tc>
              <w:tc>
                <w:tcPr>
                  <w:tcW w:w="887" w:type="dxa"/>
                  <w:tcBorders>
                    <w:top w:val="nil"/>
                    <w:left w:val="nil"/>
                    <w:bottom w:val="single" w:sz="8" w:space="0" w:color="FFFFFF"/>
                    <w:right w:val="single" w:sz="8" w:space="0" w:color="FFFFFF"/>
                  </w:tcBorders>
                  <w:shd w:val="clear" w:color="000000" w:fill="FCD5B4"/>
                  <w:noWrap/>
                  <w:vAlign w:val="center"/>
                  <w:hideMark/>
                </w:tcPr>
                <w:p w14:paraId="35CD7BB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4.62 </w:t>
                  </w:r>
                </w:p>
              </w:tc>
              <w:tc>
                <w:tcPr>
                  <w:tcW w:w="886" w:type="dxa"/>
                  <w:tcBorders>
                    <w:top w:val="nil"/>
                    <w:left w:val="nil"/>
                    <w:bottom w:val="single" w:sz="8" w:space="0" w:color="FFFFFF"/>
                    <w:right w:val="single" w:sz="8" w:space="0" w:color="FFFFFF"/>
                  </w:tcBorders>
                  <w:shd w:val="clear" w:color="000000" w:fill="FCD5B4"/>
                  <w:noWrap/>
                  <w:vAlign w:val="center"/>
                  <w:hideMark/>
                </w:tcPr>
                <w:p w14:paraId="2711075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7.02 </w:t>
                  </w:r>
                </w:p>
              </w:tc>
              <w:tc>
                <w:tcPr>
                  <w:tcW w:w="1105" w:type="dxa"/>
                  <w:tcBorders>
                    <w:top w:val="nil"/>
                    <w:left w:val="nil"/>
                    <w:bottom w:val="nil"/>
                    <w:right w:val="nil"/>
                  </w:tcBorders>
                  <w:shd w:val="clear" w:color="000000" w:fill="FCD5B4"/>
                  <w:noWrap/>
                  <w:vAlign w:val="center"/>
                  <w:hideMark/>
                </w:tcPr>
                <w:p w14:paraId="53532384"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6" w:type="dxa"/>
                  <w:tcBorders>
                    <w:top w:val="nil"/>
                    <w:left w:val="nil"/>
                    <w:bottom w:val="single" w:sz="8" w:space="0" w:color="FFFFFF"/>
                    <w:right w:val="single" w:sz="8" w:space="0" w:color="FFFFFF"/>
                  </w:tcBorders>
                  <w:shd w:val="clear" w:color="000000" w:fill="FCD5B4"/>
                  <w:noWrap/>
                  <w:vAlign w:val="center"/>
                  <w:hideMark/>
                </w:tcPr>
                <w:p w14:paraId="37865E6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1.13 </w:t>
                  </w:r>
                </w:p>
              </w:tc>
              <w:tc>
                <w:tcPr>
                  <w:tcW w:w="886" w:type="dxa"/>
                  <w:tcBorders>
                    <w:top w:val="nil"/>
                    <w:left w:val="nil"/>
                    <w:bottom w:val="single" w:sz="8" w:space="0" w:color="FFFFFF"/>
                    <w:right w:val="single" w:sz="8" w:space="0" w:color="FFFFFF"/>
                  </w:tcBorders>
                  <w:shd w:val="clear" w:color="000000" w:fill="FCD5B4"/>
                  <w:noWrap/>
                  <w:vAlign w:val="center"/>
                  <w:hideMark/>
                </w:tcPr>
                <w:p w14:paraId="38E0CBB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1.32 </w:t>
                  </w:r>
                </w:p>
              </w:tc>
              <w:tc>
                <w:tcPr>
                  <w:tcW w:w="886" w:type="dxa"/>
                  <w:tcBorders>
                    <w:top w:val="nil"/>
                    <w:left w:val="nil"/>
                    <w:bottom w:val="single" w:sz="8" w:space="0" w:color="FFFFFF"/>
                    <w:right w:val="single" w:sz="8" w:space="0" w:color="FFFFFF"/>
                  </w:tcBorders>
                  <w:shd w:val="clear" w:color="000000" w:fill="FCD5B4"/>
                  <w:noWrap/>
                  <w:vAlign w:val="center"/>
                  <w:hideMark/>
                </w:tcPr>
                <w:p w14:paraId="22F4291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1.64 </w:t>
                  </w:r>
                </w:p>
              </w:tc>
              <w:tc>
                <w:tcPr>
                  <w:tcW w:w="886" w:type="dxa"/>
                  <w:tcBorders>
                    <w:top w:val="nil"/>
                    <w:left w:val="nil"/>
                    <w:bottom w:val="single" w:sz="8" w:space="0" w:color="FFFFFF"/>
                    <w:right w:val="single" w:sz="8" w:space="0" w:color="FFFFFF"/>
                  </w:tcBorders>
                  <w:shd w:val="clear" w:color="000000" w:fill="FCD5B4"/>
                  <w:noWrap/>
                  <w:vAlign w:val="center"/>
                  <w:hideMark/>
                </w:tcPr>
                <w:p w14:paraId="0BD80EC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4.04 </w:t>
                  </w:r>
                </w:p>
              </w:tc>
            </w:tr>
            <w:tr w:rsidR="00034919" w:rsidRPr="00034919" w14:paraId="79CF67AB" w14:textId="77777777" w:rsidTr="00E87491">
              <w:trPr>
                <w:trHeight w:val="331"/>
              </w:trPr>
              <w:tc>
                <w:tcPr>
                  <w:tcW w:w="1306" w:type="dxa"/>
                  <w:tcBorders>
                    <w:top w:val="nil"/>
                    <w:left w:val="nil"/>
                    <w:bottom w:val="single" w:sz="12" w:space="0" w:color="FFFFFF"/>
                    <w:right w:val="single" w:sz="8" w:space="0" w:color="FFFFFF"/>
                  </w:tcBorders>
                  <w:shd w:val="clear" w:color="000000" w:fill="F79646"/>
                  <w:noWrap/>
                  <w:vAlign w:val="center"/>
                  <w:hideMark/>
                </w:tcPr>
                <w:p w14:paraId="1A6A5DC0" w14:textId="77777777" w:rsidR="00034919" w:rsidRPr="00034919" w:rsidRDefault="00034919" w:rsidP="00034919">
                  <w:pPr>
                    <w:widowControl/>
                    <w:jc w:val="center"/>
                    <w:rPr>
                      <w:rFonts w:ascii="楷体" w:eastAsia="楷体" w:hAnsi="楷体" w:cs="宋体"/>
                      <w:b/>
                      <w:bCs/>
                      <w:color w:val="FFFFFF"/>
                      <w:kern w:val="0"/>
                      <w:sz w:val="20"/>
                      <w:szCs w:val="20"/>
                    </w:rPr>
                  </w:pPr>
                  <w:proofErr w:type="gramStart"/>
                  <w:r w:rsidRPr="00034919">
                    <w:rPr>
                      <w:rFonts w:ascii="楷体" w:eastAsia="楷体" w:hAnsi="楷体" w:cs="宋体" w:hint="eastAsia"/>
                      <w:b/>
                      <w:bCs/>
                      <w:color w:val="FFFFFF"/>
                      <w:kern w:val="0"/>
                      <w:sz w:val="20"/>
                      <w:szCs w:val="20"/>
                    </w:rPr>
                    <w:t>周变化</w:t>
                  </w:r>
                  <w:proofErr w:type="gramEnd"/>
                  <w:r w:rsidRPr="00034919">
                    <w:rPr>
                      <w:rFonts w:ascii="楷体" w:eastAsia="楷体" w:hAnsi="楷体" w:cs="宋体" w:hint="eastAsia"/>
                      <w:b/>
                      <w:bCs/>
                      <w:color w:val="FFFFFF"/>
                      <w:kern w:val="0"/>
                      <w:sz w:val="20"/>
                      <w:szCs w:val="20"/>
                    </w:rPr>
                    <w:t>(BP)</w:t>
                  </w:r>
                </w:p>
              </w:tc>
              <w:tc>
                <w:tcPr>
                  <w:tcW w:w="887" w:type="dxa"/>
                  <w:tcBorders>
                    <w:top w:val="nil"/>
                    <w:left w:val="nil"/>
                    <w:bottom w:val="single" w:sz="12" w:space="0" w:color="FFFFFF"/>
                    <w:right w:val="single" w:sz="8" w:space="0" w:color="FFFFFF"/>
                  </w:tcBorders>
                  <w:shd w:val="clear" w:color="000000" w:fill="F79646"/>
                  <w:noWrap/>
                  <w:vAlign w:val="center"/>
                  <w:hideMark/>
                </w:tcPr>
                <w:p w14:paraId="7D9B5B40"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7" w:type="dxa"/>
                  <w:tcBorders>
                    <w:top w:val="nil"/>
                    <w:left w:val="nil"/>
                    <w:bottom w:val="single" w:sz="12" w:space="0" w:color="FFFFFF"/>
                    <w:right w:val="single" w:sz="8" w:space="0" w:color="FFFFFF"/>
                  </w:tcBorders>
                  <w:shd w:val="clear" w:color="000000" w:fill="F79646"/>
                  <w:noWrap/>
                  <w:vAlign w:val="center"/>
                  <w:hideMark/>
                </w:tcPr>
                <w:p w14:paraId="4C08918C"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7" w:type="dxa"/>
                  <w:tcBorders>
                    <w:top w:val="nil"/>
                    <w:left w:val="nil"/>
                    <w:bottom w:val="single" w:sz="12" w:space="0" w:color="FFFFFF"/>
                    <w:right w:val="single" w:sz="8" w:space="0" w:color="FFFFFF"/>
                  </w:tcBorders>
                  <w:shd w:val="clear" w:color="000000" w:fill="F79646"/>
                  <w:noWrap/>
                  <w:vAlign w:val="center"/>
                  <w:hideMark/>
                </w:tcPr>
                <w:p w14:paraId="7FC485E4"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31517A75"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1105" w:type="dxa"/>
                  <w:tcBorders>
                    <w:top w:val="nil"/>
                    <w:left w:val="nil"/>
                    <w:bottom w:val="single" w:sz="12" w:space="0" w:color="FFFFFF"/>
                    <w:right w:val="single" w:sz="8" w:space="0" w:color="FFFFFF"/>
                  </w:tcBorders>
                  <w:shd w:val="clear" w:color="000000" w:fill="F79646"/>
                  <w:noWrap/>
                  <w:vAlign w:val="center"/>
                  <w:hideMark/>
                </w:tcPr>
                <w:p w14:paraId="1DD3B372"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息差</w:t>
                  </w:r>
                </w:p>
              </w:tc>
              <w:tc>
                <w:tcPr>
                  <w:tcW w:w="886" w:type="dxa"/>
                  <w:tcBorders>
                    <w:top w:val="nil"/>
                    <w:left w:val="nil"/>
                    <w:bottom w:val="single" w:sz="12" w:space="0" w:color="FFFFFF"/>
                    <w:right w:val="single" w:sz="8" w:space="0" w:color="FFFFFF"/>
                  </w:tcBorders>
                  <w:shd w:val="clear" w:color="000000" w:fill="F79646"/>
                  <w:noWrap/>
                  <w:vAlign w:val="center"/>
                  <w:hideMark/>
                </w:tcPr>
                <w:p w14:paraId="5D97E731"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6" w:type="dxa"/>
                  <w:tcBorders>
                    <w:top w:val="nil"/>
                    <w:left w:val="nil"/>
                    <w:bottom w:val="single" w:sz="12" w:space="0" w:color="FFFFFF"/>
                    <w:right w:val="single" w:sz="8" w:space="0" w:color="FFFFFF"/>
                  </w:tcBorders>
                  <w:shd w:val="clear" w:color="000000" w:fill="F79646"/>
                  <w:noWrap/>
                  <w:vAlign w:val="center"/>
                  <w:hideMark/>
                </w:tcPr>
                <w:p w14:paraId="278D2748"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6D28BEE2"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4F2FDA1D"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r>
            <w:tr w:rsidR="00034919" w:rsidRPr="00034919" w14:paraId="4D16475D" w14:textId="77777777" w:rsidTr="00E87491">
              <w:trPr>
                <w:trHeight w:val="349"/>
              </w:trPr>
              <w:tc>
                <w:tcPr>
                  <w:tcW w:w="1306" w:type="dxa"/>
                  <w:tcBorders>
                    <w:top w:val="nil"/>
                    <w:left w:val="nil"/>
                    <w:bottom w:val="single" w:sz="8" w:space="0" w:color="FFFFFF"/>
                    <w:right w:val="single" w:sz="8" w:space="0" w:color="FFFFFF"/>
                  </w:tcBorders>
                  <w:shd w:val="clear" w:color="000000" w:fill="FCD5B4"/>
                  <w:noWrap/>
                  <w:vAlign w:val="center"/>
                  <w:hideMark/>
                </w:tcPr>
                <w:p w14:paraId="24C902DC"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7" w:type="dxa"/>
                  <w:tcBorders>
                    <w:top w:val="nil"/>
                    <w:left w:val="nil"/>
                    <w:bottom w:val="single" w:sz="8" w:space="0" w:color="FFFFFF"/>
                    <w:right w:val="single" w:sz="8" w:space="0" w:color="FFFFFF"/>
                  </w:tcBorders>
                  <w:shd w:val="clear" w:color="000000" w:fill="FCD5B4"/>
                  <w:noWrap/>
                  <w:vAlign w:val="center"/>
                  <w:hideMark/>
                </w:tcPr>
                <w:p w14:paraId="4E7F6F9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FF0000"/>
                      <w:kern w:val="0"/>
                      <w:szCs w:val="21"/>
                    </w:rPr>
                    <w:t xml:space="preserve">-5.7 </w:t>
                  </w:r>
                </w:p>
              </w:tc>
              <w:tc>
                <w:tcPr>
                  <w:tcW w:w="887" w:type="dxa"/>
                  <w:tcBorders>
                    <w:top w:val="nil"/>
                    <w:left w:val="nil"/>
                    <w:bottom w:val="single" w:sz="8" w:space="0" w:color="FFFFFF"/>
                    <w:right w:val="single" w:sz="8" w:space="0" w:color="FFFFFF"/>
                  </w:tcBorders>
                  <w:shd w:val="clear" w:color="000000" w:fill="FCD5B4"/>
                  <w:noWrap/>
                  <w:vAlign w:val="center"/>
                  <w:hideMark/>
                </w:tcPr>
                <w:p w14:paraId="09E8BA2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FF0000"/>
                      <w:kern w:val="0"/>
                      <w:szCs w:val="21"/>
                    </w:rPr>
                    <w:t xml:space="preserve">-4.7 </w:t>
                  </w:r>
                </w:p>
              </w:tc>
              <w:tc>
                <w:tcPr>
                  <w:tcW w:w="887" w:type="dxa"/>
                  <w:tcBorders>
                    <w:top w:val="nil"/>
                    <w:left w:val="nil"/>
                    <w:bottom w:val="single" w:sz="8" w:space="0" w:color="FFFFFF"/>
                    <w:right w:val="single" w:sz="8" w:space="0" w:color="FFFFFF"/>
                  </w:tcBorders>
                  <w:shd w:val="clear" w:color="000000" w:fill="FCD5B4"/>
                  <w:noWrap/>
                  <w:vAlign w:val="center"/>
                  <w:hideMark/>
                </w:tcPr>
                <w:p w14:paraId="4039B91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886" w:type="dxa"/>
                  <w:tcBorders>
                    <w:top w:val="nil"/>
                    <w:left w:val="nil"/>
                    <w:bottom w:val="single" w:sz="8" w:space="0" w:color="FFFFFF"/>
                    <w:right w:val="single" w:sz="8" w:space="0" w:color="FFFFFF"/>
                  </w:tcBorders>
                  <w:shd w:val="clear" w:color="000000" w:fill="FCD5B4"/>
                  <w:noWrap/>
                  <w:vAlign w:val="center"/>
                  <w:hideMark/>
                </w:tcPr>
                <w:p w14:paraId="017E822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1105" w:type="dxa"/>
                  <w:tcBorders>
                    <w:top w:val="nil"/>
                    <w:left w:val="nil"/>
                    <w:bottom w:val="single" w:sz="8" w:space="0" w:color="FFFFFF"/>
                    <w:right w:val="single" w:sz="8" w:space="0" w:color="FFFFFF"/>
                  </w:tcBorders>
                  <w:shd w:val="clear" w:color="000000" w:fill="FCD5B4"/>
                  <w:noWrap/>
                  <w:vAlign w:val="center"/>
                  <w:hideMark/>
                </w:tcPr>
                <w:p w14:paraId="6D548B27"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6" w:type="dxa"/>
                  <w:tcBorders>
                    <w:top w:val="nil"/>
                    <w:left w:val="nil"/>
                    <w:bottom w:val="single" w:sz="8" w:space="0" w:color="FFFFFF"/>
                    <w:right w:val="single" w:sz="8" w:space="0" w:color="FFFFFF"/>
                  </w:tcBorders>
                  <w:shd w:val="clear" w:color="000000" w:fill="FCD5B4"/>
                  <w:noWrap/>
                  <w:vAlign w:val="center"/>
                  <w:hideMark/>
                </w:tcPr>
                <w:p w14:paraId="5F6B47B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FF0000"/>
                      <w:kern w:val="0"/>
                      <w:szCs w:val="21"/>
                    </w:rPr>
                    <w:t xml:space="preserve">-6.6 </w:t>
                  </w:r>
                </w:p>
              </w:tc>
              <w:tc>
                <w:tcPr>
                  <w:tcW w:w="886" w:type="dxa"/>
                  <w:tcBorders>
                    <w:top w:val="nil"/>
                    <w:left w:val="nil"/>
                    <w:bottom w:val="single" w:sz="8" w:space="0" w:color="FFFFFF"/>
                    <w:right w:val="single" w:sz="8" w:space="0" w:color="FFFFFF"/>
                  </w:tcBorders>
                  <w:shd w:val="clear" w:color="000000" w:fill="FCD5B4"/>
                  <w:noWrap/>
                  <w:vAlign w:val="center"/>
                  <w:hideMark/>
                </w:tcPr>
                <w:p w14:paraId="31AAEFC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FF0000"/>
                      <w:kern w:val="0"/>
                      <w:szCs w:val="21"/>
                    </w:rPr>
                    <w:t xml:space="preserve">-5.6 </w:t>
                  </w:r>
                </w:p>
              </w:tc>
              <w:tc>
                <w:tcPr>
                  <w:tcW w:w="886" w:type="dxa"/>
                  <w:tcBorders>
                    <w:top w:val="nil"/>
                    <w:left w:val="nil"/>
                    <w:bottom w:val="single" w:sz="8" w:space="0" w:color="FFFFFF"/>
                    <w:right w:val="single" w:sz="8" w:space="0" w:color="FFFFFF"/>
                  </w:tcBorders>
                  <w:shd w:val="clear" w:color="000000" w:fill="FCD5B4"/>
                  <w:noWrap/>
                  <w:vAlign w:val="center"/>
                  <w:hideMark/>
                </w:tcPr>
                <w:p w14:paraId="05BC826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0.4 </w:t>
                  </w:r>
                </w:p>
              </w:tc>
              <w:tc>
                <w:tcPr>
                  <w:tcW w:w="886" w:type="dxa"/>
                  <w:tcBorders>
                    <w:top w:val="nil"/>
                    <w:left w:val="nil"/>
                    <w:bottom w:val="single" w:sz="8" w:space="0" w:color="FFFFFF"/>
                    <w:right w:val="single" w:sz="8" w:space="0" w:color="FFFFFF"/>
                  </w:tcBorders>
                  <w:shd w:val="clear" w:color="000000" w:fill="FCD5B4"/>
                  <w:noWrap/>
                  <w:vAlign w:val="center"/>
                  <w:hideMark/>
                </w:tcPr>
                <w:p w14:paraId="2BE3613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0.4 </w:t>
                  </w:r>
                </w:p>
              </w:tc>
            </w:tr>
            <w:tr w:rsidR="00034919" w:rsidRPr="00034919" w14:paraId="473103B3"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6ABC8B55"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7" w:type="dxa"/>
                  <w:tcBorders>
                    <w:top w:val="nil"/>
                    <w:left w:val="nil"/>
                    <w:bottom w:val="single" w:sz="8" w:space="0" w:color="FFFFFF"/>
                    <w:right w:val="single" w:sz="8" w:space="0" w:color="FFFFFF"/>
                  </w:tcBorders>
                  <w:shd w:val="clear" w:color="000000" w:fill="FDE9D9"/>
                  <w:noWrap/>
                  <w:vAlign w:val="center"/>
                  <w:hideMark/>
                </w:tcPr>
                <w:p w14:paraId="5E3A1FD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 </w:t>
                  </w:r>
                </w:p>
              </w:tc>
              <w:tc>
                <w:tcPr>
                  <w:tcW w:w="887" w:type="dxa"/>
                  <w:tcBorders>
                    <w:top w:val="nil"/>
                    <w:left w:val="nil"/>
                    <w:bottom w:val="single" w:sz="8" w:space="0" w:color="FFFFFF"/>
                    <w:right w:val="single" w:sz="8" w:space="0" w:color="FFFFFF"/>
                  </w:tcBorders>
                  <w:shd w:val="clear" w:color="000000" w:fill="FDE9D9"/>
                  <w:noWrap/>
                  <w:vAlign w:val="center"/>
                  <w:hideMark/>
                </w:tcPr>
                <w:p w14:paraId="76E4140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5.1 </w:t>
                  </w:r>
                </w:p>
              </w:tc>
              <w:tc>
                <w:tcPr>
                  <w:tcW w:w="887" w:type="dxa"/>
                  <w:tcBorders>
                    <w:top w:val="nil"/>
                    <w:left w:val="nil"/>
                    <w:bottom w:val="single" w:sz="8" w:space="0" w:color="FFFFFF"/>
                    <w:right w:val="single" w:sz="8" w:space="0" w:color="FFFFFF"/>
                  </w:tcBorders>
                  <w:shd w:val="clear" w:color="000000" w:fill="FDE9D9"/>
                  <w:noWrap/>
                  <w:vAlign w:val="center"/>
                  <w:hideMark/>
                </w:tcPr>
                <w:p w14:paraId="26E2499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 </w:t>
                  </w:r>
                </w:p>
              </w:tc>
              <w:tc>
                <w:tcPr>
                  <w:tcW w:w="886" w:type="dxa"/>
                  <w:tcBorders>
                    <w:top w:val="nil"/>
                    <w:left w:val="nil"/>
                    <w:bottom w:val="single" w:sz="8" w:space="0" w:color="FFFFFF"/>
                    <w:right w:val="single" w:sz="8" w:space="0" w:color="FFFFFF"/>
                  </w:tcBorders>
                  <w:shd w:val="clear" w:color="000000" w:fill="FDE9D9"/>
                  <w:noWrap/>
                  <w:vAlign w:val="center"/>
                  <w:hideMark/>
                </w:tcPr>
                <w:p w14:paraId="522DB39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4.1 </w:t>
                  </w:r>
                </w:p>
              </w:tc>
              <w:tc>
                <w:tcPr>
                  <w:tcW w:w="1105" w:type="dxa"/>
                  <w:tcBorders>
                    <w:top w:val="nil"/>
                    <w:left w:val="nil"/>
                    <w:bottom w:val="single" w:sz="8" w:space="0" w:color="FFFFFF"/>
                    <w:right w:val="single" w:sz="8" w:space="0" w:color="FFFFFF"/>
                  </w:tcBorders>
                  <w:shd w:val="clear" w:color="000000" w:fill="FDE9D9"/>
                  <w:noWrap/>
                  <w:vAlign w:val="center"/>
                  <w:hideMark/>
                </w:tcPr>
                <w:p w14:paraId="3E4EA4BB"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6" w:type="dxa"/>
                  <w:tcBorders>
                    <w:top w:val="nil"/>
                    <w:left w:val="nil"/>
                    <w:bottom w:val="single" w:sz="8" w:space="0" w:color="FFFFFF"/>
                    <w:right w:val="single" w:sz="8" w:space="0" w:color="FFFFFF"/>
                  </w:tcBorders>
                  <w:shd w:val="clear" w:color="000000" w:fill="FDE9D9"/>
                  <w:noWrap/>
                  <w:vAlign w:val="center"/>
                  <w:hideMark/>
                </w:tcPr>
                <w:p w14:paraId="6A1278B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c>
                <w:tcPr>
                  <w:tcW w:w="886" w:type="dxa"/>
                  <w:tcBorders>
                    <w:top w:val="nil"/>
                    <w:left w:val="nil"/>
                    <w:bottom w:val="single" w:sz="8" w:space="0" w:color="FFFFFF"/>
                    <w:right w:val="single" w:sz="8" w:space="0" w:color="FFFFFF"/>
                  </w:tcBorders>
                  <w:shd w:val="clear" w:color="000000" w:fill="FDE9D9"/>
                  <w:noWrap/>
                  <w:vAlign w:val="center"/>
                  <w:hideMark/>
                </w:tcPr>
                <w:p w14:paraId="61ADFC1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22.7 </w:t>
                  </w:r>
                </w:p>
              </w:tc>
              <w:tc>
                <w:tcPr>
                  <w:tcW w:w="886" w:type="dxa"/>
                  <w:tcBorders>
                    <w:top w:val="nil"/>
                    <w:left w:val="nil"/>
                    <w:bottom w:val="single" w:sz="8" w:space="0" w:color="FFFFFF"/>
                    <w:right w:val="single" w:sz="8" w:space="0" w:color="FFFFFF"/>
                  </w:tcBorders>
                  <w:shd w:val="clear" w:color="000000" w:fill="FDE9D9"/>
                  <w:noWrap/>
                  <w:vAlign w:val="center"/>
                  <w:hideMark/>
                </w:tcPr>
                <w:p w14:paraId="6AABEE1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c>
                <w:tcPr>
                  <w:tcW w:w="886" w:type="dxa"/>
                  <w:tcBorders>
                    <w:top w:val="nil"/>
                    <w:left w:val="nil"/>
                    <w:bottom w:val="single" w:sz="8" w:space="0" w:color="FFFFFF"/>
                    <w:right w:val="single" w:sz="8" w:space="0" w:color="FFFFFF"/>
                  </w:tcBorders>
                  <w:shd w:val="clear" w:color="000000" w:fill="FDE9D9"/>
                  <w:noWrap/>
                  <w:vAlign w:val="center"/>
                  <w:hideMark/>
                </w:tcPr>
                <w:p w14:paraId="60DADBD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r>
            <w:tr w:rsidR="00034919" w:rsidRPr="00034919" w14:paraId="4C631490"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3E67CB23"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7" w:type="dxa"/>
                  <w:tcBorders>
                    <w:top w:val="nil"/>
                    <w:left w:val="nil"/>
                    <w:bottom w:val="single" w:sz="8" w:space="0" w:color="FFFFFF"/>
                    <w:right w:val="single" w:sz="8" w:space="0" w:color="FFFFFF"/>
                  </w:tcBorders>
                  <w:shd w:val="clear" w:color="000000" w:fill="FCD5B4"/>
                  <w:noWrap/>
                  <w:vAlign w:val="center"/>
                  <w:hideMark/>
                </w:tcPr>
                <w:p w14:paraId="2EE8C0C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0.3 </w:t>
                  </w:r>
                </w:p>
              </w:tc>
              <w:tc>
                <w:tcPr>
                  <w:tcW w:w="887" w:type="dxa"/>
                  <w:tcBorders>
                    <w:top w:val="nil"/>
                    <w:left w:val="nil"/>
                    <w:bottom w:val="single" w:sz="8" w:space="0" w:color="FFFFFF"/>
                    <w:right w:val="single" w:sz="8" w:space="0" w:color="FFFFFF"/>
                  </w:tcBorders>
                  <w:shd w:val="clear" w:color="000000" w:fill="FCD5B4"/>
                  <w:noWrap/>
                  <w:vAlign w:val="center"/>
                  <w:hideMark/>
                </w:tcPr>
                <w:p w14:paraId="32385B9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887" w:type="dxa"/>
                  <w:tcBorders>
                    <w:top w:val="nil"/>
                    <w:left w:val="nil"/>
                    <w:bottom w:val="single" w:sz="8" w:space="0" w:color="FFFFFF"/>
                    <w:right w:val="single" w:sz="8" w:space="0" w:color="FFFFFF"/>
                  </w:tcBorders>
                  <w:shd w:val="clear" w:color="000000" w:fill="FCD5B4"/>
                  <w:noWrap/>
                  <w:vAlign w:val="center"/>
                  <w:hideMark/>
                </w:tcPr>
                <w:p w14:paraId="371DE29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886" w:type="dxa"/>
                  <w:tcBorders>
                    <w:top w:val="nil"/>
                    <w:left w:val="nil"/>
                    <w:bottom w:val="single" w:sz="8" w:space="0" w:color="FFFFFF"/>
                    <w:right w:val="single" w:sz="8" w:space="0" w:color="FFFFFF"/>
                  </w:tcBorders>
                  <w:shd w:val="clear" w:color="000000" w:fill="FCD5B4"/>
                  <w:noWrap/>
                  <w:vAlign w:val="center"/>
                  <w:hideMark/>
                </w:tcPr>
                <w:p w14:paraId="108B23B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1105" w:type="dxa"/>
                  <w:tcBorders>
                    <w:top w:val="nil"/>
                    <w:left w:val="nil"/>
                    <w:bottom w:val="single" w:sz="8" w:space="0" w:color="FFFFFF"/>
                    <w:right w:val="single" w:sz="8" w:space="0" w:color="FFFFFF"/>
                  </w:tcBorders>
                  <w:shd w:val="clear" w:color="000000" w:fill="FCD5B4"/>
                  <w:noWrap/>
                  <w:vAlign w:val="center"/>
                  <w:hideMark/>
                </w:tcPr>
                <w:p w14:paraId="44E6AB74"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6" w:type="dxa"/>
                  <w:tcBorders>
                    <w:top w:val="nil"/>
                    <w:left w:val="nil"/>
                    <w:bottom w:val="single" w:sz="8" w:space="0" w:color="FFFFFF"/>
                    <w:right w:val="single" w:sz="8" w:space="0" w:color="FFFFFF"/>
                  </w:tcBorders>
                  <w:shd w:val="clear" w:color="000000" w:fill="FCD5B4"/>
                  <w:noWrap/>
                  <w:vAlign w:val="center"/>
                  <w:hideMark/>
                </w:tcPr>
                <w:p w14:paraId="604C57E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14.3 </w:t>
                  </w:r>
                </w:p>
              </w:tc>
              <w:tc>
                <w:tcPr>
                  <w:tcW w:w="886" w:type="dxa"/>
                  <w:tcBorders>
                    <w:top w:val="nil"/>
                    <w:left w:val="nil"/>
                    <w:bottom w:val="single" w:sz="8" w:space="0" w:color="FFFFFF"/>
                    <w:right w:val="single" w:sz="8" w:space="0" w:color="FFFFFF"/>
                  </w:tcBorders>
                  <w:shd w:val="clear" w:color="000000" w:fill="FCD5B4"/>
                  <w:noWrap/>
                  <w:vAlign w:val="center"/>
                  <w:hideMark/>
                </w:tcPr>
                <w:p w14:paraId="6BD5462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c>
                <w:tcPr>
                  <w:tcW w:w="886" w:type="dxa"/>
                  <w:tcBorders>
                    <w:top w:val="nil"/>
                    <w:left w:val="nil"/>
                    <w:bottom w:val="single" w:sz="8" w:space="0" w:color="FFFFFF"/>
                    <w:right w:val="single" w:sz="8" w:space="0" w:color="FFFFFF"/>
                  </w:tcBorders>
                  <w:shd w:val="clear" w:color="000000" w:fill="FCD5B4"/>
                  <w:noWrap/>
                  <w:vAlign w:val="center"/>
                  <w:hideMark/>
                </w:tcPr>
                <w:p w14:paraId="6FF1556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c>
                <w:tcPr>
                  <w:tcW w:w="886" w:type="dxa"/>
                  <w:tcBorders>
                    <w:top w:val="nil"/>
                    <w:left w:val="nil"/>
                    <w:bottom w:val="single" w:sz="8" w:space="0" w:color="FFFFFF"/>
                    <w:right w:val="single" w:sz="8" w:space="0" w:color="FFFFFF"/>
                  </w:tcBorders>
                  <w:shd w:val="clear" w:color="000000" w:fill="FCD5B4"/>
                  <w:noWrap/>
                  <w:vAlign w:val="center"/>
                  <w:hideMark/>
                </w:tcPr>
                <w:p w14:paraId="1867423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r>
            <w:tr w:rsidR="00034919" w:rsidRPr="00034919" w14:paraId="156FB296"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1018AC16"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7" w:type="dxa"/>
                  <w:tcBorders>
                    <w:top w:val="nil"/>
                    <w:left w:val="nil"/>
                    <w:bottom w:val="single" w:sz="8" w:space="0" w:color="FFFFFF"/>
                    <w:right w:val="single" w:sz="8" w:space="0" w:color="FFFFFF"/>
                  </w:tcBorders>
                  <w:shd w:val="clear" w:color="000000" w:fill="FDE9D9"/>
                  <w:noWrap/>
                  <w:vAlign w:val="center"/>
                  <w:hideMark/>
                </w:tcPr>
                <w:p w14:paraId="1D8E7E5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 </w:t>
                  </w:r>
                </w:p>
              </w:tc>
              <w:tc>
                <w:tcPr>
                  <w:tcW w:w="887" w:type="dxa"/>
                  <w:tcBorders>
                    <w:top w:val="nil"/>
                    <w:left w:val="nil"/>
                    <w:bottom w:val="single" w:sz="8" w:space="0" w:color="FFFFFF"/>
                    <w:right w:val="single" w:sz="8" w:space="0" w:color="FFFFFF"/>
                  </w:tcBorders>
                  <w:shd w:val="clear" w:color="000000" w:fill="FDE9D9"/>
                  <w:noWrap/>
                  <w:vAlign w:val="center"/>
                  <w:hideMark/>
                </w:tcPr>
                <w:p w14:paraId="7E90B75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5.2 </w:t>
                  </w:r>
                </w:p>
              </w:tc>
              <w:tc>
                <w:tcPr>
                  <w:tcW w:w="887" w:type="dxa"/>
                  <w:tcBorders>
                    <w:top w:val="nil"/>
                    <w:left w:val="nil"/>
                    <w:bottom w:val="single" w:sz="8" w:space="0" w:color="FFFFFF"/>
                    <w:right w:val="single" w:sz="8" w:space="0" w:color="FFFFFF"/>
                  </w:tcBorders>
                  <w:shd w:val="clear" w:color="000000" w:fill="FDE9D9"/>
                  <w:noWrap/>
                  <w:vAlign w:val="center"/>
                  <w:hideMark/>
                </w:tcPr>
                <w:p w14:paraId="10D6CDF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 </w:t>
                  </w:r>
                </w:p>
              </w:tc>
              <w:tc>
                <w:tcPr>
                  <w:tcW w:w="886" w:type="dxa"/>
                  <w:tcBorders>
                    <w:top w:val="nil"/>
                    <w:left w:val="nil"/>
                    <w:bottom w:val="single" w:sz="8" w:space="0" w:color="FFFFFF"/>
                    <w:right w:val="single" w:sz="8" w:space="0" w:color="FFFFFF"/>
                  </w:tcBorders>
                  <w:shd w:val="clear" w:color="000000" w:fill="FDE9D9"/>
                  <w:noWrap/>
                  <w:vAlign w:val="center"/>
                  <w:hideMark/>
                </w:tcPr>
                <w:p w14:paraId="1BA74CB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4.2 </w:t>
                  </w:r>
                </w:p>
              </w:tc>
              <w:tc>
                <w:tcPr>
                  <w:tcW w:w="1105" w:type="dxa"/>
                  <w:tcBorders>
                    <w:top w:val="nil"/>
                    <w:left w:val="nil"/>
                    <w:bottom w:val="single" w:sz="8" w:space="0" w:color="FFFFFF"/>
                    <w:right w:val="single" w:sz="8" w:space="0" w:color="FFFFFF"/>
                  </w:tcBorders>
                  <w:shd w:val="clear" w:color="000000" w:fill="FDE9D9"/>
                  <w:noWrap/>
                  <w:vAlign w:val="center"/>
                  <w:hideMark/>
                </w:tcPr>
                <w:p w14:paraId="7C373B8E"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6" w:type="dxa"/>
                  <w:tcBorders>
                    <w:top w:val="nil"/>
                    <w:left w:val="nil"/>
                    <w:bottom w:val="single" w:sz="8" w:space="0" w:color="FFFFFF"/>
                    <w:right w:val="single" w:sz="8" w:space="0" w:color="FFFFFF"/>
                  </w:tcBorders>
                  <w:shd w:val="clear" w:color="000000" w:fill="FDE9D9"/>
                  <w:noWrap/>
                  <w:vAlign w:val="center"/>
                  <w:hideMark/>
                </w:tcPr>
                <w:p w14:paraId="6DF4BB6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c>
                <w:tcPr>
                  <w:tcW w:w="886" w:type="dxa"/>
                  <w:tcBorders>
                    <w:top w:val="nil"/>
                    <w:left w:val="nil"/>
                    <w:bottom w:val="single" w:sz="8" w:space="0" w:color="FFFFFF"/>
                    <w:right w:val="single" w:sz="8" w:space="0" w:color="FFFFFF"/>
                  </w:tcBorders>
                  <w:shd w:val="clear" w:color="000000" w:fill="FDE9D9"/>
                  <w:noWrap/>
                  <w:vAlign w:val="center"/>
                  <w:hideMark/>
                </w:tcPr>
                <w:p w14:paraId="60C76D1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22.7 </w:t>
                  </w:r>
                </w:p>
              </w:tc>
              <w:tc>
                <w:tcPr>
                  <w:tcW w:w="886" w:type="dxa"/>
                  <w:tcBorders>
                    <w:top w:val="nil"/>
                    <w:left w:val="nil"/>
                    <w:bottom w:val="single" w:sz="8" w:space="0" w:color="FFFFFF"/>
                    <w:right w:val="single" w:sz="8" w:space="0" w:color="FFFFFF"/>
                  </w:tcBorders>
                  <w:shd w:val="clear" w:color="000000" w:fill="FDE9D9"/>
                  <w:noWrap/>
                  <w:vAlign w:val="center"/>
                  <w:hideMark/>
                </w:tcPr>
                <w:p w14:paraId="5DB1B8A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c>
                <w:tcPr>
                  <w:tcW w:w="886" w:type="dxa"/>
                  <w:tcBorders>
                    <w:top w:val="nil"/>
                    <w:left w:val="nil"/>
                    <w:bottom w:val="single" w:sz="8" w:space="0" w:color="FFFFFF"/>
                    <w:right w:val="single" w:sz="8" w:space="0" w:color="FFFFFF"/>
                  </w:tcBorders>
                  <w:shd w:val="clear" w:color="000000" w:fill="FDE9D9"/>
                  <w:noWrap/>
                  <w:vAlign w:val="center"/>
                  <w:hideMark/>
                </w:tcPr>
                <w:p w14:paraId="060553E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21.7 </w:t>
                  </w:r>
                </w:p>
              </w:tc>
            </w:tr>
            <w:tr w:rsidR="00034919" w:rsidRPr="00034919" w14:paraId="4D1E095C"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7922E1C8"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7" w:type="dxa"/>
                  <w:tcBorders>
                    <w:top w:val="nil"/>
                    <w:left w:val="nil"/>
                    <w:bottom w:val="single" w:sz="8" w:space="0" w:color="FFFFFF"/>
                    <w:right w:val="single" w:sz="8" w:space="0" w:color="FFFFFF"/>
                  </w:tcBorders>
                  <w:shd w:val="clear" w:color="000000" w:fill="FCD5B4"/>
                  <w:noWrap/>
                  <w:vAlign w:val="center"/>
                  <w:hideMark/>
                </w:tcPr>
                <w:p w14:paraId="4A3CA5D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0.3 </w:t>
                  </w:r>
                </w:p>
              </w:tc>
              <w:tc>
                <w:tcPr>
                  <w:tcW w:w="887" w:type="dxa"/>
                  <w:tcBorders>
                    <w:top w:val="nil"/>
                    <w:left w:val="nil"/>
                    <w:bottom w:val="single" w:sz="8" w:space="0" w:color="FFFFFF"/>
                    <w:right w:val="single" w:sz="8" w:space="0" w:color="FFFFFF"/>
                  </w:tcBorders>
                  <w:shd w:val="clear" w:color="000000" w:fill="FCD5B4"/>
                  <w:noWrap/>
                  <w:vAlign w:val="center"/>
                  <w:hideMark/>
                </w:tcPr>
                <w:p w14:paraId="13B2665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887" w:type="dxa"/>
                  <w:tcBorders>
                    <w:top w:val="nil"/>
                    <w:left w:val="nil"/>
                    <w:bottom w:val="single" w:sz="8" w:space="0" w:color="FFFFFF"/>
                    <w:right w:val="single" w:sz="8" w:space="0" w:color="FFFFFF"/>
                  </w:tcBorders>
                  <w:shd w:val="clear" w:color="000000" w:fill="FCD5B4"/>
                  <w:noWrap/>
                  <w:vAlign w:val="center"/>
                  <w:hideMark/>
                </w:tcPr>
                <w:p w14:paraId="3E0D1DE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886" w:type="dxa"/>
                  <w:tcBorders>
                    <w:top w:val="nil"/>
                    <w:left w:val="nil"/>
                    <w:bottom w:val="single" w:sz="8" w:space="0" w:color="FFFFFF"/>
                    <w:right w:val="single" w:sz="8" w:space="0" w:color="FFFFFF"/>
                  </w:tcBorders>
                  <w:shd w:val="clear" w:color="000000" w:fill="FCD5B4"/>
                  <w:noWrap/>
                  <w:vAlign w:val="center"/>
                  <w:hideMark/>
                </w:tcPr>
                <w:p w14:paraId="1840076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1.3 </w:t>
                  </w:r>
                </w:p>
              </w:tc>
              <w:tc>
                <w:tcPr>
                  <w:tcW w:w="1105" w:type="dxa"/>
                  <w:tcBorders>
                    <w:top w:val="nil"/>
                    <w:left w:val="nil"/>
                    <w:bottom w:val="single" w:sz="8" w:space="0" w:color="FFFFFF"/>
                    <w:right w:val="single" w:sz="8" w:space="0" w:color="FFFFFF"/>
                  </w:tcBorders>
                  <w:shd w:val="clear" w:color="000000" w:fill="FCD5B4"/>
                  <w:noWrap/>
                  <w:vAlign w:val="center"/>
                  <w:hideMark/>
                </w:tcPr>
                <w:p w14:paraId="6B68928B"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6" w:type="dxa"/>
                  <w:tcBorders>
                    <w:top w:val="nil"/>
                    <w:left w:val="nil"/>
                    <w:bottom w:val="single" w:sz="8" w:space="0" w:color="FFFFFF"/>
                    <w:right w:val="single" w:sz="8" w:space="0" w:color="FFFFFF"/>
                  </w:tcBorders>
                  <w:shd w:val="clear" w:color="000000" w:fill="FCD5B4"/>
                  <w:noWrap/>
                  <w:vAlign w:val="center"/>
                  <w:hideMark/>
                </w:tcPr>
                <w:p w14:paraId="25CACB1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14.3 </w:t>
                  </w:r>
                </w:p>
              </w:tc>
              <w:tc>
                <w:tcPr>
                  <w:tcW w:w="886" w:type="dxa"/>
                  <w:tcBorders>
                    <w:top w:val="nil"/>
                    <w:left w:val="nil"/>
                    <w:bottom w:val="single" w:sz="8" w:space="0" w:color="FFFFFF"/>
                    <w:right w:val="single" w:sz="8" w:space="0" w:color="FFFFFF"/>
                  </w:tcBorders>
                  <w:shd w:val="clear" w:color="000000" w:fill="FCD5B4"/>
                  <w:noWrap/>
                  <w:vAlign w:val="center"/>
                  <w:hideMark/>
                </w:tcPr>
                <w:p w14:paraId="6FDD2CA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c>
                <w:tcPr>
                  <w:tcW w:w="886" w:type="dxa"/>
                  <w:tcBorders>
                    <w:top w:val="nil"/>
                    <w:left w:val="nil"/>
                    <w:bottom w:val="single" w:sz="8" w:space="0" w:color="FFFFFF"/>
                    <w:right w:val="single" w:sz="8" w:space="0" w:color="FFFFFF"/>
                  </w:tcBorders>
                  <w:shd w:val="clear" w:color="000000" w:fill="FCD5B4"/>
                  <w:noWrap/>
                  <w:vAlign w:val="center"/>
                  <w:hideMark/>
                </w:tcPr>
                <w:p w14:paraId="13070EF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c>
                <w:tcPr>
                  <w:tcW w:w="886" w:type="dxa"/>
                  <w:tcBorders>
                    <w:top w:val="nil"/>
                    <w:left w:val="nil"/>
                    <w:bottom w:val="single" w:sz="8" w:space="0" w:color="FFFFFF"/>
                    <w:right w:val="single" w:sz="8" w:space="0" w:color="FFFFFF"/>
                  </w:tcBorders>
                  <w:shd w:val="clear" w:color="000000" w:fill="FCD5B4"/>
                  <w:noWrap/>
                  <w:vAlign w:val="center"/>
                  <w:hideMark/>
                </w:tcPr>
                <w:p w14:paraId="10D4C1D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15.3 </w:t>
                  </w:r>
                </w:p>
              </w:tc>
            </w:tr>
            <w:tr w:rsidR="00034919" w:rsidRPr="00034919" w14:paraId="7B712229"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1459F29B"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7" w:type="dxa"/>
                  <w:tcBorders>
                    <w:top w:val="nil"/>
                    <w:left w:val="nil"/>
                    <w:bottom w:val="single" w:sz="8" w:space="0" w:color="FFFFFF"/>
                    <w:right w:val="single" w:sz="8" w:space="0" w:color="FFFFFF"/>
                  </w:tcBorders>
                  <w:shd w:val="clear" w:color="000000" w:fill="FDE9D9"/>
                  <w:noWrap/>
                  <w:vAlign w:val="center"/>
                  <w:hideMark/>
                </w:tcPr>
                <w:p w14:paraId="59BCD22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7.2 </w:t>
                  </w:r>
                </w:p>
              </w:tc>
              <w:tc>
                <w:tcPr>
                  <w:tcW w:w="887" w:type="dxa"/>
                  <w:tcBorders>
                    <w:top w:val="nil"/>
                    <w:left w:val="nil"/>
                    <w:bottom w:val="single" w:sz="8" w:space="0" w:color="FFFFFF"/>
                    <w:right w:val="single" w:sz="8" w:space="0" w:color="FFFFFF"/>
                  </w:tcBorders>
                  <w:shd w:val="clear" w:color="000000" w:fill="FDE9D9"/>
                  <w:noWrap/>
                  <w:vAlign w:val="center"/>
                  <w:hideMark/>
                </w:tcPr>
                <w:p w14:paraId="3BD7756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7.2 </w:t>
                  </w:r>
                </w:p>
              </w:tc>
              <w:tc>
                <w:tcPr>
                  <w:tcW w:w="887" w:type="dxa"/>
                  <w:tcBorders>
                    <w:top w:val="nil"/>
                    <w:left w:val="nil"/>
                    <w:bottom w:val="single" w:sz="8" w:space="0" w:color="FFFFFF"/>
                    <w:right w:val="single" w:sz="8" w:space="0" w:color="FFFFFF"/>
                  </w:tcBorders>
                  <w:shd w:val="clear" w:color="000000" w:fill="FDE9D9"/>
                  <w:noWrap/>
                  <w:vAlign w:val="center"/>
                  <w:hideMark/>
                </w:tcPr>
                <w:p w14:paraId="53BF58E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7.2 </w:t>
                  </w:r>
                </w:p>
              </w:tc>
              <w:tc>
                <w:tcPr>
                  <w:tcW w:w="886" w:type="dxa"/>
                  <w:tcBorders>
                    <w:top w:val="nil"/>
                    <w:left w:val="nil"/>
                    <w:bottom w:val="single" w:sz="8" w:space="0" w:color="FFFFFF"/>
                    <w:right w:val="single" w:sz="8" w:space="0" w:color="FFFFFF"/>
                  </w:tcBorders>
                  <w:shd w:val="clear" w:color="000000" w:fill="FDE9D9"/>
                  <w:noWrap/>
                  <w:vAlign w:val="center"/>
                  <w:hideMark/>
                </w:tcPr>
                <w:p w14:paraId="6EC1FB5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7.2 </w:t>
                  </w:r>
                </w:p>
              </w:tc>
              <w:tc>
                <w:tcPr>
                  <w:tcW w:w="1105" w:type="dxa"/>
                  <w:tcBorders>
                    <w:top w:val="nil"/>
                    <w:left w:val="nil"/>
                    <w:bottom w:val="single" w:sz="8" w:space="0" w:color="FFFFFF"/>
                    <w:right w:val="single" w:sz="8" w:space="0" w:color="FFFFFF"/>
                  </w:tcBorders>
                  <w:shd w:val="clear" w:color="000000" w:fill="FDE9D9"/>
                  <w:noWrap/>
                  <w:vAlign w:val="center"/>
                  <w:hideMark/>
                </w:tcPr>
                <w:p w14:paraId="22D3401F"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6" w:type="dxa"/>
                  <w:tcBorders>
                    <w:top w:val="nil"/>
                    <w:left w:val="nil"/>
                    <w:bottom w:val="single" w:sz="8" w:space="0" w:color="FFFFFF"/>
                    <w:right w:val="single" w:sz="8" w:space="0" w:color="FFFFFF"/>
                  </w:tcBorders>
                  <w:shd w:val="clear" w:color="000000" w:fill="FDE9D9"/>
                  <w:noWrap/>
                  <w:vAlign w:val="center"/>
                  <w:hideMark/>
                </w:tcPr>
                <w:p w14:paraId="1D4FBC1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11.3 </w:t>
                  </w:r>
                </w:p>
              </w:tc>
              <w:tc>
                <w:tcPr>
                  <w:tcW w:w="886" w:type="dxa"/>
                  <w:tcBorders>
                    <w:top w:val="nil"/>
                    <w:left w:val="nil"/>
                    <w:bottom w:val="single" w:sz="8" w:space="0" w:color="FFFFFF"/>
                    <w:right w:val="single" w:sz="8" w:space="0" w:color="FFFFFF"/>
                  </w:tcBorders>
                  <w:shd w:val="clear" w:color="000000" w:fill="FDE9D9"/>
                  <w:noWrap/>
                  <w:vAlign w:val="center"/>
                  <w:hideMark/>
                </w:tcPr>
                <w:p w14:paraId="16F01F4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11.3 </w:t>
                  </w:r>
                </w:p>
              </w:tc>
              <w:tc>
                <w:tcPr>
                  <w:tcW w:w="886" w:type="dxa"/>
                  <w:tcBorders>
                    <w:top w:val="nil"/>
                    <w:left w:val="nil"/>
                    <w:bottom w:val="single" w:sz="8" w:space="0" w:color="FFFFFF"/>
                    <w:right w:val="single" w:sz="8" w:space="0" w:color="FFFFFF"/>
                  </w:tcBorders>
                  <w:shd w:val="clear" w:color="000000" w:fill="FDE9D9"/>
                  <w:noWrap/>
                  <w:vAlign w:val="center"/>
                  <w:hideMark/>
                </w:tcPr>
                <w:p w14:paraId="14ED3EA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11.3 </w:t>
                  </w:r>
                </w:p>
              </w:tc>
              <w:tc>
                <w:tcPr>
                  <w:tcW w:w="886" w:type="dxa"/>
                  <w:tcBorders>
                    <w:top w:val="nil"/>
                    <w:left w:val="nil"/>
                    <w:bottom w:val="single" w:sz="8" w:space="0" w:color="FFFFFF"/>
                    <w:right w:val="single" w:sz="8" w:space="0" w:color="FFFFFF"/>
                  </w:tcBorders>
                  <w:shd w:val="clear" w:color="000000" w:fill="FDE9D9"/>
                  <w:noWrap/>
                  <w:vAlign w:val="center"/>
                  <w:hideMark/>
                </w:tcPr>
                <w:p w14:paraId="6C89BEF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11.3 </w:t>
                  </w:r>
                </w:p>
              </w:tc>
            </w:tr>
            <w:tr w:rsidR="00034919" w:rsidRPr="00034919" w14:paraId="48FE33F5"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3E3883E5"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7" w:type="dxa"/>
                  <w:tcBorders>
                    <w:top w:val="nil"/>
                    <w:left w:val="nil"/>
                    <w:bottom w:val="single" w:sz="8" w:space="0" w:color="FFFFFF"/>
                    <w:right w:val="single" w:sz="8" w:space="0" w:color="FFFFFF"/>
                  </w:tcBorders>
                  <w:shd w:val="clear" w:color="000000" w:fill="FCD5B4"/>
                  <w:noWrap/>
                  <w:vAlign w:val="center"/>
                  <w:hideMark/>
                </w:tcPr>
                <w:p w14:paraId="1928AB8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6.5 </w:t>
                  </w:r>
                </w:p>
              </w:tc>
              <w:tc>
                <w:tcPr>
                  <w:tcW w:w="887" w:type="dxa"/>
                  <w:tcBorders>
                    <w:top w:val="nil"/>
                    <w:left w:val="nil"/>
                    <w:bottom w:val="single" w:sz="8" w:space="0" w:color="FFFFFF"/>
                    <w:right w:val="single" w:sz="8" w:space="0" w:color="FFFFFF"/>
                  </w:tcBorders>
                  <w:shd w:val="clear" w:color="000000" w:fill="FCD5B4"/>
                  <w:noWrap/>
                  <w:vAlign w:val="center"/>
                  <w:hideMark/>
                </w:tcPr>
                <w:p w14:paraId="484A256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10.5 </w:t>
                  </w:r>
                </w:p>
              </w:tc>
              <w:tc>
                <w:tcPr>
                  <w:tcW w:w="887" w:type="dxa"/>
                  <w:tcBorders>
                    <w:top w:val="nil"/>
                    <w:left w:val="nil"/>
                    <w:bottom w:val="single" w:sz="8" w:space="0" w:color="FFFFFF"/>
                    <w:right w:val="single" w:sz="8" w:space="0" w:color="FFFFFF"/>
                  </w:tcBorders>
                  <w:shd w:val="clear" w:color="000000" w:fill="FCD5B4"/>
                  <w:noWrap/>
                  <w:vAlign w:val="center"/>
                  <w:hideMark/>
                </w:tcPr>
                <w:p w14:paraId="5F88B5F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10.5 </w:t>
                  </w:r>
                </w:p>
              </w:tc>
              <w:tc>
                <w:tcPr>
                  <w:tcW w:w="886" w:type="dxa"/>
                  <w:tcBorders>
                    <w:top w:val="nil"/>
                    <w:left w:val="nil"/>
                    <w:bottom w:val="single" w:sz="8" w:space="0" w:color="FFFFFF"/>
                    <w:right w:val="single" w:sz="8" w:space="0" w:color="FFFFFF"/>
                  </w:tcBorders>
                  <w:shd w:val="clear" w:color="000000" w:fill="FCD5B4"/>
                  <w:noWrap/>
                  <w:vAlign w:val="center"/>
                  <w:hideMark/>
                </w:tcPr>
                <w:p w14:paraId="1AB948E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FF0000"/>
                      <w:kern w:val="0"/>
                      <w:szCs w:val="21"/>
                    </w:rPr>
                    <w:t xml:space="preserve">-0.5 </w:t>
                  </w:r>
                </w:p>
              </w:tc>
              <w:tc>
                <w:tcPr>
                  <w:tcW w:w="1105" w:type="dxa"/>
                  <w:tcBorders>
                    <w:top w:val="nil"/>
                    <w:left w:val="nil"/>
                    <w:bottom w:val="single" w:sz="8" w:space="0" w:color="FFFFFF"/>
                    <w:right w:val="single" w:sz="8" w:space="0" w:color="FFFFFF"/>
                  </w:tcBorders>
                  <w:shd w:val="clear" w:color="000000" w:fill="FCD5B4"/>
                  <w:noWrap/>
                  <w:vAlign w:val="center"/>
                  <w:hideMark/>
                </w:tcPr>
                <w:p w14:paraId="512F8C88"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6" w:type="dxa"/>
                  <w:tcBorders>
                    <w:top w:val="nil"/>
                    <w:left w:val="nil"/>
                    <w:bottom w:val="single" w:sz="8" w:space="0" w:color="FFFFFF"/>
                    <w:right w:val="single" w:sz="8" w:space="0" w:color="FFFFFF"/>
                  </w:tcBorders>
                  <w:shd w:val="clear" w:color="000000" w:fill="FCD5B4"/>
                  <w:noWrap/>
                  <w:vAlign w:val="center"/>
                  <w:hideMark/>
                </w:tcPr>
                <w:p w14:paraId="282F0E7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24.1 </w:t>
                  </w:r>
                </w:p>
              </w:tc>
              <w:tc>
                <w:tcPr>
                  <w:tcW w:w="886" w:type="dxa"/>
                  <w:tcBorders>
                    <w:top w:val="nil"/>
                    <w:left w:val="nil"/>
                    <w:bottom w:val="single" w:sz="8" w:space="0" w:color="FFFFFF"/>
                    <w:right w:val="single" w:sz="8" w:space="0" w:color="FFFFFF"/>
                  </w:tcBorders>
                  <w:shd w:val="clear" w:color="000000" w:fill="FCD5B4"/>
                  <w:noWrap/>
                  <w:vAlign w:val="center"/>
                  <w:hideMark/>
                </w:tcPr>
                <w:p w14:paraId="304B4CB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28.1 </w:t>
                  </w:r>
                </w:p>
              </w:tc>
              <w:tc>
                <w:tcPr>
                  <w:tcW w:w="886" w:type="dxa"/>
                  <w:tcBorders>
                    <w:top w:val="nil"/>
                    <w:left w:val="nil"/>
                    <w:bottom w:val="single" w:sz="8" w:space="0" w:color="FFFFFF"/>
                    <w:right w:val="single" w:sz="8" w:space="0" w:color="FFFFFF"/>
                  </w:tcBorders>
                  <w:shd w:val="clear" w:color="000000" w:fill="FCD5B4"/>
                  <w:noWrap/>
                  <w:vAlign w:val="center"/>
                  <w:hideMark/>
                </w:tcPr>
                <w:p w14:paraId="53C9EB2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28.1 </w:t>
                  </w:r>
                </w:p>
              </w:tc>
              <w:tc>
                <w:tcPr>
                  <w:tcW w:w="886" w:type="dxa"/>
                  <w:tcBorders>
                    <w:top w:val="nil"/>
                    <w:left w:val="nil"/>
                    <w:bottom w:val="single" w:sz="8" w:space="0" w:color="FFFFFF"/>
                    <w:right w:val="single" w:sz="8" w:space="0" w:color="FFFFFF"/>
                  </w:tcBorders>
                  <w:shd w:val="clear" w:color="000000" w:fill="FCD5B4"/>
                  <w:noWrap/>
                  <w:vAlign w:val="center"/>
                  <w:hideMark/>
                </w:tcPr>
                <w:p w14:paraId="044E401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17.1 </w:t>
                  </w:r>
                </w:p>
              </w:tc>
            </w:tr>
            <w:tr w:rsidR="00034919" w:rsidRPr="00034919" w14:paraId="1ADD88A2"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5B1C2A46"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7" w:type="dxa"/>
                  <w:tcBorders>
                    <w:top w:val="nil"/>
                    <w:left w:val="nil"/>
                    <w:bottom w:val="single" w:sz="8" w:space="0" w:color="FFFFFF"/>
                    <w:right w:val="single" w:sz="8" w:space="0" w:color="FFFFFF"/>
                  </w:tcBorders>
                  <w:shd w:val="clear" w:color="000000" w:fill="FDE9D9"/>
                  <w:noWrap/>
                  <w:vAlign w:val="center"/>
                  <w:hideMark/>
                </w:tcPr>
                <w:p w14:paraId="628EAB5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0.8 </w:t>
                  </w:r>
                </w:p>
              </w:tc>
              <w:tc>
                <w:tcPr>
                  <w:tcW w:w="887" w:type="dxa"/>
                  <w:tcBorders>
                    <w:top w:val="nil"/>
                    <w:left w:val="nil"/>
                    <w:bottom w:val="single" w:sz="8" w:space="0" w:color="FFFFFF"/>
                    <w:right w:val="single" w:sz="8" w:space="0" w:color="FFFFFF"/>
                  </w:tcBorders>
                  <w:shd w:val="clear" w:color="000000" w:fill="FDE9D9"/>
                  <w:noWrap/>
                  <w:vAlign w:val="center"/>
                  <w:hideMark/>
                </w:tcPr>
                <w:p w14:paraId="164F7E9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0.8 </w:t>
                  </w:r>
                </w:p>
              </w:tc>
              <w:tc>
                <w:tcPr>
                  <w:tcW w:w="887" w:type="dxa"/>
                  <w:tcBorders>
                    <w:top w:val="nil"/>
                    <w:left w:val="nil"/>
                    <w:bottom w:val="single" w:sz="8" w:space="0" w:color="FFFFFF"/>
                    <w:right w:val="single" w:sz="8" w:space="0" w:color="FFFFFF"/>
                  </w:tcBorders>
                  <w:shd w:val="clear" w:color="000000" w:fill="FDE9D9"/>
                  <w:noWrap/>
                  <w:vAlign w:val="center"/>
                  <w:hideMark/>
                </w:tcPr>
                <w:p w14:paraId="02B784B4"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6.8 </w:t>
                  </w:r>
                </w:p>
              </w:tc>
              <w:tc>
                <w:tcPr>
                  <w:tcW w:w="886" w:type="dxa"/>
                  <w:tcBorders>
                    <w:top w:val="nil"/>
                    <w:left w:val="nil"/>
                    <w:bottom w:val="single" w:sz="8" w:space="0" w:color="FFFFFF"/>
                    <w:right w:val="single" w:sz="8" w:space="0" w:color="FFFFFF"/>
                  </w:tcBorders>
                  <w:shd w:val="clear" w:color="000000" w:fill="FDE9D9"/>
                  <w:noWrap/>
                  <w:vAlign w:val="center"/>
                  <w:hideMark/>
                </w:tcPr>
                <w:p w14:paraId="556AA2D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3.8 </w:t>
                  </w:r>
                </w:p>
              </w:tc>
              <w:tc>
                <w:tcPr>
                  <w:tcW w:w="1105" w:type="dxa"/>
                  <w:tcBorders>
                    <w:top w:val="nil"/>
                    <w:left w:val="nil"/>
                    <w:bottom w:val="single" w:sz="8" w:space="0" w:color="FFFFFF"/>
                    <w:right w:val="single" w:sz="8" w:space="0" w:color="FFFFFF"/>
                  </w:tcBorders>
                  <w:shd w:val="clear" w:color="000000" w:fill="FDE9D9"/>
                  <w:noWrap/>
                  <w:vAlign w:val="center"/>
                  <w:hideMark/>
                </w:tcPr>
                <w:p w14:paraId="76F4F2F5"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6" w:type="dxa"/>
                  <w:tcBorders>
                    <w:top w:val="nil"/>
                    <w:left w:val="nil"/>
                    <w:bottom w:val="single" w:sz="8" w:space="0" w:color="FFFFFF"/>
                    <w:right w:val="single" w:sz="8" w:space="0" w:color="FFFFFF"/>
                  </w:tcBorders>
                  <w:shd w:val="clear" w:color="000000" w:fill="FDE9D9"/>
                  <w:noWrap/>
                  <w:vAlign w:val="center"/>
                  <w:hideMark/>
                </w:tcPr>
                <w:p w14:paraId="2E19995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14.8 </w:t>
                  </w:r>
                </w:p>
              </w:tc>
              <w:tc>
                <w:tcPr>
                  <w:tcW w:w="886" w:type="dxa"/>
                  <w:tcBorders>
                    <w:top w:val="nil"/>
                    <w:left w:val="nil"/>
                    <w:bottom w:val="single" w:sz="8" w:space="0" w:color="FFFFFF"/>
                    <w:right w:val="single" w:sz="8" w:space="0" w:color="FFFFFF"/>
                  </w:tcBorders>
                  <w:shd w:val="clear" w:color="000000" w:fill="FDE9D9"/>
                  <w:noWrap/>
                  <w:vAlign w:val="center"/>
                  <w:hideMark/>
                </w:tcPr>
                <w:p w14:paraId="271C6DA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14.8 </w:t>
                  </w:r>
                </w:p>
              </w:tc>
              <w:tc>
                <w:tcPr>
                  <w:tcW w:w="886" w:type="dxa"/>
                  <w:tcBorders>
                    <w:top w:val="nil"/>
                    <w:left w:val="nil"/>
                    <w:bottom w:val="single" w:sz="8" w:space="0" w:color="FFFFFF"/>
                    <w:right w:val="single" w:sz="8" w:space="0" w:color="FFFFFF"/>
                  </w:tcBorders>
                  <w:shd w:val="clear" w:color="000000" w:fill="FDE9D9"/>
                  <w:noWrap/>
                  <w:vAlign w:val="center"/>
                  <w:hideMark/>
                </w:tcPr>
                <w:p w14:paraId="08A791B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20.8 </w:t>
                  </w:r>
                </w:p>
              </w:tc>
              <w:tc>
                <w:tcPr>
                  <w:tcW w:w="886" w:type="dxa"/>
                  <w:tcBorders>
                    <w:top w:val="nil"/>
                    <w:left w:val="nil"/>
                    <w:bottom w:val="single" w:sz="8" w:space="0" w:color="FFFFFF"/>
                    <w:right w:val="single" w:sz="8" w:space="0" w:color="FFFFFF"/>
                  </w:tcBorders>
                  <w:shd w:val="clear" w:color="000000" w:fill="FDE9D9"/>
                  <w:noWrap/>
                  <w:vAlign w:val="center"/>
                  <w:hideMark/>
                </w:tcPr>
                <w:p w14:paraId="1F8DB82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17.8 </w:t>
                  </w:r>
                </w:p>
              </w:tc>
            </w:tr>
            <w:tr w:rsidR="00034919" w:rsidRPr="00034919" w14:paraId="2DA9EED3" w14:textId="77777777" w:rsidTr="00E87491">
              <w:trPr>
                <w:trHeight w:val="331"/>
              </w:trPr>
              <w:tc>
                <w:tcPr>
                  <w:tcW w:w="1306" w:type="dxa"/>
                  <w:tcBorders>
                    <w:top w:val="nil"/>
                    <w:left w:val="nil"/>
                    <w:bottom w:val="nil"/>
                    <w:right w:val="nil"/>
                  </w:tcBorders>
                  <w:shd w:val="clear" w:color="000000" w:fill="FCD5B4"/>
                  <w:noWrap/>
                  <w:vAlign w:val="center"/>
                  <w:hideMark/>
                </w:tcPr>
                <w:p w14:paraId="3FCF5CA2"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7" w:type="dxa"/>
                  <w:tcBorders>
                    <w:top w:val="nil"/>
                    <w:left w:val="nil"/>
                    <w:bottom w:val="single" w:sz="8" w:space="0" w:color="FFFFFF"/>
                    <w:right w:val="single" w:sz="8" w:space="0" w:color="FFFFFF"/>
                  </w:tcBorders>
                  <w:shd w:val="clear" w:color="000000" w:fill="FCD5B4"/>
                  <w:noWrap/>
                  <w:vAlign w:val="center"/>
                  <w:hideMark/>
                </w:tcPr>
                <w:p w14:paraId="11218C0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6.3 </w:t>
                  </w:r>
                </w:p>
              </w:tc>
              <w:tc>
                <w:tcPr>
                  <w:tcW w:w="887" w:type="dxa"/>
                  <w:tcBorders>
                    <w:top w:val="nil"/>
                    <w:left w:val="nil"/>
                    <w:bottom w:val="single" w:sz="8" w:space="0" w:color="FFFFFF"/>
                    <w:right w:val="single" w:sz="8" w:space="0" w:color="FFFFFF"/>
                  </w:tcBorders>
                  <w:shd w:val="clear" w:color="000000" w:fill="FCD5B4"/>
                  <w:noWrap/>
                  <w:vAlign w:val="center"/>
                  <w:hideMark/>
                </w:tcPr>
                <w:p w14:paraId="4F05552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6.3 </w:t>
                  </w:r>
                </w:p>
              </w:tc>
              <w:tc>
                <w:tcPr>
                  <w:tcW w:w="887" w:type="dxa"/>
                  <w:tcBorders>
                    <w:top w:val="nil"/>
                    <w:left w:val="nil"/>
                    <w:bottom w:val="single" w:sz="8" w:space="0" w:color="FFFFFF"/>
                    <w:right w:val="single" w:sz="8" w:space="0" w:color="FFFFFF"/>
                  </w:tcBorders>
                  <w:shd w:val="clear" w:color="000000" w:fill="FCD5B4"/>
                  <w:noWrap/>
                  <w:vAlign w:val="center"/>
                  <w:hideMark/>
                </w:tcPr>
                <w:p w14:paraId="1A9FF7D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5.3 </w:t>
                  </w:r>
                </w:p>
              </w:tc>
              <w:tc>
                <w:tcPr>
                  <w:tcW w:w="886" w:type="dxa"/>
                  <w:tcBorders>
                    <w:top w:val="nil"/>
                    <w:left w:val="nil"/>
                    <w:bottom w:val="single" w:sz="8" w:space="0" w:color="FFFFFF"/>
                    <w:right w:val="single" w:sz="8" w:space="0" w:color="FFFFFF"/>
                  </w:tcBorders>
                  <w:shd w:val="clear" w:color="000000" w:fill="FCD5B4"/>
                  <w:noWrap/>
                  <w:vAlign w:val="center"/>
                  <w:hideMark/>
                </w:tcPr>
                <w:p w14:paraId="05F3713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5.3 </w:t>
                  </w:r>
                </w:p>
              </w:tc>
              <w:tc>
                <w:tcPr>
                  <w:tcW w:w="1105" w:type="dxa"/>
                  <w:tcBorders>
                    <w:top w:val="nil"/>
                    <w:left w:val="nil"/>
                    <w:bottom w:val="nil"/>
                    <w:right w:val="nil"/>
                  </w:tcBorders>
                  <w:shd w:val="clear" w:color="000000" w:fill="FCD5B4"/>
                  <w:noWrap/>
                  <w:vAlign w:val="center"/>
                  <w:hideMark/>
                </w:tcPr>
                <w:p w14:paraId="674BCFE1"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6" w:type="dxa"/>
                  <w:tcBorders>
                    <w:top w:val="nil"/>
                    <w:left w:val="nil"/>
                    <w:bottom w:val="single" w:sz="8" w:space="0" w:color="FFFFFF"/>
                    <w:right w:val="single" w:sz="8" w:space="0" w:color="FFFFFF"/>
                  </w:tcBorders>
                  <w:shd w:val="clear" w:color="000000" w:fill="FCD5B4"/>
                  <w:noWrap/>
                  <w:vAlign w:val="center"/>
                  <w:hideMark/>
                </w:tcPr>
                <w:p w14:paraId="6272D6B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10.4 </w:t>
                  </w:r>
                </w:p>
              </w:tc>
              <w:tc>
                <w:tcPr>
                  <w:tcW w:w="886" w:type="dxa"/>
                  <w:tcBorders>
                    <w:top w:val="nil"/>
                    <w:left w:val="nil"/>
                    <w:bottom w:val="single" w:sz="8" w:space="0" w:color="FFFFFF"/>
                    <w:right w:val="single" w:sz="8" w:space="0" w:color="FFFFFF"/>
                  </w:tcBorders>
                  <w:shd w:val="clear" w:color="000000" w:fill="FCD5B4"/>
                  <w:noWrap/>
                  <w:vAlign w:val="center"/>
                  <w:hideMark/>
                </w:tcPr>
                <w:p w14:paraId="6AA3D42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10.4 </w:t>
                  </w:r>
                </w:p>
              </w:tc>
              <w:tc>
                <w:tcPr>
                  <w:tcW w:w="886" w:type="dxa"/>
                  <w:tcBorders>
                    <w:top w:val="nil"/>
                    <w:left w:val="nil"/>
                    <w:bottom w:val="single" w:sz="8" w:space="0" w:color="FFFFFF"/>
                    <w:right w:val="single" w:sz="8" w:space="0" w:color="FFFFFF"/>
                  </w:tcBorders>
                  <w:shd w:val="clear" w:color="000000" w:fill="FCD5B4"/>
                  <w:noWrap/>
                  <w:vAlign w:val="center"/>
                  <w:hideMark/>
                </w:tcPr>
                <w:p w14:paraId="2A0E429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9.4 </w:t>
                  </w:r>
                </w:p>
              </w:tc>
              <w:tc>
                <w:tcPr>
                  <w:tcW w:w="886" w:type="dxa"/>
                  <w:tcBorders>
                    <w:top w:val="nil"/>
                    <w:left w:val="nil"/>
                    <w:bottom w:val="single" w:sz="8" w:space="0" w:color="FFFFFF"/>
                    <w:right w:val="single" w:sz="8" w:space="0" w:color="FFFFFF"/>
                  </w:tcBorders>
                  <w:shd w:val="clear" w:color="000000" w:fill="FCD5B4"/>
                  <w:noWrap/>
                  <w:vAlign w:val="center"/>
                  <w:hideMark/>
                </w:tcPr>
                <w:p w14:paraId="001E839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 xml:space="preserve">9.4 </w:t>
                  </w:r>
                </w:p>
              </w:tc>
            </w:tr>
            <w:tr w:rsidR="00034919" w:rsidRPr="00034919" w14:paraId="418A7828" w14:textId="77777777" w:rsidTr="00E87491">
              <w:trPr>
                <w:trHeight w:val="331"/>
              </w:trPr>
              <w:tc>
                <w:tcPr>
                  <w:tcW w:w="1306" w:type="dxa"/>
                  <w:tcBorders>
                    <w:top w:val="nil"/>
                    <w:left w:val="nil"/>
                    <w:bottom w:val="single" w:sz="12" w:space="0" w:color="FFFFFF"/>
                    <w:right w:val="single" w:sz="8" w:space="0" w:color="FFFFFF"/>
                  </w:tcBorders>
                  <w:shd w:val="clear" w:color="000000" w:fill="F79646"/>
                  <w:noWrap/>
                  <w:vAlign w:val="center"/>
                  <w:hideMark/>
                </w:tcPr>
                <w:p w14:paraId="61D0E27E"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收益率分位</w:t>
                  </w:r>
                </w:p>
              </w:tc>
              <w:tc>
                <w:tcPr>
                  <w:tcW w:w="887" w:type="dxa"/>
                  <w:tcBorders>
                    <w:top w:val="nil"/>
                    <w:left w:val="nil"/>
                    <w:bottom w:val="single" w:sz="12" w:space="0" w:color="FFFFFF"/>
                    <w:right w:val="single" w:sz="8" w:space="0" w:color="FFFFFF"/>
                  </w:tcBorders>
                  <w:shd w:val="clear" w:color="000000" w:fill="F79646"/>
                  <w:noWrap/>
                  <w:vAlign w:val="center"/>
                  <w:hideMark/>
                </w:tcPr>
                <w:p w14:paraId="258DD4A4"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7" w:type="dxa"/>
                  <w:tcBorders>
                    <w:top w:val="nil"/>
                    <w:left w:val="nil"/>
                    <w:bottom w:val="single" w:sz="12" w:space="0" w:color="FFFFFF"/>
                    <w:right w:val="single" w:sz="8" w:space="0" w:color="FFFFFF"/>
                  </w:tcBorders>
                  <w:shd w:val="clear" w:color="000000" w:fill="F79646"/>
                  <w:noWrap/>
                  <w:vAlign w:val="center"/>
                  <w:hideMark/>
                </w:tcPr>
                <w:p w14:paraId="4D235B63"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7" w:type="dxa"/>
                  <w:tcBorders>
                    <w:top w:val="nil"/>
                    <w:left w:val="nil"/>
                    <w:bottom w:val="single" w:sz="12" w:space="0" w:color="FFFFFF"/>
                    <w:right w:val="single" w:sz="8" w:space="0" w:color="FFFFFF"/>
                  </w:tcBorders>
                  <w:shd w:val="clear" w:color="000000" w:fill="F79646"/>
                  <w:noWrap/>
                  <w:vAlign w:val="center"/>
                  <w:hideMark/>
                </w:tcPr>
                <w:p w14:paraId="6075CD90"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225BFD08"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1105" w:type="dxa"/>
                  <w:tcBorders>
                    <w:top w:val="nil"/>
                    <w:left w:val="nil"/>
                    <w:bottom w:val="single" w:sz="12" w:space="0" w:color="FFFFFF"/>
                    <w:right w:val="single" w:sz="8" w:space="0" w:color="FFFFFF"/>
                  </w:tcBorders>
                  <w:shd w:val="clear" w:color="000000" w:fill="F79646"/>
                  <w:noWrap/>
                  <w:vAlign w:val="center"/>
                  <w:hideMark/>
                </w:tcPr>
                <w:p w14:paraId="3E06EF14"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息差</w:t>
                  </w:r>
                </w:p>
              </w:tc>
              <w:tc>
                <w:tcPr>
                  <w:tcW w:w="886" w:type="dxa"/>
                  <w:tcBorders>
                    <w:top w:val="nil"/>
                    <w:left w:val="nil"/>
                    <w:bottom w:val="single" w:sz="12" w:space="0" w:color="FFFFFF"/>
                    <w:right w:val="single" w:sz="8" w:space="0" w:color="FFFFFF"/>
                  </w:tcBorders>
                  <w:shd w:val="clear" w:color="000000" w:fill="F79646"/>
                  <w:noWrap/>
                  <w:vAlign w:val="center"/>
                  <w:hideMark/>
                </w:tcPr>
                <w:p w14:paraId="2B0E9D92"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AAA</w:t>
                  </w:r>
                </w:p>
              </w:tc>
              <w:tc>
                <w:tcPr>
                  <w:tcW w:w="886" w:type="dxa"/>
                  <w:tcBorders>
                    <w:top w:val="nil"/>
                    <w:left w:val="nil"/>
                    <w:bottom w:val="single" w:sz="12" w:space="0" w:color="FFFFFF"/>
                    <w:right w:val="single" w:sz="8" w:space="0" w:color="FFFFFF"/>
                  </w:tcBorders>
                  <w:shd w:val="clear" w:color="000000" w:fill="F79646"/>
                  <w:noWrap/>
                  <w:vAlign w:val="center"/>
                  <w:hideMark/>
                </w:tcPr>
                <w:p w14:paraId="6ABFB291"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57325E49"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c>
                <w:tcPr>
                  <w:tcW w:w="886" w:type="dxa"/>
                  <w:tcBorders>
                    <w:top w:val="nil"/>
                    <w:left w:val="nil"/>
                    <w:bottom w:val="single" w:sz="12" w:space="0" w:color="FFFFFF"/>
                    <w:right w:val="single" w:sz="8" w:space="0" w:color="FFFFFF"/>
                  </w:tcBorders>
                  <w:shd w:val="clear" w:color="000000" w:fill="F79646"/>
                  <w:noWrap/>
                  <w:vAlign w:val="center"/>
                  <w:hideMark/>
                </w:tcPr>
                <w:p w14:paraId="4257E8CA" w14:textId="77777777" w:rsidR="00034919" w:rsidRPr="00034919" w:rsidRDefault="00034919" w:rsidP="00034919">
                  <w:pPr>
                    <w:widowControl/>
                    <w:jc w:val="center"/>
                    <w:rPr>
                      <w:rFonts w:ascii="楷体" w:eastAsia="楷体" w:hAnsi="楷体" w:cs="宋体"/>
                      <w:b/>
                      <w:bCs/>
                      <w:color w:val="FFFFFF"/>
                      <w:kern w:val="0"/>
                      <w:sz w:val="20"/>
                      <w:szCs w:val="20"/>
                    </w:rPr>
                  </w:pPr>
                  <w:r w:rsidRPr="00034919">
                    <w:rPr>
                      <w:rFonts w:ascii="楷体" w:eastAsia="楷体" w:hAnsi="楷体" w:cs="宋体" w:hint="eastAsia"/>
                      <w:b/>
                      <w:bCs/>
                      <w:color w:val="FFFFFF"/>
                      <w:kern w:val="0"/>
                      <w:sz w:val="20"/>
                      <w:szCs w:val="20"/>
                    </w:rPr>
                    <w:t>AA-</w:t>
                  </w:r>
                </w:p>
              </w:tc>
            </w:tr>
            <w:tr w:rsidR="00034919" w:rsidRPr="00034919" w14:paraId="60A0AFE7" w14:textId="77777777" w:rsidTr="00E87491">
              <w:trPr>
                <w:trHeight w:val="349"/>
              </w:trPr>
              <w:tc>
                <w:tcPr>
                  <w:tcW w:w="1306" w:type="dxa"/>
                  <w:tcBorders>
                    <w:top w:val="nil"/>
                    <w:left w:val="nil"/>
                    <w:bottom w:val="single" w:sz="8" w:space="0" w:color="FFFFFF"/>
                    <w:right w:val="single" w:sz="8" w:space="0" w:color="FFFFFF"/>
                  </w:tcBorders>
                  <w:shd w:val="clear" w:color="000000" w:fill="FCD5B4"/>
                  <w:noWrap/>
                  <w:vAlign w:val="center"/>
                  <w:hideMark/>
                </w:tcPr>
                <w:p w14:paraId="78306A26"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7" w:type="dxa"/>
                  <w:tcBorders>
                    <w:top w:val="nil"/>
                    <w:left w:val="nil"/>
                    <w:bottom w:val="single" w:sz="8" w:space="0" w:color="FFFFFF"/>
                    <w:right w:val="single" w:sz="8" w:space="0" w:color="FFFFFF"/>
                  </w:tcBorders>
                  <w:shd w:val="clear" w:color="000000" w:fill="FCD5B4"/>
                  <w:noWrap/>
                  <w:vAlign w:val="center"/>
                  <w:hideMark/>
                </w:tcPr>
                <w:p w14:paraId="746528E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24%</w:t>
                  </w:r>
                </w:p>
              </w:tc>
              <w:tc>
                <w:tcPr>
                  <w:tcW w:w="887" w:type="dxa"/>
                  <w:tcBorders>
                    <w:top w:val="nil"/>
                    <w:left w:val="nil"/>
                    <w:bottom w:val="single" w:sz="8" w:space="0" w:color="FFFFFF"/>
                    <w:right w:val="single" w:sz="8" w:space="0" w:color="FFFFFF"/>
                  </w:tcBorders>
                  <w:shd w:val="clear" w:color="000000" w:fill="FCD5B4"/>
                  <w:noWrap/>
                  <w:vAlign w:val="center"/>
                  <w:hideMark/>
                </w:tcPr>
                <w:p w14:paraId="67DF959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22%</w:t>
                  </w:r>
                </w:p>
              </w:tc>
              <w:tc>
                <w:tcPr>
                  <w:tcW w:w="887" w:type="dxa"/>
                  <w:tcBorders>
                    <w:top w:val="nil"/>
                    <w:left w:val="nil"/>
                    <w:bottom w:val="single" w:sz="8" w:space="0" w:color="FFFFFF"/>
                    <w:right w:val="single" w:sz="8" w:space="0" w:color="FFFFFF"/>
                  </w:tcBorders>
                  <w:shd w:val="clear" w:color="000000" w:fill="FCD5B4"/>
                  <w:noWrap/>
                  <w:vAlign w:val="center"/>
                  <w:hideMark/>
                </w:tcPr>
                <w:p w14:paraId="077B849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27%</w:t>
                  </w:r>
                </w:p>
              </w:tc>
              <w:tc>
                <w:tcPr>
                  <w:tcW w:w="886" w:type="dxa"/>
                  <w:tcBorders>
                    <w:top w:val="nil"/>
                    <w:left w:val="nil"/>
                    <w:bottom w:val="single" w:sz="8" w:space="0" w:color="FFFFFF"/>
                    <w:right w:val="single" w:sz="8" w:space="0" w:color="FFFFFF"/>
                  </w:tcBorders>
                  <w:shd w:val="clear" w:color="000000" w:fill="FCD5B4"/>
                  <w:noWrap/>
                  <w:vAlign w:val="center"/>
                  <w:hideMark/>
                </w:tcPr>
                <w:p w14:paraId="2899BB6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61%</w:t>
                  </w:r>
                </w:p>
              </w:tc>
              <w:tc>
                <w:tcPr>
                  <w:tcW w:w="1105" w:type="dxa"/>
                  <w:tcBorders>
                    <w:top w:val="nil"/>
                    <w:left w:val="nil"/>
                    <w:bottom w:val="single" w:sz="8" w:space="0" w:color="FFFFFF"/>
                    <w:right w:val="single" w:sz="8" w:space="0" w:color="FFFFFF"/>
                  </w:tcBorders>
                  <w:shd w:val="clear" w:color="000000" w:fill="FCD5B4"/>
                  <w:noWrap/>
                  <w:vAlign w:val="center"/>
                  <w:hideMark/>
                </w:tcPr>
                <w:p w14:paraId="2CB6C9D0"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CP</w:t>
                  </w:r>
                </w:p>
              </w:tc>
              <w:tc>
                <w:tcPr>
                  <w:tcW w:w="886" w:type="dxa"/>
                  <w:tcBorders>
                    <w:top w:val="nil"/>
                    <w:left w:val="nil"/>
                    <w:bottom w:val="single" w:sz="8" w:space="0" w:color="FFFFFF"/>
                    <w:right w:val="single" w:sz="8" w:space="0" w:color="FFFFFF"/>
                  </w:tcBorders>
                  <w:shd w:val="clear" w:color="000000" w:fill="FCD5B4"/>
                  <w:noWrap/>
                  <w:vAlign w:val="center"/>
                  <w:hideMark/>
                </w:tcPr>
                <w:p w14:paraId="7B690C4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21%</w:t>
                  </w:r>
                </w:p>
              </w:tc>
              <w:tc>
                <w:tcPr>
                  <w:tcW w:w="886" w:type="dxa"/>
                  <w:tcBorders>
                    <w:top w:val="nil"/>
                    <w:left w:val="nil"/>
                    <w:bottom w:val="single" w:sz="8" w:space="0" w:color="FFFFFF"/>
                    <w:right w:val="single" w:sz="8" w:space="0" w:color="FFFFFF"/>
                  </w:tcBorders>
                  <w:shd w:val="clear" w:color="000000" w:fill="FCD5B4"/>
                  <w:noWrap/>
                  <w:vAlign w:val="center"/>
                  <w:hideMark/>
                </w:tcPr>
                <w:p w14:paraId="0808BFD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17%</w:t>
                  </w:r>
                </w:p>
              </w:tc>
              <w:tc>
                <w:tcPr>
                  <w:tcW w:w="886" w:type="dxa"/>
                  <w:tcBorders>
                    <w:top w:val="nil"/>
                    <w:left w:val="nil"/>
                    <w:bottom w:val="single" w:sz="8" w:space="0" w:color="FFFFFF"/>
                    <w:right w:val="single" w:sz="8" w:space="0" w:color="FFFFFF"/>
                  </w:tcBorders>
                  <w:shd w:val="clear" w:color="000000" w:fill="FCD5B4"/>
                  <w:noWrap/>
                  <w:vAlign w:val="center"/>
                  <w:hideMark/>
                </w:tcPr>
                <w:p w14:paraId="52B51A1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23%</w:t>
                  </w:r>
                </w:p>
              </w:tc>
              <w:tc>
                <w:tcPr>
                  <w:tcW w:w="886" w:type="dxa"/>
                  <w:tcBorders>
                    <w:top w:val="nil"/>
                    <w:left w:val="nil"/>
                    <w:bottom w:val="single" w:sz="8" w:space="0" w:color="FFFFFF"/>
                    <w:right w:val="single" w:sz="8" w:space="0" w:color="FFFFFF"/>
                  </w:tcBorders>
                  <w:shd w:val="clear" w:color="000000" w:fill="FFC7CE"/>
                  <w:noWrap/>
                  <w:vAlign w:val="center"/>
                  <w:hideMark/>
                </w:tcPr>
                <w:p w14:paraId="08B69C8E"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87%</w:t>
                  </w:r>
                </w:p>
              </w:tc>
            </w:tr>
            <w:tr w:rsidR="00034919" w:rsidRPr="00034919" w14:paraId="2FE9241A"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0F89133A"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7" w:type="dxa"/>
                  <w:tcBorders>
                    <w:top w:val="nil"/>
                    <w:left w:val="nil"/>
                    <w:bottom w:val="single" w:sz="8" w:space="0" w:color="FFFFFF"/>
                    <w:right w:val="single" w:sz="8" w:space="0" w:color="FFFFFF"/>
                  </w:tcBorders>
                  <w:shd w:val="clear" w:color="000000" w:fill="FDE9D9"/>
                  <w:noWrap/>
                  <w:vAlign w:val="center"/>
                  <w:hideMark/>
                </w:tcPr>
                <w:p w14:paraId="18B3578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29%</w:t>
                  </w:r>
                </w:p>
              </w:tc>
              <w:tc>
                <w:tcPr>
                  <w:tcW w:w="887" w:type="dxa"/>
                  <w:tcBorders>
                    <w:top w:val="nil"/>
                    <w:left w:val="nil"/>
                    <w:bottom w:val="single" w:sz="8" w:space="0" w:color="FFFFFF"/>
                    <w:right w:val="single" w:sz="8" w:space="0" w:color="FFFFFF"/>
                  </w:tcBorders>
                  <w:shd w:val="clear" w:color="000000" w:fill="FDE9D9"/>
                  <w:noWrap/>
                  <w:vAlign w:val="center"/>
                  <w:hideMark/>
                </w:tcPr>
                <w:p w14:paraId="3331F6D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27%</w:t>
                  </w:r>
                </w:p>
              </w:tc>
              <w:tc>
                <w:tcPr>
                  <w:tcW w:w="887" w:type="dxa"/>
                  <w:tcBorders>
                    <w:top w:val="nil"/>
                    <w:left w:val="nil"/>
                    <w:bottom w:val="single" w:sz="8" w:space="0" w:color="FFFFFF"/>
                    <w:right w:val="single" w:sz="8" w:space="0" w:color="FFFFFF"/>
                  </w:tcBorders>
                  <w:shd w:val="clear" w:color="000000" w:fill="FDE9D9"/>
                  <w:noWrap/>
                  <w:vAlign w:val="center"/>
                  <w:hideMark/>
                </w:tcPr>
                <w:p w14:paraId="1ED7684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25%</w:t>
                  </w:r>
                </w:p>
              </w:tc>
              <w:tc>
                <w:tcPr>
                  <w:tcW w:w="886" w:type="dxa"/>
                  <w:tcBorders>
                    <w:top w:val="nil"/>
                    <w:left w:val="nil"/>
                    <w:bottom w:val="single" w:sz="8" w:space="0" w:color="FFFFFF"/>
                    <w:right w:val="single" w:sz="8" w:space="0" w:color="FFFFFF"/>
                  </w:tcBorders>
                  <w:shd w:val="clear" w:color="000000" w:fill="FDE9D9"/>
                  <w:noWrap/>
                  <w:vAlign w:val="center"/>
                  <w:hideMark/>
                </w:tcPr>
                <w:p w14:paraId="48C935C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63%</w:t>
                  </w:r>
                </w:p>
              </w:tc>
              <w:tc>
                <w:tcPr>
                  <w:tcW w:w="1105" w:type="dxa"/>
                  <w:tcBorders>
                    <w:top w:val="nil"/>
                    <w:left w:val="nil"/>
                    <w:bottom w:val="single" w:sz="8" w:space="0" w:color="FFFFFF"/>
                    <w:right w:val="single" w:sz="8" w:space="0" w:color="FFFFFF"/>
                  </w:tcBorders>
                  <w:shd w:val="clear" w:color="000000" w:fill="FDE9D9"/>
                  <w:noWrap/>
                  <w:vAlign w:val="center"/>
                  <w:hideMark/>
                </w:tcPr>
                <w:p w14:paraId="6A20EB08"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MTN3Y</w:t>
                  </w:r>
                </w:p>
              </w:tc>
              <w:tc>
                <w:tcPr>
                  <w:tcW w:w="886" w:type="dxa"/>
                  <w:tcBorders>
                    <w:top w:val="nil"/>
                    <w:left w:val="nil"/>
                    <w:bottom w:val="single" w:sz="8" w:space="0" w:color="FFFFFF"/>
                    <w:right w:val="single" w:sz="8" w:space="0" w:color="FFFFFF"/>
                  </w:tcBorders>
                  <w:shd w:val="clear" w:color="000000" w:fill="FDE9D9"/>
                  <w:noWrap/>
                  <w:vAlign w:val="center"/>
                  <w:hideMark/>
                </w:tcPr>
                <w:p w14:paraId="0BE586A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42%</w:t>
                  </w:r>
                </w:p>
              </w:tc>
              <w:tc>
                <w:tcPr>
                  <w:tcW w:w="886" w:type="dxa"/>
                  <w:tcBorders>
                    <w:top w:val="nil"/>
                    <w:left w:val="nil"/>
                    <w:bottom w:val="single" w:sz="8" w:space="0" w:color="FFFFFF"/>
                    <w:right w:val="single" w:sz="8" w:space="0" w:color="FFFFFF"/>
                  </w:tcBorders>
                  <w:shd w:val="clear" w:color="000000" w:fill="FDE9D9"/>
                  <w:noWrap/>
                  <w:vAlign w:val="center"/>
                  <w:hideMark/>
                </w:tcPr>
                <w:p w14:paraId="7F6B41A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35%</w:t>
                  </w:r>
                </w:p>
              </w:tc>
              <w:tc>
                <w:tcPr>
                  <w:tcW w:w="886" w:type="dxa"/>
                  <w:tcBorders>
                    <w:top w:val="nil"/>
                    <w:left w:val="nil"/>
                    <w:bottom w:val="single" w:sz="8" w:space="0" w:color="FFFFFF"/>
                    <w:right w:val="single" w:sz="8" w:space="0" w:color="FFFFFF"/>
                  </w:tcBorders>
                  <w:shd w:val="clear" w:color="000000" w:fill="FDE9D9"/>
                  <w:noWrap/>
                  <w:vAlign w:val="center"/>
                  <w:hideMark/>
                </w:tcPr>
                <w:p w14:paraId="50C1A79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32%</w:t>
                  </w:r>
                </w:p>
              </w:tc>
              <w:tc>
                <w:tcPr>
                  <w:tcW w:w="886" w:type="dxa"/>
                  <w:tcBorders>
                    <w:top w:val="nil"/>
                    <w:left w:val="nil"/>
                    <w:bottom w:val="single" w:sz="8" w:space="0" w:color="FFFFFF"/>
                    <w:right w:val="single" w:sz="8" w:space="0" w:color="FFFFFF"/>
                  </w:tcBorders>
                  <w:shd w:val="clear" w:color="000000" w:fill="FFC7CE"/>
                  <w:noWrap/>
                  <w:vAlign w:val="center"/>
                  <w:hideMark/>
                </w:tcPr>
                <w:p w14:paraId="30470720"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92%</w:t>
                  </w:r>
                </w:p>
              </w:tc>
            </w:tr>
            <w:tr w:rsidR="00034919" w:rsidRPr="00034919" w14:paraId="6CFBE067"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1E1ACC3E"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7" w:type="dxa"/>
                  <w:tcBorders>
                    <w:top w:val="nil"/>
                    <w:left w:val="nil"/>
                    <w:bottom w:val="single" w:sz="8" w:space="0" w:color="FFFFFF"/>
                    <w:right w:val="single" w:sz="8" w:space="0" w:color="FFFFFF"/>
                  </w:tcBorders>
                  <w:shd w:val="clear" w:color="000000" w:fill="FCD5B4"/>
                  <w:noWrap/>
                  <w:vAlign w:val="center"/>
                  <w:hideMark/>
                </w:tcPr>
                <w:p w14:paraId="051A355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27%</w:t>
                  </w:r>
                </w:p>
              </w:tc>
              <w:tc>
                <w:tcPr>
                  <w:tcW w:w="887" w:type="dxa"/>
                  <w:tcBorders>
                    <w:top w:val="nil"/>
                    <w:left w:val="nil"/>
                    <w:bottom w:val="single" w:sz="8" w:space="0" w:color="FFFFFF"/>
                    <w:right w:val="single" w:sz="8" w:space="0" w:color="FFFFFF"/>
                  </w:tcBorders>
                  <w:shd w:val="clear" w:color="000000" w:fill="FCD5B4"/>
                  <w:noWrap/>
                  <w:vAlign w:val="center"/>
                  <w:hideMark/>
                </w:tcPr>
                <w:p w14:paraId="597D747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24%</w:t>
                  </w:r>
                </w:p>
              </w:tc>
              <w:tc>
                <w:tcPr>
                  <w:tcW w:w="887" w:type="dxa"/>
                  <w:tcBorders>
                    <w:top w:val="nil"/>
                    <w:left w:val="nil"/>
                    <w:bottom w:val="single" w:sz="8" w:space="0" w:color="FFFFFF"/>
                    <w:right w:val="single" w:sz="8" w:space="0" w:color="FFFFFF"/>
                  </w:tcBorders>
                  <w:shd w:val="clear" w:color="000000" w:fill="FCD5B4"/>
                  <w:noWrap/>
                  <w:vAlign w:val="center"/>
                  <w:hideMark/>
                </w:tcPr>
                <w:p w14:paraId="3CE9F0F7"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21%</w:t>
                  </w:r>
                </w:p>
              </w:tc>
              <w:tc>
                <w:tcPr>
                  <w:tcW w:w="886" w:type="dxa"/>
                  <w:tcBorders>
                    <w:top w:val="nil"/>
                    <w:left w:val="nil"/>
                    <w:bottom w:val="single" w:sz="8" w:space="0" w:color="FFFFFF"/>
                    <w:right w:val="single" w:sz="8" w:space="0" w:color="FFFFFF"/>
                  </w:tcBorders>
                  <w:shd w:val="clear" w:color="000000" w:fill="FCD5B4"/>
                  <w:noWrap/>
                  <w:vAlign w:val="center"/>
                  <w:hideMark/>
                </w:tcPr>
                <w:p w14:paraId="75CE179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60%</w:t>
                  </w:r>
                </w:p>
              </w:tc>
              <w:tc>
                <w:tcPr>
                  <w:tcW w:w="1105" w:type="dxa"/>
                  <w:tcBorders>
                    <w:top w:val="nil"/>
                    <w:left w:val="nil"/>
                    <w:bottom w:val="single" w:sz="8" w:space="0" w:color="FFFFFF"/>
                    <w:right w:val="single" w:sz="8" w:space="0" w:color="FFFFFF"/>
                  </w:tcBorders>
                  <w:shd w:val="clear" w:color="000000" w:fill="FCD5B4"/>
                  <w:noWrap/>
                  <w:vAlign w:val="center"/>
                  <w:hideMark/>
                </w:tcPr>
                <w:p w14:paraId="7E6C9A61"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MTN5Y</w:t>
                  </w:r>
                </w:p>
              </w:tc>
              <w:tc>
                <w:tcPr>
                  <w:tcW w:w="886" w:type="dxa"/>
                  <w:tcBorders>
                    <w:top w:val="nil"/>
                    <w:left w:val="nil"/>
                    <w:bottom w:val="single" w:sz="8" w:space="0" w:color="FFFFFF"/>
                    <w:right w:val="single" w:sz="8" w:space="0" w:color="FFFFFF"/>
                  </w:tcBorders>
                  <w:shd w:val="clear" w:color="000000" w:fill="FCD5B4"/>
                  <w:noWrap/>
                  <w:vAlign w:val="center"/>
                  <w:hideMark/>
                </w:tcPr>
                <w:p w14:paraId="276B6BD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47%</w:t>
                  </w:r>
                </w:p>
              </w:tc>
              <w:tc>
                <w:tcPr>
                  <w:tcW w:w="886" w:type="dxa"/>
                  <w:tcBorders>
                    <w:top w:val="nil"/>
                    <w:left w:val="nil"/>
                    <w:bottom w:val="single" w:sz="8" w:space="0" w:color="FFFFFF"/>
                    <w:right w:val="single" w:sz="8" w:space="0" w:color="FFFFFF"/>
                  </w:tcBorders>
                  <w:shd w:val="clear" w:color="000000" w:fill="FCD5B4"/>
                  <w:noWrap/>
                  <w:vAlign w:val="center"/>
                  <w:hideMark/>
                </w:tcPr>
                <w:p w14:paraId="5F158AB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40%</w:t>
                  </w:r>
                </w:p>
              </w:tc>
              <w:tc>
                <w:tcPr>
                  <w:tcW w:w="886" w:type="dxa"/>
                  <w:tcBorders>
                    <w:top w:val="nil"/>
                    <w:left w:val="nil"/>
                    <w:bottom w:val="single" w:sz="8" w:space="0" w:color="FFFFFF"/>
                    <w:right w:val="single" w:sz="8" w:space="0" w:color="FFFFFF"/>
                  </w:tcBorders>
                  <w:shd w:val="clear" w:color="000000" w:fill="FCD5B4"/>
                  <w:noWrap/>
                  <w:vAlign w:val="center"/>
                  <w:hideMark/>
                </w:tcPr>
                <w:p w14:paraId="5876BC3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33%</w:t>
                  </w:r>
                </w:p>
              </w:tc>
              <w:tc>
                <w:tcPr>
                  <w:tcW w:w="886" w:type="dxa"/>
                  <w:tcBorders>
                    <w:top w:val="nil"/>
                    <w:left w:val="nil"/>
                    <w:bottom w:val="single" w:sz="8" w:space="0" w:color="FFFFFF"/>
                    <w:right w:val="single" w:sz="8" w:space="0" w:color="FFFFFF"/>
                  </w:tcBorders>
                  <w:shd w:val="clear" w:color="000000" w:fill="FFC7CE"/>
                  <w:noWrap/>
                  <w:vAlign w:val="center"/>
                  <w:hideMark/>
                </w:tcPr>
                <w:p w14:paraId="5E1F2C85"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94%</w:t>
                  </w:r>
                </w:p>
              </w:tc>
            </w:tr>
            <w:tr w:rsidR="00034919" w:rsidRPr="00034919" w14:paraId="73BA12B2"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15DCB373"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7" w:type="dxa"/>
                  <w:tcBorders>
                    <w:top w:val="nil"/>
                    <w:left w:val="nil"/>
                    <w:bottom w:val="single" w:sz="8" w:space="0" w:color="FFFFFF"/>
                    <w:right w:val="single" w:sz="8" w:space="0" w:color="FFFFFF"/>
                  </w:tcBorders>
                  <w:shd w:val="clear" w:color="000000" w:fill="FDE9D9"/>
                  <w:noWrap/>
                  <w:vAlign w:val="center"/>
                  <w:hideMark/>
                </w:tcPr>
                <w:p w14:paraId="4EDD092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31%</w:t>
                  </w:r>
                </w:p>
              </w:tc>
              <w:tc>
                <w:tcPr>
                  <w:tcW w:w="887" w:type="dxa"/>
                  <w:tcBorders>
                    <w:top w:val="nil"/>
                    <w:left w:val="nil"/>
                    <w:bottom w:val="single" w:sz="8" w:space="0" w:color="FFFFFF"/>
                    <w:right w:val="single" w:sz="8" w:space="0" w:color="FFFFFF"/>
                  </w:tcBorders>
                  <w:shd w:val="clear" w:color="000000" w:fill="FDE9D9"/>
                  <w:noWrap/>
                  <w:vAlign w:val="center"/>
                  <w:hideMark/>
                </w:tcPr>
                <w:p w14:paraId="10B44CB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26%</w:t>
                  </w:r>
                </w:p>
              </w:tc>
              <w:tc>
                <w:tcPr>
                  <w:tcW w:w="887" w:type="dxa"/>
                  <w:tcBorders>
                    <w:top w:val="nil"/>
                    <w:left w:val="nil"/>
                    <w:bottom w:val="single" w:sz="8" w:space="0" w:color="FFFFFF"/>
                    <w:right w:val="single" w:sz="8" w:space="0" w:color="FFFFFF"/>
                  </w:tcBorders>
                  <w:shd w:val="clear" w:color="000000" w:fill="FDE9D9"/>
                  <w:noWrap/>
                  <w:vAlign w:val="center"/>
                  <w:hideMark/>
                </w:tcPr>
                <w:p w14:paraId="6FEF1F5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25%</w:t>
                  </w:r>
                </w:p>
              </w:tc>
              <w:tc>
                <w:tcPr>
                  <w:tcW w:w="886" w:type="dxa"/>
                  <w:tcBorders>
                    <w:top w:val="nil"/>
                    <w:left w:val="nil"/>
                    <w:bottom w:val="single" w:sz="8" w:space="0" w:color="FFFFFF"/>
                    <w:right w:val="single" w:sz="8" w:space="0" w:color="FFFFFF"/>
                  </w:tcBorders>
                  <w:shd w:val="clear" w:color="000000" w:fill="FDE9D9"/>
                  <w:noWrap/>
                  <w:vAlign w:val="center"/>
                  <w:hideMark/>
                </w:tcPr>
                <w:p w14:paraId="4392C5F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61%</w:t>
                  </w:r>
                </w:p>
              </w:tc>
              <w:tc>
                <w:tcPr>
                  <w:tcW w:w="1105" w:type="dxa"/>
                  <w:tcBorders>
                    <w:top w:val="nil"/>
                    <w:left w:val="nil"/>
                    <w:bottom w:val="single" w:sz="8" w:space="0" w:color="FFFFFF"/>
                    <w:right w:val="single" w:sz="8" w:space="0" w:color="FFFFFF"/>
                  </w:tcBorders>
                  <w:shd w:val="clear" w:color="000000" w:fill="FDE9D9"/>
                  <w:noWrap/>
                  <w:vAlign w:val="center"/>
                  <w:hideMark/>
                </w:tcPr>
                <w:p w14:paraId="70C181C0"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企业债3Y</w:t>
                  </w:r>
                </w:p>
              </w:tc>
              <w:tc>
                <w:tcPr>
                  <w:tcW w:w="886" w:type="dxa"/>
                  <w:tcBorders>
                    <w:top w:val="nil"/>
                    <w:left w:val="nil"/>
                    <w:bottom w:val="single" w:sz="8" w:space="0" w:color="FFFFFF"/>
                    <w:right w:val="single" w:sz="8" w:space="0" w:color="FFFFFF"/>
                  </w:tcBorders>
                  <w:shd w:val="clear" w:color="000000" w:fill="FDE9D9"/>
                  <w:noWrap/>
                  <w:vAlign w:val="center"/>
                  <w:hideMark/>
                </w:tcPr>
                <w:p w14:paraId="4A9B879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44%</w:t>
                  </w:r>
                </w:p>
              </w:tc>
              <w:tc>
                <w:tcPr>
                  <w:tcW w:w="886" w:type="dxa"/>
                  <w:tcBorders>
                    <w:top w:val="nil"/>
                    <w:left w:val="nil"/>
                    <w:bottom w:val="single" w:sz="8" w:space="0" w:color="FFFFFF"/>
                    <w:right w:val="single" w:sz="8" w:space="0" w:color="FFFFFF"/>
                  </w:tcBorders>
                  <w:shd w:val="clear" w:color="000000" w:fill="FDE9D9"/>
                  <w:noWrap/>
                  <w:vAlign w:val="center"/>
                  <w:hideMark/>
                </w:tcPr>
                <w:p w14:paraId="4BAE0BA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33%</w:t>
                  </w:r>
                </w:p>
              </w:tc>
              <w:tc>
                <w:tcPr>
                  <w:tcW w:w="886" w:type="dxa"/>
                  <w:tcBorders>
                    <w:top w:val="nil"/>
                    <w:left w:val="nil"/>
                    <w:bottom w:val="single" w:sz="8" w:space="0" w:color="FFFFFF"/>
                    <w:right w:val="single" w:sz="8" w:space="0" w:color="FFFFFF"/>
                  </w:tcBorders>
                  <w:shd w:val="clear" w:color="000000" w:fill="FDE9D9"/>
                  <w:noWrap/>
                  <w:vAlign w:val="center"/>
                  <w:hideMark/>
                </w:tcPr>
                <w:p w14:paraId="6F02681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29%</w:t>
                  </w:r>
                </w:p>
              </w:tc>
              <w:tc>
                <w:tcPr>
                  <w:tcW w:w="886" w:type="dxa"/>
                  <w:tcBorders>
                    <w:top w:val="nil"/>
                    <w:left w:val="nil"/>
                    <w:bottom w:val="single" w:sz="8" w:space="0" w:color="FFFFFF"/>
                    <w:right w:val="single" w:sz="8" w:space="0" w:color="FFFFFF"/>
                  </w:tcBorders>
                  <w:shd w:val="clear" w:color="000000" w:fill="FFC7CE"/>
                  <w:noWrap/>
                  <w:vAlign w:val="center"/>
                  <w:hideMark/>
                </w:tcPr>
                <w:p w14:paraId="4A608423"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90%</w:t>
                  </w:r>
                </w:p>
              </w:tc>
            </w:tr>
            <w:tr w:rsidR="00034919" w:rsidRPr="00034919" w14:paraId="47DB162B"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446C2AA7"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7" w:type="dxa"/>
                  <w:tcBorders>
                    <w:top w:val="nil"/>
                    <w:left w:val="nil"/>
                    <w:bottom w:val="single" w:sz="8" w:space="0" w:color="FFFFFF"/>
                    <w:right w:val="single" w:sz="8" w:space="0" w:color="FFFFFF"/>
                  </w:tcBorders>
                  <w:shd w:val="clear" w:color="000000" w:fill="FCD5B4"/>
                  <w:noWrap/>
                  <w:vAlign w:val="center"/>
                  <w:hideMark/>
                </w:tcPr>
                <w:p w14:paraId="04AD296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28%</w:t>
                  </w:r>
                </w:p>
              </w:tc>
              <w:tc>
                <w:tcPr>
                  <w:tcW w:w="887" w:type="dxa"/>
                  <w:tcBorders>
                    <w:top w:val="nil"/>
                    <w:left w:val="nil"/>
                    <w:bottom w:val="single" w:sz="8" w:space="0" w:color="FFFFFF"/>
                    <w:right w:val="single" w:sz="8" w:space="0" w:color="FFFFFF"/>
                  </w:tcBorders>
                  <w:shd w:val="clear" w:color="000000" w:fill="FCD5B4"/>
                  <w:noWrap/>
                  <w:vAlign w:val="center"/>
                  <w:hideMark/>
                </w:tcPr>
                <w:p w14:paraId="021A1B0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24%</w:t>
                  </w:r>
                </w:p>
              </w:tc>
              <w:tc>
                <w:tcPr>
                  <w:tcW w:w="887" w:type="dxa"/>
                  <w:tcBorders>
                    <w:top w:val="nil"/>
                    <w:left w:val="nil"/>
                    <w:bottom w:val="single" w:sz="8" w:space="0" w:color="FFFFFF"/>
                    <w:right w:val="single" w:sz="8" w:space="0" w:color="FFFFFF"/>
                  </w:tcBorders>
                  <w:shd w:val="clear" w:color="000000" w:fill="FCD5B4"/>
                  <w:noWrap/>
                  <w:vAlign w:val="center"/>
                  <w:hideMark/>
                </w:tcPr>
                <w:p w14:paraId="3E8AACE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21%</w:t>
                  </w:r>
                </w:p>
              </w:tc>
              <w:tc>
                <w:tcPr>
                  <w:tcW w:w="886" w:type="dxa"/>
                  <w:tcBorders>
                    <w:top w:val="nil"/>
                    <w:left w:val="nil"/>
                    <w:bottom w:val="single" w:sz="8" w:space="0" w:color="FFFFFF"/>
                    <w:right w:val="single" w:sz="8" w:space="0" w:color="FFFFFF"/>
                  </w:tcBorders>
                  <w:shd w:val="clear" w:color="000000" w:fill="FCD5B4"/>
                  <w:noWrap/>
                  <w:vAlign w:val="center"/>
                  <w:hideMark/>
                </w:tcPr>
                <w:p w14:paraId="69174AC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55%</w:t>
                  </w:r>
                </w:p>
              </w:tc>
              <w:tc>
                <w:tcPr>
                  <w:tcW w:w="1105" w:type="dxa"/>
                  <w:tcBorders>
                    <w:top w:val="nil"/>
                    <w:left w:val="nil"/>
                    <w:bottom w:val="single" w:sz="8" w:space="0" w:color="FFFFFF"/>
                    <w:right w:val="single" w:sz="8" w:space="0" w:color="FFFFFF"/>
                  </w:tcBorders>
                  <w:shd w:val="clear" w:color="000000" w:fill="FCD5B4"/>
                  <w:noWrap/>
                  <w:vAlign w:val="center"/>
                  <w:hideMark/>
                </w:tcPr>
                <w:p w14:paraId="3D9D45C8"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企业债5Y</w:t>
                  </w:r>
                </w:p>
              </w:tc>
              <w:tc>
                <w:tcPr>
                  <w:tcW w:w="886" w:type="dxa"/>
                  <w:tcBorders>
                    <w:top w:val="nil"/>
                    <w:left w:val="nil"/>
                    <w:bottom w:val="single" w:sz="8" w:space="0" w:color="FFFFFF"/>
                    <w:right w:val="single" w:sz="8" w:space="0" w:color="FFFFFF"/>
                  </w:tcBorders>
                  <w:shd w:val="clear" w:color="000000" w:fill="FCD5B4"/>
                  <w:noWrap/>
                  <w:vAlign w:val="center"/>
                  <w:hideMark/>
                </w:tcPr>
                <w:p w14:paraId="558AE30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50%</w:t>
                  </w:r>
                </w:p>
              </w:tc>
              <w:tc>
                <w:tcPr>
                  <w:tcW w:w="886" w:type="dxa"/>
                  <w:tcBorders>
                    <w:top w:val="nil"/>
                    <w:left w:val="nil"/>
                    <w:bottom w:val="single" w:sz="8" w:space="0" w:color="FFFFFF"/>
                    <w:right w:val="single" w:sz="8" w:space="0" w:color="FFFFFF"/>
                  </w:tcBorders>
                  <w:shd w:val="clear" w:color="000000" w:fill="FCD5B4"/>
                  <w:noWrap/>
                  <w:vAlign w:val="center"/>
                  <w:hideMark/>
                </w:tcPr>
                <w:p w14:paraId="4C35119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39%</w:t>
                  </w:r>
                </w:p>
              </w:tc>
              <w:tc>
                <w:tcPr>
                  <w:tcW w:w="886" w:type="dxa"/>
                  <w:tcBorders>
                    <w:top w:val="nil"/>
                    <w:left w:val="nil"/>
                    <w:bottom w:val="single" w:sz="8" w:space="0" w:color="FFFFFF"/>
                    <w:right w:val="single" w:sz="8" w:space="0" w:color="FFFFFF"/>
                  </w:tcBorders>
                  <w:shd w:val="clear" w:color="000000" w:fill="FCD5B4"/>
                  <w:noWrap/>
                  <w:vAlign w:val="center"/>
                  <w:hideMark/>
                </w:tcPr>
                <w:p w14:paraId="2AF0733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29%</w:t>
                  </w:r>
                </w:p>
              </w:tc>
              <w:tc>
                <w:tcPr>
                  <w:tcW w:w="886" w:type="dxa"/>
                  <w:tcBorders>
                    <w:top w:val="nil"/>
                    <w:left w:val="nil"/>
                    <w:bottom w:val="single" w:sz="8" w:space="0" w:color="FFFFFF"/>
                    <w:right w:val="single" w:sz="8" w:space="0" w:color="FFFFFF"/>
                  </w:tcBorders>
                  <w:shd w:val="clear" w:color="000000" w:fill="FFC7CE"/>
                  <w:noWrap/>
                  <w:vAlign w:val="center"/>
                  <w:hideMark/>
                </w:tcPr>
                <w:p w14:paraId="658203DD"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91%</w:t>
                  </w:r>
                </w:p>
              </w:tc>
            </w:tr>
            <w:tr w:rsidR="00034919" w:rsidRPr="00034919" w14:paraId="50ECBECC"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3AEE4424"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7" w:type="dxa"/>
                  <w:tcBorders>
                    <w:top w:val="nil"/>
                    <w:left w:val="nil"/>
                    <w:bottom w:val="single" w:sz="8" w:space="0" w:color="FFFFFF"/>
                    <w:right w:val="single" w:sz="8" w:space="0" w:color="FFFFFF"/>
                  </w:tcBorders>
                  <w:shd w:val="clear" w:color="000000" w:fill="FDE9D9"/>
                  <w:noWrap/>
                  <w:vAlign w:val="center"/>
                  <w:hideMark/>
                </w:tcPr>
                <w:p w14:paraId="61B8EEB8"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21%</w:t>
                  </w:r>
                </w:p>
              </w:tc>
              <w:tc>
                <w:tcPr>
                  <w:tcW w:w="887" w:type="dxa"/>
                  <w:tcBorders>
                    <w:top w:val="nil"/>
                    <w:left w:val="nil"/>
                    <w:bottom w:val="single" w:sz="8" w:space="0" w:color="FFFFFF"/>
                    <w:right w:val="single" w:sz="8" w:space="0" w:color="FFFFFF"/>
                  </w:tcBorders>
                  <w:shd w:val="clear" w:color="000000" w:fill="FDE9D9"/>
                  <w:noWrap/>
                  <w:vAlign w:val="center"/>
                  <w:hideMark/>
                </w:tcPr>
                <w:p w14:paraId="0EAAFA4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18%</w:t>
                  </w:r>
                </w:p>
              </w:tc>
              <w:tc>
                <w:tcPr>
                  <w:tcW w:w="887" w:type="dxa"/>
                  <w:tcBorders>
                    <w:top w:val="nil"/>
                    <w:left w:val="nil"/>
                    <w:bottom w:val="single" w:sz="8" w:space="0" w:color="FFFFFF"/>
                    <w:right w:val="single" w:sz="8" w:space="0" w:color="FFFFFF"/>
                  </w:tcBorders>
                  <w:shd w:val="clear" w:color="000000" w:fill="FDE9D9"/>
                  <w:noWrap/>
                  <w:vAlign w:val="center"/>
                  <w:hideMark/>
                </w:tcPr>
                <w:p w14:paraId="50509C8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14%</w:t>
                  </w:r>
                </w:p>
              </w:tc>
              <w:tc>
                <w:tcPr>
                  <w:tcW w:w="886" w:type="dxa"/>
                  <w:tcBorders>
                    <w:top w:val="nil"/>
                    <w:left w:val="nil"/>
                    <w:bottom w:val="single" w:sz="8" w:space="0" w:color="FFFFFF"/>
                    <w:right w:val="single" w:sz="8" w:space="0" w:color="FFFFFF"/>
                  </w:tcBorders>
                  <w:shd w:val="clear" w:color="000000" w:fill="FDE9D9"/>
                  <w:noWrap/>
                  <w:vAlign w:val="center"/>
                  <w:hideMark/>
                </w:tcPr>
                <w:p w14:paraId="3F9106D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48%</w:t>
                  </w:r>
                </w:p>
              </w:tc>
              <w:tc>
                <w:tcPr>
                  <w:tcW w:w="1105" w:type="dxa"/>
                  <w:tcBorders>
                    <w:top w:val="nil"/>
                    <w:left w:val="nil"/>
                    <w:bottom w:val="single" w:sz="8" w:space="0" w:color="FFFFFF"/>
                    <w:right w:val="single" w:sz="8" w:space="0" w:color="FFFFFF"/>
                  </w:tcBorders>
                  <w:shd w:val="clear" w:color="000000" w:fill="FDE9D9"/>
                  <w:noWrap/>
                  <w:vAlign w:val="center"/>
                  <w:hideMark/>
                </w:tcPr>
                <w:p w14:paraId="39C010E4" w14:textId="77777777" w:rsidR="00034919" w:rsidRPr="00034919" w:rsidRDefault="00034919" w:rsidP="00034919">
                  <w:pPr>
                    <w:widowControl/>
                    <w:jc w:val="center"/>
                    <w:rPr>
                      <w:rFonts w:ascii="楷体" w:eastAsia="楷体" w:hAnsi="楷体" w:cs="宋体"/>
                      <w:color w:val="000000"/>
                      <w:kern w:val="0"/>
                      <w:sz w:val="20"/>
                      <w:szCs w:val="20"/>
                    </w:rPr>
                  </w:pPr>
                  <w:r w:rsidRPr="00034919">
                    <w:rPr>
                      <w:rFonts w:ascii="楷体" w:eastAsia="楷体" w:hAnsi="楷体" w:cs="宋体" w:hint="eastAsia"/>
                      <w:color w:val="000000"/>
                      <w:kern w:val="0"/>
                      <w:sz w:val="20"/>
                      <w:szCs w:val="20"/>
                    </w:rPr>
                    <w:t>企业债7Y</w:t>
                  </w:r>
                </w:p>
              </w:tc>
              <w:tc>
                <w:tcPr>
                  <w:tcW w:w="886" w:type="dxa"/>
                  <w:tcBorders>
                    <w:top w:val="nil"/>
                    <w:left w:val="nil"/>
                    <w:bottom w:val="single" w:sz="8" w:space="0" w:color="FFFFFF"/>
                    <w:right w:val="single" w:sz="8" w:space="0" w:color="FFFFFF"/>
                  </w:tcBorders>
                  <w:shd w:val="clear" w:color="000000" w:fill="FDE9D9"/>
                  <w:noWrap/>
                  <w:vAlign w:val="center"/>
                  <w:hideMark/>
                </w:tcPr>
                <w:p w14:paraId="1854C9C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36%</w:t>
                  </w:r>
                </w:p>
              </w:tc>
              <w:tc>
                <w:tcPr>
                  <w:tcW w:w="886" w:type="dxa"/>
                  <w:tcBorders>
                    <w:top w:val="nil"/>
                    <w:left w:val="nil"/>
                    <w:bottom w:val="single" w:sz="8" w:space="0" w:color="FFFFFF"/>
                    <w:right w:val="single" w:sz="8" w:space="0" w:color="FFFFFF"/>
                  </w:tcBorders>
                  <w:shd w:val="clear" w:color="000000" w:fill="FDE9D9"/>
                  <w:noWrap/>
                  <w:vAlign w:val="center"/>
                  <w:hideMark/>
                </w:tcPr>
                <w:p w14:paraId="07CEA88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25%</w:t>
                  </w:r>
                </w:p>
              </w:tc>
              <w:tc>
                <w:tcPr>
                  <w:tcW w:w="886" w:type="dxa"/>
                  <w:tcBorders>
                    <w:top w:val="nil"/>
                    <w:left w:val="nil"/>
                    <w:bottom w:val="single" w:sz="8" w:space="0" w:color="FFFFFF"/>
                    <w:right w:val="single" w:sz="8" w:space="0" w:color="FFFFFF"/>
                  </w:tcBorders>
                  <w:shd w:val="clear" w:color="000000" w:fill="FDE9D9"/>
                  <w:noWrap/>
                  <w:vAlign w:val="center"/>
                  <w:hideMark/>
                </w:tcPr>
                <w:p w14:paraId="1E24CBF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15%</w:t>
                  </w:r>
                </w:p>
              </w:tc>
              <w:tc>
                <w:tcPr>
                  <w:tcW w:w="886" w:type="dxa"/>
                  <w:tcBorders>
                    <w:top w:val="nil"/>
                    <w:left w:val="nil"/>
                    <w:bottom w:val="single" w:sz="8" w:space="0" w:color="FFFFFF"/>
                    <w:right w:val="single" w:sz="8" w:space="0" w:color="FFFFFF"/>
                  </w:tcBorders>
                  <w:shd w:val="clear" w:color="000000" w:fill="FDE9D9"/>
                  <w:noWrap/>
                  <w:vAlign w:val="center"/>
                  <w:hideMark/>
                </w:tcPr>
                <w:p w14:paraId="04B28D8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78%</w:t>
                  </w:r>
                </w:p>
              </w:tc>
            </w:tr>
            <w:tr w:rsidR="00034919" w:rsidRPr="00034919" w14:paraId="6FE09B8E" w14:textId="77777777" w:rsidTr="00E87491">
              <w:trPr>
                <w:trHeight w:val="331"/>
              </w:trPr>
              <w:tc>
                <w:tcPr>
                  <w:tcW w:w="1306" w:type="dxa"/>
                  <w:tcBorders>
                    <w:top w:val="nil"/>
                    <w:left w:val="nil"/>
                    <w:bottom w:val="single" w:sz="8" w:space="0" w:color="FFFFFF"/>
                    <w:right w:val="single" w:sz="8" w:space="0" w:color="FFFFFF"/>
                  </w:tcBorders>
                  <w:shd w:val="clear" w:color="000000" w:fill="FCD5B4"/>
                  <w:noWrap/>
                  <w:vAlign w:val="center"/>
                  <w:hideMark/>
                </w:tcPr>
                <w:p w14:paraId="256085E2"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7" w:type="dxa"/>
                  <w:tcBorders>
                    <w:top w:val="nil"/>
                    <w:left w:val="nil"/>
                    <w:bottom w:val="single" w:sz="8" w:space="0" w:color="FFFFFF"/>
                    <w:right w:val="single" w:sz="8" w:space="0" w:color="FFFFFF"/>
                  </w:tcBorders>
                  <w:shd w:val="clear" w:color="000000" w:fill="FCD5B4"/>
                  <w:noWrap/>
                  <w:vAlign w:val="center"/>
                  <w:hideMark/>
                </w:tcPr>
                <w:p w14:paraId="02FCE68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25%</w:t>
                  </w:r>
                </w:p>
              </w:tc>
              <w:tc>
                <w:tcPr>
                  <w:tcW w:w="887" w:type="dxa"/>
                  <w:tcBorders>
                    <w:top w:val="nil"/>
                    <w:left w:val="nil"/>
                    <w:bottom w:val="single" w:sz="8" w:space="0" w:color="FFFFFF"/>
                    <w:right w:val="single" w:sz="8" w:space="0" w:color="FFFFFF"/>
                  </w:tcBorders>
                  <w:shd w:val="clear" w:color="000000" w:fill="FCD5B4"/>
                  <w:noWrap/>
                  <w:vAlign w:val="center"/>
                  <w:hideMark/>
                </w:tcPr>
                <w:p w14:paraId="3B25729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23%</w:t>
                  </w:r>
                </w:p>
              </w:tc>
              <w:tc>
                <w:tcPr>
                  <w:tcW w:w="887" w:type="dxa"/>
                  <w:tcBorders>
                    <w:top w:val="nil"/>
                    <w:left w:val="nil"/>
                    <w:bottom w:val="single" w:sz="8" w:space="0" w:color="FFFFFF"/>
                    <w:right w:val="single" w:sz="8" w:space="0" w:color="FFFFFF"/>
                  </w:tcBorders>
                  <w:shd w:val="clear" w:color="000000" w:fill="FCD5B4"/>
                  <w:noWrap/>
                  <w:vAlign w:val="center"/>
                  <w:hideMark/>
                </w:tcPr>
                <w:p w14:paraId="26A9A349"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18%</w:t>
                  </w:r>
                </w:p>
              </w:tc>
              <w:tc>
                <w:tcPr>
                  <w:tcW w:w="886" w:type="dxa"/>
                  <w:tcBorders>
                    <w:top w:val="nil"/>
                    <w:left w:val="nil"/>
                    <w:bottom w:val="single" w:sz="8" w:space="0" w:color="FFFFFF"/>
                    <w:right w:val="single" w:sz="8" w:space="0" w:color="FFFFFF"/>
                  </w:tcBorders>
                  <w:shd w:val="clear" w:color="000000" w:fill="FCD5B4"/>
                  <w:noWrap/>
                  <w:vAlign w:val="center"/>
                  <w:hideMark/>
                </w:tcPr>
                <w:p w14:paraId="54E9FA3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46%</w:t>
                  </w:r>
                </w:p>
              </w:tc>
              <w:tc>
                <w:tcPr>
                  <w:tcW w:w="1105" w:type="dxa"/>
                  <w:tcBorders>
                    <w:top w:val="nil"/>
                    <w:left w:val="nil"/>
                    <w:bottom w:val="single" w:sz="8" w:space="0" w:color="FFFFFF"/>
                    <w:right w:val="single" w:sz="8" w:space="0" w:color="FFFFFF"/>
                  </w:tcBorders>
                  <w:shd w:val="clear" w:color="000000" w:fill="FCD5B4"/>
                  <w:noWrap/>
                  <w:vAlign w:val="center"/>
                  <w:hideMark/>
                </w:tcPr>
                <w:p w14:paraId="2F31E462"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3Y</w:t>
                  </w:r>
                </w:p>
              </w:tc>
              <w:tc>
                <w:tcPr>
                  <w:tcW w:w="886" w:type="dxa"/>
                  <w:tcBorders>
                    <w:top w:val="nil"/>
                    <w:left w:val="nil"/>
                    <w:bottom w:val="single" w:sz="8" w:space="0" w:color="FFFFFF"/>
                    <w:right w:val="single" w:sz="8" w:space="0" w:color="FFFFFF"/>
                  </w:tcBorders>
                  <w:shd w:val="clear" w:color="000000" w:fill="FCD5B4"/>
                  <w:noWrap/>
                  <w:vAlign w:val="center"/>
                  <w:hideMark/>
                </w:tcPr>
                <w:p w14:paraId="28133E7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35%</w:t>
                  </w:r>
                </w:p>
              </w:tc>
              <w:tc>
                <w:tcPr>
                  <w:tcW w:w="886" w:type="dxa"/>
                  <w:tcBorders>
                    <w:top w:val="nil"/>
                    <w:left w:val="nil"/>
                    <w:bottom w:val="single" w:sz="8" w:space="0" w:color="FFFFFF"/>
                    <w:right w:val="single" w:sz="8" w:space="0" w:color="FFFFFF"/>
                  </w:tcBorders>
                  <w:shd w:val="clear" w:color="000000" w:fill="FCD5B4"/>
                  <w:noWrap/>
                  <w:vAlign w:val="center"/>
                  <w:hideMark/>
                </w:tcPr>
                <w:p w14:paraId="05515F2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35%</w:t>
                  </w:r>
                </w:p>
              </w:tc>
              <w:tc>
                <w:tcPr>
                  <w:tcW w:w="886" w:type="dxa"/>
                  <w:tcBorders>
                    <w:top w:val="nil"/>
                    <w:left w:val="nil"/>
                    <w:bottom w:val="single" w:sz="8" w:space="0" w:color="FFFFFF"/>
                    <w:right w:val="single" w:sz="8" w:space="0" w:color="FFFFFF"/>
                  </w:tcBorders>
                  <w:shd w:val="clear" w:color="000000" w:fill="FCD5B4"/>
                  <w:noWrap/>
                  <w:vAlign w:val="center"/>
                  <w:hideMark/>
                </w:tcPr>
                <w:p w14:paraId="1DBB82C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31%</w:t>
                  </w:r>
                </w:p>
              </w:tc>
              <w:tc>
                <w:tcPr>
                  <w:tcW w:w="886" w:type="dxa"/>
                  <w:tcBorders>
                    <w:top w:val="nil"/>
                    <w:left w:val="nil"/>
                    <w:bottom w:val="single" w:sz="8" w:space="0" w:color="FFFFFF"/>
                    <w:right w:val="single" w:sz="8" w:space="0" w:color="FFFFFF"/>
                  </w:tcBorders>
                  <w:shd w:val="clear" w:color="000000" w:fill="FCD5B4"/>
                  <w:noWrap/>
                  <w:vAlign w:val="center"/>
                  <w:hideMark/>
                </w:tcPr>
                <w:p w14:paraId="3D93F31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74%</w:t>
                  </w:r>
                </w:p>
              </w:tc>
            </w:tr>
            <w:tr w:rsidR="00034919" w:rsidRPr="00034919" w14:paraId="3E3BD486" w14:textId="77777777" w:rsidTr="00E87491">
              <w:trPr>
                <w:trHeight w:val="331"/>
              </w:trPr>
              <w:tc>
                <w:tcPr>
                  <w:tcW w:w="1306" w:type="dxa"/>
                  <w:tcBorders>
                    <w:top w:val="nil"/>
                    <w:left w:val="nil"/>
                    <w:bottom w:val="single" w:sz="8" w:space="0" w:color="FFFFFF"/>
                    <w:right w:val="single" w:sz="8" w:space="0" w:color="FFFFFF"/>
                  </w:tcBorders>
                  <w:shd w:val="clear" w:color="000000" w:fill="FDE9D9"/>
                  <w:noWrap/>
                  <w:vAlign w:val="center"/>
                  <w:hideMark/>
                </w:tcPr>
                <w:p w14:paraId="16BC8243"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7" w:type="dxa"/>
                  <w:tcBorders>
                    <w:top w:val="nil"/>
                    <w:left w:val="nil"/>
                    <w:bottom w:val="single" w:sz="8" w:space="0" w:color="FFFFFF"/>
                    <w:right w:val="single" w:sz="8" w:space="0" w:color="FFFFFF"/>
                  </w:tcBorders>
                  <w:shd w:val="clear" w:color="000000" w:fill="FDE9D9"/>
                  <w:noWrap/>
                  <w:vAlign w:val="center"/>
                  <w:hideMark/>
                </w:tcPr>
                <w:p w14:paraId="58DDF890"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22%</w:t>
                  </w:r>
                </w:p>
              </w:tc>
              <w:tc>
                <w:tcPr>
                  <w:tcW w:w="887" w:type="dxa"/>
                  <w:tcBorders>
                    <w:top w:val="nil"/>
                    <w:left w:val="nil"/>
                    <w:bottom w:val="single" w:sz="8" w:space="0" w:color="FFFFFF"/>
                    <w:right w:val="single" w:sz="8" w:space="0" w:color="FFFFFF"/>
                  </w:tcBorders>
                  <w:shd w:val="clear" w:color="000000" w:fill="FDE9D9"/>
                  <w:noWrap/>
                  <w:vAlign w:val="center"/>
                  <w:hideMark/>
                </w:tcPr>
                <w:p w14:paraId="56959D4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19%</w:t>
                  </w:r>
                </w:p>
              </w:tc>
              <w:tc>
                <w:tcPr>
                  <w:tcW w:w="887" w:type="dxa"/>
                  <w:tcBorders>
                    <w:top w:val="nil"/>
                    <w:left w:val="nil"/>
                    <w:bottom w:val="single" w:sz="8" w:space="0" w:color="FFFFFF"/>
                    <w:right w:val="single" w:sz="8" w:space="0" w:color="FFFFFF"/>
                  </w:tcBorders>
                  <w:shd w:val="clear" w:color="000000" w:fill="FDE9D9"/>
                  <w:noWrap/>
                  <w:vAlign w:val="center"/>
                  <w:hideMark/>
                </w:tcPr>
                <w:p w14:paraId="44C08FE1"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18%</w:t>
                  </w:r>
                </w:p>
              </w:tc>
              <w:tc>
                <w:tcPr>
                  <w:tcW w:w="886" w:type="dxa"/>
                  <w:tcBorders>
                    <w:top w:val="nil"/>
                    <w:left w:val="nil"/>
                    <w:bottom w:val="single" w:sz="8" w:space="0" w:color="FFFFFF"/>
                    <w:right w:val="single" w:sz="8" w:space="0" w:color="FFFFFF"/>
                  </w:tcBorders>
                  <w:shd w:val="clear" w:color="000000" w:fill="FDE9D9"/>
                  <w:noWrap/>
                  <w:vAlign w:val="center"/>
                  <w:hideMark/>
                </w:tcPr>
                <w:p w14:paraId="2A5C7CB6"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53%</w:t>
                  </w:r>
                </w:p>
              </w:tc>
              <w:tc>
                <w:tcPr>
                  <w:tcW w:w="1105" w:type="dxa"/>
                  <w:tcBorders>
                    <w:top w:val="nil"/>
                    <w:left w:val="nil"/>
                    <w:bottom w:val="single" w:sz="8" w:space="0" w:color="FFFFFF"/>
                    <w:right w:val="single" w:sz="8" w:space="0" w:color="FFFFFF"/>
                  </w:tcBorders>
                  <w:shd w:val="clear" w:color="000000" w:fill="FDE9D9"/>
                  <w:noWrap/>
                  <w:vAlign w:val="center"/>
                  <w:hideMark/>
                </w:tcPr>
                <w:p w14:paraId="39292104"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5Y</w:t>
                  </w:r>
                </w:p>
              </w:tc>
              <w:tc>
                <w:tcPr>
                  <w:tcW w:w="886" w:type="dxa"/>
                  <w:tcBorders>
                    <w:top w:val="nil"/>
                    <w:left w:val="nil"/>
                    <w:bottom w:val="single" w:sz="8" w:space="0" w:color="FFFFFF"/>
                    <w:right w:val="single" w:sz="8" w:space="0" w:color="FFFFFF"/>
                  </w:tcBorders>
                  <w:shd w:val="clear" w:color="000000" w:fill="FDE9D9"/>
                  <w:noWrap/>
                  <w:vAlign w:val="center"/>
                  <w:hideMark/>
                </w:tcPr>
                <w:p w14:paraId="79E47A8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39%</w:t>
                  </w:r>
                </w:p>
              </w:tc>
              <w:tc>
                <w:tcPr>
                  <w:tcW w:w="886" w:type="dxa"/>
                  <w:tcBorders>
                    <w:top w:val="nil"/>
                    <w:left w:val="nil"/>
                    <w:bottom w:val="single" w:sz="8" w:space="0" w:color="FFFFFF"/>
                    <w:right w:val="single" w:sz="8" w:space="0" w:color="FFFFFF"/>
                  </w:tcBorders>
                  <w:shd w:val="clear" w:color="000000" w:fill="FDE9D9"/>
                  <w:noWrap/>
                  <w:vAlign w:val="center"/>
                  <w:hideMark/>
                </w:tcPr>
                <w:p w14:paraId="4D3E8D33"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36%</w:t>
                  </w:r>
                </w:p>
              </w:tc>
              <w:tc>
                <w:tcPr>
                  <w:tcW w:w="886" w:type="dxa"/>
                  <w:tcBorders>
                    <w:top w:val="nil"/>
                    <w:left w:val="nil"/>
                    <w:bottom w:val="single" w:sz="8" w:space="0" w:color="FFFFFF"/>
                    <w:right w:val="single" w:sz="8" w:space="0" w:color="FFFFFF"/>
                  </w:tcBorders>
                  <w:shd w:val="clear" w:color="000000" w:fill="FDE9D9"/>
                  <w:noWrap/>
                  <w:vAlign w:val="center"/>
                  <w:hideMark/>
                </w:tcPr>
                <w:p w14:paraId="73BBC1DA"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32%</w:t>
                  </w:r>
                </w:p>
              </w:tc>
              <w:tc>
                <w:tcPr>
                  <w:tcW w:w="886" w:type="dxa"/>
                  <w:tcBorders>
                    <w:top w:val="nil"/>
                    <w:left w:val="nil"/>
                    <w:bottom w:val="single" w:sz="8" w:space="0" w:color="FFFFFF"/>
                    <w:right w:val="single" w:sz="8" w:space="0" w:color="FFFFFF"/>
                  </w:tcBorders>
                  <w:shd w:val="clear" w:color="000000" w:fill="FFC7CE"/>
                  <w:noWrap/>
                  <w:vAlign w:val="center"/>
                  <w:hideMark/>
                </w:tcPr>
                <w:p w14:paraId="0508D0B8" w14:textId="77777777" w:rsidR="00034919" w:rsidRPr="00034919" w:rsidRDefault="00034919" w:rsidP="00034919">
                  <w:pPr>
                    <w:widowControl/>
                    <w:jc w:val="center"/>
                    <w:rPr>
                      <w:rFonts w:eastAsia="等线" w:cs="Calibri"/>
                      <w:color w:val="9C0006"/>
                      <w:kern w:val="0"/>
                      <w:szCs w:val="21"/>
                    </w:rPr>
                  </w:pPr>
                  <w:r w:rsidRPr="00034919">
                    <w:rPr>
                      <w:rFonts w:eastAsia="等线" w:cs="Calibri"/>
                      <w:color w:val="9C0006"/>
                      <w:kern w:val="0"/>
                      <w:szCs w:val="21"/>
                    </w:rPr>
                    <w:t>83%</w:t>
                  </w:r>
                </w:p>
              </w:tc>
            </w:tr>
            <w:tr w:rsidR="00034919" w:rsidRPr="00034919" w14:paraId="28F6E3E5" w14:textId="77777777" w:rsidTr="00E87491">
              <w:trPr>
                <w:trHeight w:val="331"/>
              </w:trPr>
              <w:tc>
                <w:tcPr>
                  <w:tcW w:w="1306" w:type="dxa"/>
                  <w:tcBorders>
                    <w:top w:val="nil"/>
                    <w:left w:val="nil"/>
                    <w:bottom w:val="nil"/>
                    <w:right w:val="nil"/>
                  </w:tcBorders>
                  <w:shd w:val="clear" w:color="000000" w:fill="FCD5B4"/>
                  <w:noWrap/>
                  <w:vAlign w:val="center"/>
                  <w:hideMark/>
                </w:tcPr>
                <w:p w14:paraId="1854DC91"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7" w:type="dxa"/>
                  <w:tcBorders>
                    <w:top w:val="nil"/>
                    <w:left w:val="nil"/>
                    <w:bottom w:val="single" w:sz="8" w:space="0" w:color="FFFFFF"/>
                    <w:right w:val="single" w:sz="8" w:space="0" w:color="FFFFFF"/>
                  </w:tcBorders>
                  <w:shd w:val="clear" w:color="000000" w:fill="FCD5B4"/>
                  <w:noWrap/>
                  <w:vAlign w:val="center"/>
                  <w:hideMark/>
                </w:tcPr>
                <w:p w14:paraId="0A9E6FE2"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16%</w:t>
                  </w:r>
                </w:p>
              </w:tc>
              <w:tc>
                <w:tcPr>
                  <w:tcW w:w="887" w:type="dxa"/>
                  <w:tcBorders>
                    <w:top w:val="nil"/>
                    <w:left w:val="nil"/>
                    <w:bottom w:val="single" w:sz="8" w:space="0" w:color="FFFFFF"/>
                    <w:right w:val="single" w:sz="8" w:space="0" w:color="FFFFFF"/>
                  </w:tcBorders>
                  <w:shd w:val="clear" w:color="000000" w:fill="FCD5B4"/>
                  <w:noWrap/>
                  <w:vAlign w:val="center"/>
                  <w:hideMark/>
                </w:tcPr>
                <w:p w14:paraId="7B36F655"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14%</w:t>
                  </w:r>
                </w:p>
              </w:tc>
              <w:tc>
                <w:tcPr>
                  <w:tcW w:w="887" w:type="dxa"/>
                  <w:tcBorders>
                    <w:top w:val="nil"/>
                    <w:left w:val="nil"/>
                    <w:bottom w:val="single" w:sz="8" w:space="0" w:color="FFFFFF"/>
                    <w:right w:val="single" w:sz="8" w:space="0" w:color="FFFFFF"/>
                  </w:tcBorders>
                  <w:shd w:val="clear" w:color="000000" w:fill="FCD5B4"/>
                  <w:noWrap/>
                  <w:vAlign w:val="center"/>
                  <w:hideMark/>
                </w:tcPr>
                <w:p w14:paraId="069514C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12%</w:t>
                  </w:r>
                </w:p>
              </w:tc>
              <w:tc>
                <w:tcPr>
                  <w:tcW w:w="886" w:type="dxa"/>
                  <w:tcBorders>
                    <w:top w:val="nil"/>
                    <w:left w:val="nil"/>
                    <w:bottom w:val="single" w:sz="8" w:space="0" w:color="FFFFFF"/>
                    <w:right w:val="single" w:sz="8" w:space="0" w:color="FFFFFF"/>
                  </w:tcBorders>
                  <w:shd w:val="clear" w:color="000000" w:fill="FCD5B4"/>
                  <w:noWrap/>
                  <w:vAlign w:val="center"/>
                  <w:hideMark/>
                </w:tcPr>
                <w:p w14:paraId="204B513E"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48%</w:t>
                  </w:r>
                </w:p>
              </w:tc>
              <w:tc>
                <w:tcPr>
                  <w:tcW w:w="1105" w:type="dxa"/>
                  <w:tcBorders>
                    <w:top w:val="nil"/>
                    <w:left w:val="nil"/>
                    <w:bottom w:val="nil"/>
                    <w:right w:val="nil"/>
                  </w:tcBorders>
                  <w:shd w:val="clear" w:color="000000" w:fill="FCD5B4"/>
                  <w:noWrap/>
                  <w:vAlign w:val="center"/>
                  <w:hideMark/>
                </w:tcPr>
                <w:p w14:paraId="0478726C" w14:textId="77777777" w:rsidR="00034919" w:rsidRPr="00034919" w:rsidRDefault="00034919" w:rsidP="00034919">
                  <w:pPr>
                    <w:widowControl/>
                    <w:jc w:val="center"/>
                    <w:rPr>
                      <w:rFonts w:ascii="楷体" w:eastAsia="楷体" w:hAnsi="楷体" w:cs="宋体"/>
                      <w:color w:val="000000"/>
                      <w:kern w:val="0"/>
                      <w:sz w:val="20"/>
                      <w:szCs w:val="20"/>
                    </w:rPr>
                  </w:pPr>
                  <w:proofErr w:type="gramStart"/>
                  <w:r w:rsidRPr="00034919">
                    <w:rPr>
                      <w:rFonts w:ascii="楷体" w:eastAsia="楷体" w:hAnsi="楷体" w:cs="宋体" w:hint="eastAsia"/>
                      <w:color w:val="000000"/>
                      <w:kern w:val="0"/>
                      <w:sz w:val="20"/>
                      <w:szCs w:val="20"/>
                    </w:rPr>
                    <w:t>城投债</w:t>
                  </w:r>
                  <w:proofErr w:type="gramEnd"/>
                  <w:r w:rsidRPr="00034919">
                    <w:rPr>
                      <w:rFonts w:ascii="楷体" w:eastAsia="楷体" w:hAnsi="楷体" w:cs="宋体" w:hint="eastAsia"/>
                      <w:color w:val="000000"/>
                      <w:kern w:val="0"/>
                      <w:sz w:val="20"/>
                      <w:szCs w:val="20"/>
                    </w:rPr>
                    <w:t>7Y</w:t>
                  </w:r>
                </w:p>
              </w:tc>
              <w:tc>
                <w:tcPr>
                  <w:tcW w:w="886" w:type="dxa"/>
                  <w:tcBorders>
                    <w:top w:val="nil"/>
                    <w:left w:val="nil"/>
                    <w:bottom w:val="single" w:sz="8" w:space="0" w:color="FFFFFF"/>
                    <w:right w:val="single" w:sz="8" w:space="0" w:color="FFFFFF"/>
                  </w:tcBorders>
                  <w:shd w:val="clear" w:color="000000" w:fill="FCD5B4"/>
                  <w:noWrap/>
                  <w:vAlign w:val="center"/>
                  <w:hideMark/>
                </w:tcPr>
                <w:p w14:paraId="1BCA43DF"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24%</w:t>
                  </w:r>
                </w:p>
              </w:tc>
              <w:tc>
                <w:tcPr>
                  <w:tcW w:w="886" w:type="dxa"/>
                  <w:tcBorders>
                    <w:top w:val="nil"/>
                    <w:left w:val="nil"/>
                    <w:bottom w:val="single" w:sz="8" w:space="0" w:color="FFFFFF"/>
                    <w:right w:val="single" w:sz="8" w:space="0" w:color="FFFFFF"/>
                  </w:tcBorders>
                  <w:shd w:val="clear" w:color="000000" w:fill="FCD5B4"/>
                  <w:noWrap/>
                  <w:vAlign w:val="center"/>
                  <w:hideMark/>
                </w:tcPr>
                <w:p w14:paraId="399A830D"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19%</w:t>
                  </w:r>
                </w:p>
              </w:tc>
              <w:tc>
                <w:tcPr>
                  <w:tcW w:w="886" w:type="dxa"/>
                  <w:tcBorders>
                    <w:top w:val="nil"/>
                    <w:left w:val="nil"/>
                    <w:bottom w:val="single" w:sz="8" w:space="0" w:color="FFFFFF"/>
                    <w:right w:val="single" w:sz="8" w:space="0" w:color="FFFFFF"/>
                  </w:tcBorders>
                  <w:shd w:val="clear" w:color="000000" w:fill="FCD5B4"/>
                  <w:noWrap/>
                  <w:vAlign w:val="center"/>
                  <w:hideMark/>
                </w:tcPr>
                <w:p w14:paraId="77A256AC"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16%</w:t>
                  </w:r>
                </w:p>
              </w:tc>
              <w:tc>
                <w:tcPr>
                  <w:tcW w:w="886" w:type="dxa"/>
                  <w:tcBorders>
                    <w:top w:val="nil"/>
                    <w:left w:val="nil"/>
                    <w:bottom w:val="single" w:sz="8" w:space="0" w:color="FFFFFF"/>
                    <w:right w:val="single" w:sz="8" w:space="0" w:color="FFFFFF"/>
                  </w:tcBorders>
                  <w:shd w:val="clear" w:color="000000" w:fill="FCD5B4"/>
                  <w:noWrap/>
                  <w:vAlign w:val="center"/>
                  <w:hideMark/>
                </w:tcPr>
                <w:p w14:paraId="29E3F33B" w14:textId="77777777" w:rsidR="00034919" w:rsidRPr="00034919" w:rsidRDefault="00034919" w:rsidP="00034919">
                  <w:pPr>
                    <w:widowControl/>
                    <w:jc w:val="center"/>
                    <w:rPr>
                      <w:rFonts w:eastAsia="等线" w:cs="Calibri"/>
                      <w:color w:val="000000"/>
                      <w:kern w:val="0"/>
                      <w:szCs w:val="21"/>
                    </w:rPr>
                  </w:pPr>
                  <w:r w:rsidRPr="00034919">
                    <w:rPr>
                      <w:rFonts w:eastAsia="等线" w:cs="Calibri"/>
                      <w:color w:val="000000"/>
                      <w:kern w:val="0"/>
                      <w:szCs w:val="21"/>
                    </w:rPr>
                    <w:t>77%</w:t>
                  </w:r>
                </w:p>
              </w:tc>
            </w:tr>
          </w:tbl>
          <w:p w14:paraId="446C7D6E" w14:textId="294F6511" w:rsidR="00E0626C" w:rsidRPr="0012177F" w:rsidRDefault="00E0626C" w:rsidP="0092340D">
            <w:pPr>
              <w:rPr>
                <w:noProof/>
                <w:szCs w:val="18"/>
              </w:rPr>
            </w:pPr>
          </w:p>
        </w:tc>
      </w:tr>
      <w:tr w:rsidR="00E0626C" w:rsidRPr="006A5F34" w14:paraId="01D36A65" w14:textId="77777777" w:rsidTr="00E87491">
        <w:trPr>
          <w:trHeight w:val="44"/>
          <w:jc w:val="center"/>
        </w:trPr>
        <w:tc>
          <w:tcPr>
            <w:tcW w:w="9738"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1A47A467"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lastRenderedPageBreak/>
        <w:t>本周</w:t>
      </w:r>
      <w:r>
        <w:rPr>
          <w:rFonts w:ascii="华文楷体" w:hAnsi="华文楷体"/>
          <w:sz w:val="24"/>
          <w:szCs w:val="24"/>
          <w:lang w:eastAsia="zh-CN"/>
        </w:rPr>
        <w:t>，</w:t>
      </w:r>
      <w:r w:rsidR="003931FA"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F20D5F">
        <w:rPr>
          <w:rFonts w:ascii="华文楷体" w:hAnsi="华文楷体" w:hint="eastAsia"/>
          <w:sz w:val="24"/>
          <w:szCs w:val="24"/>
          <w:lang w:eastAsia="zh-CN"/>
        </w:rPr>
        <w:t>情绪</w:t>
      </w:r>
      <w:r w:rsidR="00976EE1">
        <w:rPr>
          <w:rFonts w:ascii="华文楷体" w:hAnsi="华文楷体" w:hint="eastAsia"/>
          <w:sz w:val="24"/>
          <w:szCs w:val="24"/>
          <w:lang w:eastAsia="zh-CN"/>
        </w:rPr>
        <w:t>受到市场自我调整和外部监管</w:t>
      </w:r>
      <w:proofErr w:type="gramStart"/>
      <w:r w:rsidR="00976EE1">
        <w:rPr>
          <w:rFonts w:ascii="华文楷体" w:hAnsi="华文楷体" w:hint="eastAsia"/>
          <w:sz w:val="24"/>
          <w:szCs w:val="24"/>
          <w:lang w:eastAsia="zh-CN"/>
        </w:rPr>
        <w:t>强关注</w:t>
      </w:r>
      <w:proofErr w:type="gramEnd"/>
      <w:r w:rsidR="00976EE1">
        <w:rPr>
          <w:rFonts w:ascii="华文楷体" w:hAnsi="华文楷体" w:hint="eastAsia"/>
          <w:sz w:val="24"/>
          <w:szCs w:val="24"/>
          <w:lang w:eastAsia="zh-CN"/>
        </w:rPr>
        <w:t>等多种内外部因素影响，出现整体调整态势</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976EE1">
        <w:rPr>
          <w:rFonts w:ascii="华文楷体" w:hAnsi="华文楷体" w:hint="eastAsia"/>
          <w:sz w:val="24"/>
          <w:szCs w:val="24"/>
          <w:lang w:eastAsia="zh-CN"/>
        </w:rPr>
        <w:t>跟随权益市场也适度回调</w:t>
      </w:r>
      <w:r w:rsidR="00591DD3">
        <w:rPr>
          <w:rFonts w:ascii="华文楷体" w:hAnsi="华文楷体" w:hint="eastAsia"/>
          <w:sz w:val="24"/>
          <w:szCs w:val="24"/>
          <w:lang w:eastAsia="zh-CN"/>
        </w:rPr>
        <w:t>。</w:t>
      </w:r>
      <w:r w:rsidR="00591011">
        <w:rPr>
          <w:rFonts w:ascii="华文楷体" w:hAnsi="华文楷体" w:hint="eastAsia"/>
          <w:sz w:val="24"/>
          <w:szCs w:val="24"/>
          <w:lang w:eastAsia="zh-CN"/>
        </w:rPr>
        <w:t>市场</w:t>
      </w:r>
      <w:r w:rsidR="00F20D5F">
        <w:rPr>
          <w:rFonts w:ascii="华文楷体" w:hAnsi="华文楷体" w:hint="eastAsia"/>
          <w:sz w:val="24"/>
          <w:szCs w:val="24"/>
          <w:lang w:eastAsia="zh-CN"/>
        </w:rPr>
        <w:t>各主要板块上涨明显，</w:t>
      </w:r>
      <w:proofErr w:type="gramStart"/>
      <w:r w:rsidR="00577E21">
        <w:rPr>
          <w:rFonts w:ascii="华文楷体" w:hAnsi="华文楷体" w:hint="eastAsia"/>
          <w:sz w:val="24"/>
          <w:szCs w:val="24"/>
          <w:lang w:eastAsia="zh-CN"/>
        </w:rPr>
        <w:t>创业板</w:t>
      </w:r>
      <w:r w:rsidR="00AD2327">
        <w:rPr>
          <w:rFonts w:ascii="华文楷体" w:hAnsi="华文楷体" w:hint="eastAsia"/>
          <w:sz w:val="24"/>
          <w:szCs w:val="24"/>
          <w:lang w:eastAsia="zh-CN"/>
        </w:rPr>
        <w:t>领涨</w:t>
      </w:r>
      <w:proofErr w:type="gramEnd"/>
      <w:r w:rsidR="00591011">
        <w:rPr>
          <w:rFonts w:ascii="华文楷体" w:hAnsi="华文楷体" w:hint="eastAsia"/>
          <w:sz w:val="24"/>
          <w:szCs w:val="24"/>
          <w:lang w:eastAsia="zh-CN"/>
        </w:rPr>
        <w:t>，</w:t>
      </w:r>
      <w:r w:rsidR="0044426C">
        <w:rPr>
          <w:rFonts w:ascii="华文楷体" w:hAnsi="华文楷体" w:hint="eastAsia"/>
          <w:sz w:val="24"/>
          <w:szCs w:val="24"/>
          <w:lang w:eastAsia="zh-CN"/>
        </w:rPr>
        <w:t>市场</w:t>
      </w:r>
      <w:r w:rsidR="00DC05C7">
        <w:rPr>
          <w:rFonts w:ascii="华文楷体" w:hAnsi="华文楷体"/>
          <w:sz w:val="24"/>
          <w:szCs w:val="24"/>
          <w:lang w:eastAsia="zh-CN"/>
        </w:rPr>
        <w:t>成交量</w:t>
      </w:r>
      <w:r w:rsidR="0044426C">
        <w:rPr>
          <w:rFonts w:ascii="华文楷体" w:hAnsi="华文楷体" w:hint="eastAsia"/>
          <w:sz w:val="24"/>
          <w:szCs w:val="24"/>
          <w:lang w:eastAsia="zh-CN"/>
        </w:rPr>
        <w:t>较上周</w:t>
      </w:r>
      <w:r w:rsidR="00577E21">
        <w:rPr>
          <w:rFonts w:ascii="华文楷体" w:hAnsi="华文楷体" w:hint="eastAsia"/>
          <w:sz w:val="24"/>
          <w:szCs w:val="24"/>
          <w:lang w:eastAsia="zh-CN"/>
        </w:rPr>
        <w:t>放量</w:t>
      </w:r>
      <w:r w:rsidR="00F20D5F">
        <w:rPr>
          <w:rFonts w:ascii="华文楷体" w:hAnsi="华文楷体" w:hint="eastAsia"/>
          <w:sz w:val="24"/>
          <w:szCs w:val="24"/>
          <w:lang w:eastAsia="zh-CN"/>
        </w:rPr>
        <w:t>上涨</w:t>
      </w:r>
      <w:r w:rsidR="00DC05C7">
        <w:rPr>
          <w:rFonts w:ascii="华文楷体" w:hAnsi="华文楷体" w:hint="eastAsia"/>
          <w:sz w:val="24"/>
          <w:szCs w:val="24"/>
          <w:lang w:eastAsia="zh-CN"/>
        </w:rPr>
        <w:t>。</w:t>
      </w:r>
      <w:r w:rsidR="00F56CDA" w:rsidRPr="00F56CDA">
        <w:rPr>
          <w:rFonts w:ascii="华文楷体" w:hAnsi="华文楷体" w:hint="eastAsia"/>
          <w:sz w:val="24"/>
          <w:szCs w:val="24"/>
          <w:lang w:eastAsia="zh-CN"/>
        </w:rPr>
        <w:t>行业层面，</w:t>
      </w:r>
      <w:r w:rsidR="001A41C6" w:rsidRPr="001A41C6">
        <w:rPr>
          <w:rFonts w:ascii="华文楷体" w:hAnsi="华文楷体" w:hint="eastAsia"/>
          <w:sz w:val="24"/>
          <w:szCs w:val="24"/>
          <w:lang w:eastAsia="zh-CN"/>
        </w:rPr>
        <w:t>建材</w:t>
      </w:r>
      <w:r w:rsidR="001A41C6">
        <w:rPr>
          <w:rFonts w:ascii="华文楷体" w:hAnsi="华文楷体" w:hint="eastAsia"/>
          <w:sz w:val="24"/>
          <w:szCs w:val="24"/>
          <w:lang w:eastAsia="zh-CN"/>
        </w:rPr>
        <w:t>出现</w:t>
      </w:r>
      <w:r w:rsidR="001A41C6" w:rsidRPr="001A41C6">
        <w:rPr>
          <w:rFonts w:ascii="华文楷体" w:hAnsi="华文楷体" w:hint="eastAsia"/>
          <w:sz w:val="24"/>
          <w:szCs w:val="24"/>
          <w:lang w:eastAsia="zh-CN"/>
        </w:rPr>
        <w:t>2%以上涨幅</w:t>
      </w:r>
      <w:r w:rsidR="001A41C6">
        <w:rPr>
          <w:rFonts w:ascii="华文楷体" w:hAnsi="华文楷体" w:hint="eastAsia"/>
          <w:sz w:val="24"/>
          <w:szCs w:val="24"/>
          <w:lang w:eastAsia="zh-CN"/>
        </w:rPr>
        <w:t>外，大部分行业板块出现不同程度回调</w:t>
      </w:r>
      <w:r w:rsidR="001A41C6" w:rsidRPr="001A41C6">
        <w:rPr>
          <w:rFonts w:ascii="华文楷体" w:hAnsi="华文楷体" w:hint="eastAsia"/>
          <w:sz w:val="24"/>
          <w:szCs w:val="24"/>
          <w:lang w:eastAsia="zh-CN"/>
        </w:rPr>
        <w:t>，电力及公用事业、农林牧渔、轻工、家电</w:t>
      </w:r>
      <w:r w:rsidR="001A41C6">
        <w:rPr>
          <w:rFonts w:ascii="华文楷体" w:hAnsi="华文楷体" w:hint="eastAsia"/>
          <w:sz w:val="24"/>
          <w:szCs w:val="24"/>
          <w:lang w:eastAsia="zh-CN"/>
        </w:rPr>
        <w:t>尚可</w:t>
      </w:r>
      <w:r w:rsidR="001A41C6" w:rsidRPr="001A41C6">
        <w:rPr>
          <w:rFonts w:ascii="华文楷体" w:hAnsi="华文楷体" w:hint="eastAsia"/>
          <w:sz w:val="24"/>
          <w:szCs w:val="24"/>
          <w:lang w:eastAsia="zh-CN"/>
        </w:rPr>
        <w:t>，非银、电子、通信、计算机、综合金融领跌，前期涨幅大的高位板块回调幅度</w:t>
      </w:r>
      <w:r w:rsidR="001A41C6">
        <w:rPr>
          <w:rFonts w:ascii="华文楷体" w:hAnsi="华文楷体" w:hint="eastAsia"/>
          <w:sz w:val="24"/>
          <w:szCs w:val="24"/>
          <w:lang w:eastAsia="zh-CN"/>
        </w:rPr>
        <w:t>略</w:t>
      </w:r>
      <w:r w:rsidR="001A41C6" w:rsidRPr="001A41C6">
        <w:rPr>
          <w:rFonts w:ascii="华文楷体" w:hAnsi="华文楷体" w:hint="eastAsia"/>
          <w:sz w:val="24"/>
          <w:szCs w:val="24"/>
          <w:lang w:eastAsia="zh-CN"/>
        </w:rPr>
        <w:t>大</w:t>
      </w:r>
      <w:r w:rsidR="00591011" w:rsidRPr="00591011">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1A41C6">
        <w:rPr>
          <w:rFonts w:ascii="华文楷体" w:hAnsi="华文楷体" w:hint="eastAsia"/>
          <w:sz w:val="24"/>
          <w:szCs w:val="24"/>
          <w:lang w:eastAsia="zh-CN"/>
        </w:rPr>
        <w:t>-5.0</w:t>
      </w:r>
      <w:r w:rsidR="00AC28BB">
        <w:rPr>
          <w:rFonts w:ascii="华文楷体" w:hAnsi="华文楷体"/>
          <w:sz w:val="24"/>
          <w:szCs w:val="24"/>
          <w:lang w:eastAsia="zh-CN"/>
        </w:rPr>
        <w:t>%、</w:t>
      </w:r>
      <w:r w:rsidR="001A41C6">
        <w:rPr>
          <w:rFonts w:ascii="华文楷体" w:hAnsi="华文楷体" w:hint="eastAsia"/>
          <w:sz w:val="24"/>
          <w:szCs w:val="24"/>
          <w:lang w:eastAsia="zh-CN"/>
        </w:rPr>
        <w:t>-4.2</w:t>
      </w:r>
      <w:r w:rsidR="00AC28BB">
        <w:rPr>
          <w:rFonts w:ascii="华文楷体" w:hAnsi="华文楷体"/>
          <w:sz w:val="24"/>
          <w:szCs w:val="24"/>
          <w:lang w:eastAsia="zh-CN"/>
        </w:rPr>
        <w:t>%、</w:t>
      </w:r>
      <w:r w:rsidR="001A41C6">
        <w:rPr>
          <w:rFonts w:ascii="华文楷体" w:hAnsi="华文楷体" w:hint="eastAsia"/>
          <w:sz w:val="24"/>
          <w:szCs w:val="24"/>
          <w:lang w:eastAsia="zh-CN"/>
        </w:rPr>
        <w:t>-4.9</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1A41C6">
        <w:rPr>
          <w:rFonts w:ascii="华文楷体" w:hAnsi="华文楷体" w:hint="eastAsia"/>
          <w:sz w:val="24"/>
          <w:szCs w:val="24"/>
          <w:lang w:eastAsia="zh-CN"/>
        </w:rPr>
        <w:t>-4.4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577E21">
        <w:rPr>
          <w:rFonts w:ascii="华文楷体" w:hAnsi="华文楷体" w:hint="eastAsia"/>
          <w:sz w:val="24"/>
          <w:szCs w:val="24"/>
          <w:lang w:eastAsia="zh-CN"/>
        </w:rPr>
        <w:t>伴随权益市场</w:t>
      </w:r>
      <w:r w:rsidR="001A41C6">
        <w:rPr>
          <w:rFonts w:ascii="华文楷体" w:hAnsi="华文楷体" w:hint="eastAsia"/>
          <w:sz w:val="24"/>
          <w:szCs w:val="24"/>
          <w:lang w:eastAsia="zh-CN"/>
        </w:rPr>
        <w:t>回调</w:t>
      </w:r>
      <w:r w:rsidR="00577E21">
        <w:rPr>
          <w:rFonts w:ascii="华文楷体" w:hAnsi="华文楷体" w:hint="eastAsia"/>
          <w:sz w:val="24"/>
          <w:szCs w:val="24"/>
          <w:lang w:eastAsia="zh-CN"/>
        </w:rPr>
        <w:t>，幅度上</w:t>
      </w:r>
      <w:r w:rsidR="001A41C6">
        <w:rPr>
          <w:rFonts w:ascii="华文楷体" w:hAnsi="华文楷体" w:hint="eastAsia"/>
          <w:sz w:val="24"/>
          <w:szCs w:val="24"/>
          <w:lang w:eastAsia="zh-CN"/>
        </w:rPr>
        <w:t>略好</w:t>
      </w:r>
      <w:r w:rsidR="00577E21">
        <w:rPr>
          <w:rFonts w:ascii="华文楷体" w:hAnsi="华文楷体" w:hint="eastAsia"/>
          <w:sz w:val="24"/>
          <w:szCs w:val="24"/>
          <w:lang w:eastAsia="zh-CN"/>
        </w:rPr>
        <w:t>于权益</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1A41C6">
        <w:rPr>
          <w:rFonts w:ascii="华文楷体" w:hAnsi="华文楷体" w:hint="eastAsia"/>
          <w:sz w:val="24"/>
          <w:szCs w:val="24"/>
          <w:lang w:eastAsia="zh-CN"/>
        </w:rPr>
        <w:t>下</w:t>
      </w:r>
      <w:r w:rsidR="0044426C">
        <w:rPr>
          <w:rFonts w:ascii="华文楷体" w:hAnsi="华文楷体" w:hint="eastAsia"/>
          <w:sz w:val="24"/>
          <w:szCs w:val="24"/>
          <w:lang w:eastAsia="zh-CN"/>
        </w:rPr>
        <w:t>行</w:t>
      </w:r>
      <w:r w:rsidR="001A41C6">
        <w:rPr>
          <w:rFonts w:ascii="华文楷体" w:hAnsi="华文楷体" w:hint="eastAsia"/>
          <w:sz w:val="24"/>
          <w:szCs w:val="24"/>
          <w:lang w:eastAsia="zh-CN"/>
        </w:rPr>
        <w:t>3.5</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76EE1">
        <w:tblPrEx>
          <w:tblCellMar>
            <w:left w:w="108" w:type="dxa"/>
            <w:right w:w="108" w:type="dxa"/>
          </w:tblCellMar>
        </w:tblPrEx>
        <w:trPr>
          <w:jc w:val="center"/>
        </w:trPr>
        <w:tc>
          <w:tcPr>
            <w:tcW w:w="4939" w:type="dxa"/>
            <w:vAlign w:val="center"/>
          </w:tcPr>
          <w:p w14:paraId="5C83721A" w14:textId="38BC3ED7" w:rsidR="00E0626C" w:rsidRPr="007E0340" w:rsidRDefault="00976EE1" w:rsidP="009A2BA0">
            <w:pPr>
              <w:jc w:val="center"/>
              <w:rPr>
                <w:noProof/>
              </w:rPr>
            </w:pPr>
            <w:r w:rsidRPr="00976EE1">
              <w:rPr>
                <w:noProof/>
              </w:rPr>
              <w:drawing>
                <wp:inline distT="0" distB="0" distL="0" distR="0" wp14:anchorId="24086451" wp14:editId="6A9D682C">
                  <wp:extent cx="3142559" cy="1781092"/>
                  <wp:effectExtent l="0" t="0" r="1270" b="0"/>
                  <wp:docPr id="8" name="图片 8" descr="C:\Users\Tang\AppData\Local\Temp\WeChat Files\6c9c85434a0efef59fa0c69a9e1ab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WeChat Files\6c9c85434a0efef59fa0c69a9e1abef.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4071" cy="1810287"/>
                          </a:xfrm>
                          <a:prstGeom prst="rect">
                            <a:avLst/>
                          </a:prstGeom>
                          <a:noFill/>
                          <a:ln>
                            <a:noFill/>
                          </a:ln>
                        </pic:spPr>
                      </pic:pic>
                    </a:graphicData>
                  </a:graphic>
                </wp:inline>
              </w:drawing>
            </w:r>
          </w:p>
        </w:tc>
        <w:tc>
          <w:tcPr>
            <w:tcW w:w="4938" w:type="dxa"/>
            <w:vAlign w:val="center"/>
          </w:tcPr>
          <w:p w14:paraId="39BD4383" w14:textId="4236E3DA" w:rsidR="00E0626C" w:rsidRPr="007E0340" w:rsidRDefault="00976EE1" w:rsidP="009A2BA0">
            <w:pPr>
              <w:jc w:val="center"/>
              <w:rPr>
                <w:noProof/>
                <w:szCs w:val="18"/>
              </w:rPr>
            </w:pPr>
            <w:r>
              <w:rPr>
                <w:noProof/>
              </w:rPr>
              <w:drawing>
                <wp:inline distT="0" distB="0" distL="0" distR="0" wp14:anchorId="4ED00A45" wp14:editId="6C3A9480">
                  <wp:extent cx="2998470" cy="1723308"/>
                  <wp:effectExtent l="0" t="0" r="0" b="0"/>
                  <wp:docPr id="16" name="图表 1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F1A1288"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797153" w:rsidRPr="00797153">
        <w:rPr>
          <w:rFonts w:ascii="华文楷体" w:hAnsi="华文楷体" w:hint="eastAsia"/>
          <w:bCs/>
          <w:sz w:val="24"/>
          <w:szCs w:val="24"/>
          <w:lang w:eastAsia="zh-CN"/>
        </w:rPr>
        <w:t>本周主要港口动力煤平均价环比回落0.34%，涨幅较上周的上涨1.75%转为下行。PTA产业链负荷率环比回落1.74%，由涨转跌。</w:t>
      </w:r>
      <w:r w:rsidR="00797153">
        <w:rPr>
          <w:rFonts w:ascii="Helvetica" w:hAnsi="Helvetica"/>
          <w:color w:val="3E3E3E"/>
          <w:spacing w:val="8"/>
          <w:sz w:val="23"/>
          <w:szCs w:val="23"/>
          <w:shd w:val="clear" w:color="auto" w:fill="FFFFFF"/>
        </w:rPr>
        <w:t>中国玻璃综合指数回落</w:t>
      </w:r>
      <w:r w:rsidR="00797153">
        <w:rPr>
          <w:rFonts w:ascii="Helvetica" w:hAnsi="Helvetica"/>
          <w:color w:val="3E3E3E"/>
          <w:spacing w:val="8"/>
          <w:sz w:val="23"/>
          <w:szCs w:val="23"/>
          <w:shd w:val="clear" w:color="auto" w:fill="FFFFFF"/>
        </w:rPr>
        <w:t>0.55%</w:t>
      </w:r>
      <w:r w:rsidR="00797153">
        <w:rPr>
          <w:rFonts w:ascii="Helvetica" w:hAnsi="Helvetica"/>
          <w:color w:val="3E3E3E"/>
          <w:spacing w:val="8"/>
          <w:sz w:val="23"/>
          <w:szCs w:val="23"/>
          <w:shd w:val="clear" w:color="auto" w:fill="FFFFFF"/>
        </w:rPr>
        <w:t>，较上周的回升</w:t>
      </w:r>
      <w:r w:rsidR="00797153">
        <w:rPr>
          <w:rFonts w:ascii="Helvetica" w:hAnsi="Helvetica"/>
          <w:color w:val="3E3E3E"/>
          <w:spacing w:val="8"/>
          <w:sz w:val="23"/>
          <w:szCs w:val="23"/>
          <w:shd w:val="clear" w:color="auto" w:fill="FFFFFF"/>
        </w:rPr>
        <w:t>0.83%</w:t>
      </w:r>
      <w:r w:rsidR="00797153">
        <w:rPr>
          <w:rFonts w:ascii="Helvetica" w:hAnsi="Helvetica"/>
          <w:color w:val="3E3E3E"/>
          <w:spacing w:val="8"/>
          <w:sz w:val="23"/>
          <w:szCs w:val="23"/>
          <w:shd w:val="clear" w:color="auto" w:fill="FFFFFF"/>
        </w:rPr>
        <w:t>转为下行，主要受需求预期转弱影响。</w:t>
      </w:r>
      <w:r w:rsidR="00797153">
        <w:rPr>
          <w:rFonts w:ascii="Helvetica" w:hAnsi="Helvetica" w:hint="eastAsia"/>
          <w:color w:val="3E3E3E"/>
          <w:spacing w:val="8"/>
          <w:sz w:val="23"/>
          <w:szCs w:val="23"/>
          <w:shd w:val="clear" w:color="auto" w:fill="FFFFFF"/>
        </w:rPr>
        <w:t>整体看，</w:t>
      </w:r>
      <w:r w:rsidR="00797153" w:rsidRPr="00797153">
        <w:rPr>
          <w:rFonts w:ascii="Helvetica" w:hAnsi="Helvetica" w:hint="eastAsia"/>
          <w:color w:val="3E3E3E"/>
          <w:spacing w:val="8"/>
          <w:sz w:val="23"/>
          <w:szCs w:val="23"/>
          <w:shd w:val="clear" w:color="auto" w:fill="FFFFFF"/>
        </w:rPr>
        <w:t>动力煤、</w:t>
      </w:r>
      <w:r w:rsidR="00797153" w:rsidRPr="00797153">
        <w:rPr>
          <w:rFonts w:ascii="Helvetica" w:hAnsi="Helvetica" w:hint="eastAsia"/>
          <w:color w:val="3E3E3E"/>
          <w:spacing w:val="8"/>
          <w:sz w:val="23"/>
          <w:szCs w:val="23"/>
          <w:shd w:val="clear" w:color="auto" w:fill="FFFFFF"/>
        </w:rPr>
        <w:t>PTA</w:t>
      </w:r>
      <w:r w:rsidR="00797153" w:rsidRPr="00797153">
        <w:rPr>
          <w:rFonts w:ascii="Helvetica" w:hAnsi="Helvetica" w:hint="eastAsia"/>
          <w:color w:val="3E3E3E"/>
          <w:spacing w:val="8"/>
          <w:sz w:val="23"/>
          <w:szCs w:val="23"/>
          <w:shd w:val="clear" w:color="auto" w:fill="FFFFFF"/>
        </w:rPr>
        <w:t>及玻璃价格指数均出现不同程度走弱。</w:t>
      </w:r>
    </w:p>
    <w:p w14:paraId="537F0EB2" w14:textId="06AE2D2D" w:rsidR="00CF3EA5" w:rsidRPr="00907102" w:rsidRDefault="00E34B22" w:rsidP="00DA1DC8">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797153">
        <w:rPr>
          <w:rFonts w:ascii="华文楷体" w:hAnsi="华文楷体" w:hint="eastAsia"/>
          <w:bCs/>
          <w:sz w:val="24"/>
          <w:szCs w:val="24"/>
          <w:lang w:eastAsia="zh-CN"/>
        </w:rPr>
        <w:t>受近期部分城市房地产政策收紧影响，本周地产高频数据表现略减弱。</w:t>
      </w:r>
      <w:r w:rsidR="00797153" w:rsidRPr="00797153">
        <w:rPr>
          <w:rFonts w:ascii="华文楷体" w:hAnsi="华文楷体" w:hint="eastAsia"/>
          <w:bCs/>
          <w:sz w:val="24"/>
          <w:szCs w:val="24"/>
          <w:lang w:eastAsia="zh-CN"/>
        </w:rPr>
        <w:t>30大中城市商品房成交面积较上周有所回落。拿地方面，100大中城市土地成交面积继续略有回落，主要受二三线城市拿地回落拖累，一线城市拿地本周有所回升。从地产信托发行数据来看，本周地产信托发行量为76.16亿，较上周的123.34亿有所回落。乘联会最新数据显示，7月第二周零售日均3.1万辆，同比下降5%，较第一周有所收窄，</w:t>
      </w:r>
      <w:proofErr w:type="gramStart"/>
      <w:r w:rsidR="00797153" w:rsidRPr="00797153">
        <w:rPr>
          <w:rFonts w:ascii="华文楷体" w:hAnsi="华文楷体" w:hint="eastAsia"/>
          <w:bCs/>
          <w:sz w:val="24"/>
          <w:szCs w:val="24"/>
          <w:lang w:eastAsia="zh-CN"/>
        </w:rPr>
        <w:t>但环比</w:t>
      </w:r>
      <w:proofErr w:type="gramEnd"/>
      <w:r w:rsidR="00797153" w:rsidRPr="00797153">
        <w:rPr>
          <w:rFonts w:ascii="华文楷体" w:hAnsi="华文楷体" w:hint="eastAsia"/>
          <w:bCs/>
          <w:sz w:val="24"/>
          <w:szCs w:val="24"/>
          <w:lang w:eastAsia="zh-CN"/>
        </w:rPr>
        <w:t>6月同期下降21%，降幅较大，而7月1-12日的总体零售同比下降9%，环比6月同期下降15%。</w:t>
      </w:r>
    </w:p>
    <w:p w14:paraId="3BDE386D" w14:textId="2469DA76"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797153" w:rsidRPr="00797153">
        <w:rPr>
          <w:rFonts w:ascii="华文楷体" w:hAnsi="华文楷体" w:hint="eastAsia"/>
          <w:bCs/>
          <w:sz w:val="24"/>
          <w:szCs w:val="24"/>
          <w:lang w:eastAsia="zh-CN"/>
        </w:rPr>
        <w:t>上海出口集装箱指数（SCFI）本周回升0.2%，中国出口集装箱运价指数（CCFI）本周回落0.3%</w:t>
      </w:r>
      <w:r w:rsidR="00797153">
        <w:rPr>
          <w:rFonts w:ascii="华文楷体" w:hAnsi="华文楷体" w:hint="eastAsia"/>
          <w:bCs/>
          <w:sz w:val="24"/>
          <w:szCs w:val="24"/>
          <w:lang w:eastAsia="zh-CN"/>
        </w:rPr>
        <w:t>。进口方面，</w:t>
      </w:r>
      <w:r w:rsidR="00797153" w:rsidRPr="00797153">
        <w:rPr>
          <w:rFonts w:ascii="华文楷体" w:hAnsi="华文楷体" w:hint="eastAsia"/>
          <w:bCs/>
          <w:sz w:val="24"/>
          <w:szCs w:val="24"/>
          <w:lang w:eastAsia="zh-CN"/>
        </w:rPr>
        <w:t>波罗的海干散货指数较上周回落7.84%，较上周转为回落，中国进口干散货运价指数走势较上周继续回落5.6%</w:t>
      </w:r>
      <w:r w:rsidR="00797153">
        <w:rPr>
          <w:rFonts w:ascii="华文楷体" w:hAnsi="华文楷体" w:hint="eastAsia"/>
          <w:bCs/>
          <w:sz w:val="24"/>
          <w:szCs w:val="24"/>
          <w:lang w:eastAsia="zh-CN"/>
        </w:rPr>
        <w:t>，回落幅度</w:t>
      </w:r>
      <w:r w:rsidR="00797153" w:rsidRPr="00797153">
        <w:rPr>
          <w:rFonts w:ascii="华文楷体" w:hAnsi="华文楷体" w:hint="eastAsia"/>
          <w:bCs/>
          <w:sz w:val="24"/>
          <w:szCs w:val="24"/>
          <w:lang w:eastAsia="zh-CN"/>
        </w:rPr>
        <w:t>走扩</w:t>
      </w:r>
      <w:r w:rsidR="00797153">
        <w:rPr>
          <w:rFonts w:ascii="华文楷体" w:hAnsi="华文楷体" w:hint="eastAsia"/>
          <w:bCs/>
          <w:sz w:val="24"/>
          <w:szCs w:val="24"/>
          <w:lang w:eastAsia="zh-CN"/>
        </w:rPr>
        <w:t>。</w:t>
      </w:r>
    </w:p>
    <w:p w14:paraId="0542DAC4" w14:textId="39F91E80"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907102" w:rsidRPr="00907102">
        <w:rPr>
          <w:rFonts w:ascii="华文楷体" w:hAnsi="华文楷体" w:hint="eastAsia"/>
          <w:bCs/>
          <w:sz w:val="24"/>
          <w:szCs w:val="24"/>
          <w:lang w:eastAsia="zh-CN"/>
        </w:rPr>
        <w:t>农产品方面</w:t>
      </w:r>
      <w:r w:rsidR="00D60F71">
        <w:rPr>
          <w:rFonts w:ascii="华文楷体" w:hAnsi="华文楷体" w:hint="eastAsia"/>
          <w:bCs/>
          <w:sz w:val="24"/>
          <w:szCs w:val="24"/>
          <w:lang w:eastAsia="zh-CN"/>
        </w:rPr>
        <w:t>，</w:t>
      </w:r>
      <w:r w:rsidR="00797153" w:rsidRPr="00797153">
        <w:rPr>
          <w:rFonts w:ascii="华文楷体" w:hAnsi="华文楷体" w:hint="eastAsia"/>
          <w:bCs/>
          <w:sz w:val="24"/>
          <w:szCs w:val="24"/>
          <w:lang w:eastAsia="zh-CN"/>
        </w:rPr>
        <w:t>猪肉价格本周继续上涨，</w:t>
      </w:r>
      <w:proofErr w:type="gramStart"/>
      <w:r w:rsidR="00797153" w:rsidRPr="00797153">
        <w:rPr>
          <w:rFonts w:ascii="华文楷体" w:hAnsi="华文楷体" w:hint="eastAsia"/>
          <w:bCs/>
          <w:sz w:val="24"/>
          <w:szCs w:val="24"/>
          <w:lang w:eastAsia="zh-CN"/>
        </w:rPr>
        <w:t>周度数据</w:t>
      </w:r>
      <w:proofErr w:type="gramEnd"/>
      <w:r w:rsidR="00797153" w:rsidRPr="00797153">
        <w:rPr>
          <w:rFonts w:ascii="华文楷体" w:hAnsi="华文楷体" w:hint="eastAsia"/>
          <w:bCs/>
          <w:sz w:val="24"/>
          <w:szCs w:val="24"/>
          <w:lang w:eastAsia="zh-CN"/>
        </w:rPr>
        <w:t>来看，农业部公布的全国平均批发价较上周末回升至48.76元/公斤左右，环比上行2.86%，涨幅较上周有所收窄</w:t>
      </w:r>
      <w:r w:rsidR="00797153">
        <w:rPr>
          <w:rFonts w:ascii="华文楷体" w:hAnsi="华文楷体" w:hint="eastAsia"/>
          <w:bCs/>
          <w:sz w:val="24"/>
          <w:szCs w:val="24"/>
          <w:lang w:eastAsia="zh-CN"/>
        </w:rPr>
        <w:t>。</w:t>
      </w:r>
      <w:r w:rsidR="00352E63" w:rsidRPr="00352E63">
        <w:rPr>
          <w:rFonts w:ascii="华文楷体" w:hAnsi="华文楷体" w:hint="eastAsia"/>
          <w:bCs/>
          <w:sz w:val="24"/>
          <w:szCs w:val="24"/>
          <w:lang w:eastAsia="zh-CN"/>
        </w:rPr>
        <w:t>牛羊肉价格本周小幅回升，本周均小幅回升0.03%；本周蔬菜价格继续回落，小幅回落0.19%</w:t>
      </w:r>
      <w:r w:rsidR="00352E63">
        <w:rPr>
          <w:rFonts w:ascii="华文楷体" w:hAnsi="华文楷体" w:hint="eastAsia"/>
          <w:bCs/>
          <w:sz w:val="24"/>
          <w:szCs w:val="24"/>
          <w:lang w:eastAsia="zh-CN"/>
        </w:rPr>
        <w:t>；</w:t>
      </w:r>
      <w:r w:rsidR="00352E63" w:rsidRPr="00352E63">
        <w:rPr>
          <w:rFonts w:ascii="华文楷体" w:hAnsi="华文楷体" w:hint="eastAsia"/>
          <w:bCs/>
          <w:sz w:val="24"/>
          <w:szCs w:val="24"/>
          <w:lang w:eastAsia="zh-CN"/>
        </w:rPr>
        <w:t>水果价格转为上行，较上周上行1.21%；鸡蛋方面，价格回升4.4%，或受产蛋率有所下降影响；水产品本周价格下行0.15%。</w:t>
      </w:r>
    </w:p>
    <w:p w14:paraId="5DF662A7" w14:textId="02F779AB" w:rsidR="0015400F" w:rsidRDefault="00DC2C5F" w:rsidP="00F07541">
      <w:pPr>
        <w:pStyle w:val="Body-text"/>
        <w:ind w:firstLineChars="200" w:firstLine="480"/>
        <w:rPr>
          <w:rFonts w:ascii="华文楷体" w:hAnsi="华文楷体"/>
          <w:bCs/>
          <w:sz w:val="24"/>
          <w:szCs w:val="24"/>
          <w:lang w:eastAsia="zh-CN"/>
        </w:rPr>
      </w:pPr>
      <w:bookmarkStart w:id="2" w:name="_Hlk21205334"/>
      <w:r w:rsidRPr="00DC2C5F">
        <w:rPr>
          <w:rFonts w:ascii="华文楷体" w:hAnsi="华文楷体" w:hint="eastAsia"/>
          <w:b/>
          <w:bCs/>
          <w:sz w:val="24"/>
          <w:szCs w:val="24"/>
          <w:lang w:eastAsia="zh-CN"/>
        </w:rPr>
        <w:lastRenderedPageBreak/>
        <w:t>海外</w:t>
      </w:r>
      <w:r>
        <w:rPr>
          <w:rFonts w:ascii="华文楷体" w:hAnsi="华文楷体" w:hint="eastAsia"/>
          <w:bCs/>
          <w:sz w:val="24"/>
          <w:szCs w:val="24"/>
          <w:lang w:eastAsia="zh-CN"/>
        </w:rPr>
        <w:t>：</w:t>
      </w:r>
      <w:r w:rsidR="00CC505E" w:rsidRPr="00CC505E">
        <w:rPr>
          <w:rFonts w:ascii="华文楷体" w:hAnsi="华文楷体" w:hint="eastAsia"/>
          <w:bCs/>
          <w:sz w:val="24"/>
          <w:szCs w:val="24"/>
          <w:lang w:eastAsia="zh-CN"/>
        </w:rPr>
        <w:t>国际油价</w:t>
      </w:r>
      <w:r w:rsidR="00352E63">
        <w:rPr>
          <w:rFonts w:ascii="华文楷体" w:hAnsi="华文楷体" w:hint="eastAsia"/>
          <w:bCs/>
          <w:sz w:val="24"/>
          <w:szCs w:val="24"/>
          <w:lang w:eastAsia="zh-CN"/>
        </w:rPr>
        <w:t>本周维持前期水平，震荡为主。</w:t>
      </w:r>
      <w:r w:rsidR="00352E63" w:rsidRPr="00352E63">
        <w:rPr>
          <w:rFonts w:ascii="华文楷体" w:hAnsi="华文楷体" w:hint="eastAsia"/>
          <w:bCs/>
          <w:sz w:val="24"/>
          <w:szCs w:val="24"/>
          <w:lang w:eastAsia="zh-CN"/>
        </w:rPr>
        <w:t>WTI原油价格至40.59美元/桶；布伦</w:t>
      </w:r>
      <w:proofErr w:type="gramStart"/>
      <w:r w:rsidR="00352E63" w:rsidRPr="00352E63">
        <w:rPr>
          <w:rFonts w:ascii="华文楷体" w:hAnsi="华文楷体" w:hint="eastAsia"/>
          <w:bCs/>
          <w:sz w:val="24"/>
          <w:szCs w:val="24"/>
          <w:lang w:eastAsia="zh-CN"/>
        </w:rPr>
        <w:t>特</w:t>
      </w:r>
      <w:proofErr w:type="gramEnd"/>
      <w:r w:rsidR="00352E63" w:rsidRPr="00352E63">
        <w:rPr>
          <w:rFonts w:ascii="华文楷体" w:hAnsi="华文楷体" w:hint="eastAsia"/>
          <w:bCs/>
          <w:sz w:val="24"/>
          <w:szCs w:val="24"/>
          <w:lang w:eastAsia="zh-CN"/>
        </w:rPr>
        <w:t>原油价格至43.14美元/桶</w:t>
      </w:r>
      <w:r w:rsidR="007E6CAA">
        <w:rPr>
          <w:rFonts w:ascii="华文楷体" w:hAnsi="华文楷体" w:hint="eastAsia"/>
          <w:bCs/>
          <w:sz w:val="24"/>
          <w:szCs w:val="24"/>
          <w:lang w:eastAsia="zh-CN"/>
        </w:rPr>
        <w:t>。</w:t>
      </w:r>
      <w:r w:rsidR="00763150">
        <w:rPr>
          <w:rFonts w:ascii="华文楷体" w:hAnsi="华文楷体" w:hint="eastAsia"/>
          <w:bCs/>
          <w:sz w:val="24"/>
          <w:szCs w:val="24"/>
          <w:lang w:eastAsia="zh-CN"/>
        </w:rPr>
        <w:t>疫情方面</w:t>
      </w:r>
      <w:r w:rsidR="00352E63">
        <w:rPr>
          <w:rFonts w:ascii="华文楷体" w:hAnsi="华文楷体" w:hint="eastAsia"/>
          <w:bCs/>
          <w:sz w:val="24"/>
          <w:szCs w:val="24"/>
          <w:lang w:eastAsia="zh-CN"/>
        </w:rPr>
        <w:t>，</w:t>
      </w:r>
      <w:r w:rsidR="00352E63" w:rsidRPr="00352E63">
        <w:rPr>
          <w:rFonts w:ascii="华文楷体" w:hAnsi="华文楷体" w:hint="eastAsia"/>
          <w:bCs/>
          <w:sz w:val="24"/>
          <w:szCs w:val="24"/>
          <w:lang w:eastAsia="zh-CN"/>
        </w:rPr>
        <w:t>美国疫情持续恶化，巴西和印度单日新增确诊病例也不断增加，使得市场对燃料消费快速复苏的预期有所减弱，</w:t>
      </w:r>
      <w:r w:rsidR="00352E63">
        <w:rPr>
          <w:rFonts w:ascii="华文楷体" w:hAnsi="华文楷体" w:hint="eastAsia"/>
          <w:bCs/>
          <w:sz w:val="24"/>
          <w:szCs w:val="24"/>
          <w:lang w:eastAsia="zh-CN"/>
        </w:rPr>
        <w:t>后续</w:t>
      </w:r>
      <w:r w:rsidR="00352E63" w:rsidRPr="00352E63">
        <w:rPr>
          <w:rFonts w:ascii="华文楷体" w:hAnsi="华文楷体" w:hint="eastAsia"/>
          <w:bCs/>
          <w:sz w:val="24"/>
          <w:szCs w:val="24"/>
          <w:lang w:eastAsia="zh-CN"/>
        </w:rPr>
        <w:t>看美国新增确诊病例不断创新高，</w:t>
      </w:r>
      <w:r w:rsidR="00352E63">
        <w:rPr>
          <w:rFonts w:ascii="华文楷体" w:hAnsi="华文楷体" w:hint="eastAsia"/>
          <w:bCs/>
          <w:sz w:val="24"/>
          <w:szCs w:val="24"/>
          <w:lang w:eastAsia="zh-CN"/>
        </w:rPr>
        <w:t>海外疫情全面修复尚需时日</w:t>
      </w:r>
      <w:r w:rsidR="007E6CAA">
        <w:rPr>
          <w:rFonts w:ascii="华文楷体" w:hAnsi="华文楷体" w:hint="eastAsia"/>
          <w:bCs/>
          <w:sz w:val="24"/>
          <w:szCs w:val="24"/>
          <w:lang w:eastAsia="zh-CN"/>
        </w:rPr>
        <w:t>。</w:t>
      </w:r>
    </w:p>
    <w:p w14:paraId="6197476A" w14:textId="270ECAA8" w:rsidR="00A058AB" w:rsidRPr="00CC505E" w:rsidRDefault="00A058AB" w:rsidP="00F07541">
      <w:pPr>
        <w:pStyle w:val="Body-text"/>
        <w:ind w:firstLineChars="200" w:firstLine="480"/>
        <w:rPr>
          <w:rFonts w:ascii="华文楷体" w:eastAsia="PMingLiU"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7E6CAA" w:rsidRPr="007E6CAA">
        <w:rPr>
          <w:rFonts w:ascii="华文楷体" w:hAnsi="华文楷体" w:hint="eastAsia"/>
          <w:bCs/>
          <w:sz w:val="24"/>
          <w:szCs w:val="24"/>
          <w:lang w:eastAsia="zh-CN"/>
        </w:rPr>
        <w:t>中美关系；央行</w:t>
      </w:r>
      <w:r w:rsidR="00352E63">
        <w:rPr>
          <w:rFonts w:ascii="华文楷体" w:hAnsi="华文楷体" w:hint="eastAsia"/>
          <w:bCs/>
          <w:sz w:val="24"/>
          <w:szCs w:val="24"/>
          <w:lang w:eastAsia="zh-CN"/>
        </w:rPr>
        <w:t>公开市场</w:t>
      </w:r>
      <w:r w:rsidR="007E6CAA" w:rsidRPr="007E6CAA">
        <w:rPr>
          <w:rFonts w:ascii="华文楷体" w:hAnsi="华文楷体" w:hint="eastAsia"/>
          <w:bCs/>
          <w:sz w:val="24"/>
          <w:szCs w:val="24"/>
          <w:lang w:eastAsia="zh-CN"/>
        </w:rPr>
        <w:t>操作；南方洪涝发展情况</w:t>
      </w:r>
      <w:r w:rsidR="00314603">
        <w:rPr>
          <w:rFonts w:ascii="华文楷体" w:hAnsi="华文楷体" w:hint="eastAsia"/>
          <w:bCs/>
          <w:sz w:val="24"/>
          <w:szCs w:val="24"/>
          <w:lang w:eastAsia="zh-CN"/>
        </w:rPr>
        <w:t>；</w:t>
      </w:r>
      <w:r w:rsidR="00314603" w:rsidRPr="00314603">
        <w:rPr>
          <w:rFonts w:ascii="华文楷体" w:hAnsi="华文楷体" w:hint="eastAsia"/>
          <w:bCs/>
          <w:sz w:val="24"/>
          <w:szCs w:val="24"/>
          <w:lang w:eastAsia="zh-CN"/>
        </w:rPr>
        <w:t>政治局会议</w:t>
      </w: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3B9DFE3D" w:rsidR="00854194" w:rsidRPr="006B0B01" w:rsidRDefault="006B204A" w:rsidP="00CD3C43">
      <w:pPr>
        <w:pStyle w:val="Body-text"/>
        <w:spacing w:after="240"/>
        <w:ind w:firstLineChars="200" w:firstLine="480"/>
        <w:rPr>
          <w:rFonts w:ascii="华文楷体" w:hAnsi="华文楷体"/>
          <w:sz w:val="24"/>
          <w:szCs w:val="24"/>
          <w:lang w:eastAsia="zh-CN"/>
        </w:rPr>
      </w:pPr>
      <w:r w:rsidRPr="00854194">
        <w:rPr>
          <w:rFonts w:ascii="华文楷体" w:hAnsi="华文楷体" w:hint="eastAsia"/>
          <w:sz w:val="24"/>
          <w:szCs w:val="24"/>
          <w:lang w:eastAsia="zh-CN"/>
        </w:rPr>
        <w:t>利率债：</w:t>
      </w:r>
      <w:r w:rsidR="00756C5F">
        <w:rPr>
          <w:rFonts w:ascii="华文楷体" w:hAnsi="华文楷体" w:hint="eastAsia"/>
          <w:sz w:val="24"/>
          <w:szCs w:val="24"/>
          <w:lang w:eastAsia="zh-CN"/>
        </w:rPr>
        <w:t>从本周公布的月度经济数据看，基本面持续修复过程中</w:t>
      </w:r>
      <w:r w:rsidR="00763150" w:rsidRPr="00763150">
        <w:rPr>
          <w:rFonts w:ascii="华文楷体" w:hAnsi="华文楷体" w:hint="eastAsia"/>
          <w:sz w:val="24"/>
          <w:szCs w:val="24"/>
          <w:lang w:eastAsia="zh-CN"/>
        </w:rPr>
        <w:t>，</w:t>
      </w:r>
      <w:r w:rsidR="00756C5F">
        <w:rPr>
          <w:rFonts w:ascii="华文楷体" w:hAnsi="华文楷体" w:hint="eastAsia"/>
          <w:sz w:val="24"/>
          <w:szCs w:val="24"/>
          <w:lang w:eastAsia="zh-CN"/>
        </w:rPr>
        <w:t>但从</w:t>
      </w:r>
      <w:proofErr w:type="gramStart"/>
      <w:r w:rsidR="00756C5F">
        <w:rPr>
          <w:rFonts w:ascii="华文楷体" w:hAnsi="华文楷体" w:hint="eastAsia"/>
          <w:sz w:val="24"/>
          <w:szCs w:val="24"/>
          <w:lang w:eastAsia="zh-CN"/>
        </w:rPr>
        <w:t>最新周度数据</w:t>
      </w:r>
      <w:proofErr w:type="gramEnd"/>
      <w:r w:rsidR="00756C5F">
        <w:rPr>
          <w:rFonts w:ascii="华文楷体" w:hAnsi="华文楷体" w:hint="eastAsia"/>
          <w:sz w:val="24"/>
          <w:szCs w:val="24"/>
          <w:lang w:eastAsia="zh-CN"/>
        </w:rPr>
        <w:t>看工业修复速度适度收敛，一定程度上可能也是受当前南方洪涝灾害影响所致。此外，本周多地出现房地产政策收紧，</w:t>
      </w:r>
      <w:r w:rsidR="00661A0E">
        <w:rPr>
          <w:rFonts w:ascii="华文楷体" w:hAnsi="华文楷体" w:hint="eastAsia"/>
          <w:sz w:val="24"/>
          <w:szCs w:val="24"/>
          <w:lang w:eastAsia="zh-CN"/>
        </w:rPr>
        <w:t>叠加监管对权益市场快速上涨的高度关注，资金过热进入股市和房市近期恐将持续受到关注和管控。</w:t>
      </w:r>
      <w:r w:rsidR="00763150" w:rsidRPr="00763150">
        <w:rPr>
          <w:rFonts w:ascii="华文楷体" w:hAnsi="华文楷体" w:hint="eastAsia"/>
          <w:sz w:val="24"/>
          <w:szCs w:val="24"/>
          <w:lang w:eastAsia="zh-CN"/>
        </w:rPr>
        <w:t>全周10Y国债</w:t>
      </w:r>
      <w:r w:rsidR="00661A0E">
        <w:rPr>
          <w:rFonts w:ascii="华文楷体" w:hAnsi="华文楷体" w:hint="eastAsia"/>
          <w:sz w:val="24"/>
          <w:szCs w:val="24"/>
          <w:lang w:eastAsia="zh-CN"/>
        </w:rPr>
        <w:t>下</w:t>
      </w:r>
      <w:r w:rsidR="00763150" w:rsidRPr="00763150">
        <w:rPr>
          <w:rFonts w:ascii="华文楷体" w:hAnsi="华文楷体" w:hint="eastAsia"/>
          <w:sz w:val="24"/>
          <w:szCs w:val="24"/>
          <w:lang w:eastAsia="zh-CN"/>
        </w:rPr>
        <w:t>行</w:t>
      </w:r>
      <w:r w:rsidR="00661A0E">
        <w:rPr>
          <w:rFonts w:ascii="华文楷体" w:hAnsi="华文楷体" w:hint="eastAsia"/>
          <w:sz w:val="24"/>
          <w:szCs w:val="24"/>
          <w:lang w:eastAsia="zh-CN"/>
        </w:rPr>
        <w:t>8</w:t>
      </w:r>
      <w:r w:rsidR="00763150" w:rsidRPr="00763150">
        <w:rPr>
          <w:rFonts w:ascii="华文楷体" w:hAnsi="华文楷体" w:hint="eastAsia"/>
          <w:sz w:val="24"/>
          <w:szCs w:val="24"/>
          <w:lang w:eastAsia="zh-CN"/>
        </w:rPr>
        <w:t>BP</w:t>
      </w:r>
      <w:r w:rsidR="00D47BE2">
        <w:rPr>
          <w:rFonts w:ascii="华文楷体" w:hAnsi="华文楷体" w:hint="eastAsia"/>
          <w:sz w:val="24"/>
          <w:szCs w:val="24"/>
          <w:lang w:eastAsia="zh-CN"/>
        </w:rPr>
        <w:t>至</w:t>
      </w:r>
      <w:r w:rsidR="00661A0E">
        <w:rPr>
          <w:rFonts w:ascii="华文楷体" w:hAnsi="华文楷体" w:hint="eastAsia"/>
          <w:sz w:val="24"/>
          <w:szCs w:val="24"/>
          <w:lang w:eastAsia="zh-CN"/>
        </w:rPr>
        <w:t>2.95</w:t>
      </w:r>
      <w:r w:rsidR="00D47BE2">
        <w:rPr>
          <w:rFonts w:ascii="华文楷体" w:hAnsi="华文楷体" w:hint="eastAsia"/>
          <w:sz w:val="24"/>
          <w:szCs w:val="24"/>
          <w:lang w:eastAsia="zh-CN"/>
        </w:rPr>
        <w:t>%，</w:t>
      </w:r>
      <w:r w:rsidR="00763150" w:rsidRPr="00763150">
        <w:rPr>
          <w:rFonts w:ascii="华文楷体" w:hAnsi="华文楷体" w:hint="eastAsia"/>
          <w:sz w:val="24"/>
          <w:szCs w:val="24"/>
          <w:lang w:eastAsia="zh-CN"/>
        </w:rPr>
        <w:t>10-1Y国债利率</w:t>
      </w:r>
      <w:r w:rsidR="00E23A4A">
        <w:rPr>
          <w:rFonts w:ascii="华文楷体" w:hAnsi="华文楷体" w:hint="eastAsia"/>
          <w:sz w:val="24"/>
          <w:szCs w:val="24"/>
          <w:lang w:eastAsia="zh-CN"/>
        </w:rPr>
        <w:t>利差小幅</w:t>
      </w:r>
      <w:r w:rsidR="00661A0E">
        <w:rPr>
          <w:rFonts w:ascii="华文楷体" w:hAnsi="华文楷体" w:hint="eastAsia"/>
          <w:sz w:val="24"/>
          <w:szCs w:val="24"/>
          <w:lang w:eastAsia="zh-CN"/>
        </w:rPr>
        <w:t>下行至73</w:t>
      </w:r>
      <w:r w:rsidR="00763150" w:rsidRPr="00763150">
        <w:rPr>
          <w:rFonts w:ascii="华文楷体" w:hAnsi="华文楷体" w:hint="eastAsia"/>
          <w:sz w:val="24"/>
          <w:szCs w:val="24"/>
          <w:lang w:eastAsia="zh-CN"/>
        </w:rPr>
        <w:t>BP</w:t>
      </w:r>
      <w:r w:rsidR="00763150">
        <w:rPr>
          <w:rFonts w:ascii="华文楷体" w:hAnsi="华文楷体" w:hint="eastAsia"/>
          <w:sz w:val="24"/>
          <w:szCs w:val="24"/>
          <w:lang w:eastAsia="zh-CN"/>
        </w:rPr>
        <w:t>。</w:t>
      </w:r>
      <w:r w:rsidR="00661A0E">
        <w:rPr>
          <w:rFonts w:ascii="华文楷体" w:hAnsi="华文楷体" w:hint="eastAsia"/>
          <w:sz w:val="24"/>
          <w:szCs w:val="24"/>
          <w:lang w:eastAsia="zh-CN"/>
        </w:rPr>
        <w:t>下周处于经济数据空窗期，公开市场操作到期较多但是考虑到缴税扰动渐退，预计资金利率适度回归，公开市场操作适度回笼为主。利率</w:t>
      </w:r>
      <w:proofErr w:type="gramStart"/>
      <w:r w:rsidR="00661A0E">
        <w:rPr>
          <w:rFonts w:ascii="华文楷体" w:hAnsi="华文楷体" w:hint="eastAsia"/>
          <w:sz w:val="24"/>
          <w:szCs w:val="24"/>
          <w:lang w:eastAsia="zh-CN"/>
        </w:rPr>
        <w:t>债情绪</w:t>
      </w:r>
      <w:proofErr w:type="gramEnd"/>
      <w:r w:rsidR="00661A0E">
        <w:rPr>
          <w:rFonts w:ascii="华文楷体" w:hAnsi="华文楷体" w:hint="eastAsia"/>
          <w:sz w:val="24"/>
          <w:szCs w:val="24"/>
          <w:lang w:eastAsia="zh-CN"/>
        </w:rPr>
        <w:t>近期相对平稳，尽管短端一定程度上仍受到资金扰动适度上行，但长</w:t>
      </w:r>
      <w:proofErr w:type="gramStart"/>
      <w:r w:rsidR="00661A0E">
        <w:rPr>
          <w:rFonts w:ascii="华文楷体" w:hAnsi="华文楷体" w:hint="eastAsia"/>
          <w:sz w:val="24"/>
          <w:szCs w:val="24"/>
          <w:lang w:eastAsia="zh-CN"/>
        </w:rPr>
        <w:t>端表现</w:t>
      </w:r>
      <w:proofErr w:type="gramEnd"/>
      <w:r w:rsidR="00661A0E">
        <w:rPr>
          <w:rFonts w:ascii="华文楷体" w:hAnsi="华文楷体" w:hint="eastAsia"/>
          <w:sz w:val="24"/>
          <w:szCs w:val="24"/>
          <w:lang w:eastAsia="zh-CN"/>
        </w:rPr>
        <w:t>尚可，值得关注的是10Y国债和国开债利差大幅走阔，且两者</w:t>
      </w:r>
      <w:proofErr w:type="gramStart"/>
      <w:r w:rsidR="00661A0E">
        <w:rPr>
          <w:rFonts w:ascii="华文楷体" w:hAnsi="华文楷体" w:hint="eastAsia"/>
          <w:sz w:val="24"/>
          <w:szCs w:val="24"/>
          <w:lang w:eastAsia="zh-CN"/>
        </w:rPr>
        <w:t>周度数据</w:t>
      </w:r>
      <w:proofErr w:type="gramEnd"/>
      <w:r w:rsidR="00661A0E">
        <w:rPr>
          <w:rFonts w:ascii="华文楷体" w:hAnsi="华文楷体" w:hint="eastAsia"/>
          <w:sz w:val="24"/>
          <w:szCs w:val="24"/>
          <w:lang w:eastAsia="zh-CN"/>
        </w:rPr>
        <w:t>看，走势出现一定背离。</w:t>
      </w:r>
      <w:r w:rsidR="00C95C45">
        <w:rPr>
          <w:rFonts w:ascii="华文楷体" w:hAnsi="华文楷体" w:hint="eastAsia"/>
          <w:sz w:val="24"/>
          <w:szCs w:val="24"/>
          <w:lang w:eastAsia="zh-CN"/>
        </w:rPr>
        <w:t>目前债市面临较明确的压制因素</w:t>
      </w:r>
      <w:r w:rsidR="00314603">
        <w:rPr>
          <w:rFonts w:ascii="华文楷体" w:hAnsi="华文楷体" w:hint="eastAsia"/>
          <w:sz w:val="24"/>
          <w:szCs w:val="24"/>
          <w:lang w:eastAsia="zh-CN"/>
        </w:rPr>
        <w:t>：</w:t>
      </w:r>
      <w:r w:rsidR="00C95C45">
        <w:rPr>
          <w:rFonts w:ascii="华文楷体" w:hAnsi="华文楷体" w:hint="eastAsia"/>
          <w:sz w:val="24"/>
          <w:szCs w:val="24"/>
          <w:lang w:eastAsia="zh-CN"/>
        </w:rPr>
        <w:t>货币政策中性边际收紧</w:t>
      </w:r>
      <w:r w:rsidR="00314603">
        <w:rPr>
          <w:rFonts w:ascii="华文楷体" w:hAnsi="华文楷体" w:hint="eastAsia"/>
          <w:sz w:val="24"/>
          <w:szCs w:val="24"/>
          <w:lang w:eastAsia="zh-CN"/>
        </w:rPr>
        <w:t>、</w:t>
      </w:r>
      <w:r w:rsidR="00C95C45">
        <w:rPr>
          <w:rFonts w:ascii="华文楷体" w:hAnsi="华文楷体" w:hint="eastAsia"/>
          <w:sz w:val="24"/>
          <w:szCs w:val="24"/>
          <w:lang w:eastAsia="zh-CN"/>
        </w:rPr>
        <w:t>基本面数据</w:t>
      </w:r>
      <w:r w:rsidR="00314603">
        <w:rPr>
          <w:rFonts w:ascii="华文楷体" w:hAnsi="华文楷体" w:hint="eastAsia"/>
          <w:sz w:val="24"/>
          <w:szCs w:val="24"/>
          <w:lang w:eastAsia="zh-CN"/>
        </w:rPr>
        <w:t>持续向好、风险</w:t>
      </w:r>
      <w:proofErr w:type="gramStart"/>
      <w:r w:rsidR="00314603">
        <w:rPr>
          <w:rFonts w:ascii="华文楷体" w:hAnsi="华文楷体" w:hint="eastAsia"/>
          <w:sz w:val="24"/>
          <w:szCs w:val="24"/>
          <w:lang w:eastAsia="zh-CN"/>
        </w:rPr>
        <w:t>偏好走</w:t>
      </w:r>
      <w:proofErr w:type="gramEnd"/>
      <w:r w:rsidR="00314603">
        <w:rPr>
          <w:rFonts w:ascii="华文楷体" w:hAnsi="华文楷体" w:hint="eastAsia"/>
          <w:sz w:val="24"/>
          <w:szCs w:val="24"/>
          <w:lang w:eastAsia="zh-CN"/>
        </w:rPr>
        <w:t>强</w:t>
      </w:r>
      <w:r w:rsidR="00C95C45">
        <w:rPr>
          <w:rFonts w:ascii="华文楷体" w:hAnsi="华文楷体" w:hint="eastAsia"/>
          <w:sz w:val="24"/>
          <w:szCs w:val="24"/>
          <w:lang w:eastAsia="zh-CN"/>
        </w:rPr>
        <w:t>权益市场持续</w:t>
      </w:r>
      <w:r w:rsidR="00314603">
        <w:rPr>
          <w:rFonts w:ascii="华文楷体" w:hAnsi="华文楷体" w:hint="eastAsia"/>
          <w:sz w:val="24"/>
          <w:szCs w:val="24"/>
          <w:lang w:eastAsia="zh-CN"/>
        </w:rPr>
        <w:t>上涨大部分利空已在市场预期，从情绪看市场当前对债市利多信息更敏感，从比价看债市相对权益也确实呈现</w:t>
      </w:r>
      <w:proofErr w:type="gramStart"/>
      <w:r w:rsidR="00314603">
        <w:rPr>
          <w:rFonts w:ascii="华文楷体" w:hAnsi="华文楷体" w:hint="eastAsia"/>
          <w:sz w:val="24"/>
          <w:szCs w:val="24"/>
          <w:lang w:eastAsia="zh-CN"/>
        </w:rPr>
        <w:t>一</w:t>
      </w:r>
      <w:proofErr w:type="gramEnd"/>
      <w:r w:rsidR="00314603">
        <w:rPr>
          <w:rFonts w:ascii="华文楷体" w:hAnsi="华文楷体" w:hint="eastAsia"/>
          <w:sz w:val="24"/>
          <w:szCs w:val="24"/>
          <w:lang w:eastAsia="zh-CN"/>
        </w:rPr>
        <w:t>定性价比</w:t>
      </w:r>
      <w:r w:rsidR="006B0B01">
        <w:rPr>
          <w:rFonts w:ascii="华文楷体" w:hAnsi="华文楷体" w:hint="eastAsia"/>
          <w:sz w:val="24"/>
          <w:szCs w:val="24"/>
          <w:lang w:eastAsia="zh-CN"/>
        </w:rPr>
        <w:t>。综合考虑，</w:t>
      </w:r>
      <w:r w:rsidR="00314603">
        <w:rPr>
          <w:rFonts w:ascii="华文楷体" w:hAnsi="华文楷体" w:hint="eastAsia"/>
          <w:sz w:val="24"/>
          <w:szCs w:val="24"/>
          <w:lang w:eastAsia="zh-CN"/>
        </w:rPr>
        <w:t>有一定</w:t>
      </w:r>
      <w:proofErr w:type="gramStart"/>
      <w:r w:rsidR="00314603">
        <w:rPr>
          <w:rFonts w:ascii="华文楷体" w:hAnsi="华文楷体" w:hint="eastAsia"/>
          <w:sz w:val="24"/>
          <w:szCs w:val="24"/>
          <w:lang w:eastAsia="zh-CN"/>
        </w:rPr>
        <w:t>仓位</w:t>
      </w:r>
      <w:proofErr w:type="gramEnd"/>
      <w:r w:rsidR="00314603">
        <w:rPr>
          <w:rFonts w:ascii="华文楷体" w:hAnsi="华文楷体" w:hint="eastAsia"/>
          <w:sz w:val="24"/>
          <w:szCs w:val="24"/>
          <w:lang w:eastAsia="zh-CN"/>
        </w:rPr>
        <w:t>保护情况下</w:t>
      </w:r>
      <w:r w:rsidR="006B0B01">
        <w:rPr>
          <w:rFonts w:ascii="华文楷体" w:hAnsi="华文楷体" w:hint="eastAsia"/>
          <w:sz w:val="24"/>
          <w:szCs w:val="24"/>
          <w:lang w:eastAsia="zh-CN"/>
        </w:rPr>
        <w:t>，</w:t>
      </w:r>
      <w:r w:rsidR="00314603">
        <w:rPr>
          <w:rFonts w:ascii="华文楷体" w:hAnsi="华文楷体" w:hint="eastAsia"/>
          <w:sz w:val="24"/>
          <w:szCs w:val="24"/>
          <w:lang w:eastAsia="zh-CN"/>
        </w:rPr>
        <w:t>当前可</w:t>
      </w:r>
      <w:r w:rsidR="008E00FE">
        <w:rPr>
          <w:rFonts w:ascii="华文楷体" w:hAnsi="华文楷体" w:hint="eastAsia"/>
          <w:sz w:val="24"/>
          <w:szCs w:val="24"/>
          <w:lang w:eastAsia="zh-CN"/>
        </w:rPr>
        <w:t>根据点位和</w:t>
      </w:r>
      <w:r w:rsidR="00162129" w:rsidRPr="00162129">
        <w:rPr>
          <w:rFonts w:ascii="华文楷体" w:hAnsi="华文楷体" w:hint="eastAsia"/>
          <w:sz w:val="24"/>
          <w:szCs w:val="24"/>
          <w:lang w:eastAsia="zh-CN"/>
        </w:rPr>
        <w:t>时间窗口</w:t>
      </w:r>
      <w:r w:rsidR="008E00FE">
        <w:rPr>
          <w:rFonts w:ascii="华文楷体" w:hAnsi="华文楷体" w:hint="eastAsia"/>
          <w:sz w:val="24"/>
          <w:szCs w:val="24"/>
          <w:lang w:eastAsia="zh-CN"/>
        </w:rPr>
        <w:t>灵活</w:t>
      </w:r>
      <w:r w:rsidR="00162129" w:rsidRPr="00162129">
        <w:rPr>
          <w:rFonts w:ascii="华文楷体" w:hAnsi="华文楷体" w:hint="eastAsia"/>
          <w:sz w:val="24"/>
          <w:szCs w:val="24"/>
          <w:lang w:eastAsia="zh-CN"/>
        </w:rPr>
        <w:t>调整组合结构</w:t>
      </w:r>
      <w:r w:rsidR="008E00FE">
        <w:rPr>
          <w:rFonts w:ascii="华文楷体" w:hAnsi="华文楷体" w:hint="eastAsia"/>
          <w:sz w:val="24"/>
          <w:szCs w:val="24"/>
          <w:lang w:eastAsia="zh-CN"/>
        </w:rPr>
        <w:t>，策略整体</w:t>
      </w:r>
      <w:r w:rsidR="006B0B01">
        <w:rPr>
          <w:rFonts w:ascii="华文楷体" w:hAnsi="华文楷体" w:hint="eastAsia"/>
          <w:sz w:val="24"/>
          <w:szCs w:val="24"/>
          <w:lang w:eastAsia="zh-CN"/>
        </w:rPr>
        <w:t>以</w:t>
      </w:r>
      <w:r w:rsidR="00162129" w:rsidRPr="00162129">
        <w:rPr>
          <w:rFonts w:ascii="华文楷体" w:hAnsi="华文楷体" w:hint="eastAsia"/>
          <w:sz w:val="24"/>
          <w:szCs w:val="24"/>
          <w:lang w:eastAsia="zh-CN"/>
        </w:rPr>
        <w:t>防御</w:t>
      </w:r>
      <w:r w:rsidR="006B0B01">
        <w:rPr>
          <w:rFonts w:ascii="华文楷体" w:hAnsi="华文楷体" w:hint="eastAsia"/>
          <w:sz w:val="24"/>
          <w:szCs w:val="24"/>
          <w:lang w:eastAsia="zh-CN"/>
        </w:rPr>
        <w:t>为主</w:t>
      </w:r>
      <w:r w:rsidR="00314603">
        <w:rPr>
          <w:rFonts w:ascii="华文楷体" w:hAnsi="华文楷体" w:hint="eastAsia"/>
          <w:sz w:val="24"/>
          <w:szCs w:val="24"/>
          <w:lang w:eastAsia="zh-CN"/>
        </w:rPr>
        <w:t>，短期债市可能出现一定博弈机会</w:t>
      </w:r>
      <w:r w:rsidR="00162129" w:rsidRPr="00162129">
        <w:rPr>
          <w:rFonts w:ascii="华文楷体" w:hAnsi="华文楷体" w:hint="eastAsia"/>
          <w:sz w:val="24"/>
          <w:szCs w:val="24"/>
          <w:lang w:eastAsia="zh-CN"/>
        </w:rPr>
        <w:t>。</w:t>
      </w:r>
    </w:p>
    <w:p w14:paraId="431A849C" w14:textId="1E59EAEE" w:rsidR="006B0B01" w:rsidRPr="006B0B01"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rPr>
      </w:pPr>
      <w:r w:rsidRPr="006B0B01">
        <w:rPr>
          <w:rFonts w:ascii="华文楷体" w:eastAsia="华文楷体" w:hAnsi="华文楷体" w:cs="Times New Roman" w:hint="eastAsia"/>
        </w:rPr>
        <w:t>信用债：</w:t>
      </w:r>
      <w:r w:rsidR="006B0B01" w:rsidRPr="006B0B01">
        <w:rPr>
          <w:rFonts w:ascii="华文楷体" w:eastAsia="华文楷体" w:hAnsi="华文楷体" w:cs="Times New Roman" w:hint="eastAsia"/>
        </w:rPr>
        <w:t>本周各</w:t>
      </w:r>
      <w:r w:rsidR="00314603">
        <w:rPr>
          <w:rFonts w:ascii="华文楷体" w:eastAsia="华文楷体" w:hAnsi="华文楷体" w:cs="Times New Roman" w:hint="eastAsia"/>
        </w:rPr>
        <w:t>期限品种适度上行，主要受到资金扰动影响，存单和1Y内利率品种持续上调，带动信用品种走弱</w:t>
      </w:r>
      <w:r w:rsidR="006B0B01" w:rsidRPr="006B0B01">
        <w:rPr>
          <w:rFonts w:ascii="华文楷体" w:eastAsia="华文楷体" w:hAnsi="华文楷体" w:cs="Times New Roman" w:hint="eastAsia"/>
        </w:rPr>
        <w:t>。</w:t>
      </w:r>
      <w:r w:rsidR="00314603" w:rsidRPr="00314603">
        <w:rPr>
          <w:rFonts w:ascii="华文楷体" w:eastAsia="华文楷体" w:hAnsi="华文楷体" w:cs="Times New Roman" w:hint="eastAsia"/>
        </w:rPr>
        <w:t>信用债发行和净增量较6月份出现明显回落，二级市场收益率受到股市影响，收益率大幅上行，曲线，其中3年期品种上行幅度最大。</w:t>
      </w:r>
      <w:r w:rsidR="00314603">
        <w:rPr>
          <w:rFonts w:ascii="华文楷体" w:eastAsia="华文楷体" w:hAnsi="华文楷体" w:cs="Times New Roman" w:hint="eastAsia"/>
        </w:rPr>
        <w:t>近期</w:t>
      </w:r>
      <w:r w:rsidR="00314603" w:rsidRPr="00314603">
        <w:rPr>
          <w:rFonts w:ascii="华文楷体" w:eastAsia="华文楷体" w:hAnsi="华文楷体" w:cs="Times New Roman" w:hint="eastAsia"/>
        </w:rPr>
        <w:t>股市回调影响，债市情绪</w:t>
      </w:r>
      <w:r w:rsidR="00314603">
        <w:rPr>
          <w:rFonts w:ascii="华文楷体" w:eastAsia="华文楷体" w:hAnsi="华文楷体" w:cs="Times New Roman" w:hint="eastAsia"/>
        </w:rPr>
        <w:t>适度</w:t>
      </w:r>
      <w:r w:rsidR="00314603" w:rsidRPr="00314603">
        <w:rPr>
          <w:rFonts w:ascii="华文楷体" w:eastAsia="华文楷体" w:hAnsi="华文楷体" w:cs="Times New Roman" w:hint="eastAsia"/>
        </w:rPr>
        <w:t>得到缓和，但是信用</w:t>
      </w:r>
      <w:proofErr w:type="gramStart"/>
      <w:r w:rsidR="00314603" w:rsidRPr="00314603">
        <w:rPr>
          <w:rFonts w:ascii="华文楷体" w:eastAsia="华文楷体" w:hAnsi="华文楷体" w:cs="Times New Roman" w:hint="eastAsia"/>
        </w:rPr>
        <w:t>债反应</w:t>
      </w:r>
      <w:proofErr w:type="gramEnd"/>
      <w:r w:rsidR="00314603" w:rsidRPr="00314603">
        <w:rPr>
          <w:rFonts w:ascii="华文楷体" w:eastAsia="华文楷体" w:hAnsi="华文楷体" w:cs="Times New Roman" w:hint="eastAsia"/>
        </w:rPr>
        <w:t>相对滞后，收益率下行幅度不及利率债。整体来看，</w:t>
      </w:r>
      <w:r w:rsidR="00A060AA" w:rsidRPr="00A060AA">
        <w:rPr>
          <w:rFonts w:ascii="华文楷体" w:eastAsia="华文楷体" w:hAnsi="华文楷体" w:cs="Times New Roman" w:hint="eastAsia"/>
        </w:rPr>
        <w:t>信用债的换手</w:t>
      </w:r>
      <w:r w:rsidR="00A060AA">
        <w:rPr>
          <w:rFonts w:ascii="华文楷体" w:eastAsia="华文楷体" w:hAnsi="华文楷体" w:cs="Times New Roman" w:hint="eastAsia"/>
        </w:rPr>
        <w:t>近期</w:t>
      </w:r>
      <w:r w:rsidR="00A060AA" w:rsidRPr="00A060AA">
        <w:rPr>
          <w:rFonts w:ascii="华文楷体" w:eastAsia="华文楷体" w:hAnsi="华文楷体" w:cs="Times New Roman" w:hint="eastAsia"/>
        </w:rPr>
        <w:t>也有所加大，</w:t>
      </w:r>
      <w:r w:rsidR="00A060AA">
        <w:rPr>
          <w:rFonts w:ascii="华文楷体" w:eastAsia="华文楷体" w:hAnsi="华文楷体" w:cs="Times New Roman" w:hint="eastAsia"/>
        </w:rPr>
        <w:t>反映出</w:t>
      </w:r>
      <w:r w:rsidR="00A060AA" w:rsidRPr="00A060AA">
        <w:rPr>
          <w:rFonts w:ascii="华文楷体" w:eastAsia="华文楷体" w:hAnsi="华文楷体" w:cs="Times New Roman" w:hint="eastAsia"/>
        </w:rPr>
        <w:t>基金等交易盘卖出压力有所缓解。我们重申当前利率的绝对水平有一定基本面支撑，配置盘的绝对收益也有保障，但后续经济边际改善的趋势不变</w:t>
      </w:r>
      <w:proofErr w:type="gramStart"/>
      <w:r w:rsidR="00A060AA" w:rsidRPr="00A060AA">
        <w:rPr>
          <w:rFonts w:ascii="华文楷体" w:eastAsia="华文楷体" w:hAnsi="华文楷体" w:cs="Times New Roman" w:hint="eastAsia"/>
        </w:rPr>
        <w:t>则货币</w:t>
      </w:r>
      <w:proofErr w:type="gramEnd"/>
      <w:r w:rsidR="00A060AA" w:rsidRPr="00A060AA">
        <w:rPr>
          <w:rFonts w:ascii="华文楷体" w:eastAsia="华文楷体" w:hAnsi="华文楷体" w:cs="Times New Roman" w:hint="eastAsia"/>
        </w:rPr>
        <w:t>政策很难释放有利信号，国际关系近期压力加大，是否进一步升级将影响大类资产走势。短期债市或有小幅反弹但力度有限，票息策略短期占优。</w:t>
      </w:r>
    </w:p>
    <w:p w14:paraId="4C893BAE" w14:textId="497ACC06"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654624">
        <w:rPr>
          <w:rFonts w:ascii="华文楷体" w:hAnsi="华文楷体" w:hint="eastAsia"/>
          <w:sz w:val="24"/>
          <w:szCs w:val="24"/>
          <w:lang w:eastAsia="zh-CN"/>
        </w:rPr>
        <w:t>本周权益市场</w:t>
      </w:r>
      <w:r w:rsidR="008E00FE">
        <w:rPr>
          <w:rFonts w:ascii="华文楷体" w:hAnsi="华文楷体" w:hint="eastAsia"/>
          <w:sz w:val="24"/>
          <w:szCs w:val="24"/>
          <w:lang w:eastAsia="zh-CN"/>
        </w:rPr>
        <w:t>表现</w:t>
      </w:r>
      <w:r w:rsidR="00EF4D08">
        <w:rPr>
          <w:rFonts w:ascii="华文楷体" w:hAnsi="华文楷体" w:hint="eastAsia"/>
          <w:sz w:val="24"/>
          <w:szCs w:val="24"/>
          <w:lang w:eastAsia="zh-CN"/>
        </w:rPr>
        <w:t>较弱</w:t>
      </w:r>
      <w:r w:rsidR="00D30FEC">
        <w:rPr>
          <w:rFonts w:ascii="华文楷体" w:hAnsi="华文楷体" w:hint="eastAsia"/>
          <w:sz w:val="24"/>
          <w:szCs w:val="24"/>
          <w:lang w:eastAsia="zh-CN"/>
        </w:rPr>
        <w:t>，转债</w:t>
      </w:r>
      <w:r w:rsidR="000E190F">
        <w:rPr>
          <w:rFonts w:ascii="华文楷体" w:hAnsi="华文楷体" w:hint="eastAsia"/>
          <w:sz w:val="24"/>
          <w:szCs w:val="24"/>
          <w:lang w:eastAsia="zh-CN"/>
        </w:rPr>
        <w:t>表现</w:t>
      </w:r>
      <w:r w:rsidR="008E00FE">
        <w:rPr>
          <w:rFonts w:ascii="华文楷体" w:hAnsi="华文楷体" w:hint="eastAsia"/>
          <w:sz w:val="24"/>
          <w:szCs w:val="24"/>
          <w:lang w:eastAsia="zh-CN"/>
        </w:rPr>
        <w:t>稍</w:t>
      </w:r>
      <w:r w:rsidR="00EF4D08">
        <w:rPr>
          <w:rFonts w:ascii="华文楷体" w:hAnsi="华文楷体" w:hint="eastAsia"/>
          <w:sz w:val="24"/>
          <w:szCs w:val="24"/>
          <w:lang w:eastAsia="zh-CN"/>
        </w:rPr>
        <w:t>好</w:t>
      </w:r>
      <w:r w:rsidR="008E00FE">
        <w:rPr>
          <w:rFonts w:ascii="华文楷体" w:hAnsi="华文楷体" w:hint="eastAsia"/>
          <w:sz w:val="24"/>
          <w:szCs w:val="24"/>
          <w:lang w:eastAsia="zh-CN"/>
        </w:rPr>
        <w:t>于</w:t>
      </w:r>
      <w:r w:rsidR="000E190F">
        <w:rPr>
          <w:rFonts w:ascii="华文楷体" w:hAnsi="华文楷体" w:hint="eastAsia"/>
          <w:sz w:val="24"/>
          <w:szCs w:val="24"/>
          <w:lang w:eastAsia="zh-CN"/>
        </w:rPr>
        <w:t>权益</w:t>
      </w:r>
      <w:r w:rsidR="00C26EBA">
        <w:rPr>
          <w:rFonts w:ascii="华文楷体" w:hAnsi="华文楷体" w:hint="eastAsia"/>
          <w:sz w:val="24"/>
          <w:szCs w:val="24"/>
          <w:lang w:eastAsia="zh-CN"/>
        </w:rPr>
        <w:t>。</w:t>
      </w:r>
      <w:r w:rsidR="006B0B01" w:rsidRPr="006B0B01">
        <w:rPr>
          <w:rFonts w:ascii="华文楷体" w:hAnsi="华文楷体" w:hint="eastAsia"/>
          <w:sz w:val="24"/>
          <w:szCs w:val="24"/>
          <w:lang w:eastAsia="zh-CN"/>
        </w:rPr>
        <w:t>行业层面，</w:t>
      </w:r>
      <w:r w:rsidR="00EF4D08" w:rsidRPr="00EF4D08">
        <w:rPr>
          <w:rFonts w:ascii="华文楷体" w:hAnsi="华文楷体" w:hint="eastAsia"/>
          <w:sz w:val="24"/>
          <w:szCs w:val="24"/>
          <w:lang w:eastAsia="zh-CN"/>
        </w:rPr>
        <w:t>建材出现2%以上涨幅外，大部分行业板块出现不同程度回调。</w:t>
      </w:r>
      <w:r w:rsidR="00601DF1" w:rsidRPr="00601DF1">
        <w:rPr>
          <w:rFonts w:ascii="华文楷体" w:hAnsi="华文楷体" w:hint="eastAsia"/>
          <w:sz w:val="24"/>
          <w:szCs w:val="24"/>
          <w:lang w:eastAsia="zh-CN"/>
        </w:rPr>
        <w:t>市场</w:t>
      </w:r>
      <w:r w:rsidR="00601DF1" w:rsidRPr="00601DF1">
        <w:rPr>
          <w:rFonts w:ascii="华文楷体" w:hAnsi="华文楷体"/>
          <w:sz w:val="24"/>
          <w:szCs w:val="24"/>
          <w:lang w:eastAsia="zh-CN"/>
        </w:rPr>
        <w:t>策略方面</w:t>
      </w:r>
      <w:r w:rsidR="00601DF1" w:rsidRPr="00491B29">
        <w:rPr>
          <w:rFonts w:ascii="华文楷体" w:hAnsi="华文楷体"/>
          <w:sz w:val="24"/>
          <w:szCs w:val="24"/>
          <w:lang w:eastAsia="zh-CN"/>
        </w:rPr>
        <w:t>，</w:t>
      </w:r>
      <w:r w:rsidR="00F67C58" w:rsidRPr="00F67C58">
        <w:rPr>
          <w:rFonts w:ascii="华文楷体" w:hAnsi="华文楷体" w:hint="eastAsia"/>
          <w:sz w:val="24"/>
          <w:szCs w:val="24"/>
          <w:lang w:eastAsia="zh-CN"/>
        </w:rPr>
        <w:t>中期处于金融条件相对宽松，科技创新升级的周期，总体面临有利的环境。短期看，股</w:t>
      </w:r>
      <w:proofErr w:type="gramStart"/>
      <w:r w:rsidR="00F67C58" w:rsidRPr="00F67C58">
        <w:rPr>
          <w:rFonts w:ascii="华文楷体" w:hAnsi="华文楷体" w:hint="eastAsia"/>
          <w:sz w:val="24"/>
          <w:szCs w:val="24"/>
          <w:lang w:eastAsia="zh-CN"/>
        </w:rPr>
        <w:t>债相对</w:t>
      </w:r>
      <w:proofErr w:type="gramEnd"/>
      <w:r w:rsidR="00F67C58" w:rsidRPr="00F67C58">
        <w:rPr>
          <w:rFonts w:ascii="华文楷体" w:hAnsi="华文楷体" w:hint="eastAsia"/>
          <w:sz w:val="24"/>
          <w:szCs w:val="24"/>
          <w:lang w:eastAsia="zh-CN"/>
        </w:rPr>
        <w:t>估值已不再有利，部分板块高估值加大波动，</w:t>
      </w:r>
      <w:proofErr w:type="gramStart"/>
      <w:r w:rsidR="00F67C58" w:rsidRPr="00F67C58">
        <w:rPr>
          <w:rFonts w:ascii="华文楷体" w:hAnsi="华文楷体" w:hint="eastAsia"/>
          <w:sz w:val="24"/>
          <w:szCs w:val="24"/>
          <w:lang w:eastAsia="zh-CN"/>
        </w:rPr>
        <w:t>下周科创板</w:t>
      </w:r>
      <w:proofErr w:type="gramEnd"/>
      <w:r w:rsidR="00F67C58" w:rsidRPr="00F67C58">
        <w:rPr>
          <w:rFonts w:ascii="华文楷体" w:hAnsi="华文楷体" w:hint="eastAsia"/>
          <w:sz w:val="24"/>
          <w:szCs w:val="24"/>
          <w:lang w:eastAsia="zh-CN"/>
        </w:rPr>
        <w:t>解禁高峰带来一定程度考验，但整体成交量仍在高位情绪也很难短期消退，疯牛预期减弱后反而有利于结构</w:t>
      </w:r>
      <w:proofErr w:type="gramStart"/>
      <w:r w:rsidR="00F67C58" w:rsidRPr="00F67C58">
        <w:rPr>
          <w:rFonts w:ascii="华文楷体" w:hAnsi="华文楷体" w:hint="eastAsia"/>
          <w:sz w:val="24"/>
          <w:szCs w:val="24"/>
          <w:lang w:eastAsia="zh-CN"/>
        </w:rPr>
        <w:t>牛继续</w:t>
      </w:r>
      <w:proofErr w:type="gramEnd"/>
      <w:r w:rsidR="00F67C58" w:rsidRPr="00F67C58">
        <w:rPr>
          <w:rFonts w:ascii="华文楷体" w:hAnsi="华文楷体" w:hint="eastAsia"/>
          <w:sz w:val="24"/>
          <w:szCs w:val="24"/>
          <w:lang w:eastAsia="zh-CN"/>
        </w:rPr>
        <w:t>开展。转</w:t>
      </w:r>
      <w:proofErr w:type="gramStart"/>
      <w:r w:rsidR="00F67C58" w:rsidRPr="00F67C58">
        <w:rPr>
          <w:rFonts w:ascii="华文楷体" w:hAnsi="华文楷体" w:hint="eastAsia"/>
          <w:sz w:val="24"/>
          <w:szCs w:val="24"/>
          <w:lang w:eastAsia="zh-CN"/>
        </w:rPr>
        <w:t>债继续</w:t>
      </w:r>
      <w:proofErr w:type="gramEnd"/>
      <w:r w:rsidR="00F67C58" w:rsidRPr="00F67C58">
        <w:rPr>
          <w:rFonts w:ascii="华文楷体" w:hAnsi="华文楷体" w:hint="eastAsia"/>
          <w:sz w:val="24"/>
          <w:szCs w:val="24"/>
          <w:lang w:eastAsia="zh-CN"/>
        </w:rPr>
        <w:t>关注半年报绩优品种、正股弹性和逻辑较强品种。</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FE53973" w:rsidR="001D35B3" w:rsidRPr="006A5F34" w:rsidRDefault="001D35B3" w:rsidP="006E5744">
            <w:pPr>
              <w:pStyle w:val="ChartHeading"/>
              <w:jc w:val="both"/>
            </w:pPr>
            <w:r w:rsidRPr="006A5F34">
              <w:rPr>
                <w:rFonts w:hint="eastAsia"/>
              </w:rPr>
              <w:lastRenderedPageBreak/>
              <w:t>图表</w:t>
            </w:r>
            <w:r w:rsidRPr="006A5F34">
              <w:t>.</w:t>
            </w:r>
            <w:r w:rsidR="003E314A">
              <w:rPr>
                <w:rFonts w:hint="eastAsia"/>
              </w:rPr>
              <w:t>主要钢材库存小幅回升</w:t>
            </w:r>
          </w:p>
        </w:tc>
        <w:tc>
          <w:tcPr>
            <w:tcW w:w="4938" w:type="dxa"/>
            <w:vAlign w:val="center"/>
          </w:tcPr>
          <w:p w14:paraId="02A10F26" w14:textId="30D8B7A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DE6EDA">
              <w:rPr>
                <w:rFonts w:hint="eastAsia"/>
              </w:rPr>
              <w:t>持续回落</w:t>
            </w:r>
            <w:r w:rsidR="00DE6EDA" w:rsidRPr="006A5F34">
              <w:t xml:space="preserve"> </w:t>
            </w:r>
          </w:p>
        </w:tc>
      </w:tr>
      <w:tr w:rsidR="001D35B3" w:rsidRPr="006A5F34" w14:paraId="205667F1" w14:textId="77777777" w:rsidTr="0054686C">
        <w:tblPrEx>
          <w:tblCellMar>
            <w:left w:w="108" w:type="dxa"/>
            <w:right w:w="108" w:type="dxa"/>
          </w:tblCellMar>
        </w:tblPrEx>
        <w:trPr>
          <w:jc w:val="center"/>
        </w:trPr>
        <w:tc>
          <w:tcPr>
            <w:tcW w:w="4939" w:type="dxa"/>
            <w:vAlign w:val="center"/>
          </w:tcPr>
          <w:p w14:paraId="56C782C2" w14:textId="575C1F10" w:rsidR="001D35B3" w:rsidRPr="007E0340" w:rsidRDefault="0054686C" w:rsidP="009A2BA0">
            <w:pPr>
              <w:jc w:val="center"/>
              <w:rPr>
                <w:noProof/>
              </w:rPr>
            </w:pPr>
            <w:r>
              <w:rPr>
                <w:noProof/>
              </w:rPr>
              <w:drawing>
                <wp:inline distT="0" distB="0" distL="0" distR="0" wp14:anchorId="04207BB0" wp14:editId="44DD8093">
                  <wp:extent cx="2999105" cy="1880152"/>
                  <wp:effectExtent l="0" t="0" r="0" b="635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1F6EC530" w:rsidR="001D35B3" w:rsidRPr="007E0340" w:rsidRDefault="0054686C" w:rsidP="009A2BA0">
            <w:pPr>
              <w:jc w:val="center"/>
              <w:rPr>
                <w:noProof/>
                <w:szCs w:val="18"/>
              </w:rPr>
            </w:pPr>
            <w:r>
              <w:rPr>
                <w:noProof/>
              </w:rPr>
              <w:drawing>
                <wp:inline distT="0" distB="0" distL="0" distR="0" wp14:anchorId="778F87D1" wp14:editId="009A569B">
                  <wp:extent cx="2998470" cy="1905552"/>
                  <wp:effectExtent l="0" t="0" r="0" b="0"/>
                  <wp:docPr id="18" name="图表 1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D230FA6"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763150">
              <w:rPr>
                <w:rFonts w:hint="eastAsia"/>
              </w:rPr>
              <w:t>持续向好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54686C">
        <w:tblPrEx>
          <w:tblCellMar>
            <w:left w:w="108" w:type="dxa"/>
            <w:right w:w="108" w:type="dxa"/>
          </w:tblCellMar>
        </w:tblPrEx>
        <w:trPr>
          <w:jc w:val="center"/>
        </w:trPr>
        <w:tc>
          <w:tcPr>
            <w:tcW w:w="4939" w:type="dxa"/>
            <w:vAlign w:val="center"/>
          </w:tcPr>
          <w:p w14:paraId="0BAC1731" w14:textId="6208040F" w:rsidR="001D35B3" w:rsidRPr="007E0340" w:rsidRDefault="0054686C" w:rsidP="009A2BA0">
            <w:pPr>
              <w:jc w:val="center"/>
              <w:rPr>
                <w:noProof/>
              </w:rPr>
            </w:pPr>
            <w:r>
              <w:rPr>
                <w:noProof/>
              </w:rPr>
              <w:drawing>
                <wp:inline distT="0" distB="0" distL="0" distR="0" wp14:anchorId="6890ABA2" wp14:editId="3BF92B8F">
                  <wp:extent cx="2999105" cy="1927860"/>
                  <wp:effectExtent l="0" t="0" r="0" b="0"/>
                  <wp:docPr id="19" name="图表 19">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6899634B" w:rsidR="001D35B3" w:rsidRPr="007E0340" w:rsidRDefault="0054686C" w:rsidP="009A2BA0">
            <w:pPr>
              <w:jc w:val="center"/>
              <w:rPr>
                <w:noProof/>
                <w:szCs w:val="18"/>
              </w:rPr>
            </w:pPr>
            <w:r>
              <w:rPr>
                <w:noProof/>
              </w:rPr>
              <w:drawing>
                <wp:inline distT="0" distB="0" distL="0" distR="0" wp14:anchorId="5F83301A" wp14:editId="6108F014">
                  <wp:extent cx="2998470" cy="1926066"/>
                  <wp:effectExtent l="0" t="0" r="0" b="0"/>
                  <wp:docPr id="20" name="图表 2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 xmlns:xdr="http://schemas.openxmlformats.org/drawingml/2006/spreadsheetDrawing" xmlns:a16="http://schemas.microsoft.com/office/drawing/2014/main" xmlns:lc="http://schemas.openxmlformats.org/drawingml/2006/lockedCanvas"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A1299">
        <w:rPr>
          <w:rFonts w:ascii="华文楷体" w:hAnsi="华文楷体" w:hint="eastAsia"/>
          <w:sz w:val="24"/>
          <w:szCs w:val="24"/>
          <w:lang w:eastAsia="zh-CN"/>
        </w:rPr>
        <w:t>作出</w:t>
      </w:r>
      <w:proofErr w:type="gramEnd"/>
      <w:r w:rsidRPr="001A1299">
        <w:rPr>
          <w:rFonts w:ascii="华文楷体" w:hAnsi="华文楷体" w:hint="eastAsia"/>
          <w:sz w:val="24"/>
          <w:szCs w:val="24"/>
          <w:lang w:eastAsia="zh-CN"/>
        </w:rPr>
        <w:t>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w:t>
      </w:r>
      <w:proofErr w:type="gramStart"/>
      <w:r w:rsidRPr="001A1299">
        <w:rPr>
          <w:rFonts w:ascii="华文楷体" w:hAnsi="华文楷体" w:hint="eastAsia"/>
          <w:sz w:val="24"/>
          <w:szCs w:val="24"/>
          <w:lang w:eastAsia="zh-CN"/>
        </w:rPr>
        <w:t>荣基金</w:t>
      </w:r>
      <w:proofErr w:type="gramEnd"/>
      <w:r w:rsidRPr="001A1299">
        <w:rPr>
          <w:rFonts w:ascii="华文楷体" w:hAnsi="华文楷体" w:hint="eastAsia"/>
          <w:sz w:val="24"/>
          <w:szCs w:val="24"/>
          <w:lang w:eastAsia="zh-CN"/>
        </w:rPr>
        <w:t>内部培训、向机构客户和渠道路</w:t>
      </w:r>
      <w:proofErr w:type="gramStart"/>
      <w:r w:rsidRPr="001A1299">
        <w:rPr>
          <w:rFonts w:ascii="华文楷体" w:hAnsi="华文楷体" w:hint="eastAsia"/>
          <w:sz w:val="24"/>
          <w:szCs w:val="24"/>
          <w:lang w:eastAsia="zh-CN"/>
        </w:rPr>
        <w:t>演交流</w:t>
      </w:r>
      <w:proofErr w:type="gramEnd"/>
      <w:r w:rsidRPr="001A1299">
        <w:rPr>
          <w:rFonts w:ascii="华文楷体" w:hAnsi="华文楷体" w:hint="eastAsia"/>
          <w:sz w:val="24"/>
          <w:szCs w:val="24"/>
          <w:lang w:eastAsia="zh-CN"/>
        </w:rPr>
        <w:t>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804FE" w14:textId="77777777" w:rsidR="0092233D" w:rsidRDefault="0092233D">
      <w:r>
        <w:separator/>
      </w:r>
    </w:p>
  </w:endnote>
  <w:endnote w:type="continuationSeparator" w:id="0">
    <w:p w14:paraId="324AC347" w14:textId="77777777" w:rsidR="0092233D" w:rsidRDefault="00922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微软雅黑"/>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78385F" w:rsidRDefault="0078385F">
        <w:pPr>
          <w:pStyle w:val="a4"/>
          <w:jc w:val="right"/>
        </w:pPr>
        <w:r>
          <w:fldChar w:fldCharType="begin"/>
        </w:r>
        <w:r>
          <w:instrText>PAGE   \* MERGEFORMAT</w:instrText>
        </w:r>
        <w:r>
          <w:fldChar w:fldCharType="separate"/>
        </w:r>
        <w:r w:rsidR="00AA23CC" w:rsidRPr="00AA23CC">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365582" w14:textId="77777777" w:rsidR="0092233D" w:rsidRDefault="0092233D">
      <w:r>
        <w:separator/>
      </w:r>
    </w:p>
  </w:footnote>
  <w:footnote w:type="continuationSeparator" w:id="0">
    <w:p w14:paraId="7057D88E" w14:textId="77777777" w:rsidR="0092233D" w:rsidRDefault="009223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78385F" w:rsidRDefault="0078385F"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0FC5"/>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233D"/>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8A2"/>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3CC"/>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C86"/>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E24"/>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43875</c:v>
                </c:pt>
                <c:pt idx="1">
                  <c:v>43882</c:v>
                </c:pt>
                <c:pt idx="2">
                  <c:v>43889</c:v>
                </c:pt>
                <c:pt idx="3">
                  <c:v>43896</c:v>
                </c:pt>
                <c:pt idx="4">
                  <c:v>43903</c:v>
                </c:pt>
                <c:pt idx="5">
                  <c:v>43910</c:v>
                </c:pt>
                <c:pt idx="6">
                  <c:v>43917</c:v>
                </c:pt>
                <c:pt idx="7">
                  <c:v>43924</c:v>
                </c:pt>
                <c:pt idx="8">
                  <c:v>43931</c:v>
                </c:pt>
                <c:pt idx="9">
                  <c:v>43938</c:v>
                </c:pt>
                <c:pt idx="10">
                  <c:v>43945</c:v>
                </c:pt>
                <c:pt idx="11">
                  <c:v>43952</c:v>
                </c:pt>
                <c:pt idx="12">
                  <c:v>43959</c:v>
                </c:pt>
                <c:pt idx="13">
                  <c:v>43966</c:v>
                </c:pt>
                <c:pt idx="14">
                  <c:v>43973</c:v>
                </c:pt>
                <c:pt idx="15">
                  <c:v>43980</c:v>
                </c:pt>
                <c:pt idx="16">
                  <c:v>43987</c:v>
                </c:pt>
                <c:pt idx="17">
                  <c:v>43994</c:v>
                </c:pt>
                <c:pt idx="18">
                  <c:v>44001</c:v>
                </c:pt>
                <c:pt idx="19">
                  <c:v>44008</c:v>
                </c:pt>
                <c:pt idx="20">
                  <c:v>44015</c:v>
                </c:pt>
                <c:pt idx="21">
                  <c:v>44022</c:v>
                </c:pt>
                <c:pt idx="22">
                  <c:v>44029</c:v>
                </c:pt>
              </c:numCache>
            </c:numRef>
          </c:cat>
          <c:val>
            <c:numRef>
              <c:f>央行!$B$5:$B$27</c:f>
              <c:numCache>
                <c:formatCode>###,###,###,###,##0.00</c:formatCode>
                <c:ptCount val="23"/>
                <c:pt idx="0">
                  <c:v>10000</c:v>
                </c:pt>
                <c:pt idx="1">
                  <c:v>1015</c:v>
                </c:pt>
                <c:pt idx="2">
                  <c:v>60</c:v>
                </c:pt>
                <c:pt idx="3">
                  <c:v>0</c:v>
                </c:pt>
                <c:pt idx="4">
                  <c:v>0</c:v>
                </c:pt>
                <c:pt idx="5">
                  <c:v>0</c:v>
                </c:pt>
                <c:pt idx="6">
                  <c:v>60</c:v>
                </c:pt>
                <c:pt idx="7">
                  <c:v>700</c:v>
                </c:pt>
                <c:pt idx="8">
                  <c:v>0</c:v>
                </c:pt>
                <c:pt idx="9">
                  <c:v>0</c:v>
                </c:pt>
                <c:pt idx="10">
                  <c:v>60</c:v>
                </c:pt>
                <c:pt idx="11">
                  <c:v>0</c:v>
                </c:pt>
                <c:pt idx="12">
                  <c:v>0</c:v>
                </c:pt>
                <c:pt idx="13">
                  <c:v>0</c:v>
                </c:pt>
                <c:pt idx="14">
                  <c:v>0</c:v>
                </c:pt>
                <c:pt idx="15">
                  <c:v>6750</c:v>
                </c:pt>
                <c:pt idx="16">
                  <c:v>2200</c:v>
                </c:pt>
                <c:pt idx="17">
                  <c:v>4200</c:v>
                </c:pt>
                <c:pt idx="18">
                  <c:v>3000</c:v>
                </c:pt>
                <c:pt idx="19">
                  <c:v>5050</c:v>
                </c:pt>
                <c:pt idx="20">
                  <c:v>1025</c:v>
                </c:pt>
                <c:pt idx="21">
                  <c:v>0</c:v>
                </c:pt>
                <c:pt idx="22">
                  <c:v>3300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43875</c:v>
                </c:pt>
                <c:pt idx="1">
                  <c:v>43882</c:v>
                </c:pt>
                <c:pt idx="2">
                  <c:v>43889</c:v>
                </c:pt>
                <c:pt idx="3">
                  <c:v>43896</c:v>
                </c:pt>
                <c:pt idx="4">
                  <c:v>43903</c:v>
                </c:pt>
                <c:pt idx="5">
                  <c:v>43910</c:v>
                </c:pt>
                <c:pt idx="6">
                  <c:v>43917</c:v>
                </c:pt>
                <c:pt idx="7">
                  <c:v>43924</c:v>
                </c:pt>
                <c:pt idx="8">
                  <c:v>43931</c:v>
                </c:pt>
                <c:pt idx="9">
                  <c:v>43938</c:v>
                </c:pt>
                <c:pt idx="10">
                  <c:v>43945</c:v>
                </c:pt>
                <c:pt idx="11">
                  <c:v>43952</c:v>
                </c:pt>
                <c:pt idx="12">
                  <c:v>43959</c:v>
                </c:pt>
                <c:pt idx="13">
                  <c:v>43966</c:v>
                </c:pt>
                <c:pt idx="14">
                  <c:v>43973</c:v>
                </c:pt>
                <c:pt idx="15">
                  <c:v>43980</c:v>
                </c:pt>
                <c:pt idx="16">
                  <c:v>43987</c:v>
                </c:pt>
                <c:pt idx="17">
                  <c:v>43994</c:v>
                </c:pt>
                <c:pt idx="18">
                  <c:v>44001</c:v>
                </c:pt>
                <c:pt idx="19">
                  <c:v>44008</c:v>
                </c:pt>
                <c:pt idx="20">
                  <c:v>44015</c:v>
                </c:pt>
                <c:pt idx="21">
                  <c:v>44022</c:v>
                </c:pt>
                <c:pt idx="22">
                  <c:v>44029</c:v>
                </c:pt>
              </c:numCache>
            </c:numRef>
          </c:cat>
          <c:val>
            <c:numRef>
              <c:f>央行!$C$5:$C$27</c:f>
              <c:numCache>
                <c:formatCode>###,###,###,###,##0.00</c:formatCode>
                <c:ptCount val="23"/>
                <c:pt idx="0">
                  <c:v>-12800</c:v>
                </c:pt>
                <c:pt idx="1">
                  <c:v>-12200</c:v>
                </c:pt>
                <c:pt idx="2">
                  <c:v>-3050</c:v>
                </c:pt>
                <c:pt idx="3">
                  <c:v>0</c:v>
                </c:pt>
                <c:pt idx="4">
                  <c:v>0</c:v>
                </c:pt>
                <c:pt idx="5">
                  <c:v>0</c:v>
                </c:pt>
                <c:pt idx="6">
                  <c:v>-50</c:v>
                </c:pt>
                <c:pt idx="7">
                  <c:v>0</c:v>
                </c:pt>
                <c:pt idx="8">
                  <c:v>-700</c:v>
                </c:pt>
                <c:pt idx="9">
                  <c:v>0</c:v>
                </c:pt>
                <c:pt idx="10">
                  <c:v>-50</c:v>
                </c:pt>
                <c:pt idx="11">
                  <c:v>0</c:v>
                </c:pt>
                <c:pt idx="12">
                  <c:v>0</c:v>
                </c:pt>
                <c:pt idx="13">
                  <c:v>0</c:v>
                </c:pt>
                <c:pt idx="14">
                  <c:v>0</c:v>
                </c:pt>
                <c:pt idx="15">
                  <c:v>-50</c:v>
                </c:pt>
                <c:pt idx="16">
                  <c:v>-6700</c:v>
                </c:pt>
                <c:pt idx="17">
                  <c:v>-2200</c:v>
                </c:pt>
                <c:pt idx="18">
                  <c:v>-4200</c:v>
                </c:pt>
                <c:pt idx="19">
                  <c:v>-1200</c:v>
                </c:pt>
                <c:pt idx="20">
                  <c:v>-4950</c:v>
                </c:pt>
                <c:pt idx="21">
                  <c:v>-2900</c:v>
                </c:pt>
                <c:pt idx="22">
                  <c:v>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90415488"/>
        <c:axId val="39041740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43875</c:v>
                </c:pt>
                <c:pt idx="1">
                  <c:v>43882</c:v>
                </c:pt>
                <c:pt idx="2">
                  <c:v>43889</c:v>
                </c:pt>
                <c:pt idx="3">
                  <c:v>43896</c:v>
                </c:pt>
                <c:pt idx="4">
                  <c:v>43903</c:v>
                </c:pt>
                <c:pt idx="5">
                  <c:v>43910</c:v>
                </c:pt>
                <c:pt idx="6">
                  <c:v>43917</c:v>
                </c:pt>
                <c:pt idx="7">
                  <c:v>43924</c:v>
                </c:pt>
                <c:pt idx="8">
                  <c:v>43931</c:v>
                </c:pt>
                <c:pt idx="9">
                  <c:v>43938</c:v>
                </c:pt>
                <c:pt idx="10">
                  <c:v>43945</c:v>
                </c:pt>
                <c:pt idx="11">
                  <c:v>43952</c:v>
                </c:pt>
                <c:pt idx="12">
                  <c:v>43959</c:v>
                </c:pt>
                <c:pt idx="13">
                  <c:v>43966</c:v>
                </c:pt>
                <c:pt idx="14">
                  <c:v>43973</c:v>
                </c:pt>
                <c:pt idx="15">
                  <c:v>43980</c:v>
                </c:pt>
                <c:pt idx="16">
                  <c:v>43987</c:v>
                </c:pt>
                <c:pt idx="17">
                  <c:v>43994</c:v>
                </c:pt>
                <c:pt idx="18">
                  <c:v>44001</c:v>
                </c:pt>
                <c:pt idx="19">
                  <c:v>44008</c:v>
                </c:pt>
                <c:pt idx="20">
                  <c:v>44015</c:v>
                </c:pt>
                <c:pt idx="21">
                  <c:v>44022</c:v>
                </c:pt>
                <c:pt idx="22">
                  <c:v>44029</c:v>
                </c:pt>
              </c:numCache>
            </c:numRef>
          </c:cat>
          <c:val>
            <c:numRef>
              <c:f>央行!$D$5:$D$27</c:f>
              <c:numCache>
                <c:formatCode>###,###,###,###,##0.00</c:formatCode>
                <c:ptCount val="23"/>
                <c:pt idx="0">
                  <c:v>-2800</c:v>
                </c:pt>
                <c:pt idx="1">
                  <c:v>-11185</c:v>
                </c:pt>
                <c:pt idx="2">
                  <c:v>-2990</c:v>
                </c:pt>
                <c:pt idx="3">
                  <c:v>0</c:v>
                </c:pt>
                <c:pt idx="4">
                  <c:v>0</c:v>
                </c:pt>
                <c:pt idx="5">
                  <c:v>0</c:v>
                </c:pt>
                <c:pt idx="6">
                  <c:v>10</c:v>
                </c:pt>
                <c:pt idx="7">
                  <c:v>700</c:v>
                </c:pt>
                <c:pt idx="8">
                  <c:v>-700</c:v>
                </c:pt>
                <c:pt idx="9">
                  <c:v>0</c:v>
                </c:pt>
                <c:pt idx="10">
                  <c:v>10</c:v>
                </c:pt>
                <c:pt idx="11">
                  <c:v>0</c:v>
                </c:pt>
                <c:pt idx="12">
                  <c:v>0</c:v>
                </c:pt>
                <c:pt idx="13">
                  <c:v>0</c:v>
                </c:pt>
                <c:pt idx="14">
                  <c:v>0</c:v>
                </c:pt>
                <c:pt idx="15">
                  <c:v>6700</c:v>
                </c:pt>
                <c:pt idx="16">
                  <c:v>-4500</c:v>
                </c:pt>
                <c:pt idx="17">
                  <c:v>2000</c:v>
                </c:pt>
                <c:pt idx="18">
                  <c:v>-1200</c:v>
                </c:pt>
                <c:pt idx="19">
                  <c:v>3850</c:v>
                </c:pt>
                <c:pt idx="20">
                  <c:v>-3925</c:v>
                </c:pt>
                <c:pt idx="21">
                  <c:v>-2900</c:v>
                </c:pt>
                <c:pt idx="22">
                  <c:v>3300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90415488"/>
        <c:axId val="390417408"/>
      </c:lineChart>
      <c:catAx>
        <c:axId val="39041548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0417408"/>
        <c:crosses val="autoZero"/>
        <c:auto val="0"/>
        <c:lblAlgn val="ctr"/>
        <c:lblOffset val="0"/>
        <c:tickMarkSkip val="2"/>
        <c:noMultiLvlLbl val="0"/>
      </c:catAx>
      <c:valAx>
        <c:axId val="39041740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041548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5561629100168801"/>
          <c:h val="0.71495543826252483"/>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44029</c:v>
                </c:pt>
                <c:pt idx="1">
                  <c:v>44028</c:v>
                </c:pt>
                <c:pt idx="2">
                  <c:v>44027</c:v>
                </c:pt>
                <c:pt idx="3">
                  <c:v>44026</c:v>
                </c:pt>
                <c:pt idx="4">
                  <c:v>44025</c:v>
                </c:pt>
                <c:pt idx="5">
                  <c:v>44022</c:v>
                </c:pt>
                <c:pt idx="6">
                  <c:v>44021</c:v>
                </c:pt>
                <c:pt idx="7">
                  <c:v>44020</c:v>
                </c:pt>
                <c:pt idx="8">
                  <c:v>44019</c:v>
                </c:pt>
                <c:pt idx="9">
                  <c:v>44018</c:v>
                </c:pt>
                <c:pt idx="10">
                  <c:v>44015</c:v>
                </c:pt>
                <c:pt idx="11">
                  <c:v>44014</c:v>
                </c:pt>
                <c:pt idx="12">
                  <c:v>44013</c:v>
                </c:pt>
                <c:pt idx="13">
                  <c:v>44012</c:v>
                </c:pt>
                <c:pt idx="14">
                  <c:v>44011</c:v>
                </c:pt>
                <c:pt idx="15">
                  <c:v>44010</c:v>
                </c:pt>
                <c:pt idx="16">
                  <c:v>44006</c:v>
                </c:pt>
                <c:pt idx="17">
                  <c:v>44005</c:v>
                </c:pt>
                <c:pt idx="18">
                  <c:v>44004</c:v>
                </c:pt>
                <c:pt idx="19">
                  <c:v>44001</c:v>
                </c:pt>
                <c:pt idx="20">
                  <c:v>44000</c:v>
                </c:pt>
                <c:pt idx="21">
                  <c:v>43999</c:v>
                </c:pt>
                <c:pt idx="22">
                  <c:v>43998</c:v>
                </c:pt>
                <c:pt idx="23">
                  <c:v>43997</c:v>
                </c:pt>
                <c:pt idx="24">
                  <c:v>43994</c:v>
                </c:pt>
                <c:pt idx="25">
                  <c:v>43993</c:v>
                </c:pt>
                <c:pt idx="26">
                  <c:v>43992</c:v>
                </c:pt>
                <c:pt idx="27">
                  <c:v>43991</c:v>
                </c:pt>
                <c:pt idx="28">
                  <c:v>43990</c:v>
                </c:pt>
                <c:pt idx="29">
                  <c:v>43987</c:v>
                </c:pt>
                <c:pt idx="30">
                  <c:v>43986</c:v>
                </c:pt>
                <c:pt idx="31">
                  <c:v>43985</c:v>
                </c:pt>
                <c:pt idx="32">
                  <c:v>43984</c:v>
                </c:pt>
                <c:pt idx="33">
                  <c:v>43983</c:v>
                </c:pt>
                <c:pt idx="34">
                  <c:v>43980</c:v>
                </c:pt>
                <c:pt idx="35">
                  <c:v>43979</c:v>
                </c:pt>
                <c:pt idx="36">
                  <c:v>43978</c:v>
                </c:pt>
                <c:pt idx="37">
                  <c:v>43977</c:v>
                </c:pt>
                <c:pt idx="38">
                  <c:v>43976</c:v>
                </c:pt>
                <c:pt idx="39">
                  <c:v>43973</c:v>
                </c:pt>
                <c:pt idx="40">
                  <c:v>43972</c:v>
                </c:pt>
                <c:pt idx="41">
                  <c:v>43971</c:v>
                </c:pt>
                <c:pt idx="42">
                  <c:v>43970</c:v>
                </c:pt>
                <c:pt idx="43">
                  <c:v>43969</c:v>
                </c:pt>
                <c:pt idx="44">
                  <c:v>43966</c:v>
                </c:pt>
                <c:pt idx="45">
                  <c:v>43965</c:v>
                </c:pt>
                <c:pt idx="46">
                  <c:v>43964</c:v>
                </c:pt>
                <c:pt idx="47">
                  <c:v>43963</c:v>
                </c:pt>
                <c:pt idx="48">
                  <c:v>43962</c:v>
                </c:pt>
                <c:pt idx="49">
                  <c:v>43960</c:v>
                </c:pt>
                <c:pt idx="50">
                  <c:v>43959</c:v>
                </c:pt>
                <c:pt idx="51">
                  <c:v>43958</c:v>
                </c:pt>
                <c:pt idx="52">
                  <c:v>43957</c:v>
                </c:pt>
                <c:pt idx="53">
                  <c:v>43951</c:v>
                </c:pt>
                <c:pt idx="54">
                  <c:v>43950</c:v>
                </c:pt>
                <c:pt idx="55">
                  <c:v>43949</c:v>
                </c:pt>
                <c:pt idx="56">
                  <c:v>43948</c:v>
                </c:pt>
                <c:pt idx="57">
                  <c:v>43947</c:v>
                </c:pt>
                <c:pt idx="58">
                  <c:v>43945</c:v>
                </c:pt>
              </c:numCache>
            </c:numRef>
          </c:cat>
          <c:val>
            <c:numRef>
              <c:f>资金!$B$3:$B$61</c:f>
              <c:numCache>
                <c:formatCode>###,###,###,###,##0.0000</c:formatCode>
                <c:ptCount val="59"/>
                <c:pt idx="0">
                  <c:v>2.3995000000000002</c:v>
                </c:pt>
                <c:pt idx="1">
                  <c:v>2.3612000000000002</c:v>
                </c:pt>
                <c:pt idx="2">
                  <c:v>2.0855999999999999</c:v>
                </c:pt>
                <c:pt idx="3">
                  <c:v>1.7021999999999999</c:v>
                </c:pt>
                <c:pt idx="4">
                  <c:v>2.1414</c:v>
                </c:pt>
                <c:pt idx="5">
                  <c:v>2.2174</c:v>
                </c:pt>
                <c:pt idx="6">
                  <c:v>2.2547999999999999</c:v>
                </c:pt>
                <c:pt idx="7">
                  <c:v>2.1366000000000001</c:v>
                </c:pt>
                <c:pt idx="8">
                  <c:v>1.7793000000000001</c:v>
                </c:pt>
                <c:pt idx="9">
                  <c:v>1.4025000000000001</c:v>
                </c:pt>
                <c:pt idx="10">
                  <c:v>1.4065000000000001</c:v>
                </c:pt>
                <c:pt idx="11">
                  <c:v>1.7667999999999999</c:v>
                </c:pt>
                <c:pt idx="12">
                  <c:v>2.0270999999999999</c:v>
                </c:pt>
                <c:pt idx="13">
                  <c:v>2.2993999999999999</c:v>
                </c:pt>
                <c:pt idx="14">
                  <c:v>1.0634999999999999</c:v>
                </c:pt>
                <c:pt idx="15">
                  <c:v>1.0626</c:v>
                </c:pt>
                <c:pt idx="16">
                  <c:v>1.4907999999999999</c:v>
                </c:pt>
                <c:pt idx="17">
                  <c:v>1.9904999999999999</c:v>
                </c:pt>
                <c:pt idx="18">
                  <c:v>2.1852999999999998</c:v>
                </c:pt>
                <c:pt idx="19">
                  <c:v>2.1818</c:v>
                </c:pt>
                <c:pt idx="20">
                  <c:v>2.1688999999999998</c:v>
                </c:pt>
                <c:pt idx="21">
                  <c:v>2.1088</c:v>
                </c:pt>
                <c:pt idx="22">
                  <c:v>1.8025</c:v>
                </c:pt>
                <c:pt idx="23">
                  <c:v>1.5213000000000001</c:v>
                </c:pt>
                <c:pt idx="24">
                  <c:v>1.5598000000000001</c:v>
                </c:pt>
                <c:pt idx="25">
                  <c:v>1.7955000000000001</c:v>
                </c:pt>
                <c:pt idx="26">
                  <c:v>1.8873</c:v>
                </c:pt>
                <c:pt idx="27">
                  <c:v>1.883</c:v>
                </c:pt>
                <c:pt idx="28">
                  <c:v>1.9269000000000001</c:v>
                </c:pt>
                <c:pt idx="29">
                  <c:v>1.6131</c:v>
                </c:pt>
                <c:pt idx="30">
                  <c:v>1.9869000000000001</c:v>
                </c:pt>
                <c:pt idx="31">
                  <c:v>1.9258999999999999</c:v>
                </c:pt>
                <c:pt idx="32">
                  <c:v>1.5313000000000001</c:v>
                </c:pt>
                <c:pt idx="33">
                  <c:v>1.6446000000000001</c:v>
                </c:pt>
                <c:pt idx="34">
                  <c:v>2.1263999999999998</c:v>
                </c:pt>
                <c:pt idx="35">
                  <c:v>2.1741999999999999</c:v>
                </c:pt>
                <c:pt idx="36">
                  <c:v>2.1711</c:v>
                </c:pt>
                <c:pt idx="37">
                  <c:v>1.9621</c:v>
                </c:pt>
                <c:pt idx="38">
                  <c:v>1.5498000000000001</c:v>
                </c:pt>
                <c:pt idx="39">
                  <c:v>1.1511</c:v>
                </c:pt>
                <c:pt idx="40">
                  <c:v>1.1535</c:v>
                </c:pt>
                <c:pt idx="41">
                  <c:v>1.2717000000000001</c:v>
                </c:pt>
                <c:pt idx="42">
                  <c:v>1.4426000000000001</c:v>
                </c:pt>
                <c:pt idx="43">
                  <c:v>0.97460000000000002</c:v>
                </c:pt>
                <c:pt idx="44">
                  <c:v>0.91920000000000002</c:v>
                </c:pt>
                <c:pt idx="45">
                  <c:v>0.80310000000000004</c:v>
                </c:pt>
                <c:pt idx="46">
                  <c:v>0.751</c:v>
                </c:pt>
                <c:pt idx="47">
                  <c:v>0.84740000000000004</c:v>
                </c:pt>
                <c:pt idx="48">
                  <c:v>0.92610000000000003</c:v>
                </c:pt>
                <c:pt idx="49">
                  <c:v>0.83799999999999997</c:v>
                </c:pt>
                <c:pt idx="50">
                  <c:v>0.92579999999999996</c:v>
                </c:pt>
                <c:pt idx="51">
                  <c:v>1.2034</c:v>
                </c:pt>
                <c:pt idx="52">
                  <c:v>1.5404</c:v>
                </c:pt>
                <c:pt idx="53">
                  <c:v>1.8722000000000001</c:v>
                </c:pt>
                <c:pt idx="54">
                  <c:v>0.72719999999999996</c:v>
                </c:pt>
                <c:pt idx="55">
                  <c:v>0.93240000000000001</c:v>
                </c:pt>
                <c:pt idx="56">
                  <c:v>0.9345</c:v>
                </c:pt>
                <c:pt idx="57">
                  <c:v>0.91659999999999997</c:v>
                </c:pt>
                <c:pt idx="58">
                  <c:v>0.91839999999999999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44029</c:v>
                </c:pt>
                <c:pt idx="1">
                  <c:v>44028</c:v>
                </c:pt>
                <c:pt idx="2">
                  <c:v>44027</c:v>
                </c:pt>
                <c:pt idx="3">
                  <c:v>44026</c:v>
                </c:pt>
                <c:pt idx="4">
                  <c:v>44025</c:v>
                </c:pt>
                <c:pt idx="5">
                  <c:v>44022</c:v>
                </c:pt>
                <c:pt idx="6">
                  <c:v>44021</c:v>
                </c:pt>
                <c:pt idx="7">
                  <c:v>44020</c:v>
                </c:pt>
                <c:pt idx="8">
                  <c:v>44019</c:v>
                </c:pt>
                <c:pt idx="9">
                  <c:v>44018</c:v>
                </c:pt>
                <c:pt idx="10">
                  <c:v>44015</c:v>
                </c:pt>
                <c:pt idx="11">
                  <c:v>44014</c:v>
                </c:pt>
                <c:pt idx="12">
                  <c:v>44013</c:v>
                </c:pt>
                <c:pt idx="13">
                  <c:v>44012</c:v>
                </c:pt>
                <c:pt idx="14">
                  <c:v>44011</c:v>
                </c:pt>
                <c:pt idx="15">
                  <c:v>44010</c:v>
                </c:pt>
                <c:pt idx="16">
                  <c:v>44006</c:v>
                </c:pt>
                <c:pt idx="17">
                  <c:v>44005</c:v>
                </c:pt>
                <c:pt idx="18">
                  <c:v>44004</c:v>
                </c:pt>
                <c:pt idx="19">
                  <c:v>44001</c:v>
                </c:pt>
                <c:pt idx="20">
                  <c:v>44000</c:v>
                </c:pt>
                <c:pt idx="21">
                  <c:v>43999</c:v>
                </c:pt>
                <c:pt idx="22">
                  <c:v>43998</c:v>
                </c:pt>
                <c:pt idx="23">
                  <c:v>43997</c:v>
                </c:pt>
                <c:pt idx="24">
                  <c:v>43994</c:v>
                </c:pt>
                <c:pt idx="25">
                  <c:v>43993</c:v>
                </c:pt>
                <c:pt idx="26">
                  <c:v>43992</c:v>
                </c:pt>
                <c:pt idx="27">
                  <c:v>43991</c:v>
                </c:pt>
                <c:pt idx="28">
                  <c:v>43990</c:v>
                </c:pt>
                <c:pt idx="29">
                  <c:v>43987</c:v>
                </c:pt>
                <c:pt idx="30">
                  <c:v>43986</c:v>
                </c:pt>
                <c:pt idx="31">
                  <c:v>43985</c:v>
                </c:pt>
                <c:pt idx="32">
                  <c:v>43984</c:v>
                </c:pt>
                <c:pt idx="33">
                  <c:v>43983</c:v>
                </c:pt>
                <c:pt idx="34">
                  <c:v>43980</c:v>
                </c:pt>
                <c:pt idx="35">
                  <c:v>43979</c:v>
                </c:pt>
                <c:pt idx="36">
                  <c:v>43978</c:v>
                </c:pt>
                <c:pt idx="37">
                  <c:v>43977</c:v>
                </c:pt>
                <c:pt idx="38">
                  <c:v>43976</c:v>
                </c:pt>
                <c:pt idx="39">
                  <c:v>43973</c:v>
                </c:pt>
                <c:pt idx="40">
                  <c:v>43972</c:v>
                </c:pt>
                <c:pt idx="41">
                  <c:v>43971</c:v>
                </c:pt>
                <c:pt idx="42">
                  <c:v>43970</c:v>
                </c:pt>
                <c:pt idx="43">
                  <c:v>43969</c:v>
                </c:pt>
                <c:pt idx="44">
                  <c:v>43966</c:v>
                </c:pt>
                <c:pt idx="45">
                  <c:v>43965</c:v>
                </c:pt>
                <c:pt idx="46">
                  <c:v>43964</c:v>
                </c:pt>
                <c:pt idx="47">
                  <c:v>43963</c:v>
                </c:pt>
                <c:pt idx="48">
                  <c:v>43962</c:v>
                </c:pt>
                <c:pt idx="49">
                  <c:v>43960</c:v>
                </c:pt>
                <c:pt idx="50">
                  <c:v>43959</c:v>
                </c:pt>
                <c:pt idx="51">
                  <c:v>43958</c:v>
                </c:pt>
                <c:pt idx="52">
                  <c:v>43957</c:v>
                </c:pt>
                <c:pt idx="53">
                  <c:v>43951</c:v>
                </c:pt>
                <c:pt idx="54">
                  <c:v>43950</c:v>
                </c:pt>
                <c:pt idx="55">
                  <c:v>43949</c:v>
                </c:pt>
                <c:pt idx="56">
                  <c:v>43948</c:v>
                </c:pt>
                <c:pt idx="57">
                  <c:v>43947</c:v>
                </c:pt>
                <c:pt idx="58">
                  <c:v>43945</c:v>
                </c:pt>
              </c:numCache>
            </c:numRef>
          </c:cat>
          <c:val>
            <c:numRef>
              <c:f>资金!$C$3:$C$61</c:f>
              <c:numCache>
                <c:formatCode>###,###,###,###,##0.0000</c:formatCode>
                <c:ptCount val="59"/>
                <c:pt idx="0">
                  <c:v>2.4668999999999999</c:v>
                </c:pt>
                <c:pt idx="1">
                  <c:v>2.3656000000000001</c:v>
                </c:pt>
                <c:pt idx="2">
                  <c:v>2.2551000000000001</c:v>
                </c:pt>
                <c:pt idx="3">
                  <c:v>2.2277</c:v>
                </c:pt>
                <c:pt idx="4">
                  <c:v>2.3549000000000002</c:v>
                </c:pt>
                <c:pt idx="5">
                  <c:v>2.3384999999999998</c:v>
                </c:pt>
                <c:pt idx="6">
                  <c:v>2.2734999999999999</c:v>
                </c:pt>
                <c:pt idx="7">
                  <c:v>2.2345999999999999</c:v>
                </c:pt>
                <c:pt idx="8">
                  <c:v>2.1484999999999999</c:v>
                </c:pt>
                <c:pt idx="9">
                  <c:v>1.8398000000000001</c:v>
                </c:pt>
                <c:pt idx="10">
                  <c:v>1.857</c:v>
                </c:pt>
                <c:pt idx="11">
                  <c:v>2.0632999999999999</c:v>
                </c:pt>
                <c:pt idx="12">
                  <c:v>2.2721</c:v>
                </c:pt>
                <c:pt idx="13">
                  <c:v>3.0518999999999998</c:v>
                </c:pt>
                <c:pt idx="14">
                  <c:v>2.7978999999999998</c:v>
                </c:pt>
                <c:pt idx="15">
                  <c:v>2.2408999999999999</c:v>
                </c:pt>
                <c:pt idx="16">
                  <c:v>2.3866999999999998</c:v>
                </c:pt>
                <c:pt idx="17">
                  <c:v>2.3123</c:v>
                </c:pt>
                <c:pt idx="18">
                  <c:v>2.2494999999999998</c:v>
                </c:pt>
                <c:pt idx="19">
                  <c:v>2.1716000000000002</c:v>
                </c:pt>
                <c:pt idx="20">
                  <c:v>2.1389</c:v>
                </c:pt>
                <c:pt idx="21">
                  <c:v>2.0489999999999999</c:v>
                </c:pt>
                <c:pt idx="22">
                  <c:v>1.9447000000000001</c:v>
                </c:pt>
                <c:pt idx="23">
                  <c:v>1.8593999999999999</c:v>
                </c:pt>
                <c:pt idx="24">
                  <c:v>1.9265000000000001</c:v>
                </c:pt>
                <c:pt idx="25">
                  <c:v>2.0001000000000002</c:v>
                </c:pt>
                <c:pt idx="26">
                  <c:v>1.9938</c:v>
                </c:pt>
                <c:pt idx="27">
                  <c:v>1.9323999999999999</c:v>
                </c:pt>
                <c:pt idx="28">
                  <c:v>1.88</c:v>
                </c:pt>
                <c:pt idx="29">
                  <c:v>1.8634999999999999</c:v>
                </c:pt>
                <c:pt idx="30">
                  <c:v>1.8980999999999999</c:v>
                </c:pt>
                <c:pt idx="31">
                  <c:v>1.9643999999999999</c:v>
                </c:pt>
                <c:pt idx="32">
                  <c:v>1.5506</c:v>
                </c:pt>
                <c:pt idx="33">
                  <c:v>1.6257999999999999</c:v>
                </c:pt>
                <c:pt idx="34">
                  <c:v>2.2210999999999999</c:v>
                </c:pt>
                <c:pt idx="35">
                  <c:v>2.246</c:v>
                </c:pt>
                <c:pt idx="36">
                  <c:v>2.0767000000000002</c:v>
                </c:pt>
                <c:pt idx="37">
                  <c:v>1.9472</c:v>
                </c:pt>
                <c:pt idx="38">
                  <c:v>1.7498</c:v>
                </c:pt>
                <c:pt idx="39">
                  <c:v>1.4472</c:v>
                </c:pt>
                <c:pt idx="40">
                  <c:v>1.4988999999999999</c:v>
                </c:pt>
                <c:pt idx="41">
                  <c:v>1.5571999999999999</c:v>
                </c:pt>
                <c:pt idx="42">
                  <c:v>1.5296000000000001</c:v>
                </c:pt>
                <c:pt idx="43">
                  <c:v>1.3913</c:v>
                </c:pt>
                <c:pt idx="44">
                  <c:v>1.4092</c:v>
                </c:pt>
                <c:pt idx="45">
                  <c:v>1.3529</c:v>
                </c:pt>
                <c:pt idx="46">
                  <c:v>1.3654999999999999</c:v>
                </c:pt>
                <c:pt idx="47">
                  <c:v>1.4115</c:v>
                </c:pt>
                <c:pt idx="48">
                  <c:v>1.4842</c:v>
                </c:pt>
                <c:pt idx="49">
                  <c:v>1.2569999999999999</c:v>
                </c:pt>
                <c:pt idx="50">
                  <c:v>1.6103000000000001</c:v>
                </c:pt>
                <c:pt idx="51">
                  <c:v>1.571</c:v>
                </c:pt>
                <c:pt idx="52">
                  <c:v>1.5894999999999999</c:v>
                </c:pt>
                <c:pt idx="53">
                  <c:v>1.9297</c:v>
                </c:pt>
                <c:pt idx="54">
                  <c:v>1.7109000000000001</c:v>
                </c:pt>
                <c:pt idx="55">
                  <c:v>1.5833999999999999</c:v>
                </c:pt>
                <c:pt idx="56">
                  <c:v>1.5767</c:v>
                </c:pt>
                <c:pt idx="57">
                  <c:v>1.3997999999999999</c:v>
                </c:pt>
                <c:pt idx="58">
                  <c:v>1.5601</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90461696"/>
        <c:axId val="391708672"/>
      </c:lineChart>
      <c:dateAx>
        <c:axId val="3904616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1708672"/>
        <c:crosses val="autoZero"/>
        <c:auto val="0"/>
        <c:lblOffset val="0"/>
        <c:baseTimeUnit val="days"/>
        <c:majorUnit val="14"/>
        <c:majorTimeUnit val="days"/>
        <c:minorUnit val="7"/>
        <c:minorTimeUnit val="days"/>
      </c:dateAx>
      <c:valAx>
        <c:axId val="39170867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046169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7.8500000000000014</c:v>
                </c:pt>
                <c:pt idx="1">
                  <c:v>-7.1600000000000108</c:v>
                </c:pt>
                <c:pt idx="2">
                  <c:v>0.9100000000000108</c:v>
                </c:pt>
                <c:pt idx="3">
                  <c:v>-17.53</c:v>
                </c:pt>
                <c:pt idx="4">
                  <c:v>-14.009999999999989</c:v>
                </c:pt>
                <c:pt idx="5">
                  <c:v>-4.0999999999999925</c:v>
                </c:pt>
                <c:pt idx="6">
                  <c:v>-7.9800000000000093</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91777664"/>
        <c:axId val="39182489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1.8004</c:v>
                </c:pt>
                <c:pt idx="1">
                  <c:v>2.0295999999999998</c:v>
                </c:pt>
                <c:pt idx="2">
                  <c:v>2.2256</c:v>
                </c:pt>
                <c:pt idx="3">
                  <c:v>2.5141</c:v>
                </c:pt>
                <c:pt idx="4">
                  <c:v>2.7021999999999999</c:v>
                </c:pt>
                <c:pt idx="5">
                  <c:v>2.9799000000000002</c:v>
                </c:pt>
                <c:pt idx="6">
                  <c:v>2.9506999999999999</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1.7219</c:v>
                </c:pt>
                <c:pt idx="1">
                  <c:v>2.1012</c:v>
                </c:pt>
                <c:pt idx="2">
                  <c:v>2.2164999999999999</c:v>
                </c:pt>
                <c:pt idx="3">
                  <c:v>2.6894</c:v>
                </c:pt>
                <c:pt idx="4">
                  <c:v>2.8422999999999998</c:v>
                </c:pt>
                <c:pt idx="5">
                  <c:v>3.0209000000000001</c:v>
                </c:pt>
                <c:pt idx="6">
                  <c:v>3.0305</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96813056"/>
        <c:axId val="391826432"/>
      </c:lineChart>
      <c:dateAx>
        <c:axId val="3917776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1824896"/>
        <c:crosses val="autoZero"/>
        <c:auto val="0"/>
        <c:lblOffset val="0"/>
        <c:baseTimeUnit val="days"/>
      </c:dateAx>
      <c:valAx>
        <c:axId val="39182489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1777664"/>
        <c:crosses val="autoZero"/>
        <c:crossBetween val="between"/>
      </c:valAx>
      <c:valAx>
        <c:axId val="391826432"/>
        <c:scaling>
          <c:orientation val="minMax"/>
        </c:scaling>
        <c:delete val="0"/>
        <c:axPos val="r"/>
        <c:numFmt formatCode="#,##0.0_);[Red]\(#,##0.0\)" sourceLinked="0"/>
        <c:majorTickMark val="out"/>
        <c:minorTickMark val="none"/>
        <c:tickLblPos val="nextTo"/>
        <c:spPr>
          <a:ln w="3175">
            <a:solidFill>
              <a:sysClr val="windowText" lastClr="000000"/>
            </a:solidFill>
          </a:ln>
        </c:spPr>
        <c:crossAx val="396813056"/>
        <c:crosses val="max"/>
        <c:crossBetween val="between"/>
      </c:valAx>
      <c:dateAx>
        <c:axId val="396813056"/>
        <c:scaling>
          <c:orientation val="minMax"/>
        </c:scaling>
        <c:delete val="1"/>
        <c:axPos val="b"/>
        <c:numFmt formatCode="General" sourceLinked="1"/>
        <c:majorTickMark val="out"/>
        <c:minorTickMark val="none"/>
        <c:tickLblPos val="nextTo"/>
        <c:crossAx val="39182643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7.86</c:v>
                </c:pt>
                <c:pt idx="1">
                  <c:v>13.969999999999994</c:v>
                </c:pt>
                <c:pt idx="2">
                  <c:v>2.8099999999999792</c:v>
                </c:pt>
                <c:pt idx="3">
                  <c:v>-5.4200000000000248</c:v>
                </c:pt>
                <c:pt idx="4">
                  <c:v>-1.1199999999999655</c:v>
                </c:pt>
                <c:pt idx="5">
                  <c:v>-3.0199999999999783</c:v>
                </c:pt>
                <c:pt idx="6">
                  <c:v>1.7500000000000071</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95997952"/>
        <c:axId val="39599987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1.8239000000000001</c:v>
                </c:pt>
                <c:pt idx="1">
                  <c:v>2.2652999999999999</c:v>
                </c:pt>
                <c:pt idx="2">
                  <c:v>2.5834999999999999</c:v>
                </c:pt>
                <c:pt idx="3">
                  <c:v>3.0916999999999999</c:v>
                </c:pt>
                <c:pt idx="4">
                  <c:v>3.3450000000000002</c:v>
                </c:pt>
                <c:pt idx="5">
                  <c:v>3.5809000000000002</c:v>
                </c:pt>
                <c:pt idx="6">
                  <c:v>3.4426000000000001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1.7453000000000001</c:v>
                </c:pt>
                <c:pt idx="1">
                  <c:v>2.1255999999999999</c:v>
                </c:pt>
                <c:pt idx="2">
                  <c:v>2.5554000000000001</c:v>
                </c:pt>
                <c:pt idx="3">
                  <c:v>3.1459000000000001</c:v>
                </c:pt>
                <c:pt idx="4">
                  <c:v>3.3561999999999999</c:v>
                </c:pt>
                <c:pt idx="5">
                  <c:v>3.6111</c:v>
                </c:pt>
                <c:pt idx="6">
                  <c:v>3.4251</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96007296"/>
        <c:axId val="396005760"/>
      </c:lineChart>
      <c:dateAx>
        <c:axId val="3959979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5999872"/>
        <c:crosses val="autoZero"/>
        <c:auto val="0"/>
        <c:lblOffset val="0"/>
        <c:baseTimeUnit val="days"/>
      </c:dateAx>
      <c:valAx>
        <c:axId val="39599987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5997952"/>
        <c:crosses val="autoZero"/>
        <c:crossBetween val="between"/>
      </c:valAx>
      <c:valAx>
        <c:axId val="396005760"/>
        <c:scaling>
          <c:orientation val="minMax"/>
        </c:scaling>
        <c:delete val="0"/>
        <c:axPos val="r"/>
        <c:numFmt formatCode="#,##0.0_);[Red]\(#,##0.0\)" sourceLinked="0"/>
        <c:majorTickMark val="out"/>
        <c:minorTickMark val="none"/>
        <c:tickLblPos val="nextTo"/>
        <c:spPr>
          <a:ln w="3175">
            <a:solidFill>
              <a:sysClr val="windowText" lastClr="000000"/>
            </a:solidFill>
          </a:ln>
        </c:spPr>
        <c:crossAx val="396007296"/>
        <c:crosses val="max"/>
        <c:crossBetween val="between"/>
      </c:valAx>
      <c:dateAx>
        <c:axId val="396007296"/>
        <c:scaling>
          <c:orientation val="minMax"/>
        </c:scaling>
        <c:delete val="1"/>
        <c:axPos val="b"/>
        <c:numFmt formatCode="General" sourceLinked="1"/>
        <c:majorTickMark val="out"/>
        <c:minorTickMark val="none"/>
        <c:tickLblPos val="nextTo"/>
        <c:crossAx val="39600576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88375804993880214"/>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44029</c:v>
                </c:pt>
                <c:pt idx="1">
                  <c:v>44022</c:v>
                </c:pt>
                <c:pt idx="2">
                  <c:v>44015</c:v>
                </c:pt>
                <c:pt idx="3">
                  <c:v>44006</c:v>
                </c:pt>
                <c:pt idx="4">
                  <c:v>44001</c:v>
                </c:pt>
                <c:pt idx="5">
                  <c:v>43994</c:v>
                </c:pt>
                <c:pt idx="6">
                  <c:v>43987</c:v>
                </c:pt>
                <c:pt idx="7">
                  <c:v>43980</c:v>
                </c:pt>
                <c:pt idx="8">
                  <c:v>43973</c:v>
                </c:pt>
                <c:pt idx="9">
                  <c:v>43966</c:v>
                </c:pt>
                <c:pt idx="10">
                  <c:v>43959</c:v>
                </c:pt>
                <c:pt idx="11">
                  <c:v>43951</c:v>
                </c:pt>
                <c:pt idx="12">
                  <c:v>43945</c:v>
                </c:pt>
                <c:pt idx="13">
                  <c:v>43938</c:v>
                </c:pt>
                <c:pt idx="14">
                  <c:v>43931</c:v>
                </c:pt>
                <c:pt idx="15">
                  <c:v>43924</c:v>
                </c:pt>
                <c:pt idx="16">
                  <c:v>43917</c:v>
                </c:pt>
                <c:pt idx="17">
                  <c:v>43910</c:v>
                </c:pt>
                <c:pt idx="18">
                  <c:v>43903</c:v>
                </c:pt>
                <c:pt idx="19">
                  <c:v>43896</c:v>
                </c:pt>
                <c:pt idx="20">
                  <c:v>43889</c:v>
                </c:pt>
                <c:pt idx="21">
                  <c:v>43882</c:v>
                </c:pt>
                <c:pt idx="22">
                  <c:v>43875</c:v>
                </c:pt>
                <c:pt idx="23">
                  <c:v>43868</c:v>
                </c:pt>
              </c:numCache>
            </c:numRef>
          </c:cat>
          <c:val>
            <c:numRef>
              <c:f>转债!$H$5:$H$28</c:f>
              <c:numCache>
                <c:formatCode>General</c:formatCode>
                <c:ptCount val="24"/>
                <c:pt idx="0">
                  <c:v>2.7678858204197798</c:v>
                </c:pt>
                <c:pt idx="1">
                  <c:v>6.4786020540632316</c:v>
                </c:pt>
                <c:pt idx="2">
                  <c:v>2.3906964532244279</c:v>
                </c:pt>
                <c:pt idx="3">
                  <c:v>-1.799629160044347</c:v>
                </c:pt>
                <c:pt idx="4">
                  <c:v>-1.2935638989619691</c:v>
                </c:pt>
                <c:pt idx="5">
                  <c:v>-2.1467589257138875</c:v>
                </c:pt>
                <c:pt idx="6">
                  <c:v>-1.8075802249579387</c:v>
                </c:pt>
                <c:pt idx="7">
                  <c:v>-2.2125983193507892</c:v>
                </c:pt>
                <c:pt idx="8">
                  <c:v>-2.9800190882759758</c:v>
                </c:pt>
                <c:pt idx="9">
                  <c:v>-0.5296038453409202</c:v>
                </c:pt>
                <c:pt idx="10">
                  <c:v>1.0267456091102023</c:v>
                </c:pt>
                <c:pt idx="11">
                  <c:v>1.0699044470763752</c:v>
                </c:pt>
                <c:pt idx="12">
                  <c:v>0.14466361990248533</c:v>
                </c:pt>
                <c:pt idx="13">
                  <c:v>0.34138097413130009</c:v>
                </c:pt>
                <c:pt idx="14">
                  <c:v>0.26167011832500808</c:v>
                </c:pt>
                <c:pt idx="15">
                  <c:v>-7.1902795657341478E-2</c:v>
                </c:pt>
                <c:pt idx="16">
                  <c:v>0.53086228726968443</c:v>
                </c:pt>
                <c:pt idx="17">
                  <c:v>0.99027939412885679</c:v>
                </c:pt>
                <c:pt idx="18">
                  <c:v>1.9340822397520663</c:v>
                </c:pt>
                <c:pt idx="19">
                  <c:v>4.5318781931176444</c:v>
                </c:pt>
                <c:pt idx="20">
                  <c:v>2.2379101626908149</c:v>
                </c:pt>
                <c:pt idx="21">
                  <c:v>4.3382497418049004</c:v>
                </c:pt>
                <c:pt idx="22">
                  <c:v>1.5508294705363079</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44029</c:v>
                </c:pt>
                <c:pt idx="1">
                  <c:v>44022</c:v>
                </c:pt>
                <c:pt idx="2">
                  <c:v>44015</c:v>
                </c:pt>
                <c:pt idx="3">
                  <c:v>44006</c:v>
                </c:pt>
                <c:pt idx="4">
                  <c:v>44001</c:v>
                </c:pt>
                <c:pt idx="5">
                  <c:v>43994</c:v>
                </c:pt>
                <c:pt idx="6">
                  <c:v>43987</c:v>
                </c:pt>
                <c:pt idx="7">
                  <c:v>43980</c:v>
                </c:pt>
                <c:pt idx="8">
                  <c:v>43973</c:v>
                </c:pt>
                <c:pt idx="9">
                  <c:v>43966</c:v>
                </c:pt>
                <c:pt idx="10">
                  <c:v>43959</c:v>
                </c:pt>
                <c:pt idx="11">
                  <c:v>43951</c:v>
                </c:pt>
                <c:pt idx="12">
                  <c:v>43945</c:v>
                </c:pt>
                <c:pt idx="13">
                  <c:v>43938</c:v>
                </c:pt>
                <c:pt idx="14">
                  <c:v>43931</c:v>
                </c:pt>
                <c:pt idx="15">
                  <c:v>43924</c:v>
                </c:pt>
                <c:pt idx="16">
                  <c:v>43917</c:v>
                </c:pt>
                <c:pt idx="17">
                  <c:v>43910</c:v>
                </c:pt>
                <c:pt idx="18">
                  <c:v>43903</c:v>
                </c:pt>
                <c:pt idx="19">
                  <c:v>43896</c:v>
                </c:pt>
                <c:pt idx="20">
                  <c:v>43889</c:v>
                </c:pt>
                <c:pt idx="21">
                  <c:v>43882</c:v>
                </c:pt>
                <c:pt idx="22">
                  <c:v>43875</c:v>
                </c:pt>
                <c:pt idx="23">
                  <c:v>43868</c:v>
                </c:pt>
              </c:numCache>
            </c:numRef>
          </c:cat>
          <c:val>
            <c:numRef>
              <c:f>转债!$I$5:$I$28</c:f>
              <c:numCache>
                <c:formatCode>General</c:formatCode>
                <c:ptCount val="24"/>
                <c:pt idx="0">
                  <c:v>-1.7284129474024357</c:v>
                </c:pt>
                <c:pt idx="1">
                  <c:v>-1.9560482380329147</c:v>
                </c:pt>
                <c:pt idx="2">
                  <c:v>-0.73003153922753805</c:v>
                </c:pt>
                <c:pt idx="3">
                  <c:v>-0.77074611754439637</c:v>
                </c:pt>
                <c:pt idx="4">
                  <c:v>-0.71279653368235829</c:v>
                </c:pt>
                <c:pt idx="5">
                  <c:v>-0.19524680194896726</c:v>
                </c:pt>
                <c:pt idx="6">
                  <c:v>-0.6602589080832888</c:v>
                </c:pt>
                <c:pt idx="7">
                  <c:v>0.58149410013288438</c:v>
                </c:pt>
                <c:pt idx="8">
                  <c:v>1.3403339094987476</c:v>
                </c:pt>
                <c:pt idx="9">
                  <c:v>1.3907900126889583</c:v>
                </c:pt>
                <c:pt idx="10">
                  <c:v>1.8158368885736076</c:v>
                </c:pt>
                <c:pt idx="11">
                  <c:v>2.4218929531307776</c:v>
                </c:pt>
                <c:pt idx="12">
                  <c:v>2.457861660355487</c:v>
                </c:pt>
                <c:pt idx="13">
                  <c:v>2.1436350375173552</c:v>
                </c:pt>
                <c:pt idx="14">
                  <c:v>2.0320654364036628</c:v>
                </c:pt>
                <c:pt idx="15">
                  <c:v>1.1938779928129195</c:v>
                </c:pt>
                <c:pt idx="16">
                  <c:v>0.9292748642014903</c:v>
                </c:pt>
                <c:pt idx="17">
                  <c:v>0.45851775621876811</c:v>
                </c:pt>
                <c:pt idx="18">
                  <c:v>0.61088519654566298</c:v>
                </c:pt>
                <c:pt idx="19">
                  <c:v>0.64951825245369577</c:v>
                </c:pt>
                <c:pt idx="20">
                  <c:v>0.28175487326027593</c:v>
                </c:pt>
                <c:pt idx="21">
                  <c:v>-0.12838830217710706</c:v>
                </c:pt>
                <c:pt idx="22">
                  <c:v>-7.3019806102025964E-2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44029</c:v>
                </c:pt>
                <c:pt idx="1">
                  <c:v>44022</c:v>
                </c:pt>
                <c:pt idx="2">
                  <c:v>44015</c:v>
                </c:pt>
                <c:pt idx="3">
                  <c:v>44006</c:v>
                </c:pt>
                <c:pt idx="4">
                  <c:v>44001</c:v>
                </c:pt>
                <c:pt idx="5">
                  <c:v>43994</c:v>
                </c:pt>
                <c:pt idx="6">
                  <c:v>43987</c:v>
                </c:pt>
                <c:pt idx="7">
                  <c:v>43980</c:v>
                </c:pt>
                <c:pt idx="8">
                  <c:v>43973</c:v>
                </c:pt>
                <c:pt idx="9">
                  <c:v>43966</c:v>
                </c:pt>
                <c:pt idx="10">
                  <c:v>43959</c:v>
                </c:pt>
                <c:pt idx="11">
                  <c:v>43951</c:v>
                </c:pt>
                <c:pt idx="12">
                  <c:v>43945</c:v>
                </c:pt>
                <c:pt idx="13">
                  <c:v>43938</c:v>
                </c:pt>
                <c:pt idx="14">
                  <c:v>43931</c:v>
                </c:pt>
                <c:pt idx="15">
                  <c:v>43924</c:v>
                </c:pt>
                <c:pt idx="16">
                  <c:v>43917</c:v>
                </c:pt>
                <c:pt idx="17">
                  <c:v>43910</c:v>
                </c:pt>
                <c:pt idx="18">
                  <c:v>43903</c:v>
                </c:pt>
                <c:pt idx="19">
                  <c:v>43896</c:v>
                </c:pt>
                <c:pt idx="20">
                  <c:v>43889</c:v>
                </c:pt>
                <c:pt idx="21">
                  <c:v>43882</c:v>
                </c:pt>
                <c:pt idx="22">
                  <c:v>43875</c:v>
                </c:pt>
                <c:pt idx="23">
                  <c:v>43868</c:v>
                </c:pt>
              </c:numCache>
            </c:numRef>
          </c:cat>
          <c:val>
            <c:numRef>
              <c:f>转债!$J$5:$J$28</c:f>
              <c:numCache>
                <c:formatCode>General</c:formatCode>
                <c:ptCount val="24"/>
                <c:pt idx="0">
                  <c:v>16.534692585723331</c:v>
                </c:pt>
                <c:pt idx="1">
                  <c:v>21.879297339528804</c:v>
                </c:pt>
                <c:pt idx="2">
                  <c:v>13.326759437809898</c:v>
                </c:pt>
                <c:pt idx="3">
                  <c:v>6.1314926631002686</c:v>
                </c:pt>
                <c:pt idx="4">
                  <c:v>5.0986375363912817</c:v>
                </c:pt>
                <c:pt idx="5">
                  <c:v>2.6465912588403917</c:v>
                </c:pt>
                <c:pt idx="6">
                  <c:v>2.5996153255700261</c:v>
                </c:pt>
                <c:pt idx="7">
                  <c:v>-0.8422359180088379</c:v>
                </c:pt>
                <c:pt idx="8">
                  <c:v>-1.9437907829372603</c:v>
                </c:pt>
                <c:pt idx="9">
                  <c:v>0.33197522799033319</c:v>
                </c:pt>
                <c:pt idx="10">
                  <c:v>1.6347317075472434</c:v>
                </c:pt>
                <c:pt idx="11">
                  <c:v>0.32585451004729649</c:v>
                </c:pt>
                <c:pt idx="12">
                  <c:v>-2.6384781664349544</c:v>
                </c:pt>
                <c:pt idx="13">
                  <c:v>-1.5483134268115095</c:v>
                </c:pt>
                <c:pt idx="14">
                  <c:v>-3.351166153183649</c:v>
                </c:pt>
                <c:pt idx="15">
                  <c:v>-4.7860834720794276</c:v>
                </c:pt>
                <c:pt idx="16">
                  <c:v>-4.8670554164468971</c:v>
                </c:pt>
                <c:pt idx="17">
                  <c:v>-6.324452975898442</c:v>
                </c:pt>
                <c:pt idx="18">
                  <c:v>-0.11683724887907587</c:v>
                </c:pt>
                <c:pt idx="19">
                  <c:v>6.1191255819778467</c:v>
                </c:pt>
                <c:pt idx="20">
                  <c:v>1.0302781172692121</c:v>
                </c:pt>
                <c:pt idx="21">
                  <c:v>6.4007529688238751</c:v>
                </c:pt>
                <c:pt idx="22">
                  <c:v>2.2530216589566221</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96184960"/>
        <c:axId val="396194944"/>
      </c:lineChart>
      <c:dateAx>
        <c:axId val="39618496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6194944"/>
        <c:crosses val="autoZero"/>
        <c:auto val="0"/>
        <c:lblOffset val="0"/>
        <c:baseTimeUnit val="days"/>
        <c:majorUnit val="21"/>
        <c:majorTimeUnit val="days"/>
      </c:dateAx>
      <c:valAx>
        <c:axId val="39619494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618496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169-4CCC-85BB-9CAB8BE557E5}"/>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169-4CCC-85BB-9CAB8BE557E5}"/>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169-4CCC-85BB-9CAB8BE557E5}"/>
            </c:ext>
          </c:extLst>
        </c:ser>
        <c:dLbls>
          <c:showLegendKey val="0"/>
          <c:showVal val="0"/>
          <c:showCatName val="0"/>
          <c:showSerName val="0"/>
          <c:showPercent val="0"/>
          <c:showBubbleSize val="0"/>
        </c:dLbls>
        <c:marker val="1"/>
        <c:smooth val="0"/>
        <c:axId val="396371456"/>
        <c:axId val="396372992"/>
      </c:lineChart>
      <c:dateAx>
        <c:axId val="39637145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6372992"/>
        <c:crosses val="autoZero"/>
        <c:auto val="0"/>
        <c:lblOffset val="0"/>
        <c:baseTimeUnit val="days"/>
        <c:majorUnit val="1"/>
        <c:majorTimeUnit val="months"/>
      </c:dateAx>
      <c:valAx>
        <c:axId val="396372992"/>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637145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96412800"/>
        <c:axId val="396414336"/>
      </c:lineChart>
      <c:dateAx>
        <c:axId val="39641280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96414336"/>
        <c:crosses val="autoZero"/>
        <c:auto val="0"/>
        <c:lblOffset val="0"/>
        <c:baseTimeUnit val="days"/>
        <c:majorUnit val="1"/>
        <c:majorTimeUnit val="months"/>
      </c:dateAx>
      <c:valAx>
        <c:axId val="39641433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641280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402741120"/>
        <c:axId val="402742656"/>
      </c:lineChart>
      <c:dateAx>
        <c:axId val="40274112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2742656"/>
        <c:crosses val="autoZero"/>
        <c:auto val="0"/>
        <c:lblOffset val="0"/>
        <c:baseTimeUnit val="days"/>
        <c:majorUnit val="1"/>
        <c:majorTimeUnit val="months"/>
      </c:dateAx>
      <c:valAx>
        <c:axId val="40274265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274112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12D-4BD6-AD3A-6A9B0CF35032}"/>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12D-4BD6-AD3A-6A9B0CF35032}"/>
            </c:ext>
          </c:extLst>
        </c:ser>
        <c:dLbls>
          <c:showLegendKey val="0"/>
          <c:showVal val="0"/>
          <c:showCatName val="0"/>
          <c:showSerName val="0"/>
          <c:showPercent val="0"/>
          <c:showBubbleSize val="0"/>
        </c:dLbls>
        <c:marker val="1"/>
        <c:smooth val="0"/>
        <c:axId val="402793216"/>
        <c:axId val="402794752"/>
      </c:lineChart>
      <c:dateAx>
        <c:axId val="4027932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2794752"/>
        <c:crosses val="autoZero"/>
        <c:auto val="0"/>
        <c:lblOffset val="0"/>
        <c:baseTimeUnit val="days"/>
        <c:majorUnit val="1"/>
        <c:majorTimeUnit val="months"/>
      </c:dateAx>
      <c:valAx>
        <c:axId val="402794752"/>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27932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0.04242</cdr:x>
      <cdr:y>0</cdr:y>
    </cdr:from>
    <cdr:to>
      <cdr:x>0.09996</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127221" y="-7855889"/>
          <a:ext cx="172569" cy="139906"/>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0.91065</cdr:x>
      <cdr:y>0</cdr:y>
    </cdr:from>
    <cdr:to>
      <cdr:x>0.96819</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2731121" y="-7855889"/>
          <a:ext cx="172569" cy="139906"/>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0.03447</cdr:x>
      <cdr:y>0</cdr:y>
    </cdr:from>
    <cdr:to>
      <cdr:x>0.09201</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103367" y="-7824083"/>
          <a:ext cx="172532" cy="1447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0.91594</cdr:x>
      <cdr:y>0</cdr:y>
    </cdr:from>
    <cdr:to>
      <cdr:x>0.97348</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2746425" y="-7824083"/>
          <a:ext cx="172532" cy="1447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5.32028E-7</cdr:y>
    </cdr:from>
    <cdr:to>
      <cdr:x>0.13786</cdr:x>
      <cdr:y>0.07192</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13468" cy="13517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3.33503E-7</cdr:x>
      <cdr:y>0.00826</cdr:y>
    </cdr:from>
    <cdr:to>
      <cdr:x>0.13259</cdr:x>
      <cdr:y>0.08257</cdr:y>
    </cdr:to>
    <cdr:sp macro="" textlink="">
      <cdr:nvSpPr>
        <cdr:cNvPr id="5" name="Text Box 1"/>
        <cdr:cNvSpPr txBox="1">
          <a:spLocks xmlns:a="http://schemas.openxmlformats.org/drawingml/2006/main" noChangeArrowheads="1"/>
        </cdr:cNvSpPr>
      </cdr:nvSpPr>
      <cdr:spPr bwMode="auto">
        <a:xfrm xmlns:a="http://schemas.openxmlformats.org/drawingml/2006/main">
          <a:off x="1" y="15905"/>
          <a:ext cx="397566" cy="14312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67F9F-63FE-411D-A4FA-55D4A607C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7</Pages>
  <Words>947</Words>
  <Characters>5401</Characters>
  <Application>Microsoft Office Word</Application>
  <DocSecurity>0</DocSecurity>
  <Lines>45</Lines>
  <Paragraphs>12</Paragraphs>
  <ScaleCrop>false</ScaleCrop>
  <Company>Microsoft</Company>
  <LinksUpToDate>false</LinksUpToDate>
  <CharactersWithSpaces>6336</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23</cp:revision>
  <cp:lastPrinted>2019-06-26T06:05:00Z</cp:lastPrinted>
  <dcterms:created xsi:type="dcterms:W3CDTF">2020-07-19T07:59:00Z</dcterms:created>
  <dcterms:modified xsi:type="dcterms:W3CDTF">2020-07-20T06:53:00Z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