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富荣基金</w:t>
      </w:r>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742F79B4"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A33A02">
        <w:rPr>
          <w:rFonts w:ascii="楷体" w:eastAsia="楷体" w:hAnsi="楷体" w:hint="eastAsia"/>
          <w:sz w:val="28"/>
          <w:szCs w:val="28"/>
        </w:rPr>
        <w:t>风险偏好</w:t>
      </w:r>
      <w:r w:rsidR="00A33A02">
        <w:rPr>
          <w:rFonts w:ascii="楷体" w:eastAsia="楷体" w:hAnsi="楷体"/>
          <w:sz w:val="28"/>
          <w:szCs w:val="28"/>
        </w:rPr>
        <w:t>回落</w:t>
      </w:r>
      <w:r w:rsidR="00655808">
        <w:rPr>
          <w:rFonts w:ascii="楷体" w:eastAsia="楷体" w:hAnsi="楷体" w:hint="eastAsia"/>
          <w:sz w:val="28"/>
          <w:szCs w:val="28"/>
        </w:rPr>
        <w:t>，</w:t>
      </w:r>
      <w:r w:rsidR="00B778AC">
        <w:rPr>
          <w:rFonts w:ascii="楷体" w:eastAsia="楷体" w:hAnsi="楷体" w:hint="eastAsia"/>
          <w:sz w:val="28"/>
          <w:szCs w:val="28"/>
        </w:rPr>
        <w:t>债市</w:t>
      </w:r>
      <w:r w:rsidR="00A33A02">
        <w:rPr>
          <w:rFonts w:ascii="楷体" w:eastAsia="楷体" w:hAnsi="楷体" w:hint="eastAsia"/>
          <w:sz w:val="28"/>
          <w:szCs w:val="28"/>
        </w:rPr>
        <w:t>重获</w:t>
      </w:r>
      <w:r w:rsidR="00A33A02">
        <w:rPr>
          <w:rFonts w:ascii="楷体" w:eastAsia="楷体" w:hAnsi="楷体"/>
          <w:sz w:val="28"/>
          <w:szCs w:val="28"/>
        </w:rPr>
        <w:t>关注</w:t>
      </w:r>
      <w:r w:rsidR="00655808" w:rsidRPr="00541553">
        <w:rPr>
          <w:rFonts w:ascii="楷体" w:eastAsia="楷体" w:hAnsi="楷体"/>
          <w:sz w:val="28"/>
          <w:szCs w:val="28"/>
        </w:rPr>
        <w:t xml:space="preserve"> </w:t>
      </w:r>
    </w:p>
    <w:p w14:paraId="0A7A9383" w14:textId="7D9B2895"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9D4E61">
        <w:rPr>
          <w:rFonts w:ascii="楷体" w:eastAsia="楷体" w:hAnsi="楷体"/>
          <w:sz w:val="28"/>
          <w:szCs w:val="28"/>
        </w:rPr>
        <w:t>7</w:t>
      </w:r>
      <w:r w:rsidR="009C30E2" w:rsidRPr="00FA6C01">
        <w:rPr>
          <w:rFonts w:ascii="楷体" w:eastAsia="楷体" w:hAnsi="楷体"/>
          <w:sz w:val="28"/>
          <w:szCs w:val="28"/>
        </w:rPr>
        <w:t>月</w:t>
      </w:r>
      <w:r w:rsidR="00292C0B">
        <w:rPr>
          <w:rFonts w:ascii="楷体" w:eastAsia="楷体" w:hAnsi="楷体" w:hint="eastAsia"/>
          <w:sz w:val="28"/>
          <w:szCs w:val="28"/>
        </w:rPr>
        <w:t>24</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2009DD2B" w14:textId="74301399" w:rsidR="00B06163" w:rsidRPr="00B778AC" w:rsidRDefault="0047318A" w:rsidP="002B739B">
      <w:pPr>
        <w:pStyle w:val="Body-text"/>
        <w:spacing w:after="240"/>
        <w:ind w:firstLineChars="200" w:firstLine="460"/>
        <w:rPr>
          <w:sz w:val="23"/>
          <w:szCs w:val="23"/>
          <w:lang w:eastAsia="zh-CN"/>
        </w:rPr>
      </w:pPr>
      <w:r>
        <w:rPr>
          <w:rFonts w:hint="eastAsia"/>
          <w:sz w:val="23"/>
          <w:szCs w:val="23"/>
          <w:lang w:eastAsia="zh-CN"/>
        </w:rPr>
        <w:t>本周</w:t>
      </w:r>
      <w:r>
        <w:rPr>
          <w:rFonts w:hint="eastAsia"/>
          <w:sz w:val="23"/>
          <w:szCs w:val="23"/>
          <w:lang w:eastAsia="zh-CN"/>
        </w:rPr>
        <w:t>7</w:t>
      </w:r>
      <w:r>
        <w:rPr>
          <w:rFonts w:hint="eastAsia"/>
          <w:sz w:val="23"/>
          <w:szCs w:val="23"/>
          <w:lang w:eastAsia="zh-CN"/>
        </w:rPr>
        <w:t>月</w:t>
      </w:r>
      <w:r>
        <w:rPr>
          <w:rFonts w:hint="eastAsia"/>
          <w:sz w:val="23"/>
          <w:szCs w:val="23"/>
          <w:lang w:eastAsia="zh-CN"/>
        </w:rPr>
        <w:t>24</w:t>
      </w:r>
      <w:r>
        <w:rPr>
          <w:rFonts w:hint="eastAsia"/>
          <w:sz w:val="23"/>
          <w:szCs w:val="23"/>
          <w:lang w:eastAsia="zh-CN"/>
        </w:rPr>
        <w:t>日</w:t>
      </w:r>
      <w:r>
        <w:rPr>
          <w:sz w:val="23"/>
          <w:szCs w:val="23"/>
          <w:lang w:eastAsia="zh-CN"/>
        </w:rPr>
        <w:t>，</w:t>
      </w:r>
      <w:r w:rsidRPr="0047318A">
        <w:rPr>
          <w:rFonts w:hint="eastAsia"/>
          <w:sz w:val="23"/>
          <w:szCs w:val="23"/>
          <w:lang w:eastAsia="zh-CN"/>
        </w:rPr>
        <w:t>国务院副总理韩正主持召开房地产工作座谈会，总结房地产长效机制试点方案实施情况，分析当前房地产市场形势，部署下一阶段房地产重点工作。韩正表示，房地产长效机制实施以来，取得明显成效，值得充分肯定。坚持不将房地产作为短期刺激经济的手段，坚持稳地价、稳房价、稳预期；因城施策、一城一策，从各地实际出发，采取差异化调控措施，及时科学精准调控，确保房地产市场平稳健康发展。</w:t>
      </w:r>
      <w:r w:rsidR="00EF0F1A" w:rsidRPr="00EF0F1A">
        <w:rPr>
          <w:rFonts w:hint="eastAsia"/>
          <w:sz w:val="23"/>
          <w:szCs w:val="23"/>
          <w:lang w:eastAsia="zh-CN"/>
        </w:rPr>
        <w:t>要坚持问题导向，高度重视当前房地产市场出现的新情况新问题，时刻绷紧房地产调控这根弦，坚定不移推进落实好长效机制。要全面落实城市政府主体责任，发现问题要快速反应和处置，及时采取有针对性的政策措施。要实施好房地产金融审慎管理制度，稳住存量、严控增量，防止资金违规流入房地产市场。要加强市场监测，对市场异动及时提示、指导和预警，精准分析市场形势。要抓紧建立住宅用地市场监测指标体系，定期公开各地土地储备和已出让土地建设进展情况，接受社会监督。要发挥财税政策作用，有效调节住房需求。要持续整治房地产市场乱象，依法有效查处违法违规行为。要做好住房保障工作，因地制宜推进城镇老旧小区和棚户区改造，着力解决城市新市民和年轻人住房问题。</w:t>
      </w:r>
    </w:p>
    <w:p w14:paraId="359AA921" w14:textId="7C40A10B" w:rsidR="008E4F23" w:rsidRDefault="0047318A" w:rsidP="00AF2AF8">
      <w:pPr>
        <w:pStyle w:val="Body-text"/>
        <w:spacing w:after="240"/>
        <w:ind w:firstLine="480"/>
        <w:rPr>
          <w:sz w:val="23"/>
          <w:szCs w:val="23"/>
          <w:lang w:eastAsia="zh-CN"/>
        </w:rPr>
      </w:pPr>
      <w:r>
        <w:rPr>
          <w:rFonts w:hint="eastAsia"/>
          <w:sz w:val="23"/>
          <w:szCs w:val="23"/>
          <w:lang w:eastAsia="zh-CN"/>
        </w:rPr>
        <w:t>从本周</w:t>
      </w:r>
      <w:r>
        <w:rPr>
          <w:sz w:val="23"/>
          <w:szCs w:val="23"/>
          <w:lang w:eastAsia="zh-CN"/>
        </w:rPr>
        <w:t>的高频数据，本周</w:t>
      </w:r>
      <w:r>
        <w:rPr>
          <w:rFonts w:hint="eastAsia"/>
          <w:sz w:val="23"/>
          <w:szCs w:val="23"/>
          <w:lang w:eastAsia="zh-CN"/>
        </w:rPr>
        <w:t>30</w:t>
      </w:r>
      <w:r>
        <w:rPr>
          <w:rFonts w:hint="eastAsia"/>
          <w:sz w:val="23"/>
          <w:szCs w:val="23"/>
          <w:lang w:eastAsia="zh-CN"/>
        </w:rPr>
        <w:t>大</w:t>
      </w:r>
      <w:r>
        <w:rPr>
          <w:sz w:val="23"/>
          <w:szCs w:val="23"/>
          <w:lang w:eastAsia="zh-CN"/>
        </w:rPr>
        <w:t>中城市商品房成交面积</w:t>
      </w:r>
      <w:r w:rsidRPr="0047318A">
        <w:rPr>
          <w:rFonts w:hint="eastAsia"/>
          <w:sz w:val="23"/>
          <w:szCs w:val="23"/>
          <w:lang w:eastAsia="zh-CN"/>
        </w:rPr>
        <w:t>较上周继续回落，</w:t>
      </w:r>
      <w:r>
        <w:rPr>
          <w:rFonts w:hint="eastAsia"/>
          <w:sz w:val="23"/>
          <w:szCs w:val="23"/>
          <w:lang w:eastAsia="zh-CN"/>
        </w:rPr>
        <w:t>并且各</w:t>
      </w:r>
      <w:r>
        <w:rPr>
          <w:sz w:val="23"/>
          <w:szCs w:val="23"/>
          <w:lang w:eastAsia="zh-CN"/>
        </w:rPr>
        <w:t>地方政策也出现不同程度收紧态势，如</w:t>
      </w:r>
      <w:r>
        <w:rPr>
          <w:rFonts w:hint="eastAsia"/>
          <w:sz w:val="23"/>
          <w:szCs w:val="23"/>
          <w:lang w:eastAsia="zh-CN"/>
        </w:rPr>
        <w:t>近期</w:t>
      </w:r>
      <w:r w:rsidRPr="0047318A">
        <w:rPr>
          <w:rFonts w:hint="eastAsia"/>
          <w:sz w:val="23"/>
          <w:szCs w:val="23"/>
          <w:lang w:eastAsia="zh-CN"/>
        </w:rPr>
        <w:t>深圳、宁波、东莞、内蒙等部分城市</w:t>
      </w:r>
      <w:r>
        <w:rPr>
          <w:rFonts w:hint="eastAsia"/>
          <w:sz w:val="23"/>
          <w:szCs w:val="23"/>
          <w:lang w:eastAsia="zh-CN"/>
        </w:rPr>
        <w:t>皆公布了</w:t>
      </w:r>
      <w:r>
        <w:rPr>
          <w:sz w:val="23"/>
          <w:szCs w:val="23"/>
          <w:lang w:eastAsia="zh-CN"/>
        </w:rPr>
        <w:t>各地有关房地产的相关政策。当前</w:t>
      </w:r>
      <w:r>
        <w:rPr>
          <w:rFonts w:hint="eastAsia"/>
          <w:sz w:val="23"/>
          <w:szCs w:val="23"/>
          <w:lang w:eastAsia="zh-CN"/>
        </w:rPr>
        <w:t>政策暂时</w:t>
      </w:r>
      <w:r>
        <w:rPr>
          <w:sz w:val="23"/>
          <w:szCs w:val="23"/>
          <w:lang w:eastAsia="zh-CN"/>
        </w:rPr>
        <w:t>进入收紧阶段</w:t>
      </w:r>
      <w:r>
        <w:rPr>
          <w:rFonts w:hint="eastAsia"/>
          <w:sz w:val="23"/>
          <w:szCs w:val="23"/>
          <w:lang w:eastAsia="zh-CN"/>
        </w:rPr>
        <w:t>，会议</w:t>
      </w:r>
      <w:r w:rsidRPr="0047318A">
        <w:rPr>
          <w:rFonts w:hint="eastAsia"/>
          <w:sz w:val="23"/>
          <w:szCs w:val="23"/>
          <w:lang w:eastAsia="zh-CN"/>
        </w:rPr>
        <w:t>指出要实施好房地产金融审慎管理制度，防止资金违规流入房地产市场。预计后期对于房贷总量可能出现压缩，对地产销售不利，</w:t>
      </w:r>
      <w:r>
        <w:rPr>
          <w:sz w:val="23"/>
          <w:szCs w:val="23"/>
          <w:lang w:eastAsia="zh-CN"/>
        </w:rPr>
        <w:t>下半年</w:t>
      </w:r>
      <w:r>
        <w:rPr>
          <w:rFonts w:hint="eastAsia"/>
          <w:sz w:val="23"/>
          <w:szCs w:val="23"/>
          <w:lang w:eastAsia="zh-CN"/>
        </w:rPr>
        <w:t>地产数据</w:t>
      </w:r>
      <w:r>
        <w:rPr>
          <w:sz w:val="23"/>
          <w:szCs w:val="23"/>
          <w:lang w:eastAsia="zh-CN"/>
        </w:rPr>
        <w:t>可能带来一定</w:t>
      </w:r>
      <w:r>
        <w:rPr>
          <w:rFonts w:hint="eastAsia"/>
          <w:sz w:val="23"/>
          <w:szCs w:val="23"/>
          <w:lang w:eastAsia="zh-CN"/>
        </w:rPr>
        <w:t>负面影响</w:t>
      </w:r>
      <w:r>
        <w:rPr>
          <w:sz w:val="23"/>
          <w:szCs w:val="23"/>
          <w:lang w:eastAsia="zh-CN"/>
        </w:rPr>
        <w:t>。</w:t>
      </w:r>
    </w:p>
    <w:p w14:paraId="4B17917B" w14:textId="2CA1C60F" w:rsidR="0095328B" w:rsidRPr="0047318A" w:rsidRDefault="0047318A" w:rsidP="0095328B">
      <w:pPr>
        <w:pStyle w:val="Body-text"/>
        <w:spacing w:after="240"/>
        <w:ind w:firstLineChars="200" w:firstLine="460"/>
        <w:rPr>
          <w:sz w:val="23"/>
          <w:szCs w:val="23"/>
          <w:lang w:eastAsia="zh-CN"/>
        </w:rPr>
      </w:pPr>
      <w:r w:rsidRPr="0047318A">
        <w:rPr>
          <w:rFonts w:hint="eastAsia"/>
          <w:sz w:val="23"/>
          <w:szCs w:val="23"/>
          <w:lang w:eastAsia="zh-CN"/>
        </w:rPr>
        <w:t>回顾</w:t>
      </w:r>
      <w:r w:rsidR="0095328B">
        <w:rPr>
          <w:rFonts w:hint="eastAsia"/>
          <w:sz w:val="23"/>
          <w:szCs w:val="23"/>
          <w:lang w:eastAsia="zh-CN"/>
        </w:rPr>
        <w:t>上半年情况</w:t>
      </w:r>
      <w:r w:rsidRPr="0047318A">
        <w:rPr>
          <w:sz w:val="23"/>
          <w:szCs w:val="23"/>
          <w:lang w:eastAsia="zh-CN"/>
        </w:rPr>
        <w:t>，</w:t>
      </w:r>
      <w:r w:rsidR="0095328B">
        <w:rPr>
          <w:rFonts w:hint="eastAsia"/>
          <w:sz w:val="23"/>
          <w:szCs w:val="23"/>
          <w:lang w:eastAsia="zh-CN"/>
        </w:rPr>
        <w:t>疫情</w:t>
      </w:r>
      <w:r w:rsidR="0095328B">
        <w:rPr>
          <w:sz w:val="23"/>
          <w:szCs w:val="23"/>
          <w:lang w:eastAsia="zh-CN"/>
        </w:rPr>
        <w:t>后</w:t>
      </w:r>
      <w:r w:rsidR="0095328B">
        <w:rPr>
          <w:rFonts w:hint="eastAsia"/>
          <w:sz w:val="23"/>
          <w:szCs w:val="23"/>
          <w:lang w:eastAsia="zh-CN"/>
        </w:rPr>
        <w:t>伴随</w:t>
      </w:r>
      <w:r w:rsidR="0095328B">
        <w:rPr>
          <w:sz w:val="23"/>
          <w:szCs w:val="23"/>
          <w:lang w:eastAsia="zh-CN"/>
        </w:rPr>
        <w:t>货币政策持续</w:t>
      </w:r>
      <w:r w:rsidR="0095328B">
        <w:rPr>
          <w:rFonts w:hint="eastAsia"/>
          <w:sz w:val="23"/>
          <w:szCs w:val="23"/>
          <w:lang w:eastAsia="zh-CN"/>
        </w:rPr>
        <w:t>宽松</w:t>
      </w:r>
      <w:r w:rsidR="0095328B">
        <w:rPr>
          <w:sz w:val="23"/>
          <w:szCs w:val="23"/>
          <w:lang w:eastAsia="zh-CN"/>
        </w:rPr>
        <w:t>，贷款利率</w:t>
      </w:r>
      <w:r w:rsidR="0095328B">
        <w:rPr>
          <w:rFonts w:hint="eastAsia"/>
          <w:sz w:val="23"/>
          <w:szCs w:val="23"/>
          <w:lang w:eastAsia="zh-CN"/>
        </w:rPr>
        <w:t>包括房贷</w:t>
      </w:r>
      <w:r w:rsidR="0095328B">
        <w:rPr>
          <w:sz w:val="23"/>
          <w:szCs w:val="23"/>
          <w:lang w:eastAsia="zh-CN"/>
        </w:rPr>
        <w:t>利率</w:t>
      </w:r>
      <w:r w:rsidR="0095328B">
        <w:rPr>
          <w:rFonts w:hint="eastAsia"/>
          <w:sz w:val="23"/>
          <w:szCs w:val="23"/>
          <w:lang w:eastAsia="zh-CN"/>
        </w:rPr>
        <w:t>下行，</w:t>
      </w:r>
      <w:r w:rsidR="0095328B">
        <w:rPr>
          <w:sz w:val="23"/>
          <w:szCs w:val="23"/>
          <w:lang w:eastAsia="zh-CN"/>
        </w:rPr>
        <w:t>叠加</w:t>
      </w:r>
      <w:r w:rsidR="0095328B">
        <w:rPr>
          <w:rFonts w:hint="eastAsia"/>
          <w:sz w:val="23"/>
          <w:szCs w:val="23"/>
          <w:lang w:eastAsia="zh-CN"/>
        </w:rPr>
        <w:t>债市利率</w:t>
      </w:r>
      <w:r w:rsidR="0095328B">
        <w:rPr>
          <w:sz w:val="23"/>
          <w:szCs w:val="23"/>
          <w:lang w:eastAsia="zh-CN"/>
        </w:rPr>
        <w:t>下行，</w:t>
      </w:r>
      <w:r w:rsidR="0095328B">
        <w:rPr>
          <w:rFonts w:hint="eastAsia"/>
          <w:sz w:val="23"/>
          <w:szCs w:val="23"/>
          <w:lang w:eastAsia="zh-CN"/>
        </w:rPr>
        <w:t>地产</w:t>
      </w:r>
      <w:r w:rsidR="0095328B">
        <w:rPr>
          <w:sz w:val="23"/>
          <w:szCs w:val="23"/>
          <w:lang w:eastAsia="zh-CN"/>
        </w:rPr>
        <w:t>开放商融资成本和居民信贷成本都出现不同程度的</w:t>
      </w:r>
      <w:r w:rsidR="0095328B">
        <w:rPr>
          <w:rFonts w:hint="eastAsia"/>
          <w:sz w:val="23"/>
          <w:szCs w:val="23"/>
          <w:lang w:eastAsia="zh-CN"/>
        </w:rPr>
        <w:t>下行</w:t>
      </w:r>
      <w:r w:rsidR="0095328B">
        <w:rPr>
          <w:sz w:val="23"/>
          <w:szCs w:val="23"/>
          <w:lang w:eastAsia="zh-CN"/>
        </w:rPr>
        <w:t>，使得房地产市场在上半年持续回暖，地产数据上半年相对较好，</w:t>
      </w:r>
      <w:r w:rsidR="0095328B">
        <w:rPr>
          <w:rFonts w:hint="eastAsia"/>
          <w:sz w:val="23"/>
          <w:szCs w:val="23"/>
          <w:lang w:eastAsia="zh-CN"/>
        </w:rPr>
        <w:t>体现</w:t>
      </w:r>
      <w:r w:rsidR="0095328B">
        <w:rPr>
          <w:sz w:val="23"/>
          <w:szCs w:val="23"/>
          <w:lang w:eastAsia="zh-CN"/>
        </w:rPr>
        <w:t>出了较强</w:t>
      </w:r>
      <w:r w:rsidR="0095328B">
        <w:rPr>
          <w:rFonts w:hint="eastAsia"/>
          <w:sz w:val="23"/>
          <w:szCs w:val="23"/>
          <w:lang w:eastAsia="zh-CN"/>
        </w:rPr>
        <w:t>韧性。</w:t>
      </w:r>
    </w:p>
    <w:p w14:paraId="54E3D6A8" w14:textId="3C2773E7" w:rsidR="0047318A" w:rsidRDefault="0095328B" w:rsidP="0047318A">
      <w:pPr>
        <w:pStyle w:val="Body-text"/>
        <w:spacing w:after="240"/>
        <w:ind w:firstLineChars="200" w:firstLine="460"/>
        <w:rPr>
          <w:sz w:val="23"/>
          <w:szCs w:val="23"/>
          <w:lang w:eastAsia="zh-CN"/>
        </w:rPr>
      </w:pPr>
      <w:r>
        <w:rPr>
          <w:rFonts w:hint="eastAsia"/>
          <w:sz w:val="23"/>
          <w:szCs w:val="23"/>
          <w:lang w:eastAsia="zh-CN"/>
        </w:rPr>
        <w:t>但是</w:t>
      </w:r>
      <w:r>
        <w:rPr>
          <w:sz w:val="23"/>
          <w:szCs w:val="23"/>
          <w:lang w:eastAsia="zh-CN"/>
        </w:rPr>
        <w:t>值得关注的是，进入二季度后，</w:t>
      </w:r>
      <w:r w:rsidR="0047318A" w:rsidRPr="0047318A">
        <w:rPr>
          <w:rFonts w:hint="eastAsia"/>
          <w:sz w:val="23"/>
          <w:szCs w:val="23"/>
          <w:lang w:eastAsia="zh-CN"/>
        </w:rPr>
        <w:t>6</w:t>
      </w:r>
      <w:r w:rsidR="0047318A" w:rsidRPr="0047318A">
        <w:rPr>
          <w:rFonts w:hint="eastAsia"/>
          <w:sz w:val="23"/>
          <w:szCs w:val="23"/>
          <w:lang w:eastAsia="zh-CN"/>
        </w:rPr>
        <w:t>月房地产销售面积当月增速从</w:t>
      </w:r>
      <w:r w:rsidR="0047318A" w:rsidRPr="0047318A">
        <w:rPr>
          <w:rFonts w:hint="eastAsia"/>
          <w:sz w:val="23"/>
          <w:szCs w:val="23"/>
          <w:lang w:eastAsia="zh-CN"/>
        </w:rPr>
        <w:t>9.7%</w:t>
      </w:r>
      <w:r w:rsidR="0047318A" w:rsidRPr="0047318A">
        <w:rPr>
          <w:rFonts w:hint="eastAsia"/>
          <w:sz w:val="23"/>
          <w:szCs w:val="23"/>
          <w:lang w:eastAsia="zh-CN"/>
        </w:rPr>
        <w:t>降至</w:t>
      </w:r>
      <w:r w:rsidR="0047318A" w:rsidRPr="0047318A">
        <w:rPr>
          <w:rFonts w:hint="eastAsia"/>
          <w:sz w:val="23"/>
          <w:szCs w:val="23"/>
          <w:lang w:eastAsia="zh-CN"/>
        </w:rPr>
        <w:t>2.1%</w:t>
      </w:r>
      <w:r w:rsidR="0047318A" w:rsidRPr="0047318A">
        <w:rPr>
          <w:rFonts w:hint="eastAsia"/>
          <w:sz w:val="23"/>
          <w:szCs w:val="23"/>
          <w:lang w:eastAsia="zh-CN"/>
        </w:rPr>
        <w:t>，弱于</w:t>
      </w:r>
      <w:r w:rsidR="0047318A" w:rsidRPr="0047318A">
        <w:rPr>
          <w:rFonts w:hint="eastAsia"/>
          <w:sz w:val="23"/>
          <w:szCs w:val="23"/>
          <w:lang w:eastAsia="zh-CN"/>
        </w:rPr>
        <w:t>30</w:t>
      </w:r>
      <w:r w:rsidR="0047318A" w:rsidRPr="0047318A">
        <w:rPr>
          <w:rFonts w:hint="eastAsia"/>
          <w:sz w:val="23"/>
          <w:szCs w:val="23"/>
          <w:lang w:eastAsia="zh-CN"/>
        </w:rPr>
        <w:t>城销售的改善幅度，经历了前期需求的集中释放后，三四线城市的地产修复速度</w:t>
      </w:r>
      <w:r w:rsidR="0047318A">
        <w:rPr>
          <w:rFonts w:hint="eastAsia"/>
          <w:sz w:val="23"/>
          <w:szCs w:val="23"/>
          <w:lang w:eastAsia="zh-CN"/>
        </w:rPr>
        <w:t>出现一定</w:t>
      </w:r>
      <w:r w:rsidR="0047318A" w:rsidRPr="0047318A">
        <w:rPr>
          <w:rFonts w:hint="eastAsia"/>
          <w:sz w:val="23"/>
          <w:szCs w:val="23"/>
          <w:lang w:eastAsia="zh-CN"/>
        </w:rPr>
        <w:t>减缓。新开工当月增速从</w:t>
      </w:r>
      <w:r w:rsidR="0047318A" w:rsidRPr="0047318A">
        <w:rPr>
          <w:rFonts w:hint="eastAsia"/>
          <w:sz w:val="23"/>
          <w:szCs w:val="23"/>
          <w:lang w:eastAsia="zh-CN"/>
        </w:rPr>
        <w:t>2.5%</w:t>
      </w:r>
      <w:r w:rsidR="0047318A" w:rsidRPr="0047318A">
        <w:rPr>
          <w:rFonts w:hint="eastAsia"/>
          <w:sz w:val="23"/>
          <w:szCs w:val="23"/>
          <w:lang w:eastAsia="zh-CN"/>
        </w:rPr>
        <w:t>升至</w:t>
      </w:r>
      <w:r w:rsidR="0047318A" w:rsidRPr="0047318A">
        <w:rPr>
          <w:rFonts w:hint="eastAsia"/>
          <w:sz w:val="23"/>
          <w:szCs w:val="23"/>
          <w:lang w:eastAsia="zh-CN"/>
        </w:rPr>
        <w:t>8.9%</w:t>
      </w:r>
      <w:r w:rsidR="0047318A" w:rsidRPr="0047318A">
        <w:rPr>
          <w:rFonts w:hint="eastAsia"/>
          <w:sz w:val="23"/>
          <w:szCs w:val="23"/>
          <w:lang w:eastAsia="zh-CN"/>
        </w:rPr>
        <w:t>，竣工当月增速由</w:t>
      </w:r>
      <w:r w:rsidR="0047318A" w:rsidRPr="0047318A">
        <w:rPr>
          <w:rFonts w:hint="eastAsia"/>
          <w:sz w:val="23"/>
          <w:szCs w:val="23"/>
          <w:lang w:eastAsia="zh-CN"/>
        </w:rPr>
        <w:t>6.3%</w:t>
      </w:r>
      <w:r w:rsidR="0047318A" w:rsidRPr="0047318A">
        <w:rPr>
          <w:rFonts w:hint="eastAsia"/>
          <w:sz w:val="23"/>
          <w:szCs w:val="23"/>
          <w:lang w:eastAsia="zh-CN"/>
        </w:rPr>
        <w:t>降至到了</w:t>
      </w:r>
      <w:r w:rsidR="0047318A" w:rsidRPr="0047318A">
        <w:rPr>
          <w:rFonts w:hint="eastAsia"/>
          <w:sz w:val="23"/>
          <w:szCs w:val="23"/>
          <w:lang w:eastAsia="zh-CN"/>
        </w:rPr>
        <w:t>-6.8%</w:t>
      </w:r>
      <w:r w:rsidR="0047318A" w:rsidRPr="0047318A">
        <w:rPr>
          <w:rFonts w:hint="eastAsia"/>
          <w:sz w:val="23"/>
          <w:szCs w:val="23"/>
          <w:lang w:eastAsia="zh-CN"/>
        </w:rPr>
        <w:t>，仍然呈现出了较大的波动性。此外，土地购置面积同比增速接近</w:t>
      </w:r>
      <w:r w:rsidR="0047318A" w:rsidRPr="0047318A">
        <w:rPr>
          <w:rFonts w:hint="eastAsia"/>
          <w:sz w:val="23"/>
          <w:szCs w:val="23"/>
          <w:lang w:eastAsia="zh-CN"/>
        </w:rPr>
        <w:t>0</w:t>
      </w:r>
      <w:r w:rsidR="0047318A" w:rsidRPr="0047318A">
        <w:rPr>
          <w:rFonts w:hint="eastAsia"/>
          <w:sz w:val="23"/>
          <w:szCs w:val="23"/>
          <w:lang w:eastAsia="zh-CN"/>
        </w:rPr>
        <w:t>增长，土地成交价款同比增速从</w:t>
      </w:r>
      <w:r w:rsidR="0047318A" w:rsidRPr="0047318A">
        <w:rPr>
          <w:rFonts w:hint="eastAsia"/>
          <w:sz w:val="23"/>
          <w:szCs w:val="23"/>
          <w:lang w:eastAsia="zh-CN"/>
        </w:rPr>
        <w:t>7.1%</w:t>
      </w:r>
      <w:r w:rsidR="0047318A" w:rsidRPr="0047318A">
        <w:rPr>
          <w:rFonts w:hint="eastAsia"/>
          <w:sz w:val="23"/>
          <w:szCs w:val="23"/>
          <w:lang w:eastAsia="zh-CN"/>
        </w:rPr>
        <w:t>降至</w:t>
      </w:r>
      <w:r w:rsidR="0047318A" w:rsidRPr="0047318A">
        <w:rPr>
          <w:rFonts w:hint="eastAsia"/>
          <w:sz w:val="23"/>
          <w:szCs w:val="23"/>
          <w:lang w:eastAsia="zh-CN"/>
        </w:rPr>
        <w:t>5.9%</w:t>
      </w:r>
      <w:r w:rsidR="0047318A" w:rsidRPr="0047318A">
        <w:rPr>
          <w:rFonts w:hint="eastAsia"/>
          <w:sz w:val="23"/>
          <w:szCs w:val="23"/>
          <w:lang w:eastAsia="zh-CN"/>
        </w:rPr>
        <w:t>。</w:t>
      </w:r>
      <w:r>
        <w:rPr>
          <w:rFonts w:hint="eastAsia"/>
          <w:sz w:val="23"/>
          <w:szCs w:val="23"/>
          <w:lang w:eastAsia="zh-CN"/>
        </w:rPr>
        <w:t>地产</w:t>
      </w:r>
      <w:r>
        <w:rPr>
          <w:sz w:val="23"/>
          <w:szCs w:val="23"/>
          <w:lang w:eastAsia="zh-CN"/>
        </w:rPr>
        <w:t>销售增速的下滑，</w:t>
      </w:r>
      <w:r>
        <w:rPr>
          <w:rFonts w:hint="eastAsia"/>
          <w:sz w:val="23"/>
          <w:szCs w:val="23"/>
          <w:lang w:eastAsia="zh-CN"/>
        </w:rPr>
        <w:t>显示</w:t>
      </w:r>
      <w:r>
        <w:rPr>
          <w:sz w:val="23"/>
          <w:szCs w:val="23"/>
          <w:lang w:eastAsia="zh-CN"/>
        </w:rPr>
        <w:t>房地产</w:t>
      </w:r>
      <w:r>
        <w:rPr>
          <w:rFonts w:hint="eastAsia"/>
          <w:sz w:val="23"/>
          <w:szCs w:val="23"/>
          <w:lang w:eastAsia="zh-CN"/>
        </w:rPr>
        <w:t>需求</w:t>
      </w:r>
      <w:r>
        <w:rPr>
          <w:sz w:val="23"/>
          <w:szCs w:val="23"/>
          <w:lang w:eastAsia="zh-CN"/>
        </w:rPr>
        <w:t>的释放已</w:t>
      </w:r>
      <w:r>
        <w:rPr>
          <w:rFonts w:hint="eastAsia"/>
          <w:sz w:val="23"/>
          <w:szCs w:val="23"/>
          <w:lang w:eastAsia="zh-CN"/>
        </w:rPr>
        <w:t>基本</w:t>
      </w:r>
      <w:r>
        <w:rPr>
          <w:sz w:val="23"/>
          <w:szCs w:val="23"/>
          <w:lang w:eastAsia="zh-CN"/>
        </w:rPr>
        <w:t>进入</w:t>
      </w:r>
      <w:r>
        <w:rPr>
          <w:rFonts w:hint="eastAsia"/>
          <w:sz w:val="23"/>
          <w:szCs w:val="23"/>
          <w:lang w:eastAsia="zh-CN"/>
        </w:rPr>
        <w:t>后半程</w:t>
      </w:r>
      <w:r>
        <w:rPr>
          <w:sz w:val="23"/>
          <w:szCs w:val="23"/>
          <w:lang w:eastAsia="zh-CN"/>
        </w:rPr>
        <w:t>。</w:t>
      </w:r>
    </w:p>
    <w:p w14:paraId="7BDDFDAC" w14:textId="131A6135" w:rsidR="005C6C18" w:rsidRPr="00DA50AE" w:rsidRDefault="0095328B" w:rsidP="00EF0F1A">
      <w:pPr>
        <w:pStyle w:val="Body-text"/>
        <w:spacing w:after="240"/>
        <w:ind w:firstLineChars="200" w:firstLine="460"/>
        <w:rPr>
          <w:sz w:val="23"/>
          <w:szCs w:val="23"/>
          <w:lang w:eastAsia="zh-CN"/>
        </w:rPr>
      </w:pPr>
      <w:r>
        <w:rPr>
          <w:rFonts w:hint="eastAsia"/>
          <w:sz w:val="23"/>
          <w:szCs w:val="23"/>
          <w:lang w:eastAsia="zh-CN"/>
        </w:rPr>
        <w:t>关注</w:t>
      </w:r>
      <w:r>
        <w:rPr>
          <w:sz w:val="23"/>
          <w:szCs w:val="23"/>
          <w:lang w:eastAsia="zh-CN"/>
        </w:rPr>
        <w:t>下半年，首先政策环境较前期出现变化，部分市场房价的上涨已经引起了监管</w:t>
      </w:r>
      <w:r>
        <w:rPr>
          <w:rFonts w:hint="eastAsia"/>
          <w:sz w:val="23"/>
          <w:szCs w:val="23"/>
          <w:lang w:eastAsia="zh-CN"/>
        </w:rPr>
        <w:t>层</w:t>
      </w:r>
      <w:r>
        <w:rPr>
          <w:sz w:val="23"/>
          <w:szCs w:val="23"/>
          <w:lang w:eastAsia="zh-CN"/>
        </w:rPr>
        <w:t>注意，深圳、宁波</w:t>
      </w:r>
      <w:r w:rsidRPr="0095328B">
        <w:rPr>
          <w:rFonts w:hint="eastAsia"/>
          <w:sz w:val="23"/>
          <w:szCs w:val="23"/>
          <w:lang w:eastAsia="zh-CN"/>
        </w:rPr>
        <w:t>等地已采取了相对严厉的房地产限制措施，本周</w:t>
      </w:r>
      <w:r w:rsidRPr="0095328B">
        <w:rPr>
          <w:sz w:val="23"/>
          <w:szCs w:val="23"/>
          <w:lang w:eastAsia="zh-CN"/>
        </w:rPr>
        <w:t>的房地产工作座谈会，再次对地产政策进行了明确</w:t>
      </w:r>
      <w:r w:rsidRPr="0095328B">
        <w:rPr>
          <w:rFonts w:hint="eastAsia"/>
          <w:sz w:val="23"/>
          <w:szCs w:val="23"/>
          <w:lang w:eastAsia="zh-CN"/>
        </w:rPr>
        <w:t>，</w:t>
      </w:r>
      <w:r w:rsidRPr="0095328B">
        <w:rPr>
          <w:sz w:val="23"/>
          <w:szCs w:val="23"/>
          <w:lang w:eastAsia="zh-CN"/>
        </w:rPr>
        <w:t>强调</w:t>
      </w:r>
      <w:r w:rsidRPr="0095328B">
        <w:rPr>
          <w:rFonts w:hint="eastAsia"/>
          <w:sz w:val="23"/>
          <w:szCs w:val="23"/>
          <w:lang w:eastAsia="zh-CN"/>
        </w:rPr>
        <w:t>“</w:t>
      </w:r>
      <w:r w:rsidRPr="0047318A">
        <w:rPr>
          <w:rFonts w:hint="eastAsia"/>
          <w:sz w:val="23"/>
          <w:szCs w:val="23"/>
          <w:lang w:eastAsia="zh-CN"/>
        </w:rPr>
        <w:t>坚持不将房地产作为短期刺激经济的手段，坚持稳地价、稳房价、稳预期；因城施策、一城一策</w:t>
      </w:r>
      <w:r>
        <w:rPr>
          <w:sz w:val="23"/>
          <w:szCs w:val="23"/>
          <w:lang w:eastAsia="zh-CN"/>
        </w:rPr>
        <w:t>”</w:t>
      </w:r>
      <w:r>
        <w:rPr>
          <w:rFonts w:hint="eastAsia"/>
          <w:sz w:val="23"/>
          <w:szCs w:val="23"/>
          <w:lang w:eastAsia="zh-CN"/>
        </w:rPr>
        <w:t>的政策态度。其次，下半年还需关注部分三四线城市地产库存情况，</w:t>
      </w:r>
      <w:r w:rsidR="00DA50AE" w:rsidRPr="00DA50AE">
        <w:rPr>
          <w:rFonts w:hint="eastAsia"/>
          <w:sz w:val="23"/>
          <w:szCs w:val="23"/>
          <w:lang w:eastAsia="zh-CN"/>
        </w:rPr>
        <w:t>近期积压需求</w:t>
      </w:r>
      <w:r w:rsidR="00DA50AE">
        <w:rPr>
          <w:rFonts w:hint="eastAsia"/>
          <w:sz w:val="23"/>
          <w:szCs w:val="23"/>
          <w:lang w:eastAsia="zh-CN"/>
        </w:rPr>
        <w:t>有所</w:t>
      </w:r>
      <w:r w:rsidR="00DA50AE" w:rsidRPr="00DA50AE">
        <w:rPr>
          <w:rFonts w:hint="eastAsia"/>
          <w:sz w:val="23"/>
          <w:szCs w:val="23"/>
          <w:lang w:eastAsia="zh-CN"/>
        </w:rPr>
        <w:t>释放，房地产市场在下半年</w:t>
      </w:r>
      <w:r w:rsidR="00DA50AE">
        <w:rPr>
          <w:rFonts w:hint="eastAsia"/>
          <w:sz w:val="23"/>
          <w:szCs w:val="23"/>
          <w:lang w:eastAsia="zh-CN"/>
        </w:rPr>
        <w:t>或仍存在一定</w:t>
      </w:r>
      <w:r w:rsidR="00DA50AE" w:rsidRPr="00DA50AE">
        <w:rPr>
          <w:rFonts w:hint="eastAsia"/>
          <w:sz w:val="23"/>
          <w:szCs w:val="23"/>
          <w:lang w:eastAsia="zh-CN"/>
        </w:rPr>
        <w:t>调整压力</w:t>
      </w:r>
      <w:r w:rsidR="00DA50AE">
        <w:rPr>
          <w:rFonts w:hint="eastAsia"/>
          <w:sz w:val="23"/>
          <w:szCs w:val="23"/>
          <w:lang w:eastAsia="zh-CN"/>
        </w:rPr>
        <w:t>。</w:t>
      </w:r>
    </w:p>
    <w:p w14:paraId="3DA4DF44" w14:textId="1D437A48" w:rsidR="00A56A98" w:rsidRDefault="008E4F23" w:rsidP="005C6C18">
      <w:pPr>
        <w:pStyle w:val="Body-text"/>
        <w:spacing w:after="240"/>
        <w:ind w:firstLine="480"/>
        <w:rPr>
          <w:sz w:val="23"/>
          <w:szCs w:val="23"/>
          <w:lang w:eastAsia="zh-CN"/>
        </w:rPr>
      </w:pPr>
      <w:r>
        <w:rPr>
          <w:rFonts w:hint="eastAsia"/>
          <w:sz w:val="23"/>
          <w:szCs w:val="23"/>
          <w:lang w:eastAsia="zh-CN"/>
        </w:rPr>
        <w:lastRenderedPageBreak/>
        <w:t>对于债市，</w:t>
      </w:r>
      <w:r w:rsidR="00EF0F1A">
        <w:rPr>
          <w:rFonts w:hint="eastAsia"/>
          <w:sz w:val="23"/>
          <w:szCs w:val="23"/>
          <w:lang w:eastAsia="zh-CN"/>
        </w:rPr>
        <w:t>我们仍然维持前期观点。</w:t>
      </w:r>
      <w:r>
        <w:rPr>
          <w:rFonts w:hint="eastAsia"/>
          <w:sz w:val="23"/>
          <w:szCs w:val="23"/>
          <w:lang w:eastAsia="zh-CN"/>
        </w:rPr>
        <w:t>当前</w:t>
      </w:r>
      <w:r w:rsidR="005C6C18">
        <w:rPr>
          <w:rFonts w:hint="eastAsia"/>
          <w:sz w:val="23"/>
          <w:szCs w:val="23"/>
          <w:lang w:eastAsia="zh-CN"/>
        </w:rPr>
        <w:t>经济基本面持续向好的整体态势得到有效验证，</w:t>
      </w:r>
      <w:r w:rsidR="005C6C18" w:rsidRPr="005C6C18">
        <w:rPr>
          <w:rFonts w:hint="eastAsia"/>
          <w:sz w:val="23"/>
          <w:szCs w:val="23"/>
          <w:lang w:eastAsia="zh-CN"/>
        </w:rPr>
        <w:t>逆周期政策延续发力之下，经济基本面的弱复苏格局有望延续，但数据修复速度</w:t>
      </w:r>
      <w:r w:rsidR="005C6C18">
        <w:rPr>
          <w:rFonts w:hint="eastAsia"/>
          <w:sz w:val="23"/>
          <w:szCs w:val="23"/>
          <w:lang w:eastAsia="zh-CN"/>
        </w:rPr>
        <w:t>出现</w:t>
      </w:r>
      <w:r w:rsidR="005C6C18" w:rsidRPr="005C6C18">
        <w:rPr>
          <w:rFonts w:hint="eastAsia"/>
          <w:sz w:val="23"/>
          <w:szCs w:val="23"/>
          <w:lang w:eastAsia="zh-CN"/>
        </w:rPr>
        <w:t>适度放缓的迹象</w:t>
      </w:r>
      <w:r w:rsidR="005C6C18">
        <w:rPr>
          <w:rFonts w:hint="eastAsia"/>
          <w:sz w:val="23"/>
          <w:szCs w:val="23"/>
          <w:lang w:eastAsia="zh-CN"/>
        </w:rPr>
        <w:t>。</w:t>
      </w:r>
      <w:r w:rsidR="00EF0F1A">
        <w:rPr>
          <w:rFonts w:hint="eastAsia"/>
          <w:sz w:val="23"/>
          <w:szCs w:val="23"/>
          <w:lang w:eastAsia="zh-CN"/>
        </w:rPr>
        <w:t>进入三季度后，国内基本面修复进入边际走弱阶段，部分行业和高频数据呈现一定增速放缓态势</w:t>
      </w:r>
      <w:r w:rsidR="005C6C18">
        <w:rPr>
          <w:rFonts w:hint="eastAsia"/>
          <w:sz w:val="23"/>
          <w:szCs w:val="23"/>
          <w:lang w:eastAsia="zh-CN"/>
        </w:rPr>
        <w:t>，</w:t>
      </w:r>
      <w:r w:rsidR="00EF0F1A">
        <w:rPr>
          <w:rFonts w:hint="eastAsia"/>
          <w:sz w:val="23"/>
          <w:szCs w:val="23"/>
          <w:lang w:eastAsia="zh-CN"/>
        </w:rPr>
        <w:t>中美关系的持续恶化，除对</w:t>
      </w:r>
      <w:r w:rsidR="00A54F07">
        <w:rPr>
          <w:rFonts w:hint="eastAsia"/>
          <w:sz w:val="23"/>
          <w:szCs w:val="23"/>
          <w:lang w:eastAsia="zh-CN"/>
        </w:rPr>
        <w:t>基本面数据可能产生一定影响外</w:t>
      </w:r>
      <w:r w:rsidR="00EF0F1A">
        <w:rPr>
          <w:rFonts w:hint="eastAsia"/>
          <w:sz w:val="23"/>
          <w:szCs w:val="23"/>
          <w:lang w:eastAsia="zh-CN"/>
        </w:rPr>
        <w:t>，</w:t>
      </w:r>
      <w:r w:rsidR="00A54F07">
        <w:rPr>
          <w:rFonts w:hint="eastAsia"/>
          <w:sz w:val="23"/>
          <w:szCs w:val="23"/>
          <w:lang w:eastAsia="zh-CN"/>
        </w:rPr>
        <w:t>对</w:t>
      </w:r>
      <w:r w:rsidR="00EF0F1A">
        <w:rPr>
          <w:rFonts w:hint="eastAsia"/>
          <w:sz w:val="23"/>
          <w:szCs w:val="23"/>
          <w:lang w:eastAsia="zh-CN"/>
        </w:rPr>
        <w:t>风险资产偏好</w:t>
      </w:r>
      <w:r w:rsidR="00A54F07">
        <w:rPr>
          <w:rFonts w:hint="eastAsia"/>
          <w:sz w:val="23"/>
          <w:szCs w:val="23"/>
          <w:lang w:eastAsia="zh-CN"/>
        </w:rPr>
        <w:t>亦将</w:t>
      </w:r>
      <w:r w:rsidR="00EF0F1A">
        <w:rPr>
          <w:rFonts w:hint="eastAsia"/>
          <w:sz w:val="23"/>
          <w:szCs w:val="23"/>
          <w:lang w:eastAsia="zh-CN"/>
        </w:rPr>
        <w:t>产生一定</w:t>
      </w:r>
      <w:r w:rsidR="00A54F07">
        <w:rPr>
          <w:rFonts w:hint="eastAsia"/>
          <w:sz w:val="23"/>
          <w:szCs w:val="23"/>
          <w:lang w:eastAsia="zh-CN"/>
        </w:rPr>
        <w:t>扰动</w:t>
      </w:r>
      <w:r w:rsidR="00EF0F1A">
        <w:rPr>
          <w:rFonts w:hint="eastAsia"/>
          <w:sz w:val="23"/>
          <w:szCs w:val="23"/>
          <w:lang w:eastAsia="zh-CN"/>
        </w:rPr>
        <w:t>。短期内，</w:t>
      </w:r>
      <w:r w:rsidR="00A54F07">
        <w:rPr>
          <w:rFonts w:hint="eastAsia"/>
          <w:sz w:val="23"/>
          <w:szCs w:val="23"/>
          <w:lang w:eastAsia="zh-CN"/>
        </w:rPr>
        <w:t>基本面和风险偏好都利好债市，本身的比价优势对债市持续形成一定支撑，</w:t>
      </w:r>
      <w:r w:rsidR="005C6C18">
        <w:rPr>
          <w:rFonts w:hint="eastAsia"/>
          <w:sz w:val="23"/>
          <w:szCs w:val="23"/>
          <w:lang w:eastAsia="zh-CN"/>
        </w:rPr>
        <w:t>博弈机会</w:t>
      </w:r>
      <w:r w:rsidR="00A54F07">
        <w:rPr>
          <w:rFonts w:hint="eastAsia"/>
          <w:sz w:val="23"/>
          <w:szCs w:val="23"/>
          <w:lang w:eastAsia="zh-CN"/>
        </w:rPr>
        <w:t>近期凸现</w:t>
      </w:r>
      <w:r w:rsidR="00056B09">
        <w:rPr>
          <w:rFonts w:hint="eastAsia"/>
          <w:sz w:val="23"/>
          <w:szCs w:val="23"/>
          <w:lang w:eastAsia="zh-CN"/>
        </w:rPr>
        <w:t>，但</w:t>
      </w:r>
      <w:r w:rsidR="00CA2612">
        <w:rPr>
          <w:rFonts w:hint="eastAsia"/>
          <w:sz w:val="23"/>
          <w:szCs w:val="23"/>
          <w:lang w:eastAsia="zh-CN"/>
        </w:rPr>
        <w:t>能否</w:t>
      </w:r>
      <w:r w:rsidR="00A54F07">
        <w:rPr>
          <w:rFonts w:hint="eastAsia"/>
          <w:sz w:val="23"/>
          <w:szCs w:val="23"/>
          <w:lang w:eastAsia="zh-CN"/>
        </w:rPr>
        <w:t>形成趋势并突破年内新低仍需进一步观察和验证</w:t>
      </w:r>
      <w:r w:rsidR="005C6C18">
        <w:rPr>
          <w:rFonts w:hint="eastAsia"/>
          <w:sz w:val="23"/>
          <w:szCs w:val="23"/>
          <w:lang w:eastAsia="zh-CN"/>
        </w:rPr>
        <w:t>，中期</w:t>
      </w:r>
      <w:r w:rsidR="0078385F">
        <w:rPr>
          <w:rFonts w:hint="eastAsia"/>
          <w:sz w:val="23"/>
          <w:szCs w:val="23"/>
          <w:lang w:eastAsia="zh-CN"/>
        </w:rPr>
        <w:t>看</w:t>
      </w:r>
      <w:r w:rsidR="00A54F07">
        <w:rPr>
          <w:rFonts w:hint="eastAsia"/>
          <w:sz w:val="23"/>
          <w:szCs w:val="23"/>
          <w:lang w:eastAsia="zh-CN"/>
        </w:rPr>
        <w:t>尚</w:t>
      </w:r>
      <w:r w:rsidR="005C6C18">
        <w:rPr>
          <w:rFonts w:hint="eastAsia"/>
          <w:sz w:val="23"/>
          <w:szCs w:val="23"/>
          <w:lang w:eastAsia="zh-CN"/>
        </w:rPr>
        <w:t>处在宽幅震荡</w:t>
      </w:r>
      <w:r w:rsidR="00BD2383">
        <w:rPr>
          <w:rFonts w:hint="eastAsia"/>
          <w:sz w:val="23"/>
          <w:szCs w:val="23"/>
          <w:lang w:eastAsia="zh-CN"/>
        </w:rPr>
        <w:t>走势中</w:t>
      </w:r>
      <w:r w:rsidR="005C6C18">
        <w:rPr>
          <w:rFonts w:hint="eastAsia"/>
          <w:sz w:val="23"/>
          <w:szCs w:val="23"/>
          <w:lang w:eastAsia="zh-CN"/>
        </w:rPr>
        <w:t>。</w:t>
      </w: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4679707D"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2C4ACD">
        <w:rPr>
          <w:rFonts w:ascii="华文楷体" w:hAnsi="华文楷体" w:hint="eastAsia"/>
          <w:sz w:val="24"/>
          <w:szCs w:val="24"/>
          <w:lang w:eastAsia="zh-CN"/>
        </w:rPr>
        <w:t>净</w:t>
      </w:r>
      <w:r w:rsidR="00292C0B">
        <w:rPr>
          <w:rFonts w:ascii="华文楷体" w:hAnsi="华文楷体" w:hint="eastAsia"/>
          <w:sz w:val="24"/>
          <w:szCs w:val="24"/>
          <w:lang w:eastAsia="zh-CN"/>
        </w:rPr>
        <w:t>回笼6177</w:t>
      </w:r>
      <w:r w:rsidR="002C4ACD">
        <w:rPr>
          <w:rFonts w:ascii="华文楷体" w:hAnsi="华文楷体" w:hint="eastAsia"/>
          <w:sz w:val="24"/>
          <w:szCs w:val="24"/>
          <w:lang w:eastAsia="zh-CN"/>
        </w:rPr>
        <w:t>亿</w:t>
      </w:r>
      <w:r w:rsidR="00200AFA">
        <w:rPr>
          <w:rFonts w:ascii="华文楷体" w:hAnsi="华文楷体" w:hint="eastAsia"/>
          <w:sz w:val="24"/>
          <w:szCs w:val="24"/>
          <w:lang w:eastAsia="zh-CN"/>
        </w:rPr>
        <w:t>,其中</w:t>
      </w:r>
      <w:r w:rsidR="00054072">
        <w:rPr>
          <w:rFonts w:ascii="华文楷体" w:hAnsi="华文楷体" w:hint="eastAsia"/>
          <w:sz w:val="24"/>
          <w:szCs w:val="24"/>
          <w:lang w:eastAsia="zh-CN"/>
        </w:rPr>
        <w:t>MLF</w:t>
      </w:r>
      <w:r w:rsidR="00292C0B">
        <w:rPr>
          <w:rFonts w:ascii="华文楷体" w:hAnsi="华文楷体" w:hint="eastAsia"/>
          <w:sz w:val="24"/>
          <w:szCs w:val="24"/>
          <w:lang w:eastAsia="zh-CN"/>
        </w:rPr>
        <w:t>和TMLF合计</w:t>
      </w:r>
      <w:r w:rsidR="00054072">
        <w:rPr>
          <w:rFonts w:ascii="华文楷体" w:hAnsi="华文楷体" w:hint="eastAsia"/>
          <w:sz w:val="24"/>
          <w:szCs w:val="24"/>
          <w:lang w:eastAsia="zh-CN"/>
        </w:rPr>
        <w:t>到期</w:t>
      </w:r>
      <w:r w:rsidR="00292C0B">
        <w:rPr>
          <w:rFonts w:ascii="华文楷体" w:hAnsi="华文楷体" w:hint="eastAsia"/>
          <w:sz w:val="24"/>
          <w:szCs w:val="24"/>
          <w:lang w:eastAsia="zh-CN"/>
        </w:rPr>
        <w:t>4977</w:t>
      </w:r>
      <w:r w:rsidR="00054072">
        <w:rPr>
          <w:rFonts w:ascii="华文楷体" w:hAnsi="华文楷体" w:hint="eastAsia"/>
          <w:sz w:val="24"/>
          <w:szCs w:val="24"/>
          <w:lang w:eastAsia="zh-CN"/>
        </w:rPr>
        <w:t>亿。</w:t>
      </w:r>
      <w:r w:rsidR="00854190">
        <w:rPr>
          <w:rFonts w:ascii="华文楷体" w:hAnsi="华文楷体" w:hint="eastAsia"/>
          <w:sz w:val="24"/>
          <w:szCs w:val="24"/>
          <w:lang w:eastAsia="zh-CN"/>
        </w:rPr>
        <w:t>本周</w:t>
      </w:r>
      <w:r w:rsidR="00DC4A12">
        <w:rPr>
          <w:rFonts w:ascii="华文楷体" w:hAnsi="华文楷体" w:hint="eastAsia"/>
          <w:sz w:val="24"/>
          <w:szCs w:val="24"/>
          <w:lang w:eastAsia="zh-CN"/>
        </w:rPr>
        <w:t>资金</w:t>
      </w:r>
      <w:r w:rsidR="00B30DBF">
        <w:rPr>
          <w:rFonts w:ascii="华文楷体" w:hAnsi="华文楷体" w:hint="eastAsia"/>
          <w:sz w:val="24"/>
          <w:szCs w:val="24"/>
          <w:lang w:eastAsia="zh-CN"/>
        </w:rPr>
        <w:t>利率</w:t>
      </w:r>
      <w:r w:rsidR="00292C0B">
        <w:rPr>
          <w:rFonts w:ascii="华文楷体" w:hAnsi="华文楷体" w:hint="eastAsia"/>
          <w:sz w:val="24"/>
          <w:szCs w:val="24"/>
          <w:lang w:eastAsia="zh-CN"/>
        </w:rPr>
        <w:t>震荡为主</w:t>
      </w:r>
      <w:r w:rsidR="00D9413F">
        <w:rPr>
          <w:rFonts w:ascii="华文楷体" w:hAnsi="华文楷体" w:hint="eastAsia"/>
          <w:sz w:val="24"/>
          <w:szCs w:val="24"/>
          <w:lang w:eastAsia="zh-CN"/>
        </w:rPr>
        <w:t>。</w:t>
      </w:r>
      <w:r w:rsidR="00200AFA">
        <w:rPr>
          <w:rFonts w:ascii="华文楷体" w:hAnsi="华文楷体" w:hint="eastAsia"/>
          <w:sz w:val="24"/>
          <w:szCs w:val="24"/>
          <w:lang w:eastAsia="zh-CN"/>
        </w:rPr>
        <w:t>周</w:t>
      </w:r>
      <w:r w:rsidR="00EC3415">
        <w:rPr>
          <w:rFonts w:ascii="华文楷体" w:hAnsi="华文楷体" w:hint="eastAsia"/>
          <w:sz w:val="24"/>
          <w:szCs w:val="24"/>
          <w:lang w:eastAsia="zh-CN"/>
        </w:rPr>
        <w:t>隔夜</w:t>
      </w:r>
      <w:r w:rsidR="00200AFA">
        <w:rPr>
          <w:rFonts w:ascii="华文楷体" w:hAnsi="华文楷体" w:hint="eastAsia"/>
          <w:sz w:val="24"/>
          <w:szCs w:val="24"/>
          <w:lang w:eastAsia="zh-CN"/>
        </w:rPr>
        <w:t>加权</w:t>
      </w:r>
      <w:r w:rsidR="00D9413F">
        <w:rPr>
          <w:rFonts w:ascii="华文楷体" w:hAnsi="华文楷体" w:hint="eastAsia"/>
          <w:sz w:val="24"/>
          <w:szCs w:val="24"/>
          <w:lang w:eastAsia="zh-CN"/>
        </w:rPr>
        <w:t>较上周</w:t>
      </w:r>
      <w:r w:rsidR="00292C0B">
        <w:rPr>
          <w:rFonts w:ascii="华文楷体" w:hAnsi="华文楷体" w:hint="eastAsia"/>
          <w:sz w:val="24"/>
          <w:szCs w:val="24"/>
          <w:lang w:eastAsia="zh-CN"/>
        </w:rPr>
        <w:t>下</w:t>
      </w:r>
      <w:r w:rsidR="00D9413F">
        <w:rPr>
          <w:rFonts w:ascii="华文楷体" w:hAnsi="华文楷体" w:hint="eastAsia"/>
          <w:sz w:val="24"/>
          <w:szCs w:val="24"/>
          <w:lang w:eastAsia="zh-CN"/>
        </w:rPr>
        <w:t>行</w:t>
      </w:r>
      <w:r w:rsidR="00292C0B">
        <w:rPr>
          <w:rFonts w:ascii="华文楷体" w:hAnsi="华文楷体" w:hint="eastAsia"/>
          <w:sz w:val="24"/>
          <w:szCs w:val="24"/>
          <w:lang w:eastAsia="zh-CN"/>
        </w:rPr>
        <w:t>7</w:t>
      </w:r>
      <w:r w:rsidR="00D9413F">
        <w:rPr>
          <w:rFonts w:ascii="华文楷体" w:hAnsi="华文楷体" w:hint="eastAsia"/>
          <w:sz w:val="24"/>
          <w:szCs w:val="24"/>
          <w:lang w:eastAsia="zh-CN"/>
        </w:rPr>
        <w:t>BP至</w:t>
      </w:r>
      <w:r w:rsidR="00292C0B">
        <w:rPr>
          <w:rFonts w:ascii="华文楷体" w:hAnsi="华文楷体" w:hint="eastAsia"/>
          <w:sz w:val="24"/>
          <w:szCs w:val="24"/>
          <w:lang w:eastAsia="zh-CN"/>
        </w:rPr>
        <w:t>1.71</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E14CF8">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E14CF8">
        <w:rPr>
          <w:rFonts w:ascii="华文楷体" w:hAnsi="华文楷体" w:hint="eastAsia"/>
          <w:sz w:val="24"/>
          <w:szCs w:val="24"/>
          <w:lang w:eastAsia="zh-CN"/>
        </w:rPr>
        <w:t>1</w:t>
      </w:r>
      <w:r w:rsidR="00292C0B">
        <w:rPr>
          <w:rFonts w:ascii="华文楷体" w:hAnsi="华文楷体" w:hint="eastAsia"/>
          <w:sz w:val="24"/>
          <w:szCs w:val="24"/>
          <w:lang w:eastAsia="zh-CN"/>
        </w:rPr>
        <w:t>4</w:t>
      </w:r>
      <w:r w:rsidR="00D9413F">
        <w:rPr>
          <w:rFonts w:ascii="华文楷体" w:hAnsi="华文楷体" w:hint="eastAsia"/>
          <w:sz w:val="24"/>
          <w:szCs w:val="24"/>
          <w:lang w:eastAsia="zh-CN"/>
        </w:rPr>
        <w:t>BP至</w:t>
      </w:r>
      <w:r w:rsidR="00292C0B">
        <w:rPr>
          <w:rFonts w:ascii="华文楷体" w:hAnsi="华文楷体" w:hint="eastAsia"/>
          <w:sz w:val="24"/>
          <w:szCs w:val="24"/>
          <w:lang w:eastAsia="zh-CN"/>
        </w:rPr>
        <w:t>2.41</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操作到期</w:t>
      </w:r>
      <w:r w:rsidR="00292C0B">
        <w:rPr>
          <w:rFonts w:ascii="华文楷体" w:hAnsi="华文楷体" w:hint="eastAsia"/>
          <w:sz w:val="24"/>
          <w:szCs w:val="24"/>
          <w:lang w:eastAsia="zh-CN"/>
        </w:rPr>
        <w:t>1600</w:t>
      </w:r>
      <w:r w:rsidR="00854190">
        <w:rPr>
          <w:rFonts w:ascii="华文楷体" w:hAnsi="华文楷体" w:hint="eastAsia"/>
          <w:sz w:val="24"/>
          <w:szCs w:val="24"/>
          <w:lang w:eastAsia="zh-CN"/>
        </w:rPr>
        <w:t>亿</w:t>
      </w:r>
      <w:r w:rsidR="009D5B8D" w:rsidRPr="009D5B8D">
        <w:rPr>
          <w:rFonts w:ascii="华文楷体" w:hAnsi="华文楷体" w:hint="eastAsia"/>
          <w:sz w:val="24"/>
          <w:szCs w:val="24"/>
          <w:lang w:eastAsia="zh-CN"/>
        </w:rPr>
        <w:t>，</w:t>
      </w:r>
      <w:r w:rsidR="00292C0B">
        <w:rPr>
          <w:rFonts w:ascii="华文楷体" w:hAnsi="华文楷体" w:hint="eastAsia"/>
          <w:sz w:val="24"/>
          <w:szCs w:val="24"/>
          <w:lang w:eastAsia="zh-CN"/>
        </w:rPr>
        <w:t>到期总量不大</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292C0B">
        <w:tblPrEx>
          <w:tblCellMar>
            <w:left w:w="108" w:type="dxa"/>
            <w:right w:w="108" w:type="dxa"/>
          </w:tblCellMar>
        </w:tblPrEx>
        <w:trPr>
          <w:jc w:val="center"/>
        </w:trPr>
        <w:tc>
          <w:tcPr>
            <w:tcW w:w="4939" w:type="dxa"/>
            <w:vAlign w:val="center"/>
          </w:tcPr>
          <w:p w14:paraId="60AEAEDC" w14:textId="591BA047" w:rsidR="00E0626C" w:rsidRPr="006438BB" w:rsidRDefault="00292C0B" w:rsidP="009A2BA0">
            <w:pPr>
              <w:jc w:val="center"/>
              <w:rPr>
                <w:noProof/>
                <w:sz w:val="14"/>
                <w:szCs w:val="14"/>
              </w:rPr>
            </w:pPr>
            <w:r>
              <w:rPr>
                <w:noProof/>
              </w:rPr>
              <w:drawing>
                <wp:inline distT="0" distB="0" distL="0" distR="0" wp14:anchorId="13E09E9C" wp14:editId="33B0284F">
                  <wp:extent cx="2999105" cy="1682810"/>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41A326EB" w:rsidR="00E0626C" w:rsidRPr="007E0340" w:rsidRDefault="00292C0B" w:rsidP="009A2BA0">
            <w:pPr>
              <w:jc w:val="center"/>
              <w:rPr>
                <w:noProof/>
                <w:szCs w:val="18"/>
              </w:rPr>
            </w:pPr>
            <w:r>
              <w:rPr>
                <w:noProof/>
              </w:rPr>
              <w:drawing>
                <wp:inline distT="0" distB="0" distL="0" distR="0" wp14:anchorId="2B18DF10" wp14:editId="0807218A">
                  <wp:extent cx="3139440" cy="1759788"/>
                  <wp:effectExtent l="0" t="0" r="381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282A6F8"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880460">
        <w:rPr>
          <w:rFonts w:ascii="华文楷体" w:hAnsi="华文楷体" w:hint="eastAsia"/>
          <w:sz w:val="24"/>
          <w:szCs w:val="24"/>
          <w:lang w:eastAsia="zh-CN"/>
        </w:rPr>
        <w:t>曲线</w:t>
      </w:r>
      <w:r w:rsidR="009E510B">
        <w:rPr>
          <w:rFonts w:ascii="华文楷体" w:hAnsi="华文楷体"/>
          <w:sz w:val="24"/>
          <w:szCs w:val="24"/>
          <w:lang w:eastAsia="zh-CN"/>
        </w:rPr>
        <w:t>3Y</w:t>
      </w:r>
      <w:r w:rsidR="009E510B">
        <w:rPr>
          <w:rFonts w:ascii="华文楷体" w:hAnsi="华文楷体" w:hint="eastAsia"/>
          <w:sz w:val="24"/>
          <w:szCs w:val="24"/>
          <w:lang w:eastAsia="zh-CN"/>
        </w:rPr>
        <w:t>及</w:t>
      </w:r>
      <w:r w:rsidR="009E510B">
        <w:rPr>
          <w:rFonts w:ascii="华文楷体" w:hAnsi="华文楷体"/>
          <w:sz w:val="24"/>
          <w:szCs w:val="24"/>
          <w:lang w:eastAsia="zh-CN"/>
        </w:rPr>
        <w:t>以上</w:t>
      </w:r>
      <w:r w:rsidR="009E510B">
        <w:rPr>
          <w:rFonts w:ascii="华文楷体" w:hAnsi="华文楷体" w:hint="eastAsia"/>
          <w:sz w:val="24"/>
          <w:szCs w:val="24"/>
          <w:lang w:eastAsia="zh-CN"/>
        </w:rPr>
        <w:t>期限</w:t>
      </w:r>
      <w:r w:rsidR="009E510B">
        <w:rPr>
          <w:rFonts w:ascii="华文楷体" w:hAnsi="华文楷体"/>
          <w:sz w:val="24"/>
          <w:szCs w:val="24"/>
          <w:lang w:eastAsia="zh-CN"/>
        </w:rPr>
        <w:t>品种</w:t>
      </w:r>
      <w:r w:rsidR="009E510B">
        <w:rPr>
          <w:rFonts w:ascii="华文楷体" w:hAnsi="华文楷体" w:hint="eastAsia"/>
          <w:sz w:val="24"/>
          <w:szCs w:val="24"/>
          <w:lang w:eastAsia="zh-CN"/>
        </w:rPr>
        <w:t>下行</w:t>
      </w:r>
      <w:r w:rsidR="009E510B">
        <w:rPr>
          <w:rFonts w:ascii="华文楷体" w:hAnsi="华文楷体"/>
          <w:sz w:val="24"/>
          <w:szCs w:val="24"/>
          <w:lang w:eastAsia="zh-CN"/>
        </w:rPr>
        <w:t>明显</w:t>
      </w:r>
      <w:r w:rsidR="009E510B">
        <w:rPr>
          <w:rFonts w:ascii="华文楷体" w:hAnsi="华文楷体" w:hint="eastAsia"/>
          <w:sz w:val="24"/>
          <w:szCs w:val="24"/>
          <w:lang w:eastAsia="zh-CN"/>
        </w:rPr>
        <w:t>，</w:t>
      </w:r>
      <w:r w:rsidR="00EF0226">
        <w:rPr>
          <w:rFonts w:ascii="华文楷体" w:hAnsi="华文楷体"/>
          <w:sz w:val="24"/>
          <w:szCs w:val="24"/>
          <w:lang w:eastAsia="zh-CN"/>
        </w:rPr>
        <w:t>期限利差</w:t>
      </w:r>
      <w:r w:rsidR="009E510B">
        <w:rPr>
          <w:rFonts w:ascii="华文楷体" w:hAnsi="华文楷体" w:hint="eastAsia"/>
          <w:sz w:val="24"/>
          <w:szCs w:val="24"/>
          <w:lang w:eastAsia="zh-CN"/>
        </w:rPr>
        <w:t>收窄</w:t>
      </w:r>
      <w:r w:rsidR="006438BB">
        <w:rPr>
          <w:rFonts w:ascii="华文楷体" w:hAnsi="华文楷体" w:hint="eastAsia"/>
          <w:sz w:val="24"/>
          <w:szCs w:val="24"/>
          <w:lang w:eastAsia="zh-CN"/>
        </w:rPr>
        <w:t>。</w:t>
      </w:r>
      <w:r w:rsidR="001F276D">
        <w:rPr>
          <w:rFonts w:ascii="华文楷体" w:hAnsi="华文楷体" w:hint="eastAsia"/>
          <w:sz w:val="24"/>
          <w:szCs w:val="24"/>
          <w:lang w:eastAsia="zh-CN"/>
        </w:rPr>
        <w:t>国债</w:t>
      </w:r>
      <w:r w:rsidR="00EF0226">
        <w:rPr>
          <w:rFonts w:ascii="华文楷体" w:hAnsi="华文楷体" w:hint="eastAsia"/>
          <w:sz w:val="24"/>
          <w:szCs w:val="24"/>
          <w:lang w:eastAsia="zh-CN"/>
        </w:rPr>
        <w:t>、国开债</w:t>
      </w:r>
      <w:r w:rsidR="008406BB">
        <w:rPr>
          <w:rFonts w:ascii="华文楷体" w:hAnsi="华文楷体" w:hint="eastAsia"/>
          <w:sz w:val="24"/>
          <w:szCs w:val="24"/>
          <w:lang w:eastAsia="zh-CN"/>
        </w:rPr>
        <w:t>整体</w:t>
      </w:r>
      <w:r w:rsidR="00EF0226">
        <w:rPr>
          <w:rFonts w:ascii="华文楷体" w:hAnsi="华文楷体"/>
          <w:sz w:val="24"/>
          <w:szCs w:val="24"/>
          <w:lang w:eastAsia="zh-CN"/>
        </w:rPr>
        <w:t>走势类似</w:t>
      </w:r>
      <w:r w:rsidR="008406BB">
        <w:rPr>
          <w:rFonts w:ascii="华文楷体" w:hAnsi="华文楷体" w:hint="eastAsia"/>
          <w:sz w:val="24"/>
          <w:szCs w:val="24"/>
          <w:lang w:eastAsia="zh-CN"/>
        </w:rPr>
        <w:t>：</w:t>
      </w:r>
      <w:r w:rsidR="00EF0226">
        <w:rPr>
          <w:rFonts w:ascii="华文楷体" w:hAnsi="华文楷体" w:hint="eastAsia"/>
          <w:sz w:val="24"/>
          <w:szCs w:val="24"/>
          <w:lang w:eastAsia="zh-CN"/>
        </w:rPr>
        <w:t>1Y内</w:t>
      </w:r>
      <w:r w:rsidR="00EF0226">
        <w:rPr>
          <w:rFonts w:ascii="华文楷体" w:hAnsi="华文楷体"/>
          <w:sz w:val="24"/>
          <w:szCs w:val="24"/>
          <w:lang w:eastAsia="zh-CN"/>
        </w:rPr>
        <w:t>品种</w:t>
      </w:r>
      <w:r w:rsidR="008406BB">
        <w:rPr>
          <w:rFonts w:ascii="华文楷体" w:hAnsi="华文楷体" w:hint="eastAsia"/>
          <w:sz w:val="24"/>
          <w:szCs w:val="24"/>
          <w:lang w:eastAsia="zh-CN"/>
        </w:rPr>
        <w:t>受周内</w:t>
      </w:r>
      <w:r w:rsidR="008406BB">
        <w:rPr>
          <w:rFonts w:ascii="华文楷体" w:hAnsi="华文楷体"/>
          <w:sz w:val="24"/>
          <w:szCs w:val="24"/>
          <w:lang w:eastAsia="zh-CN"/>
        </w:rPr>
        <w:t>资金扰动，伴随资金有所扰动</w:t>
      </w:r>
      <w:r w:rsidR="008406BB">
        <w:rPr>
          <w:rFonts w:ascii="华文楷体" w:hAnsi="华文楷体" w:hint="eastAsia"/>
          <w:sz w:val="24"/>
          <w:szCs w:val="24"/>
          <w:lang w:eastAsia="zh-CN"/>
        </w:rPr>
        <w:t>。证金</w:t>
      </w:r>
      <w:r w:rsidR="00EF0226">
        <w:rPr>
          <w:rFonts w:ascii="华文楷体" w:hAnsi="华文楷体"/>
          <w:sz w:val="24"/>
          <w:szCs w:val="24"/>
          <w:lang w:eastAsia="zh-CN"/>
        </w:rPr>
        <w:t>债</w:t>
      </w:r>
      <w:r w:rsidR="00EF0226">
        <w:rPr>
          <w:rFonts w:ascii="华文楷体" w:hAnsi="华文楷体" w:hint="eastAsia"/>
          <w:sz w:val="24"/>
          <w:szCs w:val="24"/>
          <w:lang w:eastAsia="zh-CN"/>
        </w:rPr>
        <w:t>品种</w:t>
      </w:r>
      <w:r w:rsidR="008406BB">
        <w:rPr>
          <w:rFonts w:ascii="华文楷体" w:hAnsi="华文楷体"/>
          <w:sz w:val="24"/>
          <w:szCs w:val="24"/>
          <w:lang w:eastAsia="zh-CN"/>
        </w:rPr>
        <w:t>相对</w:t>
      </w:r>
      <w:r w:rsidR="008406BB">
        <w:rPr>
          <w:rFonts w:ascii="华文楷体" w:hAnsi="华文楷体" w:hint="eastAsia"/>
          <w:sz w:val="24"/>
          <w:szCs w:val="24"/>
          <w:lang w:eastAsia="zh-CN"/>
        </w:rPr>
        <w:t>国</w:t>
      </w:r>
      <w:r w:rsidR="00EF0226">
        <w:rPr>
          <w:rFonts w:ascii="华文楷体" w:hAnsi="华文楷体"/>
          <w:sz w:val="24"/>
          <w:szCs w:val="24"/>
          <w:lang w:eastAsia="zh-CN"/>
        </w:rPr>
        <w:t>债</w:t>
      </w:r>
      <w:r w:rsidR="00EF0226">
        <w:rPr>
          <w:rFonts w:ascii="华文楷体" w:hAnsi="华文楷体" w:hint="eastAsia"/>
          <w:sz w:val="24"/>
          <w:szCs w:val="24"/>
          <w:lang w:eastAsia="zh-CN"/>
        </w:rPr>
        <w:t>品种</w:t>
      </w:r>
      <w:r w:rsidR="00EF0226">
        <w:rPr>
          <w:rFonts w:ascii="华文楷体" w:hAnsi="华文楷体"/>
          <w:sz w:val="24"/>
          <w:szCs w:val="24"/>
          <w:lang w:eastAsia="zh-CN"/>
        </w:rPr>
        <w:t>表现略好，</w:t>
      </w:r>
      <w:r w:rsidR="008406BB">
        <w:rPr>
          <w:rFonts w:ascii="华文楷体" w:hAnsi="华文楷体"/>
          <w:sz w:val="24"/>
          <w:szCs w:val="24"/>
          <w:lang w:eastAsia="zh-CN"/>
        </w:rPr>
        <w:t>3Y</w:t>
      </w:r>
      <w:r w:rsidR="008406BB">
        <w:rPr>
          <w:rFonts w:ascii="华文楷体" w:hAnsi="华文楷体" w:hint="eastAsia"/>
          <w:sz w:val="24"/>
          <w:szCs w:val="24"/>
          <w:lang w:eastAsia="zh-CN"/>
        </w:rPr>
        <w:t>和5年</w:t>
      </w:r>
      <w:r w:rsidR="008406BB">
        <w:rPr>
          <w:rFonts w:ascii="华文楷体" w:hAnsi="华文楷体"/>
          <w:sz w:val="24"/>
          <w:szCs w:val="24"/>
          <w:lang w:eastAsia="zh-CN"/>
        </w:rPr>
        <w:t>证金债品种均较同期限国债品种下行更明显，</w:t>
      </w:r>
      <w:r w:rsidR="008406BB">
        <w:rPr>
          <w:rFonts w:ascii="华文楷体" w:hAnsi="华文楷体" w:hint="eastAsia"/>
          <w:sz w:val="24"/>
          <w:szCs w:val="24"/>
          <w:lang w:eastAsia="zh-CN"/>
        </w:rPr>
        <w:t>曲线整体</w:t>
      </w:r>
      <w:r w:rsidR="008406BB">
        <w:rPr>
          <w:rFonts w:ascii="华文楷体" w:hAnsi="华文楷体"/>
          <w:sz w:val="24"/>
          <w:szCs w:val="24"/>
          <w:lang w:eastAsia="zh-CN"/>
        </w:rPr>
        <w:t>适度</w:t>
      </w:r>
      <w:r w:rsidR="008406BB">
        <w:rPr>
          <w:rFonts w:ascii="华文楷体" w:hAnsi="华文楷体" w:hint="eastAsia"/>
          <w:sz w:val="24"/>
          <w:szCs w:val="24"/>
          <w:lang w:eastAsia="zh-CN"/>
        </w:rPr>
        <w:t>走平</w:t>
      </w:r>
      <w:r w:rsidR="00EF0226">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8406BB">
        <w:rPr>
          <w:rFonts w:ascii="华文楷体" w:hAnsi="华文楷体" w:hint="eastAsia"/>
          <w:sz w:val="24"/>
          <w:szCs w:val="24"/>
          <w:lang w:eastAsia="zh-CN"/>
        </w:rPr>
        <w:t>下</w:t>
      </w:r>
      <w:r w:rsidR="00C02867">
        <w:rPr>
          <w:rFonts w:ascii="华文楷体" w:hAnsi="华文楷体" w:hint="eastAsia"/>
          <w:sz w:val="24"/>
          <w:szCs w:val="24"/>
          <w:lang w:eastAsia="zh-CN"/>
        </w:rPr>
        <w:t>行</w:t>
      </w:r>
      <w:r w:rsidR="008406BB">
        <w:rPr>
          <w:rFonts w:ascii="华文楷体" w:hAnsi="华文楷体"/>
          <w:sz w:val="24"/>
          <w:szCs w:val="24"/>
          <w:lang w:eastAsia="zh-CN"/>
        </w:rPr>
        <w:t>8</w:t>
      </w:r>
      <w:r w:rsidR="008406BB">
        <w:rPr>
          <w:rFonts w:ascii="华文楷体" w:hAnsi="华文楷体" w:hint="eastAsia"/>
          <w:sz w:val="24"/>
          <w:szCs w:val="24"/>
          <w:lang w:eastAsia="zh-CN"/>
        </w:rPr>
        <w:t>.9B</w:t>
      </w:r>
      <w:r w:rsidR="00880460">
        <w:rPr>
          <w:rFonts w:ascii="华文楷体" w:hAnsi="华文楷体" w:hint="eastAsia"/>
          <w:sz w:val="24"/>
          <w:szCs w:val="24"/>
          <w:lang w:eastAsia="zh-CN"/>
        </w:rPr>
        <w:t>P至</w:t>
      </w:r>
      <w:r w:rsidR="008406BB">
        <w:rPr>
          <w:rFonts w:ascii="华文楷体" w:hAnsi="华文楷体"/>
          <w:sz w:val="24"/>
          <w:szCs w:val="24"/>
          <w:lang w:eastAsia="zh-CN"/>
        </w:rPr>
        <w:t>2.86</w:t>
      </w:r>
      <w:r w:rsidR="00880460">
        <w:rPr>
          <w:rFonts w:ascii="华文楷体" w:hAnsi="华文楷体" w:hint="eastAsia"/>
          <w:sz w:val="24"/>
          <w:szCs w:val="24"/>
          <w:lang w:eastAsia="zh-CN"/>
        </w:rPr>
        <w:t>%</w:t>
      </w:r>
      <w:r w:rsidR="0092340D">
        <w:rPr>
          <w:rFonts w:ascii="华文楷体" w:hAnsi="华文楷体" w:hint="eastAsia"/>
          <w:sz w:val="24"/>
          <w:szCs w:val="24"/>
          <w:lang w:eastAsia="zh-CN"/>
        </w:rPr>
        <w:t>，10Y</w:t>
      </w:r>
      <w:r w:rsidR="00202D86">
        <w:rPr>
          <w:rFonts w:ascii="华文楷体" w:hAnsi="华文楷体" w:hint="eastAsia"/>
          <w:sz w:val="24"/>
          <w:szCs w:val="24"/>
          <w:lang w:eastAsia="zh-CN"/>
        </w:rPr>
        <w:t>国开</w:t>
      </w:r>
      <w:r w:rsidR="008406BB">
        <w:rPr>
          <w:rFonts w:ascii="华文楷体" w:hAnsi="华文楷体" w:hint="eastAsia"/>
          <w:sz w:val="24"/>
          <w:szCs w:val="24"/>
          <w:lang w:eastAsia="zh-CN"/>
        </w:rPr>
        <w:t>下</w:t>
      </w:r>
      <w:r w:rsidR="00880460">
        <w:rPr>
          <w:rFonts w:ascii="华文楷体" w:hAnsi="华文楷体" w:hint="eastAsia"/>
          <w:sz w:val="24"/>
          <w:szCs w:val="24"/>
          <w:lang w:eastAsia="zh-CN"/>
        </w:rPr>
        <w:t>行</w:t>
      </w:r>
      <w:r w:rsidR="008406BB">
        <w:rPr>
          <w:rFonts w:ascii="华文楷体" w:hAnsi="华文楷体"/>
          <w:sz w:val="24"/>
          <w:szCs w:val="24"/>
          <w:lang w:eastAsia="zh-CN"/>
        </w:rPr>
        <w:t>11.7</w:t>
      </w:r>
      <w:r w:rsidR="00880460">
        <w:rPr>
          <w:rFonts w:ascii="华文楷体" w:hAnsi="华文楷体" w:hint="eastAsia"/>
          <w:sz w:val="24"/>
          <w:szCs w:val="24"/>
          <w:lang w:eastAsia="zh-CN"/>
        </w:rPr>
        <w:t>BP至</w:t>
      </w:r>
      <w:r w:rsidR="008406BB">
        <w:rPr>
          <w:rFonts w:ascii="华文楷体" w:hAnsi="华文楷体"/>
          <w:sz w:val="24"/>
          <w:szCs w:val="24"/>
          <w:lang w:eastAsia="zh-CN"/>
        </w:rPr>
        <w:t>3.33</w:t>
      </w:r>
      <w:r w:rsidR="00880460">
        <w:rPr>
          <w:rFonts w:ascii="华文楷体" w:hAnsi="华文楷体" w:hint="eastAsia"/>
          <w:sz w:val="24"/>
          <w:szCs w:val="24"/>
          <w:lang w:eastAsia="zh-CN"/>
        </w:rPr>
        <w:t>%</w:t>
      </w:r>
      <w:r w:rsidR="0092340D">
        <w:rPr>
          <w:rFonts w:ascii="华文楷体" w:hAnsi="华文楷体" w:hint="eastAsia"/>
          <w:sz w:val="24"/>
          <w:szCs w:val="24"/>
          <w:lang w:eastAsia="zh-CN"/>
        </w:rPr>
        <w:t>，</w:t>
      </w:r>
      <w:r w:rsidR="001163A3">
        <w:rPr>
          <w:rFonts w:ascii="华文楷体" w:hAnsi="华文楷体" w:hint="eastAsia"/>
          <w:sz w:val="24"/>
          <w:szCs w:val="24"/>
          <w:lang w:eastAsia="zh-CN"/>
        </w:rPr>
        <w:t>本周国债、地方债和政策性金融债总发行量</w:t>
      </w:r>
      <w:r w:rsidR="00DC322E">
        <w:rPr>
          <w:rFonts w:ascii="华文楷体" w:hAnsi="华文楷体"/>
          <w:sz w:val="24"/>
          <w:szCs w:val="24"/>
          <w:lang w:eastAsia="zh-CN"/>
        </w:rPr>
        <w:t>2963.95</w:t>
      </w:r>
      <w:r w:rsidR="001163A3">
        <w:rPr>
          <w:rFonts w:ascii="华文楷体" w:hAnsi="华文楷体" w:hint="eastAsia"/>
          <w:sz w:val="24"/>
          <w:szCs w:val="24"/>
          <w:lang w:eastAsia="zh-CN"/>
        </w:rPr>
        <w:t>亿，到期量</w:t>
      </w:r>
      <w:r w:rsidR="00DC322E">
        <w:rPr>
          <w:rFonts w:ascii="华文楷体" w:hAnsi="华文楷体"/>
          <w:sz w:val="24"/>
          <w:szCs w:val="24"/>
          <w:lang w:eastAsia="zh-CN"/>
        </w:rPr>
        <w:t>653.21</w:t>
      </w:r>
      <w:r w:rsidR="001163A3">
        <w:rPr>
          <w:rFonts w:ascii="华文楷体" w:hAnsi="华文楷体" w:hint="eastAsia"/>
          <w:sz w:val="24"/>
          <w:szCs w:val="24"/>
          <w:lang w:eastAsia="zh-CN"/>
        </w:rPr>
        <w:t>亿，净融资</w:t>
      </w:r>
      <w:r w:rsidR="00DC322E">
        <w:rPr>
          <w:rFonts w:ascii="华文楷体" w:hAnsi="华文楷体"/>
          <w:sz w:val="24"/>
          <w:szCs w:val="24"/>
          <w:lang w:eastAsia="zh-CN"/>
        </w:rPr>
        <w:t>2310.74</w:t>
      </w:r>
      <w:r w:rsidR="001163A3">
        <w:rPr>
          <w:rFonts w:ascii="华文楷体" w:hAnsi="华文楷体" w:hint="eastAsia"/>
          <w:sz w:val="24"/>
          <w:szCs w:val="24"/>
          <w:lang w:eastAsia="zh-CN"/>
        </w:rPr>
        <w:t>亿</w:t>
      </w:r>
      <w:r w:rsidR="00202D86">
        <w:rPr>
          <w:rFonts w:ascii="华文楷体" w:hAnsi="华文楷体" w:hint="eastAsia"/>
          <w:sz w:val="24"/>
          <w:szCs w:val="24"/>
          <w:lang w:eastAsia="zh-CN"/>
        </w:rPr>
        <w:t>。</w:t>
      </w:r>
      <w:r w:rsidR="000C5FDB">
        <w:rPr>
          <w:rFonts w:ascii="华文楷体" w:hAnsi="华文楷体" w:hint="eastAsia"/>
          <w:sz w:val="24"/>
          <w:szCs w:val="24"/>
          <w:lang w:eastAsia="zh-CN"/>
        </w:rPr>
        <w:t>根据当前</w:t>
      </w:r>
      <w:r w:rsidR="007E6905">
        <w:rPr>
          <w:rFonts w:ascii="华文楷体" w:hAnsi="华文楷体" w:hint="eastAsia"/>
          <w:sz w:val="24"/>
          <w:szCs w:val="24"/>
          <w:lang w:eastAsia="zh-CN"/>
        </w:rPr>
        <w:t>发行计划显示</w:t>
      </w:r>
      <w:r w:rsidR="000C5FDB">
        <w:rPr>
          <w:rFonts w:ascii="华文楷体" w:hAnsi="华文楷体" w:hint="eastAsia"/>
          <w:sz w:val="24"/>
          <w:szCs w:val="24"/>
          <w:lang w:eastAsia="zh-CN"/>
        </w:rPr>
        <w:t>，下周</w:t>
      </w:r>
      <w:r w:rsidR="007E6905">
        <w:rPr>
          <w:rFonts w:ascii="华文楷体" w:hAnsi="华文楷体" w:hint="eastAsia"/>
          <w:sz w:val="24"/>
          <w:szCs w:val="24"/>
          <w:lang w:eastAsia="zh-CN"/>
        </w:rPr>
        <w:t>发行量</w:t>
      </w:r>
      <w:r w:rsidR="00DC322E">
        <w:rPr>
          <w:rFonts w:ascii="华文楷体" w:hAnsi="华文楷体"/>
          <w:sz w:val="24"/>
          <w:szCs w:val="24"/>
          <w:lang w:eastAsia="zh-CN"/>
        </w:rPr>
        <w:t>2383.81</w:t>
      </w:r>
      <w:r w:rsidR="007E6905">
        <w:rPr>
          <w:rFonts w:ascii="华文楷体" w:hAnsi="华文楷体" w:hint="eastAsia"/>
          <w:sz w:val="24"/>
          <w:szCs w:val="24"/>
          <w:lang w:eastAsia="zh-CN"/>
        </w:rPr>
        <w:t>亿，到期量</w:t>
      </w:r>
      <w:r w:rsidR="00DC322E">
        <w:rPr>
          <w:rFonts w:ascii="华文楷体" w:hAnsi="华文楷体"/>
          <w:sz w:val="24"/>
          <w:szCs w:val="24"/>
          <w:lang w:eastAsia="zh-CN"/>
        </w:rPr>
        <w:t>2511.78</w:t>
      </w:r>
      <w:r w:rsidR="007E6905">
        <w:rPr>
          <w:rFonts w:ascii="华文楷体" w:hAnsi="华文楷体" w:hint="eastAsia"/>
          <w:sz w:val="24"/>
          <w:szCs w:val="24"/>
          <w:lang w:eastAsia="zh-CN"/>
        </w:rPr>
        <w:t>亿，净融资</w:t>
      </w:r>
      <w:r w:rsidR="00DC322E">
        <w:rPr>
          <w:rFonts w:ascii="华文楷体" w:hAnsi="华文楷体"/>
          <w:sz w:val="24"/>
          <w:szCs w:val="24"/>
          <w:lang w:eastAsia="zh-CN"/>
        </w:rPr>
        <w:t>-127.97</w:t>
      </w:r>
      <w:r w:rsidR="007E6905">
        <w:rPr>
          <w:rFonts w:ascii="华文楷体" w:hAnsi="华文楷体" w:hint="eastAsia"/>
          <w:sz w:val="24"/>
          <w:szCs w:val="24"/>
          <w:lang w:eastAsia="zh-CN"/>
        </w:rPr>
        <w:t>亿。</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9E510B">
        <w:tblPrEx>
          <w:tblCellMar>
            <w:left w:w="108" w:type="dxa"/>
            <w:right w:w="108" w:type="dxa"/>
          </w:tblCellMar>
        </w:tblPrEx>
        <w:trPr>
          <w:jc w:val="center"/>
        </w:trPr>
        <w:tc>
          <w:tcPr>
            <w:tcW w:w="4939" w:type="dxa"/>
            <w:vAlign w:val="center"/>
          </w:tcPr>
          <w:p w14:paraId="678C97B0" w14:textId="40F39318" w:rsidR="00E0626C" w:rsidRPr="007E0340" w:rsidRDefault="009E510B" w:rsidP="002104B2">
            <w:pPr>
              <w:rPr>
                <w:noProof/>
              </w:rPr>
            </w:pPr>
            <w:r>
              <w:rPr>
                <w:noProof/>
              </w:rPr>
              <w:drawing>
                <wp:inline distT="0" distB="0" distL="0" distR="0" wp14:anchorId="5B5EE180" wp14:editId="0D5FE12A">
                  <wp:extent cx="2999105" cy="1740343"/>
                  <wp:effectExtent l="0" t="0" r="0" b="0"/>
                  <wp:docPr id="21" name="图表 2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7725DBB6" w:rsidR="00E0626C" w:rsidRPr="007E0340" w:rsidRDefault="00292C0B" w:rsidP="009A2BA0">
            <w:pPr>
              <w:jc w:val="center"/>
              <w:rPr>
                <w:noProof/>
                <w:szCs w:val="18"/>
              </w:rPr>
            </w:pPr>
            <w:r>
              <w:rPr>
                <w:noProof/>
              </w:rPr>
              <w:drawing>
                <wp:inline distT="0" distB="0" distL="0" distR="0" wp14:anchorId="026AC73D" wp14:editId="1AC2D6CB">
                  <wp:extent cx="2998470" cy="1721125"/>
                  <wp:effectExtent l="0" t="0" r="0" b="0"/>
                  <wp:docPr id="9" name="图表 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69CB5192" w:rsidR="007A3F0D" w:rsidRPr="00AC2976"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00305223" w:rsidRPr="00305223">
        <w:rPr>
          <w:rFonts w:ascii="华文楷体" w:hAnsi="华文楷体" w:hint="eastAsia"/>
          <w:sz w:val="24"/>
          <w:szCs w:val="24"/>
          <w:lang w:eastAsia="zh-CN"/>
        </w:rPr>
        <w:t>，</w:t>
      </w:r>
      <w:r w:rsidR="00807490">
        <w:rPr>
          <w:rFonts w:ascii="华文楷体" w:hAnsi="华文楷体" w:hint="eastAsia"/>
          <w:sz w:val="24"/>
          <w:szCs w:val="24"/>
          <w:lang w:eastAsia="zh-CN"/>
        </w:rPr>
        <w:t>信用品种</w:t>
      </w:r>
      <w:r w:rsidR="0083308F">
        <w:rPr>
          <w:rFonts w:ascii="华文楷体" w:hAnsi="华文楷体" w:hint="eastAsia"/>
          <w:sz w:val="24"/>
          <w:szCs w:val="24"/>
          <w:lang w:eastAsia="zh-CN"/>
        </w:rPr>
        <w:t>整体适度</w:t>
      </w:r>
      <w:r w:rsidR="00DC322E">
        <w:rPr>
          <w:rFonts w:ascii="华文楷体" w:hAnsi="华文楷体" w:hint="eastAsia"/>
          <w:sz w:val="24"/>
          <w:szCs w:val="24"/>
          <w:lang w:eastAsia="zh-CN"/>
        </w:rPr>
        <w:t>下行</w:t>
      </w:r>
      <w:r w:rsidR="004D1342">
        <w:rPr>
          <w:rFonts w:ascii="华文楷体" w:hAnsi="华文楷体" w:hint="eastAsia"/>
          <w:sz w:val="24"/>
          <w:szCs w:val="24"/>
          <w:lang w:eastAsia="zh-CN"/>
        </w:rPr>
        <w:t>，</w:t>
      </w:r>
      <w:r w:rsidR="0083308F">
        <w:rPr>
          <w:rFonts w:ascii="华文楷体" w:hAnsi="华文楷体" w:hint="eastAsia"/>
          <w:sz w:val="24"/>
          <w:szCs w:val="24"/>
          <w:lang w:eastAsia="zh-CN"/>
        </w:rPr>
        <w:t>其中</w:t>
      </w:r>
      <w:r w:rsidR="00DC322E">
        <w:rPr>
          <w:rFonts w:ascii="华文楷体" w:hAnsi="华文楷体"/>
          <w:sz w:val="24"/>
          <w:szCs w:val="24"/>
          <w:lang w:eastAsia="zh-CN"/>
        </w:rPr>
        <w:t>5</w:t>
      </w:r>
      <w:r w:rsidR="0083308F">
        <w:rPr>
          <w:rFonts w:ascii="华文楷体" w:hAnsi="华文楷体" w:hint="eastAsia"/>
          <w:sz w:val="24"/>
          <w:szCs w:val="24"/>
          <w:lang w:eastAsia="zh-CN"/>
        </w:rPr>
        <w:t>Y和7Y品种</w:t>
      </w:r>
      <w:r w:rsidR="00DC322E">
        <w:rPr>
          <w:rFonts w:ascii="华文楷体" w:hAnsi="华文楷体" w:hint="eastAsia"/>
          <w:sz w:val="24"/>
          <w:szCs w:val="24"/>
          <w:lang w:eastAsia="zh-CN"/>
        </w:rPr>
        <w:t>调整适度</w:t>
      </w:r>
      <w:r w:rsidR="00DC322E">
        <w:rPr>
          <w:rFonts w:ascii="华文楷体" w:hAnsi="华文楷体"/>
          <w:sz w:val="24"/>
          <w:szCs w:val="24"/>
          <w:lang w:eastAsia="zh-CN"/>
        </w:rPr>
        <w:t>下行</w:t>
      </w:r>
      <w:r w:rsidR="00DC322E">
        <w:rPr>
          <w:rFonts w:ascii="华文楷体" w:hAnsi="华文楷体" w:hint="eastAsia"/>
          <w:sz w:val="24"/>
          <w:szCs w:val="24"/>
          <w:lang w:eastAsia="zh-CN"/>
        </w:rPr>
        <w:t>表现略</w:t>
      </w:r>
      <w:r w:rsidR="00DC322E">
        <w:rPr>
          <w:rFonts w:ascii="华文楷体" w:hAnsi="华文楷体"/>
          <w:sz w:val="24"/>
          <w:szCs w:val="24"/>
          <w:lang w:eastAsia="zh-CN"/>
        </w:rPr>
        <w:t>好于同期限利率品种</w:t>
      </w:r>
      <w:r w:rsidR="00115834">
        <w:rPr>
          <w:rFonts w:ascii="华文楷体" w:hAnsi="华文楷体" w:hint="eastAsia"/>
          <w:sz w:val="24"/>
          <w:szCs w:val="24"/>
          <w:lang w:eastAsia="zh-CN"/>
        </w:rPr>
        <w:t>。</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305223" w:rsidRPr="00305223">
        <w:rPr>
          <w:rFonts w:ascii="华文楷体" w:hAnsi="华文楷体" w:hint="eastAsia"/>
          <w:sz w:val="24"/>
          <w:szCs w:val="24"/>
          <w:lang w:eastAsia="zh-CN"/>
        </w:rPr>
        <w:t>中短期票据</w:t>
      </w:r>
      <w:r w:rsidR="00DC322E">
        <w:rPr>
          <w:rFonts w:ascii="华文楷体" w:hAnsi="华文楷体" w:hint="eastAsia"/>
          <w:sz w:val="24"/>
          <w:szCs w:val="24"/>
          <w:lang w:eastAsia="zh-CN"/>
        </w:rPr>
        <w:t>小幅</w:t>
      </w:r>
      <w:r w:rsidR="0083308F">
        <w:rPr>
          <w:rFonts w:ascii="华文楷体" w:hAnsi="华文楷体" w:hint="eastAsia"/>
          <w:sz w:val="24"/>
          <w:szCs w:val="24"/>
          <w:lang w:eastAsia="zh-CN"/>
        </w:rPr>
        <w:t>震荡</w:t>
      </w:r>
      <w:r w:rsidR="00DC322E">
        <w:rPr>
          <w:rFonts w:ascii="华文楷体" w:hAnsi="华文楷体" w:hint="eastAsia"/>
          <w:sz w:val="24"/>
          <w:szCs w:val="24"/>
          <w:lang w:eastAsia="zh-CN"/>
        </w:rPr>
        <w:t>下行</w:t>
      </w:r>
      <w:r w:rsidR="0083308F">
        <w:rPr>
          <w:rFonts w:ascii="华文楷体" w:hAnsi="华文楷体" w:hint="eastAsia"/>
          <w:sz w:val="24"/>
          <w:szCs w:val="24"/>
          <w:lang w:eastAsia="zh-CN"/>
        </w:rPr>
        <w:t>为主</w:t>
      </w:r>
      <w:r w:rsidR="004D1342">
        <w:rPr>
          <w:rFonts w:ascii="华文楷体" w:hAnsi="华文楷体" w:hint="eastAsia"/>
          <w:sz w:val="24"/>
          <w:szCs w:val="24"/>
          <w:lang w:eastAsia="zh-CN"/>
        </w:rPr>
        <w:t>；</w:t>
      </w:r>
      <w:r w:rsidR="00DC322E">
        <w:rPr>
          <w:rFonts w:ascii="华文楷体" w:hAnsi="华文楷体" w:hint="eastAsia"/>
          <w:sz w:val="24"/>
          <w:szCs w:val="24"/>
          <w:lang w:eastAsia="zh-CN"/>
        </w:rPr>
        <w:t>中票和</w:t>
      </w:r>
      <w:r w:rsidR="00DC322E">
        <w:rPr>
          <w:rFonts w:ascii="华文楷体" w:hAnsi="华文楷体"/>
          <w:sz w:val="24"/>
          <w:szCs w:val="24"/>
          <w:lang w:eastAsia="zh-CN"/>
        </w:rPr>
        <w:t>企业债品种本周调整幅度不大，大体维持在</w:t>
      </w:r>
      <w:r w:rsidR="00DC322E">
        <w:rPr>
          <w:rFonts w:ascii="华文楷体" w:hAnsi="华文楷体" w:hint="eastAsia"/>
          <w:sz w:val="24"/>
          <w:szCs w:val="24"/>
          <w:lang w:eastAsia="zh-CN"/>
        </w:rPr>
        <w:t>1</w:t>
      </w:r>
      <w:r w:rsidR="00DC322E">
        <w:rPr>
          <w:rFonts w:ascii="华文楷体" w:hAnsi="华文楷体"/>
          <w:sz w:val="24"/>
          <w:szCs w:val="24"/>
          <w:lang w:eastAsia="zh-CN"/>
        </w:rPr>
        <w:t>-5BP</w:t>
      </w:r>
      <w:r w:rsidR="004D1342">
        <w:rPr>
          <w:rFonts w:ascii="华文楷体" w:hAnsi="华文楷体" w:hint="eastAsia"/>
          <w:sz w:val="24"/>
          <w:szCs w:val="24"/>
          <w:lang w:eastAsia="zh-CN"/>
        </w:rPr>
        <w:t>；城投债</w:t>
      </w:r>
      <w:r w:rsidR="00EE7787">
        <w:rPr>
          <w:rFonts w:ascii="华文楷体" w:hAnsi="华文楷体" w:hint="eastAsia"/>
          <w:sz w:val="24"/>
          <w:szCs w:val="24"/>
          <w:lang w:eastAsia="zh-CN"/>
        </w:rPr>
        <w:t>方面，</w:t>
      </w:r>
      <w:r w:rsidR="00DC322E">
        <w:rPr>
          <w:rFonts w:ascii="华文楷体" w:hAnsi="华文楷体" w:hint="eastAsia"/>
          <w:sz w:val="24"/>
          <w:szCs w:val="24"/>
          <w:lang w:eastAsia="zh-CN"/>
        </w:rPr>
        <w:t>本周波动</w:t>
      </w:r>
      <w:r w:rsidR="00DC322E">
        <w:rPr>
          <w:rFonts w:ascii="华文楷体" w:hAnsi="华文楷体"/>
          <w:sz w:val="24"/>
          <w:szCs w:val="24"/>
          <w:lang w:eastAsia="zh-CN"/>
        </w:rPr>
        <w:t>相对明显，</w:t>
      </w:r>
      <w:r w:rsidR="00EE7787">
        <w:rPr>
          <w:rFonts w:ascii="华文楷体" w:hAnsi="华文楷体" w:hint="eastAsia"/>
          <w:sz w:val="24"/>
          <w:szCs w:val="24"/>
          <w:lang w:eastAsia="zh-CN"/>
        </w:rPr>
        <w:t>3</w:t>
      </w:r>
      <w:r w:rsidR="004D1342">
        <w:rPr>
          <w:rFonts w:ascii="华文楷体" w:hAnsi="华文楷体" w:hint="eastAsia"/>
          <w:sz w:val="24"/>
          <w:szCs w:val="24"/>
          <w:lang w:eastAsia="zh-CN"/>
        </w:rPr>
        <w:t>年</w:t>
      </w:r>
      <w:r w:rsidR="00DC322E">
        <w:rPr>
          <w:rFonts w:ascii="华文楷体" w:hAnsi="华文楷体" w:hint="eastAsia"/>
          <w:sz w:val="24"/>
          <w:szCs w:val="24"/>
          <w:lang w:eastAsia="zh-CN"/>
        </w:rPr>
        <w:t>和7年</w:t>
      </w:r>
      <w:r w:rsidR="00DC322E">
        <w:rPr>
          <w:rFonts w:ascii="华文楷体" w:hAnsi="华文楷体"/>
          <w:sz w:val="24"/>
          <w:szCs w:val="24"/>
          <w:lang w:eastAsia="zh-CN"/>
        </w:rPr>
        <w:t>品种</w:t>
      </w:r>
      <w:r w:rsidR="0083308F">
        <w:rPr>
          <w:rFonts w:ascii="华文楷体" w:hAnsi="华文楷体" w:hint="eastAsia"/>
          <w:sz w:val="24"/>
          <w:szCs w:val="24"/>
          <w:lang w:eastAsia="zh-CN"/>
        </w:rPr>
        <w:t>本周</w:t>
      </w:r>
      <w:r w:rsidR="00DC322E">
        <w:rPr>
          <w:rFonts w:ascii="华文楷体" w:hAnsi="华文楷体" w:hint="eastAsia"/>
          <w:sz w:val="24"/>
          <w:szCs w:val="24"/>
          <w:lang w:eastAsia="zh-CN"/>
        </w:rPr>
        <w:t>下行4BP左右</w:t>
      </w:r>
      <w:r w:rsidR="00DC322E">
        <w:rPr>
          <w:rFonts w:ascii="华文楷体" w:hAnsi="华文楷体"/>
          <w:sz w:val="24"/>
          <w:szCs w:val="24"/>
          <w:lang w:eastAsia="zh-CN"/>
        </w:rPr>
        <w:t>，</w:t>
      </w:r>
      <w:r w:rsidR="00DC322E">
        <w:rPr>
          <w:rFonts w:ascii="华文楷体" w:hAnsi="华文楷体" w:hint="eastAsia"/>
          <w:sz w:val="24"/>
          <w:szCs w:val="24"/>
          <w:lang w:eastAsia="zh-CN"/>
        </w:rPr>
        <w:t>5Y品种</w:t>
      </w:r>
      <w:r w:rsidR="00DC322E">
        <w:rPr>
          <w:rFonts w:ascii="华文楷体" w:hAnsi="华文楷体"/>
          <w:sz w:val="24"/>
          <w:szCs w:val="24"/>
          <w:lang w:eastAsia="zh-CN"/>
        </w:rPr>
        <w:t>下行</w:t>
      </w:r>
      <w:r w:rsidR="00DC322E">
        <w:rPr>
          <w:rFonts w:ascii="华文楷体" w:hAnsi="华文楷体" w:hint="eastAsia"/>
          <w:sz w:val="24"/>
          <w:szCs w:val="24"/>
          <w:lang w:eastAsia="zh-CN"/>
        </w:rPr>
        <w:t>5BP左右</w:t>
      </w:r>
      <w:r w:rsidR="004D1342">
        <w:rPr>
          <w:rFonts w:ascii="华文楷体" w:hAnsi="华文楷体" w:hint="eastAsia"/>
          <w:sz w:val="24"/>
          <w:szCs w:val="24"/>
          <w:lang w:eastAsia="zh-CN"/>
        </w:rPr>
        <w:t>。</w:t>
      </w:r>
      <w:r w:rsidR="007275B2">
        <w:rPr>
          <w:rFonts w:ascii="华文楷体" w:hAnsi="华文楷体" w:hint="eastAsia"/>
          <w:sz w:val="24"/>
          <w:szCs w:val="24"/>
          <w:lang w:eastAsia="zh-CN"/>
        </w:rPr>
        <w:t>收益率绝对水平来看，各期限品种</w:t>
      </w:r>
      <w:r w:rsidR="00DC322E">
        <w:rPr>
          <w:rFonts w:ascii="华文楷体" w:hAnsi="华文楷体" w:hint="eastAsia"/>
          <w:sz w:val="24"/>
          <w:szCs w:val="24"/>
          <w:lang w:eastAsia="zh-CN"/>
        </w:rPr>
        <w:t>小幅</w:t>
      </w:r>
      <w:r w:rsidR="00DC322E">
        <w:rPr>
          <w:rFonts w:ascii="华文楷体" w:hAnsi="华文楷体"/>
          <w:sz w:val="24"/>
          <w:szCs w:val="24"/>
          <w:lang w:eastAsia="zh-CN"/>
        </w:rPr>
        <w:t>下行至</w:t>
      </w:r>
      <w:r w:rsidR="00DC322E">
        <w:rPr>
          <w:rFonts w:ascii="华文楷体" w:hAnsi="华文楷体" w:hint="eastAsia"/>
          <w:sz w:val="24"/>
          <w:szCs w:val="24"/>
          <w:lang w:eastAsia="zh-CN"/>
        </w:rPr>
        <w:t>10</w:t>
      </w:r>
      <w:r w:rsidR="00DC322E">
        <w:rPr>
          <w:rFonts w:ascii="华文楷体" w:hAnsi="华文楷体"/>
          <w:sz w:val="24"/>
          <w:szCs w:val="24"/>
          <w:lang w:eastAsia="zh-CN"/>
        </w:rPr>
        <w:t>-20</w:t>
      </w:r>
      <w:r w:rsidR="007275B2">
        <w:rPr>
          <w:rFonts w:ascii="华文楷体" w:hAnsi="华文楷体" w:hint="eastAsia"/>
          <w:sz w:val="24"/>
          <w:szCs w:val="24"/>
          <w:lang w:eastAsia="zh-CN"/>
        </w:rPr>
        <w:t>%分位</w:t>
      </w:r>
      <w:r w:rsidR="00C02867">
        <w:rPr>
          <w:rFonts w:ascii="华文楷体" w:hAnsi="华文楷体" w:hint="eastAsia"/>
          <w:sz w:val="24"/>
          <w:szCs w:val="24"/>
          <w:lang w:eastAsia="zh-CN"/>
        </w:rPr>
        <w:t>区间</w:t>
      </w:r>
      <w:r w:rsidR="008D33AB">
        <w:rPr>
          <w:rFonts w:ascii="华文楷体" w:hAnsi="华文楷体" w:hint="eastAsia"/>
          <w:sz w:val="24"/>
          <w:szCs w:val="24"/>
          <w:lang w:eastAsia="zh-CN"/>
        </w:rPr>
        <w:t>，息差</w:t>
      </w:r>
      <w:r w:rsidR="00157A02">
        <w:rPr>
          <w:rFonts w:ascii="华文楷体" w:hAnsi="华文楷体" w:hint="eastAsia"/>
          <w:sz w:val="24"/>
          <w:szCs w:val="24"/>
          <w:lang w:eastAsia="zh-CN"/>
        </w:rPr>
        <w:t>水平</w:t>
      </w:r>
      <w:r w:rsidR="00D21148">
        <w:rPr>
          <w:rFonts w:ascii="华文楷体" w:hAnsi="华文楷体" w:hint="eastAsia"/>
          <w:sz w:val="24"/>
          <w:szCs w:val="24"/>
          <w:lang w:eastAsia="zh-CN"/>
        </w:rPr>
        <w:t>处于</w:t>
      </w:r>
      <w:r w:rsidR="00DC322E">
        <w:rPr>
          <w:rFonts w:ascii="华文楷体" w:hAnsi="华文楷体"/>
          <w:sz w:val="24"/>
          <w:szCs w:val="24"/>
          <w:lang w:eastAsia="zh-CN"/>
        </w:rPr>
        <w:t>10-35</w:t>
      </w:r>
      <w:r w:rsidR="008D33AB">
        <w:rPr>
          <w:rFonts w:ascii="华文楷体" w:hAnsi="华文楷体" w:hint="eastAsia"/>
          <w:sz w:val="24"/>
          <w:szCs w:val="24"/>
          <w:lang w:eastAsia="zh-CN"/>
        </w:rPr>
        <w:t>%分位</w:t>
      </w:r>
      <w:r w:rsidR="00440CFF">
        <w:rPr>
          <w:rFonts w:ascii="华文楷体" w:hAnsi="华文楷体" w:hint="eastAsia"/>
          <w:sz w:val="24"/>
          <w:szCs w:val="24"/>
          <w:lang w:eastAsia="zh-CN"/>
        </w:rPr>
        <w:t>区间</w:t>
      </w:r>
      <w:r w:rsidR="00E13BCF">
        <w:rPr>
          <w:rFonts w:ascii="华文楷体" w:hAnsi="华文楷体" w:hint="eastAsia"/>
          <w:sz w:val="24"/>
          <w:szCs w:val="24"/>
          <w:lang w:eastAsia="zh-CN"/>
        </w:rPr>
        <w:t>。</w:t>
      </w:r>
    </w:p>
    <w:tbl>
      <w:tblPr>
        <w:tblW w:w="9738"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E87491">
        <w:trPr>
          <w:trHeight w:val="270"/>
          <w:jc w:val="center"/>
        </w:trPr>
        <w:tc>
          <w:tcPr>
            <w:tcW w:w="9738"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E87491">
        <w:tblPrEx>
          <w:tblCellMar>
            <w:left w:w="108" w:type="dxa"/>
            <w:right w:w="108" w:type="dxa"/>
          </w:tblCellMar>
        </w:tblPrEx>
        <w:trPr>
          <w:trHeight w:val="392"/>
          <w:jc w:val="center"/>
        </w:trPr>
        <w:tc>
          <w:tcPr>
            <w:tcW w:w="9738" w:type="dxa"/>
            <w:vAlign w:val="center"/>
          </w:tcPr>
          <w:tbl>
            <w:tblPr>
              <w:tblW w:w="9638" w:type="dxa"/>
              <w:tblLook w:val="04A0" w:firstRow="1" w:lastRow="0" w:firstColumn="1" w:lastColumn="0" w:noHBand="0" w:noVBand="1"/>
            </w:tblPr>
            <w:tblGrid>
              <w:gridCol w:w="1323"/>
              <w:gridCol w:w="899"/>
              <w:gridCol w:w="900"/>
              <w:gridCol w:w="900"/>
              <w:gridCol w:w="899"/>
              <w:gridCol w:w="1121"/>
              <w:gridCol w:w="899"/>
              <w:gridCol w:w="899"/>
              <w:gridCol w:w="899"/>
              <w:gridCol w:w="899"/>
            </w:tblGrid>
            <w:tr w:rsidR="00292C0B" w:rsidRPr="00292C0B" w14:paraId="5659DFB3" w14:textId="77777777" w:rsidTr="00292C0B">
              <w:trPr>
                <w:trHeight w:val="285"/>
              </w:trPr>
              <w:tc>
                <w:tcPr>
                  <w:tcW w:w="1323" w:type="dxa"/>
                  <w:tcBorders>
                    <w:top w:val="nil"/>
                    <w:left w:val="nil"/>
                    <w:bottom w:val="single" w:sz="12" w:space="0" w:color="FFFFFF"/>
                    <w:right w:val="single" w:sz="8" w:space="0" w:color="FFFFFF"/>
                  </w:tcBorders>
                  <w:shd w:val="clear" w:color="000000" w:fill="F79646"/>
                  <w:noWrap/>
                  <w:vAlign w:val="center"/>
                  <w:hideMark/>
                </w:tcPr>
                <w:p w14:paraId="4D556AF3"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收益率(%)</w:t>
                  </w:r>
                </w:p>
              </w:tc>
              <w:tc>
                <w:tcPr>
                  <w:tcW w:w="899" w:type="dxa"/>
                  <w:tcBorders>
                    <w:top w:val="nil"/>
                    <w:left w:val="nil"/>
                    <w:bottom w:val="single" w:sz="12" w:space="0" w:color="FFFFFF"/>
                    <w:right w:val="single" w:sz="8" w:space="0" w:color="FFFFFF"/>
                  </w:tcBorders>
                  <w:shd w:val="clear" w:color="000000" w:fill="F79646"/>
                  <w:noWrap/>
                  <w:vAlign w:val="center"/>
                  <w:hideMark/>
                </w:tcPr>
                <w:p w14:paraId="60F4C67D"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296F9DED"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3A0A51E2"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38F41B33"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1121" w:type="dxa"/>
                  <w:tcBorders>
                    <w:top w:val="nil"/>
                    <w:left w:val="nil"/>
                    <w:bottom w:val="single" w:sz="12" w:space="0" w:color="FFFFFF"/>
                    <w:right w:val="single" w:sz="8" w:space="0" w:color="FFFFFF"/>
                  </w:tcBorders>
                  <w:shd w:val="clear" w:color="000000" w:fill="F79646"/>
                  <w:noWrap/>
                  <w:vAlign w:val="center"/>
                  <w:hideMark/>
                </w:tcPr>
                <w:p w14:paraId="07C4540A"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11D8B550"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1B081F3"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2B76107C"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B632A47"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r>
            <w:tr w:rsidR="00292C0B" w:rsidRPr="00292C0B" w14:paraId="3BF8B890" w14:textId="77777777" w:rsidTr="00292C0B">
              <w:trPr>
                <w:trHeight w:val="315"/>
              </w:trPr>
              <w:tc>
                <w:tcPr>
                  <w:tcW w:w="1323" w:type="dxa"/>
                  <w:tcBorders>
                    <w:top w:val="nil"/>
                    <w:left w:val="nil"/>
                    <w:bottom w:val="single" w:sz="8" w:space="0" w:color="FFFFFF"/>
                    <w:right w:val="single" w:sz="8" w:space="0" w:color="FFFFFF"/>
                  </w:tcBorders>
                  <w:shd w:val="clear" w:color="000000" w:fill="FCD5B4"/>
                  <w:noWrap/>
                  <w:vAlign w:val="center"/>
                  <w:hideMark/>
                </w:tcPr>
                <w:p w14:paraId="50E7C43F"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6660862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2.71 </w:t>
                  </w:r>
                </w:p>
              </w:tc>
              <w:tc>
                <w:tcPr>
                  <w:tcW w:w="900" w:type="dxa"/>
                  <w:tcBorders>
                    <w:top w:val="nil"/>
                    <w:left w:val="nil"/>
                    <w:bottom w:val="single" w:sz="8" w:space="0" w:color="FFFFFF"/>
                    <w:right w:val="single" w:sz="8" w:space="0" w:color="FFFFFF"/>
                  </w:tcBorders>
                  <w:shd w:val="clear" w:color="000000" w:fill="FCD5B4"/>
                  <w:noWrap/>
                  <w:vAlign w:val="center"/>
                  <w:hideMark/>
                </w:tcPr>
                <w:p w14:paraId="20070A7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2.88 </w:t>
                  </w:r>
                </w:p>
              </w:tc>
              <w:tc>
                <w:tcPr>
                  <w:tcW w:w="900" w:type="dxa"/>
                  <w:tcBorders>
                    <w:top w:val="nil"/>
                    <w:left w:val="nil"/>
                    <w:bottom w:val="single" w:sz="8" w:space="0" w:color="FFFFFF"/>
                    <w:right w:val="single" w:sz="8" w:space="0" w:color="FFFFFF"/>
                  </w:tcBorders>
                  <w:shd w:val="clear" w:color="000000" w:fill="FCD5B4"/>
                  <w:noWrap/>
                  <w:vAlign w:val="center"/>
                  <w:hideMark/>
                </w:tcPr>
                <w:p w14:paraId="4928521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3.17 </w:t>
                  </w:r>
                </w:p>
              </w:tc>
              <w:tc>
                <w:tcPr>
                  <w:tcW w:w="899" w:type="dxa"/>
                  <w:tcBorders>
                    <w:top w:val="nil"/>
                    <w:left w:val="nil"/>
                    <w:bottom w:val="single" w:sz="8" w:space="0" w:color="FFFFFF"/>
                    <w:right w:val="single" w:sz="8" w:space="0" w:color="FFFFFF"/>
                  </w:tcBorders>
                  <w:shd w:val="clear" w:color="000000" w:fill="FCD5B4"/>
                  <w:noWrap/>
                  <w:vAlign w:val="center"/>
                  <w:hideMark/>
                </w:tcPr>
                <w:p w14:paraId="2AE2094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5.34 </w:t>
                  </w:r>
                </w:p>
              </w:tc>
              <w:tc>
                <w:tcPr>
                  <w:tcW w:w="1121" w:type="dxa"/>
                  <w:tcBorders>
                    <w:top w:val="nil"/>
                    <w:left w:val="nil"/>
                    <w:bottom w:val="single" w:sz="8" w:space="0" w:color="FFFFFF"/>
                    <w:right w:val="single" w:sz="8" w:space="0" w:color="FFFFFF"/>
                  </w:tcBorders>
                  <w:shd w:val="clear" w:color="000000" w:fill="FCD5B4"/>
                  <w:noWrap/>
                  <w:vAlign w:val="center"/>
                  <w:hideMark/>
                </w:tcPr>
                <w:p w14:paraId="3C8BE415"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5DB9BEF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0.61 </w:t>
                  </w:r>
                </w:p>
              </w:tc>
              <w:tc>
                <w:tcPr>
                  <w:tcW w:w="899" w:type="dxa"/>
                  <w:tcBorders>
                    <w:top w:val="nil"/>
                    <w:left w:val="nil"/>
                    <w:bottom w:val="single" w:sz="8" w:space="0" w:color="FFFFFF"/>
                    <w:right w:val="single" w:sz="8" w:space="0" w:color="FFFFFF"/>
                  </w:tcBorders>
                  <w:shd w:val="clear" w:color="000000" w:fill="FCD5B4"/>
                  <w:noWrap/>
                  <w:vAlign w:val="center"/>
                  <w:hideMark/>
                </w:tcPr>
                <w:p w14:paraId="39DED7B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0.78 </w:t>
                  </w:r>
                </w:p>
              </w:tc>
              <w:tc>
                <w:tcPr>
                  <w:tcW w:w="899" w:type="dxa"/>
                  <w:tcBorders>
                    <w:top w:val="nil"/>
                    <w:left w:val="nil"/>
                    <w:bottom w:val="single" w:sz="8" w:space="0" w:color="FFFFFF"/>
                    <w:right w:val="single" w:sz="8" w:space="0" w:color="FFFFFF"/>
                  </w:tcBorders>
                  <w:shd w:val="clear" w:color="000000" w:fill="FCD5B4"/>
                  <w:noWrap/>
                  <w:vAlign w:val="center"/>
                  <w:hideMark/>
                </w:tcPr>
                <w:p w14:paraId="3505D80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CD5B4"/>
                  <w:noWrap/>
                  <w:vAlign w:val="center"/>
                  <w:hideMark/>
                </w:tcPr>
                <w:p w14:paraId="3C3E456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3.24 </w:t>
                  </w:r>
                </w:p>
              </w:tc>
            </w:tr>
            <w:tr w:rsidR="00292C0B" w:rsidRPr="00292C0B" w14:paraId="4BCD6A61"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4FCD3EBC"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0FEC84A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3.17 </w:t>
                  </w:r>
                </w:p>
              </w:tc>
              <w:tc>
                <w:tcPr>
                  <w:tcW w:w="900" w:type="dxa"/>
                  <w:tcBorders>
                    <w:top w:val="nil"/>
                    <w:left w:val="nil"/>
                    <w:bottom w:val="single" w:sz="8" w:space="0" w:color="FFFFFF"/>
                    <w:right w:val="single" w:sz="8" w:space="0" w:color="FFFFFF"/>
                  </w:tcBorders>
                  <w:shd w:val="clear" w:color="000000" w:fill="FDE9D9"/>
                  <w:noWrap/>
                  <w:vAlign w:val="center"/>
                  <w:hideMark/>
                </w:tcPr>
                <w:p w14:paraId="7FA9795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3.37 </w:t>
                  </w:r>
                </w:p>
              </w:tc>
              <w:tc>
                <w:tcPr>
                  <w:tcW w:w="900" w:type="dxa"/>
                  <w:tcBorders>
                    <w:top w:val="nil"/>
                    <w:left w:val="nil"/>
                    <w:bottom w:val="single" w:sz="8" w:space="0" w:color="FFFFFF"/>
                    <w:right w:val="single" w:sz="8" w:space="0" w:color="FFFFFF"/>
                  </w:tcBorders>
                  <w:shd w:val="clear" w:color="000000" w:fill="FDE9D9"/>
                  <w:noWrap/>
                  <w:vAlign w:val="center"/>
                  <w:hideMark/>
                </w:tcPr>
                <w:p w14:paraId="23A00E4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3.71 </w:t>
                  </w:r>
                </w:p>
              </w:tc>
              <w:tc>
                <w:tcPr>
                  <w:tcW w:w="899" w:type="dxa"/>
                  <w:tcBorders>
                    <w:top w:val="nil"/>
                    <w:left w:val="nil"/>
                    <w:bottom w:val="single" w:sz="8" w:space="0" w:color="FFFFFF"/>
                    <w:right w:val="single" w:sz="8" w:space="0" w:color="FFFFFF"/>
                  </w:tcBorders>
                  <w:shd w:val="clear" w:color="000000" w:fill="FDE9D9"/>
                  <w:noWrap/>
                  <w:vAlign w:val="center"/>
                  <w:hideMark/>
                </w:tcPr>
                <w:p w14:paraId="4E50FC1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5.88 </w:t>
                  </w:r>
                </w:p>
              </w:tc>
              <w:tc>
                <w:tcPr>
                  <w:tcW w:w="1121" w:type="dxa"/>
                  <w:tcBorders>
                    <w:top w:val="nil"/>
                    <w:left w:val="nil"/>
                    <w:bottom w:val="single" w:sz="8" w:space="0" w:color="FFFFFF"/>
                    <w:right w:val="single" w:sz="8" w:space="0" w:color="FFFFFF"/>
                  </w:tcBorders>
                  <w:shd w:val="clear" w:color="000000" w:fill="FDE9D9"/>
                  <w:noWrap/>
                  <w:vAlign w:val="center"/>
                  <w:hideMark/>
                </w:tcPr>
                <w:p w14:paraId="13E38B3F"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1B61ACA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0.78 </w:t>
                  </w:r>
                </w:p>
              </w:tc>
              <w:tc>
                <w:tcPr>
                  <w:tcW w:w="899" w:type="dxa"/>
                  <w:tcBorders>
                    <w:top w:val="nil"/>
                    <w:left w:val="nil"/>
                    <w:bottom w:val="single" w:sz="8" w:space="0" w:color="FFFFFF"/>
                    <w:right w:val="single" w:sz="8" w:space="0" w:color="FFFFFF"/>
                  </w:tcBorders>
                  <w:shd w:val="clear" w:color="000000" w:fill="FDE9D9"/>
                  <w:noWrap/>
                  <w:vAlign w:val="center"/>
                  <w:hideMark/>
                </w:tcPr>
                <w:p w14:paraId="0D29686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0.98 </w:t>
                  </w:r>
                </w:p>
              </w:tc>
              <w:tc>
                <w:tcPr>
                  <w:tcW w:w="899" w:type="dxa"/>
                  <w:tcBorders>
                    <w:top w:val="nil"/>
                    <w:left w:val="nil"/>
                    <w:bottom w:val="single" w:sz="8" w:space="0" w:color="FFFFFF"/>
                    <w:right w:val="single" w:sz="8" w:space="0" w:color="FFFFFF"/>
                  </w:tcBorders>
                  <w:shd w:val="clear" w:color="000000" w:fill="FDE9D9"/>
                  <w:noWrap/>
                  <w:vAlign w:val="center"/>
                  <w:hideMark/>
                </w:tcPr>
                <w:p w14:paraId="0897C45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1.32 </w:t>
                  </w:r>
                </w:p>
              </w:tc>
              <w:tc>
                <w:tcPr>
                  <w:tcW w:w="899" w:type="dxa"/>
                  <w:tcBorders>
                    <w:top w:val="nil"/>
                    <w:left w:val="nil"/>
                    <w:bottom w:val="single" w:sz="8" w:space="0" w:color="FFFFFF"/>
                    <w:right w:val="single" w:sz="8" w:space="0" w:color="FFFFFF"/>
                  </w:tcBorders>
                  <w:shd w:val="clear" w:color="000000" w:fill="FDE9D9"/>
                  <w:noWrap/>
                  <w:vAlign w:val="center"/>
                  <w:hideMark/>
                </w:tcPr>
                <w:p w14:paraId="4153ED8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3.49 </w:t>
                  </w:r>
                </w:p>
              </w:tc>
            </w:tr>
            <w:tr w:rsidR="00292C0B" w:rsidRPr="00292C0B" w14:paraId="1388D729"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2276E681"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46759F7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3.68 </w:t>
                  </w:r>
                </w:p>
              </w:tc>
              <w:tc>
                <w:tcPr>
                  <w:tcW w:w="900" w:type="dxa"/>
                  <w:tcBorders>
                    <w:top w:val="nil"/>
                    <w:left w:val="nil"/>
                    <w:bottom w:val="single" w:sz="8" w:space="0" w:color="FFFFFF"/>
                    <w:right w:val="single" w:sz="8" w:space="0" w:color="FFFFFF"/>
                  </w:tcBorders>
                  <w:shd w:val="clear" w:color="000000" w:fill="FCD5B4"/>
                  <w:noWrap/>
                  <w:vAlign w:val="center"/>
                  <w:hideMark/>
                </w:tcPr>
                <w:p w14:paraId="2974098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3.96 </w:t>
                  </w:r>
                </w:p>
              </w:tc>
              <w:tc>
                <w:tcPr>
                  <w:tcW w:w="900" w:type="dxa"/>
                  <w:tcBorders>
                    <w:top w:val="nil"/>
                    <w:left w:val="nil"/>
                    <w:bottom w:val="single" w:sz="8" w:space="0" w:color="FFFFFF"/>
                    <w:right w:val="single" w:sz="8" w:space="0" w:color="FFFFFF"/>
                  </w:tcBorders>
                  <w:shd w:val="clear" w:color="000000" w:fill="FCD5B4"/>
                  <w:noWrap/>
                  <w:vAlign w:val="center"/>
                  <w:hideMark/>
                </w:tcPr>
                <w:p w14:paraId="639D48D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4.34 </w:t>
                  </w:r>
                </w:p>
              </w:tc>
              <w:tc>
                <w:tcPr>
                  <w:tcW w:w="899" w:type="dxa"/>
                  <w:tcBorders>
                    <w:top w:val="nil"/>
                    <w:left w:val="nil"/>
                    <w:bottom w:val="single" w:sz="8" w:space="0" w:color="FFFFFF"/>
                    <w:right w:val="single" w:sz="8" w:space="0" w:color="FFFFFF"/>
                  </w:tcBorders>
                  <w:shd w:val="clear" w:color="000000" w:fill="FCD5B4"/>
                  <w:noWrap/>
                  <w:vAlign w:val="center"/>
                  <w:hideMark/>
                </w:tcPr>
                <w:p w14:paraId="24005C0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6.51 </w:t>
                  </w:r>
                </w:p>
              </w:tc>
              <w:tc>
                <w:tcPr>
                  <w:tcW w:w="1121" w:type="dxa"/>
                  <w:tcBorders>
                    <w:top w:val="nil"/>
                    <w:left w:val="nil"/>
                    <w:bottom w:val="single" w:sz="8" w:space="0" w:color="FFFFFF"/>
                    <w:right w:val="single" w:sz="8" w:space="0" w:color="FFFFFF"/>
                  </w:tcBorders>
                  <w:shd w:val="clear" w:color="000000" w:fill="FCD5B4"/>
                  <w:noWrap/>
                  <w:vAlign w:val="center"/>
                  <w:hideMark/>
                </w:tcPr>
                <w:p w14:paraId="3CD7AFBE"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397DEA2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CD5B4"/>
                  <w:noWrap/>
                  <w:vAlign w:val="center"/>
                  <w:hideMark/>
                </w:tcPr>
                <w:p w14:paraId="2E8BF99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1.35 </w:t>
                  </w:r>
                </w:p>
              </w:tc>
              <w:tc>
                <w:tcPr>
                  <w:tcW w:w="899" w:type="dxa"/>
                  <w:tcBorders>
                    <w:top w:val="nil"/>
                    <w:left w:val="nil"/>
                    <w:bottom w:val="single" w:sz="8" w:space="0" w:color="FFFFFF"/>
                    <w:right w:val="single" w:sz="8" w:space="0" w:color="FFFFFF"/>
                  </w:tcBorders>
                  <w:shd w:val="clear" w:color="000000" w:fill="FCD5B4"/>
                  <w:noWrap/>
                  <w:vAlign w:val="center"/>
                  <w:hideMark/>
                </w:tcPr>
                <w:p w14:paraId="4AF2C42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1.73 </w:t>
                  </w:r>
                </w:p>
              </w:tc>
              <w:tc>
                <w:tcPr>
                  <w:tcW w:w="899" w:type="dxa"/>
                  <w:tcBorders>
                    <w:top w:val="nil"/>
                    <w:left w:val="nil"/>
                    <w:bottom w:val="single" w:sz="8" w:space="0" w:color="FFFFFF"/>
                    <w:right w:val="single" w:sz="8" w:space="0" w:color="FFFFFF"/>
                  </w:tcBorders>
                  <w:shd w:val="clear" w:color="000000" w:fill="FCD5B4"/>
                  <w:noWrap/>
                  <w:vAlign w:val="center"/>
                  <w:hideMark/>
                </w:tcPr>
                <w:p w14:paraId="5E5C3C7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3.90 </w:t>
                  </w:r>
                </w:p>
              </w:tc>
            </w:tr>
            <w:tr w:rsidR="00292C0B" w:rsidRPr="00292C0B" w14:paraId="20155430"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03B2F446"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0351D3A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3.17 </w:t>
                  </w:r>
                </w:p>
              </w:tc>
              <w:tc>
                <w:tcPr>
                  <w:tcW w:w="900" w:type="dxa"/>
                  <w:tcBorders>
                    <w:top w:val="nil"/>
                    <w:left w:val="nil"/>
                    <w:bottom w:val="single" w:sz="8" w:space="0" w:color="FFFFFF"/>
                    <w:right w:val="single" w:sz="8" w:space="0" w:color="FFFFFF"/>
                  </w:tcBorders>
                  <w:shd w:val="clear" w:color="000000" w:fill="FDE9D9"/>
                  <w:noWrap/>
                  <w:vAlign w:val="center"/>
                  <w:hideMark/>
                </w:tcPr>
                <w:p w14:paraId="7530BC2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3.37 </w:t>
                  </w:r>
                </w:p>
              </w:tc>
              <w:tc>
                <w:tcPr>
                  <w:tcW w:w="900" w:type="dxa"/>
                  <w:tcBorders>
                    <w:top w:val="nil"/>
                    <w:left w:val="nil"/>
                    <w:bottom w:val="single" w:sz="8" w:space="0" w:color="FFFFFF"/>
                    <w:right w:val="single" w:sz="8" w:space="0" w:color="FFFFFF"/>
                  </w:tcBorders>
                  <w:shd w:val="clear" w:color="000000" w:fill="FDE9D9"/>
                  <w:noWrap/>
                  <w:vAlign w:val="center"/>
                  <w:hideMark/>
                </w:tcPr>
                <w:p w14:paraId="69AEF6E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3.71 </w:t>
                  </w:r>
                </w:p>
              </w:tc>
              <w:tc>
                <w:tcPr>
                  <w:tcW w:w="899" w:type="dxa"/>
                  <w:tcBorders>
                    <w:top w:val="nil"/>
                    <w:left w:val="nil"/>
                    <w:bottom w:val="single" w:sz="8" w:space="0" w:color="FFFFFF"/>
                    <w:right w:val="single" w:sz="8" w:space="0" w:color="FFFFFF"/>
                  </w:tcBorders>
                  <w:shd w:val="clear" w:color="000000" w:fill="FDE9D9"/>
                  <w:noWrap/>
                  <w:vAlign w:val="center"/>
                  <w:hideMark/>
                </w:tcPr>
                <w:p w14:paraId="784267C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5.88 </w:t>
                  </w:r>
                </w:p>
              </w:tc>
              <w:tc>
                <w:tcPr>
                  <w:tcW w:w="1121" w:type="dxa"/>
                  <w:tcBorders>
                    <w:top w:val="nil"/>
                    <w:left w:val="nil"/>
                    <w:bottom w:val="single" w:sz="8" w:space="0" w:color="FFFFFF"/>
                    <w:right w:val="single" w:sz="8" w:space="0" w:color="FFFFFF"/>
                  </w:tcBorders>
                  <w:shd w:val="clear" w:color="000000" w:fill="FDE9D9"/>
                  <w:noWrap/>
                  <w:vAlign w:val="center"/>
                  <w:hideMark/>
                </w:tcPr>
                <w:p w14:paraId="26938300"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041564D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0.79 </w:t>
                  </w:r>
                </w:p>
              </w:tc>
              <w:tc>
                <w:tcPr>
                  <w:tcW w:w="899" w:type="dxa"/>
                  <w:tcBorders>
                    <w:top w:val="nil"/>
                    <w:left w:val="nil"/>
                    <w:bottom w:val="single" w:sz="8" w:space="0" w:color="FFFFFF"/>
                    <w:right w:val="single" w:sz="8" w:space="0" w:color="FFFFFF"/>
                  </w:tcBorders>
                  <w:shd w:val="clear" w:color="000000" w:fill="FDE9D9"/>
                  <w:noWrap/>
                  <w:vAlign w:val="center"/>
                  <w:hideMark/>
                </w:tcPr>
                <w:p w14:paraId="43CACE7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0.99 </w:t>
                  </w:r>
                </w:p>
              </w:tc>
              <w:tc>
                <w:tcPr>
                  <w:tcW w:w="899" w:type="dxa"/>
                  <w:tcBorders>
                    <w:top w:val="nil"/>
                    <w:left w:val="nil"/>
                    <w:bottom w:val="single" w:sz="8" w:space="0" w:color="FFFFFF"/>
                    <w:right w:val="single" w:sz="8" w:space="0" w:color="FFFFFF"/>
                  </w:tcBorders>
                  <w:shd w:val="clear" w:color="000000" w:fill="FDE9D9"/>
                  <w:noWrap/>
                  <w:vAlign w:val="center"/>
                  <w:hideMark/>
                </w:tcPr>
                <w:p w14:paraId="565FB22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1.33 </w:t>
                  </w:r>
                </w:p>
              </w:tc>
              <w:tc>
                <w:tcPr>
                  <w:tcW w:w="899" w:type="dxa"/>
                  <w:tcBorders>
                    <w:top w:val="nil"/>
                    <w:left w:val="nil"/>
                    <w:bottom w:val="single" w:sz="8" w:space="0" w:color="FFFFFF"/>
                    <w:right w:val="single" w:sz="8" w:space="0" w:color="FFFFFF"/>
                  </w:tcBorders>
                  <w:shd w:val="clear" w:color="000000" w:fill="FDE9D9"/>
                  <w:noWrap/>
                  <w:vAlign w:val="center"/>
                  <w:hideMark/>
                </w:tcPr>
                <w:p w14:paraId="3043475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3.50 </w:t>
                  </w:r>
                </w:p>
              </w:tc>
            </w:tr>
            <w:tr w:rsidR="00292C0B" w:rsidRPr="00292C0B" w14:paraId="1A9FE76D"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6D4B7F04"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0454A48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3.68 </w:t>
                  </w:r>
                </w:p>
              </w:tc>
              <w:tc>
                <w:tcPr>
                  <w:tcW w:w="900" w:type="dxa"/>
                  <w:tcBorders>
                    <w:top w:val="nil"/>
                    <w:left w:val="nil"/>
                    <w:bottom w:val="single" w:sz="8" w:space="0" w:color="FFFFFF"/>
                    <w:right w:val="single" w:sz="8" w:space="0" w:color="FFFFFF"/>
                  </w:tcBorders>
                  <w:shd w:val="clear" w:color="000000" w:fill="FCD5B4"/>
                  <w:noWrap/>
                  <w:vAlign w:val="center"/>
                  <w:hideMark/>
                </w:tcPr>
                <w:p w14:paraId="3E38B46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3.96 </w:t>
                  </w:r>
                </w:p>
              </w:tc>
              <w:tc>
                <w:tcPr>
                  <w:tcW w:w="900" w:type="dxa"/>
                  <w:tcBorders>
                    <w:top w:val="nil"/>
                    <w:left w:val="nil"/>
                    <w:bottom w:val="single" w:sz="8" w:space="0" w:color="FFFFFF"/>
                    <w:right w:val="single" w:sz="8" w:space="0" w:color="FFFFFF"/>
                  </w:tcBorders>
                  <w:shd w:val="clear" w:color="000000" w:fill="FCD5B4"/>
                  <w:noWrap/>
                  <w:vAlign w:val="center"/>
                  <w:hideMark/>
                </w:tcPr>
                <w:p w14:paraId="206E63D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4.34 </w:t>
                  </w:r>
                </w:p>
              </w:tc>
              <w:tc>
                <w:tcPr>
                  <w:tcW w:w="899" w:type="dxa"/>
                  <w:tcBorders>
                    <w:top w:val="nil"/>
                    <w:left w:val="nil"/>
                    <w:bottom w:val="single" w:sz="8" w:space="0" w:color="FFFFFF"/>
                    <w:right w:val="single" w:sz="8" w:space="0" w:color="FFFFFF"/>
                  </w:tcBorders>
                  <w:shd w:val="clear" w:color="000000" w:fill="FCD5B4"/>
                  <w:noWrap/>
                  <w:vAlign w:val="center"/>
                  <w:hideMark/>
                </w:tcPr>
                <w:p w14:paraId="45F9B37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6.51 </w:t>
                  </w:r>
                </w:p>
              </w:tc>
              <w:tc>
                <w:tcPr>
                  <w:tcW w:w="1121" w:type="dxa"/>
                  <w:tcBorders>
                    <w:top w:val="nil"/>
                    <w:left w:val="nil"/>
                    <w:bottom w:val="single" w:sz="8" w:space="0" w:color="FFFFFF"/>
                    <w:right w:val="single" w:sz="8" w:space="0" w:color="FFFFFF"/>
                  </w:tcBorders>
                  <w:shd w:val="clear" w:color="000000" w:fill="FCD5B4"/>
                  <w:noWrap/>
                  <w:vAlign w:val="center"/>
                  <w:hideMark/>
                </w:tcPr>
                <w:p w14:paraId="1767573E"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728AAC0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CD5B4"/>
                  <w:noWrap/>
                  <w:vAlign w:val="center"/>
                  <w:hideMark/>
                </w:tcPr>
                <w:p w14:paraId="4CF685D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1.35 </w:t>
                  </w:r>
                </w:p>
              </w:tc>
              <w:tc>
                <w:tcPr>
                  <w:tcW w:w="899" w:type="dxa"/>
                  <w:tcBorders>
                    <w:top w:val="nil"/>
                    <w:left w:val="nil"/>
                    <w:bottom w:val="single" w:sz="8" w:space="0" w:color="FFFFFF"/>
                    <w:right w:val="single" w:sz="8" w:space="0" w:color="FFFFFF"/>
                  </w:tcBorders>
                  <w:shd w:val="clear" w:color="000000" w:fill="FCD5B4"/>
                  <w:noWrap/>
                  <w:vAlign w:val="center"/>
                  <w:hideMark/>
                </w:tcPr>
                <w:p w14:paraId="2878BE1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1.73 </w:t>
                  </w:r>
                </w:p>
              </w:tc>
              <w:tc>
                <w:tcPr>
                  <w:tcW w:w="899" w:type="dxa"/>
                  <w:tcBorders>
                    <w:top w:val="nil"/>
                    <w:left w:val="nil"/>
                    <w:bottom w:val="single" w:sz="8" w:space="0" w:color="FFFFFF"/>
                    <w:right w:val="single" w:sz="8" w:space="0" w:color="FFFFFF"/>
                  </w:tcBorders>
                  <w:shd w:val="clear" w:color="000000" w:fill="FCD5B4"/>
                  <w:noWrap/>
                  <w:vAlign w:val="center"/>
                  <w:hideMark/>
                </w:tcPr>
                <w:p w14:paraId="3B21CC1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3.90 </w:t>
                  </w:r>
                </w:p>
              </w:tc>
            </w:tr>
            <w:tr w:rsidR="00292C0B" w:rsidRPr="00292C0B" w14:paraId="06341575"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037DFC3F"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1342A07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3.88 </w:t>
                  </w:r>
                </w:p>
              </w:tc>
              <w:tc>
                <w:tcPr>
                  <w:tcW w:w="900" w:type="dxa"/>
                  <w:tcBorders>
                    <w:top w:val="nil"/>
                    <w:left w:val="nil"/>
                    <w:bottom w:val="single" w:sz="8" w:space="0" w:color="FFFFFF"/>
                    <w:right w:val="single" w:sz="8" w:space="0" w:color="FFFFFF"/>
                  </w:tcBorders>
                  <w:shd w:val="clear" w:color="000000" w:fill="FDE9D9"/>
                  <w:noWrap/>
                  <w:vAlign w:val="center"/>
                  <w:hideMark/>
                </w:tcPr>
                <w:p w14:paraId="7E134CD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4.26 </w:t>
                  </w:r>
                </w:p>
              </w:tc>
              <w:tc>
                <w:tcPr>
                  <w:tcW w:w="900" w:type="dxa"/>
                  <w:tcBorders>
                    <w:top w:val="nil"/>
                    <w:left w:val="nil"/>
                    <w:bottom w:val="single" w:sz="8" w:space="0" w:color="FFFFFF"/>
                    <w:right w:val="single" w:sz="8" w:space="0" w:color="FFFFFF"/>
                  </w:tcBorders>
                  <w:shd w:val="clear" w:color="000000" w:fill="FDE9D9"/>
                  <w:noWrap/>
                  <w:vAlign w:val="center"/>
                  <w:hideMark/>
                </w:tcPr>
                <w:p w14:paraId="4578FE1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4.67 </w:t>
                  </w:r>
                </w:p>
              </w:tc>
              <w:tc>
                <w:tcPr>
                  <w:tcW w:w="899" w:type="dxa"/>
                  <w:tcBorders>
                    <w:top w:val="nil"/>
                    <w:left w:val="nil"/>
                    <w:bottom w:val="single" w:sz="8" w:space="0" w:color="FFFFFF"/>
                    <w:right w:val="single" w:sz="8" w:space="0" w:color="FFFFFF"/>
                  </w:tcBorders>
                  <w:shd w:val="clear" w:color="000000" w:fill="FDE9D9"/>
                  <w:noWrap/>
                  <w:vAlign w:val="center"/>
                  <w:hideMark/>
                </w:tcPr>
                <w:p w14:paraId="4DB7EA8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6.84 </w:t>
                  </w:r>
                </w:p>
              </w:tc>
              <w:tc>
                <w:tcPr>
                  <w:tcW w:w="1121" w:type="dxa"/>
                  <w:tcBorders>
                    <w:top w:val="nil"/>
                    <w:left w:val="nil"/>
                    <w:bottom w:val="single" w:sz="8" w:space="0" w:color="FFFFFF"/>
                    <w:right w:val="single" w:sz="8" w:space="0" w:color="FFFFFF"/>
                  </w:tcBorders>
                  <w:shd w:val="clear" w:color="000000" w:fill="FDE9D9"/>
                  <w:noWrap/>
                  <w:vAlign w:val="center"/>
                  <w:hideMark/>
                </w:tcPr>
                <w:p w14:paraId="23AC3B45"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216A88D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1.02 </w:t>
                  </w:r>
                </w:p>
              </w:tc>
              <w:tc>
                <w:tcPr>
                  <w:tcW w:w="899" w:type="dxa"/>
                  <w:tcBorders>
                    <w:top w:val="nil"/>
                    <w:left w:val="nil"/>
                    <w:bottom w:val="single" w:sz="8" w:space="0" w:color="FFFFFF"/>
                    <w:right w:val="single" w:sz="8" w:space="0" w:color="FFFFFF"/>
                  </w:tcBorders>
                  <w:shd w:val="clear" w:color="000000" w:fill="FDE9D9"/>
                  <w:noWrap/>
                  <w:vAlign w:val="center"/>
                  <w:hideMark/>
                </w:tcPr>
                <w:p w14:paraId="0F1000C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1.40 </w:t>
                  </w:r>
                </w:p>
              </w:tc>
              <w:tc>
                <w:tcPr>
                  <w:tcW w:w="899" w:type="dxa"/>
                  <w:tcBorders>
                    <w:top w:val="nil"/>
                    <w:left w:val="nil"/>
                    <w:bottom w:val="single" w:sz="8" w:space="0" w:color="FFFFFF"/>
                    <w:right w:val="single" w:sz="8" w:space="0" w:color="FFFFFF"/>
                  </w:tcBorders>
                  <w:shd w:val="clear" w:color="000000" w:fill="FDE9D9"/>
                  <w:noWrap/>
                  <w:vAlign w:val="center"/>
                  <w:hideMark/>
                </w:tcPr>
                <w:p w14:paraId="73FAFBB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1.81 </w:t>
                  </w:r>
                </w:p>
              </w:tc>
              <w:tc>
                <w:tcPr>
                  <w:tcW w:w="899" w:type="dxa"/>
                  <w:tcBorders>
                    <w:top w:val="nil"/>
                    <w:left w:val="nil"/>
                    <w:bottom w:val="single" w:sz="8" w:space="0" w:color="FFFFFF"/>
                    <w:right w:val="single" w:sz="8" w:space="0" w:color="FFFFFF"/>
                  </w:tcBorders>
                  <w:shd w:val="clear" w:color="000000" w:fill="FDE9D9"/>
                  <w:noWrap/>
                  <w:vAlign w:val="center"/>
                  <w:hideMark/>
                </w:tcPr>
                <w:p w14:paraId="7E971CA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3.98 </w:t>
                  </w:r>
                </w:p>
              </w:tc>
            </w:tr>
            <w:tr w:rsidR="00292C0B" w:rsidRPr="00292C0B" w14:paraId="1155C9D3"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1727DFAE"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14:paraId="6FBCD63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3.21 </w:t>
                  </w:r>
                </w:p>
              </w:tc>
              <w:tc>
                <w:tcPr>
                  <w:tcW w:w="900" w:type="dxa"/>
                  <w:tcBorders>
                    <w:top w:val="nil"/>
                    <w:left w:val="nil"/>
                    <w:bottom w:val="single" w:sz="8" w:space="0" w:color="FFFFFF"/>
                    <w:right w:val="single" w:sz="8" w:space="0" w:color="FFFFFF"/>
                  </w:tcBorders>
                  <w:shd w:val="clear" w:color="000000" w:fill="FCD5B4"/>
                  <w:noWrap/>
                  <w:vAlign w:val="center"/>
                  <w:hideMark/>
                </w:tcPr>
                <w:p w14:paraId="3A72410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3.36 </w:t>
                  </w:r>
                </w:p>
              </w:tc>
              <w:tc>
                <w:tcPr>
                  <w:tcW w:w="900" w:type="dxa"/>
                  <w:tcBorders>
                    <w:top w:val="nil"/>
                    <w:left w:val="nil"/>
                    <w:bottom w:val="single" w:sz="8" w:space="0" w:color="FFFFFF"/>
                    <w:right w:val="single" w:sz="8" w:space="0" w:color="FFFFFF"/>
                  </w:tcBorders>
                  <w:shd w:val="clear" w:color="000000" w:fill="FCD5B4"/>
                  <w:noWrap/>
                  <w:vAlign w:val="center"/>
                  <w:hideMark/>
                </w:tcPr>
                <w:p w14:paraId="4C34EBE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3.54 </w:t>
                  </w:r>
                </w:p>
              </w:tc>
              <w:tc>
                <w:tcPr>
                  <w:tcW w:w="899" w:type="dxa"/>
                  <w:tcBorders>
                    <w:top w:val="nil"/>
                    <w:left w:val="nil"/>
                    <w:bottom w:val="single" w:sz="8" w:space="0" w:color="FFFFFF"/>
                    <w:right w:val="single" w:sz="8" w:space="0" w:color="FFFFFF"/>
                  </w:tcBorders>
                  <w:shd w:val="clear" w:color="000000" w:fill="FCD5B4"/>
                  <w:noWrap/>
                  <w:vAlign w:val="center"/>
                  <w:hideMark/>
                </w:tcPr>
                <w:p w14:paraId="2549DDC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5.63 </w:t>
                  </w:r>
                </w:p>
              </w:tc>
              <w:tc>
                <w:tcPr>
                  <w:tcW w:w="1121" w:type="dxa"/>
                  <w:tcBorders>
                    <w:top w:val="nil"/>
                    <w:left w:val="nil"/>
                    <w:bottom w:val="single" w:sz="8" w:space="0" w:color="FFFFFF"/>
                    <w:right w:val="single" w:sz="8" w:space="0" w:color="FFFFFF"/>
                  </w:tcBorders>
                  <w:shd w:val="clear" w:color="000000" w:fill="FCD5B4"/>
                  <w:noWrap/>
                  <w:vAlign w:val="center"/>
                  <w:hideMark/>
                </w:tcPr>
                <w:p w14:paraId="1DCDAFE7"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14:paraId="76E1E28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0.82 </w:t>
                  </w:r>
                </w:p>
              </w:tc>
              <w:tc>
                <w:tcPr>
                  <w:tcW w:w="899" w:type="dxa"/>
                  <w:tcBorders>
                    <w:top w:val="nil"/>
                    <w:left w:val="nil"/>
                    <w:bottom w:val="single" w:sz="8" w:space="0" w:color="FFFFFF"/>
                    <w:right w:val="single" w:sz="8" w:space="0" w:color="FFFFFF"/>
                  </w:tcBorders>
                  <w:shd w:val="clear" w:color="000000" w:fill="FCD5B4"/>
                  <w:noWrap/>
                  <w:vAlign w:val="center"/>
                  <w:hideMark/>
                </w:tcPr>
                <w:p w14:paraId="52BBEB9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0.97 </w:t>
                  </w:r>
                </w:p>
              </w:tc>
              <w:tc>
                <w:tcPr>
                  <w:tcW w:w="899" w:type="dxa"/>
                  <w:tcBorders>
                    <w:top w:val="nil"/>
                    <w:left w:val="nil"/>
                    <w:bottom w:val="single" w:sz="8" w:space="0" w:color="FFFFFF"/>
                    <w:right w:val="single" w:sz="8" w:space="0" w:color="FFFFFF"/>
                  </w:tcBorders>
                  <w:shd w:val="clear" w:color="000000" w:fill="FCD5B4"/>
                  <w:noWrap/>
                  <w:vAlign w:val="center"/>
                  <w:hideMark/>
                </w:tcPr>
                <w:p w14:paraId="0E4A19F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1.15 </w:t>
                  </w:r>
                </w:p>
              </w:tc>
              <w:tc>
                <w:tcPr>
                  <w:tcW w:w="899" w:type="dxa"/>
                  <w:tcBorders>
                    <w:top w:val="nil"/>
                    <w:left w:val="nil"/>
                    <w:bottom w:val="single" w:sz="8" w:space="0" w:color="FFFFFF"/>
                    <w:right w:val="single" w:sz="8" w:space="0" w:color="FFFFFF"/>
                  </w:tcBorders>
                  <w:shd w:val="clear" w:color="000000" w:fill="FCD5B4"/>
                  <w:noWrap/>
                  <w:vAlign w:val="center"/>
                  <w:hideMark/>
                </w:tcPr>
                <w:p w14:paraId="4BD3A46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3.24 </w:t>
                  </w:r>
                </w:p>
              </w:tc>
            </w:tr>
            <w:tr w:rsidR="00292C0B" w:rsidRPr="00292C0B" w14:paraId="1A3853A8"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232C5A0D"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14:paraId="7787799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3.73 </w:t>
                  </w:r>
                </w:p>
              </w:tc>
              <w:tc>
                <w:tcPr>
                  <w:tcW w:w="900" w:type="dxa"/>
                  <w:tcBorders>
                    <w:top w:val="nil"/>
                    <w:left w:val="nil"/>
                    <w:bottom w:val="single" w:sz="8" w:space="0" w:color="FFFFFF"/>
                    <w:right w:val="single" w:sz="8" w:space="0" w:color="FFFFFF"/>
                  </w:tcBorders>
                  <w:shd w:val="clear" w:color="000000" w:fill="FDE9D9"/>
                  <w:noWrap/>
                  <w:vAlign w:val="center"/>
                  <w:hideMark/>
                </w:tcPr>
                <w:p w14:paraId="2351748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3.89 </w:t>
                  </w:r>
                </w:p>
              </w:tc>
              <w:tc>
                <w:tcPr>
                  <w:tcW w:w="900" w:type="dxa"/>
                  <w:tcBorders>
                    <w:top w:val="nil"/>
                    <w:left w:val="nil"/>
                    <w:bottom w:val="single" w:sz="8" w:space="0" w:color="FFFFFF"/>
                    <w:right w:val="single" w:sz="8" w:space="0" w:color="FFFFFF"/>
                  </w:tcBorders>
                  <w:shd w:val="clear" w:color="000000" w:fill="FDE9D9"/>
                  <w:noWrap/>
                  <w:vAlign w:val="center"/>
                  <w:hideMark/>
                </w:tcPr>
                <w:p w14:paraId="06EFEF2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4.10 </w:t>
                  </w:r>
                </w:p>
              </w:tc>
              <w:tc>
                <w:tcPr>
                  <w:tcW w:w="899" w:type="dxa"/>
                  <w:tcBorders>
                    <w:top w:val="nil"/>
                    <w:left w:val="nil"/>
                    <w:bottom w:val="single" w:sz="8" w:space="0" w:color="FFFFFF"/>
                    <w:right w:val="single" w:sz="8" w:space="0" w:color="FFFFFF"/>
                  </w:tcBorders>
                  <w:shd w:val="clear" w:color="000000" w:fill="FDE9D9"/>
                  <w:noWrap/>
                  <w:vAlign w:val="center"/>
                  <w:hideMark/>
                </w:tcPr>
                <w:p w14:paraId="3DB6870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6.40 </w:t>
                  </w:r>
                </w:p>
              </w:tc>
              <w:tc>
                <w:tcPr>
                  <w:tcW w:w="1121" w:type="dxa"/>
                  <w:tcBorders>
                    <w:top w:val="nil"/>
                    <w:left w:val="nil"/>
                    <w:bottom w:val="single" w:sz="8" w:space="0" w:color="FFFFFF"/>
                    <w:right w:val="single" w:sz="8" w:space="0" w:color="FFFFFF"/>
                  </w:tcBorders>
                  <w:shd w:val="clear" w:color="000000" w:fill="FDE9D9"/>
                  <w:noWrap/>
                  <w:vAlign w:val="center"/>
                  <w:hideMark/>
                </w:tcPr>
                <w:p w14:paraId="1E670BE9"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14:paraId="7240A07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1.12 </w:t>
                  </w:r>
                </w:p>
              </w:tc>
              <w:tc>
                <w:tcPr>
                  <w:tcW w:w="899" w:type="dxa"/>
                  <w:tcBorders>
                    <w:top w:val="nil"/>
                    <w:left w:val="nil"/>
                    <w:bottom w:val="single" w:sz="8" w:space="0" w:color="FFFFFF"/>
                    <w:right w:val="single" w:sz="8" w:space="0" w:color="FFFFFF"/>
                  </w:tcBorders>
                  <w:shd w:val="clear" w:color="000000" w:fill="FDE9D9"/>
                  <w:noWrap/>
                  <w:vAlign w:val="center"/>
                  <w:hideMark/>
                </w:tcPr>
                <w:p w14:paraId="3459DA1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1.28 </w:t>
                  </w:r>
                </w:p>
              </w:tc>
              <w:tc>
                <w:tcPr>
                  <w:tcW w:w="899" w:type="dxa"/>
                  <w:tcBorders>
                    <w:top w:val="nil"/>
                    <w:left w:val="nil"/>
                    <w:bottom w:val="single" w:sz="8" w:space="0" w:color="FFFFFF"/>
                    <w:right w:val="single" w:sz="8" w:space="0" w:color="FFFFFF"/>
                  </w:tcBorders>
                  <w:shd w:val="clear" w:color="000000" w:fill="FDE9D9"/>
                  <w:noWrap/>
                  <w:vAlign w:val="center"/>
                  <w:hideMark/>
                </w:tcPr>
                <w:p w14:paraId="76116A5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1.49 </w:t>
                  </w:r>
                </w:p>
              </w:tc>
              <w:tc>
                <w:tcPr>
                  <w:tcW w:w="899" w:type="dxa"/>
                  <w:tcBorders>
                    <w:top w:val="nil"/>
                    <w:left w:val="nil"/>
                    <w:bottom w:val="single" w:sz="8" w:space="0" w:color="FFFFFF"/>
                    <w:right w:val="single" w:sz="8" w:space="0" w:color="FFFFFF"/>
                  </w:tcBorders>
                  <w:shd w:val="clear" w:color="000000" w:fill="FDE9D9"/>
                  <w:noWrap/>
                  <w:vAlign w:val="center"/>
                  <w:hideMark/>
                </w:tcPr>
                <w:p w14:paraId="152A7E3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3.79 </w:t>
                  </w:r>
                </w:p>
              </w:tc>
            </w:tr>
            <w:tr w:rsidR="00292C0B" w:rsidRPr="00292C0B" w14:paraId="494C55D3" w14:textId="77777777" w:rsidTr="00292C0B">
              <w:trPr>
                <w:trHeight w:val="300"/>
              </w:trPr>
              <w:tc>
                <w:tcPr>
                  <w:tcW w:w="1323" w:type="dxa"/>
                  <w:tcBorders>
                    <w:top w:val="nil"/>
                    <w:left w:val="nil"/>
                    <w:bottom w:val="nil"/>
                    <w:right w:val="nil"/>
                  </w:tcBorders>
                  <w:shd w:val="clear" w:color="000000" w:fill="FCD5B4"/>
                  <w:noWrap/>
                  <w:vAlign w:val="center"/>
                  <w:hideMark/>
                </w:tcPr>
                <w:p w14:paraId="7DEE016F"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14:paraId="2EBA026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3.89 </w:t>
                  </w:r>
                </w:p>
              </w:tc>
              <w:tc>
                <w:tcPr>
                  <w:tcW w:w="900" w:type="dxa"/>
                  <w:tcBorders>
                    <w:top w:val="nil"/>
                    <w:left w:val="nil"/>
                    <w:bottom w:val="single" w:sz="8" w:space="0" w:color="FFFFFF"/>
                    <w:right w:val="single" w:sz="8" w:space="0" w:color="FFFFFF"/>
                  </w:tcBorders>
                  <w:shd w:val="clear" w:color="000000" w:fill="FCD5B4"/>
                  <w:noWrap/>
                  <w:vAlign w:val="center"/>
                  <w:hideMark/>
                </w:tcPr>
                <w:p w14:paraId="30F9EAE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4.08 </w:t>
                  </w:r>
                </w:p>
              </w:tc>
              <w:tc>
                <w:tcPr>
                  <w:tcW w:w="900" w:type="dxa"/>
                  <w:tcBorders>
                    <w:top w:val="nil"/>
                    <w:left w:val="nil"/>
                    <w:bottom w:val="single" w:sz="8" w:space="0" w:color="FFFFFF"/>
                    <w:right w:val="single" w:sz="8" w:space="0" w:color="FFFFFF"/>
                  </w:tcBorders>
                  <w:shd w:val="clear" w:color="000000" w:fill="FCD5B4"/>
                  <w:noWrap/>
                  <w:vAlign w:val="center"/>
                  <w:hideMark/>
                </w:tcPr>
                <w:p w14:paraId="7EB4709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4.41 </w:t>
                  </w:r>
                </w:p>
              </w:tc>
              <w:tc>
                <w:tcPr>
                  <w:tcW w:w="899" w:type="dxa"/>
                  <w:tcBorders>
                    <w:top w:val="nil"/>
                    <w:left w:val="nil"/>
                    <w:bottom w:val="single" w:sz="8" w:space="0" w:color="FFFFFF"/>
                    <w:right w:val="single" w:sz="8" w:space="0" w:color="FFFFFF"/>
                  </w:tcBorders>
                  <w:shd w:val="clear" w:color="000000" w:fill="FCD5B4"/>
                  <w:noWrap/>
                  <w:vAlign w:val="center"/>
                  <w:hideMark/>
                </w:tcPr>
                <w:p w14:paraId="6B5002D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6.81 </w:t>
                  </w:r>
                </w:p>
              </w:tc>
              <w:tc>
                <w:tcPr>
                  <w:tcW w:w="1121" w:type="dxa"/>
                  <w:tcBorders>
                    <w:top w:val="nil"/>
                    <w:left w:val="nil"/>
                    <w:bottom w:val="nil"/>
                    <w:right w:val="nil"/>
                  </w:tcBorders>
                  <w:shd w:val="clear" w:color="000000" w:fill="FCD5B4"/>
                  <w:noWrap/>
                  <w:vAlign w:val="center"/>
                  <w:hideMark/>
                </w:tcPr>
                <w:p w14:paraId="77898536"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14:paraId="71C84EB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1.03 </w:t>
                  </w:r>
                </w:p>
              </w:tc>
              <w:tc>
                <w:tcPr>
                  <w:tcW w:w="899" w:type="dxa"/>
                  <w:tcBorders>
                    <w:top w:val="nil"/>
                    <w:left w:val="nil"/>
                    <w:bottom w:val="single" w:sz="8" w:space="0" w:color="FFFFFF"/>
                    <w:right w:val="single" w:sz="8" w:space="0" w:color="FFFFFF"/>
                  </w:tcBorders>
                  <w:shd w:val="clear" w:color="000000" w:fill="FCD5B4"/>
                  <w:noWrap/>
                  <w:vAlign w:val="center"/>
                  <w:hideMark/>
                </w:tcPr>
                <w:p w14:paraId="2C81BF0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1.22 </w:t>
                  </w:r>
                </w:p>
              </w:tc>
              <w:tc>
                <w:tcPr>
                  <w:tcW w:w="899" w:type="dxa"/>
                  <w:tcBorders>
                    <w:top w:val="nil"/>
                    <w:left w:val="nil"/>
                    <w:bottom w:val="single" w:sz="8" w:space="0" w:color="FFFFFF"/>
                    <w:right w:val="single" w:sz="8" w:space="0" w:color="FFFFFF"/>
                  </w:tcBorders>
                  <w:shd w:val="clear" w:color="000000" w:fill="FCD5B4"/>
                  <w:noWrap/>
                  <w:vAlign w:val="center"/>
                  <w:hideMark/>
                </w:tcPr>
                <w:p w14:paraId="088AD1C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1.55 </w:t>
                  </w:r>
                </w:p>
              </w:tc>
              <w:tc>
                <w:tcPr>
                  <w:tcW w:w="899" w:type="dxa"/>
                  <w:tcBorders>
                    <w:top w:val="nil"/>
                    <w:left w:val="nil"/>
                    <w:bottom w:val="single" w:sz="8" w:space="0" w:color="FFFFFF"/>
                    <w:right w:val="single" w:sz="8" w:space="0" w:color="FFFFFF"/>
                  </w:tcBorders>
                  <w:shd w:val="clear" w:color="000000" w:fill="FCD5B4"/>
                  <w:noWrap/>
                  <w:vAlign w:val="center"/>
                  <w:hideMark/>
                </w:tcPr>
                <w:p w14:paraId="509D9AE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3.95 </w:t>
                  </w:r>
                </w:p>
              </w:tc>
            </w:tr>
            <w:tr w:rsidR="00292C0B" w:rsidRPr="00292C0B" w14:paraId="2BA7A916" w14:textId="77777777" w:rsidTr="00292C0B">
              <w:trPr>
                <w:trHeight w:val="300"/>
              </w:trPr>
              <w:tc>
                <w:tcPr>
                  <w:tcW w:w="1323" w:type="dxa"/>
                  <w:tcBorders>
                    <w:top w:val="nil"/>
                    <w:left w:val="nil"/>
                    <w:bottom w:val="single" w:sz="12" w:space="0" w:color="FFFFFF"/>
                    <w:right w:val="single" w:sz="8" w:space="0" w:color="FFFFFF"/>
                  </w:tcBorders>
                  <w:shd w:val="clear" w:color="000000" w:fill="F79646"/>
                  <w:noWrap/>
                  <w:vAlign w:val="center"/>
                  <w:hideMark/>
                </w:tcPr>
                <w:p w14:paraId="4CFF0A06"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周变化(BP)</w:t>
                  </w:r>
                </w:p>
              </w:tc>
              <w:tc>
                <w:tcPr>
                  <w:tcW w:w="899" w:type="dxa"/>
                  <w:tcBorders>
                    <w:top w:val="nil"/>
                    <w:left w:val="nil"/>
                    <w:bottom w:val="single" w:sz="12" w:space="0" w:color="FFFFFF"/>
                    <w:right w:val="single" w:sz="8" w:space="0" w:color="FFFFFF"/>
                  </w:tcBorders>
                  <w:shd w:val="clear" w:color="000000" w:fill="F79646"/>
                  <w:noWrap/>
                  <w:vAlign w:val="center"/>
                  <w:hideMark/>
                </w:tcPr>
                <w:p w14:paraId="6F306098"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2DF68DF2"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66B057F3"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62AF9B8"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1121" w:type="dxa"/>
                  <w:tcBorders>
                    <w:top w:val="nil"/>
                    <w:left w:val="nil"/>
                    <w:bottom w:val="single" w:sz="12" w:space="0" w:color="FFFFFF"/>
                    <w:right w:val="single" w:sz="8" w:space="0" w:color="FFFFFF"/>
                  </w:tcBorders>
                  <w:shd w:val="clear" w:color="000000" w:fill="F79646"/>
                  <w:noWrap/>
                  <w:vAlign w:val="center"/>
                  <w:hideMark/>
                </w:tcPr>
                <w:p w14:paraId="09BAC5AA"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5D3DB89D"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23E03F2C"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CE4302E"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09195391"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r>
            <w:tr w:rsidR="00292C0B" w:rsidRPr="00292C0B" w14:paraId="17FC1EEF" w14:textId="77777777" w:rsidTr="00292C0B">
              <w:trPr>
                <w:trHeight w:val="315"/>
              </w:trPr>
              <w:tc>
                <w:tcPr>
                  <w:tcW w:w="1323" w:type="dxa"/>
                  <w:tcBorders>
                    <w:top w:val="nil"/>
                    <w:left w:val="nil"/>
                    <w:bottom w:val="single" w:sz="8" w:space="0" w:color="FFFFFF"/>
                    <w:right w:val="single" w:sz="8" w:space="0" w:color="FFFFFF"/>
                  </w:tcBorders>
                  <w:shd w:val="clear" w:color="000000" w:fill="FCD5B4"/>
                  <w:noWrap/>
                  <w:vAlign w:val="center"/>
                  <w:hideMark/>
                </w:tcPr>
                <w:p w14:paraId="5A0E6870"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75C97A6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-1.6 </w:t>
                  </w:r>
                </w:p>
              </w:tc>
              <w:tc>
                <w:tcPr>
                  <w:tcW w:w="900" w:type="dxa"/>
                  <w:tcBorders>
                    <w:top w:val="nil"/>
                    <w:left w:val="nil"/>
                    <w:bottom w:val="single" w:sz="8" w:space="0" w:color="FFFFFF"/>
                    <w:right w:val="single" w:sz="8" w:space="0" w:color="FFFFFF"/>
                  </w:tcBorders>
                  <w:shd w:val="clear" w:color="000000" w:fill="FCD5B4"/>
                  <w:noWrap/>
                  <w:vAlign w:val="center"/>
                  <w:hideMark/>
                </w:tcPr>
                <w:p w14:paraId="4D69F34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-2.6 </w:t>
                  </w:r>
                </w:p>
              </w:tc>
              <w:tc>
                <w:tcPr>
                  <w:tcW w:w="900" w:type="dxa"/>
                  <w:tcBorders>
                    <w:top w:val="nil"/>
                    <w:left w:val="nil"/>
                    <w:bottom w:val="single" w:sz="8" w:space="0" w:color="FFFFFF"/>
                    <w:right w:val="single" w:sz="8" w:space="0" w:color="FFFFFF"/>
                  </w:tcBorders>
                  <w:shd w:val="clear" w:color="000000" w:fill="FCD5B4"/>
                  <w:noWrap/>
                  <w:vAlign w:val="center"/>
                  <w:hideMark/>
                </w:tcPr>
                <w:p w14:paraId="74A78CD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-2.6 </w:t>
                  </w:r>
                </w:p>
              </w:tc>
              <w:tc>
                <w:tcPr>
                  <w:tcW w:w="899" w:type="dxa"/>
                  <w:tcBorders>
                    <w:top w:val="nil"/>
                    <w:left w:val="nil"/>
                    <w:bottom w:val="single" w:sz="8" w:space="0" w:color="FFFFFF"/>
                    <w:right w:val="single" w:sz="8" w:space="0" w:color="FFFFFF"/>
                  </w:tcBorders>
                  <w:shd w:val="clear" w:color="000000" w:fill="FCD5B4"/>
                  <w:noWrap/>
                  <w:vAlign w:val="center"/>
                  <w:hideMark/>
                </w:tcPr>
                <w:p w14:paraId="5AD2F2F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-2.6 </w:t>
                  </w:r>
                </w:p>
              </w:tc>
              <w:tc>
                <w:tcPr>
                  <w:tcW w:w="1121" w:type="dxa"/>
                  <w:tcBorders>
                    <w:top w:val="nil"/>
                    <w:left w:val="nil"/>
                    <w:bottom w:val="single" w:sz="8" w:space="0" w:color="FFFFFF"/>
                    <w:right w:val="single" w:sz="8" w:space="0" w:color="FFFFFF"/>
                  </w:tcBorders>
                  <w:shd w:val="clear" w:color="000000" w:fill="FCD5B4"/>
                  <w:noWrap/>
                  <w:vAlign w:val="center"/>
                  <w:hideMark/>
                </w:tcPr>
                <w:p w14:paraId="69BFC612"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7D1E804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3.6 </w:t>
                  </w:r>
                </w:p>
              </w:tc>
              <w:tc>
                <w:tcPr>
                  <w:tcW w:w="899" w:type="dxa"/>
                  <w:tcBorders>
                    <w:top w:val="nil"/>
                    <w:left w:val="nil"/>
                    <w:bottom w:val="single" w:sz="8" w:space="0" w:color="FFFFFF"/>
                    <w:right w:val="single" w:sz="8" w:space="0" w:color="FFFFFF"/>
                  </w:tcBorders>
                  <w:shd w:val="clear" w:color="000000" w:fill="FCD5B4"/>
                  <w:noWrap/>
                  <w:vAlign w:val="center"/>
                  <w:hideMark/>
                </w:tcPr>
                <w:p w14:paraId="162CC2B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2.6 </w:t>
                  </w:r>
                </w:p>
              </w:tc>
              <w:tc>
                <w:tcPr>
                  <w:tcW w:w="899" w:type="dxa"/>
                  <w:tcBorders>
                    <w:top w:val="nil"/>
                    <w:left w:val="nil"/>
                    <w:bottom w:val="single" w:sz="8" w:space="0" w:color="FFFFFF"/>
                    <w:right w:val="single" w:sz="8" w:space="0" w:color="FFFFFF"/>
                  </w:tcBorders>
                  <w:shd w:val="clear" w:color="000000" w:fill="FCD5B4"/>
                  <w:noWrap/>
                  <w:vAlign w:val="center"/>
                  <w:hideMark/>
                </w:tcPr>
                <w:p w14:paraId="4E35ED7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2.6 </w:t>
                  </w:r>
                </w:p>
              </w:tc>
              <w:tc>
                <w:tcPr>
                  <w:tcW w:w="899" w:type="dxa"/>
                  <w:tcBorders>
                    <w:top w:val="nil"/>
                    <w:left w:val="nil"/>
                    <w:bottom w:val="single" w:sz="8" w:space="0" w:color="FFFFFF"/>
                    <w:right w:val="single" w:sz="8" w:space="0" w:color="FFFFFF"/>
                  </w:tcBorders>
                  <w:shd w:val="clear" w:color="000000" w:fill="FCD5B4"/>
                  <w:noWrap/>
                  <w:vAlign w:val="center"/>
                  <w:hideMark/>
                </w:tcPr>
                <w:p w14:paraId="05E4076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2.6 </w:t>
                  </w:r>
                </w:p>
              </w:tc>
            </w:tr>
            <w:tr w:rsidR="00292C0B" w:rsidRPr="00292C0B" w14:paraId="5F2AFCFD"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3E3B729E"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09A8EF4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-2.2 </w:t>
                  </w:r>
                </w:p>
              </w:tc>
              <w:tc>
                <w:tcPr>
                  <w:tcW w:w="900" w:type="dxa"/>
                  <w:tcBorders>
                    <w:top w:val="nil"/>
                    <w:left w:val="nil"/>
                    <w:bottom w:val="single" w:sz="8" w:space="0" w:color="FFFFFF"/>
                    <w:right w:val="single" w:sz="8" w:space="0" w:color="FFFFFF"/>
                  </w:tcBorders>
                  <w:shd w:val="clear" w:color="000000" w:fill="FDE9D9"/>
                  <w:noWrap/>
                  <w:vAlign w:val="center"/>
                  <w:hideMark/>
                </w:tcPr>
                <w:p w14:paraId="30F0C63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-3.2 </w:t>
                  </w:r>
                </w:p>
              </w:tc>
              <w:tc>
                <w:tcPr>
                  <w:tcW w:w="900" w:type="dxa"/>
                  <w:tcBorders>
                    <w:top w:val="nil"/>
                    <w:left w:val="nil"/>
                    <w:bottom w:val="single" w:sz="8" w:space="0" w:color="FFFFFF"/>
                    <w:right w:val="single" w:sz="8" w:space="0" w:color="FFFFFF"/>
                  </w:tcBorders>
                  <w:shd w:val="clear" w:color="000000" w:fill="FDE9D9"/>
                  <w:noWrap/>
                  <w:vAlign w:val="center"/>
                  <w:hideMark/>
                </w:tcPr>
                <w:p w14:paraId="1FF03D9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-3.2 </w:t>
                  </w:r>
                </w:p>
              </w:tc>
              <w:tc>
                <w:tcPr>
                  <w:tcW w:w="899" w:type="dxa"/>
                  <w:tcBorders>
                    <w:top w:val="nil"/>
                    <w:left w:val="nil"/>
                    <w:bottom w:val="single" w:sz="8" w:space="0" w:color="FFFFFF"/>
                    <w:right w:val="single" w:sz="8" w:space="0" w:color="FFFFFF"/>
                  </w:tcBorders>
                  <w:shd w:val="clear" w:color="000000" w:fill="FDE9D9"/>
                  <w:noWrap/>
                  <w:vAlign w:val="center"/>
                  <w:hideMark/>
                </w:tcPr>
                <w:p w14:paraId="5E78748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-3.2 </w:t>
                  </w:r>
                </w:p>
              </w:tc>
              <w:tc>
                <w:tcPr>
                  <w:tcW w:w="1121" w:type="dxa"/>
                  <w:tcBorders>
                    <w:top w:val="nil"/>
                    <w:left w:val="nil"/>
                    <w:bottom w:val="single" w:sz="8" w:space="0" w:color="FFFFFF"/>
                    <w:right w:val="single" w:sz="8" w:space="0" w:color="FFFFFF"/>
                  </w:tcBorders>
                  <w:shd w:val="clear" w:color="000000" w:fill="FDE9D9"/>
                  <w:noWrap/>
                  <w:vAlign w:val="center"/>
                  <w:hideMark/>
                </w:tcPr>
                <w:p w14:paraId="4E1AECE7"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79FF4AE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3.0 </w:t>
                  </w:r>
                </w:p>
              </w:tc>
              <w:tc>
                <w:tcPr>
                  <w:tcW w:w="899" w:type="dxa"/>
                  <w:tcBorders>
                    <w:top w:val="nil"/>
                    <w:left w:val="nil"/>
                    <w:bottom w:val="single" w:sz="8" w:space="0" w:color="FFFFFF"/>
                    <w:right w:val="single" w:sz="8" w:space="0" w:color="FFFFFF"/>
                  </w:tcBorders>
                  <w:shd w:val="clear" w:color="000000" w:fill="FDE9D9"/>
                  <w:noWrap/>
                  <w:vAlign w:val="center"/>
                  <w:hideMark/>
                </w:tcPr>
                <w:p w14:paraId="51E9A33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2.0 </w:t>
                  </w:r>
                </w:p>
              </w:tc>
              <w:tc>
                <w:tcPr>
                  <w:tcW w:w="899" w:type="dxa"/>
                  <w:tcBorders>
                    <w:top w:val="nil"/>
                    <w:left w:val="nil"/>
                    <w:bottom w:val="single" w:sz="8" w:space="0" w:color="FFFFFF"/>
                    <w:right w:val="single" w:sz="8" w:space="0" w:color="FFFFFF"/>
                  </w:tcBorders>
                  <w:shd w:val="clear" w:color="000000" w:fill="FDE9D9"/>
                  <w:noWrap/>
                  <w:vAlign w:val="center"/>
                  <w:hideMark/>
                </w:tcPr>
                <w:p w14:paraId="0B263A7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1.9 </w:t>
                  </w:r>
                </w:p>
              </w:tc>
              <w:tc>
                <w:tcPr>
                  <w:tcW w:w="899" w:type="dxa"/>
                  <w:tcBorders>
                    <w:top w:val="nil"/>
                    <w:left w:val="nil"/>
                    <w:bottom w:val="single" w:sz="8" w:space="0" w:color="FFFFFF"/>
                    <w:right w:val="single" w:sz="8" w:space="0" w:color="FFFFFF"/>
                  </w:tcBorders>
                  <w:shd w:val="clear" w:color="000000" w:fill="FDE9D9"/>
                  <w:noWrap/>
                  <w:vAlign w:val="center"/>
                  <w:hideMark/>
                </w:tcPr>
                <w:p w14:paraId="549E7CE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2.0 </w:t>
                  </w:r>
                </w:p>
              </w:tc>
            </w:tr>
            <w:tr w:rsidR="00292C0B" w:rsidRPr="00292C0B" w14:paraId="369E575A"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0F3869E7"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02437D4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-1.1 </w:t>
                  </w:r>
                </w:p>
              </w:tc>
              <w:tc>
                <w:tcPr>
                  <w:tcW w:w="900" w:type="dxa"/>
                  <w:tcBorders>
                    <w:top w:val="nil"/>
                    <w:left w:val="nil"/>
                    <w:bottom w:val="single" w:sz="8" w:space="0" w:color="FFFFFF"/>
                    <w:right w:val="single" w:sz="8" w:space="0" w:color="FFFFFF"/>
                  </w:tcBorders>
                  <w:shd w:val="clear" w:color="000000" w:fill="FCD5B4"/>
                  <w:noWrap/>
                  <w:vAlign w:val="center"/>
                  <w:hideMark/>
                </w:tcPr>
                <w:p w14:paraId="722A467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900" w:type="dxa"/>
                  <w:tcBorders>
                    <w:top w:val="nil"/>
                    <w:left w:val="nil"/>
                    <w:bottom w:val="single" w:sz="8" w:space="0" w:color="FFFFFF"/>
                    <w:right w:val="single" w:sz="8" w:space="0" w:color="FFFFFF"/>
                  </w:tcBorders>
                  <w:shd w:val="clear" w:color="000000" w:fill="FCD5B4"/>
                  <w:noWrap/>
                  <w:vAlign w:val="center"/>
                  <w:hideMark/>
                </w:tcPr>
                <w:p w14:paraId="5ADE211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899" w:type="dxa"/>
                  <w:tcBorders>
                    <w:top w:val="nil"/>
                    <w:left w:val="nil"/>
                    <w:bottom w:val="single" w:sz="8" w:space="0" w:color="FFFFFF"/>
                    <w:right w:val="single" w:sz="8" w:space="0" w:color="FFFFFF"/>
                  </w:tcBorders>
                  <w:shd w:val="clear" w:color="000000" w:fill="FCD5B4"/>
                  <w:noWrap/>
                  <w:vAlign w:val="center"/>
                  <w:hideMark/>
                </w:tcPr>
                <w:p w14:paraId="16A95D3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1121" w:type="dxa"/>
                  <w:tcBorders>
                    <w:top w:val="nil"/>
                    <w:left w:val="nil"/>
                    <w:bottom w:val="single" w:sz="8" w:space="0" w:color="FFFFFF"/>
                    <w:right w:val="single" w:sz="8" w:space="0" w:color="FFFFFF"/>
                  </w:tcBorders>
                  <w:shd w:val="clear" w:color="000000" w:fill="FCD5B4"/>
                  <w:noWrap/>
                  <w:vAlign w:val="center"/>
                  <w:hideMark/>
                </w:tcPr>
                <w:p w14:paraId="7A6A7865"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6199C45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-3.3 </w:t>
                  </w:r>
                </w:p>
              </w:tc>
              <w:tc>
                <w:tcPr>
                  <w:tcW w:w="899" w:type="dxa"/>
                  <w:tcBorders>
                    <w:top w:val="nil"/>
                    <w:left w:val="nil"/>
                    <w:bottom w:val="single" w:sz="8" w:space="0" w:color="FFFFFF"/>
                    <w:right w:val="single" w:sz="8" w:space="0" w:color="FFFFFF"/>
                  </w:tcBorders>
                  <w:shd w:val="clear" w:color="000000" w:fill="FCD5B4"/>
                  <w:noWrap/>
                  <w:vAlign w:val="center"/>
                  <w:hideMark/>
                </w:tcPr>
                <w:p w14:paraId="630DE4A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c>
                <w:tcPr>
                  <w:tcW w:w="899" w:type="dxa"/>
                  <w:tcBorders>
                    <w:top w:val="nil"/>
                    <w:left w:val="nil"/>
                    <w:bottom w:val="single" w:sz="8" w:space="0" w:color="FFFFFF"/>
                    <w:right w:val="single" w:sz="8" w:space="0" w:color="FFFFFF"/>
                  </w:tcBorders>
                  <w:shd w:val="clear" w:color="000000" w:fill="FCD5B4"/>
                  <w:noWrap/>
                  <w:vAlign w:val="center"/>
                  <w:hideMark/>
                </w:tcPr>
                <w:p w14:paraId="270959C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c>
                <w:tcPr>
                  <w:tcW w:w="899" w:type="dxa"/>
                  <w:tcBorders>
                    <w:top w:val="nil"/>
                    <w:left w:val="nil"/>
                    <w:bottom w:val="single" w:sz="8" w:space="0" w:color="FFFFFF"/>
                    <w:right w:val="single" w:sz="8" w:space="0" w:color="FFFFFF"/>
                  </w:tcBorders>
                  <w:shd w:val="clear" w:color="000000" w:fill="FCD5B4"/>
                  <w:noWrap/>
                  <w:vAlign w:val="center"/>
                  <w:hideMark/>
                </w:tcPr>
                <w:p w14:paraId="2CC5AD8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r>
            <w:tr w:rsidR="00292C0B" w:rsidRPr="00292C0B" w14:paraId="03480C5B"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7389EC96"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0D462EF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-2.2 </w:t>
                  </w:r>
                </w:p>
              </w:tc>
              <w:tc>
                <w:tcPr>
                  <w:tcW w:w="900" w:type="dxa"/>
                  <w:tcBorders>
                    <w:top w:val="nil"/>
                    <w:left w:val="nil"/>
                    <w:bottom w:val="single" w:sz="8" w:space="0" w:color="FFFFFF"/>
                    <w:right w:val="single" w:sz="8" w:space="0" w:color="FFFFFF"/>
                  </w:tcBorders>
                  <w:shd w:val="clear" w:color="000000" w:fill="FDE9D9"/>
                  <w:noWrap/>
                  <w:vAlign w:val="center"/>
                  <w:hideMark/>
                </w:tcPr>
                <w:p w14:paraId="588509A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-3.2 </w:t>
                  </w:r>
                </w:p>
              </w:tc>
              <w:tc>
                <w:tcPr>
                  <w:tcW w:w="900" w:type="dxa"/>
                  <w:tcBorders>
                    <w:top w:val="nil"/>
                    <w:left w:val="nil"/>
                    <w:bottom w:val="single" w:sz="8" w:space="0" w:color="FFFFFF"/>
                    <w:right w:val="single" w:sz="8" w:space="0" w:color="FFFFFF"/>
                  </w:tcBorders>
                  <w:shd w:val="clear" w:color="000000" w:fill="FDE9D9"/>
                  <w:noWrap/>
                  <w:vAlign w:val="center"/>
                  <w:hideMark/>
                </w:tcPr>
                <w:p w14:paraId="02D04DE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-3.2 </w:t>
                  </w:r>
                </w:p>
              </w:tc>
              <w:tc>
                <w:tcPr>
                  <w:tcW w:w="899" w:type="dxa"/>
                  <w:tcBorders>
                    <w:top w:val="nil"/>
                    <w:left w:val="nil"/>
                    <w:bottom w:val="single" w:sz="8" w:space="0" w:color="FFFFFF"/>
                    <w:right w:val="single" w:sz="8" w:space="0" w:color="FFFFFF"/>
                  </w:tcBorders>
                  <w:shd w:val="clear" w:color="000000" w:fill="FDE9D9"/>
                  <w:noWrap/>
                  <w:vAlign w:val="center"/>
                  <w:hideMark/>
                </w:tcPr>
                <w:p w14:paraId="0C49183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-3.2 </w:t>
                  </w:r>
                </w:p>
              </w:tc>
              <w:tc>
                <w:tcPr>
                  <w:tcW w:w="1121" w:type="dxa"/>
                  <w:tcBorders>
                    <w:top w:val="nil"/>
                    <w:left w:val="nil"/>
                    <w:bottom w:val="single" w:sz="8" w:space="0" w:color="FFFFFF"/>
                    <w:right w:val="single" w:sz="8" w:space="0" w:color="FFFFFF"/>
                  </w:tcBorders>
                  <w:shd w:val="clear" w:color="000000" w:fill="FDE9D9"/>
                  <w:noWrap/>
                  <w:vAlign w:val="center"/>
                  <w:hideMark/>
                </w:tcPr>
                <w:p w14:paraId="6B31ED03"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55E7B6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2.9 </w:t>
                  </w:r>
                </w:p>
              </w:tc>
              <w:tc>
                <w:tcPr>
                  <w:tcW w:w="899" w:type="dxa"/>
                  <w:tcBorders>
                    <w:top w:val="nil"/>
                    <w:left w:val="nil"/>
                    <w:bottom w:val="single" w:sz="8" w:space="0" w:color="FFFFFF"/>
                    <w:right w:val="single" w:sz="8" w:space="0" w:color="FFFFFF"/>
                  </w:tcBorders>
                  <w:shd w:val="clear" w:color="000000" w:fill="FDE9D9"/>
                  <w:noWrap/>
                  <w:vAlign w:val="center"/>
                  <w:hideMark/>
                </w:tcPr>
                <w:p w14:paraId="44B1CC2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1.9 </w:t>
                  </w:r>
                </w:p>
              </w:tc>
              <w:tc>
                <w:tcPr>
                  <w:tcW w:w="899" w:type="dxa"/>
                  <w:tcBorders>
                    <w:top w:val="nil"/>
                    <w:left w:val="nil"/>
                    <w:bottom w:val="single" w:sz="8" w:space="0" w:color="FFFFFF"/>
                    <w:right w:val="single" w:sz="8" w:space="0" w:color="FFFFFF"/>
                  </w:tcBorders>
                  <w:shd w:val="clear" w:color="000000" w:fill="FDE9D9"/>
                  <w:noWrap/>
                  <w:vAlign w:val="center"/>
                  <w:hideMark/>
                </w:tcPr>
                <w:p w14:paraId="73F1DFF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1.9 </w:t>
                  </w:r>
                </w:p>
              </w:tc>
              <w:tc>
                <w:tcPr>
                  <w:tcW w:w="899" w:type="dxa"/>
                  <w:tcBorders>
                    <w:top w:val="nil"/>
                    <w:left w:val="nil"/>
                    <w:bottom w:val="single" w:sz="8" w:space="0" w:color="FFFFFF"/>
                    <w:right w:val="single" w:sz="8" w:space="0" w:color="FFFFFF"/>
                  </w:tcBorders>
                  <w:shd w:val="clear" w:color="000000" w:fill="FDE9D9"/>
                  <w:noWrap/>
                  <w:vAlign w:val="center"/>
                  <w:hideMark/>
                </w:tcPr>
                <w:p w14:paraId="212AD55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1.9 </w:t>
                  </w:r>
                </w:p>
              </w:tc>
            </w:tr>
            <w:tr w:rsidR="00292C0B" w:rsidRPr="00292C0B" w14:paraId="61B92C2D"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7E0EC20B"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173708A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-1.1 </w:t>
                  </w:r>
                </w:p>
              </w:tc>
              <w:tc>
                <w:tcPr>
                  <w:tcW w:w="900" w:type="dxa"/>
                  <w:tcBorders>
                    <w:top w:val="nil"/>
                    <w:left w:val="nil"/>
                    <w:bottom w:val="single" w:sz="8" w:space="0" w:color="FFFFFF"/>
                    <w:right w:val="single" w:sz="8" w:space="0" w:color="FFFFFF"/>
                  </w:tcBorders>
                  <w:shd w:val="clear" w:color="000000" w:fill="FCD5B4"/>
                  <w:noWrap/>
                  <w:vAlign w:val="center"/>
                  <w:hideMark/>
                </w:tcPr>
                <w:p w14:paraId="355495D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900" w:type="dxa"/>
                  <w:tcBorders>
                    <w:top w:val="nil"/>
                    <w:left w:val="nil"/>
                    <w:bottom w:val="single" w:sz="8" w:space="0" w:color="FFFFFF"/>
                    <w:right w:val="single" w:sz="8" w:space="0" w:color="FFFFFF"/>
                  </w:tcBorders>
                  <w:shd w:val="clear" w:color="000000" w:fill="FCD5B4"/>
                  <w:noWrap/>
                  <w:vAlign w:val="center"/>
                  <w:hideMark/>
                </w:tcPr>
                <w:p w14:paraId="0904128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899" w:type="dxa"/>
                  <w:tcBorders>
                    <w:top w:val="nil"/>
                    <w:left w:val="nil"/>
                    <w:bottom w:val="single" w:sz="8" w:space="0" w:color="FFFFFF"/>
                    <w:right w:val="single" w:sz="8" w:space="0" w:color="FFFFFF"/>
                  </w:tcBorders>
                  <w:shd w:val="clear" w:color="000000" w:fill="FCD5B4"/>
                  <w:noWrap/>
                  <w:vAlign w:val="center"/>
                  <w:hideMark/>
                </w:tcPr>
                <w:p w14:paraId="7C48515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1121" w:type="dxa"/>
                  <w:tcBorders>
                    <w:top w:val="nil"/>
                    <w:left w:val="nil"/>
                    <w:bottom w:val="single" w:sz="8" w:space="0" w:color="FFFFFF"/>
                    <w:right w:val="single" w:sz="8" w:space="0" w:color="FFFFFF"/>
                  </w:tcBorders>
                  <w:shd w:val="clear" w:color="000000" w:fill="FCD5B4"/>
                  <w:noWrap/>
                  <w:vAlign w:val="center"/>
                  <w:hideMark/>
                </w:tcPr>
                <w:p w14:paraId="7D6621B7"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52286DE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-3.3 </w:t>
                  </w:r>
                </w:p>
              </w:tc>
              <w:tc>
                <w:tcPr>
                  <w:tcW w:w="899" w:type="dxa"/>
                  <w:tcBorders>
                    <w:top w:val="nil"/>
                    <w:left w:val="nil"/>
                    <w:bottom w:val="single" w:sz="8" w:space="0" w:color="FFFFFF"/>
                    <w:right w:val="single" w:sz="8" w:space="0" w:color="FFFFFF"/>
                  </w:tcBorders>
                  <w:shd w:val="clear" w:color="000000" w:fill="FCD5B4"/>
                  <w:noWrap/>
                  <w:vAlign w:val="center"/>
                  <w:hideMark/>
                </w:tcPr>
                <w:p w14:paraId="740C291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c>
                <w:tcPr>
                  <w:tcW w:w="899" w:type="dxa"/>
                  <w:tcBorders>
                    <w:top w:val="nil"/>
                    <w:left w:val="nil"/>
                    <w:bottom w:val="single" w:sz="8" w:space="0" w:color="FFFFFF"/>
                    <w:right w:val="single" w:sz="8" w:space="0" w:color="FFFFFF"/>
                  </w:tcBorders>
                  <w:shd w:val="clear" w:color="000000" w:fill="FCD5B4"/>
                  <w:noWrap/>
                  <w:vAlign w:val="center"/>
                  <w:hideMark/>
                </w:tcPr>
                <w:p w14:paraId="1190C40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c>
                <w:tcPr>
                  <w:tcW w:w="899" w:type="dxa"/>
                  <w:tcBorders>
                    <w:top w:val="nil"/>
                    <w:left w:val="nil"/>
                    <w:bottom w:val="single" w:sz="8" w:space="0" w:color="FFFFFF"/>
                    <w:right w:val="single" w:sz="8" w:space="0" w:color="FFFFFF"/>
                  </w:tcBorders>
                  <w:shd w:val="clear" w:color="000000" w:fill="FCD5B4"/>
                  <w:noWrap/>
                  <w:vAlign w:val="center"/>
                  <w:hideMark/>
                </w:tcPr>
                <w:p w14:paraId="79BCF96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r>
            <w:tr w:rsidR="00292C0B" w:rsidRPr="00292C0B" w14:paraId="4BE7B595"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17E09E14"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1F1D360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-0.9 </w:t>
                  </w:r>
                </w:p>
              </w:tc>
              <w:tc>
                <w:tcPr>
                  <w:tcW w:w="900" w:type="dxa"/>
                  <w:tcBorders>
                    <w:top w:val="nil"/>
                    <w:left w:val="nil"/>
                    <w:bottom w:val="single" w:sz="8" w:space="0" w:color="FFFFFF"/>
                    <w:right w:val="single" w:sz="8" w:space="0" w:color="FFFFFF"/>
                  </w:tcBorders>
                  <w:shd w:val="clear" w:color="000000" w:fill="FDE9D9"/>
                  <w:noWrap/>
                  <w:vAlign w:val="center"/>
                  <w:hideMark/>
                </w:tcPr>
                <w:p w14:paraId="3EAEF02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-1.9 </w:t>
                  </w:r>
                </w:p>
              </w:tc>
              <w:tc>
                <w:tcPr>
                  <w:tcW w:w="900" w:type="dxa"/>
                  <w:tcBorders>
                    <w:top w:val="nil"/>
                    <w:left w:val="nil"/>
                    <w:bottom w:val="single" w:sz="8" w:space="0" w:color="FFFFFF"/>
                    <w:right w:val="single" w:sz="8" w:space="0" w:color="FFFFFF"/>
                  </w:tcBorders>
                  <w:shd w:val="clear" w:color="000000" w:fill="FDE9D9"/>
                  <w:noWrap/>
                  <w:vAlign w:val="center"/>
                  <w:hideMark/>
                </w:tcPr>
                <w:p w14:paraId="583EFB4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-0.9 </w:t>
                  </w:r>
                </w:p>
              </w:tc>
              <w:tc>
                <w:tcPr>
                  <w:tcW w:w="899" w:type="dxa"/>
                  <w:tcBorders>
                    <w:top w:val="nil"/>
                    <w:left w:val="nil"/>
                    <w:bottom w:val="single" w:sz="8" w:space="0" w:color="FFFFFF"/>
                    <w:right w:val="single" w:sz="8" w:space="0" w:color="FFFFFF"/>
                  </w:tcBorders>
                  <w:shd w:val="clear" w:color="000000" w:fill="FDE9D9"/>
                  <w:noWrap/>
                  <w:vAlign w:val="center"/>
                  <w:hideMark/>
                </w:tcPr>
                <w:p w14:paraId="033BA69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-0.9 </w:t>
                  </w:r>
                </w:p>
              </w:tc>
              <w:tc>
                <w:tcPr>
                  <w:tcW w:w="1121" w:type="dxa"/>
                  <w:tcBorders>
                    <w:top w:val="nil"/>
                    <w:left w:val="nil"/>
                    <w:bottom w:val="single" w:sz="8" w:space="0" w:color="FFFFFF"/>
                    <w:right w:val="single" w:sz="8" w:space="0" w:color="FFFFFF"/>
                  </w:tcBorders>
                  <w:shd w:val="clear" w:color="000000" w:fill="FDE9D9"/>
                  <w:noWrap/>
                  <w:vAlign w:val="center"/>
                  <w:hideMark/>
                </w:tcPr>
                <w:p w14:paraId="2272E518"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2CCB955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-0.1 </w:t>
                  </w:r>
                </w:p>
              </w:tc>
              <w:tc>
                <w:tcPr>
                  <w:tcW w:w="899" w:type="dxa"/>
                  <w:tcBorders>
                    <w:top w:val="nil"/>
                    <w:left w:val="nil"/>
                    <w:bottom w:val="single" w:sz="8" w:space="0" w:color="FFFFFF"/>
                    <w:right w:val="single" w:sz="8" w:space="0" w:color="FFFFFF"/>
                  </w:tcBorders>
                  <w:shd w:val="clear" w:color="000000" w:fill="FDE9D9"/>
                  <w:noWrap/>
                  <w:vAlign w:val="center"/>
                  <w:hideMark/>
                </w:tcPr>
                <w:p w14:paraId="192C663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-1.1 </w:t>
                  </w:r>
                </w:p>
              </w:tc>
              <w:tc>
                <w:tcPr>
                  <w:tcW w:w="899" w:type="dxa"/>
                  <w:tcBorders>
                    <w:top w:val="nil"/>
                    <w:left w:val="nil"/>
                    <w:bottom w:val="single" w:sz="8" w:space="0" w:color="FFFFFF"/>
                    <w:right w:val="single" w:sz="8" w:space="0" w:color="FFFFFF"/>
                  </w:tcBorders>
                  <w:shd w:val="clear" w:color="000000" w:fill="FDE9D9"/>
                  <w:noWrap/>
                  <w:vAlign w:val="center"/>
                  <w:hideMark/>
                </w:tcPr>
                <w:p w14:paraId="57596C3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-0.1 </w:t>
                  </w:r>
                </w:p>
              </w:tc>
              <w:tc>
                <w:tcPr>
                  <w:tcW w:w="899" w:type="dxa"/>
                  <w:tcBorders>
                    <w:top w:val="nil"/>
                    <w:left w:val="nil"/>
                    <w:bottom w:val="single" w:sz="8" w:space="0" w:color="FFFFFF"/>
                    <w:right w:val="single" w:sz="8" w:space="0" w:color="FFFFFF"/>
                  </w:tcBorders>
                  <w:shd w:val="clear" w:color="000000" w:fill="FDE9D9"/>
                  <w:noWrap/>
                  <w:vAlign w:val="center"/>
                  <w:hideMark/>
                </w:tcPr>
                <w:p w14:paraId="1C999B4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-0.1 </w:t>
                  </w:r>
                </w:p>
              </w:tc>
            </w:tr>
            <w:tr w:rsidR="00292C0B" w:rsidRPr="00292C0B" w14:paraId="4FB61C27"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132E0274"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14:paraId="6720D02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-3.9 </w:t>
                  </w:r>
                </w:p>
              </w:tc>
              <w:tc>
                <w:tcPr>
                  <w:tcW w:w="900" w:type="dxa"/>
                  <w:tcBorders>
                    <w:top w:val="nil"/>
                    <w:left w:val="nil"/>
                    <w:bottom w:val="single" w:sz="8" w:space="0" w:color="FFFFFF"/>
                    <w:right w:val="single" w:sz="8" w:space="0" w:color="FFFFFF"/>
                  </w:tcBorders>
                  <w:shd w:val="clear" w:color="000000" w:fill="FCD5B4"/>
                  <w:noWrap/>
                  <w:vAlign w:val="center"/>
                  <w:hideMark/>
                </w:tcPr>
                <w:p w14:paraId="70DDD12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-3.0 </w:t>
                  </w:r>
                </w:p>
              </w:tc>
              <w:tc>
                <w:tcPr>
                  <w:tcW w:w="900" w:type="dxa"/>
                  <w:tcBorders>
                    <w:top w:val="nil"/>
                    <w:left w:val="nil"/>
                    <w:bottom w:val="single" w:sz="8" w:space="0" w:color="FFFFFF"/>
                    <w:right w:val="single" w:sz="8" w:space="0" w:color="FFFFFF"/>
                  </w:tcBorders>
                  <w:shd w:val="clear" w:color="000000" w:fill="FCD5B4"/>
                  <w:noWrap/>
                  <w:vAlign w:val="center"/>
                  <w:hideMark/>
                </w:tcPr>
                <w:p w14:paraId="08AE1B2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-3.0 </w:t>
                  </w:r>
                </w:p>
              </w:tc>
              <w:tc>
                <w:tcPr>
                  <w:tcW w:w="899" w:type="dxa"/>
                  <w:tcBorders>
                    <w:top w:val="nil"/>
                    <w:left w:val="nil"/>
                    <w:bottom w:val="single" w:sz="8" w:space="0" w:color="FFFFFF"/>
                    <w:right w:val="single" w:sz="8" w:space="0" w:color="FFFFFF"/>
                  </w:tcBorders>
                  <w:shd w:val="clear" w:color="000000" w:fill="FCD5B4"/>
                  <w:noWrap/>
                  <w:vAlign w:val="center"/>
                  <w:hideMark/>
                </w:tcPr>
                <w:p w14:paraId="1A54EB1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-4.0 </w:t>
                  </w:r>
                </w:p>
              </w:tc>
              <w:tc>
                <w:tcPr>
                  <w:tcW w:w="1121" w:type="dxa"/>
                  <w:tcBorders>
                    <w:top w:val="nil"/>
                    <w:left w:val="nil"/>
                    <w:bottom w:val="single" w:sz="8" w:space="0" w:color="FFFFFF"/>
                    <w:right w:val="single" w:sz="8" w:space="0" w:color="FFFFFF"/>
                  </w:tcBorders>
                  <w:shd w:val="clear" w:color="000000" w:fill="FCD5B4"/>
                  <w:noWrap/>
                  <w:vAlign w:val="center"/>
                  <w:hideMark/>
                </w:tcPr>
                <w:p w14:paraId="46CC4446"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14:paraId="256406A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1.2 </w:t>
                  </w:r>
                </w:p>
              </w:tc>
              <w:tc>
                <w:tcPr>
                  <w:tcW w:w="899" w:type="dxa"/>
                  <w:tcBorders>
                    <w:top w:val="nil"/>
                    <w:left w:val="nil"/>
                    <w:bottom w:val="single" w:sz="8" w:space="0" w:color="FFFFFF"/>
                    <w:right w:val="single" w:sz="8" w:space="0" w:color="FFFFFF"/>
                  </w:tcBorders>
                  <w:shd w:val="clear" w:color="000000" w:fill="FCD5B4"/>
                  <w:noWrap/>
                  <w:vAlign w:val="center"/>
                  <w:hideMark/>
                </w:tcPr>
                <w:p w14:paraId="095EEFC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2.2 </w:t>
                  </w:r>
                </w:p>
              </w:tc>
              <w:tc>
                <w:tcPr>
                  <w:tcW w:w="899" w:type="dxa"/>
                  <w:tcBorders>
                    <w:top w:val="nil"/>
                    <w:left w:val="nil"/>
                    <w:bottom w:val="single" w:sz="8" w:space="0" w:color="FFFFFF"/>
                    <w:right w:val="single" w:sz="8" w:space="0" w:color="FFFFFF"/>
                  </w:tcBorders>
                  <w:shd w:val="clear" w:color="000000" w:fill="FCD5B4"/>
                  <w:noWrap/>
                  <w:vAlign w:val="center"/>
                  <w:hideMark/>
                </w:tcPr>
                <w:p w14:paraId="1A20B1D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2.2 </w:t>
                  </w:r>
                </w:p>
              </w:tc>
              <w:tc>
                <w:tcPr>
                  <w:tcW w:w="899" w:type="dxa"/>
                  <w:tcBorders>
                    <w:top w:val="nil"/>
                    <w:left w:val="nil"/>
                    <w:bottom w:val="single" w:sz="8" w:space="0" w:color="FFFFFF"/>
                    <w:right w:val="single" w:sz="8" w:space="0" w:color="FFFFFF"/>
                  </w:tcBorders>
                  <w:shd w:val="clear" w:color="000000" w:fill="FCD5B4"/>
                  <w:noWrap/>
                  <w:vAlign w:val="center"/>
                  <w:hideMark/>
                </w:tcPr>
                <w:p w14:paraId="7352EF6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 xml:space="preserve">1.2 </w:t>
                  </w:r>
                </w:p>
              </w:tc>
            </w:tr>
            <w:tr w:rsidR="00292C0B" w:rsidRPr="00292C0B" w14:paraId="606421AC"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1862DBC3"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14:paraId="2395884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-5.1 </w:t>
                  </w:r>
                </w:p>
              </w:tc>
              <w:tc>
                <w:tcPr>
                  <w:tcW w:w="900" w:type="dxa"/>
                  <w:tcBorders>
                    <w:top w:val="nil"/>
                    <w:left w:val="nil"/>
                    <w:bottom w:val="single" w:sz="8" w:space="0" w:color="FFFFFF"/>
                    <w:right w:val="single" w:sz="8" w:space="0" w:color="FFFFFF"/>
                  </w:tcBorders>
                  <w:shd w:val="clear" w:color="000000" w:fill="FDE9D9"/>
                  <w:noWrap/>
                  <w:vAlign w:val="center"/>
                  <w:hideMark/>
                </w:tcPr>
                <w:p w14:paraId="3A99EDB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-4.1 </w:t>
                  </w:r>
                </w:p>
              </w:tc>
              <w:tc>
                <w:tcPr>
                  <w:tcW w:w="900" w:type="dxa"/>
                  <w:tcBorders>
                    <w:top w:val="nil"/>
                    <w:left w:val="nil"/>
                    <w:bottom w:val="single" w:sz="8" w:space="0" w:color="FFFFFF"/>
                    <w:right w:val="single" w:sz="8" w:space="0" w:color="FFFFFF"/>
                  </w:tcBorders>
                  <w:shd w:val="clear" w:color="000000" w:fill="FDE9D9"/>
                  <w:noWrap/>
                  <w:vAlign w:val="center"/>
                  <w:hideMark/>
                </w:tcPr>
                <w:p w14:paraId="3E41BB8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-5.1 </w:t>
                  </w:r>
                </w:p>
              </w:tc>
              <w:tc>
                <w:tcPr>
                  <w:tcW w:w="899" w:type="dxa"/>
                  <w:tcBorders>
                    <w:top w:val="nil"/>
                    <w:left w:val="nil"/>
                    <w:bottom w:val="single" w:sz="8" w:space="0" w:color="FFFFFF"/>
                    <w:right w:val="single" w:sz="8" w:space="0" w:color="FFFFFF"/>
                  </w:tcBorders>
                  <w:shd w:val="clear" w:color="000000" w:fill="FDE9D9"/>
                  <w:noWrap/>
                  <w:vAlign w:val="center"/>
                  <w:hideMark/>
                </w:tcPr>
                <w:p w14:paraId="7AC51F4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-5.1 </w:t>
                  </w:r>
                </w:p>
              </w:tc>
              <w:tc>
                <w:tcPr>
                  <w:tcW w:w="1121" w:type="dxa"/>
                  <w:tcBorders>
                    <w:top w:val="nil"/>
                    <w:left w:val="nil"/>
                    <w:bottom w:val="single" w:sz="8" w:space="0" w:color="FFFFFF"/>
                    <w:right w:val="single" w:sz="8" w:space="0" w:color="FFFFFF"/>
                  </w:tcBorders>
                  <w:shd w:val="clear" w:color="000000" w:fill="FDE9D9"/>
                  <w:noWrap/>
                  <w:vAlign w:val="center"/>
                  <w:hideMark/>
                </w:tcPr>
                <w:p w14:paraId="774D1DA9"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14:paraId="6477D1C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-7.3 </w:t>
                  </w:r>
                </w:p>
              </w:tc>
              <w:tc>
                <w:tcPr>
                  <w:tcW w:w="899" w:type="dxa"/>
                  <w:tcBorders>
                    <w:top w:val="nil"/>
                    <w:left w:val="nil"/>
                    <w:bottom w:val="single" w:sz="8" w:space="0" w:color="FFFFFF"/>
                    <w:right w:val="single" w:sz="8" w:space="0" w:color="FFFFFF"/>
                  </w:tcBorders>
                  <w:shd w:val="clear" w:color="000000" w:fill="FDE9D9"/>
                  <w:noWrap/>
                  <w:vAlign w:val="center"/>
                  <w:hideMark/>
                </w:tcPr>
                <w:p w14:paraId="63B8BDF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-6.3 </w:t>
                  </w:r>
                </w:p>
              </w:tc>
              <w:tc>
                <w:tcPr>
                  <w:tcW w:w="899" w:type="dxa"/>
                  <w:tcBorders>
                    <w:top w:val="nil"/>
                    <w:left w:val="nil"/>
                    <w:bottom w:val="single" w:sz="8" w:space="0" w:color="FFFFFF"/>
                    <w:right w:val="single" w:sz="8" w:space="0" w:color="FFFFFF"/>
                  </w:tcBorders>
                  <w:shd w:val="clear" w:color="000000" w:fill="FDE9D9"/>
                  <w:noWrap/>
                  <w:vAlign w:val="center"/>
                  <w:hideMark/>
                </w:tcPr>
                <w:p w14:paraId="415C059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-7.3 </w:t>
                  </w:r>
                </w:p>
              </w:tc>
              <w:tc>
                <w:tcPr>
                  <w:tcW w:w="899" w:type="dxa"/>
                  <w:tcBorders>
                    <w:top w:val="nil"/>
                    <w:left w:val="nil"/>
                    <w:bottom w:val="single" w:sz="8" w:space="0" w:color="FFFFFF"/>
                    <w:right w:val="single" w:sz="8" w:space="0" w:color="FFFFFF"/>
                  </w:tcBorders>
                  <w:shd w:val="clear" w:color="000000" w:fill="FDE9D9"/>
                  <w:noWrap/>
                  <w:vAlign w:val="center"/>
                  <w:hideMark/>
                </w:tcPr>
                <w:p w14:paraId="02505F4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-7.3 </w:t>
                  </w:r>
                </w:p>
              </w:tc>
            </w:tr>
            <w:tr w:rsidR="00292C0B" w:rsidRPr="00292C0B" w14:paraId="7446EE59" w14:textId="77777777" w:rsidTr="00292C0B">
              <w:trPr>
                <w:trHeight w:val="300"/>
              </w:trPr>
              <w:tc>
                <w:tcPr>
                  <w:tcW w:w="1323" w:type="dxa"/>
                  <w:tcBorders>
                    <w:top w:val="nil"/>
                    <w:left w:val="nil"/>
                    <w:bottom w:val="nil"/>
                    <w:right w:val="nil"/>
                  </w:tcBorders>
                  <w:shd w:val="clear" w:color="000000" w:fill="FCD5B4"/>
                  <w:noWrap/>
                  <w:vAlign w:val="center"/>
                  <w:hideMark/>
                </w:tcPr>
                <w:p w14:paraId="7C6CBF7D"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14:paraId="72FB26D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-3.8 </w:t>
                  </w:r>
                </w:p>
              </w:tc>
              <w:tc>
                <w:tcPr>
                  <w:tcW w:w="900" w:type="dxa"/>
                  <w:tcBorders>
                    <w:top w:val="nil"/>
                    <w:left w:val="nil"/>
                    <w:bottom w:val="single" w:sz="8" w:space="0" w:color="FFFFFF"/>
                    <w:right w:val="single" w:sz="8" w:space="0" w:color="FFFFFF"/>
                  </w:tcBorders>
                  <w:shd w:val="clear" w:color="000000" w:fill="FCD5B4"/>
                  <w:noWrap/>
                  <w:vAlign w:val="center"/>
                  <w:hideMark/>
                </w:tcPr>
                <w:p w14:paraId="280E708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-3.8 </w:t>
                  </w:r>
                </w:p>
              </w:tc>
              <w:tc>
                <w:tcPr>
                  <w:tcW w:w="900" w:type="dxa"/>
                  <w:tcBorders>
                    <w:top w:val="nil"/>
                    <w:left w:val="nil"/>
                    <w:bottom w:val="single" w:sz="8" w:space="0" w:color="FFFFFF"/>
                    <w:right w:val="single" w:sz="8" w:space="0" w:color="FFFFFF"/>
                  </w:tcBorders>
                  <w:shd w:val="clear" w:color="000000" w:fill="FCD5B4"/>
                  <w:noWrap/>
                  <w:vAlign w:val="center"/>
                  <w:hideMark/>
                </w:tcPr>
                <w:p w14:paraId="4D00DF1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-3.8 </w:t>
                  </w:r>
                </w:p>
              </w:tc>
              <w:tc>
                <w:tcPr>
                  <w:tcW w:w="899" w:type="dxa"/>
                  <w:tcBorders>
                    <w:top w:val="nil"/>
                    <w:left w:val="nil"/>
                    <w:bottom w:val="single" w:sz="8" w:space="0" w:color="FFFFFF"/>
                    <w:right w:val="single" w:sz="8" w:space="0" w:color="FFFFFF"/>
                  </w:tcBorders>
                  <w:shd w:val="clear" w:color="000000" w:fill="FCD5B4"/>
                  <w:noWrap/>
                  <w:vAlign w:val="center"/>
                  <w:hideMark/>
                </w:tcPr>
                <w:p w14:paraId="357A3CB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-3.8 </w:t>
                  </w:r>
                </w:p>
              </w:tc>
              <w:tc>
                <w:tcPr>
                  <w:tcW w:w="1121" w:type="dxa"/>
                  <w:tcBorders>
                    <w:top w:val="nil"/>
                    <w:left w:val="nil"/>
                    <w:bottom w:val="nil"/>
                    <w:right w:val="nil"/>
                  </w:tcBorders>
                  <w:shd w:val="clear" w:color="000000" w:fill="FCD5B4"/>
                  <w:noWrap/>
                  <w:vAlign w:val="center"/>
                  <w:hideMark/>
                </w:tcPr>
                <w:p w14:paraId="2D78BC8F"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14:paraId="0BE67FA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-3.1 </w:t>
                  </w:r>
                </w:p>
              </w:tc>
              <w:tc>
                <w:tcPr>
                  <w:tcW w:w="899" w:type="dxa"/>
                  <w:tcBorders>
                    <w:top w:val="nil"/>
                    <w:left w:val="nil"/>
                    <w:bottom w:val="single" w:sz="8" w:space="0" w:color="FFFFFF"/>
                    <w:right w:val="single" w:sz="8" w:space="0" w:color="FFFFFF"/>
                  </w:tcBorders>
                  <w:shd w:val="clear" w:color="000000" w:fill="FCD5B4"/>
                  <w:noWrap/>
                  <w:vAlign w:val="center"/>
                  <w:hideMark/>
                </w:tcPr>
                <w:p w14:paraId="24BB40D8"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-3.1 </w:t>
                  </w:r>
                </w:p>
              </w:tc>
              <w:tc>
                <w:tcPr>
                  <w:tcW w:w="899" w:type="dxa"/>
                  <w:tcBorders>
                    <w:top w:val="nil"/>
                    <w:left w:val="nil"/>
                    <w:bottom w:val="single" w:sz="8" w:space="0" w:color="FFFFFF"/>
                    <w:right w:val="single" w:sz="8" w:space="0" w:color="FFFFFF"/>
                  </w:tcBorders>
                  <w:shd w:val="clear" w:color="000000" w:fill="FCD5B4"/>
                  <w:noWrap/>
                  <w:vAlign w:val="center"/>
                  <w:hideMark/>
                </w:tcPr>
                <w:p w14:paraId="3EB373E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-3.1 </w:t>
                  </w:r>
                </w:p>
              </w:tc>
              <w:tc>
                <w:tcPr>
                  <w:tcW w:w="899" w:type="dxa"/>
                  <w:tcBorders>
                    <w:top w:val="nil"/>
                    <w:left w:val="nil"/>
                    <w:bottom w:val="single" w:sz="8" w:space="0" w:color="FFFFFF"/>
                    <w:right w:val="single" w:sz="8" w:space="0" w:color="FFFFFF"/>
                  </w:tcBorders>
                  <w:shd w:val="clear" w:color="000000" w:fill="FCD5B4"/>
                  <w:noWrap/>
                  <w:vAlign w:val="center"/>
                  <w:hideMark/>
                </w:tcPr>
                <w:p w14:paraId="0571A80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FF0000"/>
                      <w:kern w:val="0"/>
                      <w:szCs w:val="21"/>
                    </w:rPr>
                    <w:t xml:space="preserve">-3.1 </w:t>
                  </w:r>
                </w:p>
              </w:tc>
            </w:tr>
            <w:tr w:rsidR="00292C0B" w:rsidRPr="00292C0B" w14:paraId="4C3FDC84" w14:textId="77777777" w:rsidTr="00292C0B">
              <w:trPr>
                <w:trHeight w:val="300"/>
              </w:trPr>
              <w:tc>
                <w:tcPr>
                  <w:tcW w:w="1323" w:type="dxa"/>
                  <w:tcBorders>
                    <w:top w:val="nil"/>
                    <w:left w:val="nil"/>
                    <w:bottom w:val="single" w:sz="12" w:space="0" w:color="FFFFFF"/>
                    <w:right w:val="single" w:sz="8" w:space="0" w:color="FFFFFF"/>
                  </w:tcBorders>
                  <w:shd w:val="clear" w:color="000000" w:fill="F79646"/>
                  <w:noWrap/>
                  <w:vAlign w:val="center"/>
                  <w:hideMark/>
                </w:tcPr>
                <w:p w14:paraId="715688D3"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收益率分位</w:t>
                  </w:r>
                </w:p>
              </w:tc>
              <w:tc>
                <w:tcPr>
                  <w:tcW w:w="899" w:type="dxa"/>
                  <w:tcBorders>
                    <w:top w:val="nil"/>
                    <w:left w:val="nil"/>
                    <w:bottom w:val="single" w:sz="12" w:space="0" w:color="FFFFFF"/>
                    <w:right w:val="single" w:sz="8" w:space="0" w:color="FFFFFF"/>
                  </w:tcBorders>
                  <w:shd w:val="clear" w:color="000000" w:fill="F79646"/>
                  <w:noWrap/>
                  <w:vAlign w:val="center"/>
                  <w:hideMark/>
                </w:tcPr>
                <w:p w14:paraId="1FCC07FB"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715AEF70"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48A091ED"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30AFCD9"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1121" w:type="dxa"/>
                  <w:tcBorders>
                    <w:top w:val="nil"/>
                    <w:left w:val="nil"/>
                    <w:bottom w:val="single" w:sz="12" w:space="0" w:color="FFFFFF"/>
                    <w:right w:val="single" w:sz="8" w:space="0" w:color="FFFFFF"/>
                  </w:tcBorders>
                  <w:shd w:val="clear" w:color="000000" w:fill="F79646"/>
                  <w:noWrap/>
                  <w:vAlign w:val="center"/>
                  <w:hideMark/>
                </w:tcPr>
                <w:p w14:paraId="6793032C"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0DED8FDF"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DB50C2A"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5A0A343"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0EA432DC" w14:textId="77777777" w:rsidR="00292C0B" w:rsidRPr="00292C0B" w:rsidRDefault="00292C0B" w:rsidP="00292C0B">
                  <w:pPr>
                    <w:widowControl/>
                    <w:jc w:val="center"/>
                    <w:rPr>
                      <w:rFonts w:ascii="楷体" w:eastAsia="楷体" w:hAnsi="楷体" w:cs="宋体"/>
                      <w:b/>
                      <w:bCs/>
                      <w:color w:val="FFFFFF"/>
                      <w:kern w:val="0"/>
                      <w:sz w:val="20"/>
                      <w:szCs w:val="20"/>
                    </w:rPr>
                  </w:pPr>
                  <w:r w:rsidRPr="00292C0B">
                    <w:rPr>
                      <w:rFonts w:ascii="楷体" w:eastAsia="楷体" w:hAnsi="楷体" w:cs="宋体" w:hint="eastAsia"/>
                      <w:b/>
                      <w:bCs/>
                      <w:color w:val="FFFFFF"/>
                      <w:kern w:val="0"/>
                      <w:sz w:val="20"/>
                      <w:szCs w:val="20"/>
                    </w:rPr>
                    <w:t>AA-</w:t>
                  </w:r>
                </w:p>
              </w:tc>
            </w:tr>
            <w:tr w:rsidR="00292C0B" w:rsidRPr="00292C0B" w14:paraId="1B35FCF9" w14:textId="77777777" w:rsidTr="00292C0B">
              <w:trPr>
                <w:trHeight w:val="315"/>
              </w:trPr>
              <w:tc>
                <w:tcPr>
                  <w:tcW w:w="1323" w:type="dxa"/>
                  <w:tcBorders>
                    <w:top w:val="nil"/>
                    <w:left w:val="nil"/>
                    <w:bottom w:val="single" w:sz="8" w:space="0" w:color="FFFFFF"/>
                    <w:right w:val="single" w:sz="8" w:space="0" w:color="FFFFFF"/>
                  </w:tcBorders>
                  <w:shd w:val="clear" w:color="000000" w:fill="FCD5B4"/>
                  <w:noWrap/>
                  <w:vAlign w:val="center"/>
                  <w:hideMark/>
                </w:tcPr>
                <w:p w14:paraId="48FB8F71"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75BAB39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15%</w:t>
                  </w:r>
                </w:p>
              </w:tc>
              <w:tc>
                <w:tcPr>
                  <w:tcW w:w="900" w:type="dxa"/>
                  <w:tcBorders>
                    <w:top w:val="nil"/>
                    <w:left w:val="nil"/>
                    <w:bottom w:val="single" w:sz="8" w:space="0" w:color="FFFFFF"/>
                    <w:right w:val="single" w:sz="8" w:space="0" w:color="FFFFFF"/>
                  </w:tcBorders>
                  <w:shd w:val="clear" w:color="000000" w:fill="FCD5B4"/>
                  <w:noWrap/>
                  <w:vAlign w:val="center"/>
                  <w:hideMark/>
                </w:tcPr>
                <w:p w14:paraId="1687D9D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900" w:type="dxa"/>
                  <w:tcBorders>
                    <w:top w:val="nil"/>
                    <w:left w:val="nil"/>
                    <w:bottom w:val="single" w:sz="8" w:space="0" w:color="FFFFFF"/>
                    <w:right w:val="single" w:sz="8" w:space="0" w:color="FFFFFF"/>
                  </w:tcBorders>
                  <w:shd w:val="clear" w:color="000000" w:fill="FCD5B4"/>
                  <w:noWrap/>
                  <w:vAlign w:val="center"/>
                  <w:hideMark/>
                </w:tcPr>
                <w:p w14:paraId="74BD7D1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14:paraId="2475206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48%</w:t>
                  </w:r>
                </w:p>
              </w:tc>
              <w:tc>
                <w:tcPr>
                  <w:tcW w:w="1121" w:type="dxa"/>
                  <w:tcBorders>
                    <w:top w:val="nil"/>
                    <w:left w:val="nil"/>
                    <w:bottom w:val="single" w:sz="8" w:space="0" w:color="FFFFFF"/>
                    <w:right w:val="single" w:sz="8" w:space="0" w:color="FFFFFF"/>
                  </w:tcBorders>
                  <w:shd w:val="clear" w:color="000000" w:fill="FCD5B4"/>
                  <w:noWrap/>
                  <w:vAlign w:val="center"/>
                  <w:hideMark/>
                </w:tcPr>
                <w:p w14:paraId="3C6977EC"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352A646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14:paraId="365AFB8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5B6FDBF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6D561A2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78%</w:t>
                  </w:r>
                </w:p>
              </w:tc>
            </w:tr>
            <w:tr w:rsidR="00292C0B" w:rsidRPr="00292C0B" w14:paraId="103580C2"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013695EE"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26228B2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900" w:type="dxa"/>
                  <w:tcBorders>
                    <w:top w:val="nil"/>
                    <w:left w:val="nil"/>
                    <w:bottom w:val="single" w:sz="8" w:space="0" w:color="FFFFFF"/>
                    <w:right w:val="single" w:sz="8" w:space="0" w:color="FFFFFF"/>
                  </w:tcBorders>
                  <w:shd w:val="clear" w:color="000000" w:fill="FDE9D9"/>
                  <w:noWrap/>
                  <w:vAlign w:val="center"/>
                  <w:hideMark/>
                </w:tcPr>
                <w:p w14:paraId="164119C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900" w:type="dxa"/>
                  <w:tcBorders>
                    <w:top w:val="nil"/>
                    <w:left w:val="nil"/>
                    <w:bottom w:val="single" w:sz="8" w:space="0" w:color="FFFFFF"/>
                    <w:right w:val="single" w:sz="8" w:space="0" w:color="FFFFFF"/>
                  </w:tcBorders>
                  <w:shd w:val="clear" w:color="000000" w:fill="FDE9D9"/>
                  <w:noWrap/>
                  <w:vAlign w:val="center"/>
                  <w:hideMark/>
                </w:tcPr>
                <w:p w14:paraId="5A86DEF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DE9D9"/>
                  <w:noWrap/>
                  <w:vAlign w:val="center"/>
                  <w:hideMark/>
                </w:tcPr>
                <w:p w14:paraId="0325837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37%</w:t>
                  </w:r>
                </w:p>
              </w:tc>
              <w:tc>
                <w:tcPr>
                  <w:tcW w:w="1121" w:type="dxa"/>
                  <w:tcBorders>
                    <w:top w:val="nil"/>
                    <w:left w:val="nil"/>
                    <w:bottom w:val="single" w:sz="8" w:space="0" w:color="FFFFFF"/>
                    <w:right w:val="single" w:sz="8" w:space="0" w:color="FFFFFF"/>
                  </w:tcBorders>
                  <w:shd w:val="clear" w:color="000000" w:fill="FDE9D9"/>
                  <w:noWrap/>
                  <w:vAlign w:val="center"/>
                  <w:hideMark/>
                </w:tcPr>
                <w:p w14:paraId="51322009"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0B03DA0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DE9D9"/>
                  <w:noWrap/>
                  <w:vAlign w:val="center"/>
                  <w:hideMark/>
                </w:tcPr>
                <w:p w14:paraId="2DCF35F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DE9D9"/>
                  <w:noWrap/>
                  <w:vAlign w:val="center"/>
                  <w:hideMark/>
                </w:tcPr>
                <w:p w14:paraId="0155801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DE9D9"/>
                  <w:noWrap/>
                  <w:vAlign w:val="center"/>
                  <w:hideMark/>
                </w:tcPr>
                <w:p w14:paraId="48200A3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78%</w:t>
                  </w:r>
                </w:p>
              </w:tc>
            </w:tr>
            <w:tr w:rsidR="00292C0B" w:rsidRPr="00292C0B" w14:paraId="0682E466"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6F995310"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lastRenderedPageBreak/>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68147CA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14%</w:t>
                  </w:r>
                </w:p>
              </w:tc>
              <w:tc>
                <w:tcPr>
                  <w:tcW w:w="900" w:type="dxa"/>
                  <w:tcBorders>
                    <w:top w:val="nil"/>
                    <w:left w:val="nil"/>
                    <w:bottom w:val="single" w:sz="8" w:space="0" w:color="FFFFFF"/>
                    <w:right w:val="single" w:sz="8" w:space="0" w:color="FFFFFF"/>
                  </w:tcBorders>
                  <w:shd w:val="clear" w:color="000000" w:fill="FCD5B4"/>
                  <w:noWrap/>
                  <w:vAlign w:val="center"/>
                  <w:hideMark/>
                </w:tcPr>
                <w:p w14:paraId="7500006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12%</w:t>
                  </w:r>
                </w:p>
              </w:tc>
              <w:tc>
                <w:tcPr>
                  <w:tcW w:w="900" w:type="dxa"/>
                  <w:tcBorders>
                    <w:top w:val="nil"/>
                    <w:left w:val="nil"/>
                    <w:bottom w:val="single" w:sz="8" w:space="0" w:color="FFFFFF"/>
                    <w:right w:val="single" w:sz="8" w:space="0" w:color="FFFFFF"/>
                  </w:tcBorders>
                  <w:shd w:val="clear" w:color="000000" w:fill="FCD5B4"/>
                  <w:noWrap/>
                  <w:vAlign w:val="center"/>
                  <w:hideMark/>
                </w:tcPr>
                <w:p w14:paraId="1C1BECB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CD5B4"/>
                  <w:noWrap/>
                  <w:vAlign w:val="center"/>
                  <w:hideMark/>
                </w:tcPr>
                <w:p w14:paraId="76553A5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48%</w:t>
                  </w:r>
                </w:p>
              </w:tc>
              <w:tc>
                <w:tcPr>
                  <w:tcW w:w="1121" w:type="dxa"/>
                  <w:tcBorders>
                    <w:top w:val="nil"/>
                    <w:left w:val="nil"/>
                    <w:bottom w:val="single" w:sz="8" w:space="0" w:color="FFFFFF"/>
                    <w:right w:val="single" w:sz="8" w:space="0" w:color="FFFFFF"/>
                  </w:tcBorders>
                  <w:shd w:val="clear" w:color="000000" w:fill="FCD5B4"/>
                  <w:noWrap/>
                  <w:vAlign w:val="center"/>
                  <w:hideMark/>
                </w:tcPr>
                <w:p w14:paraId="3EACF4BA"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0C354FA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32%</w:t>
                  </w:r>
                </w:p>
              </w:tc>
              <w:tc>
                <w:tcPr>
                  <w:tcW w:w="899" w:type="dxa"/>
                  <w:tcBorders>
                    <w:top w:val="nil"/>
                    <w:left w:val="nil"/>
                    <w:bottom w:val="single" w:sz="8" w:space="0" w:color="FFFFFF"/>
                    <w:right w:val="single" w:sz="8" w:space="0" w:color="FFFFFF"/>
                  </w:tcBorders>
                  <w:shd w:val="clear" w:color="000000" w:fill="FCD5B4"/>
                  <w:noWrap/>
                  <w:vAlign w:val="center"/>
                  <w:hideMark/>
                </w:tcPr>
                <w:p w14:paraId="743C6E9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25%</w:t>
                  </w:r>
                </w:p>
              </w:tc>
              <w:tc>
                <w:tcPr>
                  <w:tcW w:w="899" w:type="dxa"/>
                  <w:tcBorders>
                    <w:top w:val="nil"/>
                    <w:left w:val="nil"/>
                    <w:bottom w:val="single" w:sz="8" w:space="0" w:color="FFFFFF"/>
                    <w:right w:val="single" w:sz="8" w:space="0" w:color="FFFFFF"/>
                  </w:tcBorders>
                  <w:shd w:val="clear" w:color="000000" w:fill="FCD5B4"/>
                  <w:noWrap/>
                  <w:vAlign w:val="center"/>
                  <w:hideMark/>
                </w:tcPr>
                <w:p w14:paraId="4D6C4D6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20%</w:t>
                  </w:r>
                </w:p>
              </w:tc>
              <w:tc>
                <w:tcPr>
                  <w:tcW w:w="899" w:type="dxa"/>
                  <w:tcBorders>
                    <w:top w:val="nil"/>
                    <w:left w:val="nil"/>
                    <w:bottom w:val="single" w:sz="8" w:space="0" w:color="FFFFFF"/>
                    <w:right w:val="single" w:sz="8" w:space="0" w:color="FFFFFF"/>
                  </w:tcBorders>
                  <w:shd w:val="clear" w:color="000000" w:fill="FCD5B4"/>
                  <w:noWrap/>
                  <w:vAlign w:val="center"/>
                  <w:hideMark/>
                </w:tcPr>
                <w:p w14:paraId="4EE3716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78%</w:t>
                  </w:r>
                </w:p>
              </w:tc>
            </w:tr>
            <w:tr w:rsidR="00292C0B" w:rsidRPr="00292C0B" w14:paraId="05C3249C"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6680DE51"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8DDAB4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900" w:type="dxa"/>
                  <w:tcBorders>
                    <w:top w:val="nil"/>
                    <w:left w:val="nil"/>
                    <w:bottom w:val="single" w:sz="8" w:space="0" w:color="FFFFFF"/>
                    <w:right w:val="single" w:sz="8" w:space="0" w:color="FFFFFF"/>
                  </w:tcBorders>
                  <w:shd w:val="clear" w:color="000000" w:fill="FDE9D9"/>
                  <w:noWrap/>
                  <w:vAlign w:val="center"/>
                  <w:hideMark/>
                </w:tcPr>
                <w:p w14:paraId="6B00CB8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11%</w:t>
                  </w:r>
                </w:p>
              </w:tc>
              <w:tc>
                <w:tcPr>
                  <w:tcW w:w="900" w:type="dxa"/>
                  <w:tcBorders>
                    <w:top w:val="nil"/>
                    <w:left w:val="nil"/>
                    <w:bottom w:val="single" w:sz="8" w:space="0" w:color="FFFFFF"/>
                    <w:right w:val="single" w:sz="8" w:space="0" w:color="FFFFFF"/>
                  </w:tcBorders>
                  <w:shd w:val="clear" w:color="000000" w:fill="FDE9D9"/>
                  <w:noWrap/>
                  <w:vAlign w:val="center"/>
                  <w:hideMark/>
                </w:tcPr>
                <w:p w14:paraId="188D33A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DE9D9"/>
                  <w:noWrap/>
                  <w:vAlign w:val="center"/>
                  <w:hideMark/>
                </w:tcPr>
                <w:p w14:paraId="7C02F19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35%</w:t>
                  </w:r>
                </w:p>
              </w:tc>
              <w:tc>
                <w:tcPr>
                  <w:tcW w:w="1121" w:type="dxa"/>
                  <w:tcBorders>
                    <w:top w:val="nil"/>
                    <w:left w:val="nil"/>
                    <w:bottom w:val="single" w:sz="8" w:space="0" w:color="FFFFFF"/>
                    <w:right w:val="single" w:sz="8" w:space="0" w:color="FFFFFF"/>
                  </w:tcBorders>
                  <w:shd w:val="clear" w:color="000000" w:fill="FDE9D9"/>
                  <w:noWrap/>
                  <w:vAlign w:val="center"/>
                  <w:hideMark/>
                </w:tcPr>
                <w:p w14:paraId="17FA4376"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6FABC0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DE9D9"/>
                  <w:noWrap/>
                  <w:vAlign w:val="center"/>
                  <w:hideMark/>
                </w:tcPr>
                <w:p w14:paraId="0C0CB1F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DE9D9"/>
                  <w:noWrap/>
                  <w:vAlign w:val="center"/>
                  <w:hideMark/>
                </w:tcPr>
                <w:p w14:paraId="5E14EF2E"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DE9D9"/>
                  <w:noWrap/>
                  <w:vAlign w:val="center"/>
                  <w:hideMark/>
                </w:tcPr>
                <w:p w14:paraId="6428A15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75%</w:t>
                  </w:r>
                </w:p>
              </w:tc>
            </w:tr>
            <w:tr w:rsidR="00292C0B" w:rsidRPr="00292C0B" w14:paraId="48D83283"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2A603483"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47CB562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16%</w:t>
                  </w:r>
                </w:p>
              </w:tc>
              <w:tc>
                <w:tcPr>
                  <w:tcW w:w="900" w:type="dxa"/>
                  <w:tcBorders>
                    <w:top w:val="nil"/>
                    <w:left w:val="nil"/>
                    <w:bottom w:val="single" w:sz="8" w:space="0" w:color="FFFFFF"/>
                    <w:right w:val="single" w:sz="8" w:space="0" w:color="FFFFFF"/>
                  </w:tcBorders>
                  <w:shd w:val="clear" w:color="000000" w:fill="FCD5B4"/>
                  <w:noWrap/>
                  <w:vAlign w:val="center"/>
                  <w:hideMark/>
                </w:tcPr>
                <w:p w14:paraId="5EB460A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12%</w:t>
                  </w:r>
                </w:p>
              </w:tc>
              <w:tc>
                <w:tcPr>
                  <w:tcW w:w="900" w:type="dxa"/>
                  <w:tcBorders>
                    <w:top w:val="nil"/>
                    <w:left w:val="nil"/>
                    <w:bottom w:val="single" w:sz="8" w:space="0" w:color="FFFFFF"/>
                    <w:right w:val="single" w:sz="8" w:space="0" w:color="FFFFFF"/>
                  </w:tcBorders>
                  <w:shd w:val="clear" w:color="000000" w:fill="FCD5B4"/>
                  <w:noWrap/>
                  <w:vAlign w:val="center"/>
                  <w:hideMark/>
                </w:tcPr>
                <w:p w14:paraId="48ED65C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CD5B4"/>
                  <w:noWrap/>
                  <w:vAlign w:val="center"/>
                  <w:hideMark/>
                </w:tcPr>
                <w:p w14:paraId="56672F9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44%</w:t>
                  </w:r>
                </w:p>
              </w:tc>
              <w:tc>
                <w:tcPr>
                  <w:tcW w:w="1121" w:type="dxa"/>
                  <w:tcBorders>
                    <w:top w:val="nil"/>
                    <w:left w:val="nil"/>
                    <w:bottom w:val="single" w:sz="8" w:space="0" w:color="FFFFFF"/>
                    <w:right w:val="single" w:sz="8" w:space="0" w:color="FFFFFF"/>
                  </w:tcBorders>
                  <w:shd w:val="clear" w:color="000000" w:fill="FCD5B4"/>
                  <w:noWrap/>
                  <w:vAlign w:val="center"/>
                  <w:hideMark/>
                </w:tcPr>
                <w:p w14:paraId="4F9A27BF"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67F3AD7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34%</w:t>
                  </w:r>
                </w:p>
              </w:tc>
              <w:tc>
                <w:tcPr>
                  <w:tcW w:w="899" w:type="dxa"/>
                  <w:tcBorders>
                    <w:top w:val="nil"/>
                    <w:left w:val="nil"/>
                    <w:bottom w:val="single" w:sz="8" w:space="0" w:color="FFFFFF"/>
                    <w:right w:val="single" w:sz="8" w:space="0" w:color="FFFFFF"/>
                  </w:tcBorders>
                  <w:shd w:val="clear" w:color="000000" w:fill="FCD5B4"/>
                  <w:noWrap/>
                  <w:vAlign w:val="center"/>
                  <w:hideMark/>
                </w:tcPr>
                <w:p w14:paraId="0A51A6D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24%</w:t>
                  </w:r>
                </w:p>
              </w:tc>
              <w:tc>
                <w:tcPr>
                  <w:tcW w:w="899" w:type="dxa"/>
                  <w:tcBorders>
                    <w:top w:val="nil"/>
                    <w:left w:val="nil"/>
                    <w:bottom w:val="single" w:sz="8" w:space="0" w:color="FFFFFF"/>
                    <w:right w:val="single" w:sz="8" w:space="0" w:color="FFFFFF"/>
                  </w:tcBorders>
                  <w:shd w:val="clear" w:color="000000" w:fill="FCD5B4"/>
                  <w:noWrap/>
                  <w:vAlign w:val="center"/>
                  <w:hideMark/>
                </w:tcPr>
                <w:p w14:paraId="797A30F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14:paraId="5FB549A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77%</w:t>
                  </w:r>
                </w:p>
              </w:tc>
            </w:tr>
            <w:tr w:rsidR="00292C0B" w:rsidRPr="00292C0B" w14:paraId="6D32192F"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29169C11"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636DEEC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900" w:type="dxa"/>
                  <w:tcBorders>
                    <w:top w:val="nil"/>
                    <w:left w:val="nil"/>
                    <w:bottom w:val="single" w:sz="8" w:space="0" w:color="FFFFFF"/>
                    <w:right w:val="single" w:sz="8" w:space="0" w:color="FFFFFF"/>
                  </w:tcBorders>
                  <w:shd w:val="clear" w:color="000000" w:fill="FDE9D9"/>
                  <w:noWrap/>
                  <w:vAlign w:val="center"/>
                  <w:hideMark/>
                </w:tcPr>
                <w:p w14:paraId="0B6EF1E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900" w:type="dxa"/>
                  <w:tcBorders>
                    <w:top w:val="nil"/>
                    <w:left w:val="nil"/>
                    <w:bottom w:val="single" w:sz="8" w:space="0" w:color="FFFFFF"/>
                    <w:right w:val="single" w:sz="8" w:space="0" w:color="FFFFFF"/>
                  </w:tcBorders>
                  <w:shd w:val="clear" w:color="000000" w:fill="FDE9D9"/>
                  <w:noWrap/>
                  <w:vAlign w:val="center"/>
                  <w:hideMark/>
                </w:tcPr>
                <w:p w14:paraId="3A433D6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DE9D9"/>
                  <w:noWrap/>
                  <w:vAlign w:val="center"/>
                  <w:hideMark/>
                </w:tcPr>
                <w:p w14:paraId="4097766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40%</w:t>
                  </w:r>
                </w:p>
              </w:tc>
              <w:tc>
                <w:tcPr>
                  <w:tcW w:w="1121" w:type="dxa"/>
                  <w:tcBorders>
                    <w:top w:val="nil"/>
                    <w:left w:val="nil"/>
                    <w:bottom w:val="single" w:sz="8" w:space="0" w:color="FFFFFF"/>
                    <w:right w:val="single" w:sz="8" w:space="0" w:color="FFFFFF"/>
                  </w:tcBorders>
                  <w:shd w:val="clear" w:color="000000" w:fill="FDE9D9"/>
                  <w:noWrap/>
                  <w:vAlign w:val="center"/>
                  <w:hideMark/>
                </w:tcPr>
                <w:p w14:paraId="0DA5388A"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1676BCA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24%</w:t>
                  </w:r>
                </w:p>
              </w:tc>
              <w:tc>
                <w:tcPr>
                  <w:tcW w:w="899" w:type="dxa"/>
                  <w:tcBorders>
                    <w:top w:val="nil"/>
                    <w:left w:val="nil"/>
                    <w:bottom w:val="single" w:sz="8" w:space="0" w:color="FFFFFF"/>
                    <w:right w:val="single" w:sz="8" w:space="0" w:color="FFFFFF"/>
                  </w:tcBorders>
                  <w:shd w:val="clear" w:color="000000" w:fill="FDE9D9"/>
                  <w:noWrap/>
                  <w:vAlign w:val="center"/>
                  <w:hideMark/>
                </w:tcPr>
                <w:p w14:paraId="6431420A"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14:paraId="50BF69E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DE9D9"/>
                  <w:noWrap/>
                  <w:vAlign w:val="center"/>
                  <w:hideMark/>
                </w:tcPr>
                <w:p w14:paraId="5A4D93F6"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73%</w:t>
                  </w:r>
                </w:p>
              </w:tc>
            </w:tr>
            <w:tr w:rsidR="00292C0B" w:rsidRPr="00292C0B" w14:paraId="54846071" w14:textId="77777777" w:rsidTr="00292C0B">
              <w:trPr>
                <w:trHeight w:val="300"/>
              </w:trPr>
              <w:tc>
                <w:tcPr>
                  <w:tcW w:w="1323" w:type="dxa"/>
                  <w:tcBorders>
                    <w:top w:val="nil"/>
                    <w:left w:val="nil"/>
                    <w:bottom w:val="single" w:sz="8" w:space="0" w:color="FFFFFF"/>
                    <w:right w:val="single" w:sz="8" w:space="0" w:color="FFFFFF"/>
                  </w:tcBorders>
                  <w:shd w:val="clear" w:color="000000" w:fill="FCD5B4"/>
                  <w:noWrap/>
                  <w:vAlign w:val="center"/>
                  <w:hideMark/>
                </w:tcPr>
                <w:p w14:paraId="35FD1197"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14:paraId="4898AEE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11%</w:t>
                  </w:r>
                </w:p>
              </w:tc>
              <w:tc>
                <w:tcPr>
                  <w:tcW w:w="900" w:type="dxa"/>
                  <w:tcBorders>
                    <w:top w:val="nil"/>
                    <w:left w:val="nil"/>
                    <w:bottom w:val="single" w:sz="8" w:space="0" w:color="FFFFFF"/>
                    <w:right w:val="single" w:sz="8" w:space="0" w:color="FFFFFF"/>
                  </w:tcBorders>
                  <w:shd w:val="clear" w:color="000000" w:fill="FCD5B4"/>
                  <w:noWrap/>
                  <w:vAlign w:val="center"/>
                  <w:hideMark/>
                </w:tcPr>
                <w:p w14:paraId="247A1CE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8%</w:t>
                  </w:r>
                </w:p>
              </w:tc>
              <w:tc>
                <w:tcPr>
                  <w:tcW w:w="900" w:type="dxa"/>
                  <w:tcBorders>
                    <w:top w:val="nil"/>
                    <w:left w:val="nil"/>
                    <w:bottom w:val="single" w:sz="8" w:space="0" w:color="FFFFFF"/>
                    <w:right w:val="single" w:sz="8" w:space="0" w:color="FFFFFF"/>
                  </w:tcBorders>
                  <w:shd w:val="clear" w:color="000000" w:fill="FCD5B4"/>
                  <w:noWrap/>
                  <w:vAlign w:val="center"/>
                  <w:hideMark/>
                </w:tcPr>
                <w:p w14:paraId="7BB4572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507FA58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36%</w:t>
                  </w:r>
                </w:p>
              </w:tc>
              <w:tc>
                <w:tcPr>
                  <w:tcW w:w="1121" w:type="dxa"/>
                  <w:tcBorders>
                    <w:top w:val="nil"/>
                    <w:left w:val="nil"/>
                    <w:bottom w:val="single" w:sz="8" w:space="0" w:color="FFFFFF"/>
                    <w:right w:val="single" w:sz="8" w:space="0" w:color="FFFFFF"/>
                  </w:tcBorders>
                  <w:shd w:val="clear" w:color="000000" w:fill="FCD5B4"/>
                  <w:noWrap/>
                  <w:vAlign w:val="center"/>
                  <w:hideMark/>
                </w:tcPr>
                <w:p w14:paraId="4BFE9871"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14:paraId="012B03D1"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14:paraId="6A3E177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CD5B4"/>
                  <w:noWrap/>
                  <w:vAlign w:val="center"/>
                  <w:hideMark/>
                </w:tcPr>
                <w:p w14:paraId="6B16B5A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6142A36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70%</w:t>
                  </w:r>
                </w:p>
              </w:tc>
            </w:tr>
            <w:tr w:rsidR="00292C0B" w:rsidRPr="00292C0B" w14:paraId="30D06DF5" w14:textId="77777777" w:rsidTr="00292C0B">
              <w:trPr>
                <w:trHeight w:val="300"/>
              </w:trPr>
              <w:tc>
                <w:tcPr>
                  <w:tcW w:w="1323" w:type="dxa"/>
                  <w:tcBorders>
                    <w:top w:val="nil"/>
                    <w:left w:val="nil"/>
                    <w:bottom w:val="single" w:sz="8" w:space="0" w:color="FFFFFF"/>
                    <w:right w:val="single" w:sz="8" w:space="0" w:color="FFFFFF"/>
                  </w:tcBorders>
                  <w:shd w:val="clear" w:color="000000" w:fill="FDE9D9"/>
                  <w:noWrap/>
                  <w:vAlign w:val="center"/>
                  <w:hideMark/>
                </w:tcPr>
                <w:p w14:paraId="7574B2B4"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14:paraId="18F89390"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11%</w:t>
                  </w:r>
                </w:p>
              </w:tc>
              <w:tc>
                <w:tcPr>
                  <w:tcW w:w="900" w:type="dxa"/>
                  <w:tcBorders>
                    <w:top w:val="nil"/>
                    <w:left w:val="nil"/>
                    <w:bottom w:val="single" w:sz="8" w:space="0" w:color="FFFFFF"/>
                    <w:right w:val="single" w:sz="8" w:space="0" w:color="FFFFFF"/>
                  </w:tcBorders>
                  <w:shd w:val="clear" w:color="000000" w:fill="FDE9D9"/>
                  <w:noWrap/>
                  <w:vAlign w:val="center"/>
                  <w:hideMark/>
                </w:tcPr>
                <w:p w14:paraId="1341ABA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12%</w:t>
                  </w:r>
                </w:p>
              </w:tc>
              <w:tc>
                <w:tcPr>
                  <w:tcW w:w="900" w:type="dxa"/>
                  <w:tcBorders>
                    <w:top w:val="nil"/>
                    <w:left w:val="nil"/>
                    <w:bottom w:val="single" w:sz="8" w:space="0" w:color="FFFFFF"/>
                    <w:right w:val="single" w:sz="8" w:space="0" w:color="FFFFFF"/>
                  </w:tcBorders>
                  <w:shd w:val="clear" w:color="000000" w:fill="FDE9D9"/>
                  <w:noWrap/>
                  <w:vAlign w:val="center"/>
                  <w:hideMark/>
                </w:tcPr>
                <w:p w14:paraId="5962927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DE9D9"/>
                  <w:noWrap/>
                  <w:vAlign w:val="center"/>
                  <w:hideMark/>
                </w:tcPr>
                <w:p w14:paraId="359A8C1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41%</w:t>
                  </w:r>
                </w:p>
              </w:tc>
              <w:tc>
                <w:tcPr>
                  <w:tcW w:w="1121" w:type="dxa"/>
                  <w:tcBorders>
                    <w:top w:val="nil"/>
                    <w:left w:val="nil"/>
                    <w:bottom w:val="single" w:sz="8" w:space="0" w:color="FFFFFF"/>
                    <w:right w:val="single" w:sz="8" w:space="0" w:color="FFFFFF"/>
                  </w:tcBorders>
                  <w:shd w:val="clear" w:color="000000" w:fill="FDE9D9"/>
                  <w:noWrap/>
                  <w:vAlign w:val="center"/>
                  <w:hideMark/>
                </w:tcPr>
                <w:p w14:paraId="04FC4D08"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14:paraId="5E23F21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27%</w:t>
                  </w:r>
                </w:p>
              </w:tc>
              <w:tc>
                <w:tcPr>
                  <w:tcW w:w="899" w:type="dxa"/>
                  <w:tcBorders>
                    <w:top w:val="nil"/>
                    <w:left w:val="nil"/>
                    <w:bottom w:val="single" w:sz="8" w:space="0" w:color="FFFFFF"/>
                    <w:right w:val="single" w:sz="8" w:space="0" w:color="FFFFFF"/>
                  </w:tcBorders>
                  <w:shd w:val="clear" w:color="000000" w:fill="FDE9D9"/>
                  <w:noWrap/>
                  <w:vAlign w:val="center"/>
                  <w:hideMark/>
                </w:tcPr>
                <w:p w14:paraId="240C23F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23%</w:t>
                  </w:r>
                </w:p>
              </w:tc>
              <w:tc>
                <w:tcPr>
                  <w:tcW w:w="899" w:type="dxa"/>
                  <w:tcBorders>
                    <w:top w:val="nil"/>
                    <w:left w:val="nil"/>
                    <w:bottom w:val="single" w:sz="8" w:space="0" w:color="FFFFFF"/>
                    <w:right w:val="single" w:sz="8" w:space="0" w:color="FFFFFF"/>
                  </w:tcBorders>
                  <w:shd w:val="clear" w:color="000000" w:fill="FDE9D9"/>
                  <w:noWrap/>
                  <w:vAlign w:val="center"/>
                  <w:hideMark/>
                </w:tcPr>
                <w:p w14:paraId="00CBB37D"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14:paraId="21B17B35"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74%</w:t>
                  </w:r>
                </w:p>
              </w:tc>
            </w:tr>
            <w:tr w:rsidR="00292C0B" w:rsidRPr="00292C0B" w14:paraId="00781FD4" w14:textId="77777777" w:rsidTr="00292C0B">
              <w:trPr>
                <w:trHeight w:val="300"/>
              </w:trPr>
              <w:tc>
                <w:tcPr>
                  <w:tcW w:w="1323" w:type="dxa"/>
                  <w:tcBorders>
                    <w:top w:val="nil"/>
                    <w:left w:val="nil"/>
                    <w:bottom w:val="nil"/>
                    <w:right w:val="nil"/>
                  </w:tcBorders>
                  <w:shd w:val="clear" w:color="000000" w:fill="FCD5B4"/>
                  <w:noWrap/>
                  <w:vAlign w:val="center"/>
                  <w:hideMark/>
                </w:tcPr>
                <w:p w14:paraId="47171CD8"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14:paraId="5CBA5B94"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900" w:type="dxa"/>
                  <w:tcBorders>
                    <w:top w:val="nil"/>
                    <w:left w:val="nil"/>
                    <w:bottom w:val="single" w:sz="8" w:space="0" w:color="FFFFFF"/>
                    <w:right w:val="single" w:sz="8" w:space="0" w:color="FFFFFF"/>
                  </w:tcBorders>
                  <w:shd w:val="clear" w:color="000000" w:fill="FCD5B4"/>
                  <w:noWrap/>
                  <w:vAlign w:val="center"/>
                  <w:hideMark/>
                </w:tcPr>
                <w:p w14:paraId="74581B79"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9%</w:t>
                  </w:r>
                </w:p>
              </w:tc>
              <w:tc>
                <w:tcPr>
                  <w:tcW w:w="900" w:type="dxa"/>
                  <w:tcBorders>
                    <w:top w:val="nil"/>
                    <w:left w:val="nil"/>
                    <w:bottom w:val="single" w:sz="8" w:space="0" w:color="FFFFFF"/>
                    <w:right w:val="single" w:sz="8" w:space="0" w:color="FFFFFF"/>
                  </w:tcBorders>
                  <w:shd w:val="clear" w:color="000000" w:fill="FCD5B4"/>
                  <w:noWrap/>
                  <w:vAlign w:val="center"/>
                  <w:hideMark/>
                </w:tcPr>
                <w:p w14:paraId="7322E192"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1C349E8B"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38%</w:t>
                  </w:r>
                </w:p>
              </w:tc>
              <w:tc>
                <w:tcPr>
                  <w:tcW w:w="1121" w:type="dxa"/>
                  <w:tcBorders>
                    <w:top w:val="nil"/>
                    <w:left w:val="nil"/>
                    <w:bottom w:val="nil"/>
                    <w:right w:val="nil"/>
                  </w:tcBorders>
                  <w:shd w:val="clear" w:color="000000" w:fill="FCD5B4"/>
                  <w:noWrap/>
                  <w:vAlign w:val="center"/>
                  <w:hideMark/>
                </w:tcPr>
                <w:p w14:paraId="29B301C1" w14:textId="77777777" w:rsidR="00292C0B" w:rsidRPr="00292C0B" w:rsidRDefault="00292C0B" w:rsidP="00292C0B">
                  <w:pPr>
                    <w:widowControl/>
                    <w:jc w:val="center"/>
                    <w:rPr>
                      <w:rFonts w:ascii="楷体" w:eastAsia="楷体" w:hAnsi="楷体" w:cs="宋体"/>
                      <w:color w:val="000000"/>
                      <w:kern w:val="0"/>
                      <w:sz w:val="20"/>
                      <w:szCs w:val="20"/>
                    </w:rPr>
                  </w:pPr>
                  <w:r w:rsidRPr="00292C0B">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14:paraId="535718FC"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CD5B4"/>
                  <w:noWrap/>
                  <w:vAlign w:val="center"/>
                  <w:hideMark/>
                </w:tcPr>
                <w:p w14:paraId="4F666D83"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CD5B4"/>
                  <w:noWrap/>
                  <w:vAlign w:val="center"/>
                  <w:hideMark/>
                </w:tcPr>
                <w:p w14:paraId="27841EFF"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CD5B4"/>
                  <w:noWrap/>
                  <w:vAlign w:val="center"/>
                  <w:hideMark/>
                </w:tcPr>
                <w:p w14:paraId="12A5DF67" w14:textId="77777777" w:rsidR="00292C0B" w:rsidRPr="00292C0B" w:rsidRDefault="00292C0B" w:rsidP="00292C0B">
                  <w:pPr>
                    <w:widowControl/>
                    <w:jc w:val="center"/>
                    <w:rPr>
                      <w:rFonts w:eastAsia="等线" w:cs="Calibri"/>
                      <w:color w:val="000000"/>
                      <w:kern w:val="0"/>
                      <w:szCs w:val="21"/>
                    </w:rPr>
                  </w:pPr>
                  <w:r w:rsidRPr="00292C0B">
                    <w:rPr>
                      <w:rFonts w:eastAsia="等线" w:cs="Calibri"/>
                      <w:color w:val="000000"/>
                      <w:kern w:val="0"/>
                      <w:szCs w:val="21"/>
                    </w:rPr>
                    <w:t>70%</w:t>
                  </w:r>
                </w:p>
              </w:tc>
            </w:tr>
          </w:tbl>
          <w:p w14:paraId="446C7D6E" w14:textId="294F6511" w:rsidR="00E0626C" w:rsidRPr="0012177F" w:rsidRDefault="00E0626C" w:rsidP="0092340D">
            <w:pPr>
              <w:rPr>
                <w:noProof/>
                <w:szCs w:val="18"/>
              </w:rPr>
            </w:pPr>
          </w:p>
        </w:tc>
      </w:tr>
      <w:tr w:rsidR="00E0626C" w:rsidRPr="006A5F34" w14:paraId="01D36A65" w14:textId="77777777" w:rsidTr="00E87491">
        <w:trPr>
          <w:trHeight w:val="44"/>
          <w:jc w:val="center"/>
        </w:trPr>
        <w:tc>
          <w:tcPr>
            <w:tcW w:w="9738"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1A54A36"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Pr>
          <w:rFonts w:ascii="华文楷体" w:hAnsi="华文楷体"/>
          <w:sz w:val="24"/>
          <w:szCs w:val="24"/>
          <w:lang w:eastAsia="zh-CN"/>
        </w:rPr>
        <w:t>，</w:t>
      </w:r>
      <w:r w:rsidR="003931FA"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F20D5F">
        <w:rPr>
          <w:rFonts w:ascii="华文楷体" w:hAnsi="华文楷体" w:hint="eastAsia"/>
          <w:sz w:val="24"/>
          <w:szCs w:val="24"/>
          <w:lang w:eastAsia="zh-CN"/>
        </w:rPr>
        <w:t>情绪</w:t>
      </w:r>
      <w:r w:rsidR="00E12904">
        <w:rPr>
          <w:rFonts w:ascii="华文楷体" w:hAnsi="华文楷体" w:hint="eastAsia"/>
          <w:sz w:val="24"/>
          <w:szCs w:val="24"/>
          <w:lang w:eastAsia="zh-CN"/>
        </w:rPr>
        <w:t>较</w:t>
      </w:r>
      <w:r w:rsidR="00E12904">
        <w:rPr>
          <w:rFonts w:ascii="华文楷体" w:hAnsi="华文楷体"/>
          <w:sz w:val="24"/>
          <w:szCs w:val="24"/>
          <w:lang w:eastAsia="zh-CN"/>
        </w:rPr>
        <w:t>上周有所修复，但仍以下行调整为主</w:t>
      </w:r>
      <w:r w:rsidR="00591DD3">
        <w:rPr>
          <w:rFonts w:ascii="华文楷体" w:hAnsi="华文楷体" w:hint="eastAsia"/>
          <w:sz w:val="24"/>
          <w:szCs w:val="24"/>
          <w:lang w:eastAsia="zh-CN"/>
        </w:rPr>
        <w:t>，转债指数</w:t>
      </w:r>
      <w:r w:rsidR="00FE5BF3">
        <w:rPr>
          <w:rFonts w:ascii="华文楷体" w:hAnsi="华文楷体" w:hint="eastAsia"/>
          <w:sz w:val="24"/>
          <w:szCs w:val="24"/>
          <w:lang w:eastAsia="zh-CN"/>
        </w:rPr>
        <w:t>小幅微涨</w:t>
      </w:r>
      <w:r w:rsidR="00591DD3">
        <w:rPr>
          <w:rFonts w:ascii="华文楷体" w:hAnsi="华文楷体" w:hint="eastAsia"/>
          <w:sz w:val="24"/>
          <w:szCs w:val="24"/>
          <w:lang w:eastAsia="zh-CN"/>
        </w:rPr>
        <w:t>。</w:t>
      </w:r>
      <w:r w:rsidR="00591011">
        <w:rPr>
          <w:rFonts w:ascii="华文楷体" w:hAnsi="华文楷体" w:hint="eastAsia"/>
          <w:sz w:val="24"/>
          <w:szCs w:val="24"/>
          <w:lang w:eastAsia="zh-CN"/>
        </w:rPr>
        <w:t>市场</w:t>
      </w:r>
      <w:r w:rsidR="00F20D5F">
        <w:rPr>
          <w:rFonts w:ascii="华文楷体" w:hAnsi="华文楷体" w:hint="eastAsia"/>
          <w:sz w:val="24"/>
          <w:szCs w:val="24"/>
          <w:lang w:eastAsia="zh-CN"/>
        </w:rPr>
        <w:t>各主要板块</w:t>
      </w:r>
      <w:r w:rsidR="00FE5BF3">
        <w:rPr>
          <w:rFonts w:ascii="华文楷体" w:hAnsi="华文楷体" w:hint="eastAsia"/>
          <w:sz w:val="24"/>
          <w:szCs w:val="24"/>
          <w:lang w:eastAsia="zh-CN"/>
        </w:rPr>
        <w:t>持续调整</w:t>
      </w:r>
      <w:r w:rsidR="00FE5BF3">
        <w:rPr>
          <w:rFonts w:ascii="华文楷体" w:hAnsi="华文楷体"/>
          <w:sz w:val="24"/>
          <w:szCs w:val="24"/>
          <w:lang w:eastAsia="zh-CN"/>
        </w:rPr>
        <w:t>态势</w:t>
      </w:r>
      <w:r w:rsidR="00F20D5F">
        <w:rPr>
          <w:rFonts w:ascii="华文楷体" w:hAnsi="华文楷体" w:hint="eastAsia"/>
          <w:sz w:val="24"/>
          <w:szCs w:val="24"/>
          <w:lang w:eastAsia="zh-CN"/>
        </w:rPr>
        <w:t>，</w:t>
      </w:r>
      <w:r w:rsidR="0044426C">
        <w:rPr>
          <w:rFonts w:ascii="华文楷体" w:hAnsi="华文楷体" w:hint="eastAsia"/>
          <w:sz w:val="24"/>
          <w:szCs w:val="24"/>
          <w:lang w:eastAsia="zh-CN"/>
        </w:rPr>
        <w:t>市场</w:t>
      </w:r>
      <w:r w:rsidR="00DC05C7">
        <w:rPr>
          <w:rFonts w:ascii="华文楷体" w:hAnsi="华文楷体"/>
          <w:sz w:val="24"/>
          <w:szCs w:val="24"/>
          <w:lang w:eastAsia="zh-CN"/>
        </w:rPr>
        <w:t>成交量</w:t>
      </w:r>
      <w:r w:rsidR="0044426C">
        <w:rPr>
          <w:rFonts w:ascii="华文楷体" w:hAnsi="华文楷体" w:hint="eastAsia"/>
          <w:sz w:val="24"/>
          <w:szCs w:val="24"/>
          <w:lang w:eastAsia="zh-CN"/>
        </w:rPr>
        <w:t>较上周</w:t>
      </w:r>
      <w:r w:rsidR="00FE5BF3">
        <w:rPr>
          <w:rFonts w:ascii="华文楷体" w:hAnsi="华文楷体" w:hint="eastAsia"/>
          <w:sz w:val="24"/>
          <w:szCs w:val="24"/>
          <w:lang w:eastAsia="zh-CN"/>
        </w:rPr>
        <w:t>下行</w:t>
      </w:r>
      <w:r w:rsidR="00DC05C7">
        <w:rPr>
          <w:rFonts w:ascii="华文楷体" w:hAnsi="华文楷体" w:hint="eastAsia"/>
          <w:sz w:val="24"/>
          <w:szCs w:val="24"/>
          <w:lang w:eastAsia="zh-CN"/>
        </w:rPr>
        <w:t>。</w:t>
      </w:r>
      <w:r w:rsidR="00F56CDA" w:rsidRPr="00F56CDA">
        <w:rPr>
          <w:rFonts w:ascii="华文楷体" w:hAnsi="华文楷体" w:hint="eastAsia"/>
          <w:sz w:val="24"/>
          <w:szCs w:val="24"/>
          <w:lang w:eastAsia="zh-CN"/>
        </w:rPr>
        <w:t>行业层面，</w:t>
      </w:r>
      <w:r w:rsidR="00FE5BF3" w:rsidRPr="00FE5BF3">
        <w:rPr>
          <w:rFonts w:ascii="华文楷体" w:hAnsi="华文楷体" w:hint="eastAsia"/>
          <w:sz w:val="24"/>
          <w:szCs w:val="24"/>
          <w:lang w:eastAsia="zh-CN"/>
        </w:rPr>
        <w:t>前期强势板块分化，食品、电子、通信等相对弱势，当周涨幅靠前的主要是贵金属、航天、机械以及化工等弹性板块。</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2255AD">
        <w:rPr>
          <w:rFonts w:ascii="华文楷体" w:hAnsi="华文楷体" w:hint="eastAsia"/>
          <w:sz w:val="24"/>
          <w:szCs w:val="24"/>
          <w:lang w:eastAsia="zh-CN"/>
        </w:rPr>
        <w:t>深证</w:t>
      </w:r>
      <w:bookmarkStart w:id="1" w:name="_GoBack"/>
      <w:bookmarkEnd w:id="1"/>
      <w:r w:rsidR="00CA2612">
        <w:rPr>
          <w:rFonts w:ascii="华文楷体" w:hAnsi="华文楷体" w:hint="eastAsia"/>
          <w:sz w:val="24"/>
          <w:szCs w:val="24"/>
          <w:lang w:eastAsia="zh-CN"/>
        </w:rPr>
        <w:t>成指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FE5BF3">
        <w:rPr>
          <w:rFonts w:ascii="华文楷体" w:hAnsi="华文楷体"/>
          <w:sz w:val="24"/>
          <w:szCs w:val="24"/>
          <w:lang w:eastAsia="zh-CN"/>
        </w:rPr>
        <w:t>-0.5</w:t>
      </w:r>
      <w:r w:rsidR="00AC28BB">
        <w:rPr>
          <w:rFonts w:ascii="华文楷体" w:hAnsi="华文楷体"/>
          <w:sz w:val="24"/>
          <w:szCs w:val="24"/>
          <w:lang w:eastAsia="zh-CN"/>
        </w:rPr>
        <w:t>%、</w:t>
      </w:r>
      <w:r w:rsidR="00FE5BF3">
        <w:rPr>
          <w:rFonts w:ascii="华文楷体" w:hAnsi="华文楷体"/>
          <w:sz w:val="24"/>
          <w:szCs w:val="24"/>
          <w:lang w:eastAsia="zh-CN"/>
        </w:rPr>
        <w:t>-1.4</w:t>
      </w:r>
      <w:r w:rsidR="00AC28BB">
        <w:rPr>
          <w:rFonts w:ascii="华文楷体" w:hAnsi="华文楷体"/>
          <w:sz w:val="24"/>
          <w:szCs w:val="24"/>
          <w:lang w:eastAsia="zh-CN"/>
        </w:rPr>
        <w:t>%、</w:t>
      </w:r>
      <w:r w:rsidR="001A41C6">
        <w:rPr>
          <w:rFonts w:ascii="华文楷体" w:hAnsi="华文楷体" w:hint="eastAsia"/>
          <w:sz w:val="24"/>
          <w:szCs w:val="24"/>
          <w:lang w:eastAsia="zh-CN"/>
        </w:rPr>
        <w:t>-</w:t>
      </w:r>
      <w:r w:rsidR="00FE5BF3">
        <w:rPr>
          <w:rFonts w:ascii="华文楷体" w:hAnsi="华文楷体"/>
          <w:sz w:val="24"/>
          <w:szCs w:val="24"/>
          <w:lang w:eastAsia="zh-CN"/>
        </w:rPr>
        <w:t>0</w:t>
      </w:r>
      <w:r w:rsidR="001A41C6">
        <w:rPr>
          <w:rFonts w:ascii="华文楷体" w:hAnsi="华文楷体" w:hint="eastAsia"/>
          <w:sz w:val="24"/>
          <w:szCs w:val="24"/>
          <w:lang w:eastAsia="zh-CN"/>
        </w:rPr>
        <w:t>.9</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1A41C6">
        <w:rPr>
          <w:rFonts w:ascii="华文楷体" w:hAnsi="华文楷体" w:hint="eastAsia"/>
          <w:sz w:val="24"/>
          <w:szCs w:val="24"/>
          <w:lang w:eastAsia="zh-CN"/>
        </w:rPr>
        <w:t>-</w:t>
      </w:r>
      <w:r w:rsidR="00FE5BF3">
        <w:rPr>
          <w:rFonts w:ascii="华文楷体" w:hAnsi="华文楷体"/>
          <w:sz w:val="24"/>
          <w:szCs w:val="24"/>
          <w:lang w:eastAsia="zh-CN"/>
        </w:rPr>
        <w:t>0.9</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577E21">
        <w:rPr>
          <w:rFonts w:ascii="华文楷体" w:hAnsi="华文楷体" w:hint="eastAsia"/>
          <w:sz w:val="24"/>
          <w:szCs w:val="24"/>
          <w:lang w:eastAsia="zh-CN"/>
        </w:rPr>
        <w:t>伴随权益市场</w:t>
      </w:r>
      <w:r w:rsidR="00FE5BF3">
        <w:rPr>
          <w:rFonts w:ascii="华文楷体" w:hAnsi="华文楷体" w:hint="eastAsia"/>
          <w:sz w:val="24"/>
          <w:szCs w:val="24"/>
          <w:lang w:eastAsia="zh-CN"/>
        </w:rPr>
        <w:t>修复表现</w:t>
      </w:r>
      <w:r w:rsidR="00FE5BF3">
        <w:rPr>
          <w:rFonts w:ascii="华文楷体" w:hAnsi="华文楷体"/>
          <w:sz w:val="24"/>
          <w:szCs w:val="24"/>
          <w:lang w:eastAsia="zh-CN"/>
        </w:rPr>
        <w:t>略好</w:t>
      </w:r>
      <w:r w:rsidR="00577E21">
        <w:rPr>
          <w:rFonts w:ascii="华文楷体" w:hAnsi="华文楷体" w:hint="eastAsia"/>
          <w:sz w:val="24"/>
          <w:szCs w:val="24"/>
          <w:lang w:eastAsia="zh-CN"/>
        </w:rPr>
        <w:t>，</w:t>
      </w:r>
      <w:r w:rsidR="00C16434">
        <w:rPr>
          <w:rFonts w:ascii="华文楷体" w:hAnsi="华文楷体" w:hint="eastAsia"/>
          <w:sz w:val="24"/>
          <w:szCs w:val="24"/>
          <w:lang w:eastAsia="zh-CN"/>
        </w:rPr>
        <w:t>中证转债指数</w:t>
      </w:r>
      <w:r w:rsidR="00DC05C7">
        <w:rPr>
          <w:rFonts w:ascii="华文楷体" w:hAnsi="华文楷体" w:hint="eastAsia"/>
          <w:sz w:val="24"/>
          <w:szCs w:val="24"/>
          <w:lang w:eastAsia="zh-CN"/>
        </w:rPr>
        <w:t>较上周</w:t>
      </w:r>
      <w:r w:rsidR="00FE5BF3">
        <w:rPr>
          <w:rFonts w:ascii="华文楷体" w:hAnsi="华文楷体" w:hint="eastAsia"/>
          <w:sz w:val="24"/>
          <w:szCs w:val="24"/>
          <w:lang w:eastAsia="zh-CN"/>
        </w:rPr>
        <w:t>微涨0.4</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转债指数与股指累计变化</w:t>
            </w:r>
          </w:p>
        </w:tc>
      </w:tr>
      <w:tr w:rsidR="00E0626C" w:rsidRPr="006A5F34" w14:paraId="2CD3B9EE" w14:textId="77777777" w:rsidTr="00E12904">
        <w:tblPrEx>
          <w:tblCellMar>
            <w:left w:w="108" w:type="dxa"/>
            <w:right w:w="108" w:type="dxa"/>
          </w:tblCellMar>
        </w:tblPrEx>
        <w:trPr>
          <w:jc w:val="center"/>
        </w:trPr>
        <w:tc>
          <w:tcPr>
            <w:tcW w:w="4939" w:type="dxa"/>
            <w:vAlign w:val="center"/>
          </w:tcPr>
          <w:p w14:paraId="5C83721A" w14:textId="696A0A8A" w:rsidR="00E0626C" w:rsidRPr="007E0340" w:rsidRDefault="003F3C0E" w:rsidP="009A2BA0">
            <w:pPr>
              <w:jc w:val="center"/>
              <w:rPr>
                <w:noProof/>
              </w:rPr>
            </w:pPr>
            <w:r w:rsidRPr="003F3C0E">
              <w:rPr>
                <w:noProof/>
              </w:rPr>
              <w:drawing>
                <wp:inline distT="0" distB="0" distL="0" distR="0" wp14:anchorId="1517F2DD" wp14:editId="197092C9">
                  <wp:extent cx="3079631" cy="1731297"/>
                  <wp:effectExtent l="0" t="0" r="6985" b="2540"/>
                  <wp:docPr id="10" name="图片 10" descr="C:\Users\Tang\AppData\Local\Temp\WeChat Files\719e033034532321f3c3c4556047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WeChat Files\719e033034532321f3c3c4556047d1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5642" cy="1757163"/>
                          </a:xfrm>
                          <a:prstGeom prst="rect">
                            <a:avLst/>
                          </a:prstGeom>
                          <a:noFill/>
                          <a:ln>
                            <a:noFill/>
                          </a:ln>
                        </pic:spPr>
                      </pic:pic>
                    </a:graphicData>
                  </a:graphic>
                </wp:inline>
              </w:drawing>
            </w:r>
          </w:p>
        </w:tc>
        <w:tc>
          <w:tcPr>
            <w:tcW w:w="4938" w:type="dxa"/>
            <w:vAlign w:val="center"/>
          </w:tcPr>
          <w:p w14:paraId="39BD4383" w14:textId="59FA5006" w:rsidR="00E0626C" w:rsidRPr="007E0340" w:rsidRDefault="00E12904" w:rsidP="009A2BA0">
            <w:pPr>
              <w:jc w:val="center"/>
              <w:rPr>
                <w:noProof/>
                <w:szCs w:val="18"/>
              </w:rPr>
            </w:pPr>
            <w:r>
              <w:rPr>
                <w:noProof/>
              </w:rPr>
              <w:drawing>
                <wp:inline distT="0" distB="0" distL="0" distR="0" wp14:anchorId="72DCE9F1" wp14:editId="7BD9A5C3">
                  <wp:extent cx="2998470" cy="1726145"/>
                  <wp:effectExtent l="0" t="0" r="0" b="7620"/>
                  <wp:docPr id="11" name="图表 1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2B9477D3" w:rsidR="00882FA5" w:rsidRPr="003E42BE"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430EC8" w:rsidRPr="00430EC8">
        <w:rPr>
          <w:rFonts w:ascii="华文楷体" w:hAnsi="华文楷体" w:hint="eastAsia"/>
          <w:bCs/>
          <w:sz w:val="24"/>
          <w:szCs w:val="24"/>
          <w:lang w:eastAsia="zh-CN"/>
        </w:rPr>
        <w:t>本周主要港口动力煤平均价环比回落1.04%，跌幅较上周有所走扩。PTA产业链负荷率环比回升0.26%，再度上行。中国玻璃综合指数回升1.01%，或受需求影响。本周Myspic综合全国钢铁价格指数回升0.29%，升幅较上周明显收窄。主要品种中，螺纹钢、热卷、高线价格本周多为上涨，分别变动0.26%、-0.12%、0.51%；从库存来看，螺纹钢、热卷、线材库存分别变动1.57%、1.18%、-0.6%，社会库存继续回升。本周多个国内有色品种价格有所回落，长江有色市场现货价格铜、铝、铅、锌价分别变动-0.47%、-1.96%、-2.35%、0.38%，较上周有所转弱</w:t>
      </w:r>
      <w:r w:rsidR="00430EC8">
        <w:rPr>
          <w:rFonts w:ascii="华文楷体" w:hAnsi="华文楷体" w:hint="eastAsia"/>
          <w:bCs/>
          <w:sz w:val="24"/>
          <w:szCs w:val="24"/>
          <w:lang w:eastAsia="zh-CN"/>
        </w:rPr>
        <w:t>。</w:t>
      </w:r>
    </w:p>
    <w:p w14:paraId="537F0EB2" w14:textId="53209B6F" w:rsidR="00CF3EA5" w:rsidRPr="00907102" w:rsidRDefault="00E34B22" w:rsidP="00DA1DC8">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430EC8" w:rsidRPr="00430EC8">
        <w:rPr>
          <w:rFonts w:ascii="华文楷体" w:hAnsi="华文楷体" w:hint="eastAsia"/>
          <w:bCs/>
          <w:sz w:val="24"/>
          <w:szCs w:val="24"/>
          <w:lang w:eastAsia="zh-CN"/>
        </w:rPr>
        <w:t>本周30大中城市商品房成交面积较上周继续回落，或与近期部分城市地产政策有所</w:t>
      </w:r>
      <w:r w:rsidR="00A61947">
        <w:rPr>
          <w:rFonts w:ascii="华文楷体" w:hAnsi="华文楷体" w:hint="eastAsia"/>
          <w:bCs/>
          <w:sz w:val="24"/>
          <w:szCs w:val="24"/>
          <w:lang w:eastAsia="zh-CN"/>
        </w:rPr>
        <w:t>收紧有关。</w:t>
      </w:r>
      <w:r w:rsidR="00430EC8" w:rsidRPr="00430EC8">
        <w:rPr>
          <w:rFonts w:ascii="华文楷体" w:hAnsi="华文楷体" w:hint="eastAsia"/>
          <w:bCs/>
          <w:sz w:val="24"/>
          <w:szCs w:val="24"/>
          <w:lang w:eastAsia="zh-CN"/>
        </w:rPr>
        <w:t>拿地方面，100大中城市土地成交面积继续回落，主要受二三线城市拿地回落拖累。从地产信托发行数据来看，本周地产信托发行量为93.82亿，较上周的76.16亿有所回升。</w:t>
      </w:r>
      <w:r w:rsidR="00A61947" w:rsidRPr="00A61947">
        <w:rPr>
          <w:rFonts w:ascii="华文楷体" w:hAnsi="华文楷体" w:hint="eastAsia"/>
          <w:bCs/>
          <w:sz w:val="24"/>
          <w:szCs w:val="24"/>
          <w:lang w:eastAsia="zh-CN"/>
        </w:rPr>
        <w:t>乘联会最新数据显示，7月第三周零售日均4万辆，同比增长3%，较第二周继续收窄，但</w:t>
      </w:r>
      <w:r w:rsidR="00A61947" w:rsidRPr="00A61947">
        <w:rPr>
          <w:rFonts w:ascii="华文楷体" w:hAnsi="华文楷体" w:hint="eastAsia"/>
          <w:bCs/>
          <w:sz w:val="24"/>
          <w:szCs w:val="24"/>
          <w:lang w:eastAsia="zh-CN"/>
        </w:rPr>
        <w:lastRenderedPageBreak/>
        <w:t>环比6月同期下降15%，降幅较大，而7月1-19日的总体零售同比增长8%，环比6月同期下降11%。</w:t>
      </w:r>
    </w:p>
    <w:p w14:paraId="3BDE386D" w14:textId="52DE6F4C"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D60F71">
        <w:rPr>
          <w:rFonts w:ascii="华文楷体" w:hAnsi="华文楷体" w:hint="eastAsia"/>
          <w:bCs/>
          <w:sz w:val="24"/>
          <w:szCs w:val="24"/>
          <w:lang w:eastAsia="zh-CN"/>
        </w:rPr>
        <w:t>出口方面，</w:t>
      </w:r>
      <w:r w:rsidR="00A61947" w:rsidRPr="00A61947">
        <w:rPr>
          <w:rFonts w:ascii="华文楷体" w:hAnsi="华文楷体" w:hint="eastAsia"/>
          <w:bCs/>
          <w:sz w:val="24"/>
          <w:szCs w:val="24"/>
          <w:lang w:eastAsia="zh-CN"/>
        </w:rPr>
        <w:t>上海出口集装箱指数（SCFI）本周回落1.31%，中国出口集装箱运价指数（CCFI）本周回升1%</w:t>
      </w:r>
      <w:r w:rsidR="00797153">
        <w:rPr>
          <w:rFonts w:ascii="华文楷体" w:hAnsi="华文楷体" w:hint="eastAsia"/>
          <w:bCs/>
          <w:sz w:val="24"/>
          <w:szCs w:val="24"/>
          <w:lang w:eastAsia="zh-CN"/>
        </w:rPr>
        <w:t>。进口方面，</w:t>
      </w:r>
      <w:r w:rsidR="00A61947" w:rsidRPr="00A61947">
        <w:rPr>
          <w:rFonts w:ascii="华文楷体" w:hAnsi="华文楷体" w:hint="eastAsia"/>
          <w:bCs/>
          <w:sz w:val="24"/>
          <w:szCs w:val="24"/>
          <w:lang w:eastAsia="zh-CN"/>
        </w:rPr>
        <w:t>波罗的海干散货指数较上周回落13.76%，中国进口干散货运价指数走势较上周继续回落6.82%，两者回落幅度均有所走扩。</w:t>
      </w:r>
    </w:p>
    <w:p w14:paraId="0542DAC4" w14:textId="2E7B52EE"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25885" w:rsidRPr="00A25885">
        <w:rPr>
          <w:rFonts w:ascii="华文楷体" w:hAnsi="华文楷体" w:hint="eastAsia"/>
          <w:bCs/>
          <w:sz w:val="24"/>
          <w:szCs w:val="24"/>
          <w:lang w:eastAsia="zh-CN"/>
        </w:rPr>
        <w:t>猪肉价格本周继续上涨，农业部公布的全国平均批发价较上周末回升至48.82元/公斤左右，环比上行0.13%，涨幅较上周继续明显收窄</w:t>
      </w:r>
      <w:r w:rsidR="00A25885">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牛羊肉价格本周继续小幅回升，本周分别回升0.97%、0.74%；蔬菜方面，价格略有回升，小幅回落1.23%；水果价格则有所下跌，较上周下行0.83%；鸡蛋方面，价格继续大幅回升7%，或受产蛋率有所下降影响；水产品本周价格下行0.44%。</w:t>
      </w:r>
    </w:p>
    <w:p w14:paraId="5DF662A7" w14:textId="4ADB2946" w:rsidR="0015400F" w:rsidRDefault="00DC2C5F" w:rsidP="00F07541">
      <w:pPr>
        <w:pStyle w:val="Body-text"/>
        <w:ind w:firstLineChars="200" w:firstLine="480"/>
        <w:rPr>
          <w:rFonts w:ascii="华文楷体" w:hAnsi="华文楷体"/>
          <w:bCs/>
          <w:sz w:val="24"/>
          <w:szCs w:val="24"/>
          <w:lang w:eastAsia="zh-CN"/>
        </w:rPr>
      </w:pPr>
      <w:bookmarkStart w:id="2" w:name="_Hlk21205334"/>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本周国际油价整体上行，WTI原油价格微幅上涨至41.29美元/桶；布伦特原油价格小幅下跌至43.34美元/桶</w:t>
      </w:r>
      <w:r w:rsidR="00763150">
        <w:rPr>
          <w:rFonts w:ascii="华文楷体" w:hAnsi="华文楷体" w:hint="eastAsia"/>
          <w:bCs/>
          <w:sz w:val="24"/>
          <w:szCs w:val="24"/>
          <w:lang w:eastAsia="zh-CN"/>
        </w:rPr>
        <w:t>疫情方面</w:t>
      </w:r>
      <w:r w:rsidR="00A25885">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近期美元指数有所走弱，已经下行至95以下</w:t>
      </w:r>
      <w:r w:rsidR="00A25885">
        <w:rPr>
          <w:rFonts w:ascii="华文楷体" w:hAnsi="华文楷体" w:hint="eastAsia"/>
          <w:bCs/>
          <w:sz w:val="24"/>
          <w:szCs w:val="24"/>
          <w:lang w:eastAsia="zh-CN"/>
        </w:rPr>
        <w:t>。疫情方面</w:t>
      </w:r>
      <w:r w:rsidR="00A25885">
        <w:rPr>
          <w:rFonts w:ascii="华文楷体" w:hAnsi="华文楷体"/>
          <w:bCs/>
          <w:sz w:val="24"/>
          <w:szCs w:val="24"/>
          <w:lang w:eastAsia="zh-CN"/>
        </w:rPr>
        <w:t>，</w:t>
      </w:r>
      <w:r w:rsidR="00A25885" w:rsidRPr="00A25885">
        <w:rPr>
          <w:rFonts w:ascii="华文楷体" w:hAnsi="华文楷体" w:hint="eastAsia"/>
          <w:bCs/>
          <w:sz w:val="24"/>
          <w:szCs w:val="24"/>
          <w:lang w:eastAsia="zh-CN"/>
        </w:rPr>
        <w:t>美国疫情仍较为严重，上周美国初请失业金人数</w:t>
      </w:r>
      <w:r w:rsidR="00A25885">
        <w:rPr>
          <w:rFonts w:ascii="华文楷体" w:hAnsi="华文楷体" w:hint="eastAsia"/>
          <w:bCs/>
          <w:sz w:val="24"/>
          <w:szCs w:val="24"/>
          <w:lang w:eastAsia="zh-CN"/>
        </w:rPr>
        <w:t>有所</w:t>
      </w:r>
      <w:r w:rsidR="00A25885" w:rsidRPr="00A25885">
        <w:rPr>
          <w:rFonts w:ascii="华文楷体" w:hAnsi="华文楷体" w:hint="eastAsia"/>
          <w:bCs/>
          <w:sz w:val="24"/>
          <w:szCs w:val="24"/>
          <w:lang w:eastAsia="zh-CN"/>
        </w:rPr>
        <w:t>上升，为近四个月来首次</w:t>
      </w:r>
      <w:r w:rsidR="00A25885">
        <w:rPr>
          <w:rFonts w:ascii="华文楷体" w:hAnsi="华文楷体" w:hint="eastAsia"/>
          <w:bCs/>
          <w:sz w:val="24"/>
          <w:szCs w:val="24"/>
          <w:lang w:eastAsia="zh-CN"/>
        </w:rPr>
        <w:t>。</w:t>
      </w:r>
    </w:p>
    <w:p w14:paraId="6197476A" w14:textId="35F185D9" w:rsidR="00A058AB" w:rsidRPr="00CC505E" w:rsidRDefault="00A058AB" w:rsidP="00F07541">
      <w:pPr>
        <w:pStyle w:val="Body-text"/>
        <w:ind w:firstLineChars="200" w:firstLine="480"/>
        <w:rPr>
          <w:rFonts w:ascii="华文楷体" w:eastAsia="PMingLiU"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A25885" w:rsidRPr="00314603">
        <w:rPr>
          <w:rFonts w:ascii="华文楷体" w:hAnsi="华文楷体" w:hint="eastAsia"/>
          <w:bCs/>
          <w:sz w:val="24"/>
          <w:szCs w:val="24"/>
          <w:lang w:eastAsia="zh-CN"/>
        </w:rPr>
        <w:t>政治局会议</w:t>
      </w:r>
      <w:r w:rsidR="00A25885">
        <w:rPr>
          <w:rFonts w:ascii="华文楷体" w:hAnsi="华文楷体" w:hint="eastAsia"/>
          <w:bCs/>
          <w:sz w:val="24"/>
          <w:szCs w:val="24"/>
          <w:lang w:eastAsia="zh-CN"/>
        </w:rPr>
        <w:t>；</w:t>
      </w:r>
      <w:r w:rsidR="007E6CAA" w:rsidRPr="007E6CAA">
        <w:rPr>
          <w:rFonts w:ascii="华文楷体" w:hAnsi="华文楷体" w:hint="eastAsia"/>
          <w:bCs/>
          <w:sz w:val="24"/>
          <w:szCs w:val="24"/>
          <w:lang w:eastAsia="zh-CN"/>
        </w:rPr>
        <w:t>中美关系；南方洪涝发展情况</w:t>
      </w:r>
      <w:r w:rsidR="00314603">
        <w:rPr>
          <w:rFonts w:ascii="华文楷体" w:hAnsi="华文楷体" w:hint="eastAsia"/>
          <w:bCs/>
          <w:sz w:val="24"/>
          <w:szCs w:val="24"/>
          <w:lang w:eastAsia="zh-CN"/>
        </w:rPr>
        <w:t>；</w:t>
      </w:r>
      <w:r w:rsidR="00A25885">
        <w:rPr>
          <w:rFonts w:ascii="华文楷体" w:hAnsi="华文楷体" w:hint="eastAsia"/>
          <w:bCs/>
          <w:sz w:val="24"/>
          <w:szCs w:val="24"/>
          <w:lang w:eastAsia="zh-CN"/>
        </w:rPr>
        <w:t>PMI制造业</w:t>
      </w:r>
      <w:r w:rsidR="00A25885">
        <w:rPr>
          <w:rFonts w:ascii="华文楷体" w:hAnsi="华文楷体"/>
          <w:bCs/>
          <w:sz w:val="24"/>
          <w:szCs w:val="24"/>
          <w:lang w:eastAsia="zh-CN"/>
        </w:rPr>
        <w:t>数据</w:t>
      </w:r>
      <w:r w:rsidR="00F063A3">
        <w:rPr>
          <w:rFonts w:ascii="华文楷体" w:hAnsi="华文楷体" w:hint="eastAsia"/>
          <w:bCs/>
          <w:sz w:val="24"/>
          <w:szCs w:val="24"/>
          <w:lang w:eastAsia="zh-CN"/>
        </w:rPr>
        <w:t>；</w:t>
      </w:r>
      <w:r w:rsidR="00F063A3" w:rsidRPr="00F063A3">
        <w:rPr>
          <w:rFonts w:ascii="华文楷体" w:hAnsi="华文楷体" w:hint="eastAsia"/>
          <w:bCs/>
          <w:sz w:val="24"/>
          <w:szCs w:val="24"/>
          <w:lang w:eastAsia="zh-CN"/>
        </w:rPr>
        <w:t>6月工业企业利润</w:t>
      </w: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400DE089" w:rsidR="00854194" w:rsidRPr="006B0B01" w:rsidRDefault="006B204A" w:rsidP="00CD3C43">
      <w:pPr>
        <w:pStyle w:val="Body-text"/>
        <w:spacing w:after="240"/>
        <w:ind w:firstLineChars="200" w:firstLine="480"/>
        <w:rPr>
          <w:rFonts w:ascii="华文楷体" w:hAnsi="华文楷体"/>
          <w:sz w:val="24"/>
          <w:szCs w:val="24"/>
          <w:lang w:eastAsia="zh-CN"/>
        </w:rPr>
      </w:pPr>
      <w:r w:rsidRPr="00854194">
        <w:rPr>
          <w:rFonts w:ascii="华文楷体" w:hAnsi="华文楷体" w:hint="eastAsia"/>
          <w:sz w:val="24"/>
          <w:szCs w:val="24"/>
          <w:lang w:eastAsia="zh-CN"/>
        </w:rPr>
        <w:t>利率债：</w:t>
      </w:r>
      <w:r w:rsidR="009E510B">
        <w:rPr>
          <w:rFonts w:ascii="华文楷体" w:hAnsi="华文楷体" w:hint="eastAsia"/>
          <w:sz w:val="24"/>
          <w:szCs w:val="24"/>
          <w:lang w:eastAsia="zh-CN"/>
        </w:rPr>
        <w:t>从本周</w:t>
      </w:r>
      <w:r w:rsidR="00756C5F">
        <w:rPr>
          <w:rFonts w:ascii="华文楷体" w:hAnsi="华文楷体" w:hint="eastAsia"/>
          <w:sz w:val="24"/>
          <w:szCs w:val="24"/>
          <w:lang w:eastAsia="zh-CN"/>
        </w:rPr>
        <w:t>经济数据看，基本面持续修复过程中</w:t>
      </w:r>
      <w:r w:rsidR="00763150" w:rsidRPr="00763150">
        <w:rPr>
          <w:rFonts w:ascii="华文楷体" w:hAnsi="华文楷体" w:hint="eastAsia"/>
          <w:sz w:val="24"/>
          <w:szCs w:val="24"/>
          <w:lang w:eastAsia="zh-CN"/>
        </w:rPr>
        <w:t>，</w:t>
      </w:r>
      <w:r w:rsidR="009E510B">
        <w:rPr>
          <w:rFonts w:ascii="华文楷体" w:hAnsi="华文楷体" w:hint="eastAsia"/>
          <w:sz w:val="24"/>
          <w:szCs w:val="24"/>
          <w:lang w:eastAsia="zh-CN"/>
        </w:rPr>
        <w:t>通胀</w:t>
      </w:r>
      <w:r w:rsidR="009E510B">
        <w:rPr>
          <w:rFonts w:ascii="华文楷体" w:hAnsi="华文楷体"/>
          <w:sz w:val="24"/>
          <w:szCs w:val="24"/>
          <w:lang w:eastAsia="zh-CN"/>
        </w:rPr>
        <w:t>高频持续回升，基建和地产相关高频</w:t>
      </w:r>
      <w:r w:rsidR="009E510B">
        <w:rPr>
          <w:rFonts w:ascii="华文楷体" w:hAnsi="华文楷体" w:hint="eastAsia"/>
          <w:sz w:val="24"/>
          <w:szCs w:val="24"/>
          <w:lang w:eastAsia="zh-CN"/>
        </w:rPr>
        <w:t>等</w:t>
      </w:r>
      <w:r w:rsidR="009E510B">
        <w:rPr>
          <w:rFonts w:ascii="华文楷体" w:hAnsi="华文楷体"/>
          <w:sz w:val="24"/>
          <w:szCs w:val="24"/>
          <w:lang w:eastAsia="zh-CN"/>
        </w:rPr>
        <w:t>有所走弱</w:t>
      </w:r>
      <w:r w:rsidR="00661A0E">
        <w:rPr>
          <w:rFonts w:ascii="华文楷体" w:hAnsi="华文楷体" w:hint="eastAsia"/>
          <w:sz w:val="24"/>
          <w:szCs w:val="24"/>
          <w:lang w:eastAsia="zh-CN"/>
        </w:rPr>
        <w:t>。</w:t>
      </w:r>
      <w:r w:rsidR="009E510B">
        <w:rPr>
          <w:rFonts w:ascii="华文楷体" w:hAnsi="华文楷体" w:hint="eastAsia"/>
          <w:sz w:val="24"/>
          <w:szCs w:val="24"/>
          <w:lang w:eastAsia="zh-CN"/>
        </w:rPr>
        <w:t>整体看</w:t>
      </w:r>
      <w:r w:rsidR="009E510B">
        <w:rPr>
          <w:rFonts w:ascii="华文楷体" w:hAnsi="华文楷体"/>
          <w:sz w:val="24"/>
          <w:szCs w:val="24"/>
          <w:lang w:eastAsia="zh-CN"/>
        </w:rPr>
        <w:t>，经济修复的速度有所减弱</w:t>
      </w:r>
      <w:r w:rsidR="009E510B">
        <w:rPr>
          <w:rFonts w:ascii="华文楷体" w:hAnsi="华文楷体" w:hint="eastAsia"/>
          <w:sz w:val="24"/>
          <w:szCs w:val="24"/>
          <w:lang w:eastAsia="zh-CN"/>
        </w:rPr>
        <w:t>，</w:t>
      </w:r>
      <w:r w:rsidR="009E510B">
        <w:rPr>
          <w:rFonts w:ascii="华文楷体" w:hAnsi="华文楷体"/>
          <w:sz w:val="24"/>
          <w:szCs w:val="24"/>
          <w:lang w:eastAsia="zh-CN"/>
        </w:rPr>
        <w:t>叠加中美</w:t>
      </w:r>
      <w:r w:rsidR="009E510B">
        <w:rPr>
          <w:rFonts w:ascii="华文楷体" w:hAnsi="华文楷体" w:hint="eastAsia"/>
          <w:sz w:val="24"/>
          <w:szCs w:val="24"/>
          <w:lang w:eastAsia="zh-CN"/>
        </w:rPr>
        <w:t>关系进一步</w:t>
      </w:r>
      <w:r w:rsidR="009E510B">
        <w:rPr>
          <w:rFonts w:ascii="华文楷体" w:hAnsi="华文楷体"/>
          <w:sz w:val="24"/>
          <w:szCs w:val="24"/>
          <w:lang w:eastAsia="zh-CN"/>
        </w:rPr>
        <w:t>冷</w:t>
      </w:r>
      <w:r w:rsidR="009E510B">
        <w:rPr>
          <w:rFonts w:ascii="华文楷体" w:hAnsi="华文楷体" w:hint="eastAsia"/>
          <w:sz w:val="24"/>
          <w:szCs w:val="24"/>
          <w:lang w:eastAsia="zh-CN"/>
        </w:rPr>
        <w:t>化，</w:t>
      </w:r>
      <w:r w:rsidR="009E510B">
        <w:rPr>
          <w:rFonts w:ascii="华文楷体" w:hAnsi="华文楷体"/>
          <w:sz w:val="24"/>
          <w:szCs w:val="24"/>
          <w:lang w:eastAsia="zh-CN"/>
        </w:rPr>
        <w:t>风险偏好</w:t>
      </w:r>
      <w:r w:rsidR="009E510B">
        <w:rPr>
          <w:rFonts w:ascii="华文楷体" w:hAnsi="华文楷体" w:hint="eastAsia"/>
          <w:sz w:val="24"/>
          <w:szCs w:val="24"/>
          <w:lang w:eastAsia="zh-CN"/>
        </w:rPr>
        <w:t>较前期持续</w:t>
      </w:r>
      <w:r w:rsidR="009E510B">
        <w:rPr>
          <w:rFonts w:ascii="华文楷体" w:hAnsi="华文楷体"/>
          <w:sz w:val="24"/>
          <w:szCs w:val="24"/>
          <w:lang w:eastAsia="zh-CN"/>
        </w:rPr>
        <w:t>回落。</w:t>
      </w:r>
      <w:r w:rsidR="00763150" w:rsidRPr="00763150">
        <w:rPr>
          <w:rFonts w:ascii="华文楷体" w:hAnsi="华文楷体" w:hint="eastAsia"/>
          <w:sz w:val="24"/>
          <w:szCs w:val="24"/>
          <w:lang w:eastAsia="zh-CN"/>
        </w:rPr>
        <w:t>全周10Y国债</w:t>
      </w:r>
      <w:r w:rsidR="00661A0E">
        <w:rPr>
          <w:rFonts w:ascii="华文楷体" w:hAnsi="华文楷体" w:hint="eastAsia"/>
          <w:sz w:val="24"/>
          <w:szCs w:val="24"/>
          <w:lang w:eastAsia="zh-CN"/>
        </w:rPr>
        <w:t>下</w:t>
      </w:r>
      <w:r w:rsidR="00763150" w:rsidRPr="00763150">
        <w:rPr>
          <w:rFonts w:ascii="华文楷体" w:hAnsi="华文楷体" w:hint="eastAsia"/>
          <w:sz w:val="24"/>
          <w:szCs w:val="24"/>
          <w:lang w:eastAsia="zh-CN"/>
        </w:rPr>
        <w:t>行</w:t>
      </w:r>
      <w:r w:rsidR="00661A0E">
        <w:rPr>
          <w:rFonts w:ascii="华文楷体" w:hAnsi="华文楷体" w:hint="eastAsia"/>
          <w:sz w:val="24"/>
          <w:szCs w:val="24"/>
          <w:lang w:eastAsia="zh-CN"/>
        </w:rPr>
        <w:t>8</w:t>
      </w:r>
      <w:r w:rsidR="003D09B2">
        <w:rPr>
          <w:rFonts w:ascii="华文楷体" w:hAnsi="华文楷体"/>
          <w:sz w:val="24"/>
          <w:szCs w:val="24"/>
          <w:lang w:eastAsia="zh-CN"/>
        </w:rPr>
        <w:t>.9</w:t>
      </w:r>
      <w:r w:rsidR="00763150" w:rsidRPr="00763150">
        <w:rPr>
          <w:rFonts w:ascii="华文楷体" w:hAnsi="华文楷体" w:hint="eastAsia"/>
          <w:sz w:val="24"/>
          <w:szCs w:val="24"/>
          <w:lang w:eastAsia="zh-CN"/>
        </w:rPr>
        <w:t>BP</w:t>
      </w:r>
      <w:r w:rsidR="00D47BE2">
        <w:rPr>
          <w:rFonts w:ascii="华文楷体" w:hAnsi="华文楷体" w:hint="eastAsia"/>
          <w:sz w:val="24"/>
          <w:szCs w:val="24"/>
          <w:lang w:eastAsia="zh-CN"/>
        </w:rPr>
        <w:t>至</w:t>
      </w:r>
      <w:r w:rsidR="003D09B2">
        <w:rPr>
          <w:rFonts w:ascii="华文楷体" w:hAnsi="华文楷体" w:hint="eastAsia"/>
          <w:sz w:val="24"/>
          <w:szCs w:val="24"/>
          <w:lang w:eastAsia="zh-CN"/>
        </w:rPr>
        <w:t>2.86</w:t>
      </w:r>
      <w:r w:rsidR="00D47BE2">
        <w:rPr>
          <w:rFonts w:ascii="华文楷体" w:hAnsi="华文楷体" w:hint="eastAsia"/>
          <w:sz w:val="24"/>
          <w:szCs w:val="24"/>
          <w:lang w:eastAsia="zh-CN"/>
        </w:rPr>
        <w:t>%，</w:t>
      </w:r>
      <w:r w:rsidR="00763150" w:rsidRPr="00763150">
        <w:rPr>
          <w:rFonts w:ascii="华文楷体" w:hAnsi="华文楷体" w:hint="eastAsia"/>
          <w:sz w:val="24"/>
          <w:szCs w:val="24"/>
          <w:lang w:eastAsia="zh-CN"/>
        </w:rPr>
        <w:t>10-1Y国债利率</w:t>
      </w:r>
      <w:r w:rsidR="00E23A4A">
        <w:rPr>
          <w:rFonts w:ascii="华文楷体" w:hAnsi="华文楷体" w:hint="eastAsia"/>
          <w:sz w:val="24"/>
          <w:szCs w:val="24"/>
          <w:lang w:eastAsia="zh-CN"/>
        </w:rPr>
        <w:t>利差小幅</w:t>
      </w:r>
      <w:r w:rsidR="00661A0E">
        <w:rPr>
          <w:rFonts w:ascii="华文楷体" w:hAnsi="华文楷体" w:hint="eastAsia"/>
          <w:sz w:val="24"/>
          <w:szCs w:val="24"/>
          <w:lang w:eastAsia="zh-CN"/>
        </w:rPr>
        <w:t>下行至</w:t>
      </w:r>
      <w:r w:rsidR="003D09B2">
        <w:rPr>
          <w:rFonts w:ascii="华文楷体" w:hAnsi="华文楷体"/>
          <w:sz w:val="24"/>
          <w:szCs w:val="24"/>
          <w:lang w:eastAsia="zh-CN"/>
        </w:rPr>
        <w:t>62</w:t>
      </w:r>
      <w:r w:rsidR="00763150" w:rsidRPr="00763150">
        <w:rPr>
          <w:rFonts w:ascii="华文楷体" w:hAnsi="华文楷体" w:hint="eastAsia"/>
          <w:sz w:val="24"/>
          <w:szCs w:val="24"/>
          <w:lang w:eastAsia="zh-CN"/>
        </w:rPr>
        <w:t>BP</w:t>
      </w:r>
      <w:r w:rsidR="00763150">
        <w:rPr>
          <w:rFonts w:ascii="华文楷体" w:hAnsi="华文楷体" w:hint="eastAsia"/>
          <w:sz w:val="24"/>
          <w:szCs w:val="24"/>
          <w:lang w:eastAsia="zh-CN"/>
        </w:rPr>
        <w:t>。</w:t>
      </w:r>
      <w:r w:rsidR="00F063A3">
        <w:rPr>
          <w:rFonts w:ascii="华文楷体" w:hAnsi="华文楷体" w:hint="eastAsia"/>
          <w:sz w:val="24"/>
          <w:szCs w:val="24"/>
          <w:lang w:eastAsia="zh-CN"/>
        </w:rPr>
        <w:t>当前看</w:t>
      </w:r>
      <w:r w:rsidR="00F063A3">
        <w:rPr>
          <w:rFonts w:ascii="华文楷体" w:hAnsi="华文楷体"/>
          <w:sz w:val="24"/>
          <w:szCs w:val="24"/>
          <w:lang w:eastAsia="zh-CN"/>
        </w:rPr>
        <w:t>，</w:t>
      </w:r>
      <w:r w:rsidR="00F063A3">
        <w:rPr>
          <w:rFonts w:ascii="华文楷体" w:hAnsi="华文楷体" w:hint="eastAsia"/>
          <w:sz w:val="24"/>
          <w:szCs w:val="24"/>
          <w:lang w:eastAsia="zh-CN"/>
        </w:rPr>
        <w:t>进入三季度</w:t>
      </w:r>
      <w:r w:rsidR="00F063A3">
        <w:rPr>
          <w:rFonts w:ascii="华文楷体" w:hAnsi="华文楷体"/>
          <w:sz w:val="24"/>
          <w:szCs w:val="24"/>
          <w:lang w:eastAsia="zh-CN"/>
        </w:rPr>
        <w:t>后经济修复增速边际出现一定</w:t>
      </w:r>
      <w:r w:rsidR="00F063A3">
        <w:rPr>
          <w:rFonts w:ascii="华文楷体" w:hAnsi="华文楷体" w:hint="eastAsia"/>
          <w:sz w:val="24"/>
          <w:szCs w:val="24"/>
          <w:lang w:eastAsia="zh-CN"/>
        </w:rPr>
        <w:t>放缓</w:t>
      </w:r>
      <w:r w:rsidR="00F063A3">
        <w:rPr>
          <w:rFonts w:ascii="华文楷体" w:hAnsi="华文楷体"/>
          <w:sz w:val="24"/>
          <w:szCs w:val="24"/>
          <w:lang w:eastAsia="zh-CN"/>
        </w:rPr>
        <w:t>迹象，叠加权益市场监管和中美关系持续恶化，风险偏好近期持续回落，对债市形成一定利好。</w:t>
      </w:r>
      <w:r w:rsidR="006B0B01">
        <w:rPr>
          <w:rFonts w:ascii="华文楷体" w:hAnsi="华文楷体" w:hint="eastAsia"/>
          <w:sz w:val="24"/>
          <w:szCs w:val="24"/>
          <w:lang w:eastAsia="zh-CN"/>
        </w:rPr>
        <w:t>综合考虑，</w:t>
      </w:r>
      <w:r w:rsidR="00C361B2" w:rsidRPr="00C361B2">
        <w:rPr>
          <w:rFonts w:ascii="华文楷体" w:hAnsi="华文楷体" w:hint="eastAsia"/>
          <w:sz w:val="24"/>
          <w:szCs w:val="24"/>
          <w:lang w:eastAsia="zh-CN"/>
        </w:rPr>
        <w:t>债市在股债性价比不弱的估值水平上至少短期压力减缓，利率快速修复后预计会窄幅震荡寻找新的预期差。</w:t>
      </w:r>
      <w:r w:rsidR="00F063A3">
        <w:rPr>
          <w:rFonts w:ascii="华文楷体" w:hAnsi="华文楷体" w:hint="eastAsia"/>
          <w:sz w:val="24"/>
          <w:szCs w:val="24"/>
          <w:lang w:eastAsia="zh-CN"/>
        </w:rPr>
        <w:t>策略</w:t>
      </w:r>
      <w:r w:rsidR="00F063A3">
        <w:rPr>
          <w:rFonts w:ascii="华文楷体" w:hAnsi="华文楷体"/>
          <w:sz w:val="24"/>
          <w:szCs w:val="24"/>
          <w:lang w:eastAsia="zh-CN"/>
        </w:rPr>
        <w:t>仍坚持</w:t>
      </w:r>
      <w:r w:rsidR="00314603">
        <w:rPr>
          <w:rFonts w:ascii="华文楷体" w:hAnsi="华文楷体" w:hint="eastAsia"/>
          <w:sz w:val="24"/>
          <w:szCs w:val="24"/>
          <w:lang w:eastAsia="zh-CN"/>
        </w:rPr>
        <w:t>当前可</w:t>
      </w:r>
      <w:r w:rsidR="008E00FE">
        <w:rPr>
          <w:rFonts w:ascii="华文楷体" w:hAnsi="华文楷体" w:hint="eastAsia"/>
          <w:sz w:val="24"/>
          <w:szCs w:val="24"/>
          <w:lang w:eastAsia="zh-CN"/>
        </w:rPr>
        <w:t>根据点位和</w:t>
      </w:r>
      <w:r w:rsidR="00162129" w:rsidRPr="00162129">
        <w:rPr>
          <w:rFonts w:ascii="华文楷体" w:hAnsi="华文楷体" w:hint="eastAsia"/>
          <w:sz w:val="24"/>
          <w:szCs w:val="24"/>
          <w:lang w:eastAsia="zh-CN"/>
        </w:rPr>
        <w:t>时间窗口</w:t>
      </w:r>
      <w:r w:rsidR="008E00FE">
        <w:rPr>
          <w:rFonts w:ascii="华文楷体" w:hAnsi="华文楷体" w:hint="eastAsia"/>
          <w:sz w:val="24"/>
          <w:szCs w:val="24"/>
          <w:lang w:eastAsia="zh-CN"/>
        </w:rPr>
        <w:t>灵活</w:t>
      </w:r>
      <w:r w:rsidR="00162129" w:rsidRPr="00162129">
        <w:rPr>
          <w:rFonts w:ascii="华文楷体" w:hAnsi="华文楷体" w:hint="eastAsia"/>
          <w:sz w:val="24"/>
          <w:szCs w:val="24"/>
          <w:lang w:eastAsia="zh-CN"/>
        </w:rPr>
        <w:t>调整组合结构</w:t>
      </w:r>
      <w:r w:rsidR="008E00FE">
        <w:rPr>
          <w:rFonts w:ascii="华文楷体" w:hAnsi="华文楷体" w:hint="eastAsia"/>
          <w:sz w:val="24"/>
          <w:szCs w:val="24"/>
          <w:lang w:eastAsia="zh-CN"/>
        </w:rPr>
        <w:t>，</w:t>
      </w:r>
      <w:r w:rsidR="006B0B01">
        <w:rPr>
          <w:rFonts w:ascii="华文楷体" w:hAnsi="华文楷体" w:hint="eastAsia"/>
          <w:sz w:val="24"/>
          <w:szCs w:val="24"/>
          <w:lang w:eastAsia="zh-CN"/>
        </w:rPr>
        <w:t>以</w:t>
      </w:r>
      <w:r w:rsidR="00162129" w:rsidRPr="00162129">
        <w:rPr>
          <w:rFonts w:ascii="华文楷体" w:hAnsi="华文楷体" w:hint="eastAsia"/>
          <w:sz w:val="24"/>
          <w:szCs w:val="24"/>
          <w:lang w:eastAsia="zh-CN"/>
        </w:rPr>
        <w:t>防御</w:t>
      </w:r>
      <w:r w:rsidR="006B0B01">
        <w:rPr>
          <w:rFonts w:ascii="华文楷体" w:hAnsi="华文楷体" w:hint="eastAsia"/>
          <w:sz w:val="24"/>
          <w:szCs w:val="24"/>
          <w:lang w:eastAsia="zh-CN"/>
        </w:rPr>
        <w:t>为主</w:t>
      </w:r>
      <w:r w:rsidR="00314603">
        <w:rPr>
          <w:rFonts w:ascii="华文楷体" w:hAnsi="华文楷体" w:hint="eastAsia"/>
          <w:sz w:val="24"/>
          <w:szCs w:val="24"/>
          <w:lang w:eastAsia="zh-CN"/>
        </w:rPr>
        <w:t>，</w:t>
      </w:r>
      <w:r w:rsidR="00F063A3">
        <w:rPr>
          <w:rFonts w:ascii="华文楷体" w:hAnsi="华文楷体" w:hint="eastAsia"/>
          <w:sz w:val="24"/>
          <w:szCs w:val="24"/>
          <w:lang w:eastAsia="zh-CN"/>
        </w:rPr>
        <w:t>适度参与</w:t>
      </w:r>
      <w:r w:rsidR="00F063A3">
        <w:rPr>
          <w:rFonts w:ascii="华文楷体" w:hAnsi="华文楷体"/>
          <w:sz w:val="24"/>
          <w:szCs w:val="24"/>
          <w:lang w:eastAsia="zh-CN"/>
        </w:rPr>
        <w:t>市场</w:t>
      </w:r>
      <w:r w:rsidR="00314603">
        <w:rPr>
          <w:rFonts w:ascii="华文楷体" w:hAnsi="华文楷体" w:hint="eastAsia"/>
          <w:sz w:val="24"/>
          <w:szCs w:val="24"/>
          <w:lang w:eastAsia="zh-CN"/>
        </w:rPr>
        <w:t>博弈机会</w:t>
      </w:r>
      <w:r w:rsidR="00162129" w:rsidRPr="00162129">
        <w:rPr>
          <w:rFonts w:ascii="华文楷体" w:hAnsi="华文楷体" w:hint="eastAsia"/>
          <w:sz w:val="24"/>
          <w:szCs w:val="24"/>
          <w:lang w:eastAsia="zh-CN"/>
        </w:rPr>
        <w:t>。</w:t>
      </w:r>
    </w:p>
    <w:p w14:paraId="431A849C" w14:textId="728C19FA" w:rsidR="006B0B01" w:rsidRPr="006B0B01"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rPr>
      </w:pPr>
      <w:r w:rsidRPr="006B0B01">
        <w:rPr>
          <w:rFonts w:ascii="华文楷体" w:eastAsia="华文楷体" w:hAnsi="华文楷体" w:cs="Times New Roman" w:hint="eastAsia"/>
        </w:rPr>
        <w:t>信用债：</w:t>
      </w:r>
      <w:r w:rsidR="006B0B01" w:rsidRPr="006B0B01">
        <w:rPr>
          <w:rFonts w:ascii="华文楷体" w:eastAsia="华文楷体" w:hAnsi="华文楷体" w:cs="Times New Roman" w:hint="eastAsia"/>
        </w:rPr>
        <w:t>本周各</w:t>
      </w:r>
      <w:r w:rsidR="00314603">
        <w:rPr>
          <w:rFonts w:ascii="华文楷体" w:eastAsia="华文楷体" w:hAnsi="华文楷体" w:cs="Times New Roman" w:hint="eastAsia"/>
        </w:rPr>
        <w:t>期限品种适度</w:t>
      </w:r>
      <w:r w:rsidR="00F063A3">
        <w:rPr>
          <w:rFonts w:ascii="华文楷体" w:eastAsia="华文楷体" w:hAnsi="华文楷体" w:cs="Times New Roman" w:hint="eastAsia"/>
        </w:rPr>
        <w:t>下</w:t>
      </w:r>
      <w:r w:rsidR="00314603">
        <w:rPr>
          <w:rFonts w:ascii="华文楷体" w:eastAsia="华文楷体" w:hAnsi="华文楷体" w:cs="Times New Roman" w:hint="eastAsia"/>
        </w:rPr>
        <w:t>行，</w:t>
      </w:r>
      <w:r w:rsidR="00F063A3">
        <w:rPr>
          <w:rFonts w:ascii="华文楷体" w:eastAsia="华文楷体" w:hAnsi="华文楷体" w:cs="Times New Roman" w:hint="eastAsia"/>
        </w:rPr>
        <w:t>一方面受到资金适度</w:t>
      </w:r>
      <w:r w:rsidR="00F063A3">
        <w:rPr>
          <w:rFonts w:ascii="华文楷体" w:eastAsia="华文楷体" w:hAnsi="华文楷体" w:cs="Times New Roman"/>
        </w:rPr>
        <w:t>回落影响，另一方面利率</w:t>
      </w:r>
      <w:r w:rsidR="00F063A3">
        <w:rPr>
          <w:rFonts w:ascii="华文楷体" w:eastAsia="华文楷体" w:hAnsi="华文楷体" w:cs="Times New Roman" w:hint="eastAsia"/>
        </w:rPr>
        <w:t>债</w:t>
      </w:r>
      <w:r w:rsidR="00F063A3">
        <w:rPr>
          <w:rFonts w:ascii="华文楷体" w:eastAsia="华文楷体" w:hAnsi="华文楷体" w:cs="Times New Roman"/>
        </w:rPr>
        <w:t>的大幅下行也对信用债品种产生一定影响。</w:t>
      </w:r>
      <w:r w:rsidR="00314603" w:rsidRPr="00314603">
        <w:rPr>
          <w:rFonts w:ascii="华文楷体" w:eastAsia="华文楷体" w:hAnsi="华文楷体" w:cs="Times New Roman" w:hint="eastAsia"/>
        </w:rPr>
        <w:t>整体来看，</w:t>
      </w:r>
      <w:r w:rsidR="00F063A3">
        <w:rPr>
          <w:rFonts w:ascii="华文楷体" w:eastAsia="华文楷体" w:hAnsi="华文楷体" w:cs="Times New Roman" w:hint="eastAsia"/>
        </w:rPr>
        <w:t>我们坚持</w:t>
      </w:r>
      <w:r w:rsidR="00A060AA" w:rsidRPr="00A060AA">
        <w:rPr>
          <w:rFonts w:ascii="华文楷体" w:eastAsia="华文楷体" w:hAnsi="华文楷体" w:cs="Times New Roman" w:hint="eastAsia"/>
        </w:rPr>
        <w:t>当前利率的绝对水平有一定基本面支撑，配置盘的绝对收益有</w:t>
      </w:r>
      <w:r w:rsidR="00F063A3">
        <w:rPr>
          <w:rFonts w:ascii="华文楷体" w:eastAsia="华文楷体" w:hAnsi="华文楷体" w:cs="Times New Roman" w:hint="eastAsia"/>
        </w:rPr>
        <w:t>一定</w:t>
      </w:r>
      <w:r w:rsidR="00A060AA" w:rsidRPr="00A060AA">
        <w:rPr>
          <w:rFonts w:ascii="华文楷体" w:eastAsia="华文楷体" w:hAnsi="华文楷体" w:cs="Times New Roman" w:hint="eastAsia"/>
        </w:rPr>
        <w:t>保障，但后续经济边际改善的趋势不变则货币政策很难释放有利信号，国际关系近期压力加大，</w:t>
      </w:r>
      <w:r w:rsidR="00F063A3">
        <w:rPr>
          <w:rFonts w:ascii="华文楷体" w:eastAsia="华文楷体" w:hAnsi="华文楷体" w:cs="Times New Roman" w:hint="eastAsia"/>
        </w:rPr>
        <w:t>权益</w:t>
      </w:r>
      <w:r w:rsidR="00F063A3">
        <w:rPr>
          <w:rFonts w:ascii="华文楷体" w:eastAsia="华文楷体" w:hAnsi="华文楷体" w:cs="Times New Roman"/>
        </w:rPr>
        <w:t>市场</w:t>
      </w:r>
      <w:r w:rsidR="00F063A3">
        <w:rPr>
          <w:rFonts w:ascii="华文楷体" w:eastAsia="华文楷体" w:hAnsi="华文楷体" w:cs="Times New Roman" w:hint="eastAsia"/>
        </w:rPr>
        <w:t>调整压力</w:t>
      </w:r>
      <w:r w:rsidR="00F063A3">
        <w:rPr>
          <w:rFonts w:ascii="华文楷体" w:eastAsia="华文楷体" w:hAnsi="华文楷体" w:cs="Times New Roman"/>
        </w:rPr>
        <w:t>持续对</w:t>
      </w:r>
      <w:r w:rsidR="00F063A3">
        <w:rPr>
          <w:rFonts w:ascii="华文楷体" w:eastAsia="华文楷体" w:hAnsi="华文楷体" w:cs="Times New Roman" w:hint="eastAsia"/>
        </w:rPr>
        <w:t>债市</w:t>
      </w:r>
      <w:r w:rsidR="00F063A3">
        <w:rPr>
          <w:rFonts w:ascii="华文楷体" w:eastAsia="华文楷体" w:hAnsi="华文楷体" w:cs="Times New Roman"/>
        </w:rPr>
        <w:t>情绪短期形成一定利好</w:t>
      </w:r>
      <w:r w:rsidR="00A060AA" w:rsidRPr="00A060AA">
        <w:rPr>
          <w:rFonts w:ascii="华文楷体" w:eastAsia="华文楷体" w:hAnsi="华文楷体" w:cs="Times New Roman" w:hint="eastAsia"/>
        </w:rPr>
        <w:t>。短期债市或有小幅反弹但力度有限，票息策略短期占优</w:t>
      </w:r>
      <w:r w:rsidR="00F063A3">
        <w:rPr>
          <w:rFonts w:ascii="华文楷体" w:eastAsia="华文楷体" w:hAnsi="华文楷体" w:cs="Times New Roman" w:hint="eastAsia"/>
        </w:rPr>
        <w:t>，</w:t>
      </w:r>
      <w:r w:rsidR="00F063A3">
        <w:rPr>
          <w:rFonts w:ascii="华文楷体" w:eastAsia="华文楷体" w:hAnsi="华文楷体" w:cs="Times New Roman"/>
        </w:rPr>
        <w:t>关注信用风险暴露</w:t>
      </w:r>
      <w:r w:rsidR="00A060AA" w:rsidRPr="00A060AA">
        <w:rPr>
          <w:rFonts w:ascii="华文楷体" w:eastAsia="华文楷体" w:hAnsi="华文楷体" w:cs="Times New Roman" w:hint="eastAsia"/>
        </w:rPr>
        <w:t>。</w:t>
      </w:r>
    </w:p>
    <w:p w14:paraId="4C893BAE" w14:textId="2ACC44DA"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654624">
        <w:rPr>
          <w:rFonts w:ascii="华文楷体" w:hAnsi="华文楷体" w:hint="eastAsia"/>
          <w:sz w:val="24"/>
          <w:szCs w:val="24"/>
          <w:lang w:eastAsia="zh-CN"/>
        </w:rPr>
        <w:t>本周权益市场</w:t>
      </w:r>
      <w:r w:rsidR="008E00FE">
        <w:rPr>
          <w:rFonts w:ascii="华文楷体" w:hAnsi="华文楷体" w:hint="eastAsia"/>
          <w:sz w:val="24"/>
          <w:szCs w:val="24"/>
          <w:lang w:eastAsia="zh-CN"/>
        </w:rPr>
        <w:t>表现</w:t>
      </w:r>
      <w:r w:rsidR="00EF4D08">
        <w:rPr>
          <w:rFonts w:ascii="华文楷体" w:hAnsi="华文楷体" w:hint="eastAsia"/>
          <w:sz w:val="24"/>
          <w:szCs w:val="24"/>
          <w:lang w:eastAsia="zh-CN"/>
        </w:rPr>
        <w:t>较弱</w:t>
      </w:r>
      <w:r w:rsidR="00D30FEC">
        <w:rPr>
          <w:rFonts w:ascii="华文楷体" w:hAnsi="华文楷体" w:hint="eastAsia"/>
          <w:sz w:val="24"/>
          <w:szCs w:val="24"/>
          <w:lang w:eastAsia="zh-CN"/>
        </w:rPr>
        <w:t>，转债</w:t>
      </w:r>
      <w:r w:rsidR="000E190F">
        <w:rPr>
          <w:rFonts w:ascii="华文楷体" w:hAnsi="华文楷体" w:hint="eastAsia"/>
          <w:sz w:val="24"/>
          <w:szCs w:val="24"/>
          <w:lang w:eastAsia="zh-CN"/>
        </w:rPr>
        <w:t>表现</w:t>
      </w:r>
      <w:r w:rsidR="008E00FE">
        <w:rPr>
          <w:rFonts w:ascii="华文楷体" w:hAnsi="华文楷体" w:hint="eastAsia"/>
          <w:sz w:val="24"/>
          <w:szCs w:val="24"/>
          <w:lang w:eastAsia="zh-CN"/>
        </w:rPr>
        <w:t>稍</w:t>
      </w:r>
      <w:r w:rsidR="00EF4D08">
        <w:rPr>
          <w:rFonts w:ascii="华文楷体" w:hAnsi="华文楷体" w:hint="eastAsia"/>
          <w:sz w:val="24"/>
          <w:szCs w:val="24"/>
          <w:lang w:eastAsia="zh-CN"/>
        </w:rPr>
        <w:t>好</w:t>
      </w:r>
      <w:r w:rsidR="008E00FE">
        <w:rPr>
          <w:rFonts w:ascii="华文楷体" w:hAnsi="华文楷体" w:hint="eastAsia"/>
          <w:sz w:val="24"/>
          <w:szCs w:val="24"/>
          <w:lang w:eastAsia="zh-CN"/>
        </w:rPr>
        <w:t>于</w:t>
      </w:r>
      <w:r w:rsidR="000E190F">
        <w:rPr>
          <w:rFonts w:ascii="华文楷体" w:hAnsi="华文楷体" w:hint="eastAsia"/>
          <w:sz w:val="24"/>
          <w:szCs w:val="24"/>
          <w:lang w:eastAsia="zh-CN"/>
        </w:rPr>
        <w:t>权益</w:t>
      </w:r>
      <w:r w:rsidR="00C26EBA">
        <w:rPr>
          <w:rFonts w:ascii="华文楷体" w:hAnsi="华文楷体" w:hint="eastAsia"/>
          <w:sz w:val="24"/>
          <w:szCs w:val="24"/>
          <w:lang w:eastAsia="zh-CN"/>
        </w:rPr>
        <w:t>。</w:t>
      </w:r>
      <w:r w:rsidR="006B0B01" w:rsidRPr="006B0B01">
        <w:rPr>
          <w:rFonts w:ascii="华文楷体" w:hAnsi="华文楷体" w:hint="eastAsia"/>
          <w:sz w:val="24"/>
          <w:szCs w:val="24"/>
          <w:lang w:eastAsia="zh-CN"/>
        </w:rPr>
        <w:t>行业层面</w:t>
      </w:r>
      <w:r w:rsidR="00F063A3">
        <w:rPr>
          <w:rFonts w:ascii="华文楷体" w:hAnsi="华文楷体" w:hint="eastAsia"/>
          <w:sz w:val="24"/>
          <w:szCs w:val="24"/>
          <w:lang w:eastAsia="zh-CN"/>
        </w:rPr>
        <w:t>，</w:t>
      </w:r>
      <w:r w:rsidR="00F063A3" w:rsidRPr="00F063A3">
        <w:rPr>
          <w:rFonts w:ascii="华文楷体" w:hAnsi="华文楷体" w:hint="eastAsia"/>
          <w:sz w:val="24"/>
          <w:szCs w:val="24"/>
          <w:lang w:eastAsia="zh-CN"/>
        </w:rPr>
        <w:t>前期强势板块分化，食品、电子、通信等相对弱势，</w:t>
      </w:r>
      <w:r w:rsidR="00F063A3">
        <w:rPr>
          <w:rFonts w:ascii="华文楷体" w:hAnsi="华文楷体" w:hint="eastAsia"/>
          <w:sz w:val="24"/>
          <w:szCs w:val="24"/>
          <w:lang w:eastAsia="zh-CN"/>
        </w:rPr>
        <w:t>本周涨幅表现较好</w:t>
      </w:r>
      <w:r w:rsidR="00F063A3">
        <w:rPr>
          <w:rFonts w:ascii="华文楷体" w:hAnsi="华文楷体"/>
          <w:sz w:val="24"/>
          <w:szCs w:val="24"/>
          <w:lang w:eastAsia="zh-CN"/>
        </w:rPr>
        <w:t>的是</w:t>
      </w:r>
      <w:r w:rsidR="00F063A3" w:rsidRPr="00F063A3">
        <w:rPr>
          <w:rFonts w:ascii="华文楷体" w:hAnsi="华文楷体" w:hint="eastAsia"/>
          <w:sz w:val="24"/>
          <w:szCs w:val="24"/>
          <w:lang w:eastAsia="zh-CN"/>
        </w:rPr>
        <w:t>贵金属、航天、机械以及化工等弹性板块</w:t>
      </w:r>
      <w:r w:rsidR="00EF4D08" w:rsidRPr="00EF4D08">
        <w:rPr>
          <w:rFonts w:ascii="华文楷体" w:hAnsi="华文楷体" w:hint="eastAsia"/>
          <w:sz w:val="24"/>
          <w:szCs w:val="24"/>
          <w:lang w:eastAsia="zh-CN"/>
        </w:rPr>
        <w:t>。</w:t>
      </w:r>
      <w:r w:rsidR="00601DF1" w:rsidRPr="00601DF1">
        <w:rPr>
          <w:rFonts w:ascii="华文楷体" w:hAnsi="华文楷体" w:hint="eastAsia"/>
          <w:sz w:val="24"/>
          <w:szCs w:val="24"/>
          <w:lang w:eastAsia="zh-CN"/>
        </w:rPr>
        <w:t>市场</w:t>
      </w:r>
      <w:r w:rsidR="00601DF1" w:rsidRPr="00601DF1">
        <w:rPr>
          <w:rFonts w:ascii="华文楷体" w:hAnsi="华文楷体"/>
          <w:sz w:val="24"/>
          <w:szCs w:val="24"/>
          <w:lang w:eastAsia="zh-CN"/>
        </w:rPr>
        <w:t>策略方面</w:t>
      </w:r>
      <w:r w:rsidR="00601DF1" w:rsidRPr="00491B29">
        <w:rPr>
          <w:rFonts w:ascii="华文楷体" w:hAnsi="华文楷体"/>
          <w:sz w:val="24"/>
          <w:szCs w:val="24"/>
          <w:lang w:eastAsia="zh-CN"/>
        </w:rPr>
        <w:t>，</w:t>
      </w:r>
      <w:r w:rsidR="00F67C58" w:rsidRPr="00F67C58">
        <w:rPr>
          <w:rFonts w:ascii="华文楷体" w:hAnsi="华文楷体" w:hint="eastAsia"/>
          <w:sz w:val="24"/>
          <w:szCs w:val="24"/>
          <w:lang w:eastAsia="zh-CN"/>
        </w:rPr>
        <w:t>中期处于金融条件相对宽松，科技创新升级的周期，总体面临有利的环境。短期看，部分板块高估值加大波动，转债继续关注半年报绩优品种、正股弹性和逻辑较强品种。</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FE53973" w:rsidR="001D35B3" w:rsidRPr="006A5F34" w:rsidRDefault="001D35B3" w:rsidP="006E5744">
            <w:pPr>
              <w:pStyle w:val="ChartHeading"/>
              <w:jc w:val="both"/>
            </w:pPr>
            <w:r w:rsidRPr="006A5F34">
              <w:rPr>
                <w:rFonts w:hint="eastAsia"/>
              </w:rPr>
              <w:lastRenderedPageBreak/>
              <w:t>图表</w:t>
            </w:r>
            <w:r w:rsidRPr="006A5F34">
              <w:t>.</w:t>
            </w:r>
            <w:r w:rsidR="003E314A">
              <w:rPr>
                <w:rFonts w:hint="eastAsia"/>
              </w:rPr>
              <w:t>主要钢材库存小幅回升</w:t>
            </w:r>
          </w:p>
        </w:tc>
        <w:tc>
          <w:tcPr>
            <w:tcW w:w="4938" w:type="dxa"/>
            <w:vAlign w:val="center"/>
          </w:tcPr>
          <w:p w14:paraId="02A10F26" w14:textId="30D8B7A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DE6EDA">
              <w:rPr>
                <w:rFonts w:hint="eastAsia"/>
              </w:rPr>
              <w:t>持续回落</w:t>
            </w:r>
            <w:r w:rsidR="00DE6EDA" w:rsidRPr="006A5F34">
              <w:t xml:space="preserve"> </w:t>
            </w:r>
          </w:p>
        </w:tc>
      </w:tr>
      <w:tr w:rsidR="001D35B3" w:rsidRPr="006A5F34" w14:paraId="205667F1" w14:textId="77777777" w:rsidTr="00EC4881">
        <w:tblPrEx>
          <w:tblCellMar>
            <w:left w:w="108" w:type="dxa"/>
            <w:right w:w="108" w:type="dxa"/>
          </w:tblCellMar>
        </w:tblPrEx>
        <w:trPr>
          <w:jc w:val="center"/>
        </w:trPr>
        <w:tc>
          <w:tcPr>
            <w:tcW w:w="4939" w:type="dxa"/>
            <w:vAlign w:val="center"/>
          </w:tcPr>
          <w:p w14:paraId="56C782C2" w14:textId="3B88EAF4" w:rsidR="001D35B3" w:rsidRPr="007E0340" w:rsidRDefault="00EC4881" w:rsidP="009A2BA0">
            <w:pPr>
              <w:jc w:val="center"/>
              <w:rPr>
                <w:noProof/>
              </w:rPr>
            </w:pPr>
            <w:r>
              <w:rPr>
                <w:noProof/>
              </w:rPr>
              <w:drawing>
                <wp:inline distT="0" distB="0" distL="0" distR="0" wp14:anchorId="0EAA6225" wp14:editId="28F2E9CF">
                  <wp:extent cx="2999105" cy="1760423"/>
                  <wp:effectExtent l="0" t="0" r="0" b="0"/>
                  <wp:docPr id="12" name="图表 1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5F2D2A5E" w:rsidR="001D35B3" w:rsidRPr="007E0340" w:rsidRDefault="00EC4881" w:rsidP="009A2BA0">
            <w:pPr>
              <w:jc w:val="center"/>
              <w:rPr>
                <w:noProof/>
                <w:szCs w:val="18"/>
              </w:rPr>
            </w:pPr>
            <w:r>
              <w:rPr>
                <w:noProof/>
              </w:rPr>
              <w:drawing>
                <wp:inline distT="0" distB="0" distL="0" distR="0" wp14:anchorId="62BF37AE" wp14:editId="6357420C">
                  <wp:extent cx="2998470" cy="1742775"/>
                  <wp:effectExtent l="0" t="0" r="0" b="0"/>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D230FA6"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763150">
              <w:rPr>
                <w:rFonts w:hint="eastAsia"/>
              </w:rPr>
              <w:t>持续向好</w:t>
            </w:r>
          </w:p>
        </w:tc>
        <w:tc>
          <w:tcPr>
            <w:tcW w:w="4938" w:type="dxa"/>
            <w:vAlign w:val="center"/>
          </w:tcPr>
          <w:p w14:paraId="07575C0F" w14:textId="0A8321D0"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54686C">
              <w:rPr>
                <w:rFonts w:hint="eastAsia"/>
              </w:rPr>
              <w:t>相对平稳</w:t>
            </w:r>
          </w:p>
        </w:tc>
      </w:tr>
      <w:tr w:rsidR="001D35B3" w:rsidRPr="006A5F34" w14:paraId="49BBD33E" w14:textId="77777777" w:rsidTr="00EC4881">
        <w:tblPrEx>
          <w:tblCellMar>
            <w:left w:w="108" w:type="dxa"/>
            <w:right w:w="108" w:type="dxa"/>
          </w:tblCellMar>
        </w:tblPrEx>
        <w:trPr>
          <w:jc w:val="center"/>
        </w:trPr>
        <w:tc>
          <w:tcPr>
            <w:tcW w:w="4939" w:type="dxa"/>
            <w:vAlign w:val="center"/>
          </w:tcPr>
          <w:p w14:paraId="0BAC1731" w14:textId="1F18210A" w:rsidR="001D35B3" w:rsidRPr="007E0340" w:rsidRDefault="00EC4881" w:rsidP="009A2BA0">
            <w:pPr>
              <w:jc w:val="center"/>
              <w:rPr>
                <w:noProof/>
              </w:rPr>
            </w:pPr>
            <w:r>
              <w:rPr>
                <w:noProof/>
              </w:rPr>
              <w:drawing>
                <wp:inline distT="0" distB="0" distL="0" distR="0" wp14:anchorId="7BB84443" wp14:editId="1A684022">
                  <wp:extent cx="2999105" cy="1898530"/>
                  <wp:effectExtent l="0" t="0" r="0" b="6985"/>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656D3486" w:rsidR="001D35B3" w:rsidRPr="007E0340" w:rsidRDefault="00EC4881" w:rsidP="009A2BA0">
            <w:pPr>
              <w:jc w:val="center"/>
              <w:rPr>
                <w:noProof/>
                <w:szCs w:val="18"/>
              </w:rPr>
            </w:pPr>
            <w:r>
              <w:rPr>
                <w:noProof/>
              </w:rPr>
              <w:drawing>
                <wp:inline distT="0" distB="0" distL="0" distR="0" wp14:anchorId="2984ECE5" wp14:editId="6830AAF8">
                  <wp:extent cx="2998470" cy="1964246"/>
                  <wp:effectExtent l="0" t="0" r="0" b="0"/>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36DE518D" w14:textId="10108F28" w:rsidR="001170AF" w:rsidRPr="001A1299" w:rsidRDefault="005D1B26" w:rsidP="005D1B26">
      <w:pPr>
        <w:pStyle w:val="Body-text"/>
        <w:ind w:firstLineChars="200" w:firstLine="420"/>
        <w:rPr>
          <w:rFonts w:ascii="华文楷体" w:hAnsi="华文楷体"/>
          <w:sz w:val="24"/>
          <w:szCs w:val="24"/>
          <w:lang w:eastAsia="zh-CN"/>
        </w:rPr>
      </w:pPr>
      <w:r w:rsidRPr="005D1B26">
        <w:rPr>
          <w:rFonts w:ascii="微软雅黑" w:eastAsia="微软雅黑" w:hAnsi="微软雅黑" w:hint="eastAsia"/>
          <w:b/>
          <w:bCs/>
          <w:color w:val="474747"/>
          <w:kern w:val="2"/>
          <w:sz w:val="21"/>
          <w:szCs w:val="21"/>
          <w:shd w:val="clear" w:color="auto" w:fill="FFFFFF"/>
          <w:lang w:eastAsia="zh-CN"/>
        </w:rPr>
        <w:t>风险提示：</w:t>
      </w:r>
      <w:r w:rsidRPr="005D1B26">
        <w:rPr>
          <w:rFonts w:ascii="微软雅黑" w:eastAsia="微软雅黑" w:hAnsi="微软雅黑" w:hint="eastAsia"/>
          <w:color w:val="474747"/>
          <w:kern w:val="2"/>
          <w:sz w:val="21"/>
          <w:szCs w:val="21"/>
          <w:shd w:val="clear" w:color="auto" w:fill="FFFFFF"/>
          <w:lang w:eastAsia="zh-CN"/>
        </w:rPr>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90283" w14:textId="77777777" w:rsidR="00DA17DB" w:rsidRDefault="00DA17DB">
      <w:r>
        <w:separator/>
      </w:r>
    </w:p>
  </w:endnote>
  <w:endnote w:type="continuationSeparator" w:id="0">
    <w:p w14:paraId="64EC26F2" w14:textId="77777777" w:rsidR="00DA17DB" w:rsidRDefault="00DA1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3F3C0E" w:rsidRDefault="003F3C0E">
        <w:pPr>
          <w:pStyle w:val="a4"/>
          <w:jc w:val="right"/>
        </w:pPr>
        <w:r>
          <w:fldChar w:fldCharType="begin"/>
        </w:r>
        <w:r>
          <w:instrText>PAGE   \* MERGEFORMAT</w:instrText>
        </w:r>
        <w:r>
          <w:fldChar w:fldCharType="separate"/>
        </w:r>
        <w:r w:rsidR="002255AD" w:rsidRPr="002255AD">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6785D4" w14:textId="77777777" w:rsidR="00DA17DB" w:rsidRDefault="00DA17DB">
      <w:r>
        <w:separator/>
      </w:r>
    </w:p>
  </w:footnote>
  <w:footnote w:type="continuationSeparator" w:id="0">
    <w:p w14:paraId="78B92367" w14:textId="77777777" w:rsidR="00DA17DB" w:rsidRDefault="00DA17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3F3C0E" w:rsidRDefault="003F3C0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6B09"/>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4E"/>
    <w:rsid w:val="00083B64"/>
    <w:rsid w:val="00083E1C"/>
    <w:rsid w:val="00084085"/>
    <w:rsid w:val="000840CD"/>
    <w:rsid w:val="00084873"/>
    <w:rsid w:val="0008490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5AD"/>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C46"/>
    <w:rsid w:val="00365F8E"/>
    <w:rsid w:val="00366556"/>
    <w:rsid w:val="00366CEA"/>
    <w:rsid w:val="003673CA"/>
    <w:rsid w:val="00367DA6"/>
    <w:rsid w:val="00367DC8"/>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B26"/>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01"/>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612"/>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7DB"/>
    <w:rsid w:val="00DA1D08"/>
    <w:rsid w:val="00DA1DC8"/>
    <w:rsid w:val="00DA248B"/>
    <w:rsid w:val="00DA2754"/>
    <w:rsid w:val="00DA2BBD"/>
    <w:rsid w:val="00DA30F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9025404843262513E-2"/>
          <c:w val="0.86467847769028872"/>
          <c:h val="0.805338879809835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43882</c:v>
                </c:pt>
                <c:pt idx="1">
                  <c:v>43889</c:v>
                </c:pt>
                <c:pt idx="2">
                  <c:v>43896</c:v>
                </c:pt>
                <c:pt idx="3">
                  <c:v>43903</c:v>
                </c:pt>
                <c:pt idx="4">
                  <c:v>43910</c:v>
                </c:pt>
                <c:pt idx="5">
                  <c:v>43917</c:v>
                </c:pt>
                <c:pt idx="6">
                  <c:v>43924</c:v>
                </c:pt>
                <c:pt idx="7">
                  <c:v>43931</c:v>
                </c:pt>
                <c:pt idx="8">
                  <c:v>43938</c:v>
                </c:pt>
                <c:pt idx="9">
                  <c:v>43945</c:v>
                </c:pt>
                <c:pt idx="10">
                  <c:v>43952</c:v>
                </c:pt>
                <c:pt idx="11">
                  <c:v>43959</c:v>
                </c:pt>
                <c:pt idx="12">
                  <c:v>43966</c:v>
                </c:pt>
                <c:pt idx="13">
                  <c:v>43973</c:v>
                </c:pt>
                <c:pt idx="14">
                  <c:v>43980</c:v>
                </c:pt>
                <c:pt idx="15">
                  <c:v>43987</c:v>
                </c:pt>
                <c:pt idx="16">
                  <c:v>43994</c:v>
                </c:pt>
                <c:pt idx="17">
                  <c:v>44001</c:v>
                </c:pt>
                <c:pt idx="18">
                  <c:v>44008</c:v>
                </c:pt>
                <c:pt idx="19">
                  <c:v>44015</c:v>
                </c:pt>
                <c:pt idx="20">
                  <c:v>44022</c:v>
                </c:pt>
                <c:pt idx="21">
                  <c:v>44029</c:v>
                </c:pt>
                <c:pt idx="22">
                  <c:v>44036</c:v>
                </c:pt>
              </c:numCache>
            </c:numRef>
          </c:cat>
          <c:val>
            <c:numRef>
              <c:f>央行!$B$5:$B$27</c:f>
              <c:numCache>
                <c:formatCode>###,###,###,###,##0.00</c:formatCode>
                <c:ptCount val="23"/>
                <c:pt idx="0">
                  <c:v>1015</c:v>
                </c:pt>
                <c:pt idx="1">
                  <c:v>60</c:v>
                </c:pt>
                <c:pt idx="2">
                  <c:v>0</c:v>
                </c:pt>
                <c:pt idx="3">
                  <c:v>0</c:v>
                </c:pt>
                <c:pt idx="4">
                  <c:v>0</c:v>
                </c:pt>
                <c:pt idx="5">
                  <c:v>60</c:v>
                </c:pt>
                <c:pt idx="6">
                  <c:v>700</c:v>
                </c:pt>
                <c:pt idx="7">
                  <c:v>0</c:v>
                </c:pt>
                <c:pt idx="8">
                  <c:v>0</c:v>
                </c:pt>
                <c:pt idx="9">
                  <c:v>60</c:v>
                </c:pt>
                <c:pt idx="10">
                  <c:v>0</c:v>
                </c:pt>
                <c:pt idx="11">
                  <c:v>0</c:v>
                </c:pt>
                <c:pt idx="12">
                  <c:v>0</c:v>
                </c:pt>
                <c:pt idx="13">
                  <c:v>0</c:v>
                </c:pt>
                <c:pt idx="14">
                  <c:v>6750</c:v>
                </c:pt>
                <c:pt idx="15">
                  <c:v>2200</c:v>
                </c:pt>
                <c:pt idx="16">
                  <c:v>4200</c:v>
                </c:pt>
                <c:pt idx="17">
                  <c:v>3000</c:v>
                </c:pt>
                <c:pt idx="18">
                  <c:v>5050</c:v>
                </c:pt>
                <c:pt idx="19">
                  <c:v>1025</c:v>
                </c:pt>
                <c:pt idx="20">
                  <c:v>0</c:v>
                </c:pt>
                <c:pt idx="21">
                  <c:v>3300</c:v>
                </c:pt>
                <c:pt idx="22">
                  <c:v>1650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43882</c:v>
                </c:pt>
                <c:pt idx="1">
                  <c:v>43889</c:v>
                </c:pt>
                <c:pt idx="2">
                  <c:v>43896</c:v>
                </c:pt>
                <c:pt idx="3">
                  <c:v>43903</c:v>
                </c:pt>
                <c:pt idx="4">
                  <c:v>43910</c:v>
                </c:pt>
                <c:pt idx="5">
                  <c:v>43917</c:v>
                </c:pt>
                <c:pt idx="6">
                  <c:v>43924</c:v>
                </c:pt>
                <c:pt idx="7">
                  <c:v>43931</c:v>
                </c:pt>
                <c:pt idx="8">
                  <c:v>43938</c:v>
                </c:pt>
                <c:pt idx="9">
                  <c:v>43945</c:v>
                </c:pt>
                <c:pt idx="10">
                  <c:v>43952</c:v>
                </c:pt>
                <c:pt idx="11">
                  <c:v>43959</c:v>
                </c:pt>
                <c:pt idx="12">
                  <c:v>43966</c:v>
                </c:pt>
                <c:pt idx="13">
                  <c:v>43973</c:v>
                </c:pt>
                <c:pt idx="14">
                  <c:v>43980</c:v>
                </c:pt>
                <c:pt idx="15">
                  <c:v>43987</c:v>
                </c:pt>
                <c:pt idx="16">
                  <c:v>43994</c:v>
                </c:pt>
                <c:pt idx="17">
                  <c:v>44001</c:v>
                </c:pt>
                <c:pt idx="18">
                  <c:v>44008</c:v>
                </c:pt>
                <c:pt idx="19">
                  <c:v>44015</c:v>
                </c:pt>
                <c:pt idx="20">
                  <c:v>44022</c:v>
                </c:pt>
                <c:pt idx="21">
                  <c:v>44029</c:v>
                </c:pt>
                <c:pt idx="22">
                  <c:v>44036</c:v>
                </c:pt>
              </c:numCache>
            </c:numRef>
          </c:cat>
          <c:val>
            <c:numRef>
              <c:f>央行!$C$5:$C$27</c:f>
              <c:numCache>
                <c:formatCode>###,###,###,###,##0.00</c:formatCode>
                <c:ptCount val="23"/>
                <c:pt idx="0">
                  <c:v>-12200</c:v>
                </c:pt>
                <c:pt idx="1">
                  <c:v>-3050</c:v>
                </c:pt>
                <c:pt idx="2">
                  <c:v>0</c:v>
                </c:pt>
                <c:pt idx="3">
                  <c:v>0</c:v>
                </c:pt>
                <c:pt idx="4">
                  <c:v>0</c:v>
                </c:pt>
                <c:pt idx="5">
                  <c:v>-50</c:v>
                </c:pt>
                <c:pt idx="6">
                  <c:v>0</c:v>
                </c:pt>
                <c:pt idx="7">
                  <c:v>-700</c:v>
                </c:pt>
                <c:pt idx="8">
                  <c:v>0</c:v>
                </c:pt>
                <c:pt idx="9">
                  <c:v>-50</c:v>
                </c:pt>
                <c:pt idx="10">
                  <c:v>0</c:v>
                </c:pt>
                <c:pt idx="11">
                  <c:v>0</c:v>
                </c:pt>
                <c:pt idx="12">
                  <c:v>0</c:v>
                </c:pt>
                <c:pt idx="13">
                  <c:v>0</c:v>
                </c:pt>
                <c:pt idx="14">
                  <c:v>-50</c:v>
                </c:pt>
                <c:pt idx="15">
                  <c:v>-6700</c:v>
                </c:pt>
                <c:pt idx="16">
                  <c:v>-2200</c:v>
                </c:pt>
                <c:pt idx="17">
                  <c:v>-4200</c:v>
                </c:pt>
                <c:pt idx="18">
                  <c:v>-1200</c:v>
                </c:pt>
                <c:pt idx="19">
                  <c:v>-4950</c:v>
                </c:pt>
                <c:pt idx="20">
                  <c:v>-2900</c:v>
                </c:pt>
                <c:pt idx="21">
                  <c:v>0</c:v>
                </c:pt>
                <c:pt idx="22">
                  <c:v>-3300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74909184"/>
        <c:axId val="37491136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43882</c:v>
                </c:pt>
                <c:pt idx="1">
                  <c:v>43889</c:v>
                </c:pt>
                <c:pt idx="2">
                  <c:v>43896</c:v>
                </c:pt>
                <c:pt idx="3">
                  <c:v>43903</c:v>
                </c:pt>
                <c:pt idx="4">
                  <c:v>43910</c:v>
                </c:pt>
                <c:pt idx="5">
                  <c:v>43917</c:v>
                </c:pt>
                <c:pt idx="6">
                  <c:v>43924</c:v>
                </c:pt>
                <c:pt idx="7">
                  <c:v>43931</c:v>
                </c:pt>
                <c:pt idx="8">
                  <c:v>43938</c:v>
                </c:pt>
                <c:pt idx="9">
                  <c:v>43945</c:v>
                </c:pt>
                <c:pt idx="10">
                  <c:v>43952</c:v>
                </c:pt>
                <c:pt idx="11">
                  <c:v>43959</c:v>
                </c:pt>
                <c:pt idx="12">
                  <c:v>43966</c:v>
                </c:pt>
                <c:pt idx="13">
                  <c:v>43973</c:v>
                </c:pt>
                <c:pt idx="14">
                  <c:v>43980</c:v>
                </c:pt>
                <c:pt idx="15">
                  <c:v>43987</c:v>
                </c:pt>
                <c:pt idx="16">
                  <c:v>43994</c:v>
                </c:pt>
                <c:pt idx="17">
                  <c:v>44001</c:v>
                </c:pt>
                <c:pt idx="18">
                  <c:v>44008</c:v>
                </c:pt>
                <c:pt idx="19">
                  <c:v>44015</c:v>
                </c:pt>
                <c:pt idx="20">
                  <c:v>44022</c:v>
                </c:pt>
                <c:pt idx="21">
                  <c:v>44029</c:v>
                </c:pt>
                <c:pt idx="22">
                  <c:v>44036</c:v>
                </c:pt>
              </c:numCache>
            </c:numRef>
          </c:cat>
          <c:val>
            <c:numRef>
              <c:f>央行!$D$5:$D$27</c:f>
              <c:numCache>
                <c:formatCode>###,###,###,###,##0.00</c:formatCode>
                <c:ptCount val="23"/>
                <c:pt idx="0">
                  <c:v>-11185</c:v>
                </c:pt>
                <c:pt idx="1">
                  <c:v>-2990</c:v>
                </c:pt>
                <c:pt idx="2">
                  <c:v>0</c:v>
                </c:pt>
                <c:pt idx="3">
                  <c:v>0</c:v>
                </c:pt>
                <c:pt idx="4">
                  <c:v>0</c:v>
                </c:pt>
                <c:pt idx="5">
                  <c:v>10</c:v>
                </c:pt>
                <c:pt idx="6">
                  <c:v>700</c:v>
                </c:pt>
                <c:pt idx="7">
                  <c:v>-700</c:v>
                </c:pt>
                <c:pt idx="8">
                  <c:v>0</c:v>
                </c:pt>
                <c:pt idx="9">
                  <c:v>10</c:v>
                </c:pt>
                <c:pt idx="10">
                  <c:v>0</c:v>
                </c:pt>
                <c:pt idx="11">
                  <c:v>0</c:v>
                </c:pt>
                <c:pt idx="12">
                  <c:v>0</c:v>
                </c:pt>
                <c:pt idx="13">
                  <c:v>0</c:v>
                </c:pt>
                <c:pt idx="14">
                  <c:v>6700</c:v>
                </c:pt>
                <c:pt idx="15">
                  <c:v>-4500</c:v>
                </c:pt>
                <c:pt idx="16">
                  <c:v>2000</c:v>
                </c:pt>
                <c:pt idx="17">
                  <c:v>-1200</c:v>
                </c:pt>
                <c:pt idx="18">
                  <c:v>3850</c:v>
                </c:pt>
                <c:pt idx="19">
                  <c:v>-3925</c:v>
                </c:pt>
                <c:pt idx="20">
                  <c:v>-2900</c:v>
                </c:pt>
                <c:pt idx="21">
                  <c:v>3300</c:v>
                </c:pt>
                <c:pt idx="22">
                  <c:v>-1650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74909184"/>
        <c:axId val="374911360"/>
      </c:lineChart>
      <c:catAx>
        <c:axId val="3749091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4911360"/>
        <c:crosses val="autoZero"/>
        <c:auto val="0"/>
        <c:lblAlgn val="ctr"/>
        <c:lblOffset val="0"/>
        <c:tickMarkSkip val="2"/>
        <c:noMultiLvlLbl val="0"/>
      </c:catAx>
      <c:valAx>
        <c:axId val="37491136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490918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5498037332372845"/>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44036</c:v>
                </c:pt>
                <c:pt idx="1">
                  <c:v>44035</c:v>
                </c:pt>
                <c:pt idx="2">
                  <c:v>44034</c:v>
                </c:pt>
                <c:pt idx="3">
                  <c:v>44033</c:v>
                </c:pt>
                <c:pt idx="4">
                  <c:v>44032</c:v>
                </c:pt>
                <c:pt idx="5">
                  <c:v>44029</c:v>
                </c:pt>
                <c:pt idx="6">
                  <c:v>44028</c:v>
                </c:pt>
                <c:pt idx="7">
                  <c:v>44027</c:v>
                </c:pt>
                <c:pt idx="8">
                  <c:v>44026</c:v>
                </c:pt>
                <c:pt idx="9">
                  <c:v>44025</c:v>
                </c:pt>
                <c:pt idx="10">
                  <c:v>44022</c:v>
                </c:pt>
                <c:pt idx="11">
                  <c:v>44021</c:v>
                </c:pt>
                <c:pt idx="12">
                  <c:v>44020</c:v>
                </c:pt>
                <c:pt idx="13">
                  <c:v>44019</c:v>
                </c:pt>
                <c:pt idx="14">
                  <c:v>44018</c:v>
                </c:pt>
                <c:pt idx="15">
                  <c:v>44015</c:v>
                </c:pt>
                <c:pt idx="16">
                  <c:v>44014</c:v>
                </c:pt>
                <c:pt idx="17">
                  <c:v>44013</c:v>
                </c:pt>
                <c:pt idx="18">
                  <c:v>44012</c:v>
                </c:pt>
                <c:pt idx="19">
                  <c:v>44011</c:v>
                </c:pt>
                <c:pt idx="20">
                  <c:v>44010</c:v>
                </c:pt>
                <c:pt idx="21">
                  <c:v>44006</c:v>
                </c:pt>
                <c:pt idx="22">
                  <c:v>44005</c:v>
                </c:pt>
                <c:pt idx="23">
                  <c:v>44004</c:v>
                </c:pt>
                <c:pt idx="24">
                  <c:v>44001</c:v>
                </c:pt>
                <c:pt idx="25">
                  <c:v>44000</c:v>
                </c:pt>
                <c:pt idx="26">
                  <c:v>43999</c:v>
                </c:pt>
                <c:pt idx="27">
                  <c:v>43998</c:v>
                </c:pt>
                <c:pt idx="28">
                  <c:v>43997</c:v>
                </c:pt>
                <c:pt idx="29">
                  <c:v>43994</c:v>
                </c:pt>
                <c:pt idx="30">
                  <c:v>43993</c:v>
                </c:pt>
                <c:pt idx="31">
                  <c:v>43992</c:v>
                </c:pt>
                <c:pt idx="32">
                  <c:v>43991</c:v>
                </c:pt>
                <c:pt idx="33">
                  <c:v>43990</c:v>
                </c:pt>
                <c:pt idx="34">
                  <c:v>43987</c:v>
                </c:pt>
                <c:pt idx="35">
                  <c:v>43986</c:v>
                </c:pt>
                <c:pt idx="36">
                  <c:v>43985</c:v>
                </c:pt>
                <c:pt idx="37">
                  <c:v>43984</c:v>
                </c:pt>
                <c:pt idx="38">
                  <c:v>43983</c:v>
                </c:pt>
                <c:pt idx="39">
                  <c:v>43980</c:v>
                </c:pt>
                <c:pt idx="40">
                  <c:v>43979</c:v>
                </c:pt>
                <c:pt idx="41">
                  <c:v>43978</c:v>
                </c:pt>
                <c:pt idx="42">
                  <c:v>43977</c:v>
                </c:pt>
                <c:pt idx="43">
                  <c:v>43976</c:v>
                </c:pt>
                <c:pt idx="44">
                  <c:v>43973</c:v>
                </c:pt>
                <c:pt idx="45">
                  <c:v>43972</c:v>
                </c:pt>
                <c:pt idx="46">
                  <c:v>43971</c:v>
                </c:pt>
                <c:pt idx="47">
                  <c:v>43970</c:v>
                </c:pt>
                <c:pt idx="48">
                  <c:v>43969</c:v>
                </c:pt>
                <c:pt idx="49">
                  <c:v>43966</c:v>
                </c:pt>
                <c:pt idx="50">
                  <c:v>43965</c:v>
                </c:pt>
                <c:pt idx="51">
                  <c:v>43964</c:v>
                </c:pt>
                <c:pt idx="52">
                  <c:v>43963</c:v>
                </c:pt>
                <c:pt idx="53">
                  <c:v>43962</c:v>
                </c:pt>
                <c:pt idx="54">
                  <c:v>43960</c:v>
                </c:pt>
                <c:pt idx="55">
                  <c:v>43959</c:v>
                </c:pt>
                <c:pt idx="56">
                  <c:v>43958</c:v>
                </c:pt>
                <c:pt idx="57">
                  <c:v>43957</c:v>
                </c:pt>
                <c:pt idx="58">
                  <c:v>43951</c:v>
                </c:pt>
              </c:numCache>
            </c:numRef>
          </c:cat>
          <c:val>
            <c:numRef>
              <c:f>资金!$B$3:$B$61</c:f>
              <c:numCache>
                <c:formatCode>###,###,###,###,##0.0000</c:formatCode>
                <c:ptCount val="59"/>
                <c:pt idx="0">
                  <c:v>1.8781000000000001</c:v>
                </c:pt>
                <c:pt idx="1">
                  <c:v>1.9132</c:v>
                </c:pt>
                <c:pt idx="2">
                  <c:v>1.3838999999999999</c:v>
                </c:pt>
                <c:pt idx="3">
                  <c:v>1.5924</c:v>
                </c:pt>
                <c:pt idx="4">
                  <c:v>1.9733000000000001</c:v>
                </c:pt>
                <c:pt idx="5">
                  <c:v>2.3995000000000002</c:v>
                </c:pt>
                <c:pt idx="6">
                  <c:v>2.3612000000000002</c:v>
                </c:pt>
                <c:pt idx="7">
                  <c:v>2.0855999999999999</c:v>
                </c:pt>
                <c:pt idx="8">
                  <c:v>1.7021999999999999</c:v>
                </c:pt>
                <c:pt idx="9">
                  <c:v>2.1414</c:v>
                </c:pt>
                <c:pt idx="10">
                  <c:v>2.2174</c:v>
                </c:pt>
                <c:pt idx="11">
                  <c:v>2.2547999999999999</c:v>
                </c:pt>
                <c:pt idx="12">
                  <c:v>2.1366000000000001</c:v>
                </c:pt>
                <c:pt idx="13">
                  <c:v>1.7793000000000001</c:v>
                </c:pt>
                <c:pt idx="14">
                  <c:v>1.4025000000000001</c:v>
                </c:pt>
                <c:pt idx="15">
                  <c:v>1.4065000000000001</c:v>
                </c:pt>
                <c:pt idx="16">
                  <c:v>1.7667999999999999</c:v>
                </c:pt>
                <c:pt idx="17">
                  <c:v>2.0270999999999999</c:v>
                </c:pt>
                <c:pt idx="18">
                  <c:v>2.2993999999999999</c:v>
                </c:pt>
                <c:pt idx="19">
                  <c:v>1.0634999999999999</c:v>
                </c:pt>
                <c:pt idx="20">
                  <c:v>1.0626</c:v>
                </c:pt>
                <c:pt idx="21">
                  <c:v>1.4907999999999999</c:v>
                </c:pt>
                <c:pt idx="22">
                  <c:v>1.9904999999999999</c:v>
                </c:pt>
                <c:pt idx="23">
                  <c:v>2.1852999999999998</c:v>
                </c:pt>
                <c:pt idx="24">
                  <c:v>2.1818</c:v>
                </c:pt>
                <c:pt idx="25">
                  <c:v>2.1688999999999998</c:v>
                </c:pt>
                <c:pt idx="26">
                  <c:v>2.1088</c:v>
                </c:pt>
                <c:pt idx="27">
                  <c:v>1.8025</c:v>
                </c:pt>
                <c:pt idx="28">
                  <c:v>1.5213000000000001</c:v>
                </c:pt>
                <c:pt idx="29">
                  <c:v>1.5598000000000001</c:v>
                </c:pt>
                <c:pt idx="30">
                  <c:v>1.7955000000000001</c:v>
                </c:pt>
                <c:pt idx="31">
                  <c:v>1.8873</c:v>
                </c:pt>
                <c:pt idx="32">
                  <c:v>1.883</c:v>
                </c:pt>
                <c:pt idx="33">
                  <c:v>1.9269000000000001</c:v>
                </c:pt>
                <c:pt idx="34">
                  <c:v>1.6131</c:v>
                </c:pt>
                <c:pt idx="35">
                  <c:v>1.9869000000000001</c:v>
                </c:pt>
                <c:pt idx="36">
                  <c:v>1.9258999999999999</c:v>
                </c:pt>
                <c:pt idx="37">
                  <c:v>1.5313000000000001</c:v>
                </c:pt>
                <c:pt idx="38">
                  <c:v>1.6446000000000001</c:v>
                </c:pt>
                <c:pt idx="39">
                  <c:v>2.1263999999999998</c:v>
                </c:pt>
                <c:pt idx="40">
                  <c:v>2.1741999999999999</c:v>
                </c:pt>
                <c:pt idx="41">
                  <c:v>2.1711</c:v>
                </c:pt>
                <c:pt idx="42">
                  <c:v>1.9621</c:v>
                </c:pt>
                <c:pt idx="43">
                  <c:v>1.5498000000000001</c:v>
                </c:pt>
                <c:pt idx="44">
                  <c:v>1.1511</c:v>
                </c:pt>
                <c:pt idx="45">
                  <c:v>1.1535</c:v>
                </c:pt>
                <c:pt idx="46">
                  <c:v>1.2717000000000001</c:v>
                </c:pt>
                <c:pt idx="47">
                  <c:v>1.4426000000000001</c:v>
                </c:pt>
                <c:pt idx="48">
                  <c:v>0.97460000000000002</c:v>
                </c:pt>
                <c:pt idx="49">
                  <c:v>0.91920000000000002</c:v>
                </c:pt>
                <c:pt idx="50">
                  <c:v>0.80310000000000004</c:v>
                </c:pt>
                <c:pt idx="51">
                  <c:v>0.751</c:v>
                </c:pt>
                <c:pt idx="52">
                  <c:v>0.84740000000000004</c:v>
                </c:pt>
                <c:pt idx="53">
                  <c:v>0.92610000000000003</c:v>
                </c:pt>
                <c:pt idx="54">
                  <c:v>0.83799999999999997</c:v>
                </c:pt>
                <c:pt idx="55">
                  <c:v>0.92579999999999996</c:v>
                </c:pt>
                <c:pt idx="56">
                  <c:v>1.2034</c:v>
                </c:pt>
                <c:pt idx="57">
                  <c:v>1.5404</c:v>
                </c:pt>
                <c:pt idx="58">
                  <c:v>1.8722000000000001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44036</c:v>
                </c:pt>
                <c:pt idx="1">
                  <c:v>44035</c:v>
                </c:pt>
                <c:pt idx="2">
                  <c:v>44034</c:v>
                </c:pt>
                <c:pt idx="3">
                  <c:v>44033</c:v>
                </c:pt>
                <c:pt idx="4">
                  <c:v>44032</c:v>
                </c:pt>
                <c:pt idx="5">
                  <c:v>44029</c:v>
                </c:pt>
                <c:pt idx="6">
                  <c:v>44028</c:v>
                </c:pt>
                <c:pt idx="7">
                  <c:v>44027</c:v>
                </c:pt>
                <c:pt idx="8">
                  <c:v>44026</c:v>
                </c:pt>
                <c:pt idx="9">
                  <c:v>44025</c:v>
                </c:pt>
                <c:pt idx="10">
                  <c:v>44022</c:v>
                </c:pt>
                <c:pt idx="11">
                  <c:v>44021</c:v>
                </c:pt>
                <c:pt idx="12">
                  <c:v>44020</c:v>
                </c:pt>
                <c:pt idx="13">
                  <c:v>44019</c:v>
                </c:pt>
                <c:pt idx="14">
                  <c:v>44018</c:v>
                </c:pt>
                <c:pt idx="15">
                  <c:v>44015</c:v>
                </c:pt>
                <c:pt idx="16">
                  <c:v>44014</c:v>
                </c:pt>
                <c:pt idx="17">
                  <c:v>44013</c:v>
                </c:pt>
                <c:pt idx="18">
                  <c:v>44012</c:v>
                </c:pt>
                <c:pt idx="19">
                  <c:v>44011</c:v>
                </c:pt>
                <c:pt idx="20">
                  <c:v>44010</c:v>
                </c:pt>
                <c:pt idx="21">
                  <c:v>44006</c:v>
                </c:pt>
                <c:pt idx="22">
                  <c:v>44005</c:v>
                </c:pt>
                <c:pt idx="23">
                  <c:v>44004</c:v>
                </c:pt>
                <c:pt idx="24">
                  <c:v>44001</c:v>
                </c:pt>
                <c:pt idx="25">
                  <c:v>44000</c:v>
                </c:pt>
                <c:pt idx="26">
                  <c:v>43999</c:v>
                </c:pt>
                <c:pt idx="27">
                  <c:v>43998</c:v>
                </c:pt>
                <c:pt idx="28">
                  <c:v>43997</c:v>
                </c:pt>
                <c:pt idx="29">
                  <c:v>43994</c:v>
                </c:pt>
                <c:pt idx="30">
                  <c:v>43993</c:v>
                </c:pt>
                <c:pt idx="31">
                  <c:v>43992</c:v>
                </c:pt>
                <c:pt idx="32">
                  <c:v>43991</c:v>
                </c:pt>
                <c:pt idx="33">
                  <c:v>43990</c:v>
                </c:pt>
                <c:pt idx="34">
                  <c:v>43987</c:v>
                </c:pt>
                <c:pt idx="35">
                  <c:v>43986</c:v>
                </c:pt>
                <c:pt idx="36">
                  <c:v>43985</c:v>
                </c:pt>
                <c:pt idx="37">
                  <c:v>43984</c:v>
                </c:pt>
                <c:pt idx="38">
                  <c:v>43983</c:v>
                </c:pt>
                <c:pt idx="39">
                  <c:v>43980</c:v>
                </c:pt>
                <c:pt idx="40">
                  <c:v>43979</c:v>
                </c:pt>
                <c:pt idx="41">
                  <c:v>43978</c:v>
                </c:pt>
                <c:pt idx="42">
                  <c:v>43977</c:v>
                </c:pt>
                <c:pt idx="43">
                  <c:v>43976</c:v>
                </c:pt>
                <c:pt idx="44">
                  <c:v>43973</c:v>
                </c:pt>
                <c:pt idx="45">
                  <c:v>43972</c:v>
                </c:pt>
                <c:pt idx="46">
                  <c:v>43971</c:v>
                </c:pt>
                <c:pt idx="47">
                  <c:v>43970</c:v>
                </c:pt>
                <c:pt idx="48">
                  <c:v>43969</c:v>
                </c:pt>
                <c:pt idx="49">
                  <c:v>43966</c:v>
                </c:pt>
                <c:pt idx="50">
                  <c:v>43965</c:v>
                </c:pt>
                <c:pt idx="51">
                  <c:v>43964</c:v>
                </c:pt>
                <c:pt idx="52">
                  <c:v>43963</c:v>
                </c:pt>
                <c:pt idx="53">
                  <c:v>43962</c:v>
                </c:pt>
                <c:pt idx="54">
                  <c:v>43960</c:v>
                </c:pt>
                <c:pt idx="55">
                  <c:v>43959</c:v>
                </c:pt>
                <c:pt idx="56">
                  <c:v>43958</c:v>
                </c:pt>
                <c:pt idx="57">
                  <c:v>43957</c:v>
                </c:pt>
                <c:pt idx="58">
                  <c:v>43951</c:v>
                </c:pt>
              </c:numCache>
            </c:numRef>
          </c:cat>
          <c:val>
            <c:numRef>
              <c:f>资金!$C$3:$C$61</c:f>
              <c:numCache>
                <c:formatCode>###,###,###,###,##0.0000</c:formatCode>
                <c:ptCount val="59"/>
                <c:pt idx="0">
                  <c:v>2.0954000000000002</c:v>
                </c:pt>
                <c:pt idx="1">
                  <c:v>2.2709000000000001</c:v>
                </c:pt>
                <c:pt idx="2">
                  <c:v>2.0026000000000002</c:v>
                </c:pt>
                <c:pt idx="3">
                  <c:v>2.1061999999999999</c:v>
                </c:pt>
                <c:pt idx="4">
                  <c:v>2.2656999999999998</c:v>
                </c:pt>
                <c:pt idx="5">
                  <c:v>2.4668999999999999</c:v>
                </c:pt>
                <c:pt idx="6">
                  <c:v>2.3656000000000001</c:v>
                </c:pt>
                <c:pt idx="7">
                  <c:v>2.2551000000000001</c:v>
                </c:pt>
                <c:pt idx="8">
                  <c:v>2.2277</c:v>
                </c:pt>
                <c:pt idx="9">
                  <c:v>2.3549000000000002</c:v>
                </c:pt>
                <c:pt idx="10">
                  <c:v>2.3384999999999998</c:v>
                </c:pt>
                <c:pt idx="11">
                  <c:v>2.2734999999999999</c:v>
                </c:pt>
                <c:pt idx="12">
                  <c:v>2.2345999999999999</c:v>
                </c:pt>
                <c:pt idx="13">
                  <c:v>2.1484999999999999</c:v>
                </c:pt>
                <c:pt idx="14">
                  <c:v>1.8398000000000001</c:v>
                </c:pt>
                <c:pt idx="15">
                  <c:v>1.857</c:v>
                </c:pt>
                <c:pt idx="16">
                  <c:v>2.0632999999999999</c:v>
                </c:pt>
                <c:pt idx="17">
                  <c:v>2.2721</c:v>
                </c:pt>
                <c:pt idx="18">
                  <c:v>3.0518999999999998</c:v>
                </c:pt>
                <c:pt idx="19">
                  <c:v>2.7978999999999998</c:v>
                </c:pt>
                <c:pt idx="20">
                  <c:v>2.2408999999999999</c:v>
                </c:pt>
                <c:pt idx="21">
                  <c:v>2.3866999999999998</c:v>
                </c:pt>
                <c:pt idx="22">
                  <c:v>2.3123</c:v>
                </c:pt>
                <c:pt idx="23">
                  <c:v>2.2494999999999998</c:v>
                </c:pt>
                <c:pt idx="24">
                  <c:v>2.1716000000000002</c:v>
                </c:pt>
                <c:pt idx="25">
                  <c:v>2.1389</c:v>
                </c:pt>
                <c:pt idx="26">
                  <c:v>2.0489999999999999</c:v>
                </c:pt>
                <c:pt idx="27">
                  <c:v>1.9447000000000001</c:v>
                </c:pt>
                <c:pt idx="28">
                  <c:v>1.8593999999999999</c:v>
                </c:pt>
                <c:pt idx="29">
                  <c:v>1.9265000000000001</c:v>
                </c:pt>
                <c:pt idx="30">
                  <c:v>2.0001000000000002</c:v>
                </c:pt>
                <c:pt idx="31">
                  <c:v>1.9938</c:v>
                </c:pt>
                <c:pt idx="32">
                  <c:v>1.9323999999999999</c:v>
                </c:pt>
                <c:pt idx="33">
                  <c:v>1.88</c:v>
                </c:pt>
                <c:pt idx="34">
                  <c:v>1.8634999999999999</c:v>
                </c:pt>
                <c:pt idx="35">
                  <c:v>1.8980999999999999</c:v>
                </c:pt>
                <c:pt idx="36">
                  <c:v>1.9643999999999999</c:v>
                </c:pt>
                <c:pt idx="37">
                  <c:v>1.5506</c:v>
                </c:pt>
                <c:pt idx="38">
                  <c:v>1.6257999999999999</c:v>
                </c:pt>
                <c:pt idx="39">
                  <c:v>2.2210999999999999</c:v>
                </c:pt>
                <c:pt idx="40">
                  <c:v>2.246</c:v>
                </c:pt>
                <c:pt idx="41">
                  <c:v>2.0767000000000002</c:v>
                </c:pt>
                <c:pt idx="42">
                  <c:v>1.9472</c:v>
                </c:pt>
                <c:pt idx="43">
                  <c:v>1.7498</c:v>
                </c:pt>
                <c:pt idx="44">
                  <c:v>1.4472</c:v>
                </c:pt>
                <c:pt idx="45">
                  <c:v>1.4988999999999999</c:v>
                </c:pt>
                <c:pt idx="46">
                  <c:v>1.5571999999999999</c:v>
                </c:pt>
                <c:pt idx="47">
                  <c:v>1.5296000000000001</c:v>
                </c:pt>
                <c:pt idx="48">
                  <c:v>1.3913</c:v>
                </c:pt>
                <c:pt idx="49">
                  <c:v>1.4092</c:v>
                </c:pt>
                <c:pt idx="50">
                  <c:v>1.3529</c:v>
                </c:pt>
                <c:pt idx="51">
                  <c:v>1.3654999999999999</c:v>
                </c:pt>
                <c:pt idx="52">
                  <c:v>1.4115</c:v>
                </c:pt>
                <c:pt idx="53">
                  <c:v>1.4842</c:v>
                </c:pt>
                <c:pt idx="54">
                  <c:v>1.2569999999999999</c:v>
                </c:pt>
                <c:pt idx="55">
                  <c:v>1.6103000000000001</c:v>
                </c:pt>
                <c:pt idx="56">
                  <c:v>1.571</c:v>
                </c:pt>
                <c:pt idx="57">
                  <c:v>1.5894999999999999</c:v>
                </c:pt>
                <c:pt idx="58">
                  <c:v>1.9297</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74918528"/>
        <c:axId val="375010432"/>
      </c:lineChart>
      <c:dateAx>
        <c:axId val="3749185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5010432"/>
        <c:crosses val="autoZero"/>
        <c:auto val="0"/>
        <c:lblOffset val="0"/>
        <c:baseTimeUnit val="days"/>
        <c:majorUnit val="14"/>
        <c:majorTimeUnit val="days"/>
        <c:minorUnit val="7"/>
        <c:minorTimeUnit val="days"/>
      </c:dateAx>
      <c:valAx>
        <c:axId val="37501043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49185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7.8300000000000036</c:v>
                </c:pt>
                <c:pt idx="1">
                  <c:v>-6.8299999999999805</c:v>
                </c:pt>
                <c:pt idx="2">
                  <c:v>1.9000000000000128</c:v>
                </c:pt>
                <c:pt idx="3">
                  <c:v>-5.85</c:v>
                </c:pt>
                <c:pt idx="4">
                  <c:v>-10.230000000000006</c:v>
                </c:pt>
                <c:pt idx="5">
                  <c:v>-12.860000000000005</c:v>
                </c:pt>
                <c:pt idx="6">
                  <c:v>-8.9499999999999691</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75148544"/>
        <c:axId val="37515046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1.8787</c:v>
                </c:pt>
                <c:pt idx="1">
                  <c:v>1.9613</c:v>
                </c:pt>
                <c:pt idx="2">
                  <c:v>2.2446000000000002</c:v>
                </c:pt>
                <c:pt idx="3">
                  <c:v>2.4556</c:v>
                </c:pt>
                <c:pt idx="4">
                  <c:v>2.5998999999999999</c:v>
                </c:pt>
                <c:pt idx="5">
                  <c:v>2.8513000000000002</c:v>
                </c:pt>
                <c:pt idx="6">
                  <c:v>2.8612000000000002</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1.8004</c:v>
                </c:pt>
                <c:pt idx="1">
                  <c:v>2.0295999999999998</c:v>
                </c:pt>
                <c:pt idx="2">
                  <c:v>2.2256</c:v>
                </c:pt>
                <c:pt idx="3">
                  <c:v>2.5141</c:v>
                </c:pt>
                <c:pt idx="4">
                  <c:v>2.7021999999999999</c:v>
                </c:pt>
                <c:pt idx="5">
                  <c:v>2.9799000000000002</c:v>
                </c:pt>
                <c:pt idx="6">
                  <c:v>2.9506999999999999</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75166080"/>
        <c:axId val="375152000"/>
      </c:lineChart>
      <c:dateAx>
        <c:axId val="3751485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5150464"/>
        <c:crosses val="autoZero"/>
        <c:auto val="0"/>
        <c:lblOffset val="0"/>
        <c:baseTimeUnit val="days"/>
      </c:dateAx>
      <c:valAx>
        <c:axId val="37515046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5148544"/>
        <c:crosses val="autoZero"/>
        <c:crossBetween val="between"/>
      </c:valAx>
      <c:valAx>
        <c:axId val="375152000"/>
        <c:scaling>
          <c:orientation val="minMax"/>
        </c:scaling>
        <c:delete val="0"/>
        <c:axPos val="r"/>
        <c:numFmt formatCode="#,##0.0_);[Red]\(#,##0.0\)" sourceLinked="0"/>
        <c:majorTickMark val="out"/>
        <c:minorTickMark val="none"/>
        <c:tickLblPos val="nextTo"/>
        <c:spPr>
          <a:ln w="3175">
            <a:solidFill>
              <a:sysClr val="windowText" lastClr="000000"/>
            </a:solidFill>
          </a:ln>
        </c:spPr>
        <c:crossAx val="375166080"/>
        <c:crosses val="max"/>
        <c:crossBetween val="between"/>
      </c:valAx>
      <c:dateAx>
        <c:axId val="375166080"/>
        <c:scaling>
          <c:orientation val="minMax"/>
        </c:scaling>
        <c:delete val="1"/>
        <c:axPos val="b"/>
        <c:numFmt formatCode="General" sourceLinked="1"/>
        <c:majorTickMark val="out"/>
        <c:minorTickMark val="none"/>
        <c:tickLblPos val="nextTo"/>
        <c:crossAx val="37515200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7.8199999999999825</c:v>
                </c:pt>
                <c:pt idx="1">
                  <c:v>3.2399999999999984</c:v>
                </c:pt>
                <c:pt idx="2">
                  <c:v>-0.95999999999998309</c:v>
                </c:pt>
                <c:pt idx="3">
                  <c:v>-17.179999999999971</c:v>
                </c:pt>
                <c:pt idx="4">
                  <c:v>-21.450000000000014</c:v>
                </c:pt>
                <c:pt idx="5">
                  <c:v>-18.010000000000037</c:v>
                </c:pt>
                <c:pt idx="6">
                  <c:v>-11.730000000000018</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76226176"/>
        <c:axId val="376228096"/>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1.9020999999999999</c:v>
                </c:pt>
                <c:pt idx="1">
                  <c:v>2.2976999999999999</c:v>
                </c:pt>
                <c:pt idx="2">
                  <c:v>2.5739000000000001</c:v>
                </c:pt>
                <c:pt idx="3">
                  <c:v>2.9199000000000002</c:v>
                </c:pt>
                <c:pt idx="4">
                  <c:v>3.1305000000000001</c:v>
                </c:pt>
                <c:pt idx="5">
                  <c:v>3.4007999999999998</c:v>
                </c:pt>
                <c:pt idx="6">
                  <c:v>3.3252999999999999</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1.8239000000000001</c:v>
                </c:pt>
                <c:pt idx="1">
                  <c:v>2.2652999999999999</c:v>
                </c:pt>
                <c:pt idx="2">
                  <c:v>2.5834999999999999</c:v>
                </c:pt>
                <c:pt idx="3">
                  <c:v>3.0916999999999999</c:v>
                </c:pt>
                <c:pt idx="4">
                  <c:v>3.3450000000000002</c:v>
                </c:pt>
                <c:pt idx="5">
                  <c:v>3.5809000000000002</c:v>
                </c:pt>
                <c:pt idx="6">
                  <c:v>3.4426000000000001</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76440320"/>
        <c:axId val="376438784"/>
      </c:lineChart>
      <c:dateAx>
        <c:axId val="37622617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228096"/>
        <c:crosses val="autoZero"/>
        <c:auto val="0"/>
        <c:lblOffset val="0"/>
        <c:baseTimeUnit val="days"/>
      </c:dateAx>
      <c:valAx>
        <c:axId val="37622809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226176"/>
        <c:crosses val="autoZero"/>
        <c:crossBetween val="between"/>
      </c:valAx>
      <c:valAx>
        <c:axId val="376438784"/>
        <c:scaling>
          <c:orientation val="minMax"/>
        </c:scaling>
        <c:delete val="0"/>
        <c:axPos val="r"/>
        <c:numFmt formatCode="#,##0.0_);[Red]\(#,##0.0\)" sourceLinked="0"/>
        <c:majorTickMark val="out"/>
        <c:minorTickMark val="none"/>
        <c:tickLblPos val="nextTo"/>
        <c:spPr>
          <a:ln w="3175">
            <a:solidFill>
              <a:sysClr val="windowText" lastClr="000000"/>
            </a:solidFill>
          </a:ln>
        </c:spPr>
        <c:crossAx val="376440320"/>
        <c:crosses val="max"/>
        <c:crossBetween val="between"/>
      </c:valAx>
      <c:dateAx>
        <c:axId val="376440320"/>
        <c:scaling>
          <c:orientation val="minMax"/>
        </c:scaling>
        <c:delete val="1"/>
        <c:axPos val="b"/>
        <c:numFmt formatCode="General" sourceLinked="1"/>
        <c:majorTickMark val="out"/>
        <c:minorTickMark val="none"/>
        <c:tickLblPos val="nextTo"/>
        <c:crossAx val="37643878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88328847712333292"/>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44036</c:v>
                </c:pt>
                <c:pt idx="1">
                  <c:v>44029</c:v>
                </c:pt>
                <c:pt idx="2">
                  <c:v>44022</c:v>
                </c:pt>
                <c:pt idx="3">
                  <c:v>44015</c:v>
                </c:pt>
                <c:pt idx="4">
                  <c:v>44006</c:v>
                </c:pt>
                <c:pt idx="5">
                  <c:v>44001</c:v>
                </c:pt>
                <c:pt idx="6">
                  <c:v>43994</c:v>
                </c:pt>
                <c:pt idx="7">
                  <c:v>43987</c:v>
                </c:pt>
                <c:pt idx="8">
                  <c:v>43980</c:v>
                </c:pt>
                <c:pt idx="9">
                  <c:v>43973</c:v>
                </c:pt>
                <c:pt idx="10">
                  <c:v>43966</c:v>
                </c:pt>
                <c:pt idx="11">
                  <c:v>43959</c:v>
                </c:pt>
                <c:pt idx="12">
                  <c:v>43951</c:v>
                </c:pt>
                <c:pt idx="13">
                  <c:v>43945</c:v>
                </c:pt>
                <c:pt idx="14">
                  <c:v>43938</c:v>
                </c:pt>
                <c:pt idx="15">
                  <c:v>43931</c:v>
                </c:pt>
                <c:pt idx="16">
                  <c:v>43924</c:v>
                </c:pt>
                <c:pt idx="17">
                  <c:v>43917</c:v>
                </c:pt>
                <c:pt idx="18">
                  <c:v>43910</c:v>
                </c:pt>
                <c:pt idx="19">
                  <c:v>43903</c:v>
                </c:pt>
                <c:pt idx="20">
                  <c:v>43896</c:v>
                </c:pt>
                <c:pt idx="21">
                  <c:v>43889</c:v>
                </c:pt>
                <c:pt idx="22">
                  <c:v>43882</c:v>
                </c:pt>
                <c:pt idx="23">
                  <c:v>43875</c:v>
                </c:pt>
              </c:numCache>
            </c:numRef>
          </c:cat>
          <c:val>
            <c:numRef>
              <c:f>转债!$H$5:$H$28</c:f>
              <c:numCache>
                <c:formatCode>General</c:formatCode>
                <c:ptCount val="24"/>
                <c:pt idx="0">
                  <c:v>1.6502798110747285</c:v>
                </c:pt>
                <c:pt idx="1">
                  <c:v>1.1984701220353777</c:v>
                </c:pt>
                <c:pt idx="2">
                  <c:v>4.8525182996724592</c:v>
                </c:pt>
                <c:pt idx="3">
                  <c:v>0.8270409873233131</c:v>
                </c:pt>
                <c:pt idx="4">
                  <c:v>-3.2992922342921283</c:v>
                </c:pt>
                <c:pt idx="5">
                  <c:v>-2.8009553288026456</c:v>
                </c:pt>
                <c:pt idx="6">
                  <c:v>-3.6411208214926494</c:v>
                </c:pt>
                <c:pt idx="7">
                  <c:v>-3.3071218748327746</c:v>
                </c:pt>
                <c:pt idx="8">
                  <c:v>-3.7059547514370683</c:v>
                </c:pt>
                <c:pt idx="9">
                  <c:v>-4.4616558844818188</c:v>
                </c:pt>
                <c:pt idx="10">
                  <c:v>-2.048662060885309</c:v>
                </c:pt>
                <c:pt idx="11">
                  <c:v>-0.51608033549165322</c:v>
                </c:pt>
                <c:pt idx="12">
                  <c:v>-0.47358059601025904</c:v>
                </c:pt>
                <c:pt idx="13">
                  <c:v>-1.3846916445343194</c:v>
                </c:pt>
                <c:pt idx="14">
                  <c:v>-1.1909784515900079</c:v>
                </c:pt>
                <c:pt idx="15">
                  <c:v>-1.2694720062186415</c:v>
                </c:pt>
                <c:pt idx="16">
                  <c:v>-1.597950774655621</c:v>
                </c:pt>
                <c:pt idx="17">
                  <c:v>-1.0043907948211639</c:v>
                </c:pt>
                <c:pt idx="18">
                  <c:v>-0.55198965811508183</c:v>
                </c:pt>
                <c:pt idx="19">
                  <c:v>0.37739993972867314</c:v>
                </c:pt>
                <c:pt idx="20">
                  <c:v>2.9355237550730884</c:v>
                </c:pt>
                <c:pt idx="21">
                  <c:v>0.67658796657477094</c:v>
                </c:pt>
                <c:pt idx="22">
                  <c:v>2.7448522929862884</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44036</c:v>
                </c:pt>
                <c:pt idx="1">
                  <c:v>44029</c:v>
                </c:pt>
                <c:pt idx="2">
                  <c:v>44022</c:v>
                </c:pt>
                <c:pt idx="3">
                  <c:v>44015</c:v>
                </c:pt>
                <c:pt idx="4">
                  <c:v>44006</c:v>
                </c:pt>
                <c:pt idx="5">
                  <c:v>44001</c:v>
                </c:pt>
                <c:pt idx="6">
                  <c:v>43994</c:v>
                </c:pt>
                <c:pt idx="7">
                  <c:v>43987</c:v>
                </c:pt>
                <c:pt idx="8">
                  <c:v>43980</c:v>
                </c:pt>
                <c:pt idx="9">
                  <c:v>43973</c:v>
                </c:pt>
                <c:pt idx="10">
                  <c:v>43966</c:v>
                </c:pt>
                <c:pt idx="11">
                  <c:v>43959</c:v>
                </c:pt>
                <c:pt idx="12">
                  <c:v>43951</c:v>
                </c:pt>
                <c:pt idx="13">
                  <c:v>43945</c:v>
                </c:pt>
                <c:pt idx="14">
                  <c:v>43938</c:v>
                </c:pt>
                <c:pt idx="15">
                  <c:v>43931</c:v>
                </c:pt>
                <c:pt idx="16">
                  <c:v>43924</c:v>
                </c:pt>
                <c:pt idx="17">
                  <c:v>43917</c:v>
                </c:pt>
                <c:pt idx="18">
                  <c:v>43910</c:v>
                </c:pt>
                <c:pt idx="19">
                  <c:v>43903</c:v>
                </c:pt>
                <c:pt idx="20">
                  <c:v>43896</c:v>
                </c:pt>
                <c:pt idx="21">
                  <c:v>43889</c:v>
                </c:pt>
                <c:pt idx="22">
                  <c:v>43882</c:v>
                </c:pt>
                <c:pt idx="23">
                  <c:v>43875</c:v>
                </c:pt>
              </c:numCache>
            </c:numRef>
          </c:cat>
          <c:val>
            <c:numRef>
              <c:f>转债!$I$5:$I$28</c:f>
              <c:numCache>
                <c:formatCode>General</c:formatCode>
                <c:ptCount val="24"/>
                <c:pt idx="0">
                  <c:v>-1.0136922611603261</c:v>
                </c:pt>
                <c:pt idx="1">
                  <c:v>-1.6566027894451385</c:v>
                </c:pt>
                <c:pt idx="2">
                  <c:v>-1.8844044203848331</c:v>
                </c:pt>
                <c:pt idx="3">
                  <c:v>-0.65749183238665854</c:v>
                </c:pt>
                <c:pt idx="4">
                  <c:v>-0.69823616213410267</c:v>
                </c:pt>
                <c:pt idx="5">
                  <c:v>-0.64024423267762254</c:v>
                </c:pt>
                <c:pt idx="6">
                  <c:v>-0.12231631098005291</c:v>
                </c:pt>
                <c:pt idx="7">
                  <c:v>-0.58766821617324272</c:v>
                </c:pt>
                <c:pt idx="8">
                  <c:v>0.65499218025490968</c:v>
                </c:pt>
                <c:pt idx="9">
                  <c:v>1.4143864978790388</c:v>
                </c:pt>
                <c:pt idx="10">
                  <c:v>1.4648794709402946</c:v>
                </c:pt>
                <c:pt idx="11">
                  <c:v>1.8902369420255694</c:v>
                </c:pt>
                <c:pt idx="12">
                  <c:v>2.4967358709246268</c:v>
                </c:pt>
                <c:pt idx="13">
                  <c:v>2.532730861621757</c:v>
                </c:pt>
                <c:pt idx="14">
                  <c:v>2.2182746234482353</c:v>
                </c:pt>
                <c:pt idx="15">
                  <c:v>2.1066234948969642</c:v>
                </c:pt>
                <c:pt idx="16">
                  <c:v>1.2678235612210598</c:v>
                </c:pt>
                <c:pt idx="17">
                  <c:v>1.0030270787315443</c:v>
                </c:pt>
                <c:pt idx="18">
                  <c:v>0.53192597363533878</c:v>
                </c:pt>
                <c:pt idx="19">
                  <c:v>0.68440475367177456</c:v>
                </c:pt>
                <c:pt idx="20">
                  <c:v>0.72306603997609464</c:v>
                </c:pt>
                <c:pt idx="21">
                  <c:v>0.35503392444551363</c:v>
                </c:pt>
                <c:pt idx="22">
                  <c:v>-5.5408955587021858E-2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44036</c:v>
                </c:pt>
                <c:pt idx="1">
                  <c:v>44029</c:v>
                </c:pt>
                <c:pt idx="2">
                  <c:v>44022</c:v>
                </c:pt>
                <c:pt idx="3">
                  <c:v>44015</c:v>
                </c:pt>
                <c:pt idx="4">
                  <c:v>44006</c:v>
                </c:pt>
                <c:pt idx="5">
                  <c:v>44001</c:v>
                </c:pt>
                <c:pt idx="6">
                  <c:v>43994</c:v>
                </c:pt>
                <c:pt idx="7">
                  <c:v>43987</c:v>
                </c:pt>
                <c:pt idx="8">
                  <c:v>43980</c:v>
                </c:pt>
                <c:pt idx="9">
                  <c:v>43973</c:v>
                </c:pt>
                <c:pt idx="10">
                  <c:v>43966</c:v>
                </c:pt>
                <c:pt idx="11">
                  <c:v>43959</c:v>
                </c:pt>
                <c:pt idx="12">
                  <c:v>43951</c:v>
                </c:pt>
                <c:pt idx="13">
                  <c:v>43945</c:v>
                </c:pt>
                <c:pt idx="14">
                  <c:v>43938</c:v>
                </c:pt>
                <c:pt idx="15">
                  <c:v>43931</c:v>
                </c:pt>
                <c:pt idx="16">
                  <c:v>43924</c:v>
                </c:pt>
                <c:pt idx="17">
                  <c:v>43917</c:v>
                </c:pt>
                <c:pt idx="18">
                  <c:v>43910</c:v>
                </c:pt>
                <c:pt idx="19">
                  <c:v>43903</c:v>
                </c:pt>
                <c:pt idx="20">
                  <c:v>43896</c:v>
                </c:pt>
                <c:pt idx="21">
                  <c:v>43889</c:v>
                </c:pt>
                <c:pt idx="22">
                  <c:v>43882</c:v>
                </c:pt>
                <c:pt idx="23">
                  <c:v>43875</c:v>
                </c:pt>
              </c:numCache>
            </c:numRef>
          </c:cat>
          <c:val>
            <c:numRef>
              <c:f>转债!$J$5:$J$28</c:f>
              <c:numCache>
                <c:formatCode>General</c:formatCode>
                <c:ptCount val="24"/>
                <c:pt idx="0">
                  <c:v>12.986231629981781</c:v>
                </c:pt>
                <c:pt idx="1">
                  <c:v>13.966991581334586</c:v>
                </c:pt>
                <c:pt idx="2">
                  <c:v>19.193834433598923</c:v>
                </c:pt>
                <c:pt idx="3">
                  <c:v>10.829741360394586</c:v>
                </c:pt>
                <c:pt idx="4">
                  <c:v>3.7930135865123615</c:v>
                </c:pt>
                <c:pt idx="5">
                  <c:v>2.782916173299621</c:v>
                </c:pt>
                <c:pt idx="6">
                  <c:v>0.38489776976609047</c:v>
                </c:pt>
                <c:pt idx="7">
                  <c:v>0.33895689436873599</c:v>
                </c:pt>
                <c:pt idx="8">
                  <c:v>-3.0270573199186579</c:v>
                </c:pt>
                <c:pt idx="9">
                  <c:v>-4.1043407557103446</c:v>
                </c:pt>
                <c:pt idx="10">
                  <c:v>-1.8787184963330761</c:v>
                </c:pt>
                <c:pt idx="11">
                  <c:v>-0.60466668014130809</c:v>
                </c:pt>
                <c:pt idx="12">
                  <c:v>-1.8847043516591389</c:v>
                </c:pt>
                <c:pt idx="13">
                  <c:v>-4.7837215429253011</c:v>
                </c:pt>
                <c:pt idx="14">
                  <c:v>-3.717577264803662</c:v>
                </c:pt>
                <c:pt idx="15">
                  <c:v>-5.4807063118700317</c:v>
                </c:pt>
                <c:pt idx="16">
                  <c:v>-6.8840069631521565</c:v>
                </c:pt>
                <c:pt idx="17">
                  <c:v>-6.9631947886596768</c:v>
                </c:pt>
                <c:pt idx="18">
                  <c:v>-8.3884803555863812</c:v>
                </c:pt>
                <c:pt idx="19">
                  <c:v>-2.3176419331057629</c:v>
                </c:pt>
                <c:pt idx="20">
                  <c:v>3.7809189990646752</c:v>
                </c:pt>
                <c:pt idx="21">
                  <c:v>-1.1958018666339387</c:v>
                </c:pt>
                <c:pt idx="22">
                  <c:v>4.0563410670651168</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76482816"/>
        <c:axId val="376484608"/>
      </c:lineChart>
      <c:dateAx>
        <c:axId val="3764828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484608"/>
        <c:crosses val="autoZero"/>
        <c:auto val="0"/>
        <c:lblOffset val="0"/>
        <c:baseTimeUnit val="days"/>
      </c:dateAx>
      <c:valAx>
        <c:axId val="37648460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48281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9169-4CCC-85BB-9CAB8BE557E5}"/>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9169-4CCC-85BB-9CAB8BE557E5}"/>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169-4CCC-85BB-9CAB8BE557E5}"/>
            </c:ext>
          </c:extLst>
        </c:ser>
        <c:dLbls>
          <c:showLegendKey val="0"/>
          <c:showVal val="0"/>
          <c:showCatName val="0"/>
          <c:showSerName val="0"/>
          <c:showPercent val="0"/>
          <c:showBubbleSize val="0"/>
        </c:dLbls>
        <c:marker val="1"/>
        <c:smooth val="0"/>
        <c:axId val="376534144"/>
        <c:axId val="376535680"/>
      </c:lineChart>
      <c:dateAx>
        <c:axId val="3765341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535680"/>
        <c:crosses val="autoZero"/>
        <c:auto val="0"/>
        <c:lblOffset val="0"/>
        <c:baseTimeUnit val="days"/>
        <c:majorUnit val="1"/>
        <c:majorTimeUnit val="months"/>
      </c:dateAx>
      <c:valAx>
        <c:axId val="376535680"/>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5341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76776192"/>
        <c:axId val="376777728"/>
      </c:lineChart>
      <c:dateAx>
        <c:axId val="3767761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777728"/>
        <c:crosses val="autoZero"/>
        <c:auto val="0"/>
        <c:lblOffset val="0"/>
        <c:baseTimeUnit val="days"/>
        <c:majorUnit val="1"/>
        <c:majorTimeUnit val="months"/>
      </c:dateAx>
      <c:valAx>
        <c:axId val="37677772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7761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76821632"/>
        <c:axId val="376823168"/>
      </c:lineChart>
      <c:dateAx>
        <c:axId val="3768216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823168"/>
        <c:crosses val="autoZero"/>
        <c:auto val="0"/>
        <c:lblOffset val="0"/>
        <c:baseTimeUnit val="days"/>
        <c:majorUnit val="1"/>
        <c:majorTimeUnit val="months"/>
      </c:dateAx>
      <c:valAx>
        <c:axId val="3768231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8216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12D-4BD6-AD3A-6A9B0CF35032}"/>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12D-4BD6-AD3A-6A9B0CF35032}"/>
            </c:ext>
          </c:extLst>
        </c:ser>
        <c:dLbls>
          <c:showLegendKey val="0"/>
          <c:showVal val="0"/>
          <c:showCatName val="0"/>
          <c:showSerName val="0"/>
          <c:showPercent val="0"/>
          <c:showBubbleSize val="0"/>
        </c:dLbls>
        <c:marker val="1"/>
        <c:smooth val="0"/>
        <c:axId val="377725696"/>
        <c:axId val="377727232"/>
      </c:lineChart>
      <c:dateAx>
        <c:axId val="3777256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7727232"/>
        <c:crosses val="autoZero"/>
        <c:auto val="0"/>
        <c:lblOffset val="0"/>
        <c:baseTimeUnit val="days"/>
        <c:majorUnit val="1"/>
        <c:majorTimeUnit val="months"/>
      </c:dateAx>
      <c:valAx>
        <c:axId val="377727232"/>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77256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0.15245</cdr:x>
      <cdr:y>0.08488</cdr:y>
    </cdr:to>
    <cdr:sp macro="" textlink="">
      <cdr:nvSpPr>
        <cdr:cNvPr id="5" name="Text Box 1"/>
        <cdr:cNvSpPr txBox="1">
          <a:spLocks xmlns:a="http://schemas.openxmlformats.org/drawingml/2006/main" noChangeArrowheads="1"/>
        </cdr:cNvSpPr>
      </cdr:nvSpPr>
      <cdr:spPr bwMode="auto">
        <a:xfrm xmlns:a="http://schemas.openxmlformats.org/drawingml/2006/main">
          <a:off x="-715992" y="-7884543"/>
          <a:ext cx="457200" cy="155276"/>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0.00439</cdr:y>
    </cdr:from>
    <cdr:to>
      <cdr:x>0.12946</cdr:x>
      <cdr:y>0.08784</cdr:y>
    </cdr:to>
    <cdr:sp macro="" textlink="">
      <cdr:nvSpPr>
        <cdr:cNvPr id="5" name="Text Box 1"/>
        <cdr:cNvSpPr txBox="1">
          <a:spLocks xmlns:a="http://schemas.openxmlformats.org/drawingml/2006/main" noChangeArrowheads="1"/>
        </cdr:cNvSpPr>
      </cdr:nvSpPr>
      <cdr:spPr bwMode="auto">
        <a:xfrm xmlns:a="http://schemas.openxmlformats.org/drawingml/2006/main">
          <a:off x="0" y="8627"/>
          <a:ext cx="388189" cy="16390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FB434-DE5B-40FF-9776-234200AE0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7</Pages>
  <Words>910</Words>
  <Characters>5193</Characters>
  <Application>Microsoft Office Word</Application>
  <DocSecurity>0</DocSecurity>
  <Lines>43</Lines>
  <Paragraphs>12</Paragraphs>
  <ScaleCrop>false</ScaleCrop>
  <Company>Microsoft</Company>
  <LinksUpToDate>false</LinksUpToDate>
  <CharactersWithSpaces>6091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21</cp:revision>
  <cp:lastPrinted>2019-06-26T06:05:00Z</cp:lastPrinted>
  <dcterms:created xsi:type="dcterms:W3CDTF">2020-07-26T09:07:00Z</dcterms:created>
  <dcterms:modified xsi:type="dcterms:W3CDTF">2020-07-27T07:54:00Z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