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theme/themeOverride1.xml" ContentType="application/vnd.openxmlformats-officedocument.themeOverride+xml"/>
  <Override PartName="/word/charts/chart2.xml" ContentType="application/vnd.openxmlformats-officedocument.drawingml.chart+xml"/>
  <Override PartName="/word/theme/themeOverride2.xml" ContentType="application/vnd.openxmlformats-officedocument.themeOverride+xml"/>
  <Override PartName="/word/charts/chart3.xml" ContentType="application/vnd.openxmlformats-officedocument.drawingml.chart+xml"/>
  <Override PartName="/word/theme/themeOverride3.xml" ContentType="application/vnd.openxmlformats-officedocument.themeOverride+xml"/>
  <Override PartName="/word/drawings/drawing1.xml" ContentType="application/vnd.openxmlformats-officedocument.drawingml.chartshapes+xml"/>
  <Override PartName="/word/charts/chart4.xml" ContentType="application/vnd.openxmlformats-officedocument.drawingml.chart+xml"/>
  <Override PartName="/word/theme/themeOverride4.xml" ContentType="application/vnd.openxmlformats-officedocument.themeOverride+xml"/>
  <Override PartName="/word/drawings/drawing2.xml" ContentType="application/vnd.openxmlformats-officedocument.drawingml.chartshapes+xml"/>
  <Override PartName="/word/charts/chart5.xml" ContentType="application/vnd.openxmlformats-officedocument.drawingml.chart+xml"/>
  <Override PartName="/word/theme/themeOverride5.xml" ContentType="application/vnd.openxmlformats-officedocument.themeOverride+xml"/>
  <Override PartName="/word/drawings/drawing3.xml" ContentType="application/vnd.openxmlformats-officedocument.drawingml.chartshapes+xml"/>
  <Override PartName="/word/charts/chart6.xml" ContentType="application/vnd.openxmlformats-officedocument.drawingml.chart+xml"/>
  <Override PartName="/word/theme/themeOverride6.xml" ContentType="application/vnd.openxmlformats-officedocument.themeOverride+xml"/>
  <Override PartName="/word/drawings/drawing4.xml" ContentType="application/vnd.openxmlformats-officedocument.drawingml.chartshapes+xml"/>
  <Override PartName="/word/charts/chart7.xml" ContentType="application/vnd.openxmlformats-officedocument.drawingml.chart+xml"/>
  <Override PartName="/word/theme/themeOverride7.xml" ContentType="application/vnd.openxmlformats-officedocument.themeOverride+xml"/>
  <Override PartName="/word/charts/chart8.xml" ContentType="application/vnd.openxmlformats-officedocument.drawingml.chart+xml"/>
  <Override PartName="/word/theme/themeOverride8.xml" ContentType="application/vnd.openxmlformats-officedocument.themeOverride+xml"/>
  <Override PartName="/word/charts/chart9.xml" ContentType="application/vnd.openxmlformats-officedocument.drawingml.chart+xml"/>
  <Override PartName="/word/theme/themeOverride9.xml" ContentType="application/vnd.openxmlformats-officedocument.themeOverride+xml"/>
  <Override PartName="/word/drawings/drawing5.xml" ContentType="application/vnd.openxmlformats-officedocument.drawingml.chartshap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14:paraId="7AE04533" w14:textId="77777777" w:rsidR="00960960" w:rsidRDefault="001357FD" w:rsidP="009A2BA0">
      <w:pPr>
        <w:spacing w:beforeLines="100" w:before="312"/>
        <w:jc w:val="center"/>
        <w:rPr>
          <w:rFonts w:ascii="楷体" w:eastAsia="楷体" w:hAnsi="楷体"/>
          <w:b/>
          <w:sz w:val="44"/>
          <w:szCs w:val="44"/>
        </w:rPr>
      </w:pPr>
      <w:r w:rsidRPr="00BB4A92">
        <w:rPr>
          <w:rFonts w:ascii="楷体" w:eastAsia="楷体" w:hAnsi="楷体" w:hint="eastAsia"/>
          <w:b/>
          <w:sz w:val="44"/>
          <w:szCs w:val="44"/>
        </w:rPr>
        <w:t>富</w:t>
      </w:r>
      <w:proofErr w:type="gramStart"/>
      <w:r w:rsidRPr="00BB4A92">
        <w:rPr>
          <w:rFonts w:ascii="楷体" w:eastAsia="楷体" w:hAnsi="楷体" w:hint="eastAsia"/>
          <w:b/>
          <w:sz w:val="44"/>
          <w:szCs w:val="44"/>
        </w:rPr>
        <w:t>荣基金</w:t>
      </w:r>
      <w:proofErr w:type="gramEnd"/>
      <w:r w:rsidR="00960960" w:rsidRPr="00BB4A92">
        <w:rPr>
          <w:rFonts w:ascii="楷体" w:eastAsia="楷体" w:hAnsi="楷体" w:hint="eastAsia"/>
          <w:b/>
          <w:sz w:val="44"/>
          <w:szCs w:val="44"/>
        </w:rPr>
        <w:t>固定收益</w:t>
      </w:r>
      <w:r w:rsidR="00F24889" w:rsidRPr="00BB4A92">
        <w:rPr>
          <w:rFonts w:ascii="楷体" w:eastAsia="楷体" w:hAnsi="楷体" w:hint="eastAsia"/>
          <w:b/>
          <w:sz w:val="44"/>
          <w:szCs w:val="44"/>
        </w:rPr>
        <w:t>周报</w:t>
      </w:r>
    </w:p>
    <w:p w14:paraId="08CBB8BB" w14:textId="496BEF03" w:rsidR="00832986" w:rsidRPr="00541553" w:rsidRDefault="00832986" w:rsidP="00E543BE">
      <w:pPr>
        <w:widowControl/>
        <w:jc w:val="center"/>
        <w:rPr>
          <w:rFonts w:ascii="楷体" w:eastAsia="楷体" w:hAnsi="楷体"/>
          <w:sz w:val="28"/>
          <w:szCs w:val="28"/>
        </w:rPr>
      </w:pPr>
      <w:r w:rsidRPr="00541553">
        <w:rPr>
          <w:rFonts w:ascii="楷体" w:eastAsia="楷体" w:hAnsi="楷体" w:hint="eastAsia"/>
          <w:sz w:val="28"/>
          <w:szCs w:val="28"/>
        </w:rPr>
        <w:t>——</w:t>
      </w:r>
      <w:r w:rsidR="0060189A">
        <w:rPr>
          <w:rFonts w:ascii="楷体" w:eastAsia="楷体" w:hAnsi="楷体" w:hint="eastAsia"/>
          <w:sz w:val="28"/>
          <w:szCs w:val="28"/>
        </w:rPr>
        <w:t>经济持续修复</w:t>
      </w:r>
      <w:r w:rsidR="00655808">
        <w:rPr>
          <w:rFonts w:ascii="楷体" w:eastAsia="楷体" w:hAnsi="楷体" w:hint="eastAsia"/>
          <w:sz w:val="28"/>
          <w:szCs w:val="28"/>
        </w:rPr>
        <w:t>，</w:t>
      </w:r>
      <w:r w:rsidR="0060189A">
        <w:rPr>
          <w:rFonts w:ascii="楷体" w:eastAsia="楷体" w:hAnsi="楷体" w:hint="eastAsia"/>
          <w:sz w:val="28"/>
          <w:szCs w:val="28"/>
        </w:rPr>
        <w:t>股</w:t>
      </w:r>
      <w:proofErr w:type="gramStart"/>
      <w:r w:rsidR="0060189A">
        <w:rPr>
          <w:rFonts w:ascii="楷体" w:eastAsia="楷体" w:hAnsi="楷体" w:hint="eastAsia"/>
          <w:sz w:val="28"/>
          <w:szCs w:val="28"/>
        </w:rPr>
        <w:t>强债弱</w:t>
      </w:r>
      <w:proofErr w:type="gramEnd"/>
      <w:r w:rsidR="0060189A">
        <w:rPr>
          <w:rFonts w:ascii="楷体" w:eastAsia="楷体" w:hAnsi="楷体" w:hint="eastAsia"/>
          <w:sz w:val="28"/>
          <w:szCs w:val="28"/>
        </w:rPr>
        <w:t>再现</w:t>
      </w:r>
    </w:p>
    <w:p w14:paraId="0A7A9383" w14:textId="431E5848" w:rsidR="00FF57FB" w:rsidRPr="00FA6C01" w:rsidRDefault="00DD41CD" w:rsidP="009A2BA0">
      <w:pPr>
        <w:tabs>
          <w:tab w:val="center" w:pos="4873"/>
          <w:tab w:val="left" w:pos="8920"/>
        </w:tabs>
        <w:spacing w:afterLines="50" w:after="156"/>
        <w:jc w:val="center"/>
        <w:rPr>
          <w:rFonts w:ascii="楷体" w:eastAsia="楷体" w:hAnsi="楷体"/>
          <w:sz w:val="28"/>
          <w:szCs w:val="28"/>
        </w:rPr>
      </w:pPr>
      <w:r>
        <w:rPr>
          <w:rFonts w:ascii="楷体" w:eastAsia="楷体" w:hAnsi="楷体"/>
          <w:sz w:val="28"/>
          <w:szCs w:val="28"/>
        </w:rPr>
        <w:t>2020</w:t>
      </w:r>
      <w:r w:rsidR="009C30E2" w:rsidRPr="00FA6C01">
        <w:rPr>
          <w:rFonts w:ascii="楷体" w:eastAsia="楷体" w:hAnsi="楷体"/>
          <w:sz w:val="28"/>
          <w:szCs w:val="28"/>
        </w:rPr>
        <w:t>年</w:t>
      </w:r>
      <w:r w:rsidR="009D4E61">
        <w:rPr>
          <w:rFonts w:ascii="楷体" w:eastAsia="楷体" w:hAnsi="楷体"/>
          <w:sz w:val="28"/>
          <w:szCs w:val="28"/>
        </w:rPr>
        <w:t>7</w:t>
      </w:r>
      <w:r w:rsidR="009C30E2" w:rsidRPr="00FA6C01">
        <w:rPr>
          <w:rFonts w:ascii="楷体" w:eastAsia="楷体" w:hAnsi="楷体"/>
          <w:sz w:val="28"/>
          <w:szCs w:val="28"/>
        </w:rPr>
        <w:t>月</w:t>
      </w:r>
      <w:r w:rsidR="006E06F9">
        <w:rPr>
          <w:rFonts w:ascii="楷体" w:eastAsia="楷体" w:hAnsi="楷体"/>
          <w:sz w:val="28"/>
          <w:szCs w:val="28"/>
        </w:rPr>
        <w:t>31</w:t>
      </w:r>
      <w:r w:rsidR="00F82A54">
        <w:rPr>
          <w:rFonts w:ascii="楷体" w:eastAsia="楷体" w:hAnsi="楷体" w:hint="eastAsia"/>
          <w:sz w:val="28"/>
          <w:szCs w:val="28"/>
        </w:rPr>
        <w:t>日</w:t>
      </w:r>
    </w:p>
    <w:p w14:paraId="1B2C4A22" w14:textId="0BA85F85" w:rsidR="005E5CB1" w:rsidRPr="00B778AC" w:rsidRDefault="005E5CB1" w:rsidP="005E5CB1">
      <w:pPr>
        <w:pStyle w:val="Header1"/>
        <w:spacing w:before="240"/>
        <w:rPr>
          <w:rFonts w:ascii="Arial Narrow" w:hAnsi="Arial Narrow"/>
          <w:b w:val="0"/>
          <w:smallCaps w:val="0"/>
          <w:color w:val="auto"/>
          <w:sz w:val="23"/>
          <w:szCs w:val="23"/>
          <w:lang w:eastAsia="zh-TW"/>
        </w:rPr>
      </w:pPr>
      <w:r>
        <w:rPr>
          <w:rFonts w:hint="eastAsia"/>
          <w:color w:val="C45911" w:themeColor="accent2" w:themeShade="BF"/>
        </w:rPr>
        <w:t>一</w:t>
      </w:r>
      <w:r w:rsidRPr="004C5268">
        <w:rPr>
          <w:rFonts w:hint="eastAsia"/>
          <w:color w:val="C45911" w:themeColor="accent2" w:themeShade="BF"/>
        </w:rPr>
        <w:t>、</w:t>
      </w:r>
      <w:r w:rsidR="008F4A92">
        <w:rPr>
          <w:rFonts w:hint="eastAsia"/>
          <w:color w:val="C45911" w:themeColor="accent2" w:themeShade="BF"/>
        </w:rPr>
        <w:t>本周关注：</w:t>
      </w:r>
      <w:r w:rsidR="004242D8">
        <w:rPr>
          <w:color w:val="C45911" w:themeColor="accent2" w:themeShade="BF"/>
        </w:rPr>
        <w:t xml:space="preserve"> </w:t>
      </w:r>
    </w:p>
    <w:p w14:paraId="2009DD2B" w14:textId="2996CACA" w:rsidR="00B06163" w:rsidRDefault="0047318A" w:rsidP="00040E7F">
      <w:pPr>
        <w:pStyle w:val="Body-text"/>
        <w:spacing w:after="240"/>
        <w:ind w:firstLineChars="200" w:firstLine="460"/>
        <w:rPr>
          <w:sz w:val="23"/>
          <w:szCs w:val="23"/>
          <w:lang w:eastAsia="zh-CN"/>
        </w:rPr>
      </w:pPr>
      <w:r>
        <w:rPr>
          <w:rFonts w:hint="eastAsia"/>
          <w:sz w:val="23"/>
          <w:szCs w:val="23"/>
          <w:lang w:eastAsia="zh-CN"/>
        </w:rPr>
        <w:t>本周</w:t>
      </w:r>
      <w:r>
        <w:rPr>
          <w:rFonts w:hint="eastAsia"/>
          <w:sz w:val="23"/>
          <w:szCs w:val="23"/>
          <w:lang w:eastAsia="zh-CN"/>
        </w:rPr>
        <w:t>7</w:t>
      </w:r>
      <w:r>
        <w:rPr>
          <w:rFonts w:hint="eastAsia"/>
          <w:sz w:val="23"/>
          <w:szCs w:val="23"/>
          <w:lang w:eastAsia="zh-CN"/>
        </w:rPr>
        <w:t>月</w:t>
      </w:r>
      <w:r w:rsidR="00040E7F">
        <w:rPr>
          <w:sz w:val="23"/>
          <w:szCs w:val="23"/>
          <w:lang w:eastAsia="zh-CN"/>
        </w:rPr>
        <w:t>30</w:t>
      </w:r>
      <w:r>
        <w:rPr>
          <w:rFonts w:hint="eastAsia"/>
          <w:sz w:val="23"/>
          <w:szCs w:val="23"/>
          <w:lang w:eastAsia="zh-CN"/>
        </w:rPr>
        <w:t>日</w:t>
      </w:r>
      <w:r>
        <w:rPr>
          <w:sz w:val="23"/>
          <w:szCs w:val="23"/>
          <w:lang w:eastAsia="zh-CN"/>
        </w:rPr>
        <w:t>，</w:t>
      </w:r>
      <w:r w:rsidR="00040E7F">
        <w:rPr>
          <w:rFonts w:hint="eastAsia"/>
          <w:sz w:val="23"/>
          <w:szCs w:val="23"/>
          <w:lang w:eastAsia="zh-CN"/>
        </w:rPr>
        <w:t>政治局会议公报发布，我们关注的主要有三个方面：（</w:t>
      </w:r>
      <w:r w:rsidR="00040E7F">
        <w:rPr>
          <w:rFonts w:hint="eastAsia"/>
          <w:sz w:val="23"/>
          <w:szCs w:val="23"/>
          <w:lang w:eastAsia="zh-CN"/>
        </w:rPr>
        <w:t>1</w:t>
      </w:r>
      <w:r w:rsidR="00040E7F">
        <w:rPr>
          <w:rFonts w:hint="eastAsia"/>
          <w:sz w:val="23"/>
          <w:szCs w:val="23"/>
          <w:lang w:eastAsia="zh-CN"/>
        </w:rPr>
        <w:t>）对二季度经济成果的判断：政策</w:t>
      </w:r>
      <w:r w:rsidR="000117D9">
        <w:rPr>
          <w:rFonts w:hint="eastAsia"/>
          <w:sz w:val="23"/>
          <w:szCs w:val="23"/>
          <w:lang w:eastAsia="zh-CN"/>
        </w:rPr>
        <w:t>当局</w:t>
      </w:r>
      <w:r w:rsidR="00040E7F">
        <w:rPr>
          <w:rFonts w:hint="eastAsia"/>
          <w:sz w:val="23"/>
          <w:szCs w:val="23"/>
          <w:lang w:eastAsia="zh-CN"/>
        </w:rPr>
        <w:t>认为目前</w:t>
      </w:r>
      <w:r w:rsidR="00040E7F" w:rsidRPr="00040E7F">
        <w:rPr>
          <w:rFonts w:hint="eastAsia"/>
          <w:sz w:val="23"/>
          <w:szCs w:val="23"/>
          <w:lang w:eastAsia="zh-CN"/>
        </w:rPr>
        <w:t>经济稳步恢复，复工复产逐月好转，二季度经济增长明显好于预期</w:t>
      </w:r>
      <w:r w:rsidR="00040E7F">
        <w:rPr>
          <w:rFonts w:hint="eastAsia"/>
          <w:sz w:val="23"/>
          <w:szCs w:val="23"/>
          <w:lang w:eastAsia="zh-CN"/>
        </w:rPr>
        <w:t>。</w:t>
      </w:r>
      <w:r w:rsidR="000117D9">
        <w:rPr>
          <w:rFonts w:hint="eastAsia"/>
          <w:sz w:val="23"/>
          <w:szCs w:val="23"/>
          <w:lang w:eastAsia="zh-CN"/>
        </w:rPr>
        <w:t>（</w:t>
      </w:r>
      <w:r w:rsidR="000117D9">
        <w:rPr>
          <w:rFonts w:hint="eastAsia"/>
          <w:sz w:val="23"/>
          <w:szCs w:val="23"/>
          <w:lang w:eastAsia="zh-CN"/>
        </w:rPr>
        <w:t>2</w:t>
      </w:r>
      <w:r w:rsidR="000117D9">
        <w:rPr>
          <w:rFonts w:hint="eastAsia"/>
          <w:sz w:val="23"/>
          <w:szCs w:val="23"/>
          <w:lang w:eastAsia="zh-CN"/>
        </w:rPr>
        <w:t>）</w:t>
      </w:r>
      <w:r w:rsidR="00040E7F">
        <w:rPr>
          <w:rFonts w:hint="eastAsia"/>
          <w:sz w:val="23"/>
          <w:szCs w:val="23"/>
          <w:lang w:eastAsia="zh-CN"/>
        </w:rPr>
        <w:t>政策应对上</w:t>
      </w:r>
      <w:r w:rsidR="000117D9">
        <w:rPr>
          <w:rFonts w:hint="eastAsia"/>
          <w:sz w:val="23"/>
          <w:szCs w:val="23"/>
          <w:lang w:eastAsia="zh-CN"/>
        </w:rPr>
        <w:t>：</w:t>
      </w:r>
      <w:r w:rsidR="00040E7F" w:rsidRPr="00040E7F">
        <w:rPr>
          <w:rFonts w:hint="eastAsia"/>
          <w:sz w:val="23"/>
          <w:szCs w:val="23"/>
          <w:lang w:eastAsia="zh-CN"/>
        </w:rPr>
        <w:t>稳健的货币政策要更加灵活适度，引导贷款市场利率下行，保持流动性合理充裕。要充分发挥再贷款再贴现、贷款延期还本付息等金融政策的牵引带动作用，疏通传导机制，缓解融资难融资贵，为疫情防控、复工复产和实体经济发展提供精准金融服务。积极的财政政策要更加积极有为，适当提高财政赤字率，发行特别国债，增加地方政府专项债券规模，要落实好各项减税降费政策，加快地方政府专项债发行和使用，加紧做好重点项目前期准备和建设工作。</w:t>
      </w:r>
      <w:r w:rsidR="000117D9">
        <w:rPr>
          <w:rFonts w:hint="eastAsia"/>
          <w:sz w:val="23"/>
          <w:szCs w:val="23"/>
          <w:lang w:eastAsia="zh-CN"/>
        </w:rPr>
        <w:t>（</w:t>
      </w:r>
      <w:r w:rsidR="000117D9">
        <w:rPr>
          <w:rFonts w:hint="eastAsia"/>
          <w:sz w:val="23"/>
          <w:szCs w:val="23"/>
          <w:lang w:eastAsia="zh-CN"/>
        </w:rPr>
        <w:t>3</w:t>
      </w:r>
      <w:r w:rsidR="000117D9">
        <w:rPr>
          <w:rFonts w:hint="eastAsia"/>
          <w:sz w:val="23"/>
          <w:szCs w:val="23"/>
          <w:lang w:eastAsia="zh-CN"/>
        </w:rPr>
        <w:t>）房地产和资本市场：</w:t>
      </w:r>
      <w:r w:rsidR="000117D9" w:rsidRPr="000117D9">
        <w:rPr>
          <w:rFonts w:hint="eastAsia"/>
          <w:sz w:val="23"/>
          <w:szCs w:val="23"/>
          <w:lang w:eastAsia="zh-CN"/>
        </w:rPr>
        <w:t>推进资本市场基础制度建设，依法从严打击证券违法活动，促进资本市场平稳健康发展</w:t>
      </w:r>
      <w:r w:rsidR="000117D9">
        <w:rPr>
          <w:rFonts w:hint="eastAsia"/>
          <w:sz w:val="23"/>
          <w:szCs w:val="23"/>
          <w:lang w:eastAsia="zh-CN"/>
        </w:rPr>
        <w:t>；</w:t>
      </w:r>
      <w:r w:rsidR="000117D9" w:rsidRPr="000117D9">
        <w:rPr>
          <w:rFonts w:hint="eastAsia"/>
          <w:sz w:val="23"/>
          <w:szCs w:val="23"/>
          <w:lang w:eastAsia="zh-CN"/>
        </w:rPr>
        <w:t>要坚持房子是用来住的、不是用来炒的定位，促进房地产市场平稳健康发展。</w:t>
      </w:r>
    </w:p>
    <w:p w14:paraId="18EE8259" w14:textId="2E6C50A1" w:rsidR="000117D9" w:rsidRDefault="000117D9" w:rsidP="00040E7F">
      <w:pPr>
        <w:pStyle w:val="Body-text"/>
        <w:spacing w:after="240"/>
        <w:ind w:firstLineChars="200" w:firstLine="460"/>
        <w:rPr>
          <w:sz w:val="23"/>
          <w:szCs w:val="23"/>
          <w:lang w:eastAsia="zh-CN"/>
        </w:rPr>
      </w:pPr>
      <w:r>
        <w:rPr>
          <w:rFonts w:hint="eastAsia"/>
          <w:sz w:val="23"/>
          <w:szCs w:val="23"/>
          <w:lang w:eastAsia="zh-CN"/>
        </w:rPr>
        <w:t>二季度在世界主要经济体增速同比断崖下跌的背景下，我国仍维持正增长实属不易，这显示了经济的韧性，也体现了货币和财政对</w:t>
      </w:r>
      <w:proofErr w:type="gramStart"/>
      <w:r>
        <w:rPr>
          <w:rFonts w:hint="eastAsia"/>
          <w:sz w:val="23"/>
          <w:szCs w:val="23"/>
          <w:lang w:eastAsia="zh-CN"/>
        </w:rPr>
        <w:t>冲政策</w:t>
      </w:r>
      <w:proofErr w:type="gramEnd"/>
      <w:r>
        <w:rPr>
          <w:rFonts w:hint="eastAsia"/>
          <w:sz w:val="23"/>
          <w:szCs w:val="23"/>
          <w:lang w:eastAsia="zh-CN"/>
        </w:rPr>
        <w:t>的显著效果。接下来的一个阶段政策应对上强调货币政策更加灵活适度和精准性，这</w:t>
      </w:r>
      <w:r w:rsidR="00B17EC7">
        <w:rPr>
          <w:rFonts w:hint="eastAsia"/>
          <w:sz w:val="23"/>
          <w:szCs w:val="23"/>
          <w:lang w:eastAsia="zh-CN"/>
        </w:rPr>
        <w:t>表</w:t>
      </w:r>
      <w:r>
        <w:rPr>
          <w:rFonts w:hint="eastAsia"/>
          <w:sz w:val="23"/>
          <w:szCs w:val="23"/>
          <w:lang w:eastAsia="zh-CN"/>
        </w:rPr>
        <w:t>明货币政策虽然不会立即收紧，但是上半年极度宽松的流动性投放已经略有调整，边际变化需要注意。在对实体经济的拉动上，维持更加强调财政政策的基调，财政支出加快使用是否能提升经济恢复的速度</w:t>
      </w:r>
      <w:r w:rsidR="00B17EC7">
        <w:rPr>
          <w:rFonts w:hint="eastAsia"/>
          <w:sz w:val="23"/>
          <w:szCs w:val="23"/>
          <w:lang w:eastAsia="zh-CN"/>
        </w:rPr>
        <w:t>也</w:t>
      </w:r>
      <w:r>
        <w:rPr>
          <w:rFonts w:hint="eastAsia"/>
          <w:sz w:val="23"/>
          <w:szCs w:val="23"/>
          <w:lang w:eastAsia="zh-CN"/>
        </w:rPr>
        <w:t>值得关注。此外，上半年在宽松流动性的背景下，商品房销售成交数据快速反弹，部分地区房价上涨</w:t>
      </w:r>
      <w:r w:rsidR="00B17EC7">
        <w:rPr>
          <w:rFonts w:hint="eastAsia"/>
          <w:sz w:val="23"/>
          <w:szCs w:val="23"/>
          <w:lang w:eastAsia="zh-CN"/>
        </w:rPr>
        <w:t>引起社会关注。从公报来看，政策依然保持打压地产、遏制偏热的思路，地产下半年料难以大幅回升，经济驱动更关注制造业和基建，以及居民消费的修复。</w:t>
      </w:r>
    </w:p>
    <w:p w14:paraId="2927E249" w14:textId="05BC3397" w:rsidR="00B17EC7" w:rsidRDefault="00B17EC7" w:rsidP="00EF0F1A">
      <w:pPr>
        <w:pStyle w:val="Body-text"/>
        <w:spacing w:after="240"/>
        <w:ind w:firstLineChars="200" w:firstLine="460"/>
        <w:rPr>
          <w:sz w:val="23"/>
          <w:szCs w:val="23"/>
          <w:lang w:eastAsia="zh-CN"/>
        </w:rPr>
      </w:pPr>
      <w:r>
        <w:rPr>
          <w:rFonts w:hint="eastAsia"/>
          <w:sz w:val="23"/>
          <w:szCs w:val="23"/>
          <w:lang w:eastAsia="zh-CN"/>
        </w:rPr>
        <w:t>公报基本确定了下半年的政策基调，即货币不会立即收紧，财政支出力度要加快，基建将持续拉动，地产保持相对稳定态势。经济的回升速度更多地依赖于制造业恢复速度，居民消费修复程度。从</w:t>
      </w:r>
      <w:r w:rsidR="00724B75">
        <w:rPr>
          <w:rFonts w:hint="eastAsia"/>
          <w:sz w:val="23"/>
          <w:szCs w:val="23"/>
          <w:lang w:eastAsia="zh-CN"/>
        </w:rPr>
        <w:t>经济和高频</w:t>
      </w:r>
      <w:r>
        <w:rPr>
          <w:rFonts w:hint="eastAsia"/>
          <w:sz w:val="23"/>
          <w:szCs w:val="23"/>
          <w:lang w:eastAsia="zh-CN"/>
        </w:rPr>
        <w:t>数据来看，</w:t>
      </w:r>
      <w:r w:rsidR="00724B75">
        <w:rPr>
          <w:rFonts w:hint="eastAsia"/>
          <w:sz w:val="23"/>
          <w:szCs w:val="23"/>
          <w:lang w:eastAsia="zh-CN"/>
        </w:rPr>
        <w:t>大部分行业的集中补库还没有出现，一些行业在完成被动去之后生产快于需求甚至出现了再次被动补，周期上整体经济仍在低位徘徊。如果没有强力的政策刺激和需求拉动，短期难以见到经济从被动去到主动补的切换。经济短期难以见到大幅好转，温和修复及</w:t>
      </w:r>
      <w:r w:rsidR="00A16FDF">
        <w:rPr>
          <w:rFonts w:hint="eastAsia"/>
          <w:sz w:val="23"/>
          <w:szCs w:val="23"/>
          <w:lang w:eastAsia="zh-CN"/>
        </w:rPr>
        <w:t>阶段</w:t>
      </w:r>
      <w:r w:rsidR="00724B75">
        <w:rPr>
          <w:rFonts w:hint="eastAsia"/>
          <w:sz w:val="23"/>
          <w:szCs w:val="23"/>
          <w:lang w:eastAsia="zh-CN"/>
        </w:rPr>
        <w:t>反复是大概率事件。</w:t>
      </w:r>
    </w:p>
    <w:p w14:paraId="5BC14182" w14:textId="0D9D36D5" w:rsidR="00724B75" w:rsidRDefault="008E4F23" w:rsidP="005C6C18">
      <w:pPr>
        <w:pStyle w:val="Body-text"/>
        <w:spacing w:after="240"/>
        <w:ind w:firstLine="480"/>
        <w:rPr>
          <w:sz w:val="23"/>
          <w:szCs w:val="23"/>
          <w:lang w:eastAsia="zh-CN"/>
        </w:rPr>
      </w:pPr>
      <w:r>
        <w:rPr>
          <w:rFonts w:hint="eastAsia"/>
          <w:sz w:val="23"/>
          <w:szCs w:val="23"/>
          <w:lang w:eastAsia="zh-CN"/>
        </w:rPr>
        <w:t>对于债市，</w:t>
      </w:r>
      <w:r w:rsidR="00EF0F1A">
        <w:rPr>
          <w:rFonts w:hint="eastAsia"/>
          <w:sz w:val="23"/>
          <w:szCs w:val="23"/>
          <w:lang w:eastAsia="zh-CN"/>
        </w:rPr>
        <w:t>我们仍然维持前期观点。</w:t>
      </w:r>
      <w:r w:rsidR="00724B75">
        <w:rPr>
          <w:rFonts w:hint="eastAsia"/>
          <w:sz w:val="23"/>
          <w:szCs w:val="23"/>
          <w:lang w:eastAsia="zh-CN"/>
        </w:rPr>
        <w:t>在经济数据环比改善、货币政策微调的背景下，债市调整如期而至。</w:t>
      </w:r>
      <w:r w:rsidR="00C436F5">
        <w:rPr>
          <w:rFonts w:hint="eastAsia"/>
          <w:sz w:val="23"/>
          <w:szCs w:val="23"/>
          <w:lang w:eastAsia="zh-CN"/>
        </w:rPr>
        <w:t>然而，经济短期难以大幅向好，温和修复及不断反复的判断下，债券市场整体将会体现为宽幅震荡。央行不调整公开市场基准利率的情况下，收益率的下</w:t>
      </w:r>
      <w:r w:rsidR="00A16FDF">
        <w:rPr>
          <w:rFonts w:hint="eastAsia"/>
          <w:sz w:val="23"/>
          <w:szCs w:val="23"/>
          <w:lang w:eastAsia="zh-CN"/>
        </w:rPr>
        <w:t>限</w:t>
      </w:r>
      <w:r w:rsidR="00C436F5">
        <w:rPr>
          <w:rFonts w:hint="eastAsia"/>
          <w:sz w:val="23"/>
          <w:szCs w:val="23"/>
          <w:lang w:eastAsia="zh-CN"/>
        </w:rPr>
        <w:t>明确，市场博弈的将是经济预期及政策节奏，体现在收益率曲线上就是</w:t>
      </w:r>
      <w:proofErr w:type="gramStart"/>
      <w:r w:rsidR="00C436F5">
        <w:rPr>
          <w:rFonts w:hint="eastAsia"/>
          <w:sz w:val="23"/>
          <w:szCs w:val="23"/>
          <w:lang w:eastAsia="zh-CN"/>
        </w:rPr>
        <w:t>陡</w:t>
      </w:r>
      <w:proofErr w:type="gramEnd"/>
      <w:r w:rsidR="00C436F5">
        <w:rPr>
          <w:rFonts w:hint="eastAsia"/>
          <w:sz w:val="23"/>
          <w:szCs w:val="23"/>
          <w:lang w:eastAsia="zh-CN"/>
        </w:rPr>
        <w:t>和平的交替。当然，不排除在外部冲击尤其是中美摩擦日益加剧的情况下，经济数据阶段走弱及金融市场受到冲击时央行再次对冲。接下来，我们会重点关注高频数据及风险资产的表现对债券市场的影响，参与阶段性的交易机会。</w:t>
      </w:r>
    </w:p>
    <w:p w14:paraId="3DA4DF44" w14:textId="115B9902" w:rsidR="00A56A98" w:rsidRDefault="00A56A98" w:rsidP="005C6C18">
      <w:pPr>
        <w:pStyle w:val="Body-text"/>
        <w:spacing w:after="240"/>
        <w:ind w:firstLine="480"/>
        <w:rPr>
          <w:sz w:val="23"/>
          <w:szCs w:val="23"/>
          <w:lang w:eastAsia="zh-CN"/>
        </w:rPr>
      </w:pPr>
    </w:p>
    <w:p w14:paraId="7EEDEF05" w14:textId="34184DA3" w:rsidR="00E0626C" w:rsidRDefault="005E5CB1" w:rsidP="009A2BA0">
      <w:pPr>
        <w:pStyle w:val="Header1"/>
        <w:spacing w:before="240"/>
        <w:rPr>
          <w:color w:val="C45911" w:themeColor="accent2" w:themeShade="BF"/>
        </w:rPr>
      </w:pPr>
      <w:r>
        <w:rPr>
          <w:rFonts w:hint="eastAsia"/>
          <w:color w:val="C45911" w:themeColor="accent2" w:themeShade="BF"/>
        </w:rPr>
        <w:lastRenderedPageBreak/>
        <w:t>二</w:t>
      </w:r>
      <w:r w:rsidR="00E0626C" w:rsidRPr="004C5268">
        <w:rPr>
          <w:rFonts w:hint="eastAsia"/>
          <w:color w:val="C45911" w:themeColor="accent2" w:themeShade="BF"/>
        </w:rPr>
        <w:t>、</w:t>
      </w:r>
      <w:r w:rsidR="00E0626C">
        <w:rPr>
          <w:rFonts w:hint="eastAsia"/>
          <w:color w:val="C45911" w:themeColor="accent2" w:themeShade="BF"/>
        </w:rPr>
        <w:t>上周市场回顾</w:t>
      </w:r>
    </w:p>
    <w:p w14:paraId="08F77D38" w14:textId="58EA1DC1" w:rsidR="00E0626C" w:rsidRPr="00945073" w:rsidRDefault="00E0626C" w:rsidP="009A2BA0">
      <w:pPr>
        <w:pStyle w:val="Header2"/>
        <w:rPr>
          <w:rFonts w:eastAsia="PMingLiU"/>
          <w:sz w:val="28"/>
          <w:szCs w:val="21"/>
          <w:lang w:eastAsia="zh-CN"/>
        </w:rPr>
      </w:pPr>
      <w:r>
        <w:rPr>
          <w:rFonts w:hint="eastAsia"/>
          <w:sz w:val="28"/>
          <w:szCs w:val="21"/>
          <w:lang w:eastAsia="zh-CN"/>
        </w:rPr>
        <w:t>1</w:t>
      </w:r>
      <w:r>
        <w:rPr>
          <w:rFonts w:hint="eastAsia"/>
          <w:sz w:val="28"/>
          <w:szCs w:val="21"/>
          <w:lang w:eastAsia="zh-CN"/>
        </w:rPr>
        <w:t>、</w:t>
      </w:r>
      <w:r>
        <w:rPr>
          <w:rFonts w:hint="eastAsia"/>
          <w:sz w:val="28"/>
          <w:szCs w:val="21"/>
        </w:rPr>
        <w:t>资金面</w:t>
      </w:r>
    </w:p>
    <w:p w14:paraId="5B44DCF6" w14:textId="3F7DA65E" w:rsidR="00EA1459" w:rsidRPr="00EA1459" w:rsidRDefault="008628FA" w:rsidP="00EC3415">
      <w:pPr>
        <w:pStyle w:val="Body-text"/>
        <w:spacing w:after="240"/>
        <w:ind w:firstLineChars="200" w:firstLine="480"/>
        <w:rPr>
          <w:rFonts w:ascii="华文楷体" w:hAnsi="华文楷体"/>
          <w:sz w:val="24"/>
          <w:szCs w:val="24"/>
          <w:lang w:eastAsia="zh-CN"/>
        </w:rPr>
      </w:pPr>
      <w:r>
        <w:rPr>
          <w:rFonts w:ascii="华文楷体" w:hAnsi="华文楷体" w:hint="eastAsia"/>
          <w:sz w:val="24"/>
          <w:szCs w:val="24"/>
          <w:lang w:eastAsia="zh-CN"/>
        </w:rPr>
        <w:t>本周</w:t>
      </w:r>
      <w:r w:rsidR="00EC3415">
        <w:rPr>
          <w:rFonts w:ascii="华文楷体" w:hAnsi="华文楷体" w:hint="eastAsia"/>
          <w:sz w:val="24"/>
          <w:szCs w:val="24"/>
          <w:lang w:eastAsia="zh-CN"/>
        </w:rPr>
        <w:t>央行公开市场</w:t>
      </w:r>
      <w:r w:rsidR="00D9413F">
        <w:rPr>
          <w:rFonts w:ascii="华文楷体" w:hAnsi="华文楷体" w:hint="eastAsia"/>
          <w:sz w:val="24"/>
          <w:szCs w:val="24"/>
          <w:lang w:eastAsia="zh-CN"/>
        </w:rPr>
        <w:t>操作</w:t>
      </w:r>
      <w:r w:rsidR="002C4ACD">
        <w:rPr>
          <w:rFonts w:ascii="华文楷体" w:hAnsi="华文楷体" w:hint="eastAsia"/>
          <w:sz w:val="24"/>
          <w:szCs w:val="24"/>
          <w:lang w:eastAsia="zh-CN"/>
        </w:rPr>
        <w:t>净</w:t>
      </w:r>
      <w:r w:rsidR="003C1F37">
        <w:rPr>
          <w:rFonts w:ascii="华文楷体" w:hAnsi="华文楷体" w:hint="eastAsia"/>
          <w:sz w:val="24"/>
          <w:szCs w:val="24"/>
          <w:lang w:eastAsia="zh-CN"/>
        </w:rPr>
        <w:t>投放1</w:t>
      </w:r>
      <w:r w:rsidR="003C1F37">
        <w:rPr>
          <w:rFonts w:ascii="华文楷体" w:hAnsi="华文楷体"/>
          <w:sz w:val="24"/>
          <w:szCs w:val="24"/>
          <w:lang w:eastAsia="zh-CN"/>
        </w:rPr>
        <w:t>200</w:t>
      </w:r>
      <w:r w:rsidR="002C4ACD">
        <w:rPr>
          <w:rFonts w:ascii="华文楷体" w:hAnsi="华文楷体" w:hint="eastAsia"/>
          <w:sz w:val="24"/>
          <w:szCs w:val="24"/>
          <w:lang w:eastAsia="zh-CN"/>
        </w:rPr>
        <w:t>亿</w:t>
      </w:r>
      <w:r w:rsidR="00200AFA">
        <w:rPr>
          <w:rFonts w:ascii="华文楷体" w:hAnsi="华文楷体" w:hint="eastAsia"/>
          <w:sz w:val="24"/>
          <w:szCs w:val="24"/>
          <w:lang w:eastAsia="zh-CN"/>
        </w:rPr>
        <w:t>,其中</w:t>
      </w:r>
      <w:r w:rsidR="003C1F37">
        <w:rPr>
          <w:rFonts w:ascii="华文楷体" w:hAnsi="华文楷体" w:hint="eastAsia"/>
          <w:sz w:val="24"/>
          <w:szCs w:val="24"/>
          <w:lang w:eastAsia="zh-CN"/>
        </w:rPr>
        <w:t>逆回购</w:t>
      </w:r>
      <w:r w:rsidR="00292C0B">
        <w:rPr>
          <w:rFonts w:ascii="华文楷体" w:hAnsi="华文楷体" w:hint="eastAsia"/>
          <w:sz w:val="24"/>
          <w:szCs w:val="24"/>
          <w:lang w:eastAsia="zh-CN"/>
        </w:rPr>
        <w:t>合计</w:t>
      </w:r>
      <w:r w:rsidR="00054072">
        <w:rPr>
          <w:rFonts w:ascii="华文楷体" w:hAnsi="华文楷体" w:hint="eastAsia"/>
          <w:sz w:val="24"/>
          <w:szCs w:val="24"/>
          <w:lang w:eastAsia="zh-CN"/>
        </w:rPr>
        <w:t>到期</w:t>
      </w:r>
      <w:r w:rsidR="003C1F37">
        <w:rPr>
          <w:rFonts w:ascii="华文楷体" w:hAnsi="华文楷体"/>
          <w:sz w:val="24"/>
          <w:szCs w:val="24"/>
          <w:lang w:eastAsia="zh-CN"/>
        </w:rPr>
        <w:t>1600</w:t>
      </w:r>
      <w:r w:rsidR="00054072">
        <w:rPr>
          <w:rFonts w:ascii="华文楷体" w:hAnsi="华文楷体" w:hint="eastAsia"/>
          <w:sz w:val="24"/>
          <w:szCs w:val="24"/>
          <w:lang w:eastAsia="zh-CN"/>
        </w:rPr>
        <w:t>亿</w:t>
      </w:r>
      <w:r w:rsidR="003C1F37">
        <w:rPr>
          <w:rFonts w:ascii="华文楷体" w:hAnsi="华文楷体" w:hint="eastAsia"/>
          <w:sz w:val="24"/>
          <w:szCs w:val="24"/>
          <w:lang w:eastAsia="zh-CN"/>
        </w:rPr>
        <w:t>，逆回购投放2</w:t>
      </w:r>
      <w:r w:rsidR="003C1F37">
        <w:rPr>
          <w:rFonts w:ascii="华文楷体" w:hAnsi="华文楷体"/>
          <w:sz w:val="24"/>
          <w:szCs w:val="24"/>
          <w:lang w:eastAsia="zh-CN"/>
        </w:rPr>
        <w:t>800</w:t>
      </w:r>
      <w:r w:rsidR="003C1F37">
        <w:rPr>
          <w:rFonts w:ascii="华文楷体" w:hAnsi="华文楷体" w:hint="eastAsia"/>
          <w:sz w:val="24"/>
          <w:szCs w:val="24"/>
          <w:lang w:eastAsia="zh-CN"/>
        </w:rPr>
        <w:t>亿</w:t>
      </w:r>
      <w:r w:rsidR="00054072">
        <w:rPr>
          <w:rFonts w:ascii="华文楷体" w:hAnsi="华文楷体" w:hint="eastAsia"/>
          <w:sz w:val="24"/>
          <w:szCs w:val="24"/>
          <w:lang w:eastAsia="zh-CN"/>
        </w:rPr>
        <w:t>。</w:t>
      </w:r>
      <w:r w:rsidR="00854190">
        <w:rPr>
          <w:rFonts w:ascii="华文楷体" w:hAnsi="华文楷体" w:hint="eastAsia"/>
          <w:sz w:val="24"/>
          <w:szCs w:val="24"/>
          <w:lang w:eastAsia="zh-CN"/>
        </w:rPr>
        <w:t>本周</w:t>
      </w:r>
      <w:r w:rsidR="00DC4A12">
        <w:rPr>
          <w:rFonts w:ascii="华文楷体" w:hAnsi="华文楷体" w:hint="eastAsia"/>
          <w:sz w:val="24"/>
          <w:szCs w:val="24"/>
          <w:lang w:eastAsia="zh-CN"/>
        </w:rPr>
        <w:t>资金</w:t>
      </w:r>
      <w:r w:rsidR="00B30DBF">
        <w:rPr>
          <w:rFonts w:ascii="华文楷体" w:hAnsi="华文楷体" w:hint="eastAsia"/>
          <w:sz w:val="24"/>
          <w:szCs w:val="24"/>
          <w:lang w:eastAsia="zh-CN"/>
        </w:rPr>
        <w:t>利率</w:t>
      </w:r>
      <w:r w:rsidR="00292C0B">
        <w:rPr>
          <w:rFonts w:ascii="华文楷体" w:hAnsi="华文楷体" w:hint="eastAsia"/>
          <w:sz w:val="24"/>
          <w:szCs w:val="24"/>
          <w:lang w:eastAsia="zh-CN"/>
        </w:rPr>
        <w:t>震荡</w:t>
      </w:r>
      <w:r w:rsidR="00D9413F">
        <w:rPr>
          <w:rFonts w:ascii="华文楷体" w:hAnsi="华文楷体" w:hint="eastAsia"/>
          <w:sz w:val="24"/>
          <w:szCs w:val="24"/>
          <w:lang w:eastAsia="zh-CN"/>
        </w:rPr>
        <w:t>。</w:t>
      </w:r>
      <w:r w:rsidR="00200AFA">
        <w:rPr>
          <w:rFonts w:ascii="华文楷体" w:hAnsi="华文楷体" w:hint="eastAsia"/>
          <w:sz w:val="24"/>
          <w:szCs w:val="24"/>
          <w:lang w:eastAsia="zh-CN"/>
        </w:rPr>
        <w:t>周</w:t>
      </w:r>
      <w:r w:rsidR="00EC3415">
        <w:rPr>
          <w:rFonts w:ascii="华文楷体" w:hAnsi="华文楷体" w:hint="eastAsia"/>
          <w:sz w:val="24"/>
          <w:szCs w:val="24"/>
          <w:lang w:eastAsia="zh-CN"/>
        </w:rPr>
        <w:t>隔夜</w:t>
      </w:r>
      <w:r w:rsidR="00200AFA">
        <w:rPr>
          <w:rFonts w:ascii="华文楷体" w:hAnsi="华文楷体" w:hint="eastAsia"/>
          <w:sz w:val="24"/>
          <w:szCs w:val="24"/>
          <w:lang w:eastAsia="zh-CN"/>
        </w:rPr>
        <w:t>加权</w:t>
      </w:r>
      <w:r w:rsidR="00D9413F">
        <w:rPr>
          <w:rFonts w:ascii="华文楷体" w:hAnsi="华文楷体" w:hint="eastAsia"/>
          <w:sz w:val="24"/>
          <w:szCs w:val="24"/>
          <w:lang w:eastAsia="zh-CN"/>
        </w:rPr>
        <w:t>较上周</w:t>
      </w:r>
      <w:r w:rsidR="00292C0B">
        <w:rPr>
          <w:rFonts w:ascii="华文楷体" w:hAnsi="华文楷体" w:hint="eastAsia"/>
          <w:sz w:val="24"/>
          <w:szCs w:val="24"/>
          <w:lang w:eastAsia="zh-CN"/>
        </w:rPr>
        <w:t>下</w:t>
      </w:r>
      <w:r w:rsidR="00D9413F">
        <w:rPr>
          <w:rFonts w:ascii="华文楷体" w:hAnsi="华文楷体" w:hint="eastAsia"/>
          <w:sz w:val="24"/>
          <w:szCs w:val="24"/>
          <w:lang w:eastAsia="zh-CN"/>
        </w:rPr>
        <w:t>行</w:t>
      </w:r>
      <w:r w:rsidR="003C1F37">
        <w:rPr>
          <w:rFonts w:ascii="华文楷体" w:hAnsi="华文楷体"/>
          <w:sz w:val="24"/>
          <w:szCs w:val="24"/>
          <w:lang w:eastAsia="zh-CN"/>
        </w:rPr>
        <w:t>2</w:t>
      </w:r>
      <w:r w:rsidR="00D9413F">
        <w:rPr>
          <w:rFonts w:ascii="华文楷体" w:hAnsi="华文楷体" w:hint="eastAsia"/>
          <w:sz w:val="24"/>
          <w:szCs w:val="24"/>
          <w:lang w:eastAsia="zh-CN"/>
        </w:rPr>
        <w:t>BP至</w:t>
      </w:r>
      <w:r w:rsidR="00292C0B">
        <w:rPr>
          <w:rFonts w:ascii="华文楷体" w:hAnsi="华文楷体" w:hint="eastAsia"/>
          <w:sz w:val="24"/>
          <w:szCs w:val="24"/>
          <w:lang w:eastAsia="zh-CN"/>
        </w:rPr>
        <w:t>1.7</w:t>
      </w:r>
      <w:r w:rsidR="003C1F37">
        <w:rPr>
          <w:rFonts w:ascii="华文楷体" w:hAnsi="华文楷体"/>
          <w:sz w:val="24"/>
          <w:szCs w:val="24"/>
          <w:lang w:eastAsia="zh-CN"/>
        </w:rPr>
        <w:t>2</w:t>
      </w:r>
      <w:r w:rsidR="00D9413F">
        <w:rPr>
          <w:rFonts w:ascii="华文楷体" w:hAnsi="华文楷体" w:hint="eastAsia"/>
          <w:sz w:val="24"/>
          <w:szCs w:val="24"/>
          <w:lang w:eastAsia="zh-CN"/>
        </w:rPr>
        <w:t>%，</w:t>
      </w:r>
      <w:r w:rsidR="00EC3415">
        <w:rPr>
          <w:rFonts w:ascii="华文楷体" w:hAnsi="华文楷体" w:hint="eastAsia"/>
          <w:sz w:val="24"/>
          <w:szCs w:val="24"/>
          <w:lang w:eastAsia="zh-CN"/>
        </w:rPr>
        <w:t>7天</w:t>
      </w:r>
      <w:r w:rsidR="00D9413F">
        <w:rPr>
          <w:rFonts w:ascii="华文楷体" w:hAnsi="华文楷体" w:hint="eastAsia"/>
          <w:sz w:val="24"/>
          <w:szCs w:val="24"/>
          <w:lang w:eastAsia="zh-CN"/>
        </w:rPr>
        <w:t>较上周</w:t>
      </w:r>
      <w:r w:rsidR="00E14CF8">
        <w:rPr>
          <w:rFonts w:ascii="华文楷体" w:hAnsi="华文楷体" w:hint="eastAsia"/>
          <w:sz w:val="24"/>
          <w:szCs w:val="24"/>
          <w:lang w:eastAsia="zh-CN"/>
        </w:rPr>
        <w:t>上</w:t>
      </w:r>
      <w:r w:rsidR="00D9413F">
        <w:rPr>
          <w:rFonts w:ascii="华文楷体" w:hAnsi="华文楷体" w:hint="eastAsia"/>
          <w:sz w:val="24"/>
          <w:szCs w:val="24"/>
          <w:lang w:eastAsia="zh-CN"/>
        </w:rPr>
        <w:t>行</w:t>
      </w:r>
      <w:r w:rsidR="003C1F37">
        <w:rPr>
          <w:rFonts w:ascii="华文楷体" w:hAnsi="华文楷体"/>
          <w:sz w:val="24"/>
          <w:szCs w:val="24"/>
          <w:lang w:eastAsia="zh-CN"/>
        </w:rPr>
        <w:t>23</w:t>
      </w:r>
      <w:r w:rsidR="00D9413F">
        <w:rPr>
          <w:rFonts w:ascii="华文楷体" w:hAnsi="华文楷体" w:hint="eastAsia"/>
          <w:sz w:val="24"/>
          <w:szCs w:val="24"/>
          <w:lang w:eastAsia="zh-CN"/>
        </w:rPr>
        <w:t>BP至</w:t>
      </w:r>
      <w:r w:rsidR="00292C0B">
        <w:rPr>
          <w:rFonts w:ascii="华文楷体" w:hAnsi="华文楷体" w:hint="eastAsia"/>
          <w:sz w:val="24"/>
          <w:szCs w:val="24"/>
          <w:lang w:eastAsia="zh-CN"/>
        </w:rPr>
        <w:t>2.</w:t>
      </w:r>
      <w:r w:rsidR="003C1F37">
        <w:rPr>
          <w:rFonts w:ascii="华文楷体" w:hAnsi="华文楷体"/>
          <w:sz w:val="24"/>
          <w:szCs w:val="24"/>
          <w:lang w:eastAsia="zh-CN"/>
        </w:rPr>
        <w:t>37</w:t>
      </w:r>
      <w:r w:rsidR="00EC3415">
        <w:rPr>
          <w:rFonts w:ascii="华文楷体" w:hAnsi="华文楷体" w:hint="eastAsia"/>
          <w:sz w:val="24"/>
          <w:szCs w:val="24"/>
          <w:lang w:eastAsia="zh-CN"/>
        </w:rPr>
        <w:t>%</w:t>
      </w:r>
      <w:r w:rsidR="0037137A">
        <w:rPr>
          <w:rFonts w:ascii="华文楷体" w:hAnsi="华文楷体" w:hint="eastAsia"/>
          <w:sz w:val="24"/>
          <w:szCs w:val="24"/>
          <w:lang w:eastAsia="zh-CN"/>
        </w:rPr>
        <w:t>，</w:t>
      </w:r>
      <w:r w:rsidR="005671F6">
        <w:rPr>
          <w:rFonts w:ascii="华文楷体" w:hAnsi="华文楷体" w:hint="eastAsia"/>
          <w:sz w:val="24"/>
          <w:szCs w:val="24"/>
          <w:lang w:eastAsia="zh-CN"/>
        </w:rPr>
        <w:t>下周</w:t>
      </w:r>
      <w:r w:rsidR="003C1F37">
        <w:rPr>
          <w:rFonts w:ascii="华文楷体" w:hAnsi="华文楷体" w:hint="eastAsia"/>
          <w:sz w:val="24"/>
          <w:szCs w:val="24"/>
          <w:lang w:eastAsia="zh-CN"/>
        </w:rPr>
        <w:t>MLF到期5</w:t>
      </w:r>
      <w:r w:rsidR="003C1F37">
        <w:rPr>
          <w:rFonts w:ascii="华文楷体" w:hAnsi="华文楷体"/>
          <w:sz w:val="24"/>
          <w:szCs w:val="24"/>
          <w:lang w:eastAsia="zh-CN"/>
        </w:rPr>
        <w:t>500</w:t>
      </w:r>
      <w:r w:rsidR="003C1F37">
        <w:rPr>
          <w:rFonts w:ascii="华文楷体" w:hAnsi="华文楷体" w:hint="eastAsia"/>
          <w:sz w:val="24"/>
          <w:szCs w:val="24"/>
          <w:lang w:eastAsia="zh-CN"/>
        </w:rPr>
        <w:t>亿，逆回购到期</w:t>
      </w:r>
      <w:r w:rsidR="00E46B36">
        <w:rPr>
          <w:rFonts w:ascii="华文楷体" w:hAnsi="华文楷体" w:hint="eastAsia"/>
          <w:sz w:val="24"/>
          <w:szCs w:val="24"/>
          <w:lang w:eastAsia="zh-CN"/>
        </w:rPr>
        <w:t>2</w:t>
      </w:r>
      <w:r w:rsidR="00E46B36">
        <w:rPr>
          <w:rFonts w:ascii="华文楷体" w:hAnsi="华文楷体"/>
          <w:sz w:val="24"/>
          <w:szCs w:val="24"/>
          <w:lang w:eastAsia="zh-CN"/>
        </w:rPr>
        <w:t>800</w:t>
      </w:r>
      <w:r w:rsidR="00E46B36">
        <w:rPr>
          <w:rFonts w:ascii="华文楷体" w:hAnsi="华文楷体" w:hint="eastAsia"/>
          <w:sz w:val="24"/>
          <w:szCs w:val="24"/>
          <w:lang w:eastAsia="zh-CN"/>
        </w:rPr>
        <w:t>亿</w:t>
      </w:r>
      <w:r w:rsidR="003545C9">
        <w:rPr>
          <w:rFonts w:ascii="华文楷体" w:hAnsi="华文楷体" w:hint="eastAsia"/>
          <w:sz w:val="24"/>
          <w:szCs w:val="24"/>
          <w:lang w:eastAsia="zh-CN"/>
        </w:rPr>
        <w:t>，</w:t>
      </w:r>
      <w:r w:rsidR="00E46B36">
        <w:rPr>
          <w:rFonts w:ascii="华文楷体" w:hAnsi="华文楷体" w:hint="eastAsia"/>
          <w:sz w:val="24"/>
          <w:szCs w:val="24"/>
          <w:lang w:eastAsia="zh-CN"/>
        </w:rPr>
        <w:t>需要关注央行续作动作。</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E0626C" w:rsidRPr="006A5F34" w14:paraId="60E58867" w14:textId="77777777" w:rsidTr="005671F6">
        <w:trPr>
          <w:jc w:val="center"/>
        </w:trPr>
        <w:tc>
          <w:tcPr>
            <w:tcW w:w="4939" w:type="dxa"/>
            <w:vAlign w:val="center"/>
          </w:tcPr>
          <w:p w14:paraId="17724E9F" w14:textId="1A5A88F2" w:rsidR="00E0626C" w:rsidRPr="006A5F34" w:rsidRDefault="00E0626C" w:rsidP="009A2BA0">
            <w:pPr>
              <w:pStyle w:val="ChartHeading"/>
              <w:jc w:val="both"/>
            </w:pPr>
            <w:bookmarkStart w:id="0" w:name="_Hlk12804578"/>
            <w:r w:rsidRPr="006A5F34">
              <w:rPr>
                <w:rFonts w:hint="eastAsia"/>
              </w:rPr>
              <w:t>图表</w:t>
            </w:r>
            <w:r w:rsidRPr="006A5F34">
              <w:t xml:space="preserve">. </w:t>
            </w:r>
            <w:r>
              <w:rPr>
                <w:rFonts w:hint="eastAsia"/>
              </w:rPr>
              <w:t>央行公开市场</w:t>
            </w:r>
            <w:r w:rsidR="00065B19">
              <w:rPr>
                <w:rFonts w:hint="eastAsia"/>
              </w:rPr>
              <w:t>逆回购</w:t>
            </w:r>
            <w:r>
              <w:rPr>
                <w:rFonts w:hint="eastAsia"/>
              </w:rPr>
              <w:t>操作</w:t>
            </w:r>
          </w:p>
        </w:tc>
        <w:tc>
          <w:tcPr>
            <w:tcW w:w="4938" w:type="dxa"/>
            <w:vAlign w:val="center"/>
          </w:tcPr>
          <w:p w14:paraId="173ED7B2" w14:textId="65A78209" w:rsidR="00E0626C" w:rsidRPr="006A5F34" w:rsidRDefault="00E0626C" w:rsidP="009A2BA0">
            <w:pPr>
              <w:pStyle w:val="ChartHeading"/>
              <w:jc w:val="both"/>
            </w:pPr>
            <w:r w:rsidRPr="006A5F34">
              <w:rPr>
                <w:rFonts w:hint="eastAsia"/>
              </w:rPr>
              <w:t>图表</w:t>
            </w:r>
            <w:r w:rsidRPr="006A5F34">
              <w:t xml:space="preserve">. </w:t>
            </w:r>
            <w:r>
              <w:rPr>
                <w:rFonts w:hint="eastAsia"/>
              </w:rPr>
              <w:t>DR</w:t>
            </w:r>
            <w:r>
              <w:t>007</w:t>
            </w:r>
            <w:r>
              <w:rPr>
                <w:rFonts w:hint="eastAsia"/>
              </w:rPr>
              <w:t>与</w:t>
            </w:r>
            <w:r>
              <w:rPr>
                <w:rFonts w:hint="eastAsia"/>
              </w:rPr>
              <w:t>R</w:t>
            </w:r>
            <w:r>
              <w:t>007</w:t>
            </w:r>
            <w:r>
              <w:rPr>
                <w:rFonts w:hint="eastAsia"/>
              </w:rPr>
              <w:t>走势</w:t>
            </w:r>
          </w:p>
        </w:tc>
      </w:tr>
      <w:tr w:rsidR="00E0626C" w:rsidRPr="006A5F34" w14:paraId="794C3731" w14:textId="77777777" w:rsidTr="003C1F37">
        <w:tblPrEx>
          <w:tblCellMar>
            <w:left w:w="108" w:type="dxa"/>
            <w:right w:w="108" w:type="dxa"/>
          </w:tblCellMar>
        </w:tblPrEx>
        <w:trPr>
          <w:jc w:val="center"/>
        </w:trPr>
        <w:tc>
          <w:tcPr>
            <w:tcW w:w="4939" w:type="dxa"/>
            <w:vAlign w:val="center"/>
          </w:tcPr>
          <w:p w14:paraId="60AEAEDC" w14:textId="4B9AD776" w:rsidR="00E0626C" w:rsidRPr="003C1F37" w:rsidRDefault="003C1F37" w:rsidP="009A2BA0">
            <w:pPr>
              <w:jc w:val="center"/>
              <w:rPr>
                <w:noProof/>
                <w:sz w:val="14"/>
                <w:szCs w:val="14"/>
              </w:rPr>
            </w:pPr>
            <w:r w:rsidRPr="003C1F37">
              <w:rPr>
                <w:noProof/>
                <w:sz w:val="14"/>
                <w:szCs w:val="14"/>
              </w:rPr>
              <w:drawing>
                <wp:inline distT="0" distB="0" distL="0" distR="0" wp14:anchorId="0E48A249" wp14:editId="7C953B5E">
                  <wp:extent cx="2999105" cy="1622425"/>
                  <wp:effectExtent l="0" t="0" r="0" b="0"/>
                  <wp:docPr id="3" name="图表 3">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a16="http://schemas.microsoft.com/office/drawing/2014/main" id="{00000000-0008-0000-0000-000003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tc>
        <w:tc>
          <w:tcPr>
            <w:tcW w:w="4938" w:type="dxa"/>
            <w:vAlign w:val="center"/>
          </w:tcPr>
          <w:p w14:paraId="287706CA" w14:textId="727AC778" w:rsidR="00E0626C" w:rsidRPr="003C1F37" w:rsidRDefault="003C1F37" w:rsidP="009A2BA0">
            <w:pPr>
              <w:jc w:val="center"/>
              <w:rPr>
                <w:noProof/>
                <w:sz w:val="18"/>
                <w:szCs w:val="15"/>
              </w:rPr>
            </w:pPr>
            <w:r>
              <w:rPr>
                <w:noProof/>
              </w:rPr>
              <w:drawing>
                <wp:inline distT="0" distB="0" distL="0" distR="0" wp14:anchorId="6B434E06" wp14:editId="04138295">
                  <wp:extent cx="2998470" cy="1622425"/>
                  <wp:effectExtent l="0" t="0" r="0" b="0"/>
                  <wp:docPr id="1" name="图表 1">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a16="http://schemas.microsoft.com/office/drawing/2014/main" id="{00000000-0008-0000-01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tc>
      </w:tr>
      <w:tr w:rsidR="00E0626C" w:rsidRPr="006A5F34" w14:paraId="59562A2C" w14:textId="77777777" w:rsidTr="005671F6">
        <w:trPr>
          <w:trHeight w:val="64"/>
          <w:jc w:val="center"/>
        </w:trPr>
        <w:tc>
          <w:tcPr>
            <w:tcW w:w="4939" w:type="dxa"/>
            <w:vAlign w:val="center"/>
          </w:tcPr>
          <w:p w14:paraId="7BEE3B66"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c>
          <w:tcPr>
            <w:tcW w:w="4938" w:type="dxa"/>
            <w:vAlign w:val="center"/>
          </w:tcPr>
          <w:p w14:paraId="7D69A7C5"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bookmarkEnd w:id="0"/>
    </w:tbl>
    <w:p w14:paraId="599CD2B1" w14:textId="77777777" w:rsidR="00E0626C" w:rsidRPr="004003D2" w:rsidRDefault="00E0626C" w:rsidP="009A2BA0">
      <w:pPr>
        <w:pStyle w:val="Body-text"/>
        <w:spacing w:after="0"/>
        <w:rPr>
          <w:lang w:eastAsia="zh-CN"/>
        </w:rPr>
      </w:pPr>
    </w:p>
    <w:p w14:paraId="704BC20A" w14:textId="65C0D621" w:rsidR="00E0626C" w:rsidRPr="00C73E5D" w:rsidRDefault="00E0626C" w:rsidP="009A2BA0">
      <w:pPr>
        <w:pStyle w:val="Header2"/>
        <w:rPr>
          <w:rFonts w:eastAsia="PMingLiU"/>
          <w:sz w:val="28"/>
          <w:szCs w:val="21"/>
        </w:rPr>
      </w:pPr>
      <w:r>
        <w:rPr>
          <w:sz w:val="28"/>
          <w:szCs w:val="21"/>
          <w:lang w:eastAsia="zh-CN"/>
        </w:rPr>
        <w:t>2</w:t>
      </w:r>
      <w:r>
        <w:rPr>
          <w:rFonts w:hint="eastAsia"/>
          <w:sz w:val="28"/>
          <w:szCs w:val="21"/>
          <w:lang w:eastAsia="zh-CN"/>
        </w:rPr>
        <w:t>、</w:t>
      </w:r>
      <w:r>
        <w:rPr>
          <w:rFonts w:hint="eastAsia"/>
          <w:sz w:val="28"/>
          <w:szCs w:val="21"/>
        </w:rPr>
        <w:t>利率债</w:t>
      </w:r>
    </w:p>
    <w:p w14:paraId="57F5B859" w14:textId="6956DFAD" w:rsidR="00D948D7" w:rsidRPr="006E06F9" w:rsidRDefault="00882FA5" w:rsidP="006E06F9">
      <w:pPr>
        <w:pStyle w:val="Body-text"/>
        <w:spacing w:after="240"/>
        <w:ind w:firstLineChars="200" w:firstLine="480"/>
        <w:rPr>
          <w:rFonts w:ascii="华文楷体" w:hAnsi="华文楷体"/>
          <w:sz w:val="24"/>
          <w:szCs w:val="24"/>
          <w:lang w:eastAsia="zh-CN"/>
        </w:rPr>
      </w:pPr>
      <w:r>
        <w:rPr>
          <w:rFonts w:ascii="华文楷体" w:hAnsi="华文楷体" w:hint="eastAsia"/>
          <w:sz w:val="24"/>
          <w:szCs w:val="24"/>
          <w:lang w:eastAsia="zh-CN"/>
        </w:rPr>
        <w:t>本周债市</w:t>
      </w:r>
      <w:r w:rsidR="005A2EBC">
        <w:rPr>
          <w:rFonts w:ascii="华文楷体" w:hAnsi="华文楷体" w:hint="eastAsia"/>
          <w:sz w:val="24"/>
          <w:szCs w:val="24"/>
          <w:lang w:eastAsia="zh-CN"/>
        </w:rPr>
        <w:t>利率</w:t>
      </w:r>
      <w:r w:rsidR="005A2EBC">
        <w:rPr>
          <w:rFonts w:ascii="华文楷体" w:hAnsi="华文楷体"/>
          <w:sz w:val="24"/>
          <w:szCs w:val="24"/>
          <w:lang w:eastAsia="zh-CN"/>
        </w:rPr>
        <w:t>债</w:t>
      </w:r>
      <w:r w:rsidR="00880460">
        <w:rPr>
          <w:rFonts w:ascii="华文楷体" w:hAnsi="华文楷体" w:hint="eastAsia"/>
          <w:sz w:val="24"/>
          <w:szCs w:val="24"/>
          <w:lang w:eastAsia="zh-CN"/>
        </w:rPr>
        <w:t>曲线</w:t>
      </w:r>
      <w:r w:rsidR="006E06F9">
        <w:rPr>
          <w:rFonts w:ascii="华文楷体" w:hAnsi="华文楷体" w:hint="eastAsia"/>
          <w:sz w:val="24"/>
          <w:szCs w:val="24"/>
          <w:lang w:eastAsia="zh-CN"/>
        </w:rPr>
        <w:t>再次走陡</w:t>
      </w:r>
      <w:r w:rsidR="006438BB">
        <w:rPr>
          <w:rFonts w:ascii="华文楷体" w:hAnsi="华文楷体" w:hint="eastAsia"/>
          <w:sz w:val="24"/>
          <w:szCs w:val="24"/>
          <w:lang w:eastAsia="zh-CN"/>
        </w:rPr>
        <w:t>。</w:t>
      </w:r>
      <w:r w:rsidR="006E06F9">
        <w:rPr>
          <w:rFonts w:ascii="华文楷体" w:hAnsi="华文楷体" w:hint="eastAsia"/>
          <w:sz w:val="24"/>
          <w:szCs w:val="24"/>
          <w:lang w:eastAsia="zh-CN"/>
        </w:rPr>
        <w:t>1y内</w:t>
      </w:r>
      <w:r w:rsidR="001F276D">
        <w:rPr>
          <w:rFonts w:ascii="华文楷体" w:hAnsi="华文楷体" w:hint="eastAsia"/>
          <w:sz w:val="24"/>
          <w:szCs w:val="24"/>
          <w:lang w:eastAsia="zh-CN"/>
        </w:rPr>
        <w:t>国债</w:t>
      </w:r>
      <w:r w:rsidR="00EF0226">
        <w:rPr>
          <w:rFonts w:ascii="华文楷体" w:hAnsi="华文楷体" w:hint="eastAsia"/>
          <w:sz w:val="24"/>
          <w:szCs w:val="24"/>
          <w:lang w:eastAsia="zh-CN"/>
        </w:rPr>
        <w:t>、国开</w:t>
      </w:r>
      <w:proofErr w:type="gramStart"/>
      <w:r w:rsidR="00EF0226">
        <w:rPr>
          <w:rFonts w:ascii="华文楷体" w:hAnsi="华文楷体" w:hint="eastAsia"/>
          <w:sz w:val="24"/>
          <w:szCs w:val="24"/>
          <w:lang w:eastAsia="zh-CN"/>
        </w:rPr>
        <w:t>债</w:t>
      </w:r>
      <w:r w:rsidR="008406BB">
        <w:rPr>
          <w:rFonts w:ascii="华文楷体" w:hAnsi="华文楷体" w:hint="eastAsia"/>
          <w:sz w:val="24"/>
          <w:szCs w:val="24"/>
          <w:lang w:eastAsia="zh-CN"/>
        </w:rPr>
        <w:t>整体</w:t>
      </w:r>
      <w:proofErr w:type="gramEnd"/>
      <w:r w:rsidR="00EF0226">
        <w:rPr>
          <w:rFonts w:ascii="华文楷体" w:hAnsi="华文楷体"/>
          <w:sz w:val="24"/>
          <w:szCs w:val="24"/>
          <w:lang w:eastAsia="zh-CN"/>
        </w:rPr>
        <w:t>走势类似</w:t>
      </w:r>
      <w:r w:rsidR="006E06F9">
        <w:rPr>
          <w:rFonts w:ascii="华文楷体" w:hAnsi="华文楷体" w:hint="eastAsia"/>
          <w:sz w:val="24"/>
          <w:szCs w:val="24"/>
          <w:lang w:eastAsia="zh-CN"/>
        </w:rPr>
        <w:t>，</w:t>
      </w:r>
      <w:r w:rsidR="008406BB">
        <w:rPr>
          <w:rFonts w:ascii="华文楷体" w:hAnsi="华文楷体" w:hint="eastAsia"/>
          <w:sz w:val="24"/>
          <w:szCs w:val="24"/>
          <w:lang w:eastAsia="zh-CN"/>
        </w:rPr>
        <w:t>受周内</w:t>
      </w:r>
      <w:r w:rsidR="008406BB">
        <w:rPr>
          <w:rFonts w:ascii="华文楷体" w:hAnsi="华文楷体"/>
          <w:sz w:val="24"/>
          <w:szCs w:val="24"/>
          <w:lang w:eastAsia="zh-CN"/>
        </w:rPr>
        <w:t>资金扰动，伴随资金</w:t>
      </w:r>
      <w:r w:rsidR="006E06F9">
        <w:rPr>
          <w:rFonts w:ascii="华文楷体" w:hAnsi="华文楷体" w:hint="eastAsia"/>
          <w:sz w:val="24"/>
          <w:szCs w:val="24"/>
          <w:lang w:eastAsia="zh-CN"/>
        </w:rPr>
        <w:t>利率震荡</w:t>
      </w:r>
      <w:r w:rsidR="008406BB">
        <w:rPr>
          <w:rFonts w:ascii="华文楷体" w:hAnsi="华文楷体" w:hint="eastAsia"/>
          <w:sz w:val="24"/>
          <w:szCs w:val="24"/>
          <w:lang w:eastAsia="zh-CN"/>
        </w:rPr>
        <w:t>。</w:t>
      </w:r>
      <w:r w:rsidR="006E06F9">
        <w:rPr>
          <w:rFonts w:ascii="华文楷体" w:hAnsi="华文楷体" w:hint="eastAsia"/>
          <w:sz w:val="24"/>
          <w:szCs w:val="24"/>
          <w:lang w:eastAsia="zh-CN"/>
        </w:rPr>
        <w:t>1y以上期限国债各品种利率明显走高，中长端上行幅度超过1</w:t>
      </w:r>
      <w:r w:rsidR="006E06F9">
        <w:rPr>
          <w:rFonts w:ascii="华文楷体" w:hAnsi="华文楷体"/>
          <w:sz w:val="24"/>
          <w:szCs w:val="24"/>
          <w:lang w:eastAsia="zh-CN"/>
        </w:rPr>
        <w:t>0</w:t>
      </w:r>
      <w:r w:rsidR="006E06F9">
        <w:rPr>
          <w:rFonts w:ascii="华文楷体" w:hAnsi="华文楷体" w:hint="eastAsia"/>
          <w:sz w:val="24"/>
          <w:szCs w:val="24"/>
          <w:lang w:eastAsia="zh-CN"/>
        </w:rPr>
        <w:t>bp；国开债3y品种上行幅度最大，5y和1</w:t>
      </w:r>
      <w:r w:rsidR="006E06F9">
        <w:rPr>
          <w:rFonts w:ascii="华文楷体" w:hAnsi="华文楷体"/>
          <w:sz w:val="24"/>
          <w:szCs w:val="24"/>
          <w:lang w:eastAsia="zh-CN"/>
        </w:rPr>
        <w:t>0</w:t>
      </w:r>
      <w:r w:rsidR="006E06F9">
        <w:rPr>
          <w:rFonts w:ascii="华文楷体" w:hAnsi="华文楷体" w:hint="eastAsia"/>
          <w:sz w:val="24"/>
          <w:szCs w:val="24"/>
          <w:lang w:eastAsia="zh-CN"/>
        </w:rPr>
        <w:t>y次之，均超过1</w:t>
      </w:r>
      <w:r w:rsidR="006E06F9">
        <w:rPr>
          <w:rFonts w:ascii="华文楷体" w:hAnsi="华文楷体"/>
          <w:sz w:val="24"/>
          <w:szCs w:val="24"/>
          <w:lang w:eastAsia="zh-CN"/>
        </w:rPr>
        <w:t>5</w:t>
      </w:r>
      <w:r w:rsidR="006E06F9">
        <w:rPr>
          <w:rFonts w:ascii="华文楷体" w:hAnsi="华文楷体" w:hint="eastAsia"/>
          <w:sz w:val="24"/>
          <w:szCs w:val="24"/>
          <w:lang w:eastAsia="zh-CN"/>
        </w:rPr>
        <w:t>bp。</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E0626C" w:rsidRPr="006A5F34" w14:paraId="26C17AB1" w14:textId="77777777" w:rsidTr="00202D86">
        <w:trPr>
          <w:jc w:val="center"/>
        </w:trPr>
        <w:tc>
          <w:tcPr>
            <w:tcW w:w="4939" w:type="dxa"/>
            <w:vAlign w:val="center"/>
          </w:tcPr>
          <w:p w14:paraId="6C73AA55" w14:textId="11937E54" w:rsidR="00E0626C" w:rsidRPr="006A5F34" w:rsidRDefault="00E0626C" w:rsidP="00BA168E">
            <w:pPr>
              <w:pStyle w:val="ChartHeading"/>
              <w:jc w:val="both"/>
            </w:pPr>
            <w:r w:rsidRPr="006A5F34">
              <w:rPr>
                <w:rFonts w:hint="eastAsia"/>
              </w:rPr>
              <w:t>图表</w:t>
            </w:r>
            <w:r w:rsidRPr="006A5F34">
              <w:t xml:space="preserve">. </w:t>
            </w:r>
            <w:r>
              <w:rPr>
                <w:rFonts w:hint="eastAsia"/>
              </w:rPr>
              <w:t>国债收益率曲线和变化</w:t>
            </w:r>
          </w:p>
        </w:tc>
        <w:tc>
          <w:tcPr>
            <w:tcW w:w="4938" w:type="dxa"/>
            <w:vAlign w:val="center"/>
          </w:tcPr>
          <w:p w14:paraId="2C5A7EDC" w14:textId="7D7F9BC1" w:rsidR="00E0626C" w:rsidRPr="006A5F34" w:rsidRDefault="00E0626C" w:rsidP="009A2BA0">
            <w:pPr>
              <w:pStyle w:val="ChartHeading"/>
              <w:jc w:val="both"/>
            </w:pPr>
            <w:r w:rsidRPr="006A5F34">
              <w:rPr>
                <w:rFonts w:hint="eastAsia"/>
              </w:rPr>
              <w:t>图表</w:t>
            </w:r>
            <w:r w:rsidRPr="006A5F34">
              <w:t xml:space="preserve">. </w:t>
            </w:r>
            <w:r>
              <w:rPr>
                <w:rFonts w:hint="eastAsia"/>
              </w:rPr>
              <w:t>国开债收益率曲线和变化</w:t>
            </w:r>
          </w:p>
        </w:tc>
      </w:tr>
      <w:tr w:rsidR="00E0626C" w:rsidRPr="006A5F34" w14:paraId="1094FBBD" w14:textId="77777777" w:rsidTr="00E46B36">
        <w:tblPrEx>
          <w:tblCellMar>
            <w:left w:w="108" w:type="dxa"/>
            <w:right w:w="108" w:type="dxa"/>
          </w:tblCellMar>
        </w:tblPrEx>
        <w:trPr>
          <w:jc w:val="center"/>
        </w:trPr>
        <w:tc>
          <w:tcPr>
            <w:tcW w:w="4939" w:type="dxa"/>
            <w:vAlign w:val="center"/>
          </w:tcPr>
          <w:p w14:paraId="678C97B0" w14:textId="7A005288" w:rsidR="00E0626C" w:rsidRPr="007E0340" w:rsidRDefault="00E46B36" w:rsidP="002104B2">
            <w:pPr>
              <w:rPr>
                <w:noProof/>
              </w:rPr>
            </w:pPr>
            <w:r w:rsidRPr="00E46B36">
              <w:rPr>
                <w:noProof/>
                <w:sz w:val="15"/>
                <w:szCs w:val="16"/>
              </w:rPr>
              <w:drawing>
                <wp:inline distT="0" distB="0" distL="0" distR="0" wp14:anchorId="796B35B9" wp14:editId="3F4955F6">
                  <wp:extent cx="2999105" cy="1567815"/>
                  <wp:effectExtent l="0" t="0" r="0" b="0"/>
                  <wp:docPr id="4" name="图表 4">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a16="http://schemas.microsoft.com/office/drawing/2014/main" id="{00000000-0008-0000-0200-000006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tc>
        <w:tc>
          <w:tcPr>
            <w:tcW w:w="4938" w:type="dxa"/>
            <w:vAlign w:val="center"/>
          </w:tcPr>
          <w:p w14:paraId="17A42E68" w14:textId="7B9181B7" w:rsidR="00E0626C" w:rsidRPr="00E46B36" w:rsidRDefault="00E46B36" w:rsidP="009A2BA0">
            <w:pPr>
              <w:jc w:val="center"/>
              <w:rPr>
                <w:noProof/>
                <w:sz w:val="14"/>
                <w:szCs w:val="14"/>
              </w:rPr>
            </w:pPr>
            <w:r w:rsidRPr="00E46B36">
              <w:rPr>
                <w:noProof/>
                <w:sz w:val="14"/>
                <w:szCs w:val="14"/>
              </w:rPr>
              <w:drawing>
                <wp:inline distT="0" distB="0" distL="0" distR="0" wp14:anchorId="182A4304" wp14:editId="050C050E">
                  <wp:extent cx="2998470" cy="1626235"/>
                  <wp:effectExtent l="0" t="0" r="0" b="0"/>
                  <wp:docPr id="6" name="图表 6">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a16="http://schemas.microsoft.com/office/drawing/2014/main" id="{00000000-0008-0000-03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tc>
      </w:tr>
      <w:tr w:rsidR="00E0626C" w:rsidRPr="006A5F34" w14:paraId="70E50E5B" w14:textId="77777777" w:rsidTr="00202D86">
        <w:trPr>
          <w:trHeight w:val="64"/>
          <w:jc w:val="center"/>
        </w:trPr>
        <w:tc>
          <w:tcPr>
            <w:tcW w:w="4939" w:type="dxa"/>
            <w:vAlign w:val="center"/>
          </w:tcPr>
          <w:p w14:paraId="3E8A3EBA"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c>
          <w:tcPr>
            <w:tcW w:w="4938" w:type="dxa"/>
            <w:vAlign w:val="center"/>
          </w:tcPr>
          <w:p w14:paraId="589540D5"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tbl>
    <w:p w14:paraId="1E64B73D" w14:textId="1D9B94CF" w:rsidR="00E0626C" w:rsidRDefault="00E0626C" w:rsidP="009A2BA0">
      <w:pPr>
        <w:pStyle w:val="Body-text"/>
        <w:spacing w:after="0"/>
        <w:rPr>
          <w:lang w:eastAsia="zh-CN"/>
        </w:rPr>
      </w:pPr>
    </w:p>
    <w:p w14:paraId="18D67482" w14:textId="3EDA3EA7" w:rsidR="00E0626C" w:rsidRPr="00C73E5D" w:rsidRDefault="00E0626C" w:rsidP="009A2BA0">
      <w:pPr>
        <w:pStyle w:val="Header2"/>
        <w:rPr>
          <w:rFonts w:eastAsia="PMingLiU"/>
          <w:sz w:val="28"/>
          <w:szCs w:val="21"/>
        </w:rPr>
      </w:pPr>
      <w:r>
        <w:rPr>
          <w:sz w:val="28"/>
          <w:szCs w:val="21"/>
          <w:lang w:eastAsia="zh-CN"/>
        </w:rPr>
        <w:t>3</w:t>
      </w:r>
      <w:r>
        <w:rPr>
          <w:rFonts w:hint="eastAsia"/>
          <w:sz w:val="28"/>
          <w:szCs w:val="21"/>
          <w:lang w:eastAsia="zh-CN"/>
        </w:rPr>
        <w:t>、</w:t>
      </w:r>
      <w:r>
        <w:rPr>
          <w:rFonts w:hint="eastAsia"/>
          <w:sz w:val="28"/>
          <w:szCs w:val="21"/>
        </w:rPr>
        <w:t>信用债</w:t>
      </w:r>
    </w:p>
    <w:p w14:paraId="63B7E22F" w14:textId="6B3D7DFC" w:rsidR="007A3F0D" w:rsidRPr="00AF3C15" w:rsidRDefault="004C6CBF" w:rsidP="00305223">
      <w:pPr>
        <w:pStyle w:val="Body-text"/>
        <w:spacing w:after="240"/>
        <w:ind w:firstLineChars="200" w:firstLine="480"/>
        <w:rPr>
          <w:rFonts w:ascii="华文楷体" w:hAnsi="华文楷体"/>
          <w:sz w:val="24"/>
          <w:szCs w:val="24"/>
          <w:lang w:eastAsia="zh-CN"/>
        </w:rPr>
      </w:pPr>
      <w:r w:rsidRPr="00AF3C15">
        <w:rPr>
          <w:rFonts w:ascii="华文楷体" w:hAnsi="华文楷体" w:hint="eastAsia"/>
          <w:sz w:val="24"/>
          <w:szCs w:val="24"/>
          <w:lang w:eastAsia="zh-CN"/>
        </w:rPr>
        <w:t>本周</w:t>
      </w:r>
      <w:r w:rsidR="00305223" w:rsidRPr="00AF3C15">
        <w:rPr>
          <w:rFonts w:ascii="华文楷体" w:hAnsi="华文楷体" w:hint="eastAsia"/>
          <w:sz w:val="24"/>
          <w:szCs w:val="24"/>
          <w:lang w:eastAsia="zh-CN"/>
        </w:rPr>
        <w:t>信用债</w:t>
      </w:r>
      <w:r w:rsidRPr="00AF3C15">
        <w:rPr>
          <w:rFonts w:ascii="华文楷体" w:hAnsi="华文楷体" w:hint="eastAsia"/>
          <w:sz w:val="24"/>
          <w:szCs w:val="24"/>
          <w:lang w:eastAsia="zh-CN"/>
        </w:rPr>
        <w:t>表现</w:t>
      </w:r>
      <w:r w:rsidR="00305223" w:rsidRPr="00AF3C15">
        <w:rPr>
          <w:rFonts w:ascii="华文楷体" w:hAnsi="华文楷体" w:hint="eastAsia"/>
          <w:sz w:val="24"/>
          <w:szCs w:val="24"/>
          <w:lang w:eastAsia="zh-CN"/>
        </w:rPr>
        <w:t>，</w:t>
      </w:r>
      <w:r w:rsidR="00807490" w:rsidRPr="00AF3C15">
        <w:rPr>
          <w:rFonts w:ascii="华文楷体" w:hAnsi="华文楷体" w:hint="eastAsia"/>
          <w:sz w:val="24"/>
          <w:szCs w:val="24"/>
          <w:lang w:eastAsia="zh-CN"/>
        </w:rPr>
        <w:t>信用品种</w:t>
      </w:r>
      <w:r w:rsidR="0083308F" w:rsidRPr="00AF3C15">
        <w:rPr>
          <w:rFonts w:ascii="华文楷体" w:hAnsi="华文楷体" w:hint="eastAsia"/>
          <w:sz w:val="24"/>
          <w:szCs w:val="24"/>
          <w:lang w:eastAsia="zh-CN"/>
        </w:rPr>
        <w:t>整体</w:t>
      </w:r>
      <w:r w:rsidR="00AF3C15" w:rsidRPr="00AF3C15">
        <w:rPr>
          <w:rFonts w:ascii="华文楷体" w:hAnsi="华文楷体" w:hint="eastAsia"/>
          <w:sz w:val="24"/>
          <w:szCs w:val="24"/>
          <w:lang w:eastAsia="zh-CN"/>
        </w:rPr>
        <w:t>利率跟随利率品种上行</w:t>
      </w:r>
      <w:r w:rsidR="004D1342" w:rsidRPr="00AF3C15">
        <w:rPr>
          <w:rFonts w:ascii="华文楷体" w:hAnsi="华文楷体" w:hint="eastAsia"/>
          <w:sz w:val="24"/>
          <w:szCs w:val="24"/>
          <w:lang w:eastAsia="zh-CN"/>
        </w:rPr>
        <w:t>，</w:t>
      </w:r>
      <w:r w:rsidR="00AF3C15" w:rsidRPr="00AF3C15">
        <w:rPr>
          <w:rFonts w:ascii="华文楷体" w:hAnsi="华文楷体" w:hint="eastAsia"/>
          <w:sz w:val="24"/>
          <w:szCs w:val="24"/>
          <w:lang w:eastAsia="zh-CN"/>
        </w:rPr>
        <w:t>3y以上品种表现优于</w:t>
      </w:r>
      <w:r w:rsidR="00DC322E" w:rsidRPr="00AF3C15">
        <w:rPr>
          <w:rFonts w:ascii="华文楷体" w:hAnsi="华文楷体"/>
          <w:sz w:val="24"/>
          <w:szCs w:val="24"/>
          <w:lang w:eastAsia="zh-CN"/>
        </w:rPr>
        <w:t>同期限利率品种</w:t>
      </w:r>
      <w:r w:rsidR="00115834" w:rsidRPr="00AF3C15">
        <w:rPr>
          <w:rFonts w:ascii="华文楷体" w:hAnsi="华文楷体" w:hint="eastAsia"/>
          <w:sz w:val="24"/>
          <w:szCs w:val="24"/>
          <w:lang w:eastAsia="zh-CN"/>
        </w:rPr>
        <w:t>。</w:t>
      </w:r>
      <w:r w:rsidR="00E817DF" w:rsidRPr="00AF3C15">
        <w:rPr>
          <w:rFonts w:ascii="华文楷体" w:hAnsi="华文楷体" w:hint="eastAsia"/>
          <w:sz w:val="24"/>
          <w:szCs w:val="24"/>
          <w:lang w:eastAsia="zh-CN"/>
        </w:rPr>
        <w:t>具体</w:t>
      </w:r>
      <w:r w:rsidR="00E817DF" w:rsidRPr="00AF3C15">
        <w:rPr>
          <w:rFonts w:ascii="华文楷体" w:hAnsi="华文楷体"/>
          <w:sz w:val="24"/>
          <w:szCs w:val="24"/>
          <w:lang w:eastAsia="zh-CN"/>
        </w:rPr>
        <w:t>来看，</w:t>
      </w:r>
      <w:r w:rsidR="00305223" w:rsidRPr="00AF3C15">
        <w:rPr>
          <w:rFonts w:ascii="华文楷体" w:hAnsi="华文楷体" w:hint="eastAsia"/>
          <w:sz w:val="24"/>
          <w:szCs w:val="24"/>
          <w:lang w:eastAsia="zh-CN"/>
        </w:rPr>
        <w:t>中短期票据</w:t>
      </w:r>
      <w:r w:rsidR="00DC322E" w:rsidRPr="00AF3C15">
        <w:rPr>
          <w:rFonts w:ascii="华文楷体" w:hAnsi="华文楷体" w:hint="eastAsia"/>
          <w:sz w:val="24"/>
          <w:szCs w:val="24"/>
          <w:lang w:eastAsia="zh-CN"/>
        </w:rPr>
        <w:t>小幅</w:t>
      </w:r>
      <w:r w:rsidR="0083308F" w:rsidRPr="00AF3C15">
        <w:rPr>
          <w:rFonts w:ascii="华文楷体" w:hAnsi="华文楷体" w:hint="eastAsia"/>
          <w:sz w:val="24"/>
          <w:szCs w:val="24"/>
          <w:lang w:eastAsia="zh-CN"/>
        </w:rPr>
        <w:t>震荡</w:t>
      </w:r>
      <w:r w:rsidR="00AF3C15" w:rsidRPr="00AF3C15">
        <w:rPr>
          <w:rFonts w:ascii="华文楷体" w:hAnsi="华文楷体" w:hint="eastAsia"/>
          <w:sz w:val="24"/>
          <w:szCs w:val="24"/>
          <w:lang w:eastAsia="zh-CN"/>
        </w:rPr>
        <w:t>上行</w:t>
      </w:r>
      <w:r w:rsidR="004D1342" w:rsidRPr="00AF3C15">
        <w:rPr>
          <w:rFonts w:ascii="华文楷体" w:hAnsi="华文楷体" w:hint="eastAsia"/>
          <w:sz w:val="24"/>
          <w:szCs w:val="24"/>
          <w:lang w:eastAsia="zh-CN"/>
        </w:rPr>
        <w:t>；</w:t>
      </w:r>
      <w:r w:rsidR="00AF3C15" w:rsidRPr="00AF3C15">
        <w:rPr>
          <w:rFonts w:ascii="华文楷体" w:hAnsi="华文楷体" w:hint="eastAsia"/>
          <w:sz w:val="24"/>
          <w:szCs w:val="24"/>
          <w:lang w:eastAsia="zh-CN"/>
        </w:rPr>
        <w:t>3y</w:t>
      </w:r>
      <w:r w:rsidR="00DC322E" w:rsidRPr="00AF3C15">
        <w:rPr>
          <w:rFonts w:ascii="华文楷体" w:hAnsi="华文楷体" w:hint="eastAsia"/>
          <w:sz w:val="24"/>
          <w:szCs w:val="24"/>
          <w:lang w:eastAsia="zh-CN"/>
        </w:rPr>
        <w:t>中票和</w:t>
      </w:r>
      <w:r w:rsidR="00DC322E" w:rsidRPr="00AF3C15">
        <w:rPr>
          <w:rFonts w:ascii="华文楷体" w:hAnsi="华文楷体"/>
          <w:sz w:val="24"/>
          <w:szCs w:val="24"/>
          <w:lang w:eastAsia="zh-CN"/>
        </w:rPr>
        <w:t>企业债品种</w:t>
      </w:r>
      <w:r w:rsidR="00AF3C15" w:rsidRPr="00AF3C15">
        <w:rPr>
          <w:rFonts w:ascii="华文楷体" w:hAnsi="华文楷体" w:hint="eastAsia"/>
          <w:sz w:val="24"/>
          <w:szCs w:val="24"/>
          <w:lang w:eastAsia="zh-CN"/>
        </w:rPr>
        <w:t>调整明显，其余期限</w:t>
      </w:r>
      <w:r w:rsidR="00DC322E" w:rsidRPr="00AF3C15">
        <w:rPr>
          <w:rFonts w:ascii="华文楷体" w:hAnsi="华文楷体"/>
          <w:sz w:val="24"/>
          <w:szCs w:val="24"/>
          <w:lang w:eastAsia="zh-CN"/>
        </w:rPr>
        <w:t>本周调整幅度不大，大体维持在</w:t>
      </w:r>
      <w:r w:rsidR="00AF3C15" w:rsidRPr="00AF3C15">
        <w:rPr>
          <w:rFonts w:ascii="华文楷体" w:hAnsi="华文楷体" w:hint="eastAsia"/>
          <w:sz w:val="24"/>
          <w:szCs w:val="24"/>
          <w:lang w:eastAsia="zh-CN"/>
        </w:rPr>
        <w:t>3-</w:t>
      </w:r>
      <w:r w:rsidR="00DC322E" w:rsidRPr="00AF3C15">
        <w:rPr>
          <w:rFonts w:ascii="华文楷体" w:hAnsi="华文楷体"/>
          <w:sz w:val="24"/>
          <w:szCs w:val="24"/>
          <w:lang w:eastAsia="zh-CN"/>
        </w:rPr>
        <w:t>5</w:t>
      </w:r>
      <w:r w:rsidR="003545C9">
        <w:rPr>
          <w:rFonts w:ascii="华文楷体" w:hAnsi="华文楷体" w:hint="eastAsia"/>
          <w:sz w:val="24"/>
          <w:szCs w:val="24"/>
          <w:lang w:eastAsia="zh-CN"/>
        </w:rPr>
        <w:t>bp</w:t>
      </w:r>
      <w:r w:rsidR="004D1342" w:rsidRPr="00AF3C15">
        <w:rPr>
          <w:rFonts w:ascii="华文楷体" w:hAnsi="华文楷体" w:hint="eastAsia"/>
          <w:sz w:val="24"/>
          <w:szCs w:val="24"/>
          <w:lang w:eastAsia="zh-CN"/>
        </w:rPr>
        <w:t>；</w:t>
      </w:r>
      <w:proofErr w:type="gramStart"/>
      <w:r w:rsidR="004D1342" w:rsidRPr="00AF3C15">
        <w:rPr>
          <w:rFonts w:ascii="华文楷体" w:hAnsi="华文楷体" w:hint="eastAsia"/>
          <w:sz w:val="24"/>
          <w:szCs w:val="24"/>
          <w:lang w:eastAsia="zh-CN"/>
        </w:rPr>
        <w:t>城投债</w:t>
      </w:r>
      <w:r w:rsidR="00EE7787" w:rsidRPr="00AF3C15">
        <w:rPr>
          <w:rFonts w:ascii="华文楷体" w:hAnsi="华文楷体" w:hint="eastAsia"/>
          <w:sz w:val="24"/>
          <w:szCs w:val="24"/>
          <w:lang w:eastAsia="zh-CN"/>
        </w:rPr>
        <w:t>方面</w:t>
      </w:r>
      <w:proofErr w:type="gramEnd"/>
      <w:r w:rsidR="00EE7787" w:rsidRPr="00AF3C15">
        <w:rPr>
          <w:rFonts w:ascii="华文楷体" w:hAnsi="华文楷体" w:hint="eastAsia"/>
          <w:sz w:val="24"/>
          <w:szCs w:val="24"/>
          <w:lang w:eastAsia="zh-CN"/>
        </w:rPr>
        <w:t>，</w:t>
      </w:r>
      <w:r w:rsidR="00DC322E" w:rsidRPr="00AF3C15">
        <w:rPr>
          <w:rFonts w:ascii="华文楷体" w:hAnsi="华文楷体" w:hint="eastAsia"/>
          <w:sz w:val="24"/>
          <w:szCs w:val="24"/>
          <w:lang w:eastAsia="zh-CN"/>
        </w:rPr>
        <w:t>本周波动</w:t>
      </w:r>
      <w:r w:rsidR="00DC322E" w:rsidRPr="00AF3C15">
        <w:rPr>
          <w:rFonts w:ascii="华文楷体" w:hAnsi="华文楷体"/>
          <w:sz w:val="24"/>
          <w:szCs w:val="24"/>
          <w:lang w:eastAsia="zh-CN"/>
        </w:rPr>
        <w:t>相对明显，</w:t>
      </w:r>
      <w:r w:rsidR="00EE7787" w:rsidRPr="00AF3C15">
        <w:rPr>
          <w:rFonts w:ascii="华文楷体" w:hAnsi="华文楷体" w:hint="eastAsia"/>
          <w:sz w:val="24"/>
          <w:szCs w:val="24"/>
          <w:lang w:eastAsia="zh-CN"/>
        </w:rPr>
        <w:t>3</w:t>
      </w:r>
      <w:r w:rsidR="004D1342" w:rsidRPr="00AF3C15">
        <w:rPr>
          <w:rFonts w:ascii="华文楷体" w:hAnsi="华文楷体" w:hint="eastAsia"/>
          <w:sz w:val="24"/>
          <w:szCs w:val="24"/>
          <w:lang w:eastAsia="zh-CN"/>
        </w:rPr>
        <w:t>年</w:t>
      </w:r>
      <w:r w:rsidR="00DC322E" w:rsidRPr="00AF3C15">
        <w:rPr>
          <w:rFonts w:ascii="华文楷体" w:hAnsi="华文楷体" w:hint="eastAsia"/>
          <w:sz w:val="24"/>
          <w:szCs w:val="24"/>
          <w:lang w:eastAsia="zh-CN"/>
        </w:rPr>
        <w:t>和</w:t>
      </w:r>
      <w:r w:rsidR="00AF3C15" w:rsidRPr="00AF3C15">
        <w:rPr>
          <w:rFonts w:ascii="华文楷体" w:hAnsi="华文楷体"/>
          <w:sz w:val="24"/>
          <w:szCs w:val="24"/>
          <w:lang w:eastAsia="zh-CN"/>
        </w:rPr>
        <w:t>5</w:t>
      </w:r>
      <w:r w:rsidR="00DC322E" w:rsidRPr="00AF3C15">
        <w:rPr>
          <w:rFonts w:ascii="华文楷体" w:hAnsi="华文楷体" w:hint="eastAsia"/>
          <w:sz w:val="24"/>
          <w:szCs w:val="24"/>
          <w:lang w:eastAsia="zh-CN"/>
        </w:rPr>
        <w:t>年</w:t>
      </w:r>
      <w:r w:rsidR="00DC322E" w:rsidRPr="00AF3C15">
        <w:rPr>
          <w:rFonts w:ascii="华文楷体" w:hAnsi="华文楷体"/>
          <w:sz w:val="24"/>
          <w:szCs w:val="24"/>
          <w:lang w:eastAsia="zh-CN"/>
        </w:rPr>
        <w:t>品种</w:t>
      </w:r>
      <w:r w:rsidR="0083308F" w:rsidRPr="00AF3C15">
        <w:rPr>
          <w:rFonts w:ascii="华文楷体" w:hAnsi="华文楷体" w:hint="eastAsia"/>
          <w:sz w:val="24"/>
          <w:szCs w:val="24"/>
          <w:lang w:eastAsia="zh-CN"/>
        </w:rPr>
        <w:t>本周</w:t>
      </w:r>
      <w:r w:rsidR="00AF3C15" w:rsidRPr="00AF3C15">
        <w:rPr>
          <w:rFonts w:ascii="华文楷体" w:hAnsi="华文楷体" w:hint="eastAsia"/>
          <w:sz w:val="24"/>
          <w:szCs w:val="24"/>
          <w:lang w:eastAsia="zh-CN"/>
        </w:rPr>
        <w:t>上行分别8bp和6</w:t>
      </w:r>
      <w:r w:rsidR="00AF3C15" w:rsidRPr="00AF3C15">
        <w:rPr>
          <w:rFonts w:ascii="华文楷体" w:hAnsi="华文楷体"/>
          <w:sz w:val="24"/>
          <w:szCs w:val="24"/>
          <w:lang w:eastAsia="zh-CN"/>
        </w:rPr>
        <w:t>.5</w:t>
      </w:r>
      <w:r w:rsidR="00AF3C15" w:rsidRPr="00AF3C15">
        <w:rPr>
          <w:rFonts w:ascii="华文楷体" w:hAnsi="华文楷体" w:hint="eastAsia"/>
          <w:sz w:val="24"/>
          <w:szCs w:val="24"/>
          <w:lang w:eastAsia="zh-CN"/>
        </w:rPr>
        <w:t>bp</w:t>
      </w:r>
      <w:r w:rsidR="004D1342" w:rsidRPr="00AF3C15">
        <w:rPr>
          <w:rFonts w:ascii="华文楷体" w:hAnsi="华文楷体" w:hint="eastAsia"/>
          <w:sz w:val="24"/>
          <w:szCs w:val="24"/>
          <w:lang w:eastAsia="zh-CN"/>
        </w:rPr>
        <w:t>。</w:t>
      </w:r>
      <w:r w:rsidR="007275B2" w:rsidRPr="00AF3C15">
        <w:rPr>
          <w:rFonts w:ascii="华文楷体" w:hAnsi="华文楷体" w:hint="eastAsia"/>
          <w:sz w:val="24"/>
          <w:szCs w:val="24"/>
          <w:lang w:eastAsia="zh-CN"/>
        </w:rPr>
        <w:t>收益率绝对水平来看，</w:t>
      </w:r>
      <w:r w:rsidR="00AF3C15" w:rsidRPr="00AF3C15">
        <w:rPr>
          <w:rFonts w:ascii="华文楷体" w:hAnsi="华文楷体" w:hint="eastAsia"/>
          <w:sz w:val="24"/>
          <w:szCs w:val="24"/>
          <w:lang w:eastAsia="zh-CN"/>
        </w:rPr>
        <w:t>大部分</w:t>
      </w:r>
      <w:r w:rsidR="007275B2" w:rsidRPr="00AF3C15">
        <w:rPr>
          <w:rFonts w:ascii="华文楷体" w:hAnsi="华文楷体" w:hint="eastAsia"/>
          <w:sz w:val="24"/>
          <w:szCs w:val="24"/>
          <w:lang w:eastAsia="zh-CN"/>
        </w:rPr>
        <w:t>期限品种</w:t>
      </w:r>
      <w:r w:rsidR="00DC322E" w:rsidRPr="00AF3C15">
        <w:rPr>
          <w:rFonts w:ascii="华文楷体" w:hAnsi="华文楷体" w:hint="eastAsia"/>
          <w:sz w:val="24"/>
          <w:szCs w:val="24"/>
          <w:lang w:eastAsia="zh-CN"/>
        </w:rPr>
        <w:t>小幅</w:t>
      </w:r>
      <w:r w:rsidR="00AF3C15" w:rsidRPr="00AF3C15">
        <w:rPr>
          <w:rFonts w:ascii="华文楷体" w:hAnsi="华文楷体" w:hint="eastAsia"/>
          <w:sz w:val="24"/>
          <w:szCs w:val="24"/>
          <w:lang w:eastAsia="zh-CN"/>
        </w:rPr>
        <w:t>在</w:t>
      </w:r>
      <w:r w:rsidR="00DC322E" w:rsidRPr="00AF3C15">
        <w:rPr>
          <w:rFonts w:ascii="华文楷体" w:hAnsi="华文楷体" w:hint="eastAsia"/>
          <w:sz w:val="24"/>
          <w:szCs w:val="24"/>
          <w:lang w:eastAsia="zh-CN"/>
        </w:rPr>
        <w:t>10</w:t>
      </w:r>
      <w:r w:rsidR="00DC322E" w:rsidRPr="00AF3C15">
        <w:rPr>
          <w:rFonts w:ascii="华文楷体" w:hAnsi="华文楷体"/>
          <w:sz w:val="24"/>
          <w:szCs w:val="24"/>
          <w:lang w:eastAsia="zh-CN"/>
        </w:rPr>
        <w:t>-20</w:t>
      </w:r>
      <w:r w:rsidR="007275B2" w:rsidRPr="00AF3C15">
        <w:rPr>
          <w:rFonts w:ascii="华文楷体" w:hAnsi="华文楷体" w:hint="eastAsia"/>
          <w:sz w:val="24"/>
          <w:szCs w:val="24"/>
          <w:lang w:eastAsia="zh-CN"/>
        </w:rPr>
        <w:t>%分位</w:t>
      </w:r>
      <w:r w:rsidR="00C02867" w:rsidRPr="00AF3C15">
        <w:rPr>
          <w:rFonts w:ascii="华文楷体" w:hAnsi="华文楷体" w:hint="eastAsia"/>
          <w:sz w:val="24"/>
          <w:szCs w:val="24"/>
          <w:lang w:eastAsia="zh-CN"/>
        </w:rPr>
        <w:t>区间</w:t>
      </w:r>
      <w:r w:rsidR="008D33AB" w:rsidRPr="00AF3C15">
        <w:rPr>
          <w:rFonts w:ascii="华文楷体" w:hAnsi="华文楷体" w:hint="eastAsia"/>
          <w:sz w:val="24"/>
          <w:szCs w:val="24"/>
          <w:lang w:eastAsia="zh-CN"/>
        </w:rPr>
        <w:t>，息</w:t>
      </w:r>
      <w:proofErr w:type="gramStart"/>
      <w:r w:rsidR="008D33AB" w:rsidRPr="00AF3C15">
        <w:rPr>
          <w:rFonts w:ascii="华文楷体" w:hAnsi="华文楷体" w:hint="eastAsia"/>
          <w:sz w:val="24"/>
          <w:szCs w:val="24"/>
          <w:lang w:eastAsia="zh-CN"/>
        </w:rPr>
        <w:t>差</w:t>
      </w:r>
      <w:r w:rsidR="00157A02" w:rsidRPr="00AF3C15">
        <w:rPr>
          <w:rFonts w:ascii="华文楷体" w:hAnsi="华文楷体" w:hint="eastAsia"/>
          <w:sz w:val="24"/>
          <w:szCs w:val="24"/>
          <w:lang w:eastAsia="zh-CN"/>
        </w:rPr>
        <w:t>水平</w:t>
      </w:r>
      <w:proofErr w:type="gramEnd"/>
      <w:r w:rsidR="00D21148" w:rsidRPr="00AF3C15">
        <w:rPr>
          <w:rFonts w:ascii="华文楷体" w:hAnsi="华文楷体" w:hint="eastAsia"/>
          <w:sz w:val="24"/>
          <w:szCs w:val="24"/>
          <w:lang w:eastAsia="zh-CN"/>
        </w:rPr>
        <w:t>处于</w:t>
      </w:r>
      <w:r w:rsidR="00DC322E" w:rsidRPr="00AF3C15">
        <w:rPr>
          <w:rFonts w:ascii="华文楷体" w:hAnsi="华文楷体"/>
          <w:sz w:val="24"/>
          <w:szCs w:val="24"/>
          <w:lang w:eastAsia="zh-CN"/>
        </w:rPr>
        <w:t>10-3</w:t>
      </w:r>
      <w:r w:rsidR="00AF3C15" w:rsidRPr="00AF3C15">
        <w:rPr>
          <w:rFonts w:ascii="华文楷体" w:hAnsi="华文楷体"/>
          <w:sz w:val="24"/>
          <w:szCs w:val="24"/>
          <w:lang w:eastAsia="zh-CN"/>
        </w:rPr>
        <w:t>6</w:t>
      </w:r>
      <w:r w:rsidR="008D33AB" w:rsidRPr="00AF3C15">
        <w:rPr>
          <w:rFonts w:ascii="华文楷体" w:hAnsi="华文楷体" w:hint="eastAsia"/>
          <w:sz w:val="24"/>
          <w:szCs w:val="24"/>
          <w:lang w:eastAsia="zh-CN"/>
        </w:rPr>
        <w:t>%分位</w:t>
      </w:r>
      <w:r w:rsidR="00440CFF" w:rsidRPr="00AF3C15">
        <w:rPr>
          <w:rFonts w:ascii="华文楷体" w:hAnsi="华文楷体" w:hint="eastAsia"/>
          <w:sz w:val="24"/>
          <w:szCs w:val="24"/>
          <w:lang w:eastAsia="zh-CN"/>
        </w:rPr>
        <w:t>区间</w:t>
      </w:r>
      <w:r w:rsidR="00E13BCF" w:rsidRPr="00AF3C15">
        <w:rPr>
          <w:rFonts w:ascii="华文楷体" w:hAnsi="华文楷体" w:hint="eastAsia"/>
          <w:sz w:val="24"/>
          <w:szCs w:val="24"/>
          <w:lang w:eastAsia="zh-CN"/>
        </w:rPr>
        <w:t>。</w:t>
      </w:r>
    </w:p>
    <w:tbl>
      <w:tblPr>
        <w:tblW w:w="9881" w:type="dxa"/>
        <w:jc w:val="center"/>
        <w:tblCellMar>
          <w:left w:w="0" w:type="dxa"/>
          <w:right w:w="0" w:type="dxa"/>
        </w:tblCellMar>
        <w:tblLook w:val="01E0" w:firstRow="1" w:lastRow="1" w:firstColumn="1" w:lastColumn="1" w:noHBand="0" w:noVBand="0"/>
      </w:tblPr>
      <w:tblGrid>
        <w:gridCol w:w="9881"/>
      </w:tblGrid>
      <w:tr w:rsidR="00E0626C" w:rsidRPr="00F966B6" w14:paraId="5602CC82" w14:textId="77777777" w:rsidTr="00E46B36">
        <w:trPr>
          <w:trHeight w:val="269"/>
          <w:jc w:val="center"/>
        </w:trPr>
        <w:tc>
          <w:tcPr>
            <w:tcW w:w="9881" w:type="dxa"/>
            <w:vAlign w:val="center"/>
          </w:tcPr>
          <w:p w14:paraId="1C0DBC70" w14:textId="4A8BBE5E" w:rsidR="00E0626C" w:rsidRPr="006A5F34" w:rsidRDefault="00E0626C" w:rsidP="009A2BA0">
            <w:pPr>
              <w:pStyle w:val="ChartHeading"/>
              <w:jc w:val="both"/>
            </w:pPr>
            <w:r w:rsidRPr="006A5F34">
              <w:rPr>
                <w:rFonts w:hint="eastAsia"/>
              </w:rPr>
              <w:lastRenderedPageBreak/>
              <w:t>图表</w:t>
            </w:r>
            <w:r w:rsidRPr="006A5F34">
              <w:t xml:space="preserve">. </w:t>
            </w:r>
            <w:r w:rsidR="00F966B6">
              <w:rPr>
                <w:rFonts w:hint="eastAsia"/>
              </w:rPr>
              <w:t>信用债收益率、利差变化情况</w:t>
            </w:r>
          </w:p>
        </w:tc>
      </w:tr>
      <w:tr w:rsidR="00E0626C" w:rsidRPr="006A5F34" w14:paraId="1114B583" w14:textId="77777777" w:rsidTr="00E46B36">
        <w:tblPrEx>
          <w:tblCellMar>
            <w:left w:w="108" w:type="dxa"/>
            <w:right w:w="108" w:type="dxa"/>
          </w:tblCellMar>
        </w:tblPrEx>
        <w:trPr>
          <w:trHeight w:val="391"/>
          <w:jc w:val="center"/>
        </w:trPr>
        <w:tc>
          <w:tcPr>
            <w:tcW w:w="9881" w:type="dxa"/>
            <w:vAlign w:val="center"/>
          </w:tcPr>
          <w:tbl>
            <w:tblPr>
              <w:tblW w:w="9516" w:type="dxa"/>
              <w:tblLook w:val="04A0" w:firstRow="1" w:lastRow="0" w:firstColumn="1" w:lastColumn="0" w:noHBand="0" w:noVBand="1"/>
            </w:tblPr>
            <w:tblGrid>
              <w:gridCol w:w="1146"/>
              <w:gridCol w:w="930"/>
              <w:gridCol w:w="930"/>
              <w:gridCol w:w="930"/>
              <w:gridCol w:w="930"/>
              <w:gridCol w:w="930"/>
              <w:gridCol w:w="930"/>
              <w:gridCol w:w="930"/>
              <w:gridCol w:w="930"/>
              <w:gridCol w:w="930"/>
            </w:tblGrid>
            <w:tr w:rsidR="00E46B36" w:rsidRPr="006E06F9" w14:paraId="77C79EE4" w14:textId="77777777" w:rsidTr="00E46B36">
              <w:trPr>
                <w:trHeight w:val="292"/>
              </w:trPr>
              <w:tc>
                <w:tcPr>
                  <w:tcW w:w="1146" w:type="dxa"/>
                  <w:tcBorders>
                    <w:top w:val="nil"/>
                    <w:left w:val="nil"/>
                    <w:bottom w:val="single" w:sz="12" w:space="0" w:color="FFFFFF"/>
                    <w:right w:val="single" w:sz="8" w:space="0" w:color="FFFFFF"/>
                  </w:tcBorders>
                  <w:shd w:val="clear" w:color="000000" w:fill="F79646"/>
                  <w:noWrap/>
                  <w:vAlign w:val="center"/>
                  <w:hideMark/>
                </w:tcPr>
                <w:p w14:paraId="57CEEFD3" w14:textId="77777777" w:rsidR="00E46B36" w:rsidRPr="00E46B36" w:rsidRDefault="00E46B36" w:rsidP="00E46B36">
                  <w:pPr>
                    <w:widowControl/>
                    <w:jc w:val="center"/>
                    <w:rPr>
                      <w:rFonts w:ascii="楷体" w:eastAsia="楷体" w:hAnsi="楷体" w:cs="宋体"/>
                      <w:b/>
                      <w:bCs/>
                      <w:color w:val="FFFFFF"/>
                      <w:kern w:val="0"/>
                      <w:sz w:val="18"/>
                      <w:szCs w:val="18"/>
                    </w:rPr>
                  </w:pPr>
                  <w:r w:rsidRPr="00E46B36">
                    <w:rPr>
                      <w:rFonts w:ascii="楷体" w:eastAsia="楷体" w:hAnsi="楷体" w:cs="宋体" w:hint="eastAsia"/>
                      <w:b/>
                      <w:bCs/>
                      <w:color w:val="FFFFFF"/>
                      <w:kern w:val="0"/>
                      <w:sz w:val="18"/>
                      <w:szCs w:val="18"/>
                    </w:rPr>
                    <w:t>收益率(%)</w:t>
                  </w:r>
                </w:p>
              </w:tc>
              <w:tc>
                <w:tcPr>
                  <w:tcW w:w="930" w:type="dxa"/>
                  <w:tcBorders>
                    <w:top w:val="nil"/>
                    <w:left w:val="nil"/>
                    <w:bottom w:val="single" w:sz="12" w:space="0" w:color="FFFFFF"/>
                    <w:right w:val="single" w:sz="8" w:space="0" w:color="FFFFFF"/>
                  </w:tcBorders>
                  <w:shd w:val="clear" w:color="000000" w:fill="F79646"/>
                  <w:noWrap/>
                  <w:vAlign w:val="center"/>
                  <w:hideMark/>
                </w:tcPr>
                <w:p w14:paraId="38D3456C" w14:textId="77777777" w:rsidR="00E46B36" w:rsidRPr="00E46B36" w:rsidRDefault="00E46B36" w:rsidP="00E46B36">
                  <w:pPr>
                    <w:widowControl/>
                    <w:jc w:val="center"/>
                    <w:rPr>
                      <w:rFonts w:ascii="楷体" w:eastAsia="楷体" w:hAnsi="楷体" w:cs="宋体"/>
                      <w:b/>
                      <w:bCs/>
                      <w:color w:val="FFFFFF"/>
                      <w:kern w:val="0"/>
                      <w:sz w:val="18"/>
                      <w:szCs w:val="18"/>
                    </w:rPr>
                  </w:pPr>
                  <w:r w:rsidRPr="00E46B36">
                    <w:rPr>
                      <w:rFonts w:ascii="楷体" w:eastAsia="楷体" w:hAnsi="楷体" w:cs="宋体" w:hint="eastAsia"/>
                      <w:b/>
                      <w:bCs/>
                      <w:color w:val="FFFFFF"/>
                      <w:kern w:val="0"/>
                      <w:sz w:val="18"/>
                      <w:szCs w:val="18"/>
                    </w:rPr>
                    <w:t>AAA</w:t>
                  </w:r>
                </w:p>
              </w:tc>
              <w:tc>
                <w:tcPr>
                  <w:tcW w:w="930" w:type="dxa"/>
                  <w:tcBorders>
                    <w:top w:val="nil"/>
                    <w:left w:val="nil"/>
                    <w:bottom w:val="single" w:sz="12" w:space="0" w:color="FFFFFF"/>
                    <w:right w:val="single" w:sz="8" w:space="0" w:color="FFFFFF"/>
                  </w:tcBorders>
                  <w:shd w:val="clear" w:color="000000" w:fill="F79646"/>
                  <w:noWrap/>
                  <w:vAlign w:val="center"/>
                  <w:hideMark/>
                </w:tcPr>
                <w:p w14:paraId="1C1B1CEC" w14:textId="77777777" w:rsidR="00E46B36" w:rsidRPr="00E46B36" w:rsidRDefault="00E46B36" w:rsidP="00E46B36">
                  <w:pPr>
                    <w:widowControl/>
                    <w:jc w:val="center"/>
                    <w:rPr>
                      <w:rFonts w:ascii="楷体" w:eastAsia="楷体" w:hAnsi="楷体" w:cs="宋体"/>
                      <w:b/>
                      <w:bCs/>
                      <w:color w:val="FFFFFF"/>
                      <w:kern w:val="0"/>
                      <w:sz w:val="18"/>
                      <w:szCs w:val="18"/>
                    </w:rPr>
                  </w:pPr>
                  <w:r w:rsidRPr="00E46B36">
                    <w:rPr>
                      <w:rFonts w:ascii="楷体" w:eastAsia="楷体" w:hAnsi="楷体" w:cs="宋体" w:hint="eastAsia"/>
                      <w:b/>
                      <w:bCs/>
                      <w:color w:val="FFFFFF"/>
                      <w:kern w:val="0"/>
                      <w:sz w:val="18"/>
                      <w:szCs w:val="18"/>
                    </w:rPr>
                    <w:t>AA+</w:t>
                  </w:r>
                </w:p>
              </w:tc>
              <w:tc>
                <w:tcPr>
                  <w:tcW w:w="930" w:type="dxa"/>
                  <w:tcBorders>
                    <w:top w:val="nil"/>
                    <w:left w:val="nil"/>
                    <w:bottom w:val="single" w:sz="12" w:space="0" w:color="FFFFFF"/>
                    <w:right w:val="single" w:sz="8" w:space="0" w:color="FFFFFF"/>
                  </w:tcBorders>
                  <w:shd w:val="clear" w:color="000000" w:fill="F79646"/>
                  <w:noWrap/>
                  <w:vAlign w:val="center"/>
                  <w:hideMark/>
                </w:tcPr>
                <w:p w14:paraId="573157A9" w14:textId="77777777" w:rsidR="00E46B36" w:rsidRPr="00E46B36" w:rsidRDefault="00E46B36" w:rsidP="00E46B36">
                  <w:pPr>
                    <w:widowControl/>
                    <w:jc w:val="center"/>
                    <w:rPr>
                      <w:rFonts w:ascii="楷体" w:eastAsia="楷体" w:hAnsi="楷体" w:cs="宋体"/>
                      <w:b/>
                      <w:bCs/>
                      <w:color w:val="FFFFFF"/>
                      <w:kern w:val="0"/>
                      <w:sz w:val="18"/>
                      <w:szCs w:val="18"/>
                    </w:rPr>
                  </w:pPr>
                  <w:r w:rsidRPr="00E46B36">
                    <w:rPr>
                      <w:rFonts w:ascii="楷体" w:eastAsia="楷体" w:hAnsi="楷体" w:cs="宋体" w:hint="eastAsia"/>
                      <w:b/>
                      <w:bCs/>
                      <w:color w:val="FFFFFF"/>
                      <w:kern w:val="0"/>
                      <w:sz w:val="18"/>
                      <w:szCs w:val="18"/>
                    </w:rPr>
                    <w:t>AA</w:t>
                  </w:r>
                </w:p>
              </w:tc>
              <w:tc>
                <w:tcPr>
                  <w:tcW w:w="930" w:type="dxa"/>
                  <w:tcBorders>
                    <w:top w:val="nil"/>
                    <w:left w:val="nil"/>
                    <w:bottom w:val="single" w:sz="12" w:space="0" w:color="FFFFFF"/>
                    <w:right w:val="single" w:sz="8" w:space="0" w:color="FFFFFF"/>
                  </w:tcBorders>
                  <w:shd w:val="clear" w:color="000000" w:fill="F79646"/>
                  <w:noWrap/>
                  <w:vAlign w:val="center"/>
                  <w:hideMark/>
                </w:tcPr>
                <w:p w14:paraId="1AFCC4A4" w14:textId="77777777" w:rsidR="00E46B36" w:rsidRPr="00E46B36" w:rsidRDefault="00E46B36" w:rsidP="00E46B36">
                  <w:pPr>
                    <w:widowControl/>
                    <w:jc w:val="center"/>
                    <w:rPr>
                      <w:rFonts w:ascii="楷体" w:eastAsia="楷体" w:hAnsi="楷体" w:cs="宋体"/>
                      <w:b/>
                      <w:bCs/>
                      <w:color w:val="FFFFFF"/>
                      <w:kern w:val="0"/>
                      <w:sz w:val="18"/>
                      <w:szCs w:val="18"/>
                    </w:rPr>
                  </w:pPr>
                  <w:r w:rsidRPr="00E46B36">
                    <w:rPr>
                      <w:rFonts w:ascii="楷体" w:eastAsia="楷体" w:hAnsi="楷体" w:cs="宋体" w:hint="eastAsia"/>
                      <w:b/>
                      <w:bCs/>
                      <w:color w:val="FFFFFF"/>
                      <w:kern w:val="0"/>
                      <w:sz w:val="18"/>
                      <w:szCs w:val="18"/>
                    </w:rPr>
                    <w:t>AA-</w:t>
                  </w:r>
                </w:p>
              </w:tc>
              <w:tc>
                <w:tcPr>
                  <w:tcW w:w="930" w:type="dxa"/>
                  <w:tcBorders>
                    <w:top w:val="nil"/>
                    <w:left w:val="nil"/>
                    <w:bottom w:val="single" w:sz="12" w:space="0" w:color="FFFFFF"/>
                    <w:right w:val="single" w:sz="8" w:space="0" w:color="FFFFFF"/>
                  </w:tcBorders>
                  <w:shd w:val="clear" w:color="000000" w:fill="F79646"/>
                  <w:noWrap/>
                  <w:vAlign w:val="center"/>
                  <w:hideMark/>
                </w:tcPr>
                <w:p w14:paraId="6E107DAD" w14:textId="77777777" w:rsidR="00E46B36" w:rsidRPr="00E46B36" w:rsidRDefault="00E46B36" w:rsidP="00E46B36">
                  <w:pPr>
                    <w:widowControl/>
                    <w:jc w:val="center"/>
                    <w:rPr>
                      <w:rFonts w:ascii="楷体" w:eastAsia="楷体" w:hAnsi="楷体" w:cs="宋体"/>
                      <w:b/>
                      <w:bCs/>
                      <w:color w:val="FFFFFF"/>
                      <w:kern w:val="0"/>
                      <w:sz w:val="18"/>
                      <w:szCs w:val="18"/>
                    </w:rPr>
                  </w:pPr>
                  <w:r w:rsidRPr="00E46B36">
                    <w:rPr>
                      <w:rFonts w:ascii="楷体" w:eastAsia="楷体" w:hAnsi="楷体" w:cs="宋体" w:hint="eastAsia"/>
                      <w:b/>
                      <w:bCs/>
                      <w:color w:val="FFFFFF"/>
                      <w:kern w:val="0"/>
                      <w:sz w:val="18"/>
                      <w:szCs w:val="18"/>
                    </w:rPr>
                    <w:t>息差</w:t>
                  </w:r>
                </w:p>
              </w:tc>
              <w:tc>
                <w:tcPr>
                  <w:tcW w:w="930" w:type="dxa"/>
                  <w:tcBorders>
                    <w:top w:val="nil"/>
                    <w:left w:val="nil"/>
                    <w:bottom w:val="single" w:sz="12" w:space="0" w:color="FFFFFF"/>
                    <w:right w:val="single" w:sz="8" w:space="0" w:color="FFFFFF"/>
                  </w:tcBorders>
                  <w:shd w:val="clear" w:color="000000" w:fill="F79646"/>
                  <w:noWrap/>
                  <w:vAlign w:val="center"/>
                  <w:hideMark/>
                </w:tcPr>
                <w:p w14:paraId="09B2353C" w14:textId="77777777" w:rsidR="00E46B36" w:rsidRPr="00E46B36" w:rsidRDefault="00E46B36" w:rsidP="00E46B36">
                  <w:pPr>
                    <w:widowControl/>
                    <w:jc w:val="center"/>
                    <w:rPr>
                      <w:rFonts w:ascii="楷体" w:eastAsia="楷体" w:hAnsi="楷体" w:cs="宋体"/>
                      <w:b/>
                      <w:bCs/>
                      <w:color w:val="FFFFFF"/>
                      <w:kern w:val="0"/>
                      <w:sz w:val="18"/>
                      <w:szCs w:val="18"/>
                    </w:rPr>
                  </w:pPr>
                  <w:r w:rsidRPr="00E46B36">
                    <w:rPr>
                      <w:rFonts w:ascii="楷体" w:eastAsia="楷体" w:hAnsi="楷体" w:cs="宋体" w:hint="eastAsia"/>
                      <w:b/>
                      <w:bCs/>
                      <w:color w:val="FFFFFF"/>
                      <w:kern w:val="0"/>
                      <w:sz w:val="18"/>
                      <w:szCs w:val="18"/>
                    </w:rPr>
                    <w:t>AAA</w:t>
                  </w:r>
                </w:p>
              </w:tc>
              <w:tc>
                <w:tcPr>
                  <w:tcW w:w="930" w:type="dxa"/>
                  <w:tcBorders>
                    <w:top w:val="nil"/>
                    <w:left w:val="nil"/>
                    <w:bottom w:val="single" w:sz="12" w:space="0" w:color="FFFFFF"/>
                    <w:right w:val="single" w:sz="8" w:space="0" w:color="FFFFFF"/>
                  </w:tcBorders>
                  <w:shd w:val="clear" w:color="000000" w:fill="F79646"/>
                  <w:noWrap/>
                  <w:vAlign w:val="center"/>
                  <w:hideMark/>
                </w:tcPr>
                <w:p w14:paraId="14B0FB1E" w14:textId="77777777" w:rsidR="00E46B36" w:rsidRPr="00E46B36" w:rsidRDefault="00E46B36" w:rsidP="00E46B36">
                  <w:pPr>
                    <w:widowControl/>
                    <w:jc w:val="center"/>
                    <w:rPr>
                      <w:rFonts w:ascii="楷体" w:eastAsia="楷体" w:hAnsi="楷体" w:cs="宋体"/>
                      <w:b/>
                      <w:bCs/>
                      <w:color w:val="FFFFFF"/>
                      <w:kern w:val="0"/>
                      <w:sz w:val="18"/>
                      <w:szCs w:val="18"/>
                    </w:rPr>
                  </w:pPr>
                  <w:r w:rsidRPr="00E46B36">
                    <w:rPr>
                      <w:rFonts w:ascii="楷体" w:eastAsia="楷体" w:hAnsi="楷体" w:cs="宋体" w:hint="eastAsia"/>
                      <w:b/>
                      <w:bCs/>
                      <w:color w:val="FFFFFF"/>
                      <w:kern w:val="0"/>
                      <w:sz w:val="18"/>
                      <w:szCs w:val="18"/>
                    </w:rPr>
                    <w:t>AA+</w:t>
                  </w:r>
                </w:p>
              </w:tc>
              <w:tc>
                <w:tcPr>
                  <w:tcW w:w="930" w:type="dxa"/>
                  <w:tcBorders>
                    <w:top w:val="nil"/>
                    <w:left w:val="nil"/>
                    <w:bottom w:val="single" w:sz="12" w:space="0" w:color="FFFFFF"/>
                    <w:right w:val="single" w:sz="8" w:space="0" w:color="FFFFFF"/>
                  </w:tcBorders>
                  <w:shd w:val="clear" w:color="000000" w:fill="F79646"/>
                  <w:noWrap/>
                  <w:vAlign w:val="center"/>
                  <w:hideMark/>
                </w:tcPr>
                <w:p w14:paraId="649E69D7" w14:textId="77777777" w:rsidR="00E46B36" w:rsidRPr="00E46B36" w:rsidRDefault="00E46B36" w:rsidP="00E46B36">
                  <w:pPr>
                    <w:widowControl/>
                    <w:jc w:val="center"/>
                    <w:rPr>
                      <w:rFonts w:ascii="楷体" w:eastAsia="楷体" w:hAnsi="楷体" w:cs="宋体"/>
                      <w:b/>
                      <w:bCs/>
                      <w:color w:val="FFFFFF"/>
                      <w:kern w:val="0"/>
                      <w:sz w:val="18"/>
                      <w:szCs w:val="18"/>
                    </w:rPr>
                  </w:pPr>
                  <w:r w:rsidRPr="00E46B36">
                    <w:rPr>
                      <w:rFonts w:ascii="楷体" w:eastAsia="楷体" w:hAnsi="楷体" w:cs="宋体" w:hint="eastAsia"/>
                      <w:b/>
                      <w:bCs/>
                      <w:color w:val="FFFFFF"/>
                      <w:kern w:val="0"/>
                      <w:sz w:val="18"/>
                      <w:szCs w:val="18"/>
                    </w:rPr>
                    <w:t>AA</w:t>
                  </w:r>
                </w:p>
              </w:tc>
              <w:tc>
                <w:tcPr>
                  <w:tcW w:w="930" w:type="dxa"/>
                  <w:tcBorders>
                    <w:top w:val="nil"/>
                    <w:left w:val="nil"/>
                    <w:bottom w:val="single" w:sz="12" w:space="0" w:color="FFFFFF"/>
                    <w:right w:val="single" w:sz="8" w:space="0" w:color="FFFFFF"/>
                  </w:tcBorders>
                  <w:shd w:val="clear" w:color="000000" w:fill="F79646"/>
                  <w:noWrap/>
                  <w:vAlign w:val="center"/>
                  <w:hideMark/>
                </w:tcPr>
                <w:p w14:paraId="2C4F42EF" w14:textId="77777777" w:rsidR="00E46B36" w:rsidRPr="00E46B36" w:rsidRDefault="00E46B36" w:rsidP="00E46B36">
                  <w:pPr>
                    <w:widowControl/>
                    <w:jc w:val="center"/>
                    <w:rPr>
                      <w:rFonts w:ascii="楷体" w:eastAsia="楷体" w:hAnsi="楷体" w:cs="宋体"/>
                      <w:b/>
                      <w:bCs/>
                      <w:color w:val="FFFFFF"/>
                      <w:kern w:val="0"/>
                      <w:sz w:val="18"/>
                      <w:szCs w:val="18"/>
                    </w:rPr>
                  </w:pPr>
                  <w:r w:rsidRPr="00E46B36">
                    <w:rPr>
                      <w:rFonts w:ascii="楷体" w:eastAsia="楷体" w:hAnsi="楷体" w:cs="宋体" w:hint="eastAsia"/>
                      <w:b/>
                      <w:bCs/>
                      <w:color w:val="FFFFFF"/>
                      <w:kern w:val="0"/>
                      <w:sz w:val="18"/>
                      <w:szCs w:val="18"/>
                    </w:rPr>
                    <w:t>AA-</w:t>
                  </w:r>
                </w:p>
              </w:tc>
            </w:tr>
            <w:tr w:rsidR="00E46B36" w:rsidRPr="006E06F9" w14:paraId="15AEB4F8" w14:textId="77777777" w:rsidTr="00E46B36">
              <w:trPr>
                <w:trHeight w:val="307"/>
              </w:trPr>
              <w:tc>
                <w:tcPr>
                  <w:tcW w:w="1146" w:type="dxa"/>
                  <w:tcBorders>
                    <w:top w:val="nil"/>
                    <w:left w:val="nil"/>
                    <w:bottom w:val="single" w:sz="8" w:space="0" w:color="FFFFFF"/>
                    <w:right w:val="single" w:sz="8" w:space="0" w:color="FFFFFF"/>
                  </w:tcBorders>
                  <w:shd w:val="clear" w:color="000000" w:fill="FCD5B4"/>
                  <w:noWrap/>
                  <w:vAlign w:val="center"/>
                  <w:hideMark/>
                </w:tcPr>
                <w:p w14:paraId="40278963" w14:textId="77777777" w:rsidR="00E46B36" w:rsidRPr="00E46B36" w:rsidRDefault="00E46B36" w:rsidP="00E46B36">
                  <w:pPr>
                    <w:widowControl/>
                    <w:jc w:val="center"/>
                    <w:rPr>
                      <w:rFonts w:ascii="楷体" w:eastAsia="楷体" w:hAnsi="楷体" w:cs="宋体"/>
                      <w:color w:val="000000"/>
                      <w:kern w:val="0"/>
                      <w:sz w:val="18"/>
                      <w:szCs w:val="18"/>
                    </w:rPr>
                  </w:pPr>
                  <w:r w:rsidRPr="00E46B36">
                    <w:rPr>
                      <w:rFonts w:ascii="楷体" w:eastAsia="楷体" w:hAnsi="楷体" w:cs="宋体" w:hint="eastAsia"/>
                      <w:color w:val="000000"/>
                      <w:kern w:val="0"/>
                      <w:sz w:val="18"/>
                      <w:szCs w:val="18"/>
                    </w:rPr>
                    <w:t>CP</w:t>
                  </w:r>
                </w:p>
              </w:tc>
              <w:tc>
                <w:tcPr>
                  <w:tcW w:w="930" w:type="dxa"/>
                  <w:tcBorders>
                    <w:top w:val="nil"/>
                    <w:left w:val="nil"/>
                    <w:bottom w:val="single" w:sz="8" w:space="0" w:color="FFFFFF"/>
                    <w:right w:val="single" w:sz="8" w:space="0" w:color="FFFFFF"/>
                  </w:tcBorders>
                  <w:shd w:val="clear" w:color="000000" w:fill="FCD5B4"/>
                  <w:noWrap/>
                  <w:vAlign w:val="center"/>
                  <w:hideMark/>
                </w:tcPr>
                <w:p w14:paraId="47CE7ED8"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000000"/>
                      <w:kern w:val="0"/>
                      <w:sz w:val="18"/>
                      <w:szCs w:val="18"/>
                    </w:rPr>
                    <w:t xml:space="preserve">2.91 </w:t>
                  </w:r>
                </w:p>
              </w:tc>
              <w:tc>
                <w:tcPr>
                  <w:tcW w:w="930" w:type="dxa"/>
                  <w:tcBorders>
                    <w:top w:val="nil"/>
                    <w:left w:val="nil"/>
                    <w:bottom w:val="single" w:sz="8" w:space="0" w:color="FFFFFF"/>
                    <w:right w:val="single" w:sz="8" w:space="0" w:color="FFFFFF"/>
                  </w:tcBorders>
                  <w:shd w:val="clear" w:color="000000" w:fill="FCD5B4"/>
                  <w:noWrap/>
                  <w:vAlign w:val="center"/>
                  <w:hideMark/>
                </w:tcPr>
                <w:p w14:paraId="57E5032D"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000000"/>
                      <w:kern w:val="0"/>
                      <w:sz w:val="18"/>
                      <w:szCs w:val="18"/>
                    </w:rPr>
                    <w:t xml:space="preserve">3.06 </w:t>
                  </w:r>
                </w:p>
              </w:tc>
              <w:tc>
                <w:tcPr>
                  <w:tcW w:w="930" w:type="dxa"/>
                  <w:tcBorders>
                    <w:top w:val="nil"/>
                    <w:left w:val="nil"/>
                    <w:bottom w:val="single" w:sz="8" w:space="0" w:color="FFFFFF"/>
                    <w:right w:val="single" w:sz="8" w:space="0" w:color="FFFFFF"/>
                  </w:tcBorders>
                  <w:shd w:val="clear" w:color="000000" w:fill="FCD5B4"/>
                  <w:noWrap/>
                  <w:vAlign w:val="center"/>
                  <w:hideMark/>
                </w:tcPr>
                <w:p w14:paraId="07B7C5F8"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000000"/>
                      <w:kern w:val="0"/>
                      <w:sz w:val="18"/>
                      <w:szCs w:val="18"/>
                    </w:rPr>
                    <w:t xml:space="preserve">3.28 </w:t>
                  </w:r>
                </w:p>
              </w:tc>
              <w:tc>
                <w:tcPr>
                  <w:tcW w:w="930" w:type="dxa"/>
                  <w:tcBorders>
                    <w:top w:val="nil"/>
                    <w:left w:val="nil"/>
                    <w:bottom w:val="single" w:sz="8" w:space="0" w:color="FFFFFF"/>
                    <w:right w:val="single" w:sz="8" w:space="0" w:color="FFFFFF"/>
                  </w:tcBorders>
                  <w:shd w:val="clear" w:color="000000" w:fill="FCD5B4"/>
                  <w:noWrap/>
                  <w:vAlign w:val="center"/>
                  <w:hideMark/>
                </w:tcPr>
                <w:p w14:paraId="30326ECC"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000000"/>
                      <w:kern w:val="0"/>
                      <w:sz w:val="18"/>
                      <w:szCs w:val="18"/>
                    </w:rPr>
                    <w:t xml:space="preserve">5.41 </w:t>
                  </w:r>
                </w:p>
              </w:tc>
              <w:tc>
                <w:tcPr>
                  <w:tcW w:w="930" w:type="dxa"/>
                  <w:tcBorders>
                    <w:top w:val="nil"/>
                    <w:left w:val="nil"/>
                    <w:bottom w:val="single" w:sz="8" w:space="0" w:color="FFFFFF"/>
                    <w:right w:val="single" w:sz="8" w:space="0" w:color="FFFFFF"/>
                  </w:tcBorders>
                  <w:shd w:val="clear" w:color="000000" w:fill="FCD5B4"/>
                  <w:noWrap/>
                  <w:vAlign w:val="center"/>
                  <w:hideMark/>
                </w:tcPr>
                <w:p w14:paraId="19D14853" w14:textId="77777777" w:rsidR="00E46B36" w:rsidRPr="00E46B36" w:rsidRDefault="00E46B36" w:rsidP="00E46B36">
                  <w:pPr>
                    <w:widowControl/>
                    <w:jc w:val="center"/>
                    <w:rPr>
                      <w:rFonts w:ascii="楷体" w:eastAsia="楷体" w:hAnsi="楷体" w:cs="宋体"/>
                      <w:color w:val="000000"/>
                      <w:kern w:val="0"/>
                      <w:sz w:val="18"/>
                      <w:szCs w:val="18"/>
                    </w:rPr>
                  </w:pPr>
                  <w:r w:rsidRPr="00E46B36">
                    <w:rPr>
                      <w:rFonts w:ascii="楷体" w:eastAsia="楷体" w:hAnsi="楷体" w:cs="宋体" w:hint="eastAsia"/>
                      <w:color w:val="000000"/>
                      <w:kern w:val="0"/>
                      <w:sz w:val="18"/>
                      <w:szCs w:val="18"/>
                    </w:rPr>
                    <w:t>CP</w:t>
                  </w:r>
                </w:p>
              </w:tc>
              <w:tc>
                <w:tcPr>
                  <w:tcW w:w="930" w:type="dxa"/>
                  <w:tcBorders>
                    <w:top w:val="nil"/>
                    <w:left w:val="nil"/>
                    <w:bottom w:val="single" w:sz="8" w:space="0" w:color="FFFFFF"/>
                    <w:right w:val="single" w:sz="8" w:space="0" w:color="FFFFFF"/>
                  </w:tcBorders>
                  <w:shd w:val="clear" w:color="000000" w:fill="FCD5B4"/>
                  <w:noWrap/>
                  <w:vAlign w:val="center"/>
                  <w:hideMark/>
                </w:tcPr>
                <w:p w14:paraId="0CD0652F"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000000"/>
                      <w:kern w:val="0"/>
                      <w:sz w:val="18"/>
                      <w:szCs w:val="18"/>
                    </w:rPr>
                    <w:t xml:space="preserve">0.67 </w:t>
                  </w:r>
                </w:p>
              </w:tc>
              <w:tc>
                <w:tcPr>
                  <w:tcW w:w="930" w:type="dxa"/>
                  <w:tcBorders>
                    <w:top w:val="nil"/>
                    <w:left w:val="nil"/>
                    <w:bottom w:val="single" w:sz="8" w:space="0" w:color="FFFFFF"/>
                    <w:right w:val="single" w:sz="8" w:space="0" w:color="FFFFFF"/>
                  </w:tcBorders>
                  <w:shd w:val="clear" w:color="000000" w:fill="FCD5B4"/>
                  <w:noWrap/>
                  <w:vAlign w:val="center"/>
                  <w:hideMark/>
                </w:tcPr>
                <w:p w14:paraId="31C66510"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000000"/>
                      <w:kern w:val="0"/>
                      <w:sz w:val="18"/>
                      <w:szCs w:val="18"/>
                    </w:rPr>
                    <w:t xml:space="preserve">0.82 </w:t>
                  </w:r>
                </w:p>
              </w:tc>
              <w:tc>
                <w:tcPr>
                  <w:tcW w:w="930" w:type="dxa"/>
                  <w:tcBorders>
                    <w:top w:val="nil"/>
                    <w:left w:val="nil"/>
                    <w:bottom w:val="single" w:sz="8" w:space="0" w:color="FFFFFF"/>
                    <w:right w:val="single" w:sz="8" w:space="0" w:color="FFFFFF"/>
                  </w:tcBorders>
                  <w:shd w:val="clear" w:color="000000" w:fill="FCD5B4"/>
                  <w:noWrap/>
                  <w:vAlign w:val="center"/>
                  <w:hideMark/>
                </w:tcPr>
                <w:p w14:paraId="231FD801"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000000"/>
                      <w:kern w:val="0"/>
                      <w:sz w:val="18"/>
                      <w:szCs w:val="18"/>
                    </w:rPr>
                    <w:t xml:space="preserve">1.04 </w:t>
                  </w:r>
                </w:p>
              </w:tc>
              <w:tc>
                <w:tcPr>
                  <w:tcW w:w="930" w:type="dxa"/>
                  <w:tcBorders>
                    <w:top w:val="nil"/>
                    <w:left w:val="nil"/>
                    <w:bottom w:val="single" w:sz="8" w:space="0" w:color="FFFFFF"/>
                    <w:right w:val="single" w:sz="8" w:space="0" w:color="FFFFFF"/>
                  </w:tcBorders>
                  <w:shd w:val="clear" w:color="000000" w:fill="FCD5B4"/>
                  <w:noWrap/>
                  <w:vAlign w:val="center"/>
                  <w:hideMark/>
                </w:tcPr>
                <w:p w14:paraId="17AE52E4"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000000"/>
                      <w:kern w:val="0"/>
                      <w:sz w:val="18"/>
                      <w:szCs w:val="18"/>
                    </w:rPr>
                    <w:t xml:space="preserve">3.17 </w:t>
                  </w:r>
                </w:p>
              </w:tc>
            </w:tr>
            <w:tr w:rsidR="00E46B36" w:rsidRPr="006E06F9" w14:paraId="5E994239" w14:textId="77777777" w:rsidTr="00E46B36">
              <w:trPr>
                <w:trHeight w:val="292"/>
              </w:trPr>
              <w:tc>
                <w:tcPr>
                  <w:tcW w:w="1146" w:type="dxa"/>
                  <w:tcBorders>
                    <w:top w:val="nil"/>
                    <w:left w:val="nil"/>
                    <w:bottom w:val="single" w:sz="8" w:space="0" w:color="FFFFFF"/>
                    <w:right w:val="single" w:sz="8" w:space="0" w:color="FFFFFF"/>
                  </w:tcBorders>
                  <w:shd w:val="clear" w:color="000000" w:fill="FDE9D9"/>
                  <w:noWrap/>
                  <w:vAlign w:val="center"/>
                  <w:hideMark/>
                </w:tcPr>
                <w:p w14:paraId="6A615426" w14:textId="77777777" w:rsidR="00E46B36" w:rsidRPr="00E46B36" w:rsidRDefault="00E46B36" w:rsidP="00E46B36">
                  <w:pPr>
                    <w:widowControl/>
                    <w:jc w:val="center"/>
                    <w:rPr>
                      <w:rFonts w:ascii="楷体" w:eastAsia="楷体" w:hAnsi="楷体" w:cs="宋体"/>
                      <w:color w:val="000000"/>
                      <w:kern w:val="0"/>
                      <w:sz w:val="18"/>
                      <w:szCs w:val="18"/>
                    </w:rPr>
                  </w:pPr>
                  <w:r w:rsidRPr="00E46B36">
                    <w:rPr>
                      <w:rFonts w:ascii="楷体" w:eastAsia="楷体" w:hAnsi="楷体" w:cs="宋体" w:hint="eastAsia"/>
                      <w:color w:val="000000"/>
                      <w:kern w:val="0"/>
                      <w:sz w:val="18"/>
                      <w:szCs w:val="18"/>
                    </w:rPr>
                    <w:t>MTN3Y</w:t>
                  </w:r>
                </w:p>
              </w:tc>
              <w:tc>
                <w:tcPr>
                  <w:tcW w:w="930" w:type="dxa"/>
                  <w:tcBorders>
                    <w:top w:val="nil"/>
                    <w:left w:val="nil"/>
                    <w:bottom w:val="single" w:sz="8" w:space="0" w:color="FFFFFF"/>
                    <w:right w:val="single" w:sz="8" w:space="0" w:color="FFFFFF"/>
                  </w:tcBorders>
                  <w:shd w:val="clear" w:color="000000" w:fill="FDE9D9"/>
                  <w:noWrap/>
                  <w:vAlign w:val="center"/>
                  <w:hideMark/>
                </w:tcPr>
                <w:p w14:paraId="32E62FA4"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000000"/>
                      <w:kern w:val="0"/>
                      <w:sz w:val="18"/>
                      <w:szCs w:val="18"/>
                    </w:rPr>
                    <w:t xml:space="preserve">3.52 </w:t>
                  </w:r>
                </w:p>
              </w:tc>
              <w:tc>
                <w:tcPr>
                  <w:tcW w:w="930" w:type="dxa"/>
                  <w:tcBorders>
                    <w:top w:val="nil"/>
                    <w:left w:val="nil"/>
                    <w:bottom w:val="single" w:sz="8" w:space="0" w:color="FFFFFF"/>
                    <w:right w:val="single" w:sz="8" w:space="0" w:color="FFFFFF"/>
                  </w:tcBorders>
                  <w:shd w:val="clear" w:color="000000" w:fill="FDE9D9"/>
                  <w:noWrap/>
                  <w:vAlign w:val="center"/>
                  <w:hideMark/>
                </w:tcPr>
                <w:p w14:paraId="43BE6764"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000000"/>
                      <w:kern w:val="0"/>
                      <w:sz w:val="18"/>
                      <w:szCs w:val="18"/>
                    </w:rPr>
                    <w:t xml:space="preserve">3.70 </w:t>
                  </w:r>
                </w:p>
              </w:tc>
              <w:tc>
                <w:tcPr>
                  <w:tcW w:w="930" w:type="dxa"/>
                  <w:tcBorders>
                    <w:top w:val="nil"/>
                    <w:left w:val="nil"/>
                    <w:bottom w:val="single" w:sz="8" w:space="0" w:color="FFFFFF"/>
                    <w:right w:val="single" w:sz="8" w:space="0" w:color="FFFFFF"/>
                  </w:tcBorders>
                  <w:shd w:val="clear" w:color="000000" w:fill="FDE9D9"/>
                  <w:noWrap/>
                  <w:vAlign w:val="center"/>
                  <w:hideMark/>
                </w:tcPr>
                <w:p w14:paraId="7A9145BC"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000000"/>
                      <w:kern w:val="0"/>
                      <w:sz w:val="18"/>
                      <w:szCs w:val="18"/>
                    </w:rPr>
                    <w:t xml:space="preserve">3.98 </w:t>
                  </w:r>
                </w:p>
              </w:tc>
              <w:tc>
                <w:tcPr>
                  <w:tcW w:w="930" w:type="dxa"/>
                  <w:tcBorders>
                    <w:top w:val="nil"/>
                    <w:left w:val="nil"/>
                    <w:bottom w:val="single" w:sz="8" w:space="0" w:color="FFFFFF"/>
                    <w:right w:val="single" w:sz="8" w:space="0" w:color="FFFFFF"/>
                  </w:tcBorders>
                  <w:shd w:val="clear" w:color="000000" w:fill="FDE9D9"/>
                  <w:noWrap/>
                  <w:vAlign w:val="center"/>
                  <w:hideMark/>
                </w:tcPr>
                <w:p w14:paraId="322D3868"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000000"/>
                      <w:kern w:val="0"/>
                      <w:sz w:val="18"/>
                      <w:szCs w:val="18"/>
                    </w:rPr>
                    <w:t xml:space="preserve">6.11 </w:t>
                  </w:r>
                </w:p>
              </w:tc>
              <w:tc>
                <w:tcPr>
                  <w:tcW w:w="930" w:type="dxa"/>
                  <w:tcBorders>
                    <w:top w:val="nil"/>
                    <w:left w:val="nil"/>
                    <w:bottom w:val="single" w:sz="8" w:space="0" w:color="FFFFFF"/>
                    <w:right w:val="single" w:sz="8" w:space="0" w:color="FFFFFF"/>
                  </w:tcBorders>
                  <w:shd w:val="clear" w:color="000000" w:fill="FDE9D9"/>
                  <w:noWrap/>
                  <w:vAlign w:val="center"/>
                  <w:hideMark/>
                </w:tcPr>
                <w:p w14:paraId="0BD9B20B" w14:textId="77777777" w:rsidR="00E46B36" w:rsidRPr="00E46B36" w:rsidRDefault="00E46B36" w:rsidP="00E46B36">
                  <w:pPr>
                    <w:widowControl/>
                    <w:jc w:val="center"/>
                    <w:rPr>
                      <w:rFonts w:ascii="楷体" w:eastAsia="楷体" w:hAnsi="楷体" w:cs="宋体"/>
                      <w:color w:val="000000"/>
                      <w:kern w:val="0"/>
                      <w:sz w:val="18"/>
                      <w:szCs w:val="18"/>
                    </w:rPr>
                  </w:pPr>
                  <w:r w:rsidRPr="00E46B36">
                    <w:rPr>
                      <w:rFonts w:ascii="楷体" w:eastAsia="楷体" w:hAnsi="楷体" w:cs="宋体" w:hint="eastAsia"/>
                      <w:color w:val="000000"/>
                      <w:kern w:val="0"/>
                      <w:sz w:val="18"/>
                      <w:szCs w:val="18"/>
                    </w:rPr>
                    <w:t>MTN3Y</w:t>
                  </w:r>
                </w:p>
              </w:tc>
              <w:tc>
                <w:tcPr>
                  <w:tcW w:w="930" w:type="dxa"/>
                  <w:tcBorders>
                    <w:top w:val="nil"/>
                    <w:left w:val="nil"/>
                    <w:bottom w:val="single" w:sz="8" w:space="0" w:color="FFFFFF"/>
                    <w:right w:val="single" w:sz="8" w:space="0" w:color="FFFFFF"/>
                  </w:tcBorders>
                  <w:shd w:val="clear" w:color="000000" w:fill="FDE9D9"/>
                  <w:noWrap/>
                  <w:vAlign w:val="center"/>
                  <w:hideMark/>
                </w:tcPr>
                <w:p w14:paraId="399015AE"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000000"/>
                      <w:kern w:val="0"/>
                      <w:sz w:val="18"/>
                      <w:szCs w:val="18"/>
                    </w:rPr>
                    <w:t xml:space="preserve">1.00 </w:t>
                  </w:r>
                </w:p>
              </w:tc>
              <w:tc>
                <w:tcPr>
                  <w:tcW w:w="930" w:type="dxa"/>
                  <w:tcBorders>
                    <w:top w:val="nil"/>
                    <w:left w:val="nil"/>
                    <w:bottom w:val="single" w:sz="8" w:space="0" w:color="FFFFFF"/>
                    <w:right w:val="single" w:sz="8" w:space="0" w:color="FFFFFF"/>
                  </w:tcBorders>
                  <w:shd w:val="clear" w:color="000000" w:fill="FDE9D9"/>
                  <w:noWrap/>
                  <w:vAlign w:val="center"/>
                  <w:hideMark/>
                </w:tcPr>
                <w:p w14:paraId="679C8B33"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000000"/>
                      <w:kern w:val="0"/>
                      <w:sz w:val="18"/>
                      <w:szCs w:val="18"/>
                    </w:rPr>
                    <w:t xml:space="preserve">1.18 </w:t>
                  </w:r>
                </w:p>
              </w:tc>
              <w:tc>
                <w:tcPr>
                  <w:tcW w:w="930" w:type="dxa"/>
                  <w:tcBorders>
                    <w:top w:val="nil"/>
                    <w:left w:val="nil"/>
                    <w:bottom w:val="single" w:sz="8" w:space="0" w:color="FFFFFF"/>
                    <w:right w:val="single" w:sz="8" w:space="0" w:color="FFFFFF"/>
                  </w:tcBorders>
                  <w:shd w:val="clear" w:color="000000" w:fill="FDE9D9"/>
                  <w:noWrap/>
                  <w:vAlign w:val="center"/>
                  <w:hideMark/>
                </w:tcPr>
                <w:p w14:paraId="7B951F4E"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000000"/>
                      <w:kern w:val="0"/>
                      <w:sz w:val="18"/>
                      <w:szCs w:val="18"/>
                    </w:rPr>
                    <w:t xml:space="preserve">1.46 </w:t>
                  </w:r>
                </w:p>
              </w:tc>
              <w:tc>
                <w:tcPr>
                  <w:tcW w:w="930" w:type="dxa"/>
                  <w:tcBorders>
                    <w:top w:val="nil"/>
                    <w:left w:val="nil"/>
                    <w:bottom w:val="single" w:sz="8" w:space="0" w:color="FFFFFF"/>
                    <w:right w:val="single" w:sz="8" w:space="0" w:color="FFFFFF"/>
                  </w:tcBorders>
                  <w:shd w:val="clear" w:color="000000" w:fill="FDE9D9"/>
                  <w:noWrap/>
                  <w:vAlign w:val="center"/>
                  <w:hideMark/>
                </w:tcPr>
                <w:p w14:paraId="22DEF63D"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000000"/>
                      <w:kern w:val="0"/>
                      <w:sz w:val="18"/>
                      <w:szCs w:val="18"/>
                    </w:rPr>
                    <w:t xml:space="preserve">3.59 </w:t>
                  </w:r>
                </w:p>
              </w:tc>
            </w:tr>
            <w:tr w:rsidR="00E46B36" w:rsidRPr="006E06F9" w14:paraId="25FDDA36" w14:textId="77777777" w:rsidTr="00E46B36">
              <w:trPr>
                <w:trHeight w:val="292"/>
              </w:trPr>
              <w:tc>
                <w:tcPr>
                  <w:tcW w:w="1146" w:type="dxa"/>
                  <w:tcBorders>
                    <w:top w:val="nil"/>
                    <w:left w:val="nil"/>
                    <w:bottom w:val="single" w:sz="8" w:space="0" w:color="FFFFFF"/>
                    <w:right w:val="single" w:sz="8" w:space="0" w:color="FFFFFF"/>
                  </w:tcBorders>
                  <w:shd w:val="clear" w:color="000000" w:fill="FCD5B4"/>
                  <w:noWrap/>
                  <w:vAlign w:val="center"/>
                  <w:hideMark/>
                </w:tcPr>
                <w:p w14:paraId="388E6A29" w14:textId="77777777" w:rsidR="00E46B36" w:rsidRPr="00E46B36" w:rsidRDefault="00E46B36" w:rsidP="00E46B36">
                  <w:pPr>
                    <w:widowControl/>
                    <w:jc w:val="center"/>
                    <w:rPr>
                      <w:rFonts w:ascii="楷体" w:eastAsia="楷体" w:hAnsi="楷体" w:cs="宋体"/>
                      <w:color w:val="000000"/>
                      <w:kern w:val="0"/>
                      <w:sz w:val="18"/>
                      <w:szCs w:val="18"/>
                    </w:rPr>
                  </w:pPr>
                  <w:r w:rsidRPr="00E46B36">
                    <w:rPr>
                      <w:rFonts w:ascii="楷体" w:eastAsia="楷体" w:hAnsi="楷体" w:cs="宋体" w:hint="eastAsia"/>
                      <w:color w:val="000000"/>
                      <w:kern w:val="0"/>
                      <w:sz w:val="18"/>
                      <w:szCs w:val="18"/>
                    </w:rPr>
                    <w:t>MTN5Y</w:t>
                  </w:r>
                </w:p>
              </w:tc>
              <w:tc>
                <w:tcPr>
                  <w:tcW w:w="930" w:type="dxa"/>
                  <w:tcBorders>
                    <w:top w:val="nil"/>
                    <w:left w:val="nil"/>
                    <w:bottom w:val="single" w:sz="8" w:space="0" w:color="FFFFFF"/>
                    <w:right w:val="single" w:sz="8" w:space="0" w:color="FFFFFF"/>
                  </w:tcBorders>
                  <w:shd w:val="clear" w:color="000000" w:fill="FCD5B4"/>
                  <w:noWrap/>
                  <w:vAlign w:val="center"/>
                  <w:hideMark/>
                </w:tcPr>
                <w:p w14:paraId="4A8B7E7C"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000000"/>
                      <w:kern w:val="0"/>
                      <w:sz w:val="18"/>
                      <w:szCs w:val="18"/>
                    </w:rPr>
                    <w:t xml:space="preserve">3.78 </w:t>
                  </w:r>
                </w:p>
              </w:tc>
              <w:tc>
                <w:tcPr>
                  <w:tcW w:w="930" w:type="dxa"/>
                  <w:tcBorders>
                    <w:top w:val="nil"/>
                    <w:left w:val="nil"/>
                    <w:bottom w:val="single" w:sz="8" w:space="0" w:color="FFFFFF"/>
                    <w:right w:val="single" w:sz="8" w:space="0" w:color="FFFFFF"/>
                  </w:tcBorders>
                  <w:shd w:val="clear" w:color="000000" w:fill="FCD5B4"/>
                  <w:noWrap/>
                  <w:vAlign w:val="center"/>
                  <w:hideMark/>
                </w:tcPr>
                <w:p w14:paraId="648041D9"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000000"/>
                      <w:kern w:val="0"/>
                      <w:sz w:val="18"/>
                      <w:szCs w:val="18"/>
                    </w:rPr>
                    <w:t xml:space="preserve">4.05 </w:t>
                  </w:r>
                </w:p>
              </w:tc>
              <w:tc>
                <w:tcPr>
                  <w:tcW w:w="930" w:type="dxa"/>
                  <w:tcBorders>
                    <w:top w:val="nil"/>
                    <w:left w:val="nil"/>
                    <w:bottom w:val="single" w:sz="8" w:space="0" w:color="FFFFFF"/>
                    <w:right w:val="single" w:sz="8" w:space="0" w:color="FFFFFF"/>
                  </w:tcBorders>
                  <w:shd w:val="clear" w:color="000000" w:fill="FCD5B4"/>
                  <w:noWrap/>
                  <w:vAlign w:val="center"/>
                  <w:hideMark/>
                </w:tcPr>
                <w:p w14:paraId="276B03C4"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000000"/>
                      <w:kern w:val="0"/>
                      <w:sz w:val="18"/>
                      <w:szCs w:val="18"/>
                    </w:rPr>
                    <w:t xml:space="preserve">4.43 </w:t>
                  </w:r>
                </w:p>
              </w:tc>
              <w:tc>
                <w:tcPr>
                  <w:tcW w:w="930" w:type="dxa"/>
                  <w:tcBorders>
                    <w:top w:val="nil"/>
                    <w:left w:val="nil"/>
                    <w:bottom w:val="single" w:sz="8" w:space="0" w:color="FFFFFF"/>
                    <w:right w:val="single" w:sz="8" w:space="0" w:color="FFFFFF"/>
                  </w:tcBorders>
                  <w:shd w:val="clear" w:color="000000" w:fill="FCD5B4"/>
                  <w:noWrap/>
                  <w:vAlign w:val="center"/>
                  <w:hideMark/>
                </w:tcPr>
                <w:p w14:paraId="4F7C3930"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000000"/>
                      <w:kern w:val="0"/>
                      <w:sz w:val="18"/>
                      <w:szCs w:val="18"/>
                    </w:rPr>
                    <w:t xml:space="preserve">6.60 </w:t>
                  </w:r>
                </w:p>
              </w:tc>
              <w:tc>
                <w:tcPr>
                  <w:tcW w:w="930" w:type="dxa"/>
                  <w:tcBorders>
                    <w:top w:val="nil"/>
                    <w:left w:val="nil"/>
                    <w:bottom w:val="single" w:sz="8" w:space="0" w:color="FFFFFF"/>
                    <w:right w:val="single" w:sz="8" w:space="0" w:color="FFFFFF"/>
                  </w:tcBorders>
                  <w:shd w:val="clear" w:color="000000" w:fill="FCD5B4"/>
                  <w:noWrap/>
                  <w:vAlign w:val="center"/>
                  <w:hideMark/>
                </w:tcPr>
                <w:p w14:paraId="6BAACF1C" w14:textId="77777777" w:rsidR="00E46B36" w:rsidRPr="00E46B36" w:rsidRDefault="00E46B36" w:rsidP="00E46B36">
                  <w:pPr>
                    <w:widowControl/>
                    <w:jc w:val="center"/>
                    <w:rPr>
                      <w:rFonts w:ascii="楷体" w:eastAsia="楷体" w:hAnsi="楷体" w:cs="宋体"/>
                      <w:color w:val="000000"/>
                      <w:kern w:val="0"/>
                      <w:sz w:val="18"/>
                      <w:szCs w:val="18"/>
                    </w:rPr>
                  </w:pPr>
                  <w:r w:rsidRPr="00E46B36">
                    <w:rPr>
                      <w:rFonts w:ascii="楷体" w:eastAsia="楷体" w:hAnsi="楷体" w:cs="宋体" w:hint="eastAsia"/>
                      <w:color w:val="000000"/>
                      <w:kern w:val="0"/>
                      <w:sz w:val="18"/>
                      <w:szCs w:val="18"/>
                    </w:rPr>
                    <w:t>MTN5Y</w:t>
                  </w:r>
                </w:p>
              </w:tc>
              <w:tc>
                <w:tcPr>
                  <w:tcW w:w="930" w:type="dxa"/>
                  <w:tcBorders>
                    <w:top w:val="nil"/>
                    <w:left w:val="nil"/>
                    <w:bottom w:val="single" w:sz="8" w:space="0" w:color="FFFFFF"/>
                    <w:right w:val="single" w:sz="8" w:space="0" w:color="FFFFFF"/>
                  </w:tcBorders>
                  <w:shd w:val="clear" w:color="000000" w:fill="FCD5B4"/>
                  <w:noWrap/>
                  <w:vAlign w:val="center"/>
                  <w:hideMark/>
                </w:tcPr>
                <w:p w14:paraId="12D85BDD"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000000"/>
                      <w:kern w:val="0"/>
                      <w:sz w:val="18"/>
                      <w:szCs w:val="18"/>
                    </w:rPr>
                    <w:t xml:space="preserve">1.07 </w:t>
                  </w:r>
                </w:p>
              </w:tc>
              <w:tc>
                <w:tcPr>
                  <w:tcW w:w="930" w:type="dxa"/>
                  <w:tcBorders>
                    <w:top w:val="nil"/>
                    <w:left w:val="nil"/>
                    <w:bottom w:val="single" w:sz="8" w:space="0" w:color="FFFFFF"/>
                    <w:right w:val="single" w:sz="8" w:space="0" w:color="FFFFFF"/>
                  </w:tcBorders>
                  <w:shd w:val="clear" w:color="000000" w:fill="FCD5B4"/>
                  <w:noWrap/>
                  <w:vAlign w:val="center"/>
                  <w:hideMark/>
                </w:tcPr>
                <w:p w14:paraId="1148D5F9"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000000"/>
                      <w:kern w:val="0"/>
                      <w:sz w:val="18"/>
                      <w:szCs w:val="18"/>
                    </w:rPr>
                    <w:t xml:space="preserve">1.34 </w:t>
                  </w:r>
                </w:p>
              </w:tc>
              <w:tc>
                <w:tcPr>
                  <w:tcW w:w="930" w:type="dxa"/>
                  <w:tcBorders>
                    <w:top w:val="nil"/>
                    <w:left w:val="nil"/>
                    <w:bottom w:val="single" w:sz="8" w:space="0" w:color="FFFFFF"/>
                    <w:right w:val="single" w:sz="8" w:space="0" w:color="FFFFFF"/>
                  </w:tcBorders>
                  <w:shd w:val="clear" w:color="000000" w:fill="FCD5B4"/>
                  <w:noWrap/>
                  <w:vAlign w:val="center"/>
                  <w:hideMark/>
                </w:tcPr>
                <w:p w14:paraId="32457D23"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000000"/>
                      <w:kern w:val="0"/>
                      <w:sz w:val="18"/>
                      <w:szCs w:val="18"/>
                    </w:rPr>
                    <w:t xml:space="preserve">1.72 </w:t>
                  </w:r>
                </w:p>
              </w:tc>
              <w:tc>
                <w:tcPr>
                  <w:tcW w:w="930" w:type="dxa"/>
                  <w:tcBorders>
                    <w:top w:val="nil"/>
                    <w:left w:val="nil"/>
                    <w:bottom w:val="single" w:sz="8" w:space="0" w:color="FFFFFF"/>
                    <w:right w:val="single" w:sz="8" w:space="0" w:color="FFFFFF"/>
                  </w:tcBorders>
                  <w:shd w:val="clear" w:color="000000" w:fill="FCD5B4"/>
                  <w:noWrap/>
                  <w:vAlign w:val="center"/>
                  <w:hideMark/>
                </w:tcPr>
                <w:p w14:paraId="2EDE6CBA"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000000"/>
                      <w:kern w:val="0"/>
                      <w:sz w:val="18"/>
                      <w:szCs w:val="18"/>
                    </w:rPr>
                    <w:t xml:space="preserve">3.89 </w:t>
                  </w:r>
                </w:p>
              </w:tc>
            </w:tr>
            <w:tr w:rsidR="00E46B36" w:rsidRPr="006E06F9" w14:paraId="47ECBD35" w14:textId="77777777" w:rsidTr="00E46B36">
              <w:trPr>
                <w:trHeight w:val="292"/>
              </w:trPr>
              <w:tc>
                <w:tcPr>
                  <w:tcW w:w="1146" w:type="dxa"/>
                  <w:tcBorders>
                    <w:top w:val="nil"/>
                    <w:left w:val="nil"/>
                    <w:bottom w:val="single" w:sz="8" w:space="0" w:color="FFFFFF"/>
                    <w:right w:val="single" w:sz="8" w:space="0" w:color="FFFFFF"/>
                  </w:tcBorders>
                  <w:shd w:val="clear" w:color="000000" w:fill="FDE9D9"/>
                  <w:noWrap/>
                  <w:vAlign w:val="center"/>
                  <w:hideMark/>
                </w:tcPr>
                <w:p w14:paraId="16A91DC4" w14:textId="77777777" w:rsidR="00E46B36" w:rsidRPr="00E46B36" w:rsidRDefault="00E46B36" w:rsidP="00E46B36">
                  <w:pPr>
                    <w:widowControl/>
                    <w:jc w:val="center"/>
                    <w:rPr>
                      <w:rFonts w:ascii="楷体" w:eastAsia="楷体" w:hAnsi="楷体" w:cs="宋体"/>
                      <w:color w:val="000000"/>
                      <w:kern w:val="0"/>
                      <w:sz w:val="18"/>
                      <w:szCs w:val="18"/>
                    </w:rPr>
                  </w:pPr>
                  <w:r w:rsidRPr="00E46B36">
                    <w:rPr>
                      <w:rFonts w:ascii="楷体" w:eastAsia="楷体" w:hAnsi="楷体" w:cs="宋体" w:hint="eastAsia"/>
                      <w:color w:val="000000"/>
                      <w:kern w:val="0"/>
                      <w:sz w:val="18"/>
                      <w:szCs w:val="18"/>
                    </w:rPr>
                    <w:t>企业债3Y</w:t>
                  </w:r>
                </w:p>
              </w:tc>
              <w:tc>
                <w:tcPr>
                  <w:tcW w:w="930" w:type="dxa"/>
                  <w:tcBorders>
                    <w:top w:val="nil"/>
                    <w:left w:val="nil"/>
                    <w:bottom w:val="single" w:sz="8" w:space="0" w:color="FFFFFF"/>
                    <w:right w:val="single" w:sz="8" w:space="0" w:color="FFFFFF"/>
                  </w:tcBorders>
                  <w:shd w:val="clear" w:color="000000" w:fill="FDE9D9"/>
                  <w:noWrap/>
                  <w:vAlign w:val="center"/>
                  <w:hideMark/>
                </w:tcPr>
                <w:p w14:paraId="70E79B00"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000000"/>
                      <w:kern w:val="0"/>
                      <w:sz w:val="18"/>
                      <w:szCs w:val="18"/>
                    </w:rPr>
                    <w:t xml:space="preserve">3.52 </w:t>
                  </w:r>
                </w:p>
              </w:tc>
              <w:tc>
                <w:tcPr>
                  <w:tcW w:w="930" w:type="dxa"/>
                  <w:tcBorders>
                    <w:top w:val="nil"/>
                    <w:left w:val="nil"/>
                    <w:bottom w:val="single" w:sz="8" w:space="0" w:color="FFFFFF"/>
                    <w:right w:val="single" w:sz="8" w:space="0" w:color="FFFFFF"/>
                  </w:tcBorders>
                  <w:shd w:val="clear" w:color="000000" w:fill="FDE9D9"/>
                  <w:noWrap/>
                  <w:vAlign w:val="center"/>
                  <w:hideMark/>
                </w:tcPr>
                <w:p w14:paraId="0032550D"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000000"/>
                      <w:kern w:val="0"/>
                      <w:sz w:val="18"/>
                      <w:szCs w:val="18"/>
                    </w:rPr>
                    <w:t xml:space="preserve">3.70 </w:t>
                  </w:r>
                </w:p>
              </w:tc>
              <w:tc>
                <w:tcPr>
                  <w:tcW w:w="930" w:type="dxa"/>
                  <w:tcBorders>
                    <w:top w:val="nil"/>
                    <w:left w:val="nil"/>
                    <w:bottom w:val="single" w:sz="8" w:space="0" w:color="FFFFFF"/>
                    <w:right w:val="single" w:sz="8" w:space="0" w:color="FFFFFF"/>
                  </w:tcBorders>
                  <w:shd w:val="clear" w:color="000000" w:fill="FDE9D9"/>
                  <w:noWrap/>
                  <w:vAlign w:val="center"/>
                  <w:hideMark/>
                </w:tcPr>
                <w:p w14:paraId="25F5858D"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000000"/>
                      <w:kern w:val="0"/>
                      <w:sz w:val="18"/>
                      <w:szCs w:val="18"/>
                    </w:rPr>
                    <w:t xml:space="preserve">3.98 </w:t>
                  </w:r>
                </w:p>
              </w:tc>
              <w:tc>
                <w:tcPr>
                  <w:tcW w:w="930" w:type="dxa"/>
                  <w:tcBorders>
                    <w:top w:val="nil"/>
                    <w:left w:val="nil"/>
                    <w:bottom w:val="single" w:sz="8" w:space="0" w:color="FFFFFF"/>
                    <w:right w:val="single" w:sz="8" w:space="0" w:color="FFFFFF"/>
                  </w:tcBorders>
                  <w:shd w:val="clear" w:color="000000" w:fill="FDE9D9"/>
                  <w:noWrap/>
                  <w:vAlign w:val="center"/>
                  <w:hideMark/>
                </w:tcPr>
                <w:p w14:paraId="5711440B"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000000"/>
                      <w:kern w:val="0"/>
                      <w:sz w:val="18"/>
                      <w:szCs w:val="18"/>
                    </w:rPr>
                    <w:t xml:space="preserve">6.11 </w:t>
                  </w:r>
                </w:p>
              </w:tc>
              <w:tc>
                <w:tcPr>
                  <w:tcW w:w="930" w:type="dxa"/>
                  <w:tcBorders>
                    <w:top w:val="nil"/>
                    <w:left w:val="nil"/>
                    <w:bottom w:val="single" w:sz="8" w:space="0" w:color="FFFFFF"/>
                    <w:right w:val="single" w:sz="8" w:space="0" w:color="FFFFFF"/>
                  </w:tcBorders>
                  <w:shd w:val="clear" w:color="000000" w:fill="FDE9D9"/>
                  <w:noWrap/>
                  <w:vAlign w:val="center"/>
                  <w:hideMark/>
                </w:tcPr>
                <w:p w14:paraId="4C6C4FB5" w14:textId="77777777" w:rsidR="00E46B36" w:rsidRPr="00E46B36" w:rsidRDefault="00E46B36" w:rsidP="00E46B36">
                  <w:pPr>
                    <w:widowControl/>
                    <w:jc w:val="center"/>
                    <w:rPr>
                      <w:rFonts w:ascii="楷体" w:eastAsia="楷体" w:hAnsi="楷体" w:cs="宋体"/>
                      <w:color w:val="000000"/>
                      <w:kern w:val="0"/>
                      <w:sz w:val="18"/>
                      <w:szCs w:val="18"/>
                    </w:rPr>
                  </w:pPr>
                  <w:r w:rsidRPr="00E46B36">
                    <w:rPr>
                      <w:rFonts w:ascii="楷体" w:eastAsia="楷体" w:hAnsi="楷体" w:cs="宋体" w:hint="eastAsia"/>
                      <w:color w:val="000000"/>
                      <w:kern w:val="0"/>
                      <w:sz w:val="18"/>
                      <w:szCs w:val="18"/>
                    </w:rPr>
                    <w:t>企业债3Y</w:t>
                  </w:r>
                </w:p>
              </w:tc>
              <w:tc>
                <w:tcPr>
                  <w:tcW w:w="930" w:type="dxa"/>
                  <w:tcBorders>
                    <w:top w:val="nil"/>
                    <w:left w:val="nil"/>
                    <w:bottom w:val="single" w:sz="8" w:space="0" w:color="FFFFFF"/>
                    <w:right w:val="single" w:sz="8" w:space="0" w:color="FFFFFF"/>
                  </w:tcBorders>
                  <w:shd w:val="clear" w:color="000000" w:fill="FDE9D9"/>
                  <w:noWrap/>
                  <w:vAlign w:val="center"/>
                  <w:hideMark/>
                </w:tcPr>
                <w:p w14:paraId="723ABA4D"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000000"/>
                      <w:kern w:val="0"/>
                      <w:sz w:val="18"/>
                      <w:szCs w:val="18"/>
                    </w:rPr>
                    <w:t xml:space="preserve">1.00 </w:t>
                  </w:r>
                </w:p>
              </w:tc>
              <w:tc>
                <w:tcPr>
                  <w:tcW w:w="930" w:type="dxa"/>
                  <w:tcBorders>
                    <w:top w:val="nil"/>
                    <w:left w:val="nil"/>
                    <w:bottom w:val="single" w:sz="8" w:space="0" w:color="FFFFFF"/>
                    <w:right w:val="single" w:sz="8" w:space="0" w:color="FFFFFF"/>
                  </w:tcBorders>
                  <w:shd w:val="clear" w:color="000000" w:fill="FDE9D9"/>
                  <w:noWrap/>
                  <w:vAlign w:val="center"/>
                  <w:hideMark/>
                </w:tcPr>
                <w:p w14:paraId="520A1D39"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000000"/>
                      <w:kern w:val="0"/>
                      <w:sz w:val="18"/>
                      <w:szCs w:val="18"/>
                    </w:rPr>
                    <w:t xml:space="preserve">1.18 </w:t>
                  </w:r>
                </w:p>
              </w:tc>
              <w:tc>
                <w:tcPr>
                  <w:tcW w:w="930" w:type="dxa"/>
                  <w:tcBorders>
                    <w:top w:val="nil"/>
                    <w:left w:val="nil"/>
                    <w:bottom w:val="single" w:sz="8" w:space="0" w:color="FFFFFF"/>
                    <w:right w:val="single" w:sz="8" w:space="0" w:color="FFFFFF"/>
                  </w:tcBorders>
                  <w:shd w:val="clear" w:color="000000" w:fill="FDE9D9"/>
                  <w:noWrap/>
                  <w:vAlign w:val="center"/>
                  <w:hideMark/>
                </w:tcPr>
                <w:p w14:paraId="690FFA48"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000000"/>
                      <w:kern w:val="0"/>
                      <w:sz w:val="18"/>
                      <w:szCs w:val="18"/>
                    </w:rPr>
                    <w:t xml:space="preserve">1.46 </w:t>
                  </w:r>
                </w:p>
              </w:tc>
              <w:tc>
                <w:tcPr>
                  <w:tcW w:w="930" w:type="dxa"/>
                  <w:tcBorders>
                    <w:top w:val="nil"/>
                    <w:left w:val="nil"/>
                    <w:bottom w:val="single" w:sz="8" w:space="0" w:color="FFFFFF"/>
                    <w:right w:val="single" w:sz="8" w:space="0" w:color="FFFFFF"/>
                  </w:tcBorders>
                  <w:shd w:val="clear" w:color="000000" w:fill="FDE9D9"/>
                  <w:noWrap/>
                  <w:vAlign w:val="center"/>
                  <w:hideMark/>
                </w:tcPr>
                <w:p w14:paraId="25018F8C"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000000"/>
                      <w:kern w:val="0"/>
                      <w:sz w:val="18"/>
                      <w:szCs w:val="18"/>
                    </w:rPr>
                    <w:t xml:space="preserve">3.59 </w:t>
                  </w:r>
                </w:p>
              </w:tc>
            </w:tr>
            <w:tr w:rsidR="00E46B36" w:rsidRPr="006E06F9" w14:paraId="14F62853" w14:textId="77777777" w:rsidTr="00E46B36">
              <w:trPr>
                <w:trHeight w:val="292"/>
              </w:trPr>
              <w:tc>
                <w:tcPr>
                  <w:tcW w:w="1146" w:type="dxa"/>
                  <w:tcBorders>
                    <w:top w:val="nil"/>
                    <w:left w:val="nil"/>
                    <w:bottom w:val="single" w:sz="8" w:space="0" w:color="FFFFFF"/>
                    <w:right w:val="single" w:sz="8" w:space="0" w:color="FFFFFF"/>
                  </w:tcBorders>
                  <w:shd w:val="clear" w:color="000000" w:fill="FCD5B4"/>
                  <w:noWrap/>
                  <w:vAlign w:val="center"/>
                  <w:hideMark/>
                </w:tcPr>
                <w:p w14:paraId="602381CE" w14:textId="77777777" w:rsidR="00E46B36" w:rsidRPr="00E46B36" w:rsidRDefault="00E46B36" w:rsidP="00E46B36">
                  <w:pPr>
                    <w:widowControl/>
                    <w:jc w:val="center"/>
                    <w:rPr>
                      <w:rFonts w:ascii="楷体" w:eastAsia="楷体" w:hAnsi="楷体" w:cs="宋体"/>
                      <w:color w:val="000000"/>
                      <w:kern w:val="0"/>
                      <w:sz w:val="18"/>
                      <w:szCs w:val="18"/>
                    </w:rPr>
                  </w:pPr>
                  <w:r w:rsidRPr="00E46B36">
                    <w:rPr>
                      <w:rFonts w:ascii="楷体" w:eastAsia="楷体" w:hAnsi="楷体" w:cs="宋体" w:hint="eastAsia"/>
                      <w:color w:val="000000"/>
                      <w:kern w:val="0"/>
                      <w:sz w:val="18"/>
                      <w:szCs w:val="18"/>
                    </w:rPr>
                    <w:t>企业债5Y</w:t>
                  </w:r>
                </w:p>
              </w:tc>
              <w:tc>
                <w:tcPr>
                  <w:tcW w:w="930" w:type="dxa"/>
                  <w:tcBorders>
                    <w:top w:val="nil"/>
                    <w:left w:val="nil"/>
                    <w:bottom w:val="single" w:sz="8" w:space="0" w:color="FFFFFF"/>
                    <w:right w:val="single" w:sz="8" w:space="0" w:color="FFFFFF"/>
                  </w:tcBorders>
                  <w:shd w:val="clear" w:color="000000" w:fill="FCD5B4"/>
                  <w:noWrap/>
                  <w:vAlign w:val="center"/>
                  <w:hideMark/>
                </w:tcPr>
                <w:p w14:paraId="4D3796B9"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000000"/>
                      <w:kern w:val="0"/>
                      <w:sz w:val="18"/>
                      <w:szCs w:val="18"/>
                    </w:rPr>
                    <w:t xml:space="preserve">3.78 </w:t>
                  </w:r>
                </w:p>
              </w:tc>
              <w:tc>
                <w:tcPr>
                  <w:tcW w:w="930" w:type="dxa"/>
                  <w:tcBorders>
                    <w:top w:val="nil"/>
                    <w:left w:val="nil"/>
                    <w:bottom w:val="single" w:sz="8" w:space="0" w:color="FFFFFF"/>
                    <w:right w:val="single" w:sz="8" w:space="0" w:color="FFFFFF"/>
                  </w:tcBorders>
                  <w:shd w:val="clear" w:color="000000" w:fill="FCD5B4"/>
                  <w:noWrap/>
                  <w:vAlign w:val="center"/>
                  <w:hideMark/>
                </w:tcPr>
                <w:p w14:paraId="689E1DB5"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000000"/>
                      <w:kern w:val="0"/>
                      <w:sz w:val="18"/>
                      <w:szCs w:val="18"/>
                    </w:rPr>
                    <w:t xml:space="preserve">4.05 </w:t>
                  </w:r>
                </w:p>
              </w:tc>
              <w:tc>
                <w:tcPr>
                  <w:tcW w:w="930" w:type="dxa"/>
                  <w:tcBorders>
                    <w:top w:val="nil"/>
                    <w:left w:val="nil"/>
                    <w:bottom w:val="single" w:sz="8" w:space="0" w:color="FFFFFF"/>
                    <w:right w:val="single" w:sz="8" w:space="0" w:color="FFFFFF"/>
                  </w:tcBorders>
                  <w:shd w:val="clear" w:color="000000" w:fill="FCD5B4"/>
                  <w:noWrap/>
                  <w:vAlign w:val="center"/>
                  <w:hideMark/>
                </w:tcPr>
                <w:p w14:paraId="14E6952E"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000000"/>
                      <w:kern w:val="0"/>
                      <w:sz w:val="18"/>
                      <w:szCs w:val="18"/>
                    </w:rPr>
                    <w:t xml:space="preserve">4.43 </w:t>
                  </w:r>
                </w:p>
              </w:tc>
              <w:tc>
                <w:tcPr>
                  <w:tcW w:w="930" w:type="dxa"/>
                  <w:tcBorders>
                    <w:top w:val="nil"/>
                    <w:left w:val="nil"/>
                    <w:bottom w:val="single" w:sz="8" w:space="0" w:color="FFFFFF"/>
                    <w:right w:val="single" w:sz="8" w:space="0" w:color="FFFFFF"/>
                  </w:tcBorders>
                  <w:shd w:val="clear" w:color="000000" w:fill="FCD5B4"/>
                  <w:noWrap/>
                  <w:vAlign w:val="center"/>
                  <w:hideMark/>
                </w:tcPr>
                <w:p w14:paraId="6CF5B2D1"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000000"/>
                      <w:kern w:val="0"/>
                      <w:sz w:val="18"/>
                      <w:szCs w:val="18"/>
                    </w:rPr>
                    <w:t xml:space="preserve">6.60 </w:t>
                  </w:r>
                </w:p>
              </w:tc>
              <w:tc>
                <w:tcPr>
                  <w:tcW w:w="930" w:type="dxa"/>
                  <w:tcBorders>
                    <w:top w:val="nil"/>
                    <w:left w:val="nil"/>
                    <w:bottom w:val="single" w:sz="8" w:space="0" w:color="FFFFFF"/>
                    <w:right w:val="single" w:sz="8" w:space="0" w:color="FFFFFF"/>
                  </w:tcBorders>
                  <w:shd w:val="clear" w:color="000000" w:fill="FCD5B4"/>
                  <w:noWrap/>
                  <w:vAlign w:val="center"/>
                  <w:hideMark/>
                </w:tcPr>
                <w:p w14:paraId="28D9E31B" w14:textId="77777777" w:rsidR="00E46B36" w:rsidRPr="00E46B36" w:rsidRDefault="00E46B36" w:rsidP="00E46B36">
                  <w:pPr>
                    <w:widowControl/>
                    <w:jc w:val="center"/>
                    <w:rPr>
                      <w:rFonts w:ascii="楷体" w:eastAsia="楷体" w:hAnsi="楷体" w:cs="宋体"/>
                      <w:color w:val="000000"/>
                      <w:kern w:val="0"/>
                      <w:sz w:val="18"/>
                      <w:szCs w:val="18"/>
                    </w:rPr>
                  </w:pPr>
                  <w:r w:rsidRPr="00E46B36">
                    <w:rPr>
                      <w:rFonts w:ascii="楷体" w:eastAsia="楷体" w:hAnsi="楷体" w:cs="宋体" w:hint="eastAsia"/>
                      <w:color w:val="000000"/>
                      <w:kern w:val="0"/>
                      <w:sz w:val="18"/>
                      <w:szCs w:val="18"/>
                    </w:rPr>
                    <w:t>企业债5Y</w:t>
                  </w:r>
                </w:p>
              </w:tc>
              <w:tc>
                <w:tcPr>
                  <w:tcW w:w="930" w:type="dxa"/>
                  <w:tcBorders>
                    <w:top w:val="nil"/>
                    <w:left w:val="nil"/>
                    <w:bottom w:val="single" w:sz="8" w:space="0" w:color="FFFFFF"/>
                    <w:right w:val="single" w:sz="8" w:space="0" w:color="FFFFFF"/>
                  </w:tcBorders>
                  <w:shd w:val="clear" w:color="000000" w:fill="FCD5B4"/>
                  <w:noWrap/>
                  <w:vAlign w:val="center"/>
                  <w:hideMark/>
                </w:tcPr>
                <w:p w14:paraId="49EA3AEE"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000000"/>
                      <w:kern w:val="0"/>
                      <w:sz w:val="18"/>
                      <w:szCs w:val="18"/>
                    </w:rPr>
                    <w:t xml:space="preserve">1.08 </w:t>
                  </w:r>
                </w:p>
              </w:tc>
              <w:tc>
                <w:tcPr>
                  <w:tcW w:w="930" w:type="dxa"/>
                  <w:tcBorders>
                    <w:top w:val="nil"/>
                    <w:left w:val="nil"/>
                    <w:bottom w:val="single" w:sz="8" w:space="0" w:color="FFFFFF"/>
                    <w:right w:val="single" w:sz="8" w:space="0" w:color="FFFFFF"/>
                  </w:tcBorders>
                  <w:shd w:val="clear" w:color="000000" w:fill="FCD5B4"/>
                  <w:noWrap/>
                  <w:vAlign w:val="center"/>
                  <w:hideMark/>
                </w:tcPr>
                <w:p w14:paraId="39E3982D"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000000"/>
                      <w:kern w:val="0"/>
                      <w:sz w:val="18"/>
                      <w:szCs w:val="18"/>
                    </w:rPr>
                    <w:t xml:space="preserve">1.35 </w:t>
                  </w:r>
                </w:p>
              </w:tc>
              <w:tc>
                <w:tcPr>
                  <w:tcW w:w="930" w:type="dxa"/>
                  <w:tcBorders>
                    <w:top w:val="nil"/>
                    <w:left w:val="nil"/>
                    <w:bottom w:val="single" w:sz="8" w:space="0" w:color="FFFFFF"/>
                    <w:right w:val="single" w:sz="8" w:space="0" w:color="FFFFFF"/>
                  </w:tcBorders>
                  <w:shd w:val="clear" w:color="000000" w:fill="FCD5B4"/>
                  <w:noWrap/>
                  <w:vAlign w:val="center"/>
                  <w:hideMark/>
                </w:tcPr>
                <w:p w14:paraId="6B51B669"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000000"/>
                      <w:kern w:val="0"/>
                      <w:sz w:val="18"/>
                      <w:szCs w:val="18"/>
                    </w:rPr>
                    <w:t xml:space="preserve">1.73 </w:t>
                  </w:r>
                </w:p>
              </w:tc>
              <w:tc>
                <w:tcPr>
                  <w:tcW w:w="930" w:type="dxa"/>
                  <w:tcBorders>
                    <w:top w:val="nil"/>
                    <w:left w:val="nil"/>
                    <w:bottom w:val="single" w:sz="8" w:space="0" w:color="FFFFFF"/>
                    <w:right w:val="single" w:sz="8" w:space="0" w:color="FFFFFF"/>
                  </w:tcBorders>
                  <w:shd w:val="clear" w:color="000000" w:fill="FCD5B4"/>
                  <w:noWrap/>
                  <w:vAlign w:val="center"/>
                  <w:hideMark/>
                </w:tcPr>
                <w:p w14:paraId="38CFBF99"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000000"/>
                      <w:kern w:val="0"/>
                      <w:sz w:val="18"/>
                      <w:szCs w:val="18"/>
                    </w:rPr>
                    <w:t xml:space="preserve">3.90 </w:t>
                  </w:r>
                </w:p>
              </w:tc>
            </w:tr>
            <w:tr w:rsidR="00E46B36" w:rsidRPr="006E06F9" w14:paraId="487013D1" w14:textId="77777777" w:rsidTr="00E46B36">
              <w:trPr>
                <w:trHeight w:val="292"/>
              </w:trPr>
              <w:tc>
                <w:tcPr>
                  <w:tcW w:w="1146" w:type="dxa"/>
                  <w:tcBorders>
                    <w:top w:val="nil"/>
                    <w:left w:val="nil"/>
                    <w:bottom w:val="single" w:sz="8" w:space="0" w:color="FFFFFF"/>
                    <w:right w:val="single" w:sz="8" w:space="0" w:color="FFFFFF"/>
                  </w:tcBorders>
                  <w:shd w:val="clear" w:color="000000" w:fill="FDE9D9"/>
                  <w:noWrap/>
                  <w:vAlign w:val="center"/>
                  <w:hideMark/>
                </w:tcPr>
                <w:p w14:paraId="4275C687" w14:textId="77777777" w:rsidR="00E46B36" w:rsidRPr="00E46B36" w:rsidRDefault="00E46B36" w:rsidP="00E46B36">
                  <w:pPr>
                    <w:widowControl/>
                    <w:jc w:val="center"/>
                    <w:rPr>
                      <w:rFonts w:ascii="楷体" w:eastAsia="楷体" w:hAnsi="楷体" w:cs="宋体"/>
                      <w:color w:val="000000"/>
                      <w:kern w:val="0"/>
                      <w:sz w:val="18"/>
                      <w:szCs w:val="18"/>
                    </w:rPr>
                  </w:pPr>
                  <w:r w:rsidRPr="00E46B36">
                    <w:rPr>
                      <w:rFonts w:ascii="楷体" w:eastAsia="楷体" w:hAnsi="楷体" w:cs="宋体" w:hint="eastAsia"/>
                      <w:color w:val="000000"/>
                      <w:kern w:val="0"/>
                      <w:sz w:val="18"/>
                      <w:szCs w:val="18"/>
                    </w:rPr>
                    <w:t>企业债7Y</w:t>
                  </w:r>
                </w:p>
              </w:tc>
              <w:tc>
                <w:tcPr>
                  <w:tcW w:w="930" w:type="dxa"/>
                  <w:tcBorders>
                    <w:top w:val="nil"/>
                    <w:left w:val="nil"/>
                    <w:bottom w:val="single" w:sz="8" w:space="0" w:color="FFFFFF"/>
                    <w:right w:val="single" w:sz="8" w:space="0" w:color="FFFFFF"/>
                  </w:tcBorders>
                  <w:shd w:val="clear" w:color="000000" w:fill="FDE9D9"/>
                  <w:noWrap/>
                  <w:vAlign w:val="center"/>
                  <w:hideMark/>
                </w:tcPr>
                <w:p w14:paraId="3B4E02BC"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000000"/>
                      <w:kern w:val="0"/>
                      <w:sz w:val="18"/>
                      <w:szCs w:val="18"/>
                    </w:rPr>
                    <w:t xml:space="preserve">3.91 </w:t>
                  </w:r>
                </w:p>
              </w:tc>
              <w:tc>
                <w:tcPr>
                  <w:tcW w:w="930" w:type="dxa"/>
                  <w:tcBorders>
                    <w:top w:val="nil"/>
                    <w:left w:val="nil"/>
                    <w:bottom w:val="single" w:sz="8" w:space="0" w:color="FFFFFF"/>
                    <w:right w:val="single" w:sz="8" w:space="0" w:color="FFFFFF"/>
                  </w:tcBorders>
                  <w:shd w:val="clear" w:color="000000" w:fill="FDE9D9"/>
                  <w:noWrap/>
                  <w:vAlign w:val="center"/>
                  <w:hideMark/>
                </w:tcPr>
                <w:p w14:paraId="3ACBAA08"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000000"/>
                      <w:kern w:val="0"/>
                      <w:sz w:val="18"/>
                      <w:szCs w:val="18"/>
                    </w:rPr>
                    <w:t xml:space="preserve">4.25 </w:t>
                  </w:r>
                </w:p>
              </w:tc>
              <w:tc>
                <w:tcPr>
                  <w:tcW w:w="930" w:type="dxa"/>
                  <w:tcBorders>
                    <w:top w:val="nil"/>
                    <w:left w:val="nil"/>
                    <w:bottom w:val="single" w:sz="8" w:space="0" w:color="FFFFFF"/>
                    <w:right w:val="single" w:sz="8" w:space="0" w:color="FFFFFF"/>
                  </w:tcBorders>
                  <w:shd w:val="clear" w:color="000000" w:fill="FDE9D9"/>
                  <w:noWrap/>
                  <w:vAlign w:val="center"/>
                  <w:hideMark/>
                </w:tcPr>
                <w:p w14:paraId="3246D68A"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000000"/>
                      <w:kern w:val="0"/>
                      <w:sz w:val="18"/>
                      <w:szCs w:val="18"/>
                    </w:rPr>
                    <w:t xml:space="preserve">4.66 </w:t>
                  </w:r>
                </w:p>
              </w:tc>
              <w:tc>
                <w:tcPr>
                  <w:tcW w:w="930" w:type="dxa"/>
                  <w:tcBorders>
                    <w:top w:val="nil"/>
                    <w:left w:val="nil"/>
                    <w:bottom w:val="single" w:sz="8" w:space="0" w:color="FFFFFF"/>
                    <w:right w:val="single" w:sz="8" w:space="0" w:color="FFFFFF"/>
                  </w:tcBorders>
                  <w:shd w:val="clear" w:color="000000" w:fill="FDE9D9"/>
                  <w:noWrap/>
                  <w:vAlign w:val="center"/>
                  <w:hideMark/>
                </w:tcPr>
                <w:p w14:paraId="62A1399B"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000000"/>
                      <w:kern w:val="0"/>
                      <w:sz w:val="18"/>
                      <w:szCs w:val="18"/>
                    </w:rPr>
                    <w:t xml:space="preserve">6.83 </w:t>
                  </w:r>
                </w:p>
              </w:tc>
              <w:tc>
                <w:tcPr>
                  <w:tcW w:w="930" w:type="dxa"/>
                  <w:tcBorders>
                    <w:top w:val="nil"/>
                    <w:left w:val="nil"/>
                    <w:bottom w:val="single" w:sz="8" w:space="0" w:color="FFFFFF"/>
                    <w:right w:val="single" w:sz="8" w:space="0" w:color="FFFFFF"/>
                  </w:tcBorders>
                  <w:shd w:val="clear" w:color="000000" w:fill="FDE9D9"/>
                  <w:noWrap/>
                  <w:vAlign w:val="center"/>
                  <w:hideMark/>
                </w:tcPr>
                <w:p w14:paraId="5E2BE877" w14:textId="77777777" w:rsidR="00E46B36" w:rsidRPr="00E46B36" w:rsidRDefault="00E46B36" w:rsidP="00E46B36">
                  <w:pPr>
                    <w:widowControl/>
                    <w:jc w:val="center"/>
                    <w:rPr>
                      <w:rFonts w:ascii="楷体" w:eastAsia="楷体" w:hAnsi="楷体" w:cs="宋体"/>
                      <w:color w:val="000000"/>
                      <w:kern w:val="0"/>
                      <w:sz w:val="18"/>
                      <w:szCs w:val="18"/>
                    </w:rPr>
                  </w:pPr>
                  <w:r w:rsidRPr="00E46B36">
                    <w:rPr>
                      <w:rFonts w:ascii="楷体" w:eastAsia="楷体" w:hAnsi="楷体" w:cs="宋体" w:hint="eastAsia"/>
                      <w:color w:val="000000"/>
                      <w:kern w:val="0"/>
                      <w:sz w:val="18"/>
                      <w:szCs w:val="18"/>
                    </w:rPr>
                    <w:t>企业债7Y</w:t>
                  </w:r>
                </w:p>
              </w:tc>
              <w:tc>
                <w:tcPr>
                  <w:tcW w:w="930" w:type="dxa"/>
                  <w:tcBorders>
                    <w:top w:val="nil"/>
                    <w:left w:val="nil"/>
                    <w:bottom w:val="single" w:sz="8" w:space="0" w:color="FFFFFF"/>
                    <w:right w:val="single" w:sz="8" w:space="0" w:color="FFFFFF"/>
                  </w:tcBorders>
                  <w:shd w:val="clear" w:color="000000" w:fill="FDE9D9"/>
                  <w:noWrap/>
                  <w:vAlign w:val="center"/>
                  <w:hideMark/>
                </w:tcPr>
                <w:p w14:paraId="5582126B"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000000"/>
                      <w:kern w:val="0"/>
                      <w:sz w:val="18"/>
                      <w:szCs w:val="18"/>
                    </w:rPr>
                    <w:t xml:space="preserve">0.94 </w:t>
                  </w:r>
                </w:p>
              </w:tc>
              <w:tc>
                <w:tcPr>
                  <w:tcW w:w="930" w:type="dxa"/>
                  <w:tcBorders>
                    <w:top w:val="nil"/>
                    <w:left w:val="nil"/>
                    <w:bottom w:val="single" w:sz="8" w:space="0" w:color="FFFFFF"/>
                    <w:right w:val="single" w:sz="8" w:space="0" w:color="FFFFFF"/>
                  </w:tcBorders>
                  <w:shd w:val="clear" w:color="000000" w:fill="FDE9D9"/>
                  <w:noWrap/>
                  <w:vAlign w:val="center"/>
                  <w:hideMark/>
                </w:tcPr>
                <w:p w14:paraId="7A097001"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000000"/>
                      <w:kern w:val="0"/>
                      <w:sz w:val="18"/>
                      <w:szCs w:val="18"/>
                    </w:rPr>
                    <w:t xml:space="preserve">1.28 </w:t>
                  </w:r>
                </w:p>
              </w:tc>
              <w:tc>
                <w:tcPr>
                  <w:tcW w:w="930" w:type="dxa"/>
                  <w:tcBorders>
                    <w:top w:val="nil"/>
                    <w:left w:val="nil"/>
                    <w:bottom w:val="single" w:sz="8" w:space="0" w:color="FFFFFF"/>
                    <w:right w:val="single" w:sz="8" w:space="0" w:color="FFFFFF"/>
                  </w:tcBorders>
                  <w:shd w:val="clear" w:color="000000" w:fill="FDE9D9"/>
                  <w:noWrap/>
                  <w:vAlign w:val="center"/>
                  <w:hideMark/>
                </w:tcPr>
                <w:p w14:paraId="571ACE19"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000000"/>
                      <w:kern w:val="0"/>
                      <w:sz w:val="18"/>
                      <w:szCs w:val="18"/>
                    </w:rPr>
                    <w:t xml:space="preserve">1.69 </w:t>
                  </w:r>
                </w:p>
              </w:tc>
              <w:tc>
                <w:tcPr>
                  <w:tcW w:w="930" w:type="dxa"/>
                  <w:tcBorders>
                    <w:top w:val="nil"/>
                    <w:left w:val="nil"/>
                    <w:bottom w:val="single" w:sz="8" w:space="0" w:color="FFFFFF"/>
                    <w:right w:val="single" w:sz="8" w:space="0" w:color="FFFFFF"/>
                  </w:tcBorders>
                  <w:shd w:val="clear" w:color="000000" w:fill="FDE9D9"/>
                  <w:noWrap/>
                  <w:vAlign w:val="center"/>
                  <w:hideMark/>
                </w:tcPr>
                <w:p w14:paraId="3A61791D"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000000"/>
                      <w:kern w:val="0"/>
                      <w:sz w:val="18"/>
                      <w:szCs w:val="18"/>
                    </w:rPr>
                    <w:t xml:space="preserve">3.86 </w:t>
                  </w:r>
                </w:p>
              </w:tc>
            </w:tr>
            <w:tr w:rsidR="00E46B36" w:rsidRPr="006E06F9" w14:paraId="312AFCBB" w14:textId="77777777" w:rsidTr="00E46B36">
              <w:trPr>
                <w:trHeight w:val="292"/>
              </w:trPr>
              <w:tc>
                <w:tcPr>
                  <w:tcW w:w="1146" w:type="dxa"/>
                  <w:tcBorders>
                    <w:top w:val="nil"/>
                    <w:left w:val="nil"/>
                    <w:bottom w:val="single" w:sz="8" w:space="0" w:color="FFFFFF"/>
                    <w:right w:val="single" w:sz="8" w:space="0" w:color="FFFFFF"/>
                  </w:tcBorders>
                  <w:shd w:val="clear" w:color="000000" w:fill="FCD5B4"/>
                  <w:noWrap/>
                  <w:vAlign w:val="center"/>
                  <w:hideMark/>
                </w:tcPr>
                <w:p w14:paraId="0EB5214E" w14:textId="77777777" w:rsidR="00E46B36" w:rsidRPr="00E46B36" w:rsidRDefault="00E46B36" w:rsidP="00E46B36">
                  <w:pPr>
                    <w:widowControl/>
                    <w:jc w:val="center"/>
                    <w:rPr>
                      <w:rFonts w:ascii="楷体" w:eastAsia="楷体" w:hAnsi="楷体" w:cs="宋体"/>
                      <w:color w:val="000000"/>
                      <w:kern w:val="0"/>
                      <w:sz w:val="18"/>
                      <w:szCs w:val="18"/>
                    </w:rPr>
                  </w:pPr>
                  <w:proofErr w:type="gramStart"/>
                  <w:r w:rsidRPr="00E46B36">
                    <w:rPr>
                      <w:rFonts w:ascii="楷体" w:eastAsia="楷体" w:hAnsi="楷体" w:cs="宋体" w:hint="eastAsia"/>
                      <w:color w:val="000000"/>
                      <w:kern w:val="0"/>
                      <w:sz w:val="18"/>
                      <w:szCs w:val="18"/>
                    </w:rPr>
                    <w:t>城投债</w:t>
                  </w:r>
                  <w:proofErr w:type="gramEnd"/>
                  <w:r w:rsidRPr="00E46B36">
                    <w:rPr>
                      <w:rFonts w:ascii="楷体" w:eastAsia="楷体" w:hAnsi="楷体" w:cs="宋体" w:hint="eastAsia"/>
                      <w:color w:val="000000"/>
                      <w:kern w:val="0"/>
                      <w:sz w:val="18"/>
                      <w:szCs w:val="18"/>
                    </w:rPr>
                    <w:t>3Y</w:t>
                  </w:r>
                </w:p>
              </w:tc>
              <w:tc>
                <w:tcPr>
                  <w:tcW w:w="930" w:type="dxa"/>
                  <w:tcBorders>
                    <w:top w:val="nil"/>
                    <w:left w:val="nil"/>
                    <w:bottom w:val="single" w:sz="8" w:space="0" w:color="FFFFFF"/>
                    <w:right w:val="single" w:sz="8" w:space="0" w:color="FFFFFF"/>
                  </w:tcBorders>
                  <w:shd w:val="clear" w:color="000000" w:fill="FCD5B4"/>
                  <w:noWrap/>
                  <w:vAlign w:val="center"/>
                  <w:hideMark/>
                </w:tcPr>
                <w:p w14:paraId="55CB61C9"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000000"/>
                      <w:kern w:val="0"/>
                      <w:sz w:val="18"/>
                      <w:szCs w:val="18"/>
                    </w:rPr>
                    <w:t xml:space="preserve">3.56 </w:t>
                  </w:r>
                </w:p>
              </w:tc>
              <w:tc>
                <w:tcPr>
                  <w:tcW w:w="930" w:type="dxa"/>
                  <w:tcBorders>
                    <w:top w:val="nil"/>
                    <w:left w:val="nil"/>
                    <w:bottom w:val="single" w:sz="8" w:space="0" w:color="FFFFFF"/>
                    <w:right w:val="single" w:sz="8" w:space="0" w:color="FFFFFF"/>
                  </w:tcBorders>
                  <w:shd w:val="clear" w:color="000000" w:fill="FCD5B4"/>
                  <w:noWrap/>
                  <w:vAlign w:val="center"/>
                  <w:hideMark/>
                </w:tcPr>
                <w:p w14:paraId="76733B8D"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000000"/>
                      <w:kern w:val="0"/>
                      <w:sz w:val="18"/>
                      <w:szCs w:val="18"/>
                    </w:rPr>
                    <w:t xml:space="preserve">3.69 </w:t>
                  </w:r>
                </w:p>
              </w:tc>
              <w:tc>
                <w:tcPr>
                  <w:tcW w:w="930" w:type="dxa"/>
                  <w:tcBorders>
                    <w:top w:val="nil"/>
                    <w:left w:val="nil"/>
                    <w:bottom w:val="single" w:sz="8" w:space="0" w:color="FFFFFF"/>
                    <w:right w:val="single" w:sz="8" w:space="0" w:color="FFFFFF"/>
                  </w:tcBorders>
                  <w:shd w:val="clear" w:color="000000" w:fill="FCD5B4"/>
                  <w:noWrap/>
                  <w:vAlign w:val="center"/>
                  <w:hideMark/>
                </w:tcPr>
                <w:p w14:paraId="3DC080C4"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000000"/>
                      <w:kern w:val="0"/>
                      <w:sz w:val="18"/>
                      <w:szCs w:val="18"/>
                    </w:rPr>
                    <w:t xml:space="preserve">3.87 </w:t>
                  </w:r>
                </w:p>
              </w:tc>
              <w:tc>
                <w:tcPr>
                  <w:tcW w:w="930" w:type="dxa"/>
                  <w:tcBorders>
                    <w:top w:val="nil"/>
                    <w:left w:val="nil"/>
                    <w:bottom w:val="single" w:sz="8" w:space="0" w:color="FFFFFF"/>
                    <w:right w:val="single" w:sz="8" w:space="0" w:color="FFFFFF"/>
                  </w:tcBorders>
                  <w:shd w:val="clear" w:color="000000" w:fill="FCD5B4"/>
                  <w:noWrap/>
                  <w:vAlign w:val="center"/>
                  <w:hideMark/>
                </w:tcPr>
                <w:p w14:paraId="1D18B273"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000000"/>
                      <w:kern w:val="0"/>
                      <w:sz w:val="18"/>
                      <w:szCs w:val="18"/>
                    </w:rPr>
                    <w:t xml:space="preserve">5.68 </w:t>
                  </w:r>
                </w:p>
              </w:tc>
              <w:tc>
                <w:tcPr>
                  <w:tcW w:w="930" w:type="dxa"/>
                  <w:tcBorders>
                    <w:top w:val="nil"/>
                    <w:left w:val="nil"/>
                    <w:bottom w:val="single" w:sz="8" w:space="0" w:color="FFFFFF"/>
                    <w:right w:val="single" w:sz="8" w:space="0" w:color="FFFFFF"/>
                  </w:tcBorders>
                  <w:shd w:val="clear" w:color="000000" w:fill="FCD5B4"/>
                  <w:noWrap/>
                  <w:vAlign w:val="center"/>
                  <w:hideMark/>
                </w:tcPr>
                <w:p w14:paraId="5782B80C" w14:textId="77777777" w:rsidR="00E46B36" w:rsidRPr="00E46B36" w:rsidRDefault="00E46B36" w:rsidP="00E46B36">
                  <w:pPr>
                    <w:widowControl/>
                    <w:jc w:val="center"/>
                    <w:rPr>
                      <w:rFonts w:ascii="楷体" w:eastAsia="楷体" w:hAnsi="楷体" w:cs="宋体"/>
                      <w:color w:val="000000"/>
                      <w:kern w:val="0"/>
                      <w:sz w:val="18"/>
                      <w:szCs w:val="18"/>
                    </w:rPr>
                  </w:pPr>
                  <w:proofErr w:type="gramStart"/>
                  <w:r w:rsidRPr="00E46B36">
                    <w:rPr>
                      <w:rFonts w:ascii="楷体" w:eastAsia="楷体" w:hAnsi="楷体" w:cs="宋体" w:hint="eastAsia"/>
                      <w:color w:val="000000"/>
                      <w:kern w:val="0"/>
                      <w:sz w:val="18"/>
                      <w:szCs w:val="18"/>
                    </w:rPr>
                    <w:t>城投债</w:t>
                  </w:r>
                  <w:proofErr w:type="gramEnd"/>
                  <w:r w:rsidRPr="00E46B36">
                    <w:rPr>
                      <w:rFonts w:ascii="楷体" w:eastAsia="楷体" w:hAnsi="楷体" w:cs="宋体" w:hint="eastAsia"/>
                      <w:color w:val="000000"/>
                      <w:kern w:val="0"/>
                      <w:sz w:val="18"/>
                      <w:szCs w:val="18"/>
                    </w:rPr>
                    <w:t>3Y</w:t>
                  </w:r>
                </w:p>
              </w:tc>
              <w:tc>
                <w:tcPr>
                  <w:tcW w:w="930" w:type="dxa"/>
                  <w:tcBorders>
                    <w:top w:val="nil"/>
                    <w:left w:val="nil"/>
                    <w:bottom w:val="single" w:sz="8" w:space="0" w:color="FFFFFF"/>
                    <w:right w:val="single" w:sz="8" w:space="0" w:color="FFFFFF"/>
                  </w:tcBorders>
                  <w:shd w:val="clear" w:color="000000" w:fill="FCD5B4"/>
                  <w:noWrap/>
                  <w:vAlign w:val="center"/>
                  <w:hideMark/>
                </w:tcPr>
                <w:p w14:paraId="4CDB8F22"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000000"/>
                      <w:kern w:val="0"/>
                      <w:sz w:val="18"/>
                      <w:szCs w:val="18"/>
                    </w:rPr>
                    <w:t xml:space="preserve">1.05 </w:t>
                  </w:r>
                </w:p>
              </w:tc>
              <w:tc>
                <w:tcPr>
                  <w:tcW w:w="930" w:type="dxa"/>
                  <w:tcBorders>
                    <w:top w:val="nil"/>
                    <w:left w:val="nil"/>
                    <w:bottom w:val="single" w:sz="8" w:space="0" w:color="FFFFFF"/>
                    <w:right w:val="single" w:sz="8" w:space="0" w:color="FFFFFF"/>
                  </w:tcBorders>
                  <w:shd w:val="clear" w:color="000000" w:fill="FCD5B4"/>
                  <w:noWrap/>
                  <w:vAlign w:val="center"/>
                  <w:hideMark/>
                </w:tcPr>
                <w:p w14:paraId="1E0EDEF9"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000000"/>
                      <w:kern w:val="0"/>
                      <w:sz w:val="18"/>
                      <w:szCs w:val="18"/>
                    </w:rPr>
                    <w:t xml:space="preserve">1.18 </w:t>
                  </w:r>
                </w:p>
              </w:tc>
              <w:tc>
                <w:tcPr>
                  <w:tcW w:w="930" w:type="dxa"/>
                  <w:tcBorders>
                    <w:top w:val="nil"/>
                    <w:left w:val="nil"/>
                    <w:bottom w:val="single" w:sz="8" w:space="0" w:color="FFFFFF"/>
                    <w:right w:val="single" w:sz="8" w:space="0" w:color="FFFFFF"/>
                  </w:tcBorders>
                  <w:shd w:val="clear" w:color="000000" w:fill="FCD5B4"/>
                  <w:noWrap/>
                  <w:vAlign w:val="center"/>
                  <w:hideMark/>
                </w:tcPr>
                <w:p w14:paraId="3B8CC535"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000000"/>
                      <w:kern w:val="0"/>
                      <w:sz w:val="18"/>
                      <w:szCs w:val="18"/>
                    </w:rPr>
                    <w:t xml:space="preserve">1.35 </w:t>
                  </w:r>
                </w:p>
              </w:tc>
              <w:tc>
                <w:tcPr>
                  <w:tcW w:w="930" w:type="dxa"/>
                  <w:tcBorders>
                    <w:top w:val="nil"/>
                    <w:left w:val="nil"/>
                    <w:bottom w:val="single" w:sz="8" w:space="0" w:color="FFFFFF"/>
                    <w:right w:val="single" w:sz="8" w:space="0" w:color="FFFFFF"/>
                  </w:tcBorders>
                  <w:shd w:val="clear" w:color="000000" w:fill="FCD5B4"/>
                  <w:noWrap/>
                  <w:vAlign w:val="center"/>
                  <w:hideMark/>
                </w:tcPr>
                <w:p w14:paraId="2276586C"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000000"/>
                      <w:kern w:val="0"/>
                      <w:sz w:val="18"/>
                      <w:szCs w:val="18"/>
                    </w:rPr>
                    <w:t xml:space="preserve">3.16 </w:t>
                  </w:r>
                </w:p>
              </w:tc>
            </w:tr>
            <w:tr w:rsidR="00E46B36" w:rsidRPr="006E06F9" w14:paraId="5DCD07D9" w14:textId="77777777" w:rsidTr="00E46B36">
              <w:trPr>
                <w:trHeight w:val="292"/>
              </w:trPr>
              <w:tc>
                <w:tcPr>
                  <w:tcW w:w="1146" w:type="dxa"/>
                  <w:tcBorders>
                    <w:top w:val="nil"/>
                    <w:left w:val="nil"/>
                    <w:bottom w:val="single" w:sz="8" w:space="0" w:color="FFFFFF"/>
                    <w:right w:val="single" w:sz="8" w:space="0" w:color="FFFFFF"/>
                  </w:tcBorders>
                  <w:shd w:val="clear" w:color="000000" w:fill="FDE9D9"/>
                  <w:noWrap/>
                  <w:vAlign w:val="center"/>
                  <w:hideMark/>
                </w:tcPr>
                <w:p w14:paraId="592E4F13" w14:textId="77777777" w:rsidR="00E46B36" w:rsidRPr="00E46B36" w:rsidRDefault="00E46B36" w:rsidP="00E46B36">
                  <w:pPr>
                    <w:widowControl/>
                    <w:jc w:val="center"/>
                    <w:rPr>
                      <w:rFonts w:ascii="楷体" w:eastAsia="楷体" w:hAnsi="楷体" w:cs="宋体"/>
                      <w:color w:val="000000"/>
                      <w:kern w:val="0"/>
                      <w:sz w:val="18"/>
                      <w:szCs w:val="18"/>
                    </w:rPr>
                  </w:pPr>
                  <w:proofErr w:type="gramStart"/>
                  <w:r w:rsidRPr="00E46B36">
                    <w:rPr>
                      <w:rFonts w:ascii="楷体" w:eastAsia="楷体" w:hAnsi="楷体" w:cs="宋体" w:hint="eastAsia"/>
                      <w:color w:val="000000"/>
                      <w:kern w:val="0"/>
                      <w:sz w:val="18"/>
                      <w:szCs w:val="18"/>
                    </w:rPr>
                    <w:t>城投债</w:t>
                  </w:r>
                  <w:proofErr w:type="gramEnd"/>
                  <w:r w:rsidRPr="00E46B36">
                    <w:rPr>
                      <w:rFonts w:ascii="楷体" w:eastAsia="楷体" w:hAnsi="楷体" w:cs="宋体" w:hint="eastAsia"/>
                      <w:color w:val="000000"/>
                      <w:kern w:val="0"/>
                      <w:sz w:val="18"/>
                      <w:szCs w:val="18"/>
                    </w:rPr>
                    <w:t>5Y</w:t>
                  </w:r>
                </w:p>
              </w:tc>
              <w:tc>
                <w:tcPr>
                  <w:tcW w:w="930" w:type="dxa"/>
                  <w:tcBorders>
                    <w:top w:val="nil"/>
                    <w:left w:val="nil"/>
                    <w:bottom w:val="single" w:sz="8" w:space="0" w:color="FFFFFF"/>
                    <w:right w:val="single" w:sz="8" w:space="0" w:color="FFFFFF"/>
                  </w:tcBorders>
                  <w:shd w:val="clear" w:color="000000" w:fill="FDE9D9"/>
                  <w:noWrap/>
                  <w:vAlign w:val="center"/>
                  <w:hideMark/>
                </w:tcPr>
                <w:p w14:paraId="609C6E22"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000000"/>
                      <w:kern w:val="0"/>
                      <w:sz w:val="18"/>
                      <w:szCs w:val="18"/>
                    </w:rPr>
                    <w:t xml:space="preserve">3.85 </w:t>
                  </w:r>
                </w:p>
              </w:tc>
              <w:tc>
                <w:tcPr>
                  <w:tcW w:w="930" w:type="dxa"/>
                  <w:tcBorders>
                    <w:top w:val="nil"/>
                    <w:left w:val="nil"/>
                    <w:bottom w:val="single" w:sz="8" w:space="0" w:color="FFFFFF"/>
                    <w:right w:val="single" w:sz="8" w:space="0" w:color="FFFFFF"/>
                  </w:tcBorders>
                  <w:shd w:val="clear" w:color="000000" w:fill="FDE9D9"/>
                  <w:noWrap/>
                  <w:vAlign w:val="center"/>
                  <w:hideMark/>
                </w:tcPr>
                <w:p w14:paraId="6C39ED35"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000000"/>
                      <w:kern w:val="0"/>
                      <w:sz w:val="18"/>
                      <w:szCs w:val="18"/>
                    </w:rPr>
                    <w:t xml:space="preserve">4.03 </w:t>
                  </w:r>
                </w:p>
              </w:tc>
              <w:tc>
                <w:tcPr>
                  <w:tcW w:w="930" w:type="dxa"/>
                  <w:tcBorders>
                    <w:top w:val="nil"/>
                    <w:left w:val="nil"/>
                    <w:bottom w:val="single" w:sz="8" w:space="0" w:color="FFFFFF"/>
                    <w:right w:val="single" w:sz="8" w:space="0" w:color="FFFFFF"/>
                  </w:tcBorders>
                  <w:shd w:val="clear" w:color="000000" w:fill="FDE9D9"/>
                  <w:noWrap/>
                  <w:vAlign w:val="center"/>
                  <w:hideMark/>
                </w:tcPr>
                <w:p w14:paraId="054E08D0"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000000"/>
                      <w:kern w:val="0"/>
                      <w:sz w:val="18"/>
                      <w:szCs w:val="18"/>
                    </w:rPr>
                    <w:t xml:space="preserve">4.27 </w:t>
                  </w:r>
                </w:p>
              </w:tc>
              <w:tc>
                <w:tcPr>
                  <w:tcW w:w="930" w:type="dxa"/>
                  <w:tcBorders>
                    <w:top w:val="nil"/>
                    <w:left w:val="nil"/>
                    <w:bottom w:val="single" w:sz="8" w:space="0" w:color="FFFFFF"/>
                    <w:right w:val="single" w:sz="8" w:space="0" w:color="FFFFFF"/>
                  </w:tcBorders>
                  <w:shd w:val="clear" w:color="000000" w:fill="FDE9D9"/>
                  <w:noWrap/>
                  <w:vAlign w:val="center"/>
                  <w:hideMark/>
                </w:tcPr>
                <w:p w14:paraId="1DB4BF19"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000000"/>
                      <w:kern w:val="0"/>
                      <w:sz w:val="18"/>
                      <w:szCs w:val="18"/>
                    </w:rPr>
                    <w:t xml:space="preserve">6.56 </w:t>
                  </w:r>
                </w:p>
              </w:tc>
              <w:tc>
                <w:tcPr>
                  <w:tcW w:w="930" w:type="dxa"/>
                  <w:tcBorders>
                    <w:top w:val="nil"/>
                    <w:left w:val="nil"/>
                    <w:bottom w:val="single" w:sz="8" w:space="0" w:color="FFFFFF"/>
                    <w:right w:val="single" w:sz="8" w:space="0" w:color="FFFFFF"/>
                  </w:tcBorders>
                  <w:shd w:val="clear" w:color="000000" w:fill="FDE9D9"/>
                  <w:noWrap/>
                  <w:vAlign w:val="center"/>
                  <w:hideMark/>
                </w:tcPr>
                <w:p w14:paraId="3A13EA04" w14:textId="77777777" w:rsidR="00E46B36" w:rsidRPr="00E46B36" w:rsidRDefault="00E46B36" w:rsidP="00E46B36">
                  <w:pPr>
                    <w:widowControl/>
                    <w:jc w:val="center"/>
                    <w:rPr>
                      <w:rFonts w:ascii="楷体" w:eastAsia="楷体" w:hAnsi="楷体" w:cs="宋体"/>
                      <w:color w:val="000000"/>
                      <w:kern w:val="0"/>
                      <w:sz w:val="18"/>
                      <w:szCs w:val="18"/>
                    </w:rPr>
                  </w:pPr>
                  <w:proofErr w:type="gramStart"/>
                  <w:r w:rsidRPr="00E46B36">
                    <w:rPr>
                      <w:rFonts w:ascii="楷体" w:eastAsia="楷体" w:hAnsi="楷体" w:cs="宋体" w:hint="eastAsia"/>
                      <w:color w:val="000000"/>
                      <w:kern w:val="0"/>
                      <w:sz w:val="18"/>
                      <w:szCs w:val="18"/>
                    </w:rPr>
                    <w:t>城投债</w:t>
                  </w:r>
                  <w:proofErr w:type="gramEnd"/>
                  <w:r w:rsidRPr="00E46B36">
                    <w:rPr>
                      <w:rFonts w:ascii="楷体" w:eastAsia="楷体" w:hAnsi="楷体" w:cs="宋体" w:hint="eastAsia"/>
                      <w:color w:val="000000"/>
                      <w:kern w:val="0"/>
                      <w:sz w:val="18"/>
                      <w:szCs w:val="18"/>
                    </w:rPr>
                    <w:t>5Y</w:t>
                  </w:r>
                </w:p>
              </w:tc>
              <w:tc>
                <w:tcPr>
                  <w:tcW w:w="930" w:type="dxa"/>
                  <w:tcBorders>
                    <w:top w:val="nil"/>
                    <w:left w:val="nil"/>
                    <w:bottom w:val="single" w:sz="8" w:space="0" w:color="FFFFFF"/>
                    <w:right w:val="single" w:sz="8" w:space="0" w:color="FFFFFF"/>
                  </w:tcBorders>
                  <w:shd w:val="clear" w:color="000000" w:fill="FDE9D9"/>
                  <w:noWrap/>
                  <w:vAlign w:val="center"/>
                  <w:hideMark/>
                </w:tcPr>
                <w:p w14:paraId="29055D51"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000000"/>
                      <w:kern w:val="0"/>
                      <w:sz w:val="18"/>
                      <w:szCs w:val="18"/>
                    </w:rPr>
                    <w:t xml:space="preserve">1.15 </w:t>
                  </w:r>
                </w:p>
              </w:tc>
              <w:tc>
                <w:tcPr>
                  <w:tcW w:w="930" w:type="dxa"/>
                  <w:tcBorders>
                    <w:top w:val="nil"/>
                    <w:left w:val="nil"/>
                    <w:bottom w:val="single" w:sz="8" w:space="0" w:color="FFFFFF"/>
                    <w:right w:val="single" w:sz="8" w:space="0" w:color="FFFFFF"/>
                  </w:tcBorders>
                  <w:shd w:val="clear" w:color="000000" w:fill="FDE9D9"/>
                  <w:noWrap/>
                  <w:vAlign w:val="center"/>
                  <w:hideMark/>
                </w:tcPr>
                <w:p w14:paraId="4DD9B94D"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000000"/>
                      <w:kern w:val="0"/>
                      <w:sz w:val="18"/>
                      <w:szCs w:val="18"/>
                    </w:rPr>
                    <w:t xml:space="preserve">1.33 </w:t>
                  </w:r>
                </w:p>
              </w:tc>
              <w:tc>
                <w:tcPr>
                  <w:tcW w:w="930" w:type="dxa"/>
                  <w:tcBorders>
                    <w:top w:val="nil"/>
                    <w:left w:val="nil"/>
                    <w:bottom w:val="single" w:sz="8" w:space="0" w:color="FFFFFF"/>
                    <w:right w:val="single" w:sz="8" w:space="0" w:color="FFFFFF"/>
                  </w:tcBorders>
                  <w:shd w:val="clear" w:color="000000" w:fill="FDE9D9"/>
                  <w:noWrap/>
                  <w:vAlign w:val="center"/>
                  <w:hideMark/>
                </w:tcPr>
                <w:p w14:paraId="34A6A6C0"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000000"/>
                      <w:kern w:val="0"/>
                      <w:sz w:val="18"/>
                      <w:szCs w:val="18"/>
                    </w:rPr>
                    <w:t xml:space="preserve">1.57 </w:t>
                  </w:r>
                </w:p>
              </w:tc>
              <w:tc>
                <w:tcPr>
                  <w:tcW w:w="930" w:type="dxa"/>
                  <w:tcBorders>
                    <w:top w:val="nil"/>
                    <w:left w:val="nil"/>
                    <w:bottom w:val="single" w:sz="8" w:space="0" w:color="FFFFFF"/>
                    <w:right w:val="single" w:sz="8" w:space="0" w:color="FFFFFF"/>
                  </w:tcBorders>
                  <w:shd w:val="clear" w:color="000000" w:fill="FDE9D9"/>
                  <w:noWrap/>
                  <w:vAlign w:val="center"/>
                  <w:hideMark/>
                </w:tcPr>
                <w:p w14:paraId="7857DD2D"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000000"/>
                      <w:kern w:val="0"/>
                      <w:sz w:val="18"/>
                      <w:szCs w:val="18"/>
                    </w:rPr>
                    <w:t xml:space="preserve">3.86 </w:t>
                  </w:r>
                </w:p>
              </w:tc>
            </w:tr>
            <w:tr w:rsidR="00E46B36" w:rsidRPr="006E06F9" w14:paraId="48F6DCED" w14:textId="77777777" w:rsidTr="00E46B36">
              <w:trPr>
                <w:trHeight w:val="292"/>
              </w:trPr>
              <w:tc>
                <w:tcPr>
                  <w:tcW w:w="1146" w:type="dxa"/>
                  <w:tcBorders>
                    <w:top w:val="nil"/>
                    <w:left w:val="nil"/>
                    <w:bottom w:val="nil"/>
                    <w:right w:val="nil"/>
                  </w:tcBorders>
                  <w:shd w:val="clear" w:color="000000" w:fill="FCD5B4"/>
                  <w:noWrap/>
                  <w:vAlign w:val="center"/>
                  <w:hideMark/>
                </w:tcPr>
                <w:p w14:paraId="1DB2FD74" w14:textId="77777777" w:rsidR="00E46B36" w:rsidRPr="00E46B36" w:rsidRDefault="00E46B36" w:rsidP="00E46B36">
                  <w:pPr>
                    <w:widowControl/>
                    <w:jc w:val="center"/>
                    <w:rPr>
                      <w:rFonts w:ascii="楷体" w:eastAsia="楷体" w:hAnsi="楷体" w:cs="宋体"/>
                      <w:color w:val="000000"/>
                      <w:kern w:val="0"/>
                      <w:sz w:val="18"/>
                      <w:szCs w:val="18"/>
                    </w:rPr>
                  </w:pPr>
                  <w:proofErr w:type="gramStart"/>
                  <w:r w:rsidRPr="00E46B36">
                    <w:rPr>
                      <w:rFonts w:ascii="楷体" w:eastAsia="楷体" w:hAnsi="楷体" w:cs="宋体" w:hint="eastAsia"/>
                      <w:color w:val="000000"/>
                      <w:kern w:val="0"/>
                      <w:sz w:val="18"/>
                      <w:szCs w:val="18"/>
                    </w:rPr>
                    <w:t>城投债</w:t>
                  </w:r>
                  <w:proofErr w:type="gramEnd"/>
                  <w:r w:rsidRPr="00E46B36">
                    <w:rPr>
                      <w:rFonts w:ascii="楷体" w:eastAsia="楷体" w:hAnsi="楷体" w:cs="宋体" w:hint="eastAsia"/>
                      <w:color w:val="000000"/>
                      <w:kern w:val="0"/>
                      <w:sz w:val="18"/>
                      <w:szCs w:val="18"/>
                    </w:rPr>
                    <w:t>7Y</w:t>
                  </w:r>
                </w:p>
              </w:tc>
              <w:tc>
                <w:tcPr>
                  <w:tcW w:w="930" w:type="dxa"/>
                  <w:tcBorders>
                    <w:top w:val="nil"/>
                    <w:left w:val="nil"/>
                    <w:bottom w:val="single" w:sz="8" w:space="0" w:color="FFFFFF"/>
                    <w:right w:val="single" w:sz="8" w:space="0" w:color="FFFFFF"/>
                  </w:tcBorders>
                  <w:shd w:val="clear" w:color="000000" w:fill="FCD5B4"/>
                  <w:noWrap/>
                  <w:vAlign w:val="center"/>
                  <w:hideMark/>
                </w:tcPr>
                <w:p w14:paraId="76B21B03"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000000"/>
                      <w:kern w:val="0"/>
                      <w:sz w:val="18"/>
                      <w:szCs w:val="18"/>
                    </w:rPr>
                    <w:t xml:space="preserve">3.96 </w:t>
                  </w:r>
                </w:p>
              </w:tc>
              <w:tc>
                <w:tcPr>
                  <w:tcW w:w="930" w:type="dxa"/>
                  <w:tcBorders>
                    <w:top w:val="nil"/>
                    <w:left w:val="nil"/>
                    <w:bottom w:val="single" w:sz="8" w:space="0" w:color="FFFFFF"/>
                    <w:right w:val="single" w:sz="8" w:space="0" w:color="FFFFFF"/>
                  </w:tcBorders>
                  <w:shd w:val="clear" w:color="000000" w:fill="FCD5B4"/>
                  <w:noWrap/>
                  <w:vAlign w:val="center"/>
                  <w:hideMark/>
                </w:tcPr>
                <w:p w14:paraId="29C3340F"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000000"/>
                      <w:kern w:val="0"/>
                      <w:sz w:val="18"/>
                      <w:szCs w:val="18"/>
                    </w:rPr>
                    <w:t xml:space="preserve">4.16 </w:t>
                  </w:r>
                </w:p>
              </w:tc>
              <w:tc>
                <w:tcPr>
                  <w:tcW w:w="930" w:type="dxa"/>
                  <w:tcBorders>
                    <w:top w:val="nil"/>
                    <w:left w:val="nil"/>
                    <w:bottom w:val="single" w:sz="8" w:space="0" w:color="FFFFFF"/>
                    <w:right w:val="single" w:sz="8" w:space="0" w:color="FFFFFF"/>
                  </w:tcBorders>
                  <w:shd w:val="clear" w:color="000000" w:fill="FCD5B4"/>
                  <w:noWrap/>
                  <w:vAlign w:val="center"/>
                  <w:hideMark/>
                </w:tcPr>
                <w:p w14:paraId="40B0E191"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000000"/>
                      <w:kern w:val="0"/>
                      <w:sz w:val="18"/>
                      <w:szCs w:val="18"/>
                    </w:rPr>
                    <w:t xml:space="preserve">4.48 </w:t>
                  </w:r>
                </w:p>
              </w:tc>
              <w:tc>
                <w:tcPr>
                  <w:tcW w:w="930" w:type="dxa"/>
                  <w:tcBorders>
                    <w:top w:val="nil"/>
                    <w:left w:val="nil"/>
                    <w:bottom w:val="single" w:sz="8" w:space="0" w:color="FFFFFF"/>
                    <w:right w:val="single" w:sz="8" w:space="0" w:color="FFFFFF"/>
                  </w:tcBorders>
                  <w:shd w:val="clear" w:color="000000" w:fill="FCD5B4"/>
                  <w:noWrap/>
                  <w:vAlign w:val="center"/>
                  <w:hideMark/>
                </w:tcPr>
                <w:p w14:paraId="5CCA4167"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000000"/>
                      <w:kern w:val="0"/>
                      <w:sz w:val="18"/>
                      <w:szCs w:val="18"/>
                    </w:rPr>
                    <w:t xml:space="preserve">6.88 </w:t>
                  </w:r>
                </w:p>
              </w:tc>
              <w:tc>
                <w:tcPr>
                  <w:tcW w:w="930" w:type="dxa"/>
                  <w:tcBorders>
                    <w:top w:val="nil"/>
                    <w:left w:val="nil"/>
                    <w:bottom w:val="nil"/>
                    <w:right w:val="nil"/>
                  </w:tcBorders>
                  <w:shd w:val="clear" w:color="000000" w:fill="FCD5B4"/>
                  <w:noWrap/>
                  <w:vAlign w:val="center"/>
                  <w:hideMark/>
                </w:tcPr>
                <w:p w14:paraId="563C026E" w14:textId="77777777" w:rsidR="00E46B36" w:rsidRPr="00E46B36" w:rsidRDefault="00E46B36" w:rsidP="00E46B36">
                  <w:pPr>
                    <w:widowControl/>
                    <w:jc w:val="center"/>
                    <w:rPr>
                      <w:rFonts w:ascii="楷体" w:eastAsia="楷体" w:hAnsi="楷体" w:cs="宋体"/>
                      <w:color w:val="000000"/>
                      <w:kern w:val="0"/>
                      <w:sz w:val="18"/>
                      <w:szCs w:val="18"/>
                    </w:rPr>
                  </w:pPr>
                  <w:proofErr w:type="gramStart"/>
                  <w:r w:rsidRPr="00E46B36">
                    <w:rPr>
                      <w:rFonts w:ascii="楷体" w:eastAsia="楷体" w:hAnsi="楷体" w:cs="宋体" w:hint="eastAsia"/>
                      <w:color w:val="000000"/>
                      <w:kern w:val="0"/>
                      <w:sz w:val="18"/>
                      <w:szCs w:val="18"/>
                    </w:rPr>
                    <w:t>城投债</w:t>
                  </w:r>
                  <w:proofErr w:type="gramEnd"/>
                  <w:r w:rsidRPr="00E46B36">
                    <w:rPr>
                      <w:rFonts w:ascii="楷体" w:eastAsia="楷体" w:hAnsi="楷体" w:cs="宋体" w:hint="eastAsia"/>
                      <w:color w:val="000000"/>
                      <w:kern w:val="0"/>
                      <w:sz w:val="18"/>
                      <w:szCs w:val="18"/>
                    </w:rPr>
                    <w:t>7Y</w:t>
                  </w:r>
                </w:p>
              </w:tc>
              <w:tc>
                <w:tcPr>
                  <w:tcW w:w="930" w:type="dxa"/>
                  <w:tcBorders>
                    <w:top w:val="nil"/>
                    <w:left w:val="nil"/>
                    <w:bottom w:val="single" w:sz="8" w:space="0" w:color="FFFFFF"/>
                    <w:right w:val="single" w:sz="8" w:space="0" w:color="FFFFFF"/>
                  </w:tcBorders>
                  <w:shd w:val="clear" w:color="000000" w:fill="FCD5B4"/>
                  <w:noWrap/>
                  <w:vAlign w:val="center"/>
                  <w:hideMark/>
                </w:tcPr>
                <w:p w14:paraId="57361305"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000000"/>
                      <w:kern w:val="0"/>
                      <w:sz w:val="18"/>
                      <w:szCs w:val="18"/>
                    </w:rPr>
                    <w:t xml:space="preserve">0.99 </w:t>
                  </w:r>
                </w:p>
              </w:tc>
              <w:tc>
                <w:tcPr>
                  <w:tcW w:w="930" w:type="dxa"/>
                  <w:tcBorders>
                    <w:top w:val="nil"/>
                    <w:left w:val="nil"/>
                    <w:bottom w:val="single" w:sz="8" w:space="0" w:color="FFFFFF"/>
                    <w:right w:val="single" w:sz="8" w:space="0" w:color="FFFFFF"/>
                  </w:tcBorders>
                  <w:shd w:val="clear" w:color="000000" w:fill="FCD5B4"/>
                  <w:noWrap/>
                  <w:vAlign w:val="center"/>
                  <w:hideMark/>
                </w:tcPr>
                <w:p w14:paraId="50849795"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000000"/>
                      <w:kern w:val="0"/>
                      <w:sz w:val="18"/>
                      <w:szCs w:val="18"/>
                    </w:rPr>
                    <w:t xml:space="preserve">1.19 </w:t>
                  </w:r>
                </w:p>
              </w:tc>
              <w:tc>
                <w:tcPr>
                  <w:tcW w:w="930" w:type="dxa"/>
                  <w:tcBorders>
                    <w:top w:val="nil"/>
                    <w:left w:val="nil"/>
                    <w:bottom w:val="single" w:sz="8" w:space="0" w:color="FFFFFF"/>
                    <w:right w:val="single" w:sz="8" w:space="0" w:color="FFFFFF"/>
                  </w:tcBorders>
                  <w:shd w:val="clear" w:color="000000" w:fill="FCD5B4"/>
                  <w:noWrap/>
                  <w:vAlign w:val="center"/>
                  <w:hideMark/>
                </w:tcPr>
                <w:p w14:paraId="09B81722"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000000"/>
                      <w:kern w:val="0"/>
                      <w:sz w:val="18"/>
                      <w:szCs w:val="18"/>
                    </w:rPr>
                    <w:t xml:space="preserve">1.51 </w:t>
                  </w:r>
                </w:p>
              </w:tc>
              <w:tc>
                <w:tcPr>
                  <w:tcW w:w="930" w:type="dxa"/>
                  <w:tcBorders>
                    <w:top w:val="nil"/>
                    <w:left w:val="nil"/>
                    <w:bottom w:val="single" w:sz="8" w:space="0" w:color="FFFFFF"/>
                    <w:right w:val="single" w:sz="8" w:space="0" w:color="FFFFFF"/>
                  </w:tcBorders>
                  <w:shd w:val="clear" w:color="000000" w:fill="FCD5B4"/>
                  <w:noWrap/>
                  <w:vAlign w:val="center"/>
                  <w:hideMark/>
                </w:tcPr>
                <w:p w14:paraId="765C2B52"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000000"/>
                      <w:kern w:val="0"/>
                      <w:sz w:val="18"/>
                      <w:szCs w:val="18"/>
                    </w:rPr>
                    <w:t xml:space="preserve">3.91 </w:t>
                  </w:r>
                </w:p>
              </w:tc>
            </w:tr>
            <w:tr w:rsidR="00E46B36" w:rsidRPr="006E06F9" w14:paraId="0B8FC7FF" w14:textId="77777777" w:rsidTr="00E46B36">
              <w:trPr>
                <w:trHeight w:val="145"/>
              </w:trPr>
              <w:tc>
                <w:tcPr>
                  <w:tcW w:w="1146" w:type="dxa"/>
                  <w:tcBorders>
                    <w:top w:val="nil"/>
                    <w:left w:val="nil"/>
                    <w:bottom w:val="nil"/>
                    <w:right w:val="nil"/>
                  </w:tcBorders>
                  <w:shd w:val="clear" w:color="auto" w:fill="auto"/>
                  <w:noWrap/>
                  <w:vAlign w:val="center"/>
                  <w:hideMark/>
                </w:tcPr>
                <w:p w14:paraId="41865EEB" w14:textId="77777777" w:rsidR="00E46B36" w:rsidRPr="00E46B36" w:rsidRDefault="00E46B36" w:rsidP="00E46B36">
                  <w:pPr>
                    <w:widowControl/>
                    <w:jc w:val="center"/>
                    <w:rPr>
                      <w:rFonts w:eastAsia="等线" w:cs="Calibri"/>
                      <w:color w:val="000000"/>
                      <w:kern w:val="0"/>
                      <w:sz w:val="18"/>
                      <w:szCs w:val="18"/>
                    </w:rPr>
                  </w:pPr>
                </w:p>
              </w:tc>
              <w:tc>
                <w:tcPr>
                  <w:tcW w:w="930" w:type="dxa"/>
                  <w:tcBorders>
                    <w:top w:val="nil"/>
                    <w:left w:val="nil"/>
                    <w:bottom w:val="nil"/>
                    <w:right w:val="nil"/>
                  </w:tcBorders>
                  <w:shd w:val="clear" w:color="auto" w:fill="auto"/>
                  <w:noWrap/>
                  <w:vAlign w:val="center"/>
                  <w:hideMark/>
                </w:tcPr>
                <w:p w14:paraId="5AF429A6" w14:textId="77777777" w:rsidR="00E46B36" w:rsidRPr="00E46B36" w:rsidRDefault="00E46B36" w:rsidP="00E46B36">
                  <w:pPr>
                    <w:widowControl/>
                    <w:jc w:val="center"/>
                    <w:rPr>
                      <w:rFonts w:ascii="Times New Roman" w:eastAsia="Times New Roman" w:hAnsi="Times New Roman"/>
                      <w:kern w:val="0"/>
                      <w:sz w:val="18"/>
                      <w:szCs w:val="18"/>
                    </w:rPr>
                  </w:pPr>
                </w:p>
              </w:tc>
              <w:tc>
                <w:tcPr>
                  <w:tcW w:w="930" w:type="dxa"/>
                  <w:tcBorders>
                    <w:top w:val="nil"/>
                    <w:left w:val="nil"/>
                    <w:bottom w:val="nil"/>
                    <w:right w:val="nil"/>
                  </w:tcBorders>
                  <w:shd w:val="clear" w:color="auto" w:fill="auto"/>
                  <w:noWrap/>
                  <w:vAlign w:val="center"/>
                  <w:hideMark/>
                </w:tcPr>
                <w:p w14:paraId="63EE9BB2" w14:textId="77777777" w:rsidR="00E46B36" w:rsidRPr="00E46B36" w:rsidRDefault="00E46B36" w:rsidP="00E46B36">
                  <w:pPr>
                    <w:widowControl/>
                    <w:jc w:val="center"/>
                    <w:rPr>
                      <w:rFonts w:ascii="Times New Roman" w:eastAsia="Times New Roman" w:hAnsi="Times New Roman"/>
                      <w:kern w:val="0"/>
                      <w:sz w:val="18"/>
                      <w:szCs w:val="18"/>
                    </w:rPr>
                  </w:pPr>
                </w:p>
              </w:tc>
              <w:tc>
                <w:tcPr>
                  <w:tcW w:w="930" w:type="dxa"/>
                  <w:tcBorders>
                    <w:top w:val="nil"/>
                    <w:left w:val="nil"/>
                    <w:bottom w:val="nil"/>
                    <w:right w:val="nil"/>
                  </w:tcBorders>
                  <w:shd w:val="clear" w:color="auto" w:fill="auto"/>
                  <w:noWrap/>
                  <w:vAlign w:val="center"/>
                  <w:hideMark/>
                </w:tcPr>
                <w:p w14:paraId="53D7E610" w14:textId="77777777" w:rsidR="00E46B36" w:rsidRPr="00E46B36" w:rsidRDefault="00E46B36" w:rsidP="00E46B36">
                  <w:pPr>
                    <w:widowControl/>
                    <w:jc w:val="center"/>
                    <w:rPr>
                      <w:rFonts w:ascii="Times New Roman" w:eastAsia="Times New Roman" w:hAnsi="Times New Roman"/>
                      <w:kern w:val="0"/>
                      <w:sz w:val="18"/>
                      <w:szCs w:val="18"/>
                    </w:rPr>
                  </w:pPr>
                </w:p>
              </w:tc>
              <w:tc>
                <w:tcPr>
                  <w:tcW w:w="930" w:type="dxa"/>
                  <w:tcBorders>
                    <w:top w:val="nil"/>
                    <w:left w:val="nil"/>
                    <w:bottom w:val="nil"/>
                    <w:right w:val="nil"/>
                  </w:tcBorders>
                  <w:shd w:val="clear" w:color="auto" w:fill="auto"/>
                  <w:noWrap/>
                  <w:vAlign w:val="center"/>
                  <w:hideMark/>
                </w:tcPr>
                <w:p w14:paraId="1CA1CAF5" w14:textId="77777777" w:rsidR="00E46B36" w:rsidRPr="00E46B36" w:rsidRDefault="00E46B36" w:rsidP="00E46B36">
                  <w:pPr>
                    <w:widowControl/>
                    <w:jc w:val="center"/>
                    <w:rPr>
                      <w:rFonts w:ascii="Times New Roman" w:eastAsia="Times New Roman" w:hAnsi="Times New Roman"/>
                      <w:kern w:val="0"/>
                      <w:sz w:val="18"/>
                      <w:szCs w:val="18"/>
                    </w:rPr>
                  </w:pPr>
                </w:p>
              </w:tc>
              <w:tc>
                <w:tcPr>
                  <w:tcW w:w="930" w:type="dxa"/>
                  <w:tcBorders>
                    <w:top w:val="nil"/>
                    <w:left w:val="nil"/>
                    <w:bottom w:val="nil"/>
                    <w:right w:val="nil"/>
                  </w:tcBorders>
                  <w:shd w:val="clear" w:color="auto" w:fill="auto"/>
                  <w:noWrap/>
                  <w:vAlign w:val="center"/>
                  <w:hideMark/>
                </w:tcPr>
                <w:p w14:paraId="05F3D600" w14:textId="77777777" w:rsidR="00E46B36" w:rsidRPr="00E46B36" w:rsidRDefault="00E46B36" w:rsidP="00E46B36">
                  <w:pPr>
                    <w:widowControl/>
                    <w:jc w:val="center"/>
                    <w:rPr>
                      <w:rFonts w:ascii="Times New Roman" w:eastAsia="Times New Roman" w:hAnsi="Times New Roman"/>
                      <w:kern w:val="0"/>
                      <w:sz w:val="18"/>
                      <w:szCs w:val="18"/>
                    </w:rPr>
                  </w:pPr>
                </w:p>
              </w:tc>
              <w:tc>
                <w:tcPr>
                  <w:tcW w:w="930" w:type="dxa"/>
                  <w:tcBorders>
                    <w:top w:val="nil"/>
                    <w:left w:val="nil"/>
                    <w:bottom w:val="nil"/>
                    <w:right w:val="nil"/>
                  </w:tcBorders>
                  <w:shd w:val="clear" w:color="auto" w:fill="auto"/>
                  <w:noWrap/>
                  <w:vAlign w:val="center"/>
                  <w:hideMark/>
                </w:tcPr>
                <w:p w14:paraId="76656BEE" w14:textId="77777777" w:rsidR="00E46B36" w:rsidRPr="00E46B36" w:rsidRDefault="00E46B36" w:rsidP="00E46B36">
                  <w:pPr>
                    <w:widowControl/>
                    <w:jc w:val="center"/>
                    <w:rPr>
                      <w:rFonts w:ascii="Times New Roman" w:eastAsia="Times New Roman" w:hAnsi="Times New Roman"/>
                      <w:kern w:val="0"/>
                      <w:sz w:val="18"/>
                      <w:szCs w:val="18"/>
                    </w:rPr>
                  </w:pPr>
                </w:p>
              </w:tc>
              <w:tc>
                <w:tcPr>
                  <w:tcW w:w="930" w:type="dxa"/>
                  <w:tcBorders>
                    <w:top w:val="nil"/>
                    <w:left w:val="nil"/>
                    <w:bottom w:val="nil"/>
                    <w:right w:val="nil"/>
                  </w:tcBorders>
                  <w:shd w:val="clear" w:color="auto" w:fill="auto"/>
                  <w:noWrap/>
                  <w:vAlign w:val="center"/>
                  <w:hideMark/>
                </w:tcPr>
                <w:p w14:paraId="2BEA7090" w14:textId="77777777" w:rsidR="00E46B36" w:rsidRPr="00E46B36" w:rsidRDefault="00E46B36" w:rsidP="00E46B36">
                  <w:pPr>
                    <w:widowControl/>
                    <w:jc w:val="center"/>
                    <w:rPr>
                      <w:rFonts w:ascii="Times New Roman" w:eastAsia="Times New Roman" w:hAnsi="Times New Roman"/>
                      <w:kern w:val="0"/>
                      <w:sz w:val="18"/>
                      <w:szCs w:val="18"/>
                    </w:rPr>
                  </w:pPr>
                </w:p>
              </w:tc>
              <w:tc>
                <w:tcPr>
                  <w:tcW w:w="930" w:type="dxa"/>
                  <w:tcBorders>
                    <w:top w:val="nil"/>
                    <w:left w:val="nil"/>
                    <w:bottom w:val="nil"/>
                    <w:right w:val="nil"/>
                  </w:tcBorders>
                  <w:shd w:val="clear" w:color="auto" w:fill="auto"/>
                  <w:noWrap/>
                  <w:vAlign w:val="center"/>
                  <w:hideMark/>
                </w:tcPr>
                <w:p w14:paraId="5BED1BC1" w14:textId="77777777" w:rsidR="00E46B36" w:rsidRPr="00E46B36" w:rsidRDefault="00E46B36" w:rsidP="00E46B36">
                  <w:pPr>
                    <w:widowControl/>
                    <w:jc w:val="center"/>
                    <w:rPr>
                      <w:rFonts w:ascii="Times New Roman" w:eastAsia="Times New Roman" w:hAnsi="Times New Roman"/>
                      <w:kern w:val="0"/>
                      <w:sz w:val="18"/>
                      <w:szCs w:val="18"/>
                    </w:rPr>
                  </w:pPr>
                </w:p>
              </w:tc>
              <w:tc>
                <w:tcPr>
                  <w:tcW w:w="930" w:type="dxa"/>
                  <w:tcBorders>
                    <w:top w:val="nil"/>
                    <w:left w:val="nil"/>
                    <w:bottom w:val="nil"/>
                    <w:right w:val="nil"/>
                  </w:tcBorders>
                  <w:shd w:val="clear" w:color="auto" w:fill="auto"/>
                  <w:noWrap/>
                  <w:vAlign w:val="center"/>
                  <w:hideMark/>
                </w:tcPr>
                <w:p w14:paraId="324E93FB" w14:textId="77777777" w:rsidR="00E46B36" w:rsidRPr="00E46B36" w:rsidRDefault="00E46B36" w:rsidP="00E46B36">
                  <w:pPr>
                    <w:widowControl/>
                    <w:jc w:val="center"/>
                    <w:rPr>
                      <w:rFonts w:ascii="Times New Roman" w:eastAsia="Times New Roman" w:hAnsi="Times New Roman"/>
                      <w:kern w:val="0"/>
                      <w:sz w:val="18"/>
                      <w:szCs w:val="18"/>
                    </w:rPr>
                  </w:pPr>
                </w:p>
              </w:tc>
            </w:tr>
            <w:tr w:rsidR="00E46B36" w:rsidRPr="006E06F9" w14:paraId="72E06899" w14:textId="77777777" w:rsidTr="00E46B36">
              <w:trPr>
                <w:trHeight w:val="292"/>
              </w:trPr>
              <w:tc>
                <w:tcPr>
                  <w:tcW w:w="1146" w:type="dxa"/>
                  <w:tcBorders>
                    <w:top w:val="nil"/>
                    <w:left w:val="nil"/>
                    <w:bottom w:val="single" w:sz="12" w:space="0" w:color="FFFFFF"/>
                    <w:right w:val="single" w:sz="8" w:space="0" w:color="FFFFFF"/>
                  </w:tcBorders>
                  <w:shd w:val="clear" w:color="000000" w:fill="F79646"/>
                  <w:noWrap/>
                  <w:vAlign w:val="center"/>
                  <w:hideMark/>
                </w:tcPr>
                <w:p w14:paraId="25F843E0" w14:textId="77777777" w:rsidR="00E46B36" w:rsidRPr="00E46B36" w:rsidRDefault="00E46B36" w:rsidP="00E46B36">
                  <w:pPr>
                    <w:widowControl/>
                    <w:jc w:val="center"/>
                    <w:rPr>
                      <w:rFonts w:ascii="楷体" w:eastAsia="楷体" w:hAnsi="楷体" w:cs="宋体"/>
                      <w:b/>
                      <w:bCs/>
                      <w:color w:val="FFFFFF"/>
                      <w:kern w:val="0"/>
                      <w:sz w:val="18"/>
                      <w:szCs w:val="18"/>
                    </w:rPr>
                  </w:pPr>
                  <w:proofErr w:type="gramStart"/>
                  <w:r w:rsidRPr="00E46B36">
                    <w:rPr>
                      <w:rFonts w:ascii="楷体" w:eastAsia="楷体" w:hAnsi="楷体" w:cs="宋体" w:hint="eastAsia"/>
                      <w:b/>
                      <w:bCs/>
                      <w:color w:val="FFFFFF"/>
                      <w:kern w:val="0"/>
                      <w:sz w:val="18"/>
                      <w:szCs w:val="18"/>
                    </w:rPr>
                    <w:t>周变化</w:t>
                  </w:r>
                  <w:proofErr w:type="gramEnd"/>
                  <w:r w:rsidRPr="00E46B36">
                    <w:rPr>
                      <w:rFonts w:ascii="楷体" w:eastAsia="楷体" w:hAnsi="楷体" w:cs="宋体" w:hint="eastAsia"/>
                      <w:b/>
                      <w:bCs/>
                      <w:color w:val="FFFFFF"/>
                      <w:kern w:val="0"/>
                      <w:sz w:val="18"/>
                      <w:szCs w:val="18"/>
                    </w:rPr>
                    <w:t>(BP)</w:t>
                  </w:r>
                </w:p>
              </w:tc>
              <w:tc>
                <w:tcPr>
                  <w:tcW w:w="930" w:type="dxa"/>
                  <w:tcBorders>
                    <w:top w:val="nil"/>
                    <w:left w:val="nil"/>
                    <w:bottom w:val="single" w:sz="12" w:space="0" w:color="FFFFFF"/>
                    <w:right w:val="single" w:sz="8" w:space="0" w:color="FFFFFF"/>
                  </w:tcBorders>
                  <w:shd w:val="clear" w:color="000000" w:fill="F79646"/>
                  <w:noWrap/>
                  <w:vAlign w:val="center"/>
                  <w:hideMark/>
                </w:tcPr>
                <w:p w14:paraId="4050B1BB" w14:textId="77777777" w:rsidR="00E46B36" w:rsidRPr="00E46B36" w:rsidRDefault="00E46B36" w:rsidP="00E46B36">
                  <w:pPr>
                    <w:widowControl/>
                    <w:jc w:val="center"/>
                    <w:rPr>
                      <w:rFonts w:ascii="楷体" w:eastAsia="楷体" w:hAnsi="楷体" w:cs="宋体"/>
                      <w:b/>
                      <w:bCs/>
                      <w:color w:val="FFFFFF"/>
                      <w:kern w:val="0"/>
                      <w:sz w:val="18"/>
                      <w:szCs w:val="18"/>
                    </w:rPr>
                  </w:pPr>
                  <w:r w:rsidRPr="00E46B36">
                    <w:rPr>
                      <w:rFonts w:ascii="楷体" w:eastAsia="楷体" w:hAnsi="楷体" w:cs="宋体" w:hint="eastAsia"/>
                      <w:b/>
                      <w:bCs/>
                      <w:color w:val="FFFFFF"/>
                      <w:kern w:val="0"/>
                      <w:sz w:val="18"/>
                      <w:szCs w:val="18"/>
                    </w:rPr>
                    <w:t>AAA</w:t>
                  </w:r>
                </w:p>
              </w:tc>
              <w:tc>
                <w:tcPr>
                  <w:tcW w:w="930" w:type="dxa"/>
                  <w:tcBorders>
                    <w:top w:val="nil"/>
                    <w:left w:val="nil"/>
                    <w:bottom w:val="single" w:sz="12" w:space="0" w:color="FFFFFF"/>
                    <w:right w:val="single" w:sz="8" w:space="0" w:color="FFFFFF"/>
                  </w:tcBorders>
                  <w:shd w:val="clear" w:color="000000" w:fill="F79646"/>
                  <w:noWrap/>
                  <w:vAlign w:val="center"/>
                  <w:hideMark/>
                </w:tcPr>
                <w:p w14:paraId="72BF261A" w14:textId="77777777" w:rsidR="00E46B36" w:rsidRPr="00E46B36" w:rsidRDefault="00E46B36" w:rsidP="00E46B36">
                  <w:pPr>
                    <w:widowControl/>
                    <w:jc w:val="center"/>
                    <w:rPr>
                      <w:rFonts w:ascii="楷体" w:eastAsia="楷体" w:hAnsi="楷体" w:cs="宋体"/>
                      <w:b/>
                      <w:bCs/>
                      <w:color w:val="FFFFFF"/>
                      <w:kern w:val="0"/>
                      <w:sz w:val="18"/>
                      <w:szCs w:val="18"/>
                    </w:rPr>
                  </w:pPr>
                  <w:r w:rsidRPr="00E46B36">
                    <w:rPr>
                      <w:rFonts w:ascii="楷体" w:eastAsia="楷体" w:hAnsi="楷体" w:cs="宋体" w:hint="eastAsia"/>
                      <w:b/>
                      <w:bCs/>
                      <w:color w:val="FFFFFF"/>
                      <w:kern w:val="0"/>
                      <w:sz w:val="18"/>
                      <w:szCs w:val="18"/>
                    </w:rPr>
                    <w:t>AA+</w:t>
                  </w:r>
                </w:p>
              </w:tc>
              <w:tc>
                <w:tcPr>
                  <w:tcW w:w="930" w:type="dxa"/>
                  <w:tcBorders>
                    <w:top w:val="nil"/>
                    <w:left w:val="nil"/>
                    <w:bottom w:val="single" w:sz="12" w:space="0" w:color="FFFFFF"/>
                    <w:right w:val="single" w:sz="8" w:space="0" w:color="FFFFFF"/>
                  </w:tcBorders>
                  <w:shd w:val="clear" w:color="000000" w:fill="F79646"/>
                  <w:noWrap/>
                  <w:vAlign w:val="center"/>
                  <w:hideMark/>
                </w:tcPr>
                <w:p w14:paraId="2A25A51D" w14:textId="77777777" w:rsidR="00E46B36" w:rsidRPr="00E46B36" w:rsidRDefault="00E46B36" w:rsidP="00E46B36">
                  <w:pPr>
                    <w:widowControl/>
                    <w:jc w:val="center"/>
                    <w:rPr>
                      <w:rFonts w:ascii="楷体" w:eastAsia="楷体" w:hAnsi="楷体" w:cs="宋体"/>
                      <w:b/>
                      <w:bCs/>
                      <w:color w:val="FFFFFF"/>
                      <w:kern w:val="0"/>
                      <w:sz w:val="18"/>
                      <w:szCs w:val="18"/>
                    </w:rPr>
                  </w:pPr>
                  <w:r w:rsidRPr="00E46B36">
                    <w:rPr>
                      <w:rFonts w:ascii="楷体" w:eastAsia="楷体" w:hAnsi="楷体" w:cs="宋体" w:hint="eastAsia"/>
                      <w:b/>
                      <w:bCs/>
                      <w:color w:val="FFFFFF"/>
                      <w:kern w:val="0"/>
                      <w:sz w:val="18"/>
                      <w:szCs w:val="18"/>
                    </w:rPr>
                    <w:t>AA</w:t>
                  </w:r>
                </w:p>
              </w:tc>
              <w:tc>
                <w:tcPr>
                  <w:tcW w:w="930" w:type="dxa"/>
                  <w:tcBorders>
                    <w:top w:val="nil"/>
                    <w:left w:val="nil"/>
                    <w:bottom w:val="single" w:sz="12" w:space="0" w:color="FFFFFF"/>
                    <w:right w:val="single" w:sz="8" w:space="0" w:color="FFFFFF"/>
                  </w:tcBorders>
                  <w:shd w:val="clear" w:color="000000" w:fill="F79646"/>
                  <w:noWrap/>
                  <w:vAlign w:val="center"/>
                  <w:hideMark/>
                </w:tcPr>
                <w:p w14:paraId="013C1225" w14:textId="77777777" w:rsidR="00E46B36" w:rsidRPr="00E46B36" w:rsidRDefault="00E46B36" w:rsidP="00E46B36">
                  <w:pPr>
                    <w:widowControl/>
                    <w:jc w:val="center"/>
                    <w:rPr>
                      <w:rFonts w:ascii="楷体" w:eastAsia="楷体" w:hAnsi="楷体" w:cs="宋体"/>
                      <w:b/>
                      <w:bCs/>
                      <w:color w:val="FFFFFF"/>
                      <w:kern w:val="0"/>
                      <w:sz w:val="18"/>
                      <w:szCs w:val="18"/>
                    </w:rPr>
                  </w:pPr>
                  <w:r w:rsidRPr="00E46B36">
                    <w:rPr>
                      <w:rFonts w:ascii="楷体" w:eastAsia="楷体" w:hAnsi="楷体" w:cs="宋体" w:hint="eastAsia"/>
                      <w:b/>
                      <w:bCs/>
                      <w:color w:val="FFFFFF"/>
                      <w:kern w:val="0"/>
                      <w:sz w:val="18"/>
                      <w:szCs w:val="18"/>
                    </w:rPr>
                    <w:t>AA-</w:t>
                  </w:r>
                </w:p>
              </w:tc>
              <w:tc>
                <w:tcPr>
                  <w:tcW w:w="930" w:type="dxa"/>
                  <w:tcBorders>
                    <w:top w:val="nil"/>
                    <w:left w:val="nil"/>
                    <w:bottom w:val="single" w:sz="12" w:space="0" w:color="FFFFFF"/>
                    <w:right w:val="single" w:sz="8" w:space="0" w:color="FFFFFF"/>
                  </w:tcBorders>
                  <w:shd w:val="clear" w:color="000000" w:fill="F79646"/>
                  <w:noWrap/>
                  <w:vAlign w:val="center"/>
                  <w:hideMark/>
                </w:tcPr>
                <w:p w14:paraId="7890C94A" w14:textId="77777777" w:rsidR="00E46B36" w:rsidRPr="00E46B36" w:rsidRDefault="00E46B36" w:rsidP="00E46B36">
                  <w:pPr>
                    <w:widowControl/>
                    <w:jc w:val="center"/>
                    <w:rPr>
                      <w:rFonts w:ascii="楷体" w:eastAsia="楷体" w:hAnsi="楷体" w:cs="宋体"/>
                      <w:b/>
                      <w:bCs/>
                      <w:color w:val="FFFFFF"/>
                      <w:kern w:val="0"/>
                      <w:sz w:val="18"/>
                      <w:szCs w:val="18"/>
                    </w:rPr>
                  </w:pPr>
                  <w:r w:rsidRPr="00E46B36">
                    <w:rPr>
                      <w:rFonts w:ascii="楷体" w:eastAsia="楷体" w:hAnsi="楷体" w:cs="宋体" w:hint="eastAsia"/>
                      <w:b/>
                      <w:bCs/>
                      <w:color w:val="FFFFFF"/>
                      <w:kern w:val="0"/>
                      <w:sz w:val="18"/>
                      <w:szCs w:val="18"/>
                    </w:rPr>
                    <w:t>息差</w:t>
                  </w:r>
                </w:p>
              </w:tc>
              <w:tc>
                <w:tcPr>
                  <w:tcW w:w="930" w:type="dxa"/>
                  <w:tcBorders>
                    <w:top w:val="nil"/>
                    <w:left w:val="nil"/>
                    <w:bottom w:val="single" w:sz="12" w:space="0" w:color="FFFFFF"/>
                    <w:right w:val="single" w:sz="8" w:space="0" w:color="FFFFFF"/>
                  </w:tcBorders>
                  <w:shd w:val="clear" w:color="000000" w:fill="F79646"/>
                  <w:noWrap/>
                  <w:vAlign w:val="center"/>
                  <w:hideMark/>
                </w:tcPr>
                <w:p w14:paraId="65871065" w14:textId="77777777" w:rsidR="00E46B36" w:rsidRPr="00E46B36" w:rsidRDefault="00E46B36" w:rsidP="00E46B36">
                  <w:pPr>
                    <w:widowControl/>
                    <w:jc w:val="center"/>
                    <w:rPr>
                      <w:rFonts w:ascii="楷体" w:eastAsia="楷体" w:hAnsi="楷体" w:cs="宋体"/>
                      <w:b/>
                      <w:bCs/>
                      <w:color w:val="FFFFFF"/>
                      <w:kern w:val="0"/>
                      <w:sz w:val="18"/>
                      <w:szCs w:val="18"/>
                    </w:rPr>
                  </w:pPr>
                  <w:r w:rsidRPr="00E46B36">
                    <w:rPr>
                      <w:rFonts w:ascii="楷体" w:eastAsia="楷体" w:hAnsi="楷体" w:cs="宋体" w:hint="eastAsia"/>
                      <w:b/>
                      <w:bCs/>
                      <w:color w:val="FFFFFF"/>
                      <w:kern w:val="0"/>
                      <w:sz w:val="18"/>
                      <w:szCs w:val="18"/>
                    </w:rPr>
                    <w:t>AAA</w:t>
                  </w:r>
                </w:p>
              </w:tc>
              <w:tc>
                <w:tcPr>
                  <w:tcW w:w="930" w:type="dxa"/>
                  <w:tcBorders>
                    <w:top w:val="nil"/>
                    <w:left w:val="nil"/>
                    <w:bottom w:val="single" w:sz="12" w:space="0" w:color="FFFFFF"/>
                    <w:right w:val="single" w:sz="8" w:space="0" w:color="FFFFFF"/>
                  </w:tcBorders>
                  <w:shd w:val="clear" w:color="000000" w:fill="F79646"/>
                  <w:noWrap/>
                  <w:vAlign w:val="center"/>
                  <w:hideMark/>
                </w:tcPr>
                <w:p w14:paraId="098CE975" w14:textId="77777777" w:rsidR="00E46B36" w:rsidRPr="00E46B36" w:rsidRDefault="00E46B36" w:rsidP="00E46B36">
                  <w:pPr>
                    <w:widowControl/>
                    <w:jc w:val="center"/>
                    <w:rPr>
                      <w:rFonts w:ascii="楷体" w:eastAsia="楷体" w:hAnsi="楷体" w:cs="宋体"/>
                      <w:b/>
                      <w:bCs/>
                      <w:color w:val="FFFFFF"/>
                      <w:kern w:val="0"/>
                      <w:sz w:val="18"/>
                      <w:szCs w:val="18"/>
                    </w:rPr>
                  </w:pPr>
                  <w:r w:rsidRPr="00E46B36">
                    <w:rPr>
                      <w:rFonts w:ascii="楷体" w:eastAsia="楷体" w:hAnsi="楷体" w:cs="宋体" w:hint="eastAsia"/>
                      <w:b/>
                      <w:bCs/>
                      <w:color w:val="FFFFFF"/>
                      <w:kern w:val="0"/>
                      <w:sz w:val="18"/>
                      <w:szCs w:val="18"/>
                    </w:rPr>
                    <w:t>AA+</w:t>
                  </w:r>
                </w:p>
              </w:tc>
              <w:tc>
                <w:tcPr>
                  <w:tcW w:w="930" w:type="dxa"/>
                  <w:tcBorders>
                    <w:top w:val="nil"/>
                    <w:left w:val="nil"/>
                    <w:bottom w:val="single" w:sz="12" w:space="0" w:color="FFFFFF"/>
                    <w:right w:val="single" w:sz="8" w:space="0" w:color="FFFFFF"/>
                  </w:tcBorders>
                  <w:shd w:val="clear" w:color="000000" w:fill="F79646"/>
                  <w:noWrap/>
                  <w:vAlign w:val="center"/>
                  <w:hideMark/>
                </w:tcPr>
                <w:p w14:paraId="7DE4DD28" w14:textId="77777777" w:rsidR="00E46B36" w:rsidRPr="00E46B36" w:rsidRDefault="00E46B36" w:rsidP="00E46B36">
                  <w:pPr>
                    <w:widowControl/>
                    <w:jc w:val="center"/>
                    <w:rPr>
                      <w:rFonts w:ascii="楷体" w:eastAsia="楷体" w:hAnsi="楷体" w:cs="宋体"/>
                      <w:b/>
                      <w:bCs/>
                      <w:color w:val="FFFFFF"/>
                      <w:kern w:val="0"/>
                      <w:sz w:val="18"/>
                      <w:szCs w:val="18"/>
                    </w:rPr>
                  </w:pPr>
                  <w:r w:rsidRPr="00E46B36">
                    <w:rPr>
                      <w:rFonts w:ascii="楷体" w:eastAsia="楷体" w:hAnsi="楷体" w:cs="宋体" w:hint="eastAsia"/>
                      <w:b/>
                      <w:bCs/>
                      <w:color w:val="FFFFFF"/>
                      <w:kern w:val="0"/>
                      <w:sz w:val="18"/>
                      <w:szCs w:val="18"/>
                    </w:rPr>
                    <w:t>AA</w:t>
                  </w:r>
                </w:p>
              </w:tc>
              <w:tc>
                <w:tcPr>
                  <w:tcW w:w="930" w:type="dxa"/>
                  <w:tcBorders>
                    <w:top w:val="nil"/>
                    <w:left w:val="nil"/>
                    <w:bottom w:val="single" w:sz="12" w:space="0" w:color="FFFFFF"/>
                    <w:right w:val="single" w:sz="8" w:space="0" w:color="FFFFFF"/>
                  </w:tcBorders>
                  <w:shd w:val="clear" w:color="000000" w:fill="F79646"/>
                  <w:noWrap/>
                  <w:vAlign w:val="center"/>
                  <w:hideMark/>
                </w:tcPr>
                <w:p w14:paraId="50053573" w14:textId="77777777" w:rsidR="00E46B36" w:rsidRPr="00E46B36" w:rsidRDefault="00E46B36" w:rsidP="00E46B36">
                  <w:pPr>
                    <w:widowControl/>
                    <w:jc w:val="center"/>
                    <w:rPr>
                      <w:rFonts w:ascii="楷体" w:eastAsia="楷体" w:hAnsi="楷体" w:cs="宋体"/>
                      <w:b/>
                      <w:bCs/>
                      <w:color w:val="FFFFFF"/>
                      <w:kern w:val="0"/>
                      <w:sz w:val="18"/>
                      <w:szCs w:val="18"/>
                    </w:rPr>
                  </w:pPr>
                  <w:r w:rsidRPr="00E46B36">
                    <w:rPr>
                      <w:rFonts w:ascii="楷体" w:eastAsia="楷体" w:hAnsi="楷体" w:cs="宋体" w:hint="eastAsia"/>
                      <w:b/>
                      <w:bCs/>
                      <w:color w:val="FFFFFF"/>
                      <w:kern w:val="0"/>
                      <w:sz w:val="18"/>
                      <w:szCs w:val="18"/>
                    </w:rPr>
                    <w:t>AA-</w:t>
                  </w:r>
                </w:p>
              </w:tc>
            </w:tr>
            <w:tr w:rsidR="00E46B36" w:rsidRPr="006E06F9" w14:paraId="7EA81AB5" w14:textId="77777777" w:rsidTr="00E46B36">
              <w:trPr>
                <w:trHeight w:val="307"/>
              </w:trPr>
              <w:tc>
                <w:tcPr>
                  <w:tcW w:w="1146" w:type="dxa"/>
                  <w:tcBorders>
                    <w:top w:val="nil"/>
                    <w:left w:val="nil"/>
                    <w:bottom w:val="single" w:sz="8" w:space="0" w:color="FFFFFF"/>
                    <w:right w:val="single" w:sz="8" w:space="0" w:color="FFFFFF"/>
                  </w:tcBorders>
                  <w:shd w:val="clear" w:color="000000" w:fill="FCD5B4"/>
                  <w:noWrap/>
                  <w:vAlign w:val="center"/>
                  <w:hideMark/>
                </w:tcPr>
                <w:p w14:paraId="26199E09" w14:textId="77777777" w:rsidR="00E46B36" w:rsidRPr="00E46B36" w:rsidRDefault="00E46B36" w:rsidP="00E46B36">
                  <w:pPr>
                    <w:widowControl/>
                    <w:jc w:val="center"/>
                    <w:rPr>
                      <w:rFonts w:ascii="楷体" w:eastAsia="楷体" w:hAnsi="楷体" w:cs="宋体"/>
                      <w:color w:val="000000"/>
                      <w:kern w:val="0"/>
                      <w:sz w:val="18"/>
                      <w:szCs w:val="18"/>
                    </w:rPr>
                  </w:pPr>
                  <w:r w:rsidRPr="00E46B36">
                    <w:rPr>
                      <w:rFonts w:ascii="楷体" w:eastAsia="楷体" w:hAnsi="楷体" w:cs="宋体" w:hint="eastAsia"/>
                      <w:color w:val="000000"/>
                      <w:kern w:val="0"/>
                      <w:sz w:val="18"/>
                      <w:szCs w:val="18"/>
                    </w:rPr>
                    <w:t>CP</w:t>
                  </w:r>
                </w:p>
              </w:tc>
              <w:tc>
                <w:tcPr>
                  <w:tcW w:w="930" w:type="dxa"/>
                  <w:tcBorders>
                    <w:top w:val="nil"/>
                    <w:left w:val="nil"/>
                    <w:bottom w:val="single" w:sz="8" w:space="0" w:color="FFFFFF"/>
                    <w:right w:val="single" w:sz="8" w:space="0" w:color="FFFFFF"/>
                  </w:tcBorders>
                  <w:shd w:val="clear" w:color="000000" w:fill="FCD5B4"/>
                  <w:noWrap/>
                  <w:vAlign w:val="center"/>
                  <w:hideMark/>
                </w:tcPr>
                <w:p w14:paraId="3FD07AD6"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000000"/>
                      <w:kern w:val="0"/>
                      <w:sz w:val="18"/>
                      <w:szCs w:val="18"/>
                    </w:rPr>
                    <w:t xml:space="preserve">5.4 </w:t>
                  </w:r>
                </w:p>
              </w:tc>
              <w:tc>
                <w:tcPr>
                  <w:tcW w:w="930" w:type="dxa"/>
                  <w:tcBorders>
                    <w:top w:val="nil"/>
                    <w:left w:val="nil"/>
                    <w:bottom w:val="single" w:sz="8" w:space="0" w:color="FFFFFF"/>
                    <w:right w:val="single" w:sz="8" w:space="0" w:color="FFFFFF"/>
                  </w:tcBorders>
                  <w:shd w:val="clear" w:color="000000" w:fill="FCD5B4"/>
                  <w:noWrap/>
                  <w:vAlign w:val="center"/>
                  <w:hideMark/>
                </w:tcPr>
                <w:p w14:paraId="3C054D18"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000000"/>
                      <w:kern w:val="0"/>
                      <w:sz w:val="18"/>
                      <w:szCs w:val="18"/>
                    </w:rPr>
                    <w:t xml:space="preserve">2.4 </w:t>
                  </w:r>
                </w:p>
              </w:tc>
              <w:tc>
                <w:tcPr>
                  <w:tcW w:w="930" w:type="dxa"/>
                  <w:tcBorders>
                    <w:top w:val="nil"/>
                    <w:left w:val="nil"/>
                    <w:bottom w:val="single" w:sz="8" w:space="0" w:color="FFFFFF"/>
                    <w:right w:val="single" w:sz="8" w:space="0" w:color="FFFFFF"/>
                  </w:tcBorders>
                  <w:shd w:val="clear" w:color="000000" w:fill="FCD5B4"/>
                  <w:noWrap/>
                  <w:vAlign w:val="center"/>
                  <w:hideMark/>
                </w:tcPr>
                <w:p w14:paraId="326B5408"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FF0000"/>
                      <w:kern w:val="0"/>
                      <w:sz w:val="18"/>
                      <w:szCs w:val="18"/>
                    </w:rPr>
                    <w:t xml:space="preserve">-3.6 </w:t>
                  </w:r>
                </w:p>
              </w:tc>
              <w:tc>
                <w:tcPr>
                  <w:tcW w:w="930" w:type="dxa"/>
                  <w:tcBorders>
                    <w:top w:val="nil"/>
                    <w:left w:val="nil"/>
                    <w:bottom w:val="single" w:sz="8" w:space="0" w:color="FFFFFF"/>
                    <w:right w:val="single" w:sz="8" w:space="0" w:color="FFFFFF"/>
                  </w:tcBorders>
                  <w:shd w:val="clear" w:color="000000" w:fill="FCD5B4"/>
                  <w:noWrap/>
                  <w:vAlign w:val="center"/>
                  <w:hideMark/>
                </w:tcPr>
                <w:p w14:paraId="5A83873A"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FF0000"/>
                      <w:kern w:val="0"/>
                      <w:sz w:val="18"/>
                      <w:szCs w:val="18"/>
                    </w:rPr>
                    <w:t xml:space="preserve">-7.6 </w:t>
                  </w:r>
                </w:p>
              </w:tc>
              <w:tc>
                <w:tcPr>
                  <w:tcW w:w="930" w:type="dxa"/>
                  <w:tcBorders>
                    <w:top w:val="nil"/>
                    <w:left w:val="nil"/>
                    <w:bottom w:val="single" w:sz="8" w:space="0" w:color="FFFFFF"/>
                    <w:right w:val="single" w:sz="8" w:space="0" w:color="FFFFFF"/>
                  </w:tcBorders>
                  <w:shd w:val="clear" w:color="000000" w:fill="FCD5B4"/>
                  <w:noWrap/>
                  <w:vAlign w:val="center"/>
                  <w:hideMark/>
                </w:tcPr>
                <w:p w14:paraId="02E7B17D" w14:textId="77777777" w:rsidR="00E46B36" w:rsidRPr="00E46B36" w:rsidRDefault="00E46B36" w:rsidP="00E46B36">
                  <w:pPr>
                    <w:widowControl/>
                    <w:jc w:val="center"/>
                    <w:rPr>
                      <w:rFonts w:ascii="楷体" w:eastAsia="楷体" w:hAnsi="楷体" w:cs="宋体"/>
                      <w:color w:val="000000"/>
                      <w:kern w:val="0"/>
                      <w:sz w:val="18"/>
                      <w:szCs w:val="18"/>
                    </w:rPr>
                  </w:pPr>
                  <w:r w:rsidRPr="00E46B36">
                    <w:rPr>
                      <w:rFonts w:ascii="楷体" w:eastAsia="楷体" w:hAnsi="楷体" w:cs="宋体" w:hint="eastAsia"/>
                      <w:color w:val="000000"/>
                      <w:kern w:val="0"/>
                      <w:sz w:val="18"/>
                      <w:szCs w:val="18"/>
                    </w:rPr>
                    <w:t>CP</w:t>
                  </w:r>
                </w:p>
              </w:tc>
              <w:tc>
                <w:tcPr>
                  <w:tcW w:w="930" w:type="dxa"/>
                  <w:tcBorders>
                    <w:top w:val="nil"/>
                    <w:left w:val="nil"/>
                    <w:bottom w:val="single" w:sz="8" w:space="0" w:color="FFFFFF"/>
                    <w:right w:val="single" w:sz="8" w:space="0" w:color="FFFFFF"/>
                  </w:tcBorders>
                  <w:shd w:val="clear" w:color="000000" w:fill="FCD5B4"/>
                  <w:noWrap/>
                  <w:vAlign w:val="center"/>
                  <w:hideMark/>
                </w:tcPr>
                <w:p w14:paraId="0D90ADBA"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000000"/>
                      <w:kern w:val="0"/>
                      <w:sz w:val="18"/>
                      <w:szCs w:val="18"/>
                    </w:rPr>
                    <w:t xml:space="preserve">5.6 </w:t>
                  </w:r>
                </w:p>
              </w:tc>
              <w:tc>
                <w:tcPr>
                  <w:tcW w:w="930" w:type="dxa"/>
                  <w:tcBorders>
                    <w:top w:val="nil"/>
                    <w:left w:val="nil"/>
                    <w:bottom w:val="single" w:sz="8" w:space="0" w:color="FFFFFF"/>
                    <w:right w:val="single" w:sz="8" w:space="0" w:color="FFFFFF"/>
                  </w:tcBorders>
                  <w:shd w:val="clear" w:color="000000" w:fill="FCD5B4"/>
                  <w:noWrap/>
                  <w:vAlign w:val="center"/>
                  <w:hideMark/>
                </w:tcPr>
                <w:p w14:paraId="02657D96"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000000"/>
                      <w:kern w:val="0"/>
                      <w:sz w:val="18"/>
                      <w:szCs w:val="18"/>
                    </w:rPr>
                    <w:t xml:space="preserve">2.6 </w:t>
                  </w:r>
                </w:p>
              </w:tc>
              <w:tc>
                <w:tcPr>
                  <w:tcW w:w="930" w:type="dxa"/>
                  <w:tcBorders>
                    <w:top w:val="nil"/>
                    <w:left w:val="nil"/>
                    <w:bottom w:val="single" w:sz="8" w:space="0" w:color="FFFFFF"/>
                    <w:right w:val="single" w:sz="8" w:space="0" w:color="FFFFFF"/>
                  </w:tcBorders>
                  <w:shd w:val="clear" w:color="000000" w:fill="FCD5B4"/>
                  <w:noWrap/>
                  <w:vAlign w:val="center"/>
                  <w:hideMark/>
                </w:tcPr>
                <w:p w14:paraId="0A8F92C7"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FF0000"/>
                      <w:kern w:val="0"/>
                      <w:sz w:val="18"/>
                      <w:szCs w:val="18"/>
                    </w:rPr>
                    <w:t xml:space="preserve">-3.4 </w:t>
                  </w:r>
                </w:p>
              </w:tc>
              <w:tc>
                <w:tcPr>
                  <w:tcW w:w="930" w:type="dxa"/>
                  <w:tcBorders>
                    <w:top w:val="nil"/>
                    <w:left w:val="nil"/>
                    <w:bottom w:val="single" w:sz="8" w:space="0" w:color="FFFFFF"/>
                    <w:right w:val="single" w:sz="8" w:space="0" w:color="FFFFFF"/>
                  </w:tcBorders>
                  <w:shd w:val="clear" w:color="000000" w:fill="FCD5B4"/>
                  <w:noWrap/>
                  <w:vAlign w:val="center"/>
                  <w:hideMark/>
                </w:tcPr>
                <w:p w14:paraId="40FE8103"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FF0000"/>
                      <w:kern w:val="0"/>
                      <w:sz w:val="18"/>
                      <w:szCs w:val="18"/>
                    </w:rPr>
                    <w:t xml:space="preserve">-7.4 </w:t>
                  </w:r>
                </w:p>
              </w:tc>
            </w:tr>
            <w:tr w:rsidR="00E46B36" w:rsidRPr="006E06F9" w14:paraId="379D4A47" w14:textId="77777777" w:rsidTr="00E46B36">
              <w:trPr>
                <w:trHeight w:val="292"/>
              </w:trPr>
              <w:tc>
                <w:tcPr>
                  <w:tcW w:w="1146" w:type="dxa"/>
                  <w:tcBorders>
                    <w:top w:val="nil"/>
                    <w:left w:val="nil"/>
                    <w:bottom w:val="single" w:sz="8" w:space="0" w:color="FFFFFF"/>
                    <w:right w:val="single" w:sz="8" w:space="0" w:color="FFFFFF"/>
                  </w:tcBorders>
                  <w:shd w:val="clear" w:color="000000" w:fill="FDE9D9"/>
                  <w:noWrap/>
                  <w:vAlign w:val="center"/>
                  <w:hideMark/>
                </w:tcPr>
                <w:p w14:paraId="12157F61" w14:textId="77777777" w:rsidR="00E46B36" w:rsidRPr="00E46B36" w:rsidRDefault="00E46B36" w:rsidP="00E46B36">
                  <w:pPr>
                    <w:widowControl/>
                    <w:jc w:val="center"/>
                    <w:rPr>
                      <w:rFonts w:ascii="楷体" w:eastAsia="楷体" w:hAnsi="楷体" w:cs="宋体"/>
                      <w:color w:val="000000"/>
                      <w:kern w:val="0"/>
                      <w:sz w:val="18"/>
                      <w:szCs w:val="18"/>
                    </w:rPr>
                  </w:pPr>
                  <w:r w:rsidRPr="00E46B36">
                    <w:rPr>
                      <w:rFonts w:ascii="楷体" w:eastAsia="楷体" w:hAnsi="楷体" w:cs="宋体" w:hint="eastAsia"/>
                      <w:color w:val="000000"/>
                      <w:kern w:val="0"/>
                      <w:sz w:val="18"/>
                      <w:szCs w:val="18"/>
                    </w:rPr>
                    <w:t>MTN3Y</w:t>
                  </w:r>
                </w:p>
              </w:tc>
              <w:tc>
                <w:tcPr>
                  <w:tcW w:w="930" w:type="dxa"/>
                  <w:tcBorders>
                    <w:top w:val="nil"/>
                    <w:left w:val="nil"/>
                    <w:bottom w:val="single" w:sz="8" w:space="0" w:color="FFFFFF"/>
                    <w:right w:val="single" w:sz="8" w:space="0" w:color="FFFFFF"/>
                  </w:tcBorders>
                  <w:shd w:val="clear" w:color="000000" w:fill="FDE9D9"/>
                  <w:noWrap/>
                  <w:vAlign w:val="center"/>
                  <w:hideMark/>
                </w:tcPr>
                <w:p w14:paraId="5DC455D2"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000000"/>
                      <w:kern w:val="0"/>
                      <w:sz w:val="18"/>
                      <w:szCs w:val="18"/>
                    </w:rPr>
                    <w:t xml:space="preserve">8.4 </w:t>
                  </w:r>
                </w:p>
              </w:tc>
              <w:tc>
                <w:tcPr>
                  <w:tcW w:w="930" w:type="dxa"/>
                  <w:tcBorders>
                    <w:top w:val="nil"/>
                    <w:left w:val="nil"/>
                    <w:bottom w:val="single" w:sz="8" w:space="0" w:color="FFFFFF"/>
                    <w:right w:val="single" w:sz="8" w:space="0" w:color="FFFFFF"/>
                  </w:tcBorders>
                  <w:shd w:val="clear" w:color="000000" w:fill="FDE9D9"/>
                  <w:noWrap/>
                  <w:vAlign w:val="center"/>
                  <w:hideMark/>
                </w:tcPr>
                <w:p w14:paraId="501D5239"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000000"/>
                      <w:kern w:val="0"/>
                      <w:sz w:val="18"/>
                      <w:szCs w:val="18"/>
                    </w:rPr>
                    <w:t xml:space="preserve">5.4 </w:t>
                  </w:r>
                </w:p>
              </w:tc>
              <w:tc>
                <w:tcPr>
                  <w:tcW w:w="930" w:type="dxa"/>
                  <w:tcBorders>
                    <w:top w:val="nil"/>
                    <w:left w:val="nil"/>
                    <w:bottom w:val="single" w:sz="8" w:space="0" w:color="FFFFFF"/>
                    <w:right w:val="single" w:sz="8" w:space="0" w:color="FFFFFF"/>
                  </w:tcBorders>
                  <w:shd w:val="clear" w:color="000000" w:fill="FDE9D9"/>
                  <w:noWrap/>
                  <w:vAlign w:val="center"/>
                  <w:hideMark/>
                </w:tcPr>
                <w:p w14:paraId="0FE834FE"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000000"/>
                      <w:kern w:val="0"/>
                      <w:sz w:val="18"/>
                      <w:szCs w:val="18"/>
                    </w:rPr>
                    <w:t xml:space="preserve">0.4 </w:t>
                  </w:r>
                </w:p>
              </w:tc>
              <w:tc>
                <w:tcPr>
                  <w:tcW w:w="930" w:type="dxa"/>
                  <w:tcBorders>
                    <w:top w:val="nil"/>
                    <w:left w:val="nil"/>
                    <w:bottom w:val="single" w:sz="8" w:space="0" w:color="FFFFFF"/>
                    <w:right w:val="single" w:sz="8" w:space="0" w:color="FFFFFF"/>
                  </w:tcBorders>
                  <w:shd w:val="clear" w:color="000000" w:fill="FDE9D9"/>
                  <w:noWrap/>
                  <w:vAlign w:val="center"/>
                  <w:hideMark/>
                </w:tcPr>
                <w:p w14:paraId="5A45B768"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FF0000"/>
                      <w:kern w:val="0"/>
                      <w:sz w:val="18"/>
                      <w:szCs w:val="18"/>
                    </w:rPr>
                    <w:t xml:space="preserve">-3.6 </w:t>
                  </w:r>
                </w:p>
              </w:tc>
              <w:tc>
                <w:tcPr>
                  <w:tcW w:w="930" w:type="dxa"/>
                  <w:tcBorders>
                    <w:top w:val="nil"/>
                    <w:left w:val="nil"/>
                    <w:bottom w:val="single" w:sz="8" w:space="0" w:color="FFFFFF"/>
                    <w:right w:val="single" w:sz="8" w:space="0" w:color="FFFFFF"/>
                  </w:tcBorders>
                  <w:shd w:val="clear" w:color="000000" w:fill="FDE9D9"/>
                  <w:noWrap/>
                  <w:vAlign w:val="center"/>
                  <w:hideMark/>
                </w:tcPr>
                <w:p w14:paraId="3F9A0765" w14:textId="77777777" w:rsidR="00E46B36" w:rsidRPr="00E46B36" w:rsidRDefault="00E46B36" w:rsidP="00E46B36">
                  <w:pPr>
                    <w:widowControl/>
                    <w:jc w:val="center"/>
                    <w:rPr>
                      <w:rFonts w:ascii="楷体" w:eastAsia="楷体" w:hAnsi="楷体" w:cs="宋体"/>
                      <w:color w:val="000000"/>
                      <w:kern w:val="0"/>
                      <w:sz w:val="18"/>
                      <w:szCs w:val="18"/>
                    </w:rPr>
                  </w:pPr>
                  <w:r w:rsidRPr="00E46B36">
                    <w:rPr>
                      <w:rFonts w:ascii="楷体" w:eastAsia="楷体" w:hAnsi="楷体" w:cs="宋体" w:hint="eastAsia"/>
                      <w:color w:val="000000"/>
                      <w:kern w:val="0"/>
                      <w:sz w:val="18"/>
                      <w:szCs w:val="18"/>
                    </w:rPr>
                    <w:t>MTN3Y</w:t>
                  </w:r>
                </w:p>
              </w:tc>
              <w:tc>
                <w:tcPr>
                  <w:tcW w:w="930" w:type="dxa"/>
                  <w:tcBorders>
                    <w:top w:val="nil"/>
                    <w:left w:val="nil"/>
                    <w:bottom w:val="single" w:sz="8" w:space="0" w:color="FFFFFF"/>
                    <w:right w:val="single" w:sz="8" w:space="0" w:color="FFFFFF"/>
                  </w:tcBorders>
                  <w:shd w:val="clear" w:color="000000" w:fill="FDE9D9"/>
                  <w:noWrap/>
                  <w:vAlign w:val="center"/>
                  <w:hideMark/>
                </w:tcPr>
                <w:p w14:paraId="131A75C7"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000000"/>
                      <w:kern w:val="0"/>
                      <w:sz w:val="18"/>
                      <w:szCs w:val="18"/>
                    </w:rPr>
                    <w:t xml:space="preserve">2.4 </w:t>
                  </w:r>
                </w:p>
              </w:tc>
              <w:tc>
                <w:tcPr>
                  <w:tcW w:w="930" w:type="dxa"/>
                  <w:tcBorders>
                    <w:top w:val="nil"/>
                    <w:left w:val="nil"/>
                    <w:bottom w:val="single" w:sz="8" w:space="0" w:color="FFFFFF"/>
                    <w:right w:val="single" w:sz="8" w:space="0" w:color="FFFFFF"/>
                  </w:tcBorders>
                  <w:shd w:val="clear" w:color="000000" w:fill="FDE9D9"/>
                  <w:noWrap/>
                  <w:vAlign w:val="center"/>
                  <w:hideMark/>
                </w:tcPr>
                <w:p w14:paraId="7924FCBA"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FF0000"/>
                      <w:kern w:val="0"/>
                      <w:sz w:val="18"/>
                      <w:szCs w:val="18"/>
                    </w:rPr>
                    <w:t xml:space="preserve">-0.6 </w:t>
                  </w:r>
                </w:p>
              </w:tc>
              <w:tc>
                <w:tcPr>
                  <w:tcW w:w="930" w:type="dxa"/>
                  <w:tcBorders>
                    <w:top w:val="nil"/>
                    <w:left w:val="nil"/>
                    <w:bottom w:val="single" w:sz="8" w:space="0" w:color="FFFFFF"/>
                    <w:right w:val="single" w:sz="8" w:space="0" w:color="FFFFFF"/>
                  </w:tcBorders>
                  <w:shd w:val="clear" w:color="000000" w:fill="FDE9D9"/>
                  <w:noWrap/>
                  <w:vAlign w:val="center"/>
                  <w:hideMark/>
                </w:tcPr>
                <w:p w14:paraId="1B005692"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FF0000"/>
                      <w:kern w:val="0"/>
                      <w:sz w:val="18"/>
                      <w:szCs w:val="18"/>
                    </w:rPr>
                    <w:t xml:space="preserve">-5.6 </w:t>
                  </w:r>
                </w:p>
              </w:tc>
              <w:tc>
                <w:tcPr>
                  <w:tcW w:w="930" w:type="dxa"/>
                  <w:tcBorders>
                    <w:top w:val="nil"/>
                    <w:left w:val="nil"/>
                    <w:bottom w:val="single" w:sz="8" w:space="0" w:color="FFFFFF"/>
                    <w:right w:val="single" w:sz="8" w:space="0" w:color="FFFFFF"/>
                  </w:tcBorders>
                  <w:shd w:val="clear" w:color="000000" w:fill="FDE9D9"/>
                  <w:noWrap/>
                  <w:vAlign w:val="center"/>
                  <w:hideMark/>
                </w:tcPr>
                <w:p w14:paraId="7705E133"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FF0000"/>
                      <w:kern w:val="0"/>
                      <w:sz w:val="18"/>
                      <w:szCs w:val="18"/>
                    </w:rPr>
                    <w:t xml:space="preserve">-9.6 </w:t>
                  </w:r>
                </w:p>
              </w:tc>
            </w:tr>
            <w:tr w:rsidR="00E46B36" w:rsidRPr="006E06F9" w14:paraId="543B40E6" w14:textId="77777777" w:rsidTr="00E46B36">
              <w:trPr>
                <w:trHeight w:val="292"/>
              </w:trPr>
              <w:tc>
                <w:tcPr>
                  <w:tcW w:w="1146" w:type="dxa"/>
                  <w:tcBorders>
                    <w:top w:val="nil"/>
                    <w:left w:val="nil"/>
                    <w:bottom w:val="single" w:sz="8" w:space="0" w:color="FFFFFF"/>
                    <w:right w:val="single" w:sz="8" w:space="0" w:color="FFFFFF"/>
                  </w:tcBorders>
                  <w:shd w:val="clear" w:color="000000" w:fill="FCD5B4"/>
                  <w:noWrap/>
                  <w:vAlign w:val="center"/>
                  <w:hideMark/>
                </w:tcPr>
                <w:p w14:paraId="28375D3C" w14:textId="77777777" w:rsidR="00E46B36" w:rsidRPr="00E46B36" w:rsidRDefault="00E46B36" w:rsidP="00E46B36">
                  <w:pPr>
                    <w:widowControl/>
                    <w:jc w:val="center"/>
                    <w:rPr>
                      <w:rFonts w:ascii="楷体" w:eastAsia="楷体" w:hAnsi="楷体" w:cs="宋体"/>
                      <w:color w:val="000000"/>
                      <w:kern w:val="0"/>
                      <w:sz w:val="18"/>
                      <w:szCs w:val="18"/>
                    </w:rPr>
                  </w:pPr>
                  <w:r w:rsidRPr="00E46B36">
                    <w:rPr>
                      <w:rFonts w:ascii="楷体" w:eastAsia="楷体" w:hAnsi="楷体" w:cs="宋体" w:hint="eastAsia"/>
                      <w:color w:val="000000"/>
                      <w:kern w:val="0"/>
                      <w:sz w:val="18"/>
                      <w:szCs w:val="18"/>
                    </w:rPr>
                    <w:t>MTN5Y</w:t>
                  </w:r>
                </w:p>
              </w:tc>
              <w:tc>
                <w:tcPr>
                  <w:tcW w:w="930" w:type="dxa"/>
                  <w:tcBorders>
                    <w:top w:val="nil"/>
                    <w:left w:val="nil"/>
                    <w:bottom w:val="single" w:sz="8" w:space="0" w:color="FFFFFF"/>
                    <w:right w:val="single" w:sz="8" w:space="0" w:color="FFFFFF"/>
                  </w:tcBorders>
                  <w:shd w:val="clear" w:color="000000" w:fill="FCD5B4"/>
                  <w:noWrap/>
                  <w:vAlign w:val="center"/>
                  <w:hideMark/>
                </w:tcPr>
                <w:p w14:paraId="6F009FA9"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000000"/>
                      <w:kern w:val="0"/>
                      <w:sz w:val="18"/>
                      <w:szCs w:val="18"/>
                    </w:rPr>
                    <w:t xml:space="preserve">2.4 </w:t>
                  </w:r>
                </w:p>
              </w:tc>
              <w:tc>
                <w:tcPr>
                  <w:tcW w:w="930" w:type="dxa"/>
                  <w:tcBorders>
                    <w:top w:val="nil"/>
                    <w:left w:val="nil"/>
                    <w:bottom w:val="single" w:sz="8" w:space="0" w:color="FFFFFF"/>
                    <w:right w:val="single" w:sz="8" w:space="0" w:color="FFFFFF"/>
                  </w:tcBorders>
                  <w:shd w:val="clear" w:color="000000" w:fill="FCD5B4"/>
                  <w:noWrap/>
                  <w:vAlign w:val="center"/>
                  <w:hideMark/>
                </w:tcPr>
                <w:p w14:paraId="05FA0092"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000000"/>
                      <w:kern w:val="0"/>
                      <w:sz w:val="18"/>
                      <w:szCs w:val="18"/>
                    </w:rPr>
                    <w:t xml:space="preserve">1.4 </w:t>
                  </w:r>
                </w:p>
              </w:tc>
              <w:tc>
                <w:tcPr>
                  <w:tcW w:w="930" w:type="dxa"/>
                  <w:tcBorders>
                    <w:top w:val="nil"/>
                    <w:left w:val="nil"/>
                    <w:bottom w:val="single" w:sz="8" w:space="0" w:color="FFFFFF"/>
                    <w:right w:val="single" w:sz="8" w:space="0" w:color="FFFFFF"/>
                  </w:tcBorders>
                  <w:shd w:val="clear" w:color="000000" w:fill="FCD5B4"/>
                  <w:noWrap/>
                  <w:vAlign w:val="center"/>
                  <w:hideMark/>
                </w:tcPr>
                <w:p w14:paraId="62F4A359"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000000"/>
                      <w:kern w:val="0"/>
                      <w:sz w:val="18"/>
                      <w:szCs w:val="18"/>
                    </w:rPr>
                    <w:t xml:space="preserve">1.4 </w:t>
                  </w:r>
                </w:p>
              </w:tc>
              <w:tc>
                <w:tcPr>
                  <w:tcW w:w="930" w:type="dxa"/>
                  <w:tcBorders>
                    <w:top w:val="nil"/>
                    <w:left w:val="nil"/>
                    <w:bottom w:val="single" w:sz="8" w:space="0" w:color="FFFFFF"/>
                    <w:right w:val="single" w:sz="8" w:space="0" w:color="FFFFFF"/>
                  </w:tcBorders>
                  <w:shd w:val="clear" w:color="000000" w:fill="FCD5B4"/>
                  <w:noWrap/>
                  <w:vAlign w:val="center"/>
                  <w:hideMark/>
                </w:tcPr>
                <w:p w14:paraId="5E2B8404"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000000"/>
                      <w:kern w:val="0"/>
                      <w:sz w:val="18"/>
                      <w:szCs w:val="18"/>
                    </w:rPr>
                    <w:t xml:space="preserve">1.4 </w:t>
                  </w:r>
                </w:p>
              </w:tc>
              <w:tc>
                <w:tcPr>
                  <w:tcW w:w="930" w:type="dxa"/>
                  <w:tcBorders>
                    <w:top w:val="nil"/>
                    <w:left w:val="nil"/>
                    <w:bottom w:val="single" w:sz="8" w:space="0" w:color="FFFFFF"/>
                    <w:right w:val="single" w:sz="8" w:space="0" w:color="FFFFFF"/>
                  </w:tcBorders>
                  <w:shd w:val="clear" w:color="000000" w:fill="FCD5B4"/>
                  <w:noWrap/>
                  <w:vAlign w:val="center"/>
                  <w:hideMark/>
                </w:tcPr>
                <w:p w14:paraId="467482DE" w14:textId="77777777" w:rsidR="00E46B36" w:rsidRPr="00E46B36" w:rsidRDefault="00E46B36" w:rsidP="00E46B36">
                  <w:pPr>
                    <w:widowControl/>
                    <w:jc w:val="center"/>
                    <w:rPr>
                      <w:rFonts w:ascii="楷体" w:eastAsia="楷体" w:hAnsi="楷体" w:cs="宋体"/>
                      <w:color w:val="000000"/>
                      <w:kern w:val="0"/>
                      <w:sz w:val="18"/>
                      <w:szCs w:val="18"/>
                    </w:rPr>
                  </w:pPr>
                  <w:r w:rsidRPr="00E46B36">
                    <w:rPr>
                      <w:rFonts w:ascii="楷体" w:eastAsia="楷体" w:hAnsi="楷体" w:cs="宋体" w:hint="eastAsia"/>
                      <w:color w:val="000000"/>
                      <w:kern w:val="0"/>
                      <w:sz w:val="18"/>
                      <w:szCs w:val="18"/>
                    </w:rPr>
                    <w:t>MTN5Y</w:t>
                  </w:r>
                </w:p>
              </w:tc>
              <w:tc>
                <w:tcPr>
                  <w:tcW w:w="930" w:type="dxa"/>
                  <w:tcBorders>
                    <w:top w:val="nil"/>
                    <w:left w:val="nil"/>
                    <w:bottom w:val="single" w:sz="8" w:space="0" w:color="FFFFFF"/>
                    <w:right w:val="single" w:sz="8" w:space="0" w:color="FFFFFF"/>
                  </w:tcBorders>
                  <w:shd w:val="clear" w:color="000000" w:fill="FCD5B4"/>
                  <w:noWrap/>
                  <w:vAlign w:val="center"/>
                  <w:hideMark/>
                </w:tcPr>
                <w:p w14:paraId="7ECD4A53"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FF0000"/>
                      <w:kern w:val="0"/>
                      <w:sz w:val="18"/>
                      <w:szCs w:val="18"/>
                    </w:rPr>
                    <w:t xml:space="preserve">-7.8 </w:t>
                  </w:r>
                </w:p>
              </w:tc>
              <w:tc>
                <w:tcPr>
                  <w:tcW w:w="930" w:type="dxa"/>
                  <w:tcBorders>
                    <w:top w:val="nil"/>
                    <w:left w:val="nil"/>
                    <w:bottom w:val="single" w:sz="8" w:space="0" w:color="FFFFFF"/>
                    <w:right w:val="single" w:sz="8" w:space="0" w:color="FFFFFF"/>
                  </w:tcBorders>
                  <w:shd w:val="clear" w:color="000000" w:fill="FCD5B4"/>
                  <w:noWrap/>
                  <w:vAlign w:val="center"/>
                  <w:hideMark/>
                </w:tcPr>
                <w:p w14:paraId="24A93D87"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FF0000"/>
                      <w:kern w:val="0"/>
                      <w:sz w:val="18"/>
                      <w:szCs w:val="18"/>
                    </w:rPr>
                    <w:t xml:space="preserve">-8.8 </w:t>
                  </w:r>
                </w:p>
              </w:tc>
              <w:tc>
                <w:tcPr>
                  <w:tcW w:w="930" w:type="dxa"/>
                  <w:tcBorders>
                    <w:top w:val="nil"/>
                    <w:left w:val="nil"/>
                    <w:bottom w:val="single" w:sz="8" w:space="0" w:color="FFFFFF"/>
                    <w:right w:val="single" w:sz="8" w:space="0" w:color="FFFFFF"/>
                  </w:tcBorders>
                  <w:shd w:val="clear" w:color="000000" w:fill="FCD5B4"/>
                  <w:noWrap/>
                  <w:vAlign w:val="center"/>
                  <w:hideMark/>
                </w:tcPr>
                <w:p w14:paraId="0BAA22C3"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FF0000"/>
                      <w:kern w:val="0"/>
                      <w:sz w:val="18"/>
                      <w:szCs w:val="18"/>
                    </w:rPr>
                    <w:t xml:space="preserve">-8.8 </w:t>
                  </w:r>
                </w:p>
              </w:tc>
              <w:tc>
                <w:tcPr>
                  <w:tcW w:w="930" w:type="dxa"/>
                  <w:tcBorders>
                    <w:top w:val="nil"/>
                    <w:left w:val="nil"/>
                    <w:bottom w:val="single" w:sz="8" w:space="0" w:color="FFFFFF"/>
                    <w:right w:val="single" w:sz="8" w:space="0" w:color="FFFFFF"/>
                  </w:tcBorders>
                  <w:shd w:val="clear" w:color="000000" w:fill="FCD5B4"/>
                  <w:noWrap/>
                  <w:vAlign w:val="center"/>
                  <w:hideMark/>
                </w:tcPr>
                <w:p w14:paraId="19044798"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FF0000"/>
                      <w:kern w:val="0"/>
                      <w:sz w:val="18"/>
                      <w:szCs w:val="18"/>
                    </w:rPr>
                    <w:t xml:space="preserve">-8.8 </w:t>
                  </w:r>
                </w:p>
              </w:tc>
            </w:tr>
            <w:tr w:rsidR="00E46B36" w:rsidRPr="006E06F9" w14:paraId="53FE5902" w14:textId="77777777" w:rsidTr="00E46B36">
              <w:trPr>
                <w:trHeight w:val="292"/>
              </w:trPr>
              <w:tc>
                <w:tcPr>
                  <w:tcW w:w="1146" w:type="dxa"/>
                  <w:tcBorders>
                    <w:top w:val="nil"/>
                    <w:left w:val="nil"/>
                    <w:bottom w:val="single" w:sz="8" w:space="0" w:color="FFFFFF"/>
                    <w:right w:val="single" w:sz="8" w:space="0" w:color="FFFFFF"/>
                  </w:tcBorders>
                  <w:shd w:val="clear" w:color="000000" w:fill="FDE9D9"/>
                  <w:noWrap/>
                  <w:vAlign w:val="center"/>
                  <w:hideMark/>
                </w:tcPr>
                <w:p w14:paraId="0035979E" w14:textId="77777777" w:rsidR="00E46B36" w:rsidRPr="00E46B36" w:rsidRDefault="00E46B36" w:rsidP="00E46B36">
                  <w:pPr>
                    <w:widowControl/>
                    <w:jc w:val="center"/>
                    <w:rPr>
                      <w:rFonts w:ascii="楷体" w:eastAsia="楷体" w:hAnsi="楷体" w:cs="宋体"/>
                      <w:color w:val="000000"/>
                      <w:kern w:val="0"/>
                      <w:sz w:val="18"/>
                      <w:szCs w:val="18"/>
                    </w:rPr>
                  </w:pPr>
                  <w:r w:rsidRPr="00E46B36">
                    <w:rPr>
                      <w:rFonts w:ascii="楷体" w:eastAsia="楷体" w:hAnsi="楷体" w:cs="宋体" w:hint="eastAsia"/>
                      <w:color w:val="000000"/>
                      <w:kern w:val="0"/>
                      <w:sz w:val="18"/>
                      <w:szCs w:val="18"/>
                    </w:rPr>
                    <w:t>企业债3Y</w:t>
                  </w:r>
                </w:p>
              </w:tc>
              <w:tc>
                <w:tcPr>
                  <w:tcW w:w="930" w:type="dxa"/>
                  <w:tcBorders>
                    <w:top w:val="nil"/>
                    <w:left w:val="nil"/>
                    <w:bottom w:val="single" w:sz="8" w:space="0" w:color="FFFFFF"/>
                    <w:right w:val="single" w:sz="8" w:space="0" w:color="FFFFFF"/>
                  </w:tcBorders>
                  <w:shd w:val="clear" w:color="000000" w:fill="FDE9D9"/>
                  <w:noWrap/>
                  <w:vAlign w:val="center"/>
                  <w:hideMark/>
                </w:tcPr>
                <w:p w14:paraId="230636A2"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000000"/>
                      <w:kern w:val="0"/>
                      <w:sz w:val="18"/>
                      <w:szCs w:val="18"/>
                    </w:rPr>
                    <w:t xml:space="preserve">8.4 </w:t>
                  </w:r>
                </w:p>
              </w:tc>
              <w:tc>
                <w:tcPr>
                  <w:tcW w:w="930" w:type="dxa"/>
                  <w:tcBorders>
                    <w:top w:val="nil"/>
                    <w:left w:val="nil"/>
                    <w:bottom w:val="single" w:sz="8" w:space="0" w:color="FFFFFF"/>
                    <w:right w:val="single" w:sz="8" w:space="0" w:color="FFFFFF"/>
                  </w:tcBorders>
                  <w:shd w:val="clear" w:color="000000" w:fill="FDE9D9"/>
                  <w:noWrap/>
                  <w:vAlign w:val="center"/>
                  <w:hideMark/>
                </w:tcPr>
                <w:p w14:paraId="406A9B1A"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000000"/>
                      <w:kern w:val="0"/>
                      <w:sz w:val="18"/>
                      <w:szCs w:val="18"/>
                    </w:rPr>
                    <w:t xml:space="preserve">5.4 </w:t>
                  </w:r>
                </w:p>
              </w:tc>
              <w:tc>
                <w:tcPr>
                  <w:tcW w:w="930" w:type="dxa"/>
                  <w:tcBorders>
                    <w:top w:val="nil"/>
                    <w:left w:val="nil"/>
                    <w:bottom w:val="single" w:sz="8" w:space="0" w:color="FFFFFF"/>
                    <w:right w:val="single" w:sz="8" w:space="0" w:color="FFFFFF"/>
                  </w:tcBorders>
                  <w:shd w:val="clear" w:color="000000" w:fill="FDE9D9"/>
                  <w:noWrap/>
                  <w:vAlign w:val="center"/>
                  <w:hideMark/>
                </w:tcPr>
                <w:p w14:paraId="54CD09CA"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000000"/>
                      <w:kern w:val="0"/>
                      <w:sz w:val="18"/>
                      <w:szCs w:val="18"/>
                    </w:rPr>
                    <w:t xml:space="preserve">0.4 </w:t>
                  </w:r>
                </w:p>
              </w:tc>
              <w:tc>
                <w:tcPr>
                  <w:tcW w:w="930" w:type="dxa"/>
                  <w:tcBorders>
                    <w:top w:val="nil"/>
                    <w:left w:val="nil"/>
                    <w:bottom w:val="single" w:sz="8" w:space="0" w:color="FFFFFF"/>
                    <w:right w:val="single" w:sz="8" w:space="0" w:color="FFFFFF"/>
                  </w:tcBorders>
                  <w:shd w:val="clear" w:color="000000" w:fill="FDE9D9"/>
                  <w:noWrap/>
                  <w:vAlign w:val="center"/>
                  <w:hideMark/>
                </w:tcPr>
                <w:p w14:paraId="58FD5FF3"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FF0000"/>
                      <w:kern w:val="0"/>
                      <w:sz w:val="18"/>
                      <w:szCs w:val="18"/>
                    </w:rPr>
                    <w:t xml:space="preserve">-3.6 </w:t>
                  </w:r>
                </w:p>
              </w:tc>
              <w:tc>
                <w:tcPr>
                  <w:tcW w:w="930" w:type="dxa"/>
                  <w:tcBorders>
                    <w:top w:val="nil"/>
                    <w:left w:val="nil"/>
                    <w:bottom w:val="single" w:sz="8" w:space="0" w:color="FFFFFF"/>
                    <w:right w:val="single" w:sz="8" w:space="0" w:color="FFFFFF"/>
                  </w:tcBorders>
                  <w:shd w:val="clear" w:color="000000" w:fill="FDE9D9"/>
                  <w:noWrap/>
                  <w:vAlign w:val="center"/>
                  <w:hideMark/>
                </w:tcPr>
                <w:p w14:paraId="0B56D7C1" w14:textId="77777777" w:rsidR="00E46B36" w:rsidRPr="00E46B36" w:rsidRDefault="00E46B36" w:rsidP="00E46B36">
                  <w:pPr>
                    <w:widowControl/>
                    <w:jc w:val="center"/>
                    <w:rPr>
                      <w:rFonts w:ascii="楷体" w:eastAsia="楷体" w:hAnsi="楷体" w:cs="宋体"/>
                      <w:color w:val="000000"/>
                      <w:kern w:val="0"/>
                      <w:sz w:val="18"/>
                      <w:szCs w:val="18"/>
                    </w:rPr>
                  </w:pPr>
                  <w:r w:rsidRPr="00E46B36">
                    <w:rPr>
                      <w:rFonts w:ascii="楷体" w:eastAsia="楷体" w:hAnsi="楷体" w:cs="宋体" w:hint="eastAsia"/>
                      <w:color w:val="000000"/>
                      <w:kern w:val="0"/>
                      <w:sz w:val="18"/>
                      <w:szCs w:val="18"/>
                    </w:rPr>
                    <w:t>企业债3Y</w:t>
                  </w:r>
                </w:p>
              </w:tc>
              <w:tc>
                <w:tcPr>
                  <w:tcW w:w="930" w:type="dxa"/>
                  <w:tcBorders>
                    <w:top w:val="nil"/>
                    <w:left w:val="nil"/>
                    <w:bottom w:val="single" w:sz="8" w:space="0" w:color="FFFFFF"/>
                    <w:right w:val="single" w:sz="8" w:space="0" w:color="FFFFFF"/>
                  </w:tcBorders>
                  <w:shd w:val="clear" w:color="000000" w:fill="FDE9D9"/>
                  <w:noWrap/>
                  <w:vAlign w:val="center"/>
                  <w:hideMark/>
                </w:tcPr>
                <w:p w14:paraId="1D9FBEDD"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000000"/>
                      <w:kern w:val="0"/>
                      <w:sz w:val="18"/>
                      <w:szCs w:val="18"/>
                    </w:rPr>
                    <w:t xml:space="preserve">2.4 </w:t>
                  </w:r>
                </w:p>
              </w:tc>
              <w:tc>
                <w:tcPr>
                  <w:tcW w:w="930" w:type="dxa"/>
                  <w:tcBorders>
                    <w:top w:val="nil"/>
                    <w:left w:val="nil"/>
                    <w:bottom w:val="single" w:sz="8" w:space="0" w:color="FFFFFF"/>
                    <w:right w:val="single" w:sz="8" w:space="0" w:color="FFFFFF"/>
                  </w:tcBorders>
                  <w:shd w:val="clear" w:color="000000" w:fill="FDE9D9"/>
                  <w:noWrap/>
                  <w:vAlign w:val="center"/>
                  <w:hideMark/>
                </w:tcPr>
                <w:p w14:paraId="1469DD29"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FF0000"/>
                      <w:kern w:val="0"/>
                      <w:sz w:val="18"/>
                      <w:szCs w:val="18"/>
                    </w:rPr>
                    <w:t xml:space="preserve">-0.6 </w:t>
                  </w:r>
                </w:p>
              </w:tc>
              <w:tc>
                <w:tcPr>
                  <w:tcW w:w="930" w:type="dxa"/>
                  <w:tcBorders>
                    <w:top w:val="nil"/>
                    <w:left w:val="nil"/>
                    <w:bottom w:val="single" w:sz="8" w:space="0" w:color="FFFFFF"/>
                    <w:right w:val="single" w:sz="8" w:space="0" w:color="FFFFFF"/>
                  </w:tcBorders>
                  <w:shd w:val="clear" w:color="000000" w:fill="FDE9D9"/>
                  <w:noWrap/>
                  <w:vAlign w:val="center"/>
                  <w:hideMark/>
                </w:tcPr>
                <w:p w14:paraId="3C561C33"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FF0000"/>
                      <w:kern w:val="0"/>
                      <w:sz w:val="18"/>
                      <w:szCs w:val="18"/>
                    </w:rPr>
                    <w:t xml:space="preserve">-5.6 </w:t>
                  </w:r>
                </w:p>
              </w:tc>
              <w:tc>
                <w:tcPr>
                  <w:tcW w:w="930" w:type="dxa"/>
                  <w:tcBorders>
                    <w:top w:val="nil"/>
                    <w:left w:val="nil"/>
                    <w:bottom w:val="single" w:sz="8" w:space="0" w:color="FFFFFF"/>
                    <w:right w:val="single" w:sz="8" w:space="0" w:color="FFFFFF"/>
                  </w:tcBorders>
                  <w:shd w:val="clear" w:color="000000" w:fill="FDE9D9"/>
                  <w:noWrap/>
                  <w:vAlign w:val="center"/>
                  <w:hideMark/>
                </w:tcPr>
                <w:p w14:paraId="4E84B41B"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FF0000"/>
                      <w:kern w:val="0"/>
                      <w:sz w:val="18"/>
                      <w:szCs w:val="18"/>
                    </w:rPr>
                    <w:t xml:space="preserve">-9.6 </w:t>
                  </w:r>
                </w:p>
              </w:tc>
            </w:tr>
            <w:tr w:rsidR="00E46B36" w:rsidRPr="006E06F9" w14:paraId="54F1C862" w14:textId="77777777" w:rsidTr="00E46B36">
              <w:trPr>
                <w:trHeight w:val="292"/>
              </w:trPr>
              <w:tc>
                <w:tcPr>
                  <w:tcW w:w="1146" w:type="dxa"/>
                  <w:tcBorders>
                    <w:top w:val="nil"/>
                    <w:left w:val="nil"/>
                    <w:bottom w:val="single" w:sz="8" w:space="0" w:color="FFFFFF"/>
                    <w:right w:val="single" w:sz="8" w:space="0" w:color="FFFFFF"/>
                  </w:tcBorders>
                  <w:shd w:val="clear" w:color="000000" w:fill="FCD5B4"/>
                  <w:noWrap/>
                  <w:vAlign w:val="center"/>
                  <w:hideMark/>
                </w:tcPr>
                <w:p w14:paraId="5FA97C77" w14:textId="77777777" w:rsidR="00E46B36" w:rsidRPr="00E46B36" w:rsidRDefault="00E46B36" w:rsidP="00E46B36">
                  <w:pPr>
                    <w:widowControl/>
                    <w:jc w:val="center"/>
                    <w:rPr>
                      <w:rFonts w:ascii="楷体" w:eastAsia="楷体" w:hAnsi="楷体" w:cs="宋体"/>
                      <w:color w:val="000000"/>
                      <w:kern w:val="0"/>
                      <w:sz w:val="18"/>
                      <w:szCs w:val="18"/>
                    </w:rPr>
                  </w:pPr>
                  <w:r w:rsidRPr="00E46B36">
                    <w:rPr>
                      <w:rFonts w:ascii="楷体" w:eastAsia="楷体" w:hAnsi="楷体" w:cs="宋体" w:hint="eastAsia"/>
                      <w:color w:val="000000"/>
                      <w:kern w:val="0"/>
                      <w:sz w:val="18"/>
                      <w:szCs w:val="18"/>
                    </w:rPr>
                    <w:t>企业债5Y</w:t>
                  </w:r>
                </w:p>
              </w:tc>
              <w:tc>
                <w:tcPr>
                  <w:tcW w:w="930" w:type="dxa"/>
                  <w:tcBorders>
                    <w:top w:val="nil"/>
                    <w:left w:val="nil"/>
                    <w:bottom w:val="single" w:sz="8" w:space="0" w:color="FFFFFF"/>
                    <w:right w:val="single" w:sz="8" w:space="0" w:color="FFFFFF"/>
                  </w:tcBorders>
                  <w:shd w:val="clear" w:color="000000" w:fill="FCD5B4"/>
                  <w:noWrap/>
                  <w:vAlign w:val="center"/>
                  <w:hideMark/>
                </w:tcPr>
                <w:p w14:paraId="0418B9CD"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000000"/>
                      <w:kern w:val="0"/>
                      <w:sz w:val="18"/>
                      <w:szCs w:val="18"/>
                    </w:rPr>
                    <w:t xml:space="preserve">2.4 </w:t>
                  </w:r>
                </w:p>
              </w:tc>
              <w:tc>
                <w:tcPr>
                  <w:tcW w:w="930" w:type="dxa"/>
                  <w:tcBorders>
                    <w:top w:val="nil"/>
                    <w:left w:val="nil"/>
                    <w:bottom w:val="single" w:sz="8" w:space="0" w:color="FFFFFF"/>
                    <w:right w:val="single" w:sz="8" w:space="0" w:color="FFFFFF"/>
                  </w:tcBorders>
                  <w:shd w:val="clear" w:color="000000" w:fill="FCD5B4"/>
                  <w:noWrap/>
                  <w:vAlign w:val="center"/>
                  <w:hideMark/>
                </w:tcPr>
                <w:p w14:paraId="439C9569"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000000"/>
                      <w:kern w:val="0"/>
                      <w:sz w:val="18"/>
                      <w:szCs w:val="18"/>
                    </w:rPr>
                    <w:t xml:space="preserve">1.4 </w:t>
                  </w:r>
                </w:p>
              </w:tc>
              <w:tc>
                <w:tcPr>
                  <w:tcW w:w="930" w:type="dxa"/>
                  <w:tcBorders>
                    <w:top w:val="nil"/>
                    <w:left w:val="nil"/>
                    <w:bottom w:val="single" w:sz="8" w:space="0" w:color="FFFFFF"/>
                    <w:right w:val="single" w:sz="8" w:space="0" w:color="FFFFFF"/>
                  </w:tcBorders>
                  <w:shd w:val="clear" w:color="000000" w:fill="FCD5B4"/>
                  <w:noWrap/>
                  <w:vAlign w:val="center"/>
                  <w:hideMark/>
                </w:tcPr>
                <w:p w14:paraId="691CAFDD"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000000"/>
                      <w:kern w:val="0"/>
                      <w:sz w:val="18"/>
                      <w:szCs w:val="18"/>
                    </w:rPr>
                    <w:t xml:space="preserve">1.4 </w:t>
                  </w:r>
                </w:p>
              </w:tc>
              <w:tc>
                <w:tcPr>
                  <w:tcW w:w="930" w:type="dxa"/>
                  <w:tcBorders>
                    <w:top w:val="nil"/>
                    <w:left w:val="nil"/>
                    <w:bottom w:val="single" w:sz="8" w:space="0" w:color="FFFFFF"/>
                    <w:right w:val="single" w:sz="8" w:space="0" w:color="FFFFFF"/>
                  </w:tcBorders>
                  <w:shd w:val="clear" w:color="000000" w:fill="FCD5B4"/>
                  <w:noWrap/>
                  <w:vAlign w:val="center"/>
                  <w:hideMark/>
                </w:tcPr>
                <w:p w14:paraId="0C939F82"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000000"/>
                      <w:kern w:val="0"/>
                      <w:sz w:val="18"/>
                      <w:szCs w:val="18"/>
                    </w:rPr>
                    <w:t xml:space="preserve">1.4 </w:t>
                  </w:r>
                </w:p>
              </w:tc>
              <w:tc>
                <w:tcPr>
                  <w:tcW w:w="930" w:type="dxa"/>
                  <w:tcBorders>
                    <w:top w:val="nil"/>
                    <w:left w:val="nil"/>
                    <w:bottom w:val="single" w:sz="8" w:space="0" w:color="FFFFFF"/>
                    <w:right w:val="single" w:sz="8" w:space="0" w:color="FFFFFF"/>
                  </w:tcBorders>
                  <w:shd w:val="clear" w:color="000000" w:fill="FCD5B4"/>
                  <w:noWrap/>
                  <w:vAlign w:val="center"/>
                  <w:hideMark/>
                </w:tcPr>
                <w:p w14:paraId="165AF920" w14:textId="77777777" w:rsidR="00E46B36" w:rsidRPr="00E46B36" w:rsidRDefault="00E46B36" w:rsidP="00E46B36">
                  <w:pPr>
                    <w:widowControl/>
                    <w:jc w:val="center"/>
                    <w:rPr>
                      <w:rFonts w:ascii="楷体" w:eastAsia="楷体" w:hAnsi="楷体" w:cs="宋体"/>
                      <w:color w:val="000000"/>
                      <w:kern w:val="0"/>
                      <w:sz w:val="18"/>
                      <w:szCs w:val="18"/>
                    </w:rPr>
                  </w:pPr>
                  <w:r w:rsidRPr="00E46B36">
                    <w:rPr>
                      <w:rFonts w:ascii="楷体" w:eastAsia="楷体" w:hAnsi="楷体" w:cs="宋体" w:hint="eastAsia"/>
                      <w:color w:val="000000"/>
                      <w:kern w:val="0"/>
                      <w:sz w:val="18"/>
                      <w:szCs w:val="18"/>
                    </w:rPr>
                    <w:t>企业债5Y</w:t>
                  </w:r>
                </w:p>
              </w:tc>
              <w:tc>
                <w:tcPr>
                  <w:tcW w:w="930" w:type="dxa"/>
                  <w:tcBorders>
                    <w:top w:val="nil"/>
                    <w:left w:val="nil"/>
                    <w:bottom w:val="single" w:sz="8" w:space="0" w:color="FFFFFF"/>
                    <w:right w:val="single" w:sz="8" w:space="0" w:color="FFFFFF"/>
                  </w:tcBorders>
                  <w:shd w:val="clear" w:color="000000" w:fill="FCD5B4"/>
                  <w:noWrap/>
                  <w:vAlign w:val="center"/>
                  <w:hideMark/>
                </w:tcPr>
                <w:p w14:paraId="3B13EB43"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FF0000"/>
                      <w:kern w:val="0"/>
                      <w:sz w:val="18"/>
                      <w:szCs w:val="18"/>
                    </w:rPr>
                    <w:t xml:space="preserve">-7.8 </w:t>
                  </w:r>
                </w:p>
              </w:tc>
              <w:tc>
                <w:tcPr>
                  <w:tcW w:w="930" w:type="dxa"/>
                  <w:tcBorders>
                    <w:top w:val="nil"/>
                    <w:left w:val="nil"/>
                    <w:bottom w:val="single" w:sz="8" w:space="0" w:color="FFFFFF"/>
                    <w:right w:val="single" w:sz="8" w:space="0" w:color="FFFFFF"/>
                  </w:tcBorders>
                  <w:shd w:val="clear" w:color="000000" w:fill="FCD5B4"/>
                  <w:noWrap/>
                  <w:vAlign w:val="center"/>
                  <w:hideMark/>
                </w:tcPr>
                <w:p w14:paraId="06352A62"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FF0000"/>
                      <w:kern w:val="0"/>
                      <w:sz w:val="18"/>
                      <w:szCs w:val="18"/>
                    </w:rPr>
                    <w:t xml:space="preserve">-8.8 </w:t>
                  </w:r>
                </w:p>
              </w:tc>
              <w:tc>
                <w:tcPr>
                  <w:tcW w:w="930" w:type="dxa"/>
                  <w:tcBorders>
                    <w:top w:val="nil"/>
                    <w:left w:val="nil"/>
                    <w:bottom w:val="single" w:sz="8" w:space="0" w:color="FFFFFF"/>
                    <w:right w:val="single" w:sz="8" w:space="0" w:color="FFFFFF"/>
                  </w:tcBorders>
                  <w:shd w:val="clear" w:color="000000" w:fill="FCD5B4"/>
                  <w:noWrap/>
                  <w:vAlign w:val="center"/>
                  <w:hideMark/>
                </w:tcPr>
                <w:p w14:paraId="40A79831"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FF0000"/>
                      <w:kern w:val="0"/>
                      <w:sz w:val="18"/>
                      <w:szCs w:val="18"/>
                    </w:rPr>
                    <w:t xml:space="preserve">-8.8 </w:t>
                  </w:r>
                </w:p>
              </w:tc>
              <w:tc>
                <w:tcPr>
                  <w:tcW w:w="930" w:type="dxa"/>
                  <w:tcBorders>
                    <w:top w:val="nil"/>
                    <w:left w:val="nil"/>
                    <w:bottom w:val="single" w:sz="8" w:space="0" w:color="FFFFFF"/>
                    <w:right w:val="single" w:sz="8" w:space="0" w:color="FFFFFF"/>
                  </w:tcBorders>
                  <w:shd w:val="clear" w:color="000000" w:fill="FCD5B4"/>
                  <w:noWrap/>
                  <w:vAlign w:val="center"/>
                  <w:hideMark/>
                </w:tcPr>
                <w:p w14:paraId="7886582E"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FF0000"/>
                      <w:kern w:val="0"/>
                      <w:sz w:val="18"/>
                      <w:szCs w:val="18"/>
                    </w:rPr>
                    <w:t xml:space="preserve">-8.8 </w:t>
                  </w:r>
                </w:p>
              </w:tc>
            </w:tr>
            <w:tr w:rsidR="00E46B36" w:rsidRPr="006E06F9" w14:paraId="7FD7FC2A" w14:textId="77777777" w:rsidTr="00E46B36">
              <w:trPr>
                <w:trHeight w:val="292"/>
              </w:trPr>
              <w:tc>
                <w:tcPr>
                  <w:tcW w:w="1146" w:type="dxa"/>
                  <w:tcBorders>
                    <w:top w:val="nil"/>
                    <w:left w:val="nil"/>
                    <w:bottom w:val="single" w:sz="8" w:space="0" w:color="FFFFFF"/>
                    <w:right w:val="single" w:sz="8" w:space="0" w:color="FFFFFF"/>
                  </w:tcBorders>
                  <w:shd w:val="clear" w:color="000000" w:fill="FDE9D9"/>
                  <w:noWrap/>
                  <w:vAlign w:val="center"/>
                  <w:hideMark/>
                </w:tcPr>
                <w:p w14:paraId="5AA13230" w14:textId="77777777" w:rsidR="00E46B36" w:rsidRPr="00E46B36" w:rsidRDefault="00E46B36" w:rsidP="00E46B36">
                  <w:pPr>
                    <w:widowControl/>
                    <w:jc w:val="center"/>
                    <w:rPr>
                      <w:rFonts w:ascii="楷体" w:eastAsia="楷体" w:hAnsi="楷体" w:cs="宋体"/>
                      <w:color w:val="000000"/>
                      <w:kern w:val="0"/>
                      <w:sz w:val="18"/>
                      <w:szCs w:val="18"/>
                    </w:rPr>
                  </w:pPr>
                  <w:r w:rsidRPr="00E46B36">
                    <w:rPr>
                      <w:rFonts w:ascii="楷体" w:eastAsia="楷体" w:hAnsi="楷体" w:cs="宋体" w:hint="eastAsia"/>
                      <w:color w:val="000000"/>
                      <w:kern w:val="0"/>
                      <w:sz w:val="18"/>
                      <w:szCs w:val="18"/>
                    </w:rPr>
                    <w:t>企业债7Y</w:t>
                  </w:r>
                </w:p>
              </w:tc>
              <w:tc>
                <w:tcPr>
                  <w:tcW w:w="930" w:type="dxa"/>
                  <w:tcBorders>
                    <w:top w:val="nil"/>
                    <w:left w:val="nil"/>
                    <w:bottom w:val="single" w:sz="8" w:space="0" w:color="FFFFFF"/>
                    <w:right w:val="single" w:sz="8" w:space="0" w:color="FFFFFF"/>
                  </w:tcBorders>
                  <w:shd w:val="clear" w:color="000000" w:fill="FDE9D9"/>
                  <w:noWrap/>
                  <w:vAlign w:val="center"/>
                  <w:hideMark/>
                </w:tcPr>
                <w:p w14:paraId="750F4C6D"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000000"/>
                      <w:kern w:val="0"/>
                      <w:sz w:val="18"/>
                      <w:szCs w:val="18"/>
                    </w:rPr>
                    <w:t xml:space="preserve">0.4 </w:t>
                  </w:r>
                </w:p>
              </w:tc>
              <w:tc>
                <w:tcPr>
                  <w:tcW w:w="930" w:type="dxa"/>
                  <w:tcBorders>
                    <w:top w:val="nil"/>
                    <w:left w:val="nil"/>
                    <w:bottom w:val="single" w:sz="8" w:space="0" w:color="FFFFFF"/>
                    <w:right w:val="single" w:sz="8" w:space="0" w:color="FFFFFF"/>
                  </w:tcBorders>
                  <w:shd w:val="clear" w:color="000000" w:fill="FDE9D9"/>
                  <w:noWrap/>
                  <w:vAlign w:val="center"/>
                  <w:hideMark/>
                </w:tcPr>
                <w:p w14:paraId="66F3EE80"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000000"/>
                      <w:kern w:val="0"/>
                      <w:sz w:val="18"/>
                      <w:szCs w:val="18"/>
                    </w:rPr>
                    <w:t xml:space="preserve">0.4 </w:t>
                  </w:r>
                </w:p>
              </w:tc>
              <w:tc>
                <w:tcPr>
                  <w:tcW w:w="930" w:type="dxa"/>
                  <w:tcBorders>
                    <w:top w:val="nil"/>
                    <w:left w:val="nil"/>
                    <w:bottom w:val="single" w:sz="8" w:space="0" w:color="FFFFFF"/>
                    <w:right w:val="single" w:sz="8" w:space="0" w:color="FFFFFF"/>
                  </w:tcBorders>
                  <w:shd w:val="clear" w:color="000000" w:fill="FDE9D9"/>
                  <w:noWrap/>
                  <w:vAlign w:val="center"/>
                  <w:hideMark/>
                </w:tcPr>
                <w:p w14:paraId="37119CE9"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000000"/>
                      <w:kern w:val="0"/>
                      <w:sz w:val="18"/>
                      <w:szCs w:val="18"/>
                    </w:rPr>
                    <w:t xml:space="preserve">0.4 </w:t>
                  </w:r>
                </w:p>
              </w:tc>
              <w:tc>
                <w:tcPr>
                  <w:tcW w:w="930" w:type="dxa"/>
                  <w:tcBorders>
                    <w:top w:val="nil"/>
                    <w:left w:val="nil"/>
                    <w:bottom w:val="single" w:sz="8" w:space="0" w:color="FFFFFF"/>
                    <w:right w:val="single" w:sz="8" w:space="0" w:color="FFFFFF"/>
                  </w:tcBorders>
                  <w:shd w:val="clear" w:color="000000" w:fill="FDE9D9"/>
                  <w:noWrap/>
                  <w:vAlign w:val="center"/>
                  <w:hideMark/>
                </w:tcPr>
                <w:p w14:paraId="39BD6C83"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000000"/>
                      <w:kern w:val="0"/>
                      <w:sz w:val="18"/>
                      <w:szCs w:val="18"/>
                    </w:rPr>
                    <w:t xml:space="preserve">0.4 </w:t>
                  </w:r>
                </w:p>
              </w:tc>
              <w:tc>
                <w:tcPr>
                  <w:tcW w:w="930" w:type="dxa"/>
                  <w:tcBorders>
                    <w:top w:val="nil"/>
                    <w:left w:val="nil"/>
                    <w:bottom w:val="single" w:sz="8" w:space="0" w:color="FFFFFF"/>
                    <w:right w:val="single" w:sz="8" w:space="0" w:color="FFFFFF"/>
                  </w:tcBorders>
                  <w:shd w:val="clear" w:color="000000" w:fill="FDE9D9"/>
                  <w:noWrap/>
                  <w:vAlign w:val="center"/>
                  <w:hideMark/>
                </w:tcPr>
                <w:p w14:paraId="32F8BD93" w14:textId="77777777" w:rsidR="00E46B36" w:rsidRPr="00E46B36" w:rsidRDefault="00E46B36" w:rsidP="00E46B36">
                  <w:pPr>
                    <w:widowControl/>
                    <w:jc w:val="center"/>
                    <w:rPr>
                      <w:rFonts w:ascii="楷体" w:eastAsia="楷体" w:hAnsi="楷体" w:cs="宋体"/>
                      <w:color w:val="000000"/>
                      <w:kern w:val="0"/>
                      <w:sz w:val="18"/>
                      <w:szCs w:val="18"/>
                    </w:rPr>
                  </w:pPr>
                  <w:r w:rsidRPr="00E46B36">
                    <w:rPr>
                      <w:rFonts w:ascii="楷体" w:eastAsia="楷体" w:hAnsi="楷体" w:cs="宋体" w:hint="eastAsia"/>
                      <w:color w:val="000000"/>
                      <w:kern w:val="0"/>
                      <w:sz w:val="18"/>
                      <w:szCs w:val="18"/>
                    </w:rPr>
                    <w:t>企业债7Y</w:t>
                  </w:r>
                </w:p>
              </w:tc>
              <w:tc>
                <w:tcPr>
                  <w:tcW w:w="930" w:type="dxa"/>
                  <w:tcBorders>
                    <w:top w:val="nil"/>
                    <w:left w:val="nil"/>
                    <w:bottom w:val="single" w:sz="8" w:space="0" w:color="FFFFFF"/>
                    <w:right w:val="single" w:sz="8" w:space="0" w:color="FFFFFF"/>
                  </w:tcBorders>
                  <w:shd w:val="clear" w:color="000000" w:fill="FDE9D9"/>
                  <w:noWrap/>
                  <w:vAlign w:val="center"/>
                  <w:hideMark/>
                </w:tcPr>
                <w:p w14:paraId="0B8D7E08"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FF0000"/>
                      <w:kern w:val="0"/>
                      <w:sz w:val="18"/>
                      <w:szCs w:val="18"/>
                    </w:rPr>
                    <w:t xml:space="preserve">-11.4 </w:t>
                  </w:r>
                </w:p>
              </w:tc>
              <w:tc>
                <w:tcPr>
                  <w:tcW w:w="930" w:type="dxa"/>
                  <w:tcBorders>
                    <w:top w:val="nil"/>
                    <w:left w:val="nil"/>
                    <w:bottom w:val="single" w:sz="8" w:space="0" w:color="FFFFFF"/>
                    <w:right w:val="single" w:sz="8" w:space="0" w:color="FFFFFF"/>
                  </w:tcBorders>
                  <w:shd w:val="clear" w:color="000000" w:fill="FDE9D9"/>
                  <w:noWrap/>
                  <w:vAlign w:val="center"/>
                  <w:hideMark/>
                </w:tcPr>
                <w:p w14:paraId="4E28B346"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FF0000"/>
                      <w:kern w:val="0"/>
                      <w:sz w:val="18"/>
                      <w:szCs w:val="18"/>
                    </w:rPr>
                    <w:t xml:space="preserve">-11.4 </w:t>
                  </w:r>
                </w:p>
              </w:tc>
              <w:tc>
                <w:tcPr>
                  <w:tcW w:w="930" w:type="dxa"/>
                  <w:tcBorders>
                    <w:top w:val="nil"/>
                    <w:left w:val="nil"/>
                    <w:bottom w:val="single" w:sz="8" w:space="0" w:color="FFFFFF"/>
                    <w:right w:val="single" w:sz="8" w:space="0" w:color="FFFFFF"/>
                  </w:tcBorders>
                  <w:shd w:val="clear" w:color="000000" w:fill="FDE9D9"/>
                  <w:noWrap/>
                  <w:vAlign w:val="center"/>
                  <w:hideMark/>
                </w:tcPr>
                <w:p w14:paraId="0A727161"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FF0000"/>
                      <w:kern w:val="0"/>
                      <w:sz w:val="18"/>
                      <w:szCs w:val="18"/>
                    </w:rPr>
                    <w:t xml:space="preserve">-11.4 </w:t>
                  </w:r>
                </w:p>
              </w:tc>
              <w:tc>
                <w:tcPr>
                  <w:tcW w:w="930" w:type="dxa"/>
                  <w:tcBorders>
                    <w:top w:val="nil"/>
                    <w:left w:val="nil"/>
                    <w:bottom w:val="single" w:sz="8" w:space="0" w:color="FFFFFF"/>
                    <w:right w:val="single" w:sz="8" w:space="0" w:color="FFFFFF"/>
                  </w:tcBorders>
                  <w:shd w:val="clear" w:color="000000" w:fill="FDE9D9"/>
                  <w:noWrap/>
                  <w:vAlign w:val="center"/>
                  <w:hideMark/>
                </w:tcPr>
                <w:p w14:paraId="63744DC2"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FF0000"/>
                      <w:kern w:val="0"/>
                      <w:sz w:val="18"/>
                      <w:szCs w:val="18"/>
                    </w:rPr>
                    <w:t xml:space="preserve">-11.4 </w:t>
                  </w:r>
                </w:p>
              </w:tc>
            </w:tr>
            <w:tr w:rsidR="00E46B36" w:rsidRPr="006E06F9" w14:paraId="0B7400E0" w14:textId="77777777" w:rsidTr="00E46B36">
              <w:trPr>
                <w:trHeight w:val="292"/>
              </w:trPr>
              <w:tc>
                <w:tcPr>
                  <w:tcW w:w="1146" w:type="dxa"/>
                  <w:tcBorders>
                    <w:top w:val="nil"/>
                    <w:left w:val="nil"/>
                    <w:bottom w:val="single" w:sz="8" w:space="0" w:color="FFFFFF"/>
                    <w:right w:val="single" w:sz="8" w:space="0" w:color="FFFFFF"/>
                  </w:tcBorders>
                  <w:shd w:val="clear" w:color="000000" w:fill="FCD5B4"/>
                  <w:noWrap/>
                  <w:vAlign w:val="center"/>
                  <w:hideMark/>
                </w:tcPr>
                <w:p w14:paraId="1BF1DEA8" w14:textId="77777777" w:rsidR="00E46B36" w:rsidRPr="00E46B36" w:rsidRDefault="00E46B36" w:rsidP="00E46B36">
                  <w:pPr>
                    <w:widowControl/>
                    <w:jc w:val="center"/>
                    <w:rPr>
                      <w:rFonts w:ascii="楷体" w:eastAsia="楷体" w:hAnsi="楷体" w:cs="宋体"/>
                      <w:color w:val="000000"/>
                      <w:kern w:val="0"/>
                      <w:sz w:val="18"/>
                      <w:szCs w:val="18"/>
                    </w:rPr>
                  </w:pPr>
                  <w:proofErr w:type="gramStart"/>
                  <w:r w:rsidRPr="00E46B36">
                    <w:rPr>
                      <w:rFonts w:ascii="楷体" w:eastAsia="楷体" w:hAnsi="楷体" w:cs="宋体" w:hint="eastAsia"/>
                      <w:color w:val="000000"/>
                      <w:kern w:val="0"/>
                      <w:sz w:val="18"/>
                      <w:szCs w:val="18"/>
                    </w:rPr>
                    <w:t>城投债</w:t>
                  </w:r>
                  <w:proofErr w:type="gramEnd"/>
                  <w:r w:rsidRPr="00E46B36">
                    <w:rPr>
                      <w:rFonts w:ascii="楷体" w:eastAsia="楷体" w:hAnsi="楷体" w:cs="宋体" w:hint="eastAsia"/>
                      <w:color w:val="000000"/>
                      <w:kern w:val="0"/>
                      <w:sz w:val="18"/>
                      <w:szCs w:val="18"/>
                    </w:rPr>
                    <w:t>3Y</w:t>
                  </w:r>
                </w:p>
              </w:tc>
              <w:tc>
                <w:tcPr>
                  <w:tcW w:w="930" w:type="dxa"/>
                  <w:tcBorders>
                    <w:top w:val="nil"/>
                    <w:left w:val="nil"/>
                    <w:bottom w:val="single" w:sz="8" w:space="0" w:color="FFFFFF"/>
                    <w:right w:val="single" w:sz="8" w:space="0" w:color="FFFFFF"/>
                  </w:tcBorders>
                  <w:shd w:val="clear" w:color="000000" w:fill="FCD5B4"/>
                  <w:noWrap/>
                  <w:vAlign w:val="center"/>
                  <w:hideMark/>
                </w:tcPr>
                <w:p w14:paraId="28F78F33"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000000"/>
                      <w:kern w:val="0"/>
                      <w:sz w:val="18"/>
                      <w:szCs w:val="18"/>
                    </w:rPr>
                    <w:t xml:space="preserve">8.0 </w:t>
                  </w:r>
                </w:p>
              </w:tc>
              <w:tc>
                <w:tcPr>
                  <w:tcW w:w="930" w:type="dxa"/>
                  <w:tcBorders>
                    <w:top w:val="nil"/>
                    <w:left w:val="nil"/>
                    <w:bottom w:val="single" w:sz="8" w:space="0" w:color="FFFFFF"/>
                    <w:right w:val="single" w:sz="8" w:space="0" w:color="FFFFFF"/>
                  </w:tcBorders>
                  <w:shd w:val="clear" w:color="000000" w:fill="FCD5B4"/>
                  <w:noWrap/>
                  <w:vAlign w:val="center"/>
                  <w:hideMark/>
                </w:tcPr>
                <w:p w14:paraId="3C3D6BE6"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000000"/>
                      <w:kern w:val="0"/>
                      <w:sz w:val="18"/>
                      <w:szCs w:val="18"/>
                    </w:rPr>
                    <w:t xml:space="preserve">3.0 </w:t>
                  </w:r>
                </w:p>
              </w:tc>
              <w:tc>
                <w:tcPr>
                  <w:tcW w:w="930" w:type="dxa"/>
                  <w:tcBorders>
                    <w:top w:val="nil"/>
                    <w:left w:val="nil"/>
                    <w:bottom w:val="single" w:sz="8" w:space="0" w:color="FFFFFF"/>
                    <w:right w:val="single" w:sz="8" w:space="0" w:color="FFFFFF"/>
                  </w:tcBorders>
                  <w:shd w:val="clear" w:color="000000" w:fill="FCD5B4"/>
                  <w:noWrap/>
                  <w:vAlign w:val="center"/>
                  <w:hideMark/>
                </w:tcPr>
                <w:p w14:paraId="1B611E43"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000000"/>
                      <w:kern w:val="0"/>
                      <w:sz w:val="18"/>
                      <w:szCs w:val="18"/>
                    </w:rPr>
                    <w:t xml:space="preserve">1.0 </w:t>
                  </w:r>
                </w:p>
              </w:tc>
              <w:tc>
                <w:tcPr>
                  <w:tcW w:w="930" w:type="dxa"/>
                  <w:tcBorders>
                    <w:top w:val="nil"/>
                    <w:left w:val="nil"/>
                    <w:bottom w:val="single" w:sz="8" w:space="0" w:color="FFFFFF"/>
                    <w:right w:val="single" w:sz="8" w:space="0" w:color="FFFFFF"/>
                  </w:tcBorders>
                  <w:shd w:val="clear" w:color="000000" w:fill="FCD5B4"/>
                  <w:noWrap/>
                  <w:vAlign w:val="center"/>
                  <w:hideMark/>
                </w:tcPr>
                <w:p w14:paraId="77D2C3A8"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FF0000"/>
                      <w:kern w:val="0"/>
                      <w:sz w:val="18"/>
                      <w:szCs w:val="18"/>
                    </w:rPr>
                    <w:t xml:space="preserve">-2.0 </w:t>
                  </w:r>
                </w:p>
              </w:tc>
              <w:tc>
                <w:tcPr>
                  <w:tcW w:w="930" w:type="dxa"/>
                  <w:tcBorders>
                    <w:top w:val="nil"/>
                    <w:left w:val="nil"/>
                    <w:bottom w:val="single" w:sz="8" w:space="0" w:color="FFFFFF"/>
                    <w:right w:val="single" w:sz="8" w:space="0" w:color="FFFFFF"/>
                  </w:tcBorders>
                  <w:shd w:val="clear" w:color="000000" w:fill="FCD5B4"/>
                  <w:noWrap/>
                  <w:vAlign w:val="center"/>
                  <w:hideMark/>
                </w:tcPr>
                <w:p w14:paraId="6BA903A2" w14:textId="77777777" w:rsidR="00E46B36" w:rsidRPr="00E46B36" w:rsidRDefault="00E46B36" w:rsidP="00E46B36">
                  <w:pPr>
                    <w:widowControl/>
                    <w:jc w:val="center"/>
                    <w:rPr>
                      <w:rFonts w:ascii="楷体" w:eastAsia="楷体" w:hAnsi="楷体" w:cs="宋体"/>
                      <w:color w:val="000000"/>
                      <w:kern w:val="0"/>
                      <w:sz w:val="18"/>
                      <w:szCs w:val="18"/>
                    </w:rPr>
                  </w:pPr>
                  <w:proofErr w:type="gramStart"/>
                  <w:r w:rsidRPr="00E46B36">
                    <w:rPr>
                      <w:rFonts w:ascii="楷体" w:eastAsia="楷体" w:hAnsi="楷体" w:cs="宋体" w:hint="eastAsia"/>
                      <w:color w:val="000000"/>
                      <w:kern w:val="0"/>
                      <w:sz w:val="18"/>
                      <w:szCs w:val="18"/>
                    </w:rPr>
                    <w:t>城投债</w:t>
                  </w:r>
                  <w:proofErr w:type="gramEnd"/>
                  <w:r w:rsidRPr="00E46B36">
                    <w:rPr>
                      <w:rFonts w:ascii="楷体" w:eastAsia="楷体" w:hAnsi="楷体" w:cs="宋体" w:hint="eastAsia"/>
                      <w:color w:val="000000"/>
                      <w:kern w:val="0"/>
                      <w:sz w:val="18"/>
                      <w:szCs w:val="18"/>
                    </w:rPr>
                    <w:t>3Y</w:t>
                  </w:r>
                </w:p>
              </w:tc>
              <w:tc>
                <w:tcPr>
                  <w:tcW w:w="930" w:type="dxa"/>
                  <w:tcBorders>
                    <w:top w:val="nil"/>
                    <w:left w:val="nil"/>
                    <w:bottom w:val="single" w:sz="8" w:space="0" w:color="FFFFFF"/>
                    <w:right w:val="single" w:sz="8" w:space="0" w:color="FFFFFF"/>
                  </w:tcBorders>
                  <w:shd w:val="clear" w:color="000000" w:fill="FCD5B4"/>
                  <w:noWrap/>
                  <w:vAlign w:val="center"/>
                  <w:hideMark/>
                </w:tcPr>
                <w:p w14:paraId="4DFD4494"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000000"/>
                      <w:kern w:val="0"/>
                      <w:sz w:val="18"/>
                      <w:szCs w:val="18"/>
                    </w:rPr>
                    <w:t xml:space="preserve">2.0 </w:t>
                  </w:r>
                </w:p>
              </w:tc>
              <w:tc>
                <w:tcPr>
                  <w:tcW w:w="930" w:type="dxa"/>
                  <w:tcBorders>
                    <w:top w:val="nil"/>
                    <w:left w:val="nil"/>
                    <w:bottom w:val="single" w:sz="8" w:space="0" w:color="FFFFFF"/>
                    <w:right w:val="single" w:sz="8" w:space="0" w:color="FFFFFF"/>
                  </w:tcBorders>
                  <w:shd w:val="clear" w:color="000000" w:fill="FCD5B4"/>
                  <w:noWrap/>
                  <w:vAlign w:val="center"/>
                  <w:hideMark/>
                </w:tcPr>
                <w:p w14:paraId="083CBCCF"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FF0000"/>
                      <w:kern w:val="0"/>
                      <w:sz w:val="18"/>
                      <w:szCs w:val="18"/>
                    </w:rPr>
                    <w:t xml:space="preserve">-3.0 </w:t>
                  </w:r>
                </w:p>
              </w:tc>
              <w:tc>
                <w:tcPr>
                  <w:tcW w:w="930" w:type="dxa"/>
                  <w:tcBorders>
                    <w:top w:val="nil"/>
                    <w:left w:val="nil"/>
                    <w:bottom w:val="single" w:sz="8" w:space="0" w:color="FFFFFF"/>
                    <w:right w:val="single" w:sz="8" w:space="0" w:color="FFFFFF"/>
                  </w:tcBorders>
                  <w:shd w:val="clear" w:color="000000" w:fill="FCD5B4"/>
                  <w:noWrap/>
                  <w:vAlign w:val="center"/>
                  <w:hideMark/>
                </w:tcPr>
                <w:p w14:paraId="1D23F8EA"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FF0000"/>
                      <w:kern w:val="0"/>
                      <w:sz w:val="18"/>
                      <w:szCs w:val="18"/>
                    </w:rPr>
                    <w:t xml:space="preserve">-5.0 </w:t>
                  </w:r>
                </w:p>
              </w:tc>
              <w:tc>
                <w:tcPr>
                  <w:tcW w:w="930" w:type="dxa"/>
                  <w:tcBorders>
                    <w:top w:val="nil"/>
                    <w:left w:val="nil"/>
                    <w:bottom w:val="single" w:sz="8" w:space="0" w:color="FFFFFF"/>
                    <w:right w:val="single" w:sz="8" w:space="0" w:color="FFFFFF"/>
                  </w:tcBorders>
                  <w:shd w:val="clear" w:color="000000" w:fill="FCD5B4"/>
                  <w:noWrap/>
                  <w:vAlign w:val="center"/>
                  <w:hideMark/>
                </w:tcPr>
                <w:p w14:paraId="0810E6D4"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FF0000"/>
                      <w:kern w:val="0"/>
                      <w:sz w:val="18"/>
                      <w:szCs w:val="18"/>
                    </w:rPr>
                    <w:t xml:space="preserve">-8.0 </w:t>
                  </w:r>
                </w:p>
              </w:tc>
            </w:tr>
            <w:tr w:rsidR="00E46B36" w:rsidRPr="006E06F9" w14:paraId="7CE3FA70" w14:textId="77777777" w:rsidTr="00E46B36">
              <w:trPr>
                <w:trHeight w:val="292"/>
              </w:trPr>
              <w:tc>
                <w:tcPr>
                  <w:tcW w:w="1146" w:type="dxa"/>
                  <w:tcBorders>
                    <w:top w:val="nil"/>
                    <w:left w:val="nil"/>
                    <w:bottom w:val="single" w:sz="8" w:space="0" w:color="FFFFFF"/>
                    <w:right w:val="single" w:sz="8" w:space="0" w:color="FFFFFF"/>
                  </w:tcBorders>
                  <w:shd w:val="clear" w:color="000000" w:fill="FDE9D9"/>
                  <w:noWrap/>
                  <w:vAlign w:val="center"/>
                  <w:hideMark/>
                </w:tcPr>
                <w:p w14:paraId="7C524B24" w14:textId="77777777" w:rsidR="00E46B36" w:rsidRPr="00E46B36" w:rsidRDefault="00E46B36" w:rsidP="00E46B36">
                  <w:pPr>
                    <w:widowControl/>
                    <w:jc w:val="center"/>
                    <w:rPr>
                      <w:rFonts w:ascii="楷体" w:eastAsia="楷体" w:hAnsi="楷体" w:cs="宋体"/>
                      <w:color w:val="000000"/>
                      <w:kern w:val="0"/>
                      <w:sz w:val="18"/>
                      <w:szCs w:val="18"/>
                    </w:rPr>
                  </w:pPr>
                  <w:proofErr w:type="gramStart"/>
                  <w:r w:rsidRPr="00E46B36">
                    <w:rPr>
                      <w:rFonts w:ascii="楷体" w:eastAsia="楷体" w:hAnsi="楷体" w:cs="宋体" w:hint="eastAsia"/>
                      <w:color w:val="000000"/>
                      <w:kern w:val="0"/>
                      <w:sz w:val="18"/>
                      <w:szCs w:val="18"/>
                    </w:rPr>
                    <w:t>城投债</w:t>
                  </w:r>
                  <w:proofErr w:type="gramEnd"/>
                  <w:r w:rsidRPr="00E46B36">
                    <w:rPr>
                      <w:rFonts w:ascii="楷体" w:eastAsia="楷体" w:hAnsi="楷体" w:cs="宋体" w:hint="eastAsia"/>
                      <w:color w:val="000000"/>
                      <w:kern w:val="0"/>
                      <w:sz w:val="18"/>
                      <w:szCs w:val="18"/>
                    </w:rPr>
                    <w:t>5Y</w:t>
                  </w:r>
                </w:p>
              </w:tc>
              <w:tc>
                <w:tcPr>
                  <w:tcW w:w="930" w:type="dxa"/>
                  <w:tcBorders>
                    <w:top w:val="nil"/>
                    <w:left w:val="nil"/>
                    <w:bottom w:val="single" w:sz="8" w:space="0" w:color="FFFFFF"/>
                    <w:right w:val="single" w:sz="8" w:space="0" w:color="FFFFFF"/>
                  </w:tcBorders>
                  <w:shd w:val="clear" w:color="000000" w:fill="FDE9D9"/>
                  <w:noWrap/>
                  <w:vAlign w:val="center"/>
                  <w:hideMark/>
                </w:tcPr>
                <w:p w14:paraId="7C19A600"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000000"/>
                      <w:kern w:val="0"/>
                      <w:sz w:val="18"/>
                      <w:szCs w:val="18"/>
                    </w:rPr>
                    <w:t xml:space="preserve">6.5 </w:t>
                  </w:r>
                </w:p>
              </w:tc>
              <w:tc>
                <w:tcPr>
                  <w:tcW w:w="930" w:type="dxa"/>
                  <w:tcBorders>
                    <w:top w:val="nil"/>
                    <w:left w:val="nil"/>
                    <w:bottom w:val="single" w:sz="8" w:space="0" w:color="FFFFFF"/>
                    <w:right w:val="single" w:sz="8" w:space="0" w:color="FFFFFF"/>
                  </w:tcBorders>
                  <w:shd w:val="clear" w:color="000000" w:fill="FDE9D9"/>
                  <w:noWrap/>
                  <w:vAlign w:val="center"/>
                  <w:hideMark/>
                </w:tcPr>
                <w:p w14:paraId="7F024D00"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000000"/>
                      <w:kern w:val="0"/>
                      <w:sz w:val="18"/>
                      <w:szCs w:val="18"/>
                    </w:rPr>
                    <w:t xml:space="preserve">5.5 </w:t>
                  </w:r>
                </w:p>
              </w:tc>
              <w:tc>
                <w:tcPr>
                  <w:tcW w:w="930" w:type="dxa"/>
                  <w:tcBorders>
                    <w:top w:val="nil"/>
                    <w:left w:val="nil"/>
                    <w:bottom w:val="single" w:sz="8" w:space="0" w:color="FFFFFF"/>
                    <w:right w:val="single" w:sz="8" w:space="0" w:color="FFFFFF"/>
                  </w:tcBorders>
                  <w:shd w:val="clear" w:color="000000" w:fill="FDE9D9"/>
                  <w:noWrap/>
                  <w:vAlign w:val="center"/>
                  <w:hideMark/>
                </w:tcPr>
                <w:p w14:paraId="1650F4B6"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000000"/>
                      <w:kern w:val="0"/>
                      <w:sz w:val="18"/>
                      <w:szCs w:val="18"/>
                    </w:rPr>
                    <w:t xml:space="preserve">4.5 </w:t>
                  </w:r>
                </w:p>
              </w:tc>
              <w:tc>
                <w:tcPr>
                  <w:tcW w:w="930" w:type="dxa"/>
                  <w:tcBorders>
                    <w:top w:val="nil"/>
                    <w:left w:val="nil"/>
                    <w:bottom w:val="single" w:sz="8" w:space="0" w:color="FFFFFF"/>
                    <w:right w:val="single" w:sz="8" w:space="0" w:color="FFFFFF"/>
                  </w:tcBorders>
                  <w:shd w:val="clear" w:color="000000" w:fill="FDE9D9"/>
                  <w:noWrap/>
                  <w:vAlign w:val="center"/>
                  <w:hideMark/>
                </w:tcPr>
                <w:p w14:paraId="3AC89966"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000000"/>
                      <w:kern w:val="0"/>
                      <w:sz w:val="18"/>
                      <w:szCs w:val="18"/>
                    </w:rPr>
                    <w:t xml:space="preserve">6.5 </w:t>
                  </w:r>
                </w:p>
              </w:tc>
              <w:tc>
                <w:tcPr>
                  <w:tcW w:w="930" w:type="dxa"/>
                  <w:tcBorders>
                    <w:top w:val="nil"/>
                    <w:left w:val="nil"/>
                    <w:bottom w:val="single" w:sz="8" w:space="0" w:color="FFFFFF"/>
                    <w:right w:val="single" w:sz="8" w:space="0" w:color="FFFFFF"/>
                  </w:tcBorders>
                  <w:shd w:val="clear" w:color="000000" w:fill="FDE9D9"/>
                  <w:noWrap/>
                  <w:vAlign w:val="center"/>
                  <w:hideMark/>
                </w:tcPr>
                <w:p w14:paraId="3CB1A922" w14:textId="77777777" w:rsidR="00E46B36" w:rsidRPr="00E46B36" w:rsidRDefault="00E46B36" w:rsidP="00E46B36">
                  <w:pPr>
                    <w:widowControl/>
                    <w:jc w:val="center"/>
                    <w:rPr>
                      <w:rFonts w:ascii="楷体" w:eastAsia="楷体" w:hAnsi="楷体" w:cs="宋体"/>
                      <w:color w:val="000000"/>
                      <w:kern w:val="0"/>
                      <w:sz w:val="18"/>
                      <w:szCs w:val="18"/>
                    </w:rPr>
                  </w:pPr>
                  <w:proofErr w:type="gramStart"/>
                  <w:r w:rsidRPr="00E46B36">
                    <w:rPr>
                      <w:rFonts w:ascii="楷体" w:eastAsia="楷体" w:hAnsi="楷体" w:cs="宋体" w:hint="eastAsia"/>
                      <w:color w:val="000000"/>
                      <w:kern w:val="0"/>
                      <w:sz w:val="18"/>
                      <w:szCs w:val="18"/>
                    </w:rPr>
                    <w:t>城投债</w:t>
                  </w:r>
                  <w:proofErr w:type="gramEnd"/>
                  <w:r w:rsidRPr="00E46B36">
                    <w:rPr>
                      <w:rFonts w:ascii="楷体" w:eastAsia="楷体" w:hAnsi="楷体" w:cs="宋体" w:hint="eastAsia"/>
                      <w:color w:val="000000"/>
                      <w:kern w:val="0"/>
                      <w:sz w:val="18"/>
                      <w:szCs w:val="18"/>
                    </w:rPr>
                    <w:t>5Y</w:t>
                  </w:r>
                </w:p>
              </w:tc>
              <w:tc>
                <w:tcPr>
                  <w:tcW w:w="930" w:type="dxa"/>
                  <w:tcBorders>
                    <w:top w:val="nil"/>
                    <w:left w:val="nil"/>
                    <w:bottom w:val="single" w:sz="8" w:space="0" w:color="FFFFFF"/>
                    <w:right w:val="single" w:sz="8" w:space="0" w:color="FFFFFF"/>
                  </w:tcBorders>
                  <w:shd w:val="clear" w:color="000000" w:fill="FDE9D9"/>
                  <w:noWrap/>
                  <w:vAlign w:val="center"/>
                  <w:hideMark/>
                </w:tcPr>
                <w:p w14:paraId="06B25758"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FF0000"/>
                      <w:kern w:val="0"/>
                      <w:sz w:val="18"/>
                      <w:szCs w:val="18"/>
                    </w:rPr>
                    <w:t xml:space="preserve">-3.7 </w:t>
                  </w:r>
                </w:p>
              </w:tc>
              <w:tc>
                <w:tcPr>
                  <w:tcW w:w="930" w:type="dxa"/>
                  <w:tcBorders>
                    <w:top w:val="nil"/>
                    <w:left w:val="nil"/>
                    <w:bottom w:val="single" w:sz="8" w:space="0" w:color="FFFFFF"/>
                    <w:right w:val="single" w:sz="8" w:space="0" w:color="FFFFFF"/>
                  </w:tcBorders>
                  <w:shd w:val="clear" w:color="000000" w:fill="FDE9D9"/>
                  <w:noWrap/>
                  <w:vAlign w:val="center"/>
                  <w:hideMark/>
                </w:tcPr>
                <w:p w14:paraId="02CD8438"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FF0000"/>
                      <w:kern w:val="0"/>
                      <w:sz w:val="18"/>
                      <w:szCs w:val="18"/>
                    </w:rPr>
                    <w:t xml:space="preserve">-4.7 </w:t>
                  </w:r>
                </w:p>
              </w:tc>
              <w:tc>
                <w:tcPr>
                  <w:tcW w:w="930" w:type="dxa"/>
                  <w:tcBorders>
                    <w:top w:val="nil"/>
                    <w:left w:val="nil"/>
                    <w:bottom w:val="single" w:sz="8" w:space="0" w:color="FFFFFF"/>
                    <w:right w:val="single" w:sz="8" w:space="0" w:color="FFFFFF"/>
                  </w:tcBorders>
                  <w:shd w:val="clear" w:color="000000" w:fill="FDE9D9"/>
                  <w:noWrap/>
                  <w:vAlign w:val="center"/>
                  <w:hideMark/>
                </w:tcPr>
                <w:p w14:paraId="21560321"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FF0000"/>
                      <w:kern w:val="0"/>
                      <w:sz w:val="18"/>
                      <w:szCs w:val="18"/>
                    </w:rPr>
                    <w:t xml:space="preserve">-5.7 </w:t>
                  </w:r>
                </w:p>
              </w:tc>
              <w:tc>
                <w:tcPr>
                  <w:tcW w:w="930" w:type="dxa"/>
                  <w:tcBorders>
                    <w:top w:val="nil"/>
                    <w:left w:val="nil"/>
                    <w:bottom w:val="single" w:sz="8" w:space="0" w:color="FFFFFF"/>
                    <w:right w:val="single" w:sz="8" w:space="0" w:color="FFFFFF"/>
                  </w:tcBorders>
                  <w:shd w:val="clear" w:color="000000" w:fill="FDE9D9"/>
                  <w:noWrap/>
                  <w:vAlign w:val="center"/>
                  <w:hideMark/>
                </w:tcPr>
                <w:p w14:paraId="7BC2D7F6"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FF0000"/>
                      <w:kern w:val="0"/>
                      <w:sz w:val="18"/>
                      <w:szCs w:val="18"/>
                    </w:rPr>
                    <w:t xml:space="preserve">-3.7 </w:t>
                  </w:r>
                </w:p>
              </w:tc>
            </w:tr>
            <w:tr w:rsidR="00E46B36" w:rsidRPr="006E06F9" w14:paraId="6D161E42" w14:textId="77777777" w:rsidTr="00E46B36">
              <w:trPr>
                <w:trHeight w:val="292"/>
              </w:trPr>
              <w:tc>
                <w:tcPr>
                  <w:tcW w:w="1146" w:type="dxa"/>
                  <w:tcBorders>
                    <w:top w:val="nil"/>
                    <w:left w:val="nil"/>
                    <w:bottom w:val="nil"/>
                    <w:right w:val="nil"/>
                  </w:tcBorders>
                  <w:shd w:val="clear" w:color="000000" w:fill="FCD5B4"/>
                  <w:noWrap/>
                  <w:vAlign w:val="center"/>
                  <w:hideMark/>
                </w:tcPr>
                <w:p w14:paraId="510BA77A" w14:textId="77777777" w:rsidR="00E46B36" w:rsidRPr="00E46B36" w:rsidRDefault="00E46B36" w:rsidP="00E46B36">
                  <w:pPr>
                    <w:widowControl/>
                    <w:jc w:val="center"/>
                    <w:rPr>
                      <w:rFonts w:ascii="楷体" w:eastAsia="楷体" w:hAnsi="楷体" w:cs="宋体"/>
                      <w:color w:val="000000"/>
                      <w:kern w:val="0"/>
                      <w:sz w:val="18"/>
                      <w:szCs w:val="18"/>
                    </w:rPr>
                  </w:pPr>
                  <w:proofErr w:type="gramStart"/>
                  <w:r w:rsidRPr="00E46B36">
                    <w:rPr>
                      <w:rFonts w:ascii="楷体" w:eastAsia="楷体" w:hAnsi="楷体" w:cs="宋体" w:hint="eastAsia"/>
                      <w:color w:val="000000"/>
                      <w:kern w:val="0"/>
                      <w:sz w:val="18"/>
                      <w:szCs w:val="18"/>
                    </w:rPr>
                    <w:t>城投债</w:t>
                  </w:r>
                  <w:proofErr w:type="gramEnd"/>
                  <w:r w:rsidRPr="00E46B36">
                    <w:rPr>
                      <w:rFonts w:ascii="楷体" w:eastAsia="楷体" w:hAnsi="楷体" w:cs="宋体" w:hint="eastAsia"/>
                      <w:color w:val="000000"/>
                      <w:kern w:val="0"/>
                      <w:sz w:val="18"/>
                      <w:szCs w:val="18"/>
                    </w:rPr>
                    <w:t>7Y</w:t>
                  </w:r>
                </w:p>
              </w:tc>
              <w:tc>
                <w:tcPr>
                  <w:tcW w:w="930" w:type="dxa"/>
                  <w:tcBorders>
                    <w:top w:val="nil"/>
                    <w:left w:val="nil"/>
                    <w:bottom w:val="single" w:sz="8" w:space="0" w:color="FFFFFF"/>
                    <w:right w:val="single" w:sz="8" w:space="0" w:color="FFFFFF"/>
                  </w:tcBorders>
                  <w:shd w:val="clear" w:color="000000" w:fill="FCD5B4"/>
                  <w:noWrap/>
                  <w:vAlign w:val="center"/>
                  <w:hideMark/>
                </w:tcPr>
                <w:p w14:paraId="4724D8D9"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000000"/>
                      <w:kern w:val="0"/>
                      <w:sz w:val="18"/>
                      <w:szCs w:val="18"/>
                    </w:rPr>
                    <w:t xml:space="preserve">2.0 </w:t>
                  </w:r>
                </w:p>
              </w:tc>
              <w:tc>
                <w:tcPr>
                  <w:tcW w:w="930" w:type="dxa"/>
                  <w:tcBorders>
                    <w:top w:val="nil"/>
                    <w:left w:val="nil"/>
                    <w:bottom w:val="single" w:sz="8" w:space="0" w:color="FFFFFF"/>
                    <w:right w:val="single" w:sz="8" w:space="0" w:color="FFFFFF"/>
                  </w:tcBorders>
                  <w:shd w:val="clear" w:color="000000" w:fill="FCD5B4"/>
                  <w:noWrap/>
                  <w:vAlign w:val="center"/>
                  <w:hideMark/>
                </w:tcPr>
                <w:p w14:paraId="6B9FDB64"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000000"/>
                      <w:kern w:val="0"/>
                      <w:sz w:val="18"/>
                      <w:szCs w:val="18"/>
                    </w:rPr>
                    <w:t xml:space="preserve">3.0 </w:t>
                  </w:r>
                </w:p>
              </w:tc>
              <w:tc>
                <w:tcPr>
                  <w:tcW w:w="930" w:type="dxa"/>
                  <w:tcBorders>
                    <w:top w:val="nil"/>
                    <w:left w:val="nil"/>
                    <w:bottom w:val="single" w:sz="8" w:space="0" w:color="FFFFFF"/>
                    <w:right w:val="single" w:sz="8" w:space="0" w:color="FFFFFF"/>
                  </w:tcBorders>
                  <w:shd w:val="clear" w:color="000000" w:fill="FCD5B4"/>
                  <w:noWrap/>
                  <w:vAlign w:val="center"/>
                  <w:hideMark/>
                </w:tcPr>
                <w:p w14:paraId="6EB06E02"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000000"/>
                      <w:kern w:val="0"/>
                      <w:sz w:val="18"/>
                      <w:szCs w:val="18"/>
                    </w:rPr>
                    <w:t xml:space="preserve">3.0 </w:t>
                  </w:r>
                </w:p>
              </w:tc>
              <w:tc>
                <w:tcPr>
                  <w:tcW w:w="930" w:type="dxa"/>
                  <w:tcBorders>
                    <w:top w:val="nil"/>
                    <w:left w:val="nil"/>
                    <w:bottom w:val="single" w:sz="8" w:space="0" w:color="FFFFFF"/>
                    <w:right w:val="single" w:sz="8" w:space="0" w:color="FFFFFF"/>
                  </w:tcBorders>
                  <w:shd w:val="clear" w:color="000000" w:fill="FCD5B4"/>
                  <w:noWrap/>
                  <w:vAlign w:val="center"/>
                  <w:hideMark/>
                </w:tcPr>
                <w:p w14:paraId="0179251D"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000000"/>
                      <w:kern w:val="0"/>
                      <w:sz w:val="18"/>
                      <w:szCs w:val="18"/>
                    </w:rPr>
                    <w:t xml:space="preserve">3.0 </w:t>
                  </w:r>
                </w:p>
              </w:tc>
              <w:tc>
                <w:tcPr>
                  <w:tcW w:w="930" w:type="dxa"/>
                  <w:tcBorders>
                    <w:top w:val="nil"/>
                    <w:left w:val="nil"/>
                    <w:bottom w:val="nil"/>
                    <w:right w:val="nil"/>
                  </w:tcBorders>
                  <w:shd w:val="clear" w:color="000000" w:fill="FCD5B4"/>
                  <w:noWrap/>
                  <w:vAlign w:val="center"/>
                  <w:hideMark/>
                </w:tcPr>
                <w:p w14:paraId="1F9169AF" w14:textId="77777777" w:rsidR="00E46B36" w:rsidRPr="00E46B36" w:rsidRDefault="00E46B36" w:rsidP="00E46B36">
                  <w:pPr>
                    <w:widowControl/>
                    <w:jc w:val="center"/>
                    <w:rPr>
                      <w:rFonts w:ascii="楷体" w:eastAsia="楷体" w:hAnsi="楷体" w:cs="宋体"/>
                      <w:color w:val="000000"/>
                      <w:kern w:val="0"/>
                      <w:sz w:val="18"/>
                      <w:szCs w:val="18"/>
                    </w:rPr>
                  </w:pPr>
                  <w:proofErr w:type="gramStart"/>
                  <w:r w:rsidRPr="00E46B36">
                    <w:rPr>
                      <w:rFonts w:ascii="楷体" w:eastAsia="楷体" w:hAnsi="楷体" w:cs="宋体" w:hint="eastAsia"/>
                      <w:color w:val="000000"/>
                      <w:kern w:val="0"/>
                      <w:sz w:val="18"/>
                      <w:szCs w:val="18"/>
                    </w:rPr>
                    <w:t>城投债</w:t>
                  </w:r>
                  <w:proofErr w:type="gramEnd"/>
                  <w:r w:rsidRPr="00E46B36">
                    <w:rPr>
                      <w:rFonts w:ascii="楷体" w:eastAsia="楷体" w:hAnsi="楷体" w:cs="宋体" w:hint="eastAsia"/>
                      <w:color w:val="000000"/>
                      <w:kern w:val="0"/>
                      <w:sz w:val="18"/>
                      <w:szCs w:val="18"/>
                    </w:rPr>
                    <w:t>7Y</w:t>
                  </w:r>
                </w:p>
              </w:tc>
              <w:tc>
                <w:tcPr>
                  <w:tcW w:w="930" w:type="dxa"/>
                  <w:tcBorders>
                    <w:top w:val="nil"/>
                    <w:left w:val="nil"/>
                    <w:bottom w:val="single" w:sz="8" w:space="0" w:color="FFFFFF"/>
                    <w:right w:val="single" w:sz="8" w:space="0" w:color="FFFFFF"/>
                  </w:tcBorders>
                  <w:shd w:val="clear" w:color="000000" w:fill="FCD5B4"/>
                  <w:noWrap/>
                  <w:vAlign w:val="center"/>
                  <w:hideMark/>
                </w:tcPr>
                <w:p w14:paraId="28900F21"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FF0000"/>
                      <w:kern w:val="0"/>
                      <w:sz w:val="18"/>
                      <w:szCs w:val="18"/>
                    </w:rPr>
                    <w:t xml:space="preserve">-9.9 </w:t>
                  </w:r>
                </w:p>
              </w:tc>
              <w:tc>
                <w:tcPr>
                  <w:tcW w:w="930" w:type="dxa"/>
                  <w:tcBorders>
                    <w:top w:val="nil"/>
                    <w:left w:val="nil"/>
                    <w:bottom w:val="single" w:sz="8" w:space="0" w:color="FFFFFF"/>
                    <w:right w:val="single" w:sz="8" w:space="0" w:color="FFFFFF"/>
                  </w:tcBorders>
                  <w:shd w:val="clear" w:color="000000" w:fill="FCD5B4"/>
                  <w:noWrap/>
                  <w:vAlign w:val="center"/>
                  <w:hideMark/>
                </w:tcPr>
                <w:p w14:paraId="39A13EF1"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FF0000"/>
                      <w:kern w:val="0"/>
                      <w:sz w:val="18"/>
                      <w:szCs w:val="18"/>
                    </w:rPr>
                    <w:t xml:space="preserve">-8.9 </w:t>
                  </w:r>
                </w:p>
              </w:tc>
              <w:tc>
                <w:tcPr>
                  <w:tcW w:w="930" w:type="dxa"/>
                  <w:tcBorders>
                    <w:top w:val="nil"/>
                    <w:left w:val="nil"/>
                    <w:bottom w:val="single" w:sz="8" w:space="0" w:color="FFFFFF"/>
                    <w:right w:val="single" w:sz="8" w:space="0" w:color="FFFFFF"/>
                  </w:tcBorders>
                  <w:shd w:val="clear" w:color="000000" w:fill="FCD5B4"/>
                  <w:noWrap/>
                  <w:vAlign w:val="center"/>
                  <w:hideMark/>
                </w:tcPr>
                <w:p w14:paraId="79F86C7E"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FF0000"/>
                      <w:kern w:val="0"/>
                      <w:sz w:val="18"/>
                      <w:szCs w:val="18"/>
                    </w:rPr>
                    <w:t xml:space="preserve">-8.9 </w:t>
                  </w:r>
                </w:p>
              </w:tc>
              <w:tc>
                <w:tcPr>
                  <w:tcW w:w="930" w:type="dxa"/>
                  <w:tcBorders>
                    <w:top w:val="nil"/>
                    <w:left w:val="nil"/>
                    <w:bottom w:val="single" w:sz="8" w:space="0" w:color="FFFFFF"/>
                    <w:right w:val="single" w:sz="8" w:space="0" w:color="FFFFFF"/>
                  </w:tcBorders>
                  <w:shd w:val="clear" w:color="000000" w:fill="FCD5B4"/>
                  <w:noWrap/>
                  <w:vAlign w:val="center"/>
                  <w:hideMark/>
                </w:tcPr>
                <w:p w14:paraId="4A670420"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FF0000"/>
                      <w:kern w:val="0"/>
                      <w:sz w:val="18"/>
                      <w:szCs w:val="18"/>
                    </w:rPr>
                    <w:t xml:space="preserve">-8.9 </w:t>
                  </w:r>
                </w:p>
              </w:tc>
            </w:tr>
            <w:tr w:rsidR="00E46B36" w:rsidRPr="006E06F9" w14:paraId="23D2D3CF" w14:textId="77777777" w:rsidTr="00E46B36">
              <w:trPr>
                <w:trHeight w:val="145"/>
              </w:trPr>
              <w:tc>
                <w:tcPr>
                  <w:tcW w:w="1146" w:type="dxa"/>
                  <w:tcBorders>
                    <w:top w:val="nil"/>
                    <w:left w:val="nil"/>
                    <w:bottom w:val="nil"/>
                    <w:right w:val="nil"/>
                  </w:tcBorders>
                  <w:shd w:val="clear" w:color="auto" w:fill="auto"/>
                  <w:noWrap/>
                  <w:vAlign w:val="center"/>
                  <w:hideMark/>
                </w:tcPr>
                <w:p w14:paraId="0493B3A1" w14:textId="77777777" w:rsidR="00E46B36" w:rsidRPr="00E46B36" w:rsidRDefault="00E46B36" w:rsidP="00E46B36">
                  <w:pPr>
                    <w:widowControl/>
                    <w:jc w:val="center"/>
                    <w:rPr>
                      <w:rFonts w:eastAsia="等线" w:cs="Calibri"/>
                      <w:color w:val="000000"/>
                      <w:kern w:val="0"/>
                      <w:sz w:val="18"/>
                      <w:szCs w:val="18"/>
                    </w:rPr>
                  </w:pPr>
                </w:p>
              </w:tc>
              <w:tc>
                <w:tcPr>
                  <w:tcW w:w="930" w:type="dxa"/>
                  <w:tcBorders>
                    <w:top w:val="nil"/>
                    <w:left w:val="nil"/>
                    <w:bottom w:val="nil"/>
                    <w:right w:val="nil"/>
                  </w:tcBorders>
                  <w:shd w:val="clear" w:color="auto" w:fill="auto"/>
                  <w:noWrap/>
                  <w:vAlign w:val="center"/>
                  <w:hideMark/>
                </w:tcPr>
                <w:p w14:paraId="315EDF76" w14:textId="77777777" w:rsidR="00E46B36" w:rsidRPr="00E46B36" w:rsidRDefault="00E46B36" w:rsidP="00E46B36">
                  <w:pPr>
                    <w:widowControl/>
                    <w:jc w:val="center"/>
                    <w:rPr>
                      <w:rFonts w:ascii="Times New Roman" w:eastAsia="Times New Roman" w:hAnsi="Times New Roman"/>
                      <w:kern w:val="0"/>
                      <w:sz w:val="18"/>
                      <w:szCs w:val="18"/>
                    </w:rPr>
                  </w:pPr>
                </w:p>
              </w:tc>
              <w:tc>
                <w:tcPr>
                  <w:tcW w:w="930" w:type="dxa"/>
                  <w:tcBorders>
                    <w:top w:val="nil"/>
                    <w:left w:val="nil"/>
                    <w:bottom w:val="nil"/>
                    <w:right w:val="nil"/>
                  </w:tcBorders>
                  <w:shd w:val="clear" w:color="auto" w:fill="auto"/>
                  <w:noWrap/>
                  <w:vAlign w:val="center"/>
                  <w:hideMark/>
                </w:tcPr>
                <w:p w14:paraId="1FAF7FA5" w14:textId="77777777" w:rsidR="00E46B36" w:rsidRPr="00E46B36" w:rsidRDefault="00E46B36" w:rsidP="00E46B36">
                  <w:pPr>
                    <w:widowControl/>
                    <w:jc w:val="center"/>
                    <w:rPr>
                      <w:rFonts w:ascii="Times New Roman" w:eastAsia="Times New Roman" w:hAnsi="Times New Roman"/>
                      <w:kern w:val="0"/>
                      <w:sz w:val="18"/>
                      <w:szCs w:val="18"/>
                    </w:rPr>
                  </w:pPr>
                </w:p>
              </w:tc>
              <w:tc>
                <w:tcPr>
                  <w:tcW w:w="930" w:type="dxa"/>
                  <w:tcBorders>
                    <w:top w:val="nil"/>
                    <w:left w:val="nil"/>
                    <w:bottom w:val="nil"/>
                    <w:right w:val="nil"/>
                  </w:tcBorders>
                  <w:shd w:val="clear" w:color="auto" w:fill="auto"/>
                  <w:noWrap/>
                  <w:vAlign w:val="center"/>
                  <w:hideMark/>
                </w:tcPr>
                <w:p w14:paraId="2AC0A540" w14:textId="77777777" w:rsidR="00E46B36" w:rsidRPr="00E46B36" w:rsidRDefault="00E46B36" w:rsidP="00E46B36">
                  <w:pPr>
                    <w:widowControl/>
                    <w:jc w:val="center"/>
                    <w:rPr>
                      <w:rFonts w:ascii="Times New Roman" w:eastAsia="Times New Roman" w:hAnsi="Times New Roman"/>
                      <w:kern w:val="0"/>
                      <w:sz w:val="18"/>
                      <w:szCs w:val="18"/>
                    </w:rPr>
                  </w:pPr>
                </w:p>
              </w:tc>
              <w:tc>
                <w:tcPr>
                  <w:tcW w:w="930" w:type="dxa"/>
                  <w:tcBorders>
                    <w:top w:val="nil"/>
                    <w:left w:val="nil"/>
                    <w:bottom w:val="nil"/>
                    <w:right w:val="nil"/>
                  </w:tcBorders>
                  <w:shd w:val="clear" w:color="auto" w:fill="auto"/>
                  <w:noWrap/>
                  <w:vAlign w:val="center"/>
                  <w:hideMark/>
                </w:tcPr>
                <w:p w14:paraId="3B904697" w14:textId="77777777" w:rsidR="00E46B36" w:rsidRPr="00E46B36" w:rsidRDefault="00E46B36" w:rsidP="00E46B36">
                  <w:pPr>
                    <w:widowControl/>
                    <w:jc w:val="center"/>
                    <w:rPr>
                      <w:rFonts w:ascii="Times New Roman" w:eastAsia="Times New Roman" w:hAnsi="Times New Roman"/>
                      <w:kern w:val="0"/>
                      <w:sz w:val="18"/>
                      <w:szCs w:val="18"/>
                    </w:rPr>
                  </w:pPr>
                </w:p>
              </w:tc>
              <w:tc>
                <w:tcPr>
                  <w:tcW w:w="930" w:type="dxa"/>
                  <w:tcBorders>
                    <w:top w:val="nil"/>
                    <w:left w:val="nil"/>
                    <w:bottom w:val="nil"/>
                    <w:right w:val="nil"/>
                  </w:tcBorders>
                  <w:shd w:val="clear" w:color="auto" w:fill="auto"/>
                  <w:noWrap/>
                  <w:vAlign w:val="center"/>
                  <w:hideMark/>
                </w:tcPr>
                <w:p w14:paraId="28F0ED7E" w14:textId="77777777" w:rsidR="00E46B36" w:rsidRPr="00E46B36" w:rsidRDefault="00E46B36" w:rsidP="00E46B36">
                  <w:pPr>
                    <w:widowControl/>
                    <w:jc w:val="center"/>
                    <w:rPr>
                      <w:rFonts w:ascii="Times New Roman" w:eastAsia="Times New Roman" w:hAnsi="Times New Roman"/>
                      <w:kern w:val="0"/>
                      <w:sz w:val="18"/>
                      <w:szCs w:val="18"/>
                    </w:rPr>
                  </w:pPr>
                </w:p>
              </w:tc>
              <w:tc>
                <w:tcPr>
                  <w:tcW w:w="930" w:type="dxa"/>
                  <w:tcBorders>
                    <w:top w:val="nil"/>
                    <w:left w:val="nil"/>
                    <w:bottom w:val="nil"/>
                    <w:right w:val="nil"/>
                  </w:tcBorders>
                  <w:shd w:val="clear" w:color="auto" w:fill="auto"/>
                  <w:noWrap/>
                  <w:vAlign w:val="center"/>
                  <w:hideMark/>
                </w:tcPr>
                <w:p w14:paraId="3DD3BE0F" w14:textId="77777777" w:rsidR="00E46B36" w:rsidRPr="00E46B36" w:rsidRDefault="00E46B36" w:rsidP="00E46B36">
                  <w:pPr>
                    <w:widowControl/>
                    <w:jc w:val="center"/>
                    <w:rPr>
                      <w:rFonts w:ascii="Times New Roman" w:eastAsia="Times New Roman" w:hAnsi="Times New Roman"/>
                      <w:kern w:val="0"/>
                      <w:sz w:val="18"/>
                      <w:szCs w:val="18"/>
                    </w:rPr>
                  </w:pPr>
                </w:p>
              </w:tc>
              <w:tc>
                <w:tcPr>
                  <w:tcW w:w="930" w:type="dxa"/>
                  <w:tcBorders>
                    <w:top w:val="nil"/>
                    <w:left w:val="nil"/>
                    <w:bottom w:val="nil"/>
                    <w:right w:val="nil"/>
                  </w:tcBorders>
                  <w:shd w:val="clear" w:color="auto" w:fill="auto"/>
                  <w:noWrap/>
                  <w:vAlign w:val="center"/>
                  <w:hideMark/>
                </w:tcPr>
                <w:p w14:paraId="7F2F23A1" w14:textId="77777777" w:rsidR="00E46B36" w:rsidRPr="00E46B36" w:rsidRDefault="00E46B36" w:rsidP="00E46B36">
                  <w:pPr>
                    <w:widowControl/>
                    <w:jc w:val="center"/>
                    <w:rPr>
                      <w:rFonts w:ascii="Times New Roman" w:eastAsia="Times New Roman" w:hAnsi="Times New Roman"/>
                      <w:kern w:val="0"/>
                      <w:sz w:val="18"/>
                      <w:szCs w:val="18"/>
                    </w:rPr>
                  </w:pPr>
                </w:p>
              </w:tc>
              <w:tc>
                <w:tcPr>
                  <w:tcW w:w="930" w:type="dxa"/>
                  <w:tcBorders>
                    <w:top w:val="nil"/>
                    <w:left w:val="nil"/>
                    <w:bottom w:val="nil"/>
                    <w:right w:val="nil"/>
                  </w:tcBorders>
                  <w:shd w:val="clear" w:color="auto" w:fill="auto"/>
                  <w:noWrap/>
                  <w:vAlign w:val="center"/>
                  <w:hideMark/>
                </w:tcPr>
                <w:p w14:paraId="4E76E40E" w14:textId="77777777" w:rsidR="00E46B36" w:rsidRPr="00E46B36" w:rsidRDefault="00E46B36" w:rsidP="00E46B36">
                  <w:pPr>
                    <w:widowControl/>
                    <w:jc w:val="center"/>
                    <w:rPr>
                      <w:rFonts w:ascii="Times New Roman" w:eastAsia="Times New Roman" w:hAnsi="Times New Roman"/>
                      <w:kern w:val="0"/>
                      <w:sz w:val="18"/>
                      <w:szCs w:val="18"/>
                    </w:rPr>
                  </w:pPr>
                </w:p>
              </w:tc>
              <w:tc>
                <w:tcPr>
                  <w:tcW w:w="930" w:type="dxa"/>
                  <w:tcBorders>
                    <w:top w:val="nil"/>
                    <w:left w:val="nil"/>
                    <w:bottom w:val="nil"/>
                    <w:right w:val="nil"/>
                  </w:tcBorders>
                  <w:shd w:val="clear" w:color="auto" w:fill="auto"/>
                  <w:noWrap/>
                  <w:vAlign w:val="center"/>
                  <w:hideMark/>
                </w:tcPr>
                <w:p w14:paraId="4217BDA2" w14:textId="77777777" w:rsidR="00E46B36" w:rsidRPr="00E46B36" w:rsidRDefault="00E46B36" w:rsidP="00E46B36">
                  <w:pPr>
                    <w:widowControl/>
                    <w:jc w:val="center"/>
                    <w:rPr>
                      <w:rFonts w:ascii="Times New Roman" w:eastAsia="Times New Roman" w:hAnsi="Times New Roman"/>
                      <w:kern w:val="0"/>
                      <w:sz w:val="18"/>
                      <w:szCs w:val="18"/>
                    </w:rPr>
                  </w:pPr>
                </w:p>
              </w:tc>
            </w:tr>
            <w:tr w:rsidR="00E46B36" w:rsidRPr="006E06F9" w14:paraId="57622F12" w14:textId="77777777" w:rsidTr="00E46B36">
              <w:trPr>
                <w:trHeight w:val="292"/>
              </w:trPr>
              <w:tc>
                <w:tcPr>
                  <w:tcW w:w="1146" w:type="dxa"/>
                  <w:tcBorders>
                    <w:top w:val="nil"/>
                    <w:left w:val="nil"/>
                    <w:bottom w:val="single" w:sz="12" w:space="0" w:color="FFFFFF"/>
                    <w:right w:val="single" w:sz="8" w:space="0" w:color="FFFFFF"/>
                  </w:tcBorders>
                  <w:shd w:val="clear" w:color="000000" w:fill="F79646"/>
                  <w:noWrap/>
                  <w:vAlign w:val="center"/>
                  <w:hideMark/>
                </w:tcPr>
                <w:p w14:paraId="6A146B83" w14:textId="77777777" w:rsidR="00E46B36" w:rsidRPr="00E46B36" w:rsidRDefault="00E46B36" w:rsidP="00E46B36">
                  <w:pPr>
                    <w:widowControl/>
                    <w:jc w:val="center"/>
                    <w:rPr>
                      <w:rFonts w:ascii="楷体" w:eastAsia="楷体" w:hAnsi="楷体" w:cs="宋体"/>
                      <w:b/>
                      <w:bCs/>
                      <w:color w:val="FFFFFF"/>
                      <w:kern w:val="0"/>
                      <w:sz w:val="18"/>
                      <w:szCs w:val="18"/>
                    </w:rPr>
                  </w:pPr>
                  <w:r w:rsidRPr="00E46B36">
                    <w:rPr>
                      <w:rFonts w:ascii="楷体" w:eastAsia="楷体" w:hAnsi="楷体" w:cs="宋体" w:hint="eastAsia"/>
                      <w:b/>
                      <w:bCs/>
                      <w:color w:val="FFFFFF"/>
                      <w:kern w:val="0"/>
                      <w:sz w:val="18"/>
                      <w:szCs w:val="18"/>
                    </w:rPr>
                    <w:t>收益率分位</w:t>
                  </w:r>
                </w:p>
              </w:tc>
              <w:tc>
                <w:tcPr>
                  <w:tcW w:w="930" w:type="dxa"/>
                  <w:tcBorders>
                    <w:top w:val="nil"/>
                    <w:left w:val="nil"/>
                    <w:bottom w:val="single" w:sz="12" w:space="0" w:color="FFFFFF"/>
                    <w:right w:val="single" w:sz="8" w:space="0" w:color="FFFFFF"/>
                  </w:tcBorders>
                  <w:shd w:val="clear" w:color="000000" w:fill="F79646"/>
                  <w:noWrap/>
                  <w:vAlign w:val="center"/>
                  <w:hideMark/>
                </w:tcPr>
                <w:p w14:paraId="2C6D6D16" w14:textId="77777777" w:rsidR="00E46B36" w:rsidRPr="00E46B36" w:rsidRDefault="00E46B36" w:rsidP="00E46B36">
                  <w:pPr>
                    <w:widowControl/>
                    <w:jc w:val="center"/>
                    <w:rPr>
                      <w:rFonts w:ascii="楷体" w:eastAsia="楷体" w:hAnsi="楷体" w:cs="宋体"/>
                      <w:b/>
                      <w:bCs/>
                      <w:color w:val="FFFFFF"/>
                      <w:kern w:val="0"/>
                      <w:sz w:val="18"/>
                      <w:szCs w:val="18"/>
                    </w:rPr>
                  </w:pPr>
                  <w:r w:rsidRPr="00E46B36">
                    <w:rPr>
                      <w:rFonts w:ascii="楷体" w:eastAsia="楷体" w:hAnsi="楷体" w:cs="宋体" w:hint="eastAsia"/>
                      <w:b/>
                      <w:bCs/>
                      <w:color w:val="FFFFFF"/>
                      <w:kern w:val="0"/>
                      <w:sz w:val="18"/>
                      <w:szCs w:val="18"/>
                    </w:rPr>
                    <w:t>AAA</w:t>
                  </w:r>
                </w:p>
              </w:tc>
              <w:tc>
                <w:tcPr>
                  <w:tcW w:w="930" w:type="dxa"/>
                  <w:tcBorders>
                    <w:top w:val="nil"/>
                    <w:left w:val="nil"/>
                    <w:bottom w:val="single" w:sz="12" w:space="0" w:color="FFFFFF"/>
                    <w:right w:val="single" w:sz="8" w:space="0" w:color="FFFFFF"/>
                  </w:tcBorders>
                  <w:shd w:val="clear" w:color="000000" w:fill="F79646"/>
                  <w:noWrap/>
                  <w:vAlign w:val="center"/>
                  <w:hideMark/>
                </w:tcPr>
                <w:p w14:paraId="7CFEBF6D" w14:textId="77777777" w:rsidR="00E46B36" w:rsidRPr="00E46B36" w:rsidRDefault="00E46B36" w:rsidP="00E46B36">
                  <w:pPr>
                    <w:widowControl/>
                    <w:jc w:val="center"/>
                    <w:rPr>
                      <w:rFonts w:ascii="楷体" w:eastAsia="楷体" w:hAnsi="楷体" w:cs="宋体"/>
                      <w:b/>
                      <w:bCs/>
                      <w:color w:val="FFFFFF"/>
                      <w:kern w:val="0"/>
                      <w:sz w:val="18"/>
                      <w:szCs w:val="18"/>
                    </w:rPr>
                  </w:pPr>
                  <w:r w:rsidRPr="00E46B36">
                    <w:rPr>
                      <w:rFonts w:ascii="楷体" w:eastAsia="楷体" w:hAnsi="楷体" w:cs="宋体" w:hint="eastAsia"/>
                      <w:b/>
                      <w:bCs/>
                      <w:color w:val="FFFFFF"/>
                      <w:kern w:val="0"/>
                      <w:sz w:val="18"/>
                      <w:szCs w:val="18"/>
                    </w:rPr>
                    <w:t>AA+</w:t>
                  </w:r>
                </w:p>
              </w:tc>
              <w:tc>
                <w:tcPr>
                  <w:tcW w:w="930" w:type="dxa"/>
                  <w:tcBorders>
                    <w:top w:val="nil"/>
                    <w:left w:val="nil"/>
                    <w:bottom w:val="single" w:sz="12" w:space="0" w:color="FFFFFF"/>
                    <w:right w:val="single" w:sz="8" w:space="0" w:color="FFFFFF"/>
                  </w:tcBorders>
                  <w:shd w:val="clear" w:color="000000" w:fill="F79646"/>
                  <w:noWrap/>
                  <w:vAlign w:val="center"/>
                  <w:hideMark/>
                </w:tcPr>
                <w:p w14:paraId="5402C204" w14:textId="77777777" w:rsidR="00E46B36" w:rsidRPr="00E46B36" w:rsidRDefault="00E46B36" w:rsidP="00E46B36">
                  <w:pPr>
                    <w:widowControl/>
                    <w:jc w:val="center"/>
                    <w:rPr>
                      <w:rFonts w:ascii="楷体" w:eastAsia="楷体" w:hAnsi="楷体" w:cs="宋体"/>
                      <w:b/>
                      <w:bCs/>
                      <w:color w:val="FFFFFF"/>
                      <w:kern w:val="0"/>
                      <w:sz w:val="18"/>
                      <w:szCs w:val="18"/>
                    </w:rPr>
                  </w:pPr>
                  <w:r w:rsidRPr="00E46B36">
                    <w:rPr>
                      <w:rFonts w:ascii="楷体" w:eastAsia="楷体" w:hAnsi="楷体" w:cs="宋体" w:hint="eastAsia"/>
                      <w:b/>
                      <w:bCs/>
                      <w:color w:val="FFFFFF"/>
                      <w:kern w:val="0"/>
                      <w:sz w:val="18"/>
                      <w:szCs w:val="18"/>
                    </w:rPr>
                    <w:t>AA</w:t>
                  </w:r>
                </w:p>
              </w:tc>
              <w:tc>
                <w:tcPr>
                  <w:tcW w:w="930" w:type="dxa"/>
                  <w:tcBorders>
                    <w:top w:val="nil"/>
                    <w:left w:val="nil"/>
                    <w:bottom w:val="single" w:sz="12" w:space="0" w:color="FFFFFF"/>
                    <w:right w:val="single" w:sz="8" w:space="0" w:color="FFFFFF"/>
                  </w:tcBorders>
                  <w:shd w:val="clear" w:color="000000" w:fill="F79646"/>
                  <w:noWrap/>
                  <w:vAlign w:val="center"/>
                  <w:hideMark/>
                </w:tcPr>
                <w:p w14:paraId="08D9F264" w14:textId="77777777" w:rsidR="00E46B36" w:rsidRPr="00E46B36" w:rsidRDefault="00E46B36" w:rsidP="00E46B36">
                  <w:pPr>
                    <w:widowControl/>
                    <w:jc w:val="center"/>
                    <w:rPr>
                      <w:rFonts w:ascii="楷体" w:eastAsia="楷体" w:hAnsi="楷体" w:cs="宋体"/>
                      <w:b/>
                      <w:bCs/>
                      <w:color w:val="FFFFFF"/>
                      <w:kern w:val="0"/>
                      <w:sz w:val="18"/>
                      <w:szCs w:val="18"/>
                    </w:rPr>
                  </w:pPr>
                  <w:r w:rsidRPr="00E46B36">
                    <w:rPr>
                      <w:rFonts w:ascii="楷体" w:eastAsia="楷体" w:hAnsi="楷体" w:cs="宋体" w:hint="eastAsia"/>
                      <w:b/>
                      <w:bCs/>
                      <w:color w:val="FFFFFF"/>
                      <w:kern w:val="0"/>
                      <w:sz w:val="18"/>
                      <w:szCs w:val="18"/>
                    </w:rPr>
                    <w:t>AA-</w:t>
                  </w:r>
                </w:p>
              </w:tc>
              <w:tc>
                <w:tcPr>
                  <w:tcW w:w="930" w:type="dxa"/>
                  <w:tcBorders>
                    <w:top w:val="nil"/>
                    <w:left w:val="nil"/>
                    <w:bottom w:val="single" w:sz="12" w:space="0" w:color="FFFFFF"/>
                    <w:right w:val="single" w:sz="8" w:space="0" w:color="FFFFFF"/>
                  </w:tcBorders>
                  <w:shd w:val="clear" w:color="000000" w:fill="F79646"/>
                  <w:noWrap/>
                  <w:vAlign w:val="center"/>
                  <w:hideMark/>
                </w:tcPr>
                <w:p w14:paraId="2C349F20" w14:textId="77777777" w:rsidR="00E46B36" w:rsidRPr="00E46B36" w:rsidRDefault="00E46B36" w:rsidP="00E46B36">
                  <w:pPr>
                    <w:widowControl/>
                    <w:jc w:val="center"/>
                    <w:rPr>
                      <w:rFonts w:ascii="楷体" w:eastAsia="楷体" w:hAnsi="楷体" w:cs="宋体"/>
                      <w:b/>
                      <w:bCs/>
                      <w:color w:val="FFFFFF"/>
                      <w:kern w:val="0"/>
                      <w:sz w:val="18"/>
                      <w:szCs w:val="18"/>
                    </w:rPr>
                  </w:pPr>
                  <w:r w:rsidRPr="00E46B36">
                    <w:rPr>
                      <w:rFonts w:ascii="楷体" w:eastAsia="楷体" w:hAnsi="楷体" w:cs="宋体" w:hint="eastAsia"/>
                      <w:b/>
                      <w:bCs/>
                      <w:color w:val="FFFFFF"/>
                      <w:kern w:val="0"/>
                      <w:sz w:val="18"/>
                      <w:szCs w:val="18"/>
                    </w:rPr>
                    <w:t>息差</w:t>
                  </w:r>
                </w:p>
              </w:tc>
              <w:tc>
                <w:tcPr>
                  <w:tcW w:w="930" w:type="dxa"/>
                  <w:tcBorders>
                    <w:top w:val="nil"/>
                    <w:left w:val="nil"/>
                    <w:bottom w:val="single" w:sz="12" w:space="0" w:color="FFFFFF"/>
                    <w:right w:val="single" w:sz="8" w:space="0" w:color="FFFFFF"/>
                  </w:tcBorders>
                  <w:shd w:val="clear" w:color="000000" w:fill="F79646"/>
                  <w:noWrap/>
                  <w:vAlign w:val="center"/>
                  <w:hideMark/>
                </w:tcPr>
                <w:p w14:paraId="79C95C53" w14:textId="77777777" w:rsidR="00E46B36" w:rsidRPr="00E46B36" w:rsidRDefault="00E46B36" w:rsidP="00E46B36">
                  <w:pPr>
                    <w:widowControl/>
                    <w:jc w:val="center"/>
                    <w:rPr>
                      <w:rFonts w:ascii="楷体" w:eastAsia="楷体" w:hAnsi="楷体" w:cs="宋体"/>
                      <w:b/>
                      <w:bCs/>
                      <w:color w:val="FFFFFF"/>
                      <w:kern w:val="0"/>
                      <w:sz w:val="18"/>
                      <w:szCs w:val="18"/>
                    </w:rPr>
                  </w:pPr>
                  <w:r w:rsidRPr="00E46B36">
                    <w:rPr>
                      <w:rFonts w:ascii="楷体" w:eastAsia="楷体" w:hAnsi="楷体" w:cs="宋体" w:hint="eastAsia"/>
                      <w:b/>
                      <w:bCs/>
                      <w:color w:val="FFFFFF"/>
                      <w:kern w:val="0"/>
                      <w:sz w:val="18"/>
                      <w:szCs w:val="18"/>
                    </w:rPr>
                    <w:t>AAA</w:t>
                  </w:r>
                </w:p>
              </w:tc>
              <w:tc>
                <w:tcPr>
                  <w:tcW w:w="930" w:type="dxa"/>
                  <w:tcBorders>
                    <w:top w:val="nil"/>
                    <w:left w:val="nil"/>
                    <w:bottom w:val="single" w:sz="12" w:space="0" w:color="FFFFFF"/>
                    <w:right w:val="single" w:sz="8" w:space="0" w:color="FFFFFF"/>
                  </w:tcBorders>
                  <w:shd w:val="clear" w:color="000000" w:fill="F79646"/>
                  <w:noWrap/>
                  <w:vAlign w:val="center"/>
                  <w:hideMark/>
                </w:tcPr>
                <w:p w14:paraId="3CE7C3DB" w14:textId="77777777" w:rsidR="00E46B36" w:rsidRPr="00E46B36" w:rsidRDefault="00E46B36" w:rsidP="00E46B36">
                  <w:pPr>
                    <w:widowControl/>
                    <w:jc w:val="center"/>
                    <w:rPr>
                      <w:rFonts w:ascii="楷体" w:eastAsia="楷体" w:hAnsi="楷体" w:cs="宋体"/>
                      <w:b/>
                      <w:bCs/>
                      <w:color w:val="FFFFFF"/>
                      <w:kern w:val="0"/>
                      <w:sz w:val="18"/>
                      <w:szCs w:val="18"/>
                    </w:rPr>
                  </w:pPr>
                  <w:r w:rsidRPr="00E46B36">
                    <w:rPr>
                      <w:rFonts w:ascii="楷体" w:eastAsia="楷体" w:hAnsi="楷体" w:cs="宋体" w:hint="eastAsia"/>
                      <w:b/>
                      <w:bCs/>
                      <w:color w:val="FFFFFF"/>
                      <w:kern w:val="0"/>
                      <w:sz w:val="18"/>
                      <w:szCs w:val="18"/>
                    </w:rPr>
                    <w:t>AA+</w:t>
                  </w:r>
                </w:p>
              </w:tc>
              <w:tc>
                <w:tcPr>
                  <w:tcW w:w="930" w:type="dxa"/>
                  <w:tcBorders>
                    <w:top w:val="nil"/>
                    <w:left w:val="nil"/>
                    <w:bottom w:val="single" w:sz="12" w:space="0" w:color="FFFFFF"/>
                    <w:right w:val="single" w:sz="8" w:space="0" w:color="FFFFFF"/>
                  </w:tcBorders>
                  <w:shd w:val="clear" w:color="000000" w:fill="F79646"/>
                  <w:noWrap/>
                  <w:vAlign w:val="center"/>
                  <w:hideMark/>
                </w:tcPr>
                <w:p w14:paraId="22516B06" w14:textId="77777777" w:rsidR="00E46B36" w:rsidRPr="00E46B36" w:rsidRDefault="00E46B36" w:rsidP="00E46B36">
                  <w:pPr>
                    <w:widowControl/>
                    <w:jc w:val="center"/>
                    <w:rPr>
                      <w:rFonts w:ascii="楷体" w:eastAsia="楷体" w:hAnsi="楷体" w:cs="宋体"/>
                      <w:b/>
                      <w:bCs/>
                      <w:color w:val="FFFFFF"/>
                      <w:kern w:val="0"/>
                      <w:sz w:val="18"/>
                      <w:szCs w:val="18"/>
                    </w:rPr>
                  </w:pPr>
                  <w:r w:rsidRPr="00E46B36">
                    <w:rPr>
                      <w:rFonts w:ascii="楷体" w:eastAsia="楷体" w:hAnsi="楷体" w:cs="宋体" w:hint="eastAsia"/>
                      <w:b/>
                      <w:bCs/>
                      <w:color w:val="FFFFFF"/>
                      <w:kern w:val="0"/>
                      <w:sz w:val="18"/>
                      <w:szCs w:val="18"/>
                    </w:rPr>
                    <w:t>AA</w:t>
                  </w:r>
                </w:p>
              </w:tc>
              <w:tc>
                <w:tcPr>
                  <w:tcW w:w="930" w:type="dxa"/>
                  <w:tcBorders>
                    <w:top w:val="nil"/>
                    <w:left w:val="nil"/>
                    <w:bottom w:val="single" w:sz="12" w:space="0" w:color="FFFFFF"/>
                    <w:right w:val="single" w:sz="8" w:space="0" w:color="FFFFFF"/>
                  </w:tcBorders>
                  <w:shd w:val="clear" w:color="000000" w:fill="F79646"/>
                  <w:noWrap/>
                  <w:vAlign w:val="center"/>
                  <w:hideMark/>
                </w:tcPr>
                <w:p w14:paraId="28837D14" w14:textId="77777777" w:rsidR="00E46B36" w:rsidRPr="00E46B36" w:rsidRDefault="00E46B36" w:rsidP="00E46B36">
                  <w:pPr>
                    <w:widowControl/>
                    <w:jc w:val="center"/>
                    <w:rPr>
                      <w:rFonts w:ascii="楷体" w:eastAsia="楷体" w:hAnsi="楷体" w:cs="宋体"/>
                      <w:b/>
                      <w:bCs/>
                      <w:color w:val="FFFFFF"/>
                      <w:kern w:val="0"/>
                      <w:sz w:val="18"/>
                      <w:szCs w:val="18"/>
                    </w:rPr>
                  </w:pPr>
                  <w:r w:rsidRPr="00E46B36">
                    <w:rPr>
                      <w:rFonts w:ascii="楷体" w:eastAsia="楷体" w:hAnsi="楷体" w:cs="宋体" w:hint="eastAsia"/>
                      <w:b/>
                      <w:bCs/>
                      <w:color w:val="FFFFFF"/>
                      <w:kern w:val="0"/>
                      <w:sz w:val="18"/>
                      <w:szCs w:val="18"/>
                    </w:rPr>
                    <w:t>AA-</w:t>
                  </w:r>
                </w:p>
              </w:tc>
            </w:tr>
            <w:tr w:rsidR="00E46B36" w:rsidRPr="006E06F9" w14:paraId="3FD11663" w14:textId="77777777" w:rsidTr="00E46B36">
              <w:trPr>
                <w:trHeight w:val="307"/>
              </w:trPr>
              <w:tc>
                <w:tcPr>
                  <w:tcW w:w="1146" w:type="dxa"/>
                  <w:tcBorders>
                    <w:top w:val="nil"/>
                    <w:left w:val="nil"/>
                    <w:bottom w:val="single" w:sz="8" w:space="0" w:color="FFFFFF"/>
                    <w:right w:val="single" w:sz="8" w:space="0" w:color="FFFFFF"/>
                  </w:tcBorders>
                  <w:shd w:val="clear" w:color="000000" w:fill="FCD5B4"/>
                  <w:noWrap/>
                  <w:vAlign w:val="center"/>
                  <w:hideMark/>
                </w:tcPr>
                <w:p w14:paraId="6CB4B854" w14:textId="77777777" w:rsidR="00E46B36" w:rsidRPr="00E46B36" w:rsidRDefault="00E46B36" w:rsidP="00E46B36">
                  <w:pPr>
                    <w:widowControl/>
                    <w:jc w:val="center"/>
                    <w:rPr>
                      <w:rFonts w:ascii="楷体" w:eastAsia="楷体" w:hAnsi="楷体" w:cs="宋体"/>
                      <w:color w:val="000000"/>
                      <w:kern w:val="0"/>
                      <w:sz w:val="18"/>
                      <w:szCs w:val="18"/>
                    </w:rPr>
                  </w:pPr>
                  <w:r w:rsidRPr="00E46B36">
                    <w:rPr>
                      <w:rFonts w:ascii="楷体" w:eastAsia="楷体" w:hAnsi="楷体" w:cs="宋体" w:hint="eastAsia"/>
                      <w:color w:val="000000"/>
                      <w:kern w:val="0"/>
                      <w:sz w:val="18"/>
                      <w:szCs w:val="18"/>
                    </w:rPr>
                    <w:t>CP</w:t>
                  </w:r>
                </w:p>
              </w:tc>
              <w:tc>
                <w:tcPr>
                  <w:tcW w:w="930" w:type="dxa"/>
                  <w:tcBorders>
                    <w:top w:val="nil"/>
                    <w:left w:val="nil"/>
                    <w:bottom w:val="single" w:sz="8" w:space="0" w:color="FFFFFF"/>
                    <w:right w:val="single" w:sz="8" w:space="0" w:color="FFFFFF"/>
                  </w:tcBorders>
                  <w:shd w:val="clear" w:color="000000" w:fill="FCD5B4"/>
                  <w:noWrap/>
                  <w:vAlign w:val="center"/>
                  <w:hideMark/>
                </w:tcPr>
                <w:p w14:paraId="6C1052D8"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000000"/>
                      <w:kern w:val="0"/>
                      <w:sz w:val="18"/>
                      <w:szCs w:val="18"/>
                    </w:rPr>
                    <w:t>23%</w:t>
                  </w:r>
                </w:p>
              </w:tc>
              <w:tc>
                <w:tcPr>
                  <w:tcW w:w="930" w:type="dxa"/>
                  <w:tcBorders>
                    <w:top w:val="nil"/>
                    <w:left w:val="nil"/>
                    <w:bottom w:val="single" w:sz="8" w:space="0" w:color="FFFFFF"/>
                    <w:right w:val="single" w:sz="8" w:space="0" w:color="FFFFFF"/>
                  </w:tcBorders>
                  <w:shd w:val="clear" w:color="000000" w:fill="FCD5B4"/>
                  <w:noWrap/>
                  <w:vAlign w:val="center"/>
                  <w:hideMark/>
                </w:tcPr>
                <w:p w14:paraId="49470AB3"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000000"/>
                      <w:kern w:val="0"/>
                      <w:sz w:val="18"/>
                      <w:szCs w:val="18"/>
                    </w:rPr>
                    <w:t>20%</w:t>
                  </w:r>
                </w:p>
              </w:tc>
              <w:tc>
                <w:tcPr>
                  <w:tcW w:w="930" w:type="dxa"/>
                  <w:tcBorders>
                    <w:top w:val="nil"/>
                    <w:left w:val="nil"/>
                    <w:bottom w:val="single" w:sz="8" w:space="0" w:color="FFFFFF"/>
                    <w:right w:val="single" w:sz="8" w:space="0" w:color="FFFFFF"/>
                  </w:tcBorders>
                  <w:shd w:val="clear" w:color="000000" w:fill="FCD5B4"/>
                  <w:noWrap/>
                  <w:vAlign w:val="center"/>
                  <w:hideMark/>
                </w:tcPr>
                <w:p w14:paraId="457253F6"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000000"/>
                      <w:kern w:val="0"/>
                      <w:sz w:val="18"/>
                      <w:szCs w:val="18"/>
                    </w:rPr>
                    <w:t>20%</w:t>
                  </w:r>
                </w:p>
              </w:tc>
              <w:tc>
                <w:tcPr>
                  <w:tcW w:w="930" w:type="dxa"/>
                  <w:tcBorders>
                    <w:top w:val="nil"/>
                    <w:left w:val="nil"/>
                    <w:bottom w:val="single" w:sz="8" w:space="0" w:color="FFFFFF"/>
                    <w:right w:val="single" w:sz="8" w:space="0" w:color="FFFFFF"/>
                  </w:tcBorders>
                  <w:shd w:val="clear" w:color="000000" w:fill="FCD5B4"/>
                  <w:noWrap/>
                  <w:vAlign w:val="center"/>
                  <w:hideMark/>
                </w:tcPr>
                <w:p w14:paraId="4E0BE387"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000000"/>
                      <w:kern w:val="0"/>
                      <w:sz w:val="18"/>
                      <w:szCs w:val="18"/>
                    </w:rPr>
                    <w:t>50%</w:t>
                  </w:r>
                </w:p>
              </w:tc>
              <w:tc>
                <w:tcPr>
                  <w:tcW w:w="930" w:type="dxa"/>
                  <w:tcBorders>
                    <w:top w:val="nil"/>
                    <w:left w:val="nil"/>
                    <w:bottom w:val="single" w:sz="8" w:space="0" w:color="FFFFFF"/>
                    <w:right w:val="single" w:sz="8" w:space="0" w:color="FFFFFF"/>
                  </w:tcBorders>
                  <w:shd w:val="clear" w:color="000000" w:fill="FCD5B4"/>
                  <w:noWrap/>
                  <w:vAlign w:val="center"/>
                  <w:hideMark/>
                </w:tcPr>
                <w:p w14:paraId="39247FBF" w14:textId="77777777" w:rsidR="00E46B36" w:rsidRPr="00E46B36" w:rsidRDefault="00E46B36" w:rsidP="00E46B36">
                  <w:pPr>
                    <w:widowControl/>
                    <w:jc w:val="center"/>
                    <w:rPr>
                      <w:rFonts w:ascii="楷体" w:eastAsia="楷体" w:hAnsi="楷体" w:cs="宋体"/>
                      <w:color w:val="000000"/>
                      <w:kern w:val="0"/>
                      <w:sz w:val="18"/>
                      <w:szCs w:val="18"/>
                    </w:rPr>
                  </w:pPr>
                  <w:r w:rsidRPr="00E46B36">
                    <w:rPr>
                      <w:rFonts w:ascii="楷体" w:eastAsia="楷体" w:hAnsi="楷体" w:cs="宋体" w:hint="eastAsia"/>
                      <w:color w:val="000000"/>
                      <w:kern w:val="0"/>
                      <w:sz w:val="18"/>
                      <w:szCs w:val="18"/>
                    </w:rPr>
                    <w:t>CP</w:t>
                  </w:r>
                </w:p>
              </w:tc>
              <w:tc>
                <w:tcPr>
                  <w:tcW w:w="930" w:type="dxa"/>
                  <w:tcBorders>
                    <w:top w:val="nil"/>
                    <w:left w:val="nil"/>
                    <w:bottom w:val="single" w:sz="8" w:space="0" w:color="FFFFFF"/>
                    <w:right w:val="single" w:sz="8" w:space="0" w:color="FFFFFF"/>
                  </w:tcBorders>
                  <w:shd w:val="clear" w:color="000000" w:fill="FCD5B4"/>
                  <w:noWrap/>
                  <w:vAlign w:val="center"/>
                  <w:hideMark/>
                </w:tcPr>
                <w:p w14:paraId="484583B9"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000000"/>
                      <w:kern w:val="0"/>
                      <w:sz w:val="18"/>
                      <w:szCs w:val="18"/>
                    </w:rPr>
                    <w:t>15%</w:t>
                  </w:r>
                </w:p>
              </w:tc>
              <w:tc>
                <w:tcPr>
                  <w:tcW w:w="930" w:type="dxa"/>
                  <w:tcBorders>
                    <w:top w:val="nil"/>
                    <w:left w:val="nil"/>
                    <w:bottom w:val="single" w:sz="8" w:space="0" w:color="FFFFFF"/>
                    <w:right w:val="single" w:sz="8" w:space="0" w:color="FFFFFF"/>
                  </w:tcBorders>
                  <w:shd w:val="clear" w:color="000000" w:fill="FCD5B4"/>
                  <w:noWrap/>
                  <w:vAlign w:val="center"/>
                  <w:hideMark/>
                </w:tcPr>
                <w:p w14:paraId="2DDB3908"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000000"/>
                      <w:kern w:val="0"/>
                      <w:sz w:val="18"/>
                      <w:szCs w:val="18"/>
                    </w:rPr>
                    <w:t>11%</w:t>
                  </w:r>
                </w:p>
              </w:tc>
              <w:tc>
                <w:tcPr>
                  <w:tcW w:w="930" w:type="dxa"/>
                  <w:tcBorders>
                    <w:top w:val="nil"/>
                    <w:left w:val="nil"/>
                    <w:bottom w:val="single" w:sz="8" w:space="0" w:color="FFFFFF"/>
                    <w:right w:val="single" w:sz="8" w:space="0" w:color="FFFFFF"/>
                  </w:tcBorders>
                  <w:shd w:val="clear" w:color="000000" w:fill="FCD5B4"/>
                  <w:noWrap/>
                  <w:vAlign w:val="center"/>
                  <w:hideMark/>
                </w:tcPr>
                <w:p w14:paraId="4E27C62A"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000000"/>
                      <w:kern w:val="0"/>
                      <w:sz w:val="18"/>
                      <w:szCs w:val="18"/>
                    </w:rPr>
                    <w:t>11%</w:t>
                  </w:r>
                </w:p>
              </w:tc>
              <w:tc>
                <w:tcPr>
                  <w:tcW w:w="930" w:type="dxa"/>
                  <w:tcBorders>
                    <w:top w:val="nil"/>
                    <w:left w:val="nil"/>
                    <w:bottom w:val="single" w:sz="8" w:space="0" w:color="FFFFFF"/>
                    <w:right w:val="single" w:sz="8" w:space="0" w:color="FFFFFF"/>
                  </w:tcBorders>
                  <w:shd w:val="clear" w:color="000000" w:fill="FCD5B4"/>
                  <w:noWrap/>
                  <w:vAlign w:val="center"/>
                  <w:hideMark/>
                </w:tcPr>
                <w:p w14:paraId="66EA266D"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000000"/>
                      <w:kern w:val="0"/>
                      <w:sz w:val="18"/>
                      <w:szCs w:val="18"/>
                    </w:rPr>
                    <w:t>74%</w:t>
                  </w:r>
                </w:p>
              </w:tc>
            </w:tr>
            <w:tr w:rsidR="00E46B36" w:rsidRPr="006E06F9" w14:paraId="1ACD781D" w14:textId="77777777" w:rsidTr="00E46B36">
              <w:trPr>
                <w:trHeight w:val="292"/>
              </w:trPr>
              <w:tc>
                <w:tcPr>
                  <w:tcW w:w="1146" w:type="dxa"/>
                  <w:tcBorders>
                    <w:top w:val="nil"/>
                    <w:left w:val="nil"/>
                    <w:bottom w:val="single" w:sz="8" w:space="0" w:color="FFFFFF"/>
                    <w:right w:val="single" w:sz="8" w:space="0" w:color="FFFFFF"/>
                  </w:tcBorders>
                  <w:shd w:val="clear" w:color="000000" w:fill="FDE9D9"/>
                  <w:noWrap/>
                  <w:vAlign w:val="center"/>
                  <w:hideMark/>
                </w:tcPr>
                <w:p w14:paraId="5354B84B" w14:textId="77777777" w:rsidR="00E46B36" w:rsidRPr="00E46B36" w:rsidRDefault="00E46B36" w:rsidP="00E46B36">
                  <w:pPr>
                    <w:widowControl/>
                    <w:jc w:val="center"/>
                    <w:rPr>
                      <w:rFonts w:ascii="楷体" w:eastAsia="楷体" w:hAnsi="楷体" w:cs="宋体"/>
                      <w:color w:val="000000"/>
                      <w:kern w:val="0"/>
                      <w:sz w:val="18"/>
                      <w:szCs w:val="18"/>
                    </w:rPr>
                  </w:pPr>
                  <w:r w:rsidRPr="00E46B36">
                    <w:rPr>
                      <w:rFonts w:ascii="楷体" w:eastAsia="楷体" w:hAnsi="楷体" w:cs="宋体" w:hint="eastAsia"/>
                      <w:color w:val="000000"/>
                      <w:kern w:val="0"/>
                      <w:sz w:val="18"/>
                      <w:szCs w:val="18"/>
                    </w:rPr>
                    <w:t>MTN3Y</w:t>
                  </w:r>
                </w:p>
              </w:tc>
              <w:tc>
                <w:tcPr>
                  <w:tcW w:w="930" w:type="dxa"/>
                  <w:tcBorders>
                    <w:top w:val="nil"/>
                    <w:left w:val="nil"/>
                    <w:bottom w:val="single" w:sz="8" w:space="0" w:color="FFFFFF"/>
                    <w:right w:val="single" w:sz="8" w:space="0" w:color="FFFFFF"/>
                  </w:tcBorders>
                  <w:shd w:val="clear" w:color="000000" w:fill="FDE9D9"/>
                  <w:noWrap/>
                  <w:vAlign w:val="center"/>
                  <w:hideMark/>
                </w:tcPr>
                <w:p w14:paraId="742EF766"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000000"/>
                      <w:kern w:val="0"/>
                      <w:sz w:val="18"/>
                      <w:szCs w:val="18"/>
                    </w:rPr>
                    <w:t>26%</w:t>
                  </w:r>
                </w:p>
              </w:tc>
              <w:tc>
                <w:tcPr>
                  <w:tcW w:w="930" w:type="dxa"/>
                  <w:tcBorders>
                    <w:top w:val="nil"/>
                    <w:left w:val="nil"/>
                    <w:bottom w:val="single" w:sz="8" w:space="0" w:color="FFFFFF"/>
                    <w:right w:val="single" w:sz="8" w:space="0" w:color="FFFFFF"/>
                  </w:tcBorders>
                  <w:shd w:val="clear" w:color="000000" w:fill="FDE9D9"/>
                  <w:noWrap/>
                  <w:vAlign w:val="center"/>
                  <w:hideMark/>
                </w:tcPr>
                <w:p w14:paraId="48D6024F"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000000"/>
                      <w:kern w:val="0"/>
                      <w:sz w:val="18"/>
                      <w:szCs w:val="18"/>
                    </w:rPr>
                    <w:t>20%</w:t>
                  </w:r>
                </w:p>
              </w:tc>
              <w:tc>
                <w:tcPr>
                  <w:tcW w:w="930" w:type="dxa"/>
                  <w:tcBorders>
                    <w:top w:val="nil"/>
                    <w:left w:val="nil"/>
                    <w:bottom w:val="single" w:sz="8" w:space="0" w:color="FFFFFF"/>
                    <w:right w:val="single" w:sz="8" w:space="0" w:color="FFFFFF"/>
                  </w:tcBorders>
                  <w:shd w:val="clear" w:color="000000" w:fill="FDE9D9"/>
                  <w:noWrap/>
                  <w:vAlign w:val="center"/>
                  <w:hideMark/>
                </w:tcPr>
                <w:p w14:paraId="55236D16"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000000"/>
                      <w:kern w:val="0"/>
                      <w:sz w:val="18"/>
                      <w:szCs w:val="18"/>
                    </w:rPr>
                    <w:t>17%</w:t>
                  </w:r>
                </w:p>
              </w:tc>
              <w:tc>
                <w:tcPr>
                  <w:tcW w:w="930" w:type="dxa"/>
                  <w:tcBorders>
                    <w:top w:val="nil"/>
                    <w:left w:val="nil"/>
                    <w:bottom w:val="single" w:sz="8" w:space="0" w:color="FFFFFF"/>
                    <w:right w:val="single" w:sz="8" w:space="0" w:color="FFFFFF"/>
                  </w:tcBorders>
                  <w:shd w:val="clear" w:color="000000" w:fill="FDE9D9"/>
                  <w:noWrap/>
                  <w:vAlign w:val="center"/>
                  <w:hideMark/>
                </w:tcPr>
                <w:p w14:paraId="4B1CBD68"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000000"/>
                      <w:kern w:val="0"/>
                      <w:sz w:val="18"/>
                      <w:szCs w:val="18"/>
                    </w:rPr>
                    <w:t>54%</w:t>
                  </w:r>
                </w:p>
              </w:tc>
              <w:tc>
                <w:tcPr>
                  <w:tcW w:w="930" w:type="dxa"/>
                  <w:tcBorders>
                    <w:top w:val="nil"/>
                    <w:left w:val="nil"/>
                    <w:bottom w:val="single" w:sz="8" w:space="0" w:color="FFFFFF"/>
                    <w:right w:val="single" w:sz="8" w:space="0" w:color="FFFFFF"/>
                  </w:tcBorders>
                  <w:shd w:val="clear" w:color="000000" w:fill="FDE9D9"/>
                  <w:noWrap/>
                  <w:vAlign w:val="center"/>
                  <w:hideMark/>
                </w:tcPr>
                <w:p w14:paraId="289B2582" w14:textId="77777777" w:rsidR="00E46B36" w:rsidRPr="00E46B36" w:rsidRDefault="00E46B36" w:rsidP="00E46B36">
                  <w:pPr>
                    <w:widowControl/>
                    <w:jc w:val="center"/>
                    <w:rPr>
                      <w:rFonts w:ascii="楷体" w:eastAsia="楷体" w:hAnsi="楷体" w:cs="宋体"/>
                      <w:color w:val="000000"/>
                      <w:kern w:val="0"/>
                      <w:sz w:val="18"/>
                      <w:szCs w:val="18"/>
                    </w:rPr>
                  </w:pPr>
                  <w:r w:rsidRPr="00E46B36">
                    <w:rPr>
                      <w:rFonts w:ascii="楷体" w:eastAsia="楷体" w:hAnsi="楷体" w:cs="宋体" w:hint="eastAsia"/>
                      <w:color w:val="000000"/>
                      <w:kern w:val="0"/>
                      <w:sz w:val="18"/>
                      <w:szCs w:val="18"/>
                    </w:rPr>
                    <w:t>MTN3Y</w:t>
                  </w:r>
                </w:p>
              </w:tc>
              <w:tc>
                <w:tcPr>
                  <w:tcW w:w="930" w:type="dxa"/>
                  <w:tcBorders>
                    <w:top w:val="nil"/>
                    <w:left w:val="nil"/>
                    <w:bottom w:val="single" w:sz="8" w:space="0" w:color="FFFFFF"/>
                    <w:right w:val="single" w:sz="8" w:space="0" w:color="FFFFFF"/>
                  </w:tcBorders>
                  <w:shd w:val="clear" w:color="000000" w:fill="FDE9D9"/>
                  <w:noWrap/>
                  <w:vAlign w:val="center"/>
                  <w:hideMark/>
                </w:tcPr>
                <w:p w14:paraId="62FAC730"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000000"/>
                      <w:kern w:val="0"/>
                      <w:sz w:val="18"/>
                      <w:szCs w:val="18"/>
                    </w:rPr>
                    <w:t>34%</w:t>
                  </w:r>
                </w:p>
              </w:tc>
              <w:tc>
                <w:tcPr>
                  <w:tcW w:w="930" w:type="dxa"/>
                  <w:tcBorders>
                    <w:top w:val="nil"/>
                    <w:left w:val="nil"/>
                    <w:bottom w:val="single" w:sz="8" w:space="0" w:color="FFFFFF"/>
                    <w:right w:val="single" w:sz="8" w:space="0" w:color="FFFFFF"/>
                  </w:tcBorders>
                  <w:shd w:val="clear" w:color="000000" w:fill="FDE9D9"/>
                  <w:noWrap/>
                  <w:vAlign w:val="center"/>
                  <w:hideMark/>
                </w:tcPr>
                <w:p w14:paraId="49B869E8"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000000"/>
                      <w:kern w:val="0"/>
                      <w:sz w:val="18"/>
                      <w:szCs w:val="18"/>
                    </w:rPr>
                    <w:t>28%</w:t>
                  </w:r>
                </w:p>
              </w:tc>
              <w:tc>
                <w:tcPr>
                  <w:tcW w:w="930" w:type="dxa"/>
                  <w:tcBorders>
                    <w:top w:val="nil"/>
                    <w:left w:val="nil"/>
                    <w:bottom w:val="single" w:sz="8" w:space="0" w:color="FFFFFF"/>
                    <w:right w:val="single" w:sz="8" w:space="0" w:color="FFFFFF"/>
                  </w:tcBorders>
                  <w:shd w:val="clear" w:color="000000" w:fill="FDE9D9"/>
                  <w:noWrap/>
                  <w:vAlign w:val="center"/>
                  <w:hideMark/>
                </w:tcPr>
                <w:p w14:paraId="42C3D195"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000000"/>
                      <w:kern w:val="0"/>
                      <w:sz w:val="18"/>
                      <w:szCs w:val="18"/>
                    </w:rPr>
                    <w:t>21%</w:t>
                  </w:r>
                </w:p>
              </w:tc>
              <w:tc>
                <w:tcPr>
                  <w:tcW w:w="930" w:type="dxa"/>
                  <w:tcBorders>
                    <w:top w:val="nil"/>
                    <w:left w:val="nil"/>
                    <w:bottom w:val="single" w:sz="8" w:space="0" w:color="FFFFFF"/>
                    <w:right w:val="single" w:sz="8" w:space="0" w:color="FFFFFF"/>
                  </w:tcBorders>
                  <w:shd w:val="clear" w:color="000000" w:fill="FFC7CE"/>
                  <w:noWrap/>
                  <w:vAlign w:val="center"/>
                  <w:hideMark/>
                </w:tcPr>
                <w:p w14:paraId="6D4C14F9" w14:textId="77777777" w:rsidR="00E46B36" w:rsidRPr="00E46B36" w:rsidRDefault="00E46B36" w:rsidP="00E46B36">
                  <w:pPr>
                    <w:widowControl/>
                    <w:jc w:val="center"/>
                    <w:rPr>
                      <w:rFonts w:eastAsia="等线" w:cs="Calibri"/>
                      <w:color w:val="9C0006"/>
                      <w:kern w:val="0"/>
                      <w:sz w:val="18"/>
                      <w:szCs w:val="18"/>
                    </w:rPr>
                  </w:pPr>
                  <w:r w:rsidRPr="00E46B36">
                    <w:rPr>
                      <w:rFonts w:eastAsia="等线" w:cs="Calibri"/>
                      <w:color w:val="9C0006"/>
                      <w:kern w:val="0"/>
                      <w:sz w:val="18"/>
                      <w:szCs w:val="18"/>
                    </w:rPr>
                    <w:t>83%</w:t>
                  </w:r>
                </w:p>
              </w:tc>
            </w:tr>
            <w:tr w:rsidR="00E46B36" w:rsidRPr="006E06F9" w14:paraId="1416B6EA" w14:textId="77777777" w:rsidTr="00E46B36">
              <w:trPr>
                <w:trHeight w:val="292"/>
              </w:trPr>
              <w:tc>
                <w:tcPr>
                  <w:tcW w:w="1146" w:type="dxa"/>
                  <w:tcBorders>
                    <w:top w:val="nil"/>
                    <w:left w:val="nil"/>
                    <w:bottom w:val="single" w:sz="8" w:space="0" w:color="FFFFFF"/>
                    <w:right w:val="single" w:sz="8" w:space="0" w:color="FFFFFF"/>
                  </w:tcBorders>
                  <w:shd w:val="clear" w:color="000000" w:fill="FCD5B4"/>
                  <w:noWrap/>
                  <w:vAlign w:val="center"/>
                  <w:hideMark/>
                </w:tcPr>
                <w:p w14:paraId="5785BA7D" w14:textId="77777777" w:rsidR="00E46B36" w:rsidRPr="00E46B36" w:rsidRDefault="00E46B36" w:rsidP="00E46B36">
                  <w:pPr>
                    <w:widowControl/>
                    <w:jc w:val="center"/>
                    <w:rPr>
                      <w:rFonts w:ascii="楷体" w:eastAsia="楷体" w:hAnsi="楷体" w:cs="宋体"/>
                      <w:color w:val="000000"/>
                      <w:kern w:val="0"/>
                      <w:sz w:val="18"/>
                      <w:szCs w:val="18"/>
                    </w:rPr>
                  </w:pPr>
                  <w:r w:rsidRPr="00E46B36">
                    <w:rPr>
                      <w:rFonts w:ascii="楷体" w:eastAsia="楷体" w:hAnsi="楷体" w:cs="宋体" w:hint="eastAsia"/>
                      <w:color w:val="000000"/>
                      <w:kern w:val="0"/>
                      <w:sz w:val="18"/>
                      <w:szCs w:val="18"/>
                    </w:rPr>
                    <w:t>MTN5Y</w:t>
                  </w:r>
                </w:p>
              </w:tc>
              <w:tc>
                <w:tcPr>
                  <w:tcW w:w="930" w:type="dxa"/>
                  <w:tcBorders>
                    <w:top w:val="nil"/>
                    <w:left w:val="nil"/>
                    <w:bottom w:val="single" w:sz="8" w:space="0" w:color="FFFFFF"/>
                    <w:right w:val="single" w:sz="8" w:space="0" w:color="FFFFFF"/>
                  </w:tcBorders>
                  <w:shd w:val="clear" w:color="000000" w:fill="FCD5B4"/>
                  <w:noWrap/>
                  <w:vAlign w:val="center"/>
                  <w:hideMark/>
                </w:tcPr>
                <w:p w14:paraId="405031F7"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000000"/>
                      <w:kern w:val="0"/>
                      <w:sz w:val="18"/>
                      <w:szCs w:val="18"/>
                    </w:rPr>
                    <w:t>19%</w:t>
                  </w:r>
                </w:p>
              </w:tc>
              <w:tc>
                <w:tcPr>
                  <w:tcW w:w="930" w:type="dxa"/>
                  <w:tcBorders>
                    <w:top w:val="nil"/>
                    <w:left w:val="nil"/>
                    <w:bottom w:val="single" w:sz="8" w:space="0" w:color="FFFFFF"/>
                    <w:right w:val="single" w:sz="8" w:space="0" w:color="FFFFFF"/>
                  </w:tcBorders>
                  <w:shd w:val="clear" w:color="000000" w:fill="FCD5B4"/>
                  <w:noWrap/>
                  <w:vAlign w:val="center"/>
                  <w:hideMark/>
                </w:tcPr>
                <w:p w14:paraId="5F99A16D"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000000"/>
                      <w:kern w:val="0"/>
                      <w:sz w:val="18"/>
                      <w:szCs w:val="18"/>
                    </w:rPr>
                    <w:t>15%</w:t>
                  </w:r>
                </w:p>
              </w:tc>
              <w:tc>
                <w:tcPr>
                  <w:tcW w:w="930" w:type="dxa"/>
                  <w:tcBorders>
                    <w:top w:val="nil"/>
                    <w:left w:val="nil"/>
                    <w:bottom w:val="single" w:sz="8" w:space="0" w:color="FFFFFF"/>
                    <w:right w:val="single" w:sz="8" w:space="0" w:color="FFFFFF"/>
                  </w:tcBorders>
                  <w:shd w:val="clear" w:color="000000" w:fill="FCD5B4"/>
                  <w:noWrap/>
                  <w:vAlign w:val="center"/>
                  <w:hideMark/>
                </w:tcPr>
                <w:p w14:paraId="23D2C47E"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000000"/>
                      <w:kern w:val="0"/>
                      <w:sz w:val="18"/>
                      <w:szCs w:val="18"/>
                    </w:rPr>
                    <w:t>13%</w:t>
                  </w:r>
                </w:p>
              </w:tc>
              <w:tc>
                <w:tcPr>
                  <w:tcW w:w="930" w:type="dxa"/>
                  <w:tcBorders>
                    <w:top w:val="nil"/>
                    <w:left w:val="nil"/>
                    <w:bottom w:val="single" w:sz="8" w:space="0" w:color="FFFFFF"/>
                    <w:right w:val="single" w:sz="8" w:space="0" w:color="FFFFFF"/>
                  </w:tcBorders>
                  <w:shd w:val="clear" w:color="000000" w:fill="FCD5B4"/>
                  <w:noWrap/>
                  <w:vAlign w:val="center"/>
                  <w:hideMark/>
                </w:tcPr>
                <w:p w14:paraId="67C8CCD8"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000000"/>
                      <w:kern w:val="0"/>
                      <w:sz w:val="18"/>
                      <w:szCs w:val="18"/>
                    </w:rPr>
                    <w:t>52%</w:t>
                  </w:r>
                </w:p>
              </w:tc>
              <w:tc>
                <w:tcPr>
                  <w:tcW w:w="930" w:type="dxa"/>
                  <w:tcBorders>
                    <w:top w:val="nil"/>
                    <w:left w:val="nil"/>
                    <w:bottom w:val="single" w:sz="8" w:space="0" w:color="FFFFFF"/>
                    <w:right w:val="single" w:sz="8" w:space="0" w:color="FFFFFF"/>
                  </w:tcBorders>
                  <w:shd w:val="clear" w:color="000000" w:fill="FCD5B4"/>
                  <w:noWrap/>
                  <w:vAlign w:val="center"/>
                  <w:hideMark/>
                </w:tcPr>
                <w:p w14:paraId="1D6767B7" w14:textId="77777777" w:rsidR="00E46B36" w:rsidRPr="00E46B36" w:rsidRDefault="00E46B36" w:rsidP="00E46B36">
                  <w:pPr>
                    <w:widowControl/>
                    <w:jc w:val="center"/>
                    <w:rPr>
                      <w:rFonts w:ascii="楷体" w:eastAsia="楷体" w:hAnsi="楷体" w:cs="宋体"/>
                      <w:color w:val="000000"/>
                      <w:kern w:val="0"/>
                      <w:sz w:val="18"/>
                      <w:szCs w:val="18"/>
                    </w:rPr>
                  </w:pPr>
                  <w:r w:rsidRPr="00E46B36">
                    <w:rPr>
                      <w:rFonts w:ascii="楷体" w:eastAsia="楷体" w:hAnsi="楷体" w:cs="宋体" w:hint="eastAsia"/>
                      <w:color w:val="000000"/>
                      <w:kern w:val="0"/>
                      <w:sz w:val="18"/>
                      <w:szCs w:val="18"/>
                    </w:rPr>
                    <w:t>MTN5Y</w:t>
                  </w:r>
                </w:p>
              </w:tc>
              <w:tc>
                <w:tcPr>
                  <w:tcW w:w="930" w:type="dxa"/>
                  <w:tcBorders>
                    <w:top w:val="nil"/>
                    <w:left w:val="nil"/>
                    <w:bottom w:val="single" w:sz="8" w:space="0" w:color="FFFFFF"/>
                    <w:right w:val="single" w:sz="8" w:space="0" w:color="FFFFFF"/>
                  </w:tcBorders>
                  <w:shd w:val="clear" w:color="000000" w:fill="FCD5B4"/>
                  <w:noWrap/>
                  <w:vAlign w:val="center"/>
                  <w:hideMark/>
                </w:tcPr>
                <w:p w14:paraId="2302AAE1"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000000"/>
                      <w:kern w:val="0"/>
                      <w:sz w:val="18"/>
                      <w:szCs w:val="18"/>
                    </w:rPr>
                    <w:t>33%</w:t>
                  </w:r>
                </w:p>
              </w:tc>
              <w:tc>
                <w:tcPr>
                  <w:tcW w:w="930" w:type="dxa"/>
                  <w:tcBorders>
                    <w:top w:val="nil"/>
                    <w:left w:val="nil"/>
                    <w:bottom w:val="single" w:sz="8" w:space="0" w:color="FFFFFF"/>
                    <w:right w:val="single" w:sz="8" w:space="0" w:color="FFFFFF"/>
                  </w:tcBorders>
                  <w:shd w:val="clear" w:color="000000" w:fill="FCD5B4"/>
                  <w:noWrap/>
                  <w:vAlign w:val="center"/>
                  <w:hideMark/>
                </w:tcPr>
                <w:p w14:paraId="38623395"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000000"/>
                      <w:kern w:val="0"/>
                      <w:sz w:val="18"/>
                      <w:szCs w:val="18"/>
                    </w:rPr>
                    <w:t>25%</w:t>
                  </w:r>
                </w:p>
              </w:tc>
              <w:tc>
                <w:tcPr>
                  <w:tcW w:w="930" w:type="dxa"/>
                  <w:tcBorders>
                    <w:top w:val="nil"/>
                    <w:left w:val="nil"/>
                    <w:bottom w:val="single" w:sz="8" w:space="0" w:color="FFFFFF"/>
                    <w:right w:val="single" w:sz="8" w:space="0" w:color="FFFFFF"/>
                  </w:tcBorders>
                  <w:shd w:val="clear" w:color="000000" w:fill="FCD5B4"/>
                  <w:noWrap/>
                  <w:vAlign w:val="center"/>
                  <w:hideMark/>
                </w:tcPr>
                <w:p w14:paraId="2A61BDA9"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000000"/>
                      <w:kern w:val="0"/>
                      <w:sz w:val="18"/>
                      <w:szCs w:val="18"/>
                    </w:rPr>
                    <w:t>20%</w:t>
                  </w:r>
                </w:p>
              </w:tc>
              <w:tc>
                <w:tcPr>
                  <w:tcW w:w="930" w:type="dxa"/>
                  <w:tcBorders>
                    <w:top w:val="nil"/>
                    <w:left w:val="nil"/>
                    <w:bottom w:val="single" w:sz="8" w:space="0" w:color="FFFFFF"/>
                    <w:right w:val="single" w:sz="8" w:space="0" w:color="FFFFFF"/>
                  </w:tcBorders>
                  <w:shd w:val="clear" w:color="000000" w:fill="FCD5B4"/>
                  <w:noWrap/>
                  <w:vAlign w:val="center"/>
                  <w:hideMark/>
                </w:tcPr>
                <w:p w14:paraId="02B5D0C5"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000000"/>
                      <w:kern w:val="0"/>
                      <w:sz w:val="18"/>
                      <w:szCs w:val="18"/>
                    </w:rPr>
                    <w:t>77%</w:t>
                  </w:r>
                </w:p>
              </w:tc>
            </w:tr>
            <w:tr w:rsidR="00E46B36" w:rsidRPr="006E06F9" w14:paraId="11362A52" w14:textId="77777777" w:rsidTr="00E46B36">
              <w:trPr>
                <w:trHeight w:val="292"/>
              </w:trPr>
              <w:tc>
                <w:tcPr>
                  <w:tcW w:w="1146" w:type="dxa"/>
                  <w:tcBorders>
                    <w:top w:val="nil"/>
                    <w:left w:val="nil"/>
                    <w:bottom w:val="single" w:sz="8" w:space="0" w:color="FFFFFF"/>
                    <w:right w:val="single" w:sz="8" w:space="0" w:color="FFFFFF"/>
                  </w:tcBorders>
                  <w:shd w:val="clear" w:color="000000" w:fill="FDE9D9"/>
                  <w:noWrap/>
                  <w:vAlign w:val="center"/>
                  <w:hideMark/>
                </w:tcPr>
                <w:p w14:paraId="4673DBF8" w14:textId="77777777" w:rsidR="00E46B36" w:rsidRPr="00E46B36" w:rsidRDefault="00E46B36" w:rsidP="00E46B36">
                  <w:pPr>
                    <w:widowControl/>
                    <w:jc w:val="center"/>
                    <w:rPr>
                      <w:rFonts w:ascii="楷体" w:eastAsia="楷体" w:hAnsi="楷体" w:cs="宋体"/>
                      <w:color w:val="000000"/>
                      <w:kern w:val="0"/>
                      <w:sz w:val="18"/>
                      <w:szCs w:val="18"/>
                    </w:rPr>
                  </w:pPr>
                  <w:r w:rsidRPr="00E46B36">
                    <w:rPr>
                      <w:rFonts w:ascii="楷体" w:eastAsia="楷体" w:hAnsi="楷体" w:cs="宋体" w:hint="eastAsia"/>
                      <w:color w:val="000000"/>
                      <w:kern w:val="0"/>
                      <w:sz w:val="18"/>
                      <w:szCs w:val="18"/>
                    </w:rPr>
                    <w:t>企业债3Y</w:t>
                  </w:r>
                </w:p>
              </w:tc>
              <w:tc>
                <w:tcPr>
                  <w:tcW w:w="930" w:type="dxa"/>
                  <w:tcBorders>
                    <w:top w:val="nil"/>
                    <w:left w:val="nil"/>
                    <w:bottom w:val="single" w:sz="8" w:space="0" w:color="FFFFFF"/>
                    <w:right w:val="single" w:sz="8" w:space="0" w:color="FFFFFF"/>
                  </w:tcBorders>
                  <w:shd w:val="clear" w:color="000000" w:fill="FDE9D9"/>
                  <w:noWrap/>
                  <w:vAlign w:val="center"/>
                  <w:hideMark/>
                </w:tcPr>
                <w:p w14:paraId="65CA82F9"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000000"/>
                      <w:kern w:val="0"/>
                      <w:sz w:val="18"/>
                      <w:szCs w:val="18"/>
                    </w:rPr>
                    <w:t>26%</w:t>
                  </w:r>
                </w:p>
              </w:tc>
              <w:tc>
                <w:tcPr>
                  <w:tcW w:w="930" w:type="dxa"/>
                  <w:tcBorders>
                    <w:top w:val="nil"/>
                    <w:left w:val="nil"/>
                    <w:bottom w:val="single" w:sz="8" w:space="0" w:color="FFFFFF"/>
                    <w:right w:val="single" w:sz="8" w:space="0" w:color="FFFFFF"/>
                  </w:tcBorders>
                  <w:shd w:val="clear" w:color="000000" w:fill="FDE9D9"/>
                  <w:noWrap/>
                  <w:vAlign w:val="center"/>
                  <w:hideMark/>
                </w:tcPr>
                <w:p w14:paraId="250F680B"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000000"/>
                      <w:kern w:val="0"/>
                      <w:sz w:val="18"/>
                      <w:szCs w:val="18"/>
                    </w:rPr>
                    <w:t>20%</w:t>
                  </w:r>
                </w:p>
              </w:tc>
              <w:tc>
                <w:tcPr>
                  <w:tcW w:w="930" w:type="dxa"/>
                  <w:tcBorders>
                    <w:top w:val="nil"/>
                    <w:left w:val="nil"/>
                    <w:bottom w:val="single" w:sz="8" w:space="0" w:color="FFFFFF"/>
                    <w:right w:val="single" w:sz="8" w:space="0" w:color="FFFFFF"/>
                  </w:tcBorders>
                  <w:shd w:val="clear" w:color="000000" w:fill="FDE9D9"/>
                  <w:noWrap/>
                  <w:vAlign w:val="center"/>
                  <w:hideMark/>
                </w:tcPr>
                <w:p w14:paraId="5B1742D0"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000000"/>
                      <w:kern w:val="0"/>
                      <w:sz w:val="18"/>
                      <w:szCs w:val="18"/>
                    </w:rPr>
                    <w:t>17%</w:t>
                  </w:r>
                </w:p>
              </w:tc>
              <w:tc>
                <w:tcPr>
                  <w:tcW w:w="930" w:type="dxa"/>
                  <w:tcBorders>
                    <w:top w:val="nil"/>
                    <w:left w:val="nil"/>
                    <w:bottom w:val="single" w:sz="8" w:space="0" w:color="FFFFFF"/>
                    <w:right w:val="single" w:sz="8" w:space="0" w:color="FFFFFF"/>
                  </w:tcBorders>
                  <w:shd w:val="clear" w:color="000000" w:fill="FDE9D9"/>
                  <w:noWrap/>
                  <w:vAlign w:val="center"/>
                  <w:hideMark/>
                </w:tcPr>
                <w:p w14:paraId="266B1715"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000000"/>
                      <w:kern w:val="0"/>
                      <w:sz w:val="18"/>
                      <w:szCs w:val="18"/>
                    </w:rPr>
                    <w:t>50%</w:t>
                  </w:r>
                </w:p>
              </w:tc>
              <w:tc>
                <w:tcPr>
                  <w:tcW w:w="930" w:type="dxa"/>
                  <w:tcBorders>
                    <w:top w:val="nil"/>
                    <w:left w:val="nil"/>
                    <w:bottom w:val="single" w:sz="8" w:space="0" w:color="FFFFFF"/>
                    <w:right w:val="single" w:sz="8" w:space="0" w:color="FFFFFF"/>
                  </w:tcBorders>
                  <w:shd w:val="clear" w:color="000000" w:fill="FDE9D9"/>
                  <w:noWrap/>
                  <w:vAlign w:val="center"/>
                  <w:hideMark/>
                </w:tcPr>
                <w:p w14:paraId="75613B38" w14:textId="77777777" w:rsidR="00E46B36" w:rsidRPr="00E46B36" w:rsidRDefault="00E46B36" w:rsidP="00E46B36">
                  <w:pPr>
                    <w:widowControl/>
                    <w:jc w:val="center"/>
                    <w:rPr>
                      <w:rFonts w:ascii="楷体" w:eastAsia="楷体" w:hAnsi="楷体" w:cs="宋体"/>
                      <w:color w:val="000000"/>
                      <w:kern w:val="0"/>
                      <w:sz w:val="18"/>
                      <w:szCs w:val="18"/>
                    </w:rPr>
                  </w:pPr>
                  <w:r w:rsidRPr="00E46B36">
                    <w:rPr>
                      <w:rFonts w:ascii="楷体" w:eastAsia="楷体" w:hAnsi="楷体" w:cs="宋体" w:hint="eastAsia"/>
                      <w:color w:val="000000"/>
                      <w:kern w:val="0"/>
                      <w:sz w:val="18"/>
                      <w:szCs w:val="18"/>
                    </w:rPr>
                    <w:t>企业债3Y</w:t>
                  </w:r>
                </w:p>
              </w:tc>
              <w:tc>
                <w:tcPr>
                  <w:tcW w:w="930" w:type="dxa"/>
                  <w:tcBorders>
                    <w:top w:val="nil"/>
                    <w:left w:val="nil"/>
                    <w:bottom w:val="single" w:sz="8" w:space="0" w:color="FFFFFF"/>
                    <w:right w:val="single" w:sz="8" w:space="0" w:color="FFFFFF"/>
                  </w:tcBorders>
                  <w:shd w:val="clear" w:color="000000" w:fill="FDE9D9"/>
                  <w:noWrap/>
                  <w:vAlign w:val="center"/>
                  <w:hideMark/>
                </w:tcPr>
                <w:p w14:paraId="2E29D532"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000000"/>
                      <w:kern w:val="0"/>
                      <w:sz w:val="18"/>
                      <w:szCs w:val="18"/>
                    </w:rPr>
                    <w:t>36%</w:t>
                  </w:r>
                </w:p>
              </w:tc>
              <w:tc>
                <w:tcPr>
                  <w:tcW w:w="930" w:type="dxa"/>
                  <w:tcBorders>
                    <w:top w:val="nil"/>
                    <w:left w:val="nil"/>
                    <w:bottom w:val="single" w:sz="8" w:space="0" w:color="FFFFFF"/>
                    <w:right w:val="single" w:sz="8" w:space="0" w:color="FFFFFF"/>
                  </w:tcBorders>
                  <w:shd w:val="clear" w:color="000000" w:fill="FDE9D9"/>
                  <w:noWrap/>
                  <w:vAlign w:val="center"/>
                  <w:hideMark/>
                </w:tcPr>
                <w:p w14:paraId="15E4B0C4"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000000"/>
                      <w:kern w:val="0"/>
                      <w:sz w:val="18"/>
                      <w:szCs w:val="18"/>
                    </w:rPr>
                    <w:t>26%</w:t>
                  </w:r>
                </w:p>
              </w:tc>
              <w:tc>
                <w:tcPr>
                  <w:tcW w:w="930" w:type="dxa"/>
                  <w:tcBorders>
                    <w:top w:val="nil"/>
                    <w:left w:val="nil"/>
                    <w:bottom w:val="single" w:sz="8" w:space="0" w:color="FFFFFF"/>
                    <w:right w:val="single" w:sz="8" w:space="0" w:color="FFFFFF"/>
                  </w:tcBorders>
                  <w:shd w:val="clear" w:color="000000" w:fill="FDE9D9"/>
                  <w:noWrap/>
                  <w:vAlign w:val="center"/>
                  <w:hideMark/>
                </w:tcPr>
                <w:p w14:paraId="015DFB44"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000000"/>
                      <w:kern w:val="0"/>
                      <w:sz w:val="18"/>
                      <w:szCs w:val="18"/>
                    </w:rPr>
                    <w:t>20%</w:t>
                  </w:r>
                </w:p>
              </w:tc>
              <w:tc>
                <w:tcPr>
                  <w:tcW w:w="930" w:type="dxa"/>
                  <w:tcBorders>
                    <w:top w:val="nil"/>
                    <w:left w:val="nil"/>
                    <w:bottom w:val="single" w:sz="8" w:space="0" w:color="FFFFFF"/>
                    <w:right w:val="single" w:sz="8" w:space="0" w:color="FFFFFF"/>
                  </w:tcBorders>
                  <w:shd w:val="clear" w:color="000000" w:fill="FDE9D9"/>
                  <w:noWrap/>
                  <w:vAlign w:val="center"/>
                  <w:hideMark/>
                </w:tcPr>
                <w:p w14:paraId="0D7D0BB0"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000000"/>
                      <w:kern w:val="0"/>
                      <w:sz w:val="18"/>
                      <w:szCs w:val="18"/>
                    </w:rPr>
                    <w:t>79%</w:t>
                  </w:r>
                </w:p>
              </w:tc>
            </w:tr>
            <w:tr w:rsidR="00E46B36" w:rsidRPr="006E06F9" w14:paraId="43B0A477" w14:textId="77777777" w:rsidTr="00E46B36">
              <w:trPr>
                <w:trHeight w:val="292"/>
              </w:trPr>
              <w:tc>
                <w:tcPr>
                  <w:tcW w:w="1146" w:type="dxa"/>
                  <w:tcBorders>
                    <w:top w:val="nil"/>
                    <w:left w:val="nil"/>
                    <w:bottom w:val="single" w:sz="8" w:space="0" w:color="FFFFFF"/>
                    <w:right w:val="single" w:sz="8" w:space="0" w:color="FFFFFF"/>
                  </w:tcBorders>
                  <w:shd w:val="clear" w:color="000000" w:fill="FCD5B4"/>
                  <w:noWrap/>
                  <w:vAlign w:val="center"/>
                  <w:hideMark/>
                </w:tcPr>
                <w:p w14:paraId="6602406D" w14:textId="77777777" w:rsidR="00E46B36" w:rsidRPr="00E46B36" w:rsidRDefault="00E46B36" w:rsidP="00E46B36">
                  <w:pPr>
                    <w:widowControl/>
                    <w:jc w:val="center"/>
                    <w:rPr>
                      <w:rFonts w:ascii="楷体" w:eastAsia="楷体" w:hAnsi="楷体" w:cs="宋体"/>
                      <w:color w:val="000000"/>
                      <w:kern w:val="0"/>
                      <w:sz w:val="18"/>
                      <w:szCs w:val="18"/>
                    </w:rPr>
                  </w:pPr>
                  <w:r w:rsidRPr="00E46B36">
                    <w:rPr>
                      <w:rFonts w:ascii="楷体" w:eastAsia="楷体" w:hAnsi="楷体" w:cs="宋体" w:hint="eastAsia"/>
                      <w:color w:val="000000"/>
                      <w:kern w:val="0"/>
                      <w:sz w:val="18"/>
                      <w:szCs w:val="18"/>
                    </w:rPr>
                    <w:t>企业债5Y</w:t>
                  </w:r>
                </w:p>
              </w:tc>
              <w:tc>
                <w:tcPr>
                  <w:tcW w:w="930" w:type="dxa"/>
                  <w:tcBorders>
                    <w:top w:val="nil"/>
                    <w:left w:val="nil"/>
                    <w:bottom w:val="single" w:sz="8" w:space="0" w:color="FFFFFF"/>
                    <w:right w:val="single" w:sz="8" w:space="0" w:color="FFFFFF"/>
                  </w:tcBorders>
                  <w:shd w:val="clear" w:color="000000" w:fill="FCD5B4"/>
                  <w:noWrap/>
                  <w:vAlign w:val="center"/>
                  <w:hideMark/>
                </w:tcPr>
                <w:p w14:paraId="7F6E735E"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000000"/>
                      <w:kern w:val="0"/>
                      <w:sz w:val="18"/>
                      <w:szCs w:val="18"/>
                    </w:rPr>
                    <w:t>20%</w:t>
                  </w:r>
                </w:p>
              </w:tc>
              <w:tc>
                <w:tcPr>
                  <w:tcW w:w="930" w:type="dxa"/>
                  <w:tcBorders>
                    <w:top w:val="nil"/>
                    <w:left w:val="nil"/>
                    <w:bottom w:val="single" w:sz="8" w:space="0" w:color="FFFFFF"/>
                    <w:right w:val="single" w:sz="8" w:space="0" w:color="FFFFFF"/>
                  </w:tcBorders>
                  <w:shd w:val="clear" w:color="000000" w:fill="FCD5B4"/>
                  <w:noWrap/>
                  <w:vAlign w:val="center"/>
                  <w:hideMark/>
                </w:tcPr>
                <w:p w14:paraId="4B4CD688"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000000"/>
                      <w:kern w:val="0"/>
                      <w:sz w:val="18"/>
                      <w:szCs w:val="18"/>
                    </w:rPr>
                    <w:t>17%</w:t>
                  </w:r>
                </w:p>
              </w:tc>
              <w:tc>
                <w:tcPr>
                  <w:tcW w:w="930" w:type="dxa"/>
                  <w:tcBorders>
                    <w:top w:val="nil"/>
                    <w:left w:val="nil"/>
                    <w:bottom w:val="single" w:sz="8" w:space="0" w:color="FFFFFF"/>
                    <w:right w:val="single" w:sz="8" w:space="0" w:color="FFFFFF"/>
                  </w:tcBorders>
                  <w:shd w:val="clear" w:color="000000" w:fill="FCD5B4"/>
                  <w:noWrap/>
                  <w:vAlign w:val="center"/>
                  <w:hideMark/>
                </w:tcPr>
                <w:p w14:paraId="5DCF0322"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000000"/>
                      <w:kern w:val="0"/>
                      <w:sz w:val="18"/>
                      <w:szCs w:val="18"/>
                    </w:rPr>
                    <w:t>14%</w:t>
                  </w:r>
                </w:p>
              </w:tc>
              <w:tc>
                <w:tcPr>
                  <w:tcW w:w="930" w:type="dxa"/>
                  <w:tcBorders>
                    <w:top w:val="nil"/>
                    <w:left w:val="nil"/>
                    <w:bottom w:val="single" w:sz="8" w:space="0" w:color="FFFFFF"/>
                    <w:right w:val="single" w:sz="8" w:space="0" w:color="FFFFFF"/>
                  </w:tcBorders>
                  <w:shd w:val="clear" w:color="000000" w:fill="FCD5B4"/>
                  <w:noWrap/>
                  <w:vAlign w:val="center"/>
                  <w:hideMark/>
                </w:tcPr>
                <w:p w14:paraId="69B8267C"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000000"/>
                      <w:kern w:val="0"/>
                      <w:sz w:val="18"/>
                      <w:szCs w:val="18"/>
                    </w:rPr>
                    <w:t>49%</w:t>
                  </w:r>
                </w:p>
              </w:tc>
              <w:tc>
                <w:tcPr>
                  <w:tcW w:w="930" w:type="dxa"/>
                  <w:tcBorders>
                    <w:top w:val="nil"/>
                    <w:left w:val="nil"/>
                    <w:bottom w:val="single" w:sz="8" w:space="0" w:color="FFFFFF"/>
                    <w:right w:val="single" w:sz="8" w:space="0" w:color="FFFFFF"/>
                  </w:tcBorders>
                  <w:shd w:val="clear" w:color="000000" w:fill="FCD5B4"/>
                  <w:noWrap/>
                  <w:vAlign w:val="center"/>
                  <w:hideMark/>
                </w:tcPr>
                <w:p w14:paraId="58A95BE8" w14:textId="77777777" w:rsidR="00E46B36" w:rsidRPr="00E46B36" w:rsidRDefault="00E46B36" w:rsidP="00E46B36">
                  <w:pPr>
                    <w:widowControl/>
                    <w:jc w:val="center"/>
                    <w:rPr>
                      <w:rFonts w:ascii="楷体" w:eastAsia="楷体" w:hAnsi="楷体" w:cs="宋体"/>
                      <w:color w:val="000000"/>
                      <w:kern w:val="0"/>
                      <w:sz w:val="18"/>
                      <w:szCs w:val="18"/>
                    </w:rPr>
                  </w:pPr>
                  <w:r w:rsidRPr="00E46B36">
                    <w:rPr>
                      <w:rFonts w:ascii="楷体" w:eastAsia="楷体" w:hAnsi="楷体" w:cs="宋体" w:hint="eastAsia"/>
                      <w:color w:val="000000"/>
                      <w:kern w:val="0"/>
                      <w:sz w:val="18"/>
                      <w:szCs w:val="18"/>
                    </w:rPr>
                    <w:t>企业债5Y</w:t>
                  </w:r>
                </w:p>
              </w:tc>
              <w:tc>
                <w:tcPr>
                  <w:tcW w:w="930" w:type="dxa"/>
                  <w:tcBorders>
                    <w:top w:val="nil"/>
                    <w:left w:val="nil"/>
                    <w:bottom w:val="single" w:sz="8" w:space="0" w:color="FFFFFF"/>
                    <w:right w:val="single" w:sz="8" w:space="0" w:color="FFFFFF"/>
                  </w:tcBorders>
                  <w:shd w:val="clear" w:color="000000" w:fill="FCD5B4"/>
                  <w:noWrap/>
                  <w:vAlign w:val="center"/>
                  <w:hideMark/>
                </w:tcPr>
                <w:p w14:paraId="7437AC98"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000000"/>
                      <w:kern w:val="0"/>
                      <w:sz w:val="18"/>
                      <w:szCs w:val="18"/>
                    </w:rPr>
                    <w:t>34%</w:t>
                  </w:r>
                </w:p>
              </w:tc>
              <w:tc>
                <w:tcPr>
                  <w:tcW w:w="930" w:type="dxa"/>
                  <w:tcBorders>
                    <w:top w:val="nil"/>
                    <w:left w:val="nil"/>
                    <w:bottom w:val="single" w:sz="8" w:space="0" w:color="FFFFFF"/>
                    <w:right w:val="single" w:sz="8" w:space="0" w:color="FFFFFF"/>
                  </w:tcBorders>
                  <w:shd w:val="clear" w:color="000000" w:fill="FCD5B4"/>
                  <w:noWrap/>
                  <w:vAlign w:val="center"/>
                  <w:hideMark/>
                </w:tcPr>
                <w:p w14:paraId="16E530D7"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000000"/>
                      <w:kern w:val="0"/>
                      <w:sz w:val="18"/>
                      <w:szCs w:val="18"/>
                    </w:rPr>
                    <w:t>24%</w:t>
                  </w:r>
                </w:p>
              </w:tc>
              <w:tc>
                <w:tcPr>
                  <w:tcW w:w="930" w:type="dxa"/>
                  <w:tcBorders>
                    <w:top w:val="nil"/>
                    <w:left w:val="nil"/>
                    <w:bottom w:val="single" w:sz="8" w:space="0" w:color="FFFFFF"/>
                    <w:right w:val="single" w:sz="8" w:space="0" w:color="FFFFFF"/>
                  </w:tcBorders>
                  <w:shd w:val="clear" w:color="000000" w:fill="FCD5B4"/>
                  <w:noWrap/>
                  <w:vAlign w:val="center"/>
                  <w:hideMark/>
                </w:tcPr>
                <w:p w14:paraId="718F780D"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000000"/>
                      <w:kern w:val="0"/>
                      <w:sz w:val="18"/>
                      <w:szCs w:val="18"/>
                    </w:rPr>
                    <w:t>18%</w:t>
                  </w:r>
                </w:p>
              </w:tc>
              <w:tc>
                <w:tcPr>
                  <w:tcW w:w="930" w:type="dxa"/>
                  <w:tcBorders>
                    <w:top w:val="nil"/>
                    <w:left w:val="nil"/>
                    <w:bottom w:val="single" w:sz="8" w:space="0" w:color="FFFFFF"/>
                    <w:right w:val="single" w:sz="8" w:space="0" w:color="FFFFFF"/>
                  </w:tcBorders>
                  <w:shd w:val="clear" w:color="000000" w:fill="FCD5B4"/>
                  <w:noWrap/>
                  <w:vAlign w:val="center"/>
                  <w:hideMark/>
                </w:tcPr>
                <w:p w14:paraId="27FD83A9"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000000"/>
                      <w:kern w:val="0"/>
                      <w:sz w:val="18"/>
                      <w:szCs w:val="18"/>
                    </w:rPr>
                    <w:t>76%</w:t>
                  </w:r>
                </w:p>
              </w:tc>
            </w:tr>
            <w:tr w:rsidR="00E46B36" w:rsidRPr="006E06F9" w14:paraId="65133580" w14:textId="77777777" w:rsidTr="00E46B36">
              <w:trPr>
                <w:trHeight w:val="292"/>
              </w:trPr>
              <w:tc>
                <w:tcPr>
                  <w:tcW w:w="1146" w:type="dxa"/>
                  <w:tcBorders>
                    <w:top w:val="nil"/>
                    <w:left w:val="nil"/>
                    <w:bottom w:val="single" w:sz="8" w:space="0" w:color="FFFFFF"/>
                    <w:right w:val="single" w:sz="8" w:space="0" w:color="FFFFFF"/>
                  </w:tcBorders>
                  <w:shd w:val="clear" w:color="000000" w:fill="FDE9D9"/>
                  <w:noWrap/>
                  <w:vAlign w:val="center"/>
                  <w:hideMark/>
                </w:tcPr>
                <w:p w14:paraId="6AA23A4D" w14:textId="77777777" w:rsidR="00E46B36" w:rsidRPr="00E46B36" w:rsidRDefault="00E46B36" w:rsidP="00E46B36">
                  <w:pPr>
                    <w:widowControl/>
                    <w:jc w:val="center"/>
                    <w:rPr>
                      <w:rFonts w:ascii="楷体" w:eastAsia="楷体" w:hAnsi="楷体" w:cs="宋体"/>
                      <w:color w:val="000000"/>
                      <w:kern w:val="0"/>
                      <w:sz w:val="18"/>
                      <w:szCs w:val="18"/>
                    </w:rPr>
                  </w:pPr>
                  <w:r w:rsidRPr="00E46B36">
                    <w:rPr>
                      <w:rFonts w:ascii="楷体" w:eastAsia="楷体" w:hAnsi="楷体" w:cs="宋体" w:hint="eastAsia"/>
                      <w:color w:val="000000"/>
                      <w:kern w:val="0"/>
                      <w:sz w:val="18"/>
                      <w:szCs w:val="18"/>
                    </w:rPr>
                    <w:t>企业债7Y</w:t>
                  </w:r>
                </w:p>
              </w:tc>
              <w:tc>
                <w:tcPr>
                  <w:tcW w:w="930" w:type="dxa"/>
                  <w:tcBorders>
                    <w:top w:val="nil"/>
                    <w:left w:val="nil"/>
                    <w:bottom w:val="single" w:sz="8" w:space="0" w:color="FFFFFF"/>
                    <w:right w:val="single" w:sz="8" w:space="0" w:color="FFFFFF"/>
                  </w:tcBorders>
                  <w:shd w:val="clear" w:color="000000" w:fill="FDE9D9"/>
                  <w:noWrap/>
                  <w:vAlign w:val="center"/>
                  <w:hideMark/>
                </w:tcPr>
                <w:p w14:paraId="6CA38A57"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000000"/>
                      <w:kern w:val="0"/>
                      <w:sz w:val="18"/>
                      <w:szCs w:val="18"/>
                    </w:rPr>
                    <w:t>14%</w:t>
                  </w:r>
                </w:p>
              </w:tc>
              <w:tc>
                <w:tcPr>
                  <w:tcW w:w="930" w:type="dxa"/>
                  <w:tcBorders>
                    <w:top w:val="nil"/>
                    <w:left w:val="nil"/>
                    <w:bottom w:val="single" w:sz="8" w:space="0" w:color="FFFFFF"/>
                    <w:right w:val="single" w:sz="8" w:space="0" w:color="FFFFFF"/>
                  </w:tcBorders>
                  <w:shd w:val="clear" w:color="000000" w:fill="FDE9D9"/>
                  <w:noWrap/>
                  <w:vAlign w:val="center"/>
                  <w:hideMark/>
                </w:tcPr>
                <w:p w14:paraId="58FF1ACC"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000000"/>
                      <w:kern w:val="0"/>
                      <w:sz w:val="18"/>
                      <w:szCs w:val="18"/>
                    </w:rPr>
                    <w:t>10%</w:t>
                  </w:r>
                </w:p>
              </w:tc>
              <w:tc>
                <w:tcPr>
                  <w:tcW w:w="930" w:type="dxa"/>
                  <w:tcBorders>
                    <w:top w:val="nil"/>
                    <w:left w:val="nil"/>
                    <w:bottom w:val="single" w:sz="8" w:space="0" w:color="FFFFFF"/>
                    <w:right w:val="single" w:sz="8" w:space="0" w:color="FFFFFF"/>
                  </w:tcBorders>
                  <w:shd w:val="clear" w:color="000000" w:fill="FDE9D9"/>
                  <w:noWrap/>
                  <w:vAlign w:val="center"/>
                  <w:hideMark/>
                </w:tcPr>
                <w:p w14:paraId="4DB3F33A"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000000"/>
                      <w:kern w:val="0"/>
                      <w:sz w:val="18"/>
                      <w:szCs w:val="18"/>
                    </w:rPr>
                    <w:t>8%</w:t>
                  </w:r>
                </w:p>
              </w:tc>
              <w:tc>
                <w:tcPr>
                  <w:tcW w:w="930" w:type="dxa"/>
                  <w:tcBorders>
                    <w:top w:val="nil"/>
                    <w:left w:val="nil"/>
                    <w:bottom w:val="single" w:sz="8" w:space="0" w:color="FFFFFF"/>
                    <w:right w:val="single" w:sz="8" w:space="0" w:color="FFFFFF"/>
                  </w:tcBorders>
                  <w:shd w:val="clear" w:color="000000" w:fill="FDE9D9"/>
                  <w:noWrap/>
                  <w:vAlign w:val="center"/>
                  <w:hideMark/>
                </w:tcPr>
                <w:p w14:paraId="0B86E039"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000000"/>
                      <w:kern w:val="0"/>
                      <w:sz w:val="18"/>
                      <w:szCs w:val="18"/>
                    </w:rPr>
                    <w:t>40%</w:t>
                  </w:r>
                </w:p>
              </w:tc>
              <w:tc>
                <w:tcPr>
                  <w:tcW w:w="930" w:type="dxa"/>
                  <w:tcBorders>
                    <w:top w:val="nil"/>
                    <w:left w:val="nil"/>
                    <w:bottom w:val="single" w:sz="8" w:space="0" w:color="FFFFFF"/>
                    <w:right w:val="single" w:sz="8" w:space="0" w:color="FFFFFF"/>
                  </w:tcBorders>
                  <w:shd w:val="clear" w:color="000000" w:fill="FDE9D9"/>
                  <w:noWrap/>
                  <w:vAlign w:val="center"/>
                  <w:hideMark/>
                </w:tcPr>
                <w:p w14:paraId="5054B09D" w14:textId="77777777" w:rsidR="00E46B36" w:rsidRPr="00E46B36" w:rsidRDefault="00E46B36" w:rsidP="00E46B36">
                  <w:pPr>
                    <w:widowControl/>
                    <w:jc w:val="center"/>
                    <w:rPr>
                      <w:rFonts w:ascii="楷体" w:eastAsia="楷体" w:hAnsi="楷体" w:cs="宋体"/>
                      <w:color w:val="000000"/>
                      <w:kern w:val="0"/>
                      <w:sz w:val="18"/>
                      <w:szCs w:val="18"/>
                    </w:rPr>
                  </w:pPr>
                  <w:r w:rsidRPr="00E46B36">
                    <w:rPr>
                      <w:rFonts w:ascii="楷体" w:eastAsia="楷体" w:hAnsi="楷体" w:cs="宋体" w:hint="eastAsia"/>
                      <w:color w:val="000000"/>
                      <w:kern w:val="0"/>
                      <w:sz w:val="18"/>
                      <w:szCs w:val="18"/>
                    </w:rPr>
                    <w:t>企业债7Y</w:t>
                  </w:r>
                </w:p>
              </w:tc>
              <w:tc>
                <w:tcPr>
                  <w:tcW w:w="930" w:type="dxa"/>
                  <w:tcBorders>
                    <w:top w:val="nil"/>
                    <w:left w:val="nil"/>
                    <w:bottom w:val="single" w:sz="8" w:space="0" w:color="FFFFFF"/>
                    <w:right w:val="single" w:sz="8" w:space="0" w:color="FFFFFF"/>
                  </w:tcBorders>
                  <w:shd w:val="clear" w:color="000000" w:fill="FDE9D9"/>
                  <w:noWrap/>
                  <w:vAlign w:val="center"/>
                  <w:hideMark/>
                </w:tcPr>
                <w:p w14:paraId="5C0862EE"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000000"/>
                      <w:kern w:val="0"/>
                      <w:sz w:val="18"/>
                      <w:szCs w:val="18"/>
                    </w:rPr>
                    <w:t>19%</w:t>
                  </w:r>
                </w:p>
              </w:tc>
              <w:tc>
                <w:tcPr>
                  <w:tcW w:w="930" w:type="dxa"/>
                  <w:tcBorders>
                    <w:top w:val="nil"/>
                    <w:left w:val="nil"/>
                    <w:bottom w:val="single" w:sz="8" w:space="0" w:color="FFFFFF"/>
                    <w:right w:val="single" w:sz="8" w:space="0" w:color="FFFFFF"/>
                  </w:tcBorders>
                  <w:shd w:val="clear" w:color="000000" w:fill="FDE9D9"/>
                  <w:noWrap/>
                  <w:vAlign w:val="center"/>
                  <w:hideMark/>
                </w:tcPr>
                <w:p w14:paraId="48C833E1"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000000"/>
                      <w:kern w:val="0"/>
                      <w:sz w:val="18"/>
                      <w:szCs w:val="18"/>
                    </w:rPr>
                    <w:t>9%</w:t>
                  </w:r>
                </w:p>
              </w:tc>
              <w:tc>
                <w:tcPr>
                  <w:tcW w:w="930" w:type="dxa"/>
                  <w:tcBorders>
                    <w:top w:val="nil"/>
                    <w:left w:val="nil"/>
                    <w:bottom w:val="single" w:sz="8" w:space="0" w:color="FFFFFF"/>
                    <w:right w:val="single" w:sz="8" w:space="0" w:color="FFFFFF"/>
                  </w:tcBorders>
                  <w:shd w:val="clear" w:color="000000" w:fill="FDE9D9"/>
                  <w:noWrap/>
                  <w:vAlign w:val="center"/>
                  <w:hideMark/>
                </w:tcPr>
                <w:p w14:paraId="437B1C66"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000000"/>
                      <w:kern w:val="0"/>
                      <w:sz w:val="18"/>
                      <w:szCs w:val="18"/>
                    </w:rPr>
                    <w:t>6%</w:t>
                  </w:r>
                </w:p>
              </w:tc>
              <w:tc>
                <w:tcPr>
                  <w:tcW w:w="930" w:type="dxa"/>
                  <w:tcBorders>
                    <w:top w:val="nil"/>
                    <w:left w:val="nil"/>
                    <w:bottom w:val="single" w:sz="8" w:space="0" w:color="FFFFFF"/>
                    <w:right w:val="single" w:sz="8" w:space="0" w:color="FFFFFF"/>
                  </w:tcBorders>
                  <w:shd w:val="clear" w:color="000000" w:fill="FDE9D9"/>
                  <w:noWrap/>
                  <w:vAlign w:val="center"/>
                  <w:hideMark/>
                </w:tcPr>
                <w:p w14:paraId="64FD50D7"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000000"/>
                      <w:kern w:val="0"/>
                      <w:sz w:val="18"/>
                      <w:szCs w:val="18"/>
                    </w:rPr>
                    <w:t>61%</w:t>
                  </w:r>
                </w:p>
              </w:tc>
            </w:tr>
            <w:tr w:rsidR="00E46B36" w:rsidRPr="006E06F9" w14:paraId="7EEE7096" w14:textId="77777777" w:rsidTr="00E46B36">
              <w:trPr>
                <w:trHeight w:val="292"/>
              </w:trPr>
              <w:tc>
                <w:tcPr>
                  <w:tcW w:w="1146" w:type="dxa"/>
                  <w:tcBorders>
                    <w:top w:val="nil"/>
                    <w:left w:val="nil"/>
                    <w:bottom w:val="single" w:sz="8" w:space="0" w:color="FFFFFF"/>
                    <w:right w:val="single" w:sz="8" w:space="0" w:color="FFFFFF"/>
                  </w:tcBorders>
                  <w:shd w:val="clear" w:color="000000" w:fill="FCD5B4"/>
                  <w:noWrap/>
                  <w:vAlign w:val="center"/>
                  <w:hideMark/>
                </w:tcPr>
                <w:p w14:paraId="2CF850D5" w14:textId="77777777" w:rsidR="00E46B36" w:rsidRPr="00E46B36" w:rsidRDefault="00E46B36" w:rsidP="00E46B36">
                  <w:pPr>
                    <w:widowControl/>
                    <w:jc w:val="center"/>
                    <w:rPr>
                      <w:rFonts w:ascii="楷体" w:eastAsia="楷体" w:hAnsi="楷体" w:cs="宋体"/>
                      <w:color w:val="000000"/>
                      <w:kern w:val="0"/>
                      <w:sz w:val="18"/>
                      <w:szCs w:val="18"/>
                    </w:rPr>
                  </w:pPr>
                  <w:proofErr w:type="gramStart"/>
                  <w:r w:rsidRPr="00E46B36">
                    <w:rPr>
                      <w:rFonts w:ascii="楷体" w:eastAsia="楷体" w:hAnsi="楷体" w:cs="宋体" w:hint="eastAsia"/>
                      <w:color w:val="000000"/>
                      <w:kern w:val="0"/>
                      <w:sz w:val="18"/>
                      <w:szCs w:val="18"/>
                    </w:rPr>
                    <w:lastRenderedPageBreak/>
                    <w:t>城投债</w:t>
                  </w:r>
                  <w:proofErr w:type="gramEnd"/>
                  <w:r w:rsidRPr="00E46B36">
                    <w:rPr>
                      <w:rFonts w:ascii="楷体" w:eastAsia="楷体" w:hAnsi="楷体" w:cs="宋体" w:hint="eastAsia"/>
                      <w:color w:val="000000"/>
                      <w:kern w:val="0"/>
                      <w:sz w:val="18"/>
                      <w:szCs w:val="18"/>
                    </w:rPr>
                    <w:t>3Y</w:t>
                  </w:r>
                </w:p>
              </w:tc>
              <w:tc>
                <w:tcPr>
                  <w:tcW w:w="930" w:type="dxa"/>
                  <w:tcBorders>
                    <w:top w:val="nil"/>
                    <w:left w:val="nil"/>
                    <w:bottom w:val="single" w:sz="8" w:space="0" w:color="FFFFFF"/>
                    <w:right w:val="single" w:sz="8" w:space="0" w:color="FFFFFF"/>
                  </w:tcBorders>
                  <w:shd w:val="clear" w:color="000000" w:fill="FCD5B4"/>
                  <w:noWrap/>
                  <w:vAlign w:val="center"/>
                  <w:hideMark/>
                </w:tcPr>
                <w:p w14:paraId="4D41D358"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000000"/>
                      <w:kern w:val="0"/>
                      <w:sz w:val="18"/>
                      <w:szCs w:val="18"/>
                    </w:rPr>
                    <w:t>21%</w:t>
                  </w:r>
                </w:p>
              </w:tc>
              <w:tc>
                <w:tcPr>
                  <w:tcW w:w="930" w:type="dxa"/>
                  <w:tcBorders>
                    <w:top w:val="nil"/>
                    <w:left w:val="nil"/>
                    <w:bottom w:val="single" w:sz="8" w:space="0" w:color="FFFFFF"/>
                    <w:right w:val="single" w:sz="8" w:space="0" w:color="FFFFFF"/>
                  </w:tcBorders>
                  <w:shd w:val="clear" w:color="000000" w:fill="FCD5B4"/>
                  <w:noWrap/>
                  <w:vAlign w:val="center"/>
                  <w:hideMark/>
                </w:tcPr>
                <w:p w14:paraId="7155BA3F"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000000"/>
                      <w:kern w:val="0"/>
                      <w:sz w:val="18"/>
                      <w:szCs w:val="18"/>
                    </w:rPr>
                    <w:t>18%</w:t>
                  </w:r>
                </w:p>
              </w:tc>
              <w:tc>
                <w:tcPr>
                  <w:tcW w:w="930" w:type="dxa"/>
                  <w:tcBorders>
                    <w:top w:val="nil"/>
                    <w:left w:val="nil"/>
                    <w:bottom w:val="single" w:sz="8" w:space="0" w:color="FFFFFF"/>
                    <w:right w:val="single" w:sz="8" w:space="0" w:color="FFFFFF"/>
                  </w:tcBorders>
                  <w:shd w:val="clear" w:color="000000" w:fill="FCD5B4"/>
                  <w:noWrap/>
                  <w:vAlign w:val="center"/>
                  <w:hideMark/>
                </w:tcPr>
                <w:p w14:paraId="00D6F695"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000000"/>
                      <w:kern w:val="0"/>
                      <w:sz w:val="18"/>
                      <w:szCs w:val="18"/>
                    </w:rPr>
                    <w:t>15%</w:t>
                  </w:r>
                </w:p>
              </w:tc>
              <w:tc>
                <w:tcPr>
                  <w:tcW w:w="930" w:type="dxa"/>
                  <w:tcBorders>
                    <w:top w:val="nil"/>
                    <w:left w:val="nil"/>
                    <w:bottom w:val="single" w:sz="8" w:space="0" w:color="FFFFFF"/>
                    <w:right w:val="single" w:sz="8" w:space="0" w:color="FFFFFF"/>
                  </w:tcBorders>
                  <w:shd w:val="clear" w:color="000000" w:fill="FCD5B4"/>
                  <w:noWrap/>
                  <w:vAlign w:val="center"/>
                  <w:hideMark/>
                </w:tcPr>
                <w:p w14:paraId="51BE50A0"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000000"/>
                      <w:kern w:val="0"/>
                      <w:sz w:val="18"/>
                      <w:szCs w:val="18"/>
                    </w:rPr>
                    <w:t>38%</w:t>
                  </w:r>
                </w:p>
              </w:tc>
              <w:tc>
                <w:tcPr>
                  <w:tcW w:w="930" w:type="dxa"/>
                  <w:tcBorders>
                    <w:top w:val="nil"/>
                    <w:left w:val="nil"/>
                    <w:bottom w:val="single" w:sz="8" w:space="0" w:color="FFFFFF"/>
                    <w:right w:val="single" w:sz="8" w:space="0" w:color="FFFFFF"/>
                  </w:tcBorders>
                  <w:shd w:val="clear" w:color="000000" w:fill="FCD5B4"/>
                  <w:noWrap/>
                  <w:vAlign w:val="center"/>
                  <w:hideMark/>
                </w:tcPr>
                <w:p w14:paraId="0D27E132" w14:textId="77777777" w:rsidR="00E46B36" w:rsidRPr="00E46B36" w:rsidRDefault="00E46B36" w:rsidP="00E46B36">
                  <w:pPr>
                    <w:widowControl/>
                    <w:jc w:val="center"/>
                    <w:rPr>
                      <w:rFonts w:ascii="楷体" w:eastAsia="楷体" w:hAnsi="楷体" w:cs="宋体"/>
                      <w:color w:val="000000"/>
                      <w:kern w:val="0"/>
                      <w:sz w:val="18"/>
                      <w:szCs w:val="18"/>
                    </w:rPr>
                  </w:pPr>
                  <w:proofErr w:type="gramStart"/>
                  <w:r w:rsidRPr="00E46B36">
                    <w:rPr>
                      <w:rFonts w:ascii="楷体" w:eastAsia="楷体" w:hAnsi="楷体" w:cs="宋体" w:hint="eastAsia"/>
                      <w:color w:val="000000"/>
                      <w:kern w:val="0"/>
                      <w:sz w:val="18"/>
                      <w:szCs w:val="18"/>
                    </w:rPr>
                    <w:t>城投债</w:t>
                  </w:r>
                  <w:proofErr w:type="gramEnd"/>
                  <w:r w:rsidRPr="00E46B36">
                    <w:rPr>
                      <w:rFonts w:ascii="楷体" w:eastAsia="楷体" w:hAnsi="楷体" w:cs="宋体" w:hint="eastAsia"/>
                      <w:color w:val="000000"/>
                      <w:kern w:val="0"/>
                      <w:sz w:val="18"/>
                      <w:szCs w:val="18"/>
                    </w:rPr>
                    <w:t>3Y</w:t>
                  </w:r>
                </w:p>
              </w:tc>
              <w:tc>
                <w:tcPr>
                  <w:tcW w:w="930" w:type="dxa"/>
                  <w:tcBorders>
                    <w:top w:val="nil"/>
                    <w:left w:val="nil"/>
                    <w:bottom w:val="single" w:sz="8" w:space="0" w:color="FFFFFF"/>
                    <w:right w:val="single" w:sz="8" w:space="0" w:color="FFFFFF"/>
                  </w:tcBorders>
                  <w:shd w:val="clear" w:color="000000" w:fill="FCD5B4"/>
                  <w:noWrap/>
                  <w:vAlign w:val="center"/>
                  <w:hideMark/>
                </w:tcPr>
                <w:p w14:paraId="4DF6FCA7"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000000"/>
                      <w:kern w:val="0"/>
                      <w:sz w:val="18"/>
                      <w:szCs w:val="18"/>
                    </w:rPr>
                    <w:t>31%</w:t>
                  </w:r>
                </w:p>
              </w:tc>
              <w:tc>
                <w:tcPr>
                  <w:tcW w:w="930" w:type="dxa"/>
                  <w:tcBorders>
                    <w:top w:val="nil"/>
                    <w:left w:val="nil"/>
                    <w:bottom w:val="single" w:sz="8" w:space="0" w:color="FFFFFF"/>
                    <w:right w:val="single" w:sz="8" w:space="0" w:color="FFFFFF"/>
                  </w:tcBorders>
                  <w:shd w:val="clear" w:color="000000" w:fill="FCD5B4"/>
                  <w:noWrap/>
                  <w:vAlign w:val="center"/>
                  <w:hideMark/>
                </w:tcPr>
                <w:p w14:paraId="17476312"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000000"/>
                      <w:kern w:val="0"/>
                      <w:sz w:val="18"/>
                      <w:szCs w:val="18"/>
                    </w:rPr>
                    <w:t>28%</w:t>
                  </w:r>
                </w:p>
              </w:tc>
              <w:tc>
                <w:tcPr>
                  <w:tcW w:w="930" w:type="dxa"/>
                  <w:tcBorders>
                    <w:top w:val="nil"/>
                    <w:left w:val="nil"/>
                    <w:bottom w:val="single" w:sz="8" w:space="0" w:color="FFFFFF"/>
                    <w:right w:val="single" w:sz="8" w:space="0" w:color="FFFFFF"/>
                  </w:tcBorders>
                  <w:shd w:val="clear" w:color="000000" w:fill="FCD5B4"/>
                  <w:noWrap/>
                  <w:vAlign w:val="center"/>
                  <w:hideMark/>
                </w:tcPr>
                <w:p w14:paraId="28B05932"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000000"/>
                      <w:kern w:val="0"/>
                      <w:sz w:val="18"/>
                      <w:szCs w:val="18"/>
                    </w:rPr>
                    <w:t>25%</w:t>
                  </w:r>
                </w:p>
              </w:tc>
              <w:tc>
                <w:tcPr>
                  <w:tcW w:w="930" w:type="dxa"/>
                  <w:tcBorders>
                    <w:top w:val="nil"/>
                    <w:left w:val="nil"/>
                    <w:bottom w:val="single" w:sz="8" w:space="0" w:color="FFFFFF"/>
                    <w:right w:val="single" w:sz="8" w:space="0" w:color="FFFFFF"/>
                  </w:tcBorders>
                  <w:shd w:val="clear" w:color="000000" w:fill="FCD5B4"/>
                  <w:noWrap/>
                  <w:vAlign w:val="center"/>
                  <w:hideMark/>
                </w:tcPr>
                <w:p w14:paraId="105A9AB9"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000000"/>
                      <w:kern w:val="0"/>
                      <w:sz w:val="18"/>
                      <w:szCs w:val="18"/>
                    </w:rPr>
                    <w:t>64%</w:t>
                  </w:r>
                </w:p>
              </w:tc>
            </w:tr>
            <w:tr w:rsidR="00E46B36" w:rsidRPr="006E06F9" w14:paraId="096F06F4" w14:textId="77777777" w:rsidTr="00E46B36">
              <w:trPr>
                <w:trHeight w:val="292"/>
              </w:trPr>
              <w:tc>
                <w:tcPr>
                  <w:tcW w:w="1146" w:type="dxa"/>
                  <w:tcBorders>
                    <w:top w:val="nil"/>
                    <w:left w:val="nil"/>
                    <w:bottom w:val="single" w:sz="8" w:space="0" w:color="FFFFFF"/>
                    <w:right w:val="single" w:sz="8" w:space="0" w:color="FFFFFF"/>
                  </w:tcBorders>
                  <w:shd w:val="clear" w:color="000000" w:fill="FDE9D9"/>
                  <w:noWrap/>
                  <w:vAlign w:val="center"/>
                  <w:hideMark/>
                </w:tcPr>
                <w:p w14:paraId="1C623257" w14:textId="77777777" w:rsidR="00E46B36" w:rsidRPr="00E46B36" w:rsidRDefault="00E46B36" w:rsidP="00E46B36">
                  <w:pPr>
                    <w:widowControl/>
                    <w:jc w:val="center"/>
                    <w:rPr>
                      <w:rFonts w:ascii="楷体" w:eastAsia="楷体" w:hAnsi="楷体" w:cs="宋体"/>
                      <w:color w:val="000000"/>
                      <w:kern w:val="0"/>
                      <w:sz w:val="18"/>
                      <w:szCs w:val="18"/>
                    </w:rPr>
                  </w:pPr>
                  <w:proofErr w:type="gramStart"/>
                  <w:r w:rsidRPr="00E46B36">
                    <w:rPr>
                      <w:rFonts w:ascii="楷体" w:eastAsia="楷体" w:hAnsi="楷体" w:cs="宋体" w:hint="eastAsia"/>
                      <w:color w:val="000000"/>
                      <w:kern w:val="0"/>
                      <w:sz w:val="18"/>
                      <w:szCs w:val="18"/>
                    </w:rPr>
                    <w:t>城投债</w:t>
                  </w:r>
                  <w:proofErr w:type="gramEnd"/>
                  <w:r w:rsidRPr="00E46B36">
                    <w:rPr>
                      <w:rFonts w:ascii="楷体" w:eastAsia="楷体" w:hAnsi="楷体" w:cs="宋体" w:hint="eastAsia"/>
                      <w:color w:val="000000"/>
                      <w:kern w:val="0"/>
                      <w:sz w:val="18"/>
                      <w:szCs w:val="18"/>
                    </w:rPr>
                    <w:t>5Y</w:t>
                  </w:r>
                </w:p>
              </w:tc>
              <w:tc>
                <w:tcPr>
                  <w:tcW w:w="930" w:type="dxa"/>
                  <w:tcBorders>
                    <w:top w:val="nil"/>
                    <w:left w:val="nil"/>
                    <w:bottom w:val="single" w:sz="8" w:space="0" w:color="FFFFFF"/>
                    <w:right w:val="single" w:sz="8" w:space="0" w:color="FFFFFF"/>
                  </w:tcBorders>
                  <w:shd w:val="clear" w:color="000000" w:fill="FDE9D9"/>
                  <w:noWrap/>
                  <w:vAlign w:val="center"/>
                  <w:hideMark/>
                </w:tcPr>
                <w:p w14:paraId="7E31F337"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000000"/>
                      <w:kern w:val="0"/>
                      <w:sz w:val="18"/>
                      <w:szCs w:val="18"/>
                    </w:rPr>
                    <w:t>15%</w:t>
                  </w:r>
                </w:p>
              </w:tc>
              <w:tc>
                <w:tcPr>
                  <w:tcW w:w="930" w:type="dxa"/>
                  <w:tcBorders>
                    <w:top w:val="nil"/>
                    <w:left w:val="nil"/>
                    <w:bottom w:val="single" w:sz="8" w:space="0" w:color="FFFFFF"/>
                    <w:right w:val="single" w:sz="8" w:space="0" w:color="FFFFFF"/>
                  </w:tcBorders>
                  <w:shd w:val="clear" w:color="000000" w:fill="FDE9D9"/>
                  <w:noWrap/>
                  <w:vAlign w:val="center"/>
                  <w:hideMark/>
                </w:tcPr>
                <w:p w14:paraId="5D4C8D59"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000000"/>
                      <w:kern w:val="0"/>
                      <w:sz w:val="18"/>
                      <w:szCs w:val="18"/>
                    </w:rPr>
                    <w:t>17%</w:t>
                  </w:r>
                </w:p>
              </w:tc>
              <w:tc>
                <w:tcPr>
                  <w:tcW w:w="930" w:type="dxa"/>
                  <w:tcBorders>
                    <w:top w:val="nil"/>
                    <w:left w:val="nil"/>
                    <w:bottom w:val="single" w:sz="8" w:space="0" w:color="FFFFFF"/>
                    <w:right w:val="single" w:sz="8" w:space="0" w:color="FFFFFF"/>
                  </w:tcBorders>
                  <w:shd w:val="clear" w:color="000000" w:fill="FDE9D9"/>
                  <w:noWrap/>
                  <w:vAlign w:val="center"/>
                  <w:hideMark/>
                </w:tcPr>
                <w:p w14:paraId="5CD77FA6"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000000"/>
                      <w:kern w:val="0"/>
                      <w:sz w:val="18"/>
                      <w:szCs w:val="18"/>
                    </w:rPr>
                    <w:t>16%</w:t>
                  </w:r>
                </w:p>
              </w:tc>
              <w:tc>
                <w:tcPr>
                  <w:tcW w:w="930" w:type="dxa"/>
                  <w:tcBorders>
                    <w:top w:val="nil"/>
                    <w:left w:val="nil"/>
                    <w:bottom w:val="single" w:sz="8" w:space="0" w:color="FFFFFF"/>
                    <w:right w:val="single" w:sz="8" w:space="0" w:color="FFFFFF"/>
                  </w:tcBorders>
                  <w:shd w:val="clear" w:color="000000" w:fill="FDE9D9"/>
                  <w:noWrap/>
                  <w:vAlign w:val="center"/>
                  <w:hideMark/>
                </w:tcPr>
                <w:p w14:paraId="5248E7DC"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000000"/>
                      <w:kern w:val="0"/>
                      <w:sz w:val="18"/>
                      <w:szCs w:val="18"/>
                    </w:rPr>
                    <w:t>46%</w:t>
                  </w:r>
                </w:p>
              </w:tc>
              <w:tc>
                <w:tcPr>
                  <w:tcW w:w="930" w:type="dxa"/>
                  <w:tcBorders>
                    <w:top w:val="nil"/>
                    <w:left w:val="nil"/>
                    <w:bottom w:val="single" w:sz="8" w:space="0" w:color="FFFFFF"/>
                    <w:right w:val="single" w:sz="8" w:space="0" w:color="FFFFFF"/>
                  </w:tcBorders>
                  <w:shd w:val="clear" w:color="000000" w:fill="FDE9D9"/>
                  <w:noWrap/>
                  <w:vAlign w:val="center"/>
                  <w:hideMark/>
                </w:tcPr>
                <w:p w14:paraId="51F3B39E" w14:textId="77777777" w:rsidR="00E46B36" w:rsidRPr="00E46B36" w:rsidRDefault="00E46B36" w:rsidP="00E46B36">
                  <w:pPr>
                    <w:widowControl/>
                    <w:jc w:val="center"/>
                    <w:rPr>
                      <w:rFonts w:ascii="楷体" w:eastAsia="楷体" w:hAnsi="楷体" w:cs="宋体"/>
                      <w:color w:val="000000"/>
                      <w:kern w:val="0"/>
                      <w:sz w:val="18"/>
                      <w:szCs w:val="18"/>
                    </w:rPr>
                  </w:pPr>
                  <w:proofErr w:type="gramStart"/>
                  <w:r w:rsidRPr="00E46B36">
                    <w:rPr>
                      <w:rFonts w:ascii="楷体" w:eastAsia="楷体" w:hAnsi="楷体" w:cs="宋体" w:hint="eastAsia"/>
                      <w:color w:val="000000"/>
                      <w:kern w:val="0"/>
                      <w:sz w:val="18"/>
                      <w:szCs w:val="18"/>
                    </w:rPr>
                    <w:t>城投债</w:t>
                  </w:r>
                  <w:proofErr w:type="gramEnd"/>
                  <w:r w:rsidRPr="00E46B36">
                    <w:rPr>
                      <w:rFonts w:ascii="楷体" w:eastAsia="楷体" w:hAnsi="楷体" w:cs="宋体" w:hint="eastAsia"/>
                      <w:color w:val="000000"/>
                      <w:kern w:val="0"/>
                      <w:sz w:val="18"/>
                      <w:szCs w:val="18"/>
                    </w:rPr>
                    <w:t>5Y</w:t>
                  </w:r>
                </w:p>
              </w:tc>
              <w:tc>
                <w:tcPr>
                  <w:tcW w:w="930" w:type="dxa"/>
                  <w:tcBorders>
                    <w:top w:val="nil"/>
                    <w:left w:val="nil"/>
                    <w:bottom w:val="single" w:sz="8" w:space="0" w:color="FFFFFF"/>
                    <w:right w:val="single" w:sz="8" w:space="0" w:color="FFFFFF"/>
                  </w:tcBorders>
                  <w:shd w:val="clear" w:color="000000" w:fill="FDE9D9"/>
                  <w:noWrap/>
                  <w:vAlign w:val="center"/>
                  <w:hideMark/>
                </w:tcPr>
                <w:p w14:paraId="0D3EA64B"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000000"/>
                      <w:kern w:val="0"/>
                      <w:sz w:val="18"/>
                      <w:szCs w:val="18"/>
                    </w:rPr>
                    <w:t>30%</w:t>
                  </w:r>
                </w:p>
              </w:tc>
              <w:tc>
                <w:tcPr>
                  <w:tcW w:w="930" w:type="dxa"/>
                  <w:tcBorders>
                    <w:top w:val="nil"/>
                    <w:left w:val="nil"/>
                    <w:bottom w:val="single" w:sz="8" w:space="0" w:color="FFFFFF"/>
                    <w:right w:val="single" w:sz="8" w:space="0" w:color="FFFFFF"/>
                  </w:tcBorders>
                  <w:shd w:val="clear" w:color="000000" w:fill="FDE9D9"/>
                  <w:noWrap/>
                  <w:vAlign w:val="center"/>
                  <w:hideMark/>
                </w:tcPr>
                <w:p w14:paraId="377E4252"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000000"/>
                      <w:kern w:val="0"/>
                      <w:sz w:val="18"/>
                      <w:szCs w:val="18"/>
                    </w:rPr>
                    <w:t>27%</w:t>
                  </w:r>
                </w:p>
              </w:tc>
              <w:tc>
                <w:tcPr>
                  <w:tcW w:w="930" w:type="dxa"/>
                  <w:tcBorders>
                    <w:top w:val="nil"/>
                    <w:left w:val="nil"/>
                    <w:bottom w:val="single" w:sz="8" w:space="0" w:color="FFFFFF"/>
                    <w:right w:val="single" w:sz="8" w:space="0" w:color="FFFFFF"/>
                  </w:tcBorders>
                  <w:shd w:val="clear" w:color="000000" w:fill="FDE9D9"/>
                  <w:noWrap/>
                  <w:vAlign w:val="center"/>
                  <w:hideMark/>
                </w:tcPr>
                <w:p w14:paraId="01C30AAD"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000000"/>
                      <w:kern w:val="0"/>
                      <w:sz w:val="18"/>
                      <w:szCs w:val="18"/>
                    </w:rPr>
                    <w:t>22%</w:t>
                  </w:r>
                </w:p>
              </w:tc>
              <w:tc>
                <w:tcPr>
                  <w:tcW w:w="930" w:type="dxa"/>
                  <w:tcBorders>
                    <w:top w:val="nil"/>
                    <w:left w:val="nil"/>
                    <w:bottom w:val="single" w:sz="8" w:space="0" w:color="FFFFFF"/>
                    <w:right w:val="single" w:sz="8" w:space="0" w:color="FFFFFF"/>
                  </w:tcBorders>
                  <w:shd w:val="clear" w:color="000000" w:fill="FDE9D9"/>
                  <w:noWrap/>
                  <w:vAlign w:val="center"/>
                  <w:hideMark/>
                </w:tcPr>
                <w:p w14:paraId="327D3BE1"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000000"/>
                      <w:kern w:val="0"/>
                      <w:sz w:val="18"/>
                      <w:szCs w:val="18"/>
                    </w:rPr>
                    <w:t>76%</w:t>
                  </w:r>
                </w:p>
              </w:tc>
            </w:tr>
            <w:tr w:rsidR="00E46B36" w:rsidRPr="006E06F9" w14:paraId="5BA961BF" w14:textId="77777777" w:rsidTr="00E46B36">
              <w:trPr>
                <w:trHeight w:val="292"/>
              </w:trPr>
              <w:tc>
                <w:tcPr>
                  <w:tcW w:w="1146" w:type="dxa"/>
                  <w:tcBorders>
                    <w:top w:val="nil"/>
                    <w:left w:val="nil"/>
                    <w:bottom w:val="nil"/>
                    <w:right w:val="nil"/>
                  </w:tcBorders>
                  <w:shd w:val="clear" w:color="000000" w:fill="FCD5B4"/>
                  <w:noWrap/>
                  <w:vAlign w:val="center"/>
                  <w:hideMark/>
                </w:tcPr>
                <w:p w14:paraId="036A6B74" w14:textId="77777777" w:rsidR="00E46B36" w:rsidRPr="00E46B36" w:rsidRDefault="00E46B36" w:rsidP="00E46B36">
                  <w:pPr>
                    <w:widowControl/>
                    <w:jc w:val="center"/>
                    <w:rPr>
                      <w:rFonts w:ascii="楷体" w:eastAsia="楷体" w:hAnsi="楷体" w:cs="宋体"/>
                      <w:color w:val="000000"/>
                      <w:kern w:val="0"/>
                      <w:sz w:val="18"/>
                      <w:szCs w:val="18"/>
                    </w:rPr>
                  </w:pPr>
                  <w:proofErr w:type="gramStart"/>
                  <w:r w:rsidRPr="00E46B36">
                    <w:rPr>
                      <w:rFonts w:ascii="楷体" w:eastAsia="楷体" w:hAnsi="楷体" w:cs="宋体" w:hint="eastAsia"/>
                      <w:color w:val="000000"/>
                      <w:kern w:val="0"/>
                      <w:sz w:val="18"/>
                      <w:szCs w:val="18"/>
                    </w:rPr>
                    <w:t>城投债</w:t>
                  </w:r>
                  <w:proofErr w:type="gramEnd"/>
                  <w:r w:rsidRPr="00E46B36">
                    <w:rPr>
                      <w:rFonts w:ascii="楷体" w:eastAsia="楷体" w:hAnsi="楷体" w:cs="宋体" w:hint="eastAsia"/>
                      <w:color w:val="000000"/>
                      <w:kern w:val="0"/>
                      <w:sz w:val="18"/>
                      <w:szCs w:val="18"/>
                    </w:rPr>
                    <w:t>7Y</w:t>
                  </w:r>
                </w:p>
              </w:tc>
              <w:tc>
                <w:tcPr>
                  <w:tcW w:w="930" w:type="dxa"/>
                  <w:tcBorders>
                    <w:top w:val="nil"/>
                    <w:left w:val="nil"/>
                    <w:bottom w:val="single" w:sz="8" w:space="0" w:color="FFFFFF"/>
                    <w:right w:val="single" w:sz="8" w:space="0" w:color="FFFFFF"/>
                  </w:tcBorders>
                  <w:shd w:val="clear" w:color="000000" w:fill="FCD5B4"/>
                  <w:noWrap/>
                  <w:vAlign w:val="center"/>
                  <w:hideMark/>
                </w:tcPr>
                <w:p w14:paraId="24A8E615"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000000"/>
                      <w:kern w:val="0"/>
                      <w:sz w:val="18"/>
                      <w:szCs w:val="18"/>
                    </w:rPr>
                    <w:t>12%</w:t>
                  </w:r>
                </w:p>
              </w:tc>
              <w:tc>
                <w:tcPr>
                  <w:tcW w:w="930" w:type="dxa"/>
                  <w:tcBorders>
                    <w:top w:val="nil"/>
                    <w:left w:val="nil"/>
                    <w:bottom w:val="single" w:sz="8" w:space="0" w:color="FFFFFF"/>
                    <w:right w:val="single" w:sz="8" w:space="0" w:color="FFFFFF"/>
                  </w:tcBorders>
                  <w:shd w:val="clear" w:color="000000" w:fill="FCD5B4"/>
                  <w:noWrap/>
                  <w:vAlign w:val="center"/>
                  <w:hideMark/>
                </w:tcPr>
                <w:p w14:paraId="7E8F7C28"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000000"/>
                      <w:kern w:val="0"/>
                      <w:sz w:val="18"/>
                      <w:szCs w:val="18"/>
                    </w:rPr>
                    <w:t>11%</w:t>
                  </w:r>
                </w:p>
              </w:tc>
              <w:tc>
                <w:tcPr>
                  <w:tcW w:w="930" w:type="dxa"/>
                  <w:tcBorders>
                    <w:top w:val="nil"/>
                    <w:left w:val="nil"/>
                    <w:bottom w:val="single" w:sz="8" w:space="0" w:color="FFFFFF"/>
                    <w:right w:val="single" w:sz="8" w:space="0" w:color="FFFFFF"/>
                  </w:tcBorders>
                  <w:shd w:val="clear" w:color="000000" w:fill="FCD5B4"/>
                  <w:noWrap/>
                  <w:vAlign w:val="center"/>
                  <w:hideMark/>
                </w:tcPr>
                <w:p w14:paraId="619B0423"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000000"/>
                      <w:kern w:val="0"/>
                      <w:sz w:val="18"/>
                      <w:szCs w:val="18"/>
                    </w:rPr>
                    <w:t>10%</w:t>
                  </w:r>
                </w:p>
              </w:tc>
              <w:tc>
                <w:tcPr>
                  <w:tcW w:w="930" w:type="dxa"/>
                  <w:tcBorders>
                    <w:top w:val="nil"/>
                    <w:left w:val="nil"/>
                    <w:bottom w:val="single" w:sz="8" w:space="0" w:color="FFFFFF"/>
                    <w:right w:val="single" w:sz="8" w:space="0" w:color="FFFFFF"/>
                  </w:tcBorders>
                  <w:shd w:val="clear" w:color="000000" w:fill="FCD5B4"/>
                  <w:noWrap/>
                  <w:vAlign w:val="center"/>
                  <w:hideMark/>
                </w:tcPr>
                <w:p w14:paraId="12FAAB6D"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000000"/>
                      <w:kern w:val="0"/>
                      <w:sz w:val="18"/>
                      <w:szCs w:val="18"/>
                    </w:rPr>
                    <w:t>40%</w:t>
                  </w:r>
                </w:p>
              </w:tc>
              <w:tc>
                <w:tcPr>
                  <w:tcW w:w="930" w:type="dxa"/>
                  <w:tcBorders>
                    <w:top w:val="nil"/>
                    <w:left w:val="nil"/>
                    <w:bottom w:val="nil"/>
                    <w:right w:val="nil"/>
                  </w:tcBorders>
                  <w:shd w:val="clear" w:color="000000" w:fill="FCD5B4"/>
                  <w:noWrap/>
                  <w:vAlign w:val="center"/>
                  <w:hideMark/>
                </w:tcPr>
                <w:p w14:paraId="358F3FFA" w14:textId="77777777" w:rsidR="00E46B36" w:rsidRPr="00E46B36" w:rsidRDefault="00E46B36" w:rsidP="00E46B36">
                  <w:pPr>
                    <w:widowControl/>
                    <w:jc w:val="center"/>
                    <w:rPr>
                      <w:rFonts w:ascii="楷体" w:eastAsia="楷体" w:hAnsi="楷体" w:cs="宋体"/>
                      <w:color w:val="000000"/>
                      <w:kern w:val="0"/>
                      <w:sz w:val="18"/>
                      <w:szCs w:val="18"/>
                    </w:rPr>
                  </w:pPr>
                  <w:proofErr w:type="gramStart"/>
                  <w:r w:rsidRPr="00E46B36">
                    <w:rPr>
                      <w:rFonts w:ascii="楷体" w:eastAsia="楷体" w:hAnsi="楷体" w:cs="宋体" w:hint="eastAsia"/>
                      <w:color w:val="000000"/>
                      <w:kern w:val="0"/>
                      <w:sz w:val="18"/>
                      <w:szCs w:val="18"/>
                    </w:rPr>
                    <w:t>城投债</w:t>
                  </w:r>
                  <w:proofErr w:type="gramEnd"/>
                  <w:r w:rsidRPr="00E46B36">
                    <w:rPr>
                      <w:rFonts w:ascii="楷体" w:eastAsia="楷体" w:hAnsi="楷体" w:cs="宋体" w:hint="eastAsia"/>
                      <w:color w:val="000000"/>
                      <w:kern w:val="0"/>
                      <w:sz w:val="18"/>
                      <w:szCs w:val="18"/>
                    </w:rPr>
                    <w:t>7Y</w:t>
                  </w:r>
                </w:p>
              </w:tc>
              <w:tc>
                <w:tcPr>
                  <w:tcW w:w="930" w:type="dxa"/>
                  <w:tcBorders>
                    <w:top w:val="nil"/>
                    <w:left w:val="nil"/>
                    <w:bottom w:val="single" w:sz="8" w:space="0" w:color="FFFFFF"/>
                    <w:right w:val="single" w:sz="8" w:space="0" w:color="FFFFFF"/>
                  </w:tcBorders>
                  <w:shd w:val="clear" w:color="000000" w:fill="FCD5B4"/>
                  <w:noWrap/>
                  <w:vAlign w:val="center"/>
                  <w:hideMark/>
                </w:tcPr>
                <w:p w14:paraId="53962952"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000000"/>
                      <w:kern w:val="0"/>
                      <w:sz w:val="18"/>
                      <w:szCs w:val="18"/>
                    </w:rPr>
                    <w:t>15%</w:t>
                  </w:r>
                </w:p>
              </w:tc>
              <w:tc>
                <w:tcPr>
                  <w:tcW w:w="930" w:type="dxa"/>
                  <w:tcBorders>
                    <w:top w:val="nil"/>
                    <w:left w:val="nil"/>
                    <w:bottom w:val="single" w:sz="8" w:space="0" w:color="FFFFFF"/>
                    <w:right w:val="single" w:sz="8" w:space="0" w:color="FFFFFF"/>
                  </w:tcBorders>
                  <w:shd w:val="clear" w:color="000000" w:fill="FCD5B4"/>
                  <w:noWrap/>
                  <w:vAlign w:val="center"/>
                  <w:hideMark/>
                </w:tcPr>
                <w:p w14:paraId="42BBFDEA"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000000"/>
                      <w:kern w:val="0"/>
                      <w:sz w:val="18"/>
                      <w:szCs w:val="18"/>
                    </w:rPr>
                    <w:t>12%</w:t>
                  </w:r>
                </w:p>
              </w:tc>
              <w:tc>
                <w:tcPr>
                  <w:tcW w:w="930" w:type="dxa"/>
                  <w:tcBorders>
                    <w:top w:val="nil"/>
                    <w:left w:val="nil"/>
                    <w:bottom w:val="single" w:sz="8" w:space="0" w:color="FFFFFF"/>
                    <w:right w:val="single" w:sz="8" w:space="0" w:color="FFFFFF"/>
                  </w:tcBorders>
                  <w:shd w:val="clear" w:color="000000" w:fill="FCD5B4"/>
                  <w:noWrap/>
                  <w:vAlign w:val="center"/>
                  <w:hideMark/>
                </w:tcPr>
                <w:p w14:paraId="4108CCA7"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000000"/>
                      <w:kern w:val="0"/>
                      <w:sz w:val="18"/>
                      <w:szCs w:val="18"/>
                    </w:rPr>
                    <w:t>7%</w:t>
                  </w:r>
                </w:p>
              </w:tc>
              <w:tc>
                <w:tcPr>
                  <w:tcW w:w="930" w:type="dxa"/>
                  <w:tcBorders>
                    <w:top w:val="nil"/>
                    <w:left w:val="nil"/>
                    <w:bottom w:val="single" w:sz="8" w:space="0" w:color="FFFFFF"/>
                    <w:right w:val="single" w:sz="8" w:space="0" w:color="FFFFFF"/>
                  </w:tcBorders>
                  <w:shd w:val="clear" w:color="000000" w:fill="FCD5B4"/>
                  <w:noWrap/>
                  <w:vAlign w:val="center"/>
                  <w:hideMark/>
                </w:tcPr>
                <w:p w14:paraId="09A009EC" w14:textId="77777777" w:rsidR="00E46B36" w:rsidRPr="00E46B36" w:rsidRDefault="00E46B36" w:rsidP="00E46B36">
                  <w:pPr>
                    <w:widowControl/>
                    <w:jc w:val="center"/>
                    <w:rPr>
                      <w:rFonts w:eastAsia="等线" w:cs="Calibri"/>
                      <w:color w:val="000000"/>
                      <w:kern w:val="0"/>
                      <w:sz w:val="18"/>
                      <w:szCs w:val="18"/>
                    </w:rPr>
                  </w:pPr>
                  <w:r w:rsidRPr="00E46B36">
                    <w:rPr>
                      <w:rFonts w:eastAsia="等线" w:cs="Calibri"/>
                      <w:color w:val="000000"/>
                      <w:kern w:val="0"/>
                      <w:sz w:val="18"/>
                      <w:szCs w:val="18"/>
                    </w:rPr>
                    <w:t>66%</w:t>
                  </w:r>
                </w:p>
              </w:tc>
            </w:tr>
          </w:tbl>
          <w:p w14:paraId="446C7D6E" w14:textId="294F6511" w:rsidR="00E0626C" w:rsidRPr="0012177F" w:rsidRDefault="00E0626C" w:rsidP="0092340D">
            <w:pPr>
              <w:rPr>
                <w:noProof/>
                <w:szCs w:val="18"/>
              </w:rPr>
            </w:pPr>
          </w:p>
        </w:tc>
      </w:tr>
      <w:tr w:rsidR="00E0626C" w:rsidRPr="006A5F34" w14:paraId="01D36A65" w14:textId="77777777" w:rsidTr="00E46B36">
        <w:trPr>
          <w:trHeight w:val="43"/>
          <w:jc w:val="center"/>
        </w:trPr>
        <w:tc>
          <w:tcPr>
            <w:tcW w:w="9881" w:type="dxa"/>
            <w:vAlign w:val="center"/>
          </w:tcPr>
          <w:p w14:paraId="6284202E" w14:textId="2B61B5A0" w:rsidR="00E0626C" w:rsidRPr="006A5F34" w:rsidRDefault="00E0626C" w:rsidP="009A2BA0">
            <w:pPr>
              <w:pStyle w:val="Source"/>
              <w:jc w:val="both"/>
              <w:rPr>
                <w:kern w:val="0"/>
              </w:rPr>
            </w:pPr>
            <w:r w:rsidRPr="006A5F34">
              <w:rPr>
                <w:rFonts w:hint="eastAsia"/>
                <w:kern w:val="0"/>
              </w:rPr>
              <w:lastRenderedPageBreak/>
              <w:t>资料来源：万得</w:t>
            </w:r>
            <w:r>
              <w:rPr>
                <w:rFonts w:hint="eastAsia"/>
                <w:kern w:val="0"/>
              </w:rPr>
              <w:t>，富荣基金；利差基准为同期限国债</w:t>
            </w:r>
          </w:p>
        </w:tc>
      </w:tr>
    </w:tbl>
    <w:p w14:paraId="26A54476" w14:textId="77777777" w:rsidR="00E0626C" w:rsidRPr="00B8530C" w:rsidRDefault="00E0626C" w:rsidP="009A2BA0">
      <w:pPr>
        <w:pStyle w:val="Body-text"/>
        <w:spacing w:after="0"/>
        <w:rPr>
          <w:lang w:eastAsia="zh-CN"/>
        </w:rPr>
      </w:pPr>
    </w:p>
    <w:p w14:paraId="2D403D4F" w14:textId="78A4441C" w:rsidR="00E0626C" w:rsidRPr="00C73E5D" w:rsidRDefault="00E0626C" w:rsidP="009A2BA0">
      <w:pPr>
        <w:pStyle w:val="Header2"/>
        <w:rPr>
          <w:rFonts w:eastAsia="PMingLiU"/>
          <w:sz w:val="28"/>
          <w:szCs w:val="21"/>
          <w:lang w:eastAsia="zh-CN"/>
        </w:rPr>
      </w:pPr>
      <w:r>
        <w:rPr>
          <w:sz w:val="28"/>
          <w:szCs w:val="21"/>
          <w:lang w:eastAsia="zh-CN"/>
        </w:rPr>
        <w:t>4</w:t>
      </w:r>
      <w:r>
        <w:rPr>
          <w:rFonts w:hint="eastAsia"/>
          <w:sz w:val="28"/>
          <w:szCs w:val="21"/>
          <w:lang w:eastAsia="zh-CN"/>
        </w:rPr>
        <w:t>、</w:t>
      </w:r>
      <w:r>
        <w:rPr>
          <w:rFonts w:hint="eastAsia"/>
          <w:sz w:val="28"/>
          <w:szCs w:val="21"/>
        </w:rPr>
        <w:t>可转债</w:t>
      </w:r>
    </w:p>
    <w:p w14:paraId="526CD45E" w14:textId="105EF8D0" w:rsidR="00C37204" w:rsidRPr="00C16434" w:rsidRDefault="006050AB" w:rsidP="00416C5F">
      <w:pPr>
        <w:pStyle w:val="Body-text"/>
        <w:spacing w:after="240"/>
        <w:ind w:firstLineChars="200" w:firstLine="480"/>
        <w:rPr>
          <w:rFonts w:ascii="华文楷体" w:hAnsi="华文楷体"/>
          <w:sz w:val="24"/>
          <w:szCs w:val="24"/>
          <w:lang w:eastAsia="zh-CN"/>
        </w:rPr>
      </w:pPr>
      <w:r>
        <w:rPr>
          <w:rFonts w:ascii="华文楷体" w:hAnsi="华文楷体" w:hint="eastAsia"/>
          <w:sz w:val="24"/>
          <w:szCs w:val="24"/>
          <w:lang w:eastAsia="zh-CN"/>
        </w:rPr>
        <w:t>本周</w:t>
      </w:r>
      <w:r>
        <w:rPr>
          <w:rFonts w:ascii="华文楷体" w:hAnsi="华文楷体"/>
          <w:sz w:val="24"/>
          <w:szCs w:val="24"/>
          <w:lang w:eastAsia="zh-CN"/>
        </w:rPr>
        <w:t>，</w:t>
      </w:r>
      <w:r w:rsidR="003931FA" w:rsidRPr="003931FA">
        <w:rPr>
          <w:rFonts w:ascii="华文楷体" w:hAnsi="华文楷体" w:hint="eastAsia"/>
          <w:sz w:val="24"/>
          <w:szCs w:val="24"/>
          <w:lang w:eastAsia="zh-CN"/>
        </w:rPr>
        <w:t>本周</w:t>
      </w:r>
      <w:r w:rsidR="00591DD3">
        <w:rPr>
          <w:rFonts w:ascii="华文楷体" w:hAnsi="华文楷体" w:hint="eastAsia"/>
          <w:sz w:val="24"/>
          <w:szCs w:val="24"/>
          <w:lang w:eastAsia="zh-CN"/>
        </w:rPr>
        <w:t>权益市场</w:t>
      </w:r>
      <w:r w:rsidR="00AF3C15">
        <w:rPr>
          <w:rFonts w:ascii="华文楷体" w:hAnsi="华文楷体" w:hint="eastAsia"/>
          <w:sz w:val="24"/>
          <w:szCs w:val="24"/>
          <w:lang w:eastAsia="zh-CN"/>
        </w:rPr>
        <w:t>修复明显，蓄力后再次上冲，</w:t>
      </w:r>
      <w:r w:rsidR="00591DD3">
        <w:rPr>
          <w:rFonts w:ascii="华文楷体" w:hAnsi="华文楷体" w:hint="eastAsia"/>
          <w:sz w:val="24"/>
          <w:szCs w:val="24"/>
          <w:lang w:eastAsia="zh-CN"/>
        </w:rPr>
        <w:t>转</w:t>
      </w:r>
      <w:proofErr w:type="gramStart"/>
      <w:r w:rsidR="00591DD3">
        <w:rPr>
          <w:rFonts w:ascii="华文楷体" w:hAnsi="华文楷体" w:hint="eastAsia"/>
          <w:sz w:val="24"/>
          <w:szCs w:val="24"/>
          <w:lang w:eastAsia="zh-CN"/>
        </w:rPr>
        <w:t>债指数</w:t>
      </w:r>
      <w:proofErr w:type="gramEnd"/>
      <w:r w:rsidR="00AF3C15">
        <w:rPr>
          <w:rFonts w:ascii="华文楷体" w:hAnsi="华文楷体" w:hint="eastAsia"/>
          <w:sz w:val="24"/>
          <w:szCs w:val="24"/>
          <w:lang w:eastAsia="zh-CN"/>
        </w:rPr>
        <w:t>较上周上涨2</w:t>
      </w:r>
      <w:r w:rsidR="00AF3C15">
        <w:rPr>
          <w:rFonts w:ascii="华文楷体" w:hAnsi="华文楷体"/>
          <w:sz w:val="24"/>
          <w:szCs w:val="24"/>
          <w:lang w:eastAsia="zh-CN"/>
        </w:rPr>
        <w:t>.3</w:t>
      </w:r>
      <w:r w:rsidR="00AF3C15">
        <w:rPr>
          <w:rFonts w:ascii="华文楷体" w:hAnsi="华文楷体" w:hint="eastAsia"/>
          <w:sz w:val="24"/>
          <w:szCs w:val="24"/>
          <w:lang w:eastAsia="zh-CN"/>
        </w:rPr>
        <w:t>%</w:t>
      </w:r>
      <w:r w:rsidR="00591DD3">
        <w:rPr>
          <w:rFonts w:ascii="华文楷体" w:hAnsi="华文楷体" w:hint="eastAsia"/>
          <w:sz w:val="24"/>
          <w:szCs w:val="24"/>
          <w:lang w:eastAsia="zh-CN"/>
        </w:rPr>
        <w:t>。</w:t>
      </w:r>
      <w:r w:rsidR="00591011">
        <w:rPr>
          <w:rFonts w:ascii="华文楷体" w:hAnsi="华文楷体" w:hint="eastAsia"/>
          <w:sz w:val="24"/>
          <w:szCs w:val="24"/>
          <w:lang w:eastAsia="zh-CN"/>
        </w:rPr>
        <w:t>市场</w:t>
      </w:r>
      <w:r w:rsidR="00F20D5F">
        <w:rPr>
          <w:rFonts w:ascii="华文楷体" w:hAnsi="华文楷体" w:hint="eastAsia"/>
          <w:sz w:val="24"/>
          <w:szCs w:val="24"/>
          <w:lang w:eastAsia="zh-CN"/>
        </w:rPr>
        <w:t>各主要板块</w:t>
      </w:r>
      <w:r w:rsidR="007C2CEA">
        <w:rPr>
          <w:rFonts w:ascii="华文楷体" w:hAnsi="华文楷体" w:hint="eastAsia"/>
          <w:sz w:val="24"/>
          <w:szCs w:val="24"/>
          <w:lang w:eastAsia="zh-CN"/>
        </w:rPr>
        <w:t>轮动上冲，成交量较上周</w:t>
      </w:r>
      <w:r w:rsidR="00E04BBE">
        <w:rPr>
          <w:rFonts w:ascii="华文楷体" w:hAnsi="华文楷体" w:hint="eastAsia"/>
          <w:sz w:val="24"/>
          <w:szCs w:val="24"/>
          <w:lang w:eastAsia="zh-CN"/>
        </w:rPr>
        <w:t>略有缩减</w:t>
      </w:r>
      <w:r w:rsidR="00DC05C7">
        <w:rPr>
          <w:rFonts w:ascii="华文楷体" w:hAnsi="华文楷体" w:hint="eastAsia"/>
          <w:sz w:val="24"/>
          <w:szCs w:val="24"/>
          <w:lang w:eastAsia="zh-CN"/>
        </w:rPr>
        <w:t>。</w:t>
      </w:r>
      <w:r w:rsidR="00591DD3">
        <w:rPr>
          <w:rFonts w:ascii="华文楷体" w:hAnsi="华文楷体" w:hint="eastAsia"/>
          <w:sz w:val="24"/>
          <w:szCs w:val="24"/>
          <w:lang w:eastAsia="zh-CN"/>
        </w:rPr>
        <w:t>本周</w:t>
      </w:r>
      <w:r w:rsidR="00AC28BB">
        <w:rPr>
          <w:rFonts w:ascii="华文楷体" w:hAnsi="华文楷体" w:hint="eastAsia"/>
          <w:sz w:val="24"/>
          <w:szCs w:val="24"/>
          <w:lang w:eastAsia="zh-CN"/>
        </w:rPr>
        <w:t>上证综指</w:t>
      </w:r>
      <w:r w:rsidR="00AC28BB">
        <w:rPr>
          <w:rFonts w:ascii="华文楷体" w:hAnsi="华文楷体"/>
          <w:sz w:val="24"/>
          <w:szCs w:val="24"/>
          <w:lang w:eastAsia="zh-CN"/>
        </w:rPr>
        <w:t>、</w:t>
      </w:r>
      <w:r w:rsidR="00AC28BB">
        <w:rPr>
          <w:rFonts w:ascii="华文楷体" w:hAnsi="华文楷体" w:hint="eastAsia"/>
          <w:sz w:val="24"/>
          <w:szCs w:val="24"/>
          <w:lang w:eastAsia="zh-CN"/>
        </w:rPr>
        <w:t>创业板指</w:t>
      </w:r>
      <w:r w:rsidR="00AC28BB">
        <w:rPr>
          <w:rFonts w:ascii="华文楷体" w:hAnsi="华文楷体"/>
          <w:sz w:val="24"/>
          <w:szCs w:val="24"/>
          <w:lang w:eastAsia="zh-CN"/>
        </w:rPr>
        <w:t>、上证</w:t>
      </w:r>
      <w:r w:rsidR="00AC28BB">
        <w:rPr>
          <w:rFonts w:ascii="华文楷体" w:hAnsi="华文楷体" w:hint="eastAsia"/>
          <w:sz w:val="24"/>
          <w:szCs w:val="24"/>
          <w:lang w:eastAsia="zh-CN"/>
        </w:rPr>
        <w:t>50和</w:t>
      </w:r>
      <w:r w:rsidR="00AC28BB">
        <w:rPr>
          <w:rFonts w:ascii="华文楷体" w:hAnsi="华文楷体"/>
          <w:sz w:val="24"/>
          <w:szCs w:val="24"/>
          <w:lang w:eastAsia="zh-CN"/>
        </w:rPr>
        <w:t>沪深</w:t>
      </w:r>
      <w:r w:rsidR="00AC28BB">
        <w:rPr>
          <w:rFonts w:ascii="华文楷体" w:hAnsi="华文楷体" w:hint="eastAsia"/>
          <w:sz w:val="24"/>
          <w:szCs w:val="24"/>
          <w:lang w:eastAsia="zh-CN"/>
        </w:rPr>
        <w:t>300</w:t>
      </w:r>
      <w:r w:rsidR="00AC28BB">
        <w:rPr>
          <w:rFonts w:ascii="华文楷体" w:hAnsi="华文楷体"/>
          <w:sz w:val="24"/>
          <w:szCs w:val="24"/>
          <w:lang w:eastAsia="zh-CN"/>
        </w:rPr>
        <w:t>分别</w:t>
      </w:r>
      <w:r w:rsidR="007C2CEA">
        <w:rPr>
          <w:rFonts w:ascii="华文楷体" w:hAnsi="华文楷体" w:hint="eastAsia"/>
          <w:sz w:val="24"/>
          <w:szCs w:val="24"/>
          <w:lang w:eastAsia="zh-CN"/>
        </w:rPr>
        <w:t>上涨</w:t>
      </w:r>
      <w:r w:rsidR="00E04BBE">
        <w:rPr>
          <w:rFonts w:ascii="华文楷体" w:hAnsi="华文楷体"/>
          <w:sz w:val="24"/>
          <w:szCs w:val="24"/>
          <w:lang w:eastAsia="zh-CN"/>
        </w:rPr>
        <w:t>3.5</w:t>
      </w:r>
      <w:r w:rsidR="00AC28BB">
        <w:rPr>
          <w:rFonts w:ascii="华文楷体" w:hAnsi="华文楷体"/>
          <w:sz w:val="24"/>
          <w:szCs w:val="24"/>
          <w:lang w:eastAsia="zh-CN"/>
        </w:rPr>
        <w:t>%、</w:t>
      </w:r>
      <w:r w:rsidR="00E04BBE">
        <w:rPr>
          <w:rFonts w:ascii="华文楷体" w:hAnsi="华文楷体"/>
          <w:sz w:val="24"/>
          <w:szCs w:val="24"/>
          <w:lang w:eastAsia="zh-CN"/>
        </w:rPr>
        <w:t>6.</w:t>
      </w:r>
      <w:r w:rsidR="00187701">
        <w:rPr>
          <w:rFonts w:ascii="华文楷体" w:hAnsi="华文楷体" w:hint="eastAsia"/>
          <w:sz w:val="24"/>
          <w:szCs w:val="24"/>
          <w:lang w:eastAsia="zh-CN"/>
        </w:rPr>
        <w:t>4</w:t>
      </w:r>
      <w:r w:rsidR="00AC28BB">
        <w:rPr>
          <w:rFonts w:ascii="华文楷体" w:hAnsi="华文楷体"/>
          <w:sz w:val="24"/>
          <w:szCs w:val="24"/>
          <w:lang w:eastAsia="zh-CN"/>
        </w:rPr>
        <w:t>%、</w:t>
      </w:r>
      <w:r w:rsidR="00E04BBE">
        <w:rPr>
          <w:rFonts w:ascii="华文楷体" w:hAnsi="华文楷体"/>
          <w:sz w:val="24"/>
          <w:szCs w:val="24"/>
          <w:lang w:eastAsia="zh-CN"/>
        </w:rPr>
        <w:t>2.</w:t>
      </w:r>
      <w:r w:rsidR="00187701">
        <w:rPr>
          <w:rFonts w:ascii="华文楷体" w:hAnsi="华文楷体" w:hint="eastAsia"/>
          <w:sz w:val="24"/>
          <w:szCs w:val="24"/>
          <w:lang w:eastAsia="zh-CN"/>
        </w:rPr>
        <w:t>9</w:t>
      </w:r>
      <w:r w:rsidR="00AC28BB">
        <w:rPr>
          <w:rFonts w:ascii="华文楷体" w:hAnsi="华文楷体"/>
          <w:sz w:val="24"/>
          <w:szCs w:val="24"/>
          <w:lang w:eastAsia="zh-CN"/>
        </w:rPr>
        <w:t>%</w:t>
      </w:r>
      <w:r w:rsidR="00AC28BB">
        <w:rPr>
          <w:rFonts w:ascii="华文楷体" w:hAnsi="华文楷体" w:hint="eastAsia"/>
          <w:sz w:val="24"/>
          <w:szCs w:val="24"/>
          <w:lang w:eastAsia="zh-CN"/>
        </w:rPr>
        <w:t>和</w:t>
      </w:r>
      <w:r w:rsidR="00187701">
        <w:rPr>
          <w:rFonts w:ascii="华文楷体" w:hAnsi="华文楷体"/>
          <w:sz w:val="24"/>
          <w:szCs w:val="24"/>
          <w:lang w:eastAsia="zh-CN"/>
        </w:rPr>
        <w:t>4.2</w:t>
      </w:r>
      <w:r w:rsidR="00AC28BB">
        <w:rPr>
          <w:rFonts w:ascii="华文楷体" w:hAnsi="华文楷体"/>
          <w:sz w:val="24"/>
          <w:szCs w:val="24"/>
          <w:lang w:eastAsia="zh-CN"/>
        </w:rPr>
        <w:t>%</w:t>
      </w:r>
      <w:r w:rsidR="00AC28BB">
        <w:rPr>
          <w:rFonts w:ascii="华文楷体" w:hAnsi="华文楷体" w:hint="eastAsia"/>
          <w:sz w:val="24"/>
          <w:szCs w:val="24"/>
          <w:lang w:eastAsia="zh-CN"/>
        </w:rPr>
        <w:t>。</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E0626C" w:rsidRPr="006A5F34" w14:paraId="7CDD9AAA" w14:textId="77777777" w:rsidTr="006F21C0">
        <w:trPr>
          <w:jc w:val="center"/>
        </w:trPr>
        <w:tc>
          <w:tcPr>
            <w:tcW w:w="4939" w:type="dxa"/>
            <w:vAlign w:val="center"/>
          </w:tcPr>
          <w:p w14:paraId="13C69F6A" w14:textId="03E04781" w:rsidR="00E0626C" w:rsidRPr="006A5F34" w:rsidRDefault="00E0626C" w:rsidP="009A2BA0">
            <w:pPr>
              <w:pStyle w:val="ChartHeading"/>
              <w:jc w:val="both"/>
            </w:pPr>
            <w:r w:rsidRPr="006A5F34">
              <w:rPr>
                <w:rFonts w:hint="eastAsia"/>
              </w:rPr>
              <w:t>图表</w:t>
            </w:r>
            <w:r w:rsidRPr="006A5F34">
              <w:t>.</w:t>
            </w:r>
            <w:r>
              <w:t xml:space="preserve"> </w:t>
            </w:r>
            <w:r w:rsidR="00005D9A">
              <w:rPr>
                <w:rFonts w:hint="eastAsia"/>
              </w:rPr>
              <w:t>A</w:t>
            </w:r>
            <w:r w:rsidR="00005D9A">
              <w:rPr>
                <w:rFonts w:hint="eastAsia"/>
              </w:rPr>
              <w:t>股</w:t>
            </w:r>
            <w:r>
              <w:rPr>
                <w:rFonts w:hint="eastAsia"/>
              </w:rPr>
              <w:t>主要指数交易和估值情况</w:t>
            </w:r>
          </w:p>
        </w:tc>
        <w:tc>
          <w:tcPr>
            <w:tcW w:w="4938" w:type="dxa"/>
            <w:vAlign w:val="center"/>
          </w:tcPr>
          <w:p w14:paraId="45DE5131" w14:textId="48699973" w:rsidR="00E0626C" w:rsidRPr="006A5F34" w:rsidRDefault="00E0626C" w:rsidP="009A2BA0">
            <w:pPr>
              <w:pStyle w:val="ChartHeading"/>
              <w:jc w:val="both"/>
            </w:pPr>
            <w:r w:rsidRPr="006A5F34">
              <w:rPr>
                <w:rFonts w:hint="eastAsia"/>
              </w:rPr>
              <w:t>图表</w:t>
            </w:r>
            <w:r w:rsidRPr="006A5F34">
              <w:t xml:space="preserve">. </w:t>
            </w:r>
            <w:r w:rsidR="00416C5F">
              <w:rPr>
                <w:rFonts w:hint="eastAsia"/>
              </w:rPr>
              <w:t>转</w:t>
            </w:r>
            <w:proofErr w:type="gramStart"/>
            <w:r w:rsidR="00416C5F">
              <w:rPr>
                <w:rFonts w:hint="eastAsia"/>
              </w:rPr>
              <w:t>债指数</w:t>
            </w:r>
            <w:proofErr w:type="gramEnd"/>
            <w:r w:rsidR="00416C5F">
              <w:rPr>
                <w:rFonts w:hint="eastAsia"/>
              </w:rPr>
              <w:t>与股指累计变化</w:t>
            </w:r>
          </w:p>
        </w:tc>
      </w:tr>
      <w:tr w:rsidR="00E0626C" w:rsidRPr="006A5F34" w14:paraId="2CD3B9EE" w14:textId="77777777" w:rsidTr="006E06F9">
        <w:tblPrEx>
          <w:tblCellMar>
            <w:left w:w="108" w:type="dxa"/>
            <w:right w:w="108" w:type="dxa"/>
          </w:tblCellMar>
        </w:tblPrEx>
        <w:trPr>
          <w:jc w:val="center"/>
        </w:trPr>
        <w:tc>
          <w:tcPr>
            <w:tcW w:w="4939" w:type="dxa"/>
            <w:vAlign w:val="center"/>
          </w:tcPr>
          <w:p w14:paraId="5C83721A" w14:textId="0BA2A2E7" w:rsidR="00E0626C" w:rsidRPr="007E0340" w:rsidRDefault="00E04BBE" w:rsidP="009A2BA0">
            <w:pPr>
              <w:jc w:val="center"/>
              <w:rPr>
                <w:noProof/>
              </w:rPr>
            </w:pPr>
            <w:r>
              <w:rPr>
                <w:noProof/>
              </w:rPr>
              <w:drawing>
                <wp:inline distT="0" distB="0" distL="0" distR="0" wp14:anchorId="79503FD9" wp14:editId="16AE500F">
                  <wp:extent cx="2999105" cy="1671320"/>
                  <wp:effectExtent l="0" t="0" r="0" b="508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2999105" cy="1671320"/>
                          </a:xfrm>
                          <a:prstGeom prst="rect">
                            <a:avLst/>
                          </a:prstGeom>
                        </pic:spPr>
                      </pic:pic>
                    </a:graphicData>
                  </a:graphic>
                </wp:inline>
              </w:drawing>
            </w:r>
          </w:p>
        </w:tc>
        <w:tc>
          <w:tcPr>
            <w:tcW w:w="4938" w:type="dxa"/>
            <w:vAlign w:val="center"/>
          </w:tcPr>
          <w:p w14:paraId="39BD4383" w14:textId="52DB88D6" w:rsidR="00E0626C" w:rsidRPr="007E0340" w:rsidRDefault="006E06F9" w:rsidP="009A2BA0">
            <w:pPr>
              <w:jc w:val="center"/>
              <w:rPr>
                <w:noProof/>
                <w:szCs w:val="18"/>
              </w:rPr>
            </w:pPr>
            <w:r>
              <w:rPr>
                <w:noProof/>
              </w:rPr>
              <w:drawing>
                <wp:inline distT="0" distB="0" distL="0" distR="0" wp14:anchorId="4B1D5C0C" wp14:editId="4C9C6035">
                  <wp:extent cx="2998470" cy="1588135"/>
                  <wp:effectExtent l="0" t="0" r="0" b="0"/>
                  <wp:docPr id="8" name="图表 8">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a16="http://schemas.microsoft.com/office/drawing/2014/main" id="{00000000-0008-0000-06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tc>
      </w:tr>
      <w:tr w:rsidR="00E0626C" w:rsidRPr="006A5F34" w14:paraId="14E5D572" w14:textId="77777777" w:rsidTr="006F21C0">
        <w:trPr>
          <w:trHeight w:val="64"/>
          <w:jc w:val="center"/>
        </w:trPr>
        <w:tc>
          <w:tcPr>
            <w:tcW w:w="4939" w:type="dxa"/>
            <w:vAlign w:val="center"/>
          </w:tcPr>
          <w:p w14:paraId="5190A1EC"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c>
          <w:tcPr>
            <w:tcW w:w="4938" w:type="dxa"/>
            <w:vAlign w:val="center"/>
          </w:tcPr>
          <w:p w14:paraId="34A0B8FF"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tbl>
    <w:p w14:paraId="4E844C6C" w14:textId="153B6387" w:rsidR="00E0626C" w:rsidRDefault="00E0626C" w:rsidP="009A2BA0">
      <w:pPr>
        <w:pStyle w:val="Body-text"/>
        <w:spacing w:after="0"/>
        <w:rPr>
          <w:lang w:eastAsia="zh-CN"/>
        </w:rPr>
      </w:pPr>
    </w:p>
    <w:p w14:paraId="721DD2C0" w14:textId="02AF1313" w:rsidR="0082791D" w:rsidRPr="00963D43" w:rsidRDefault="0031666C" w:rsidP="009A2BA0">
      <w:pPr>
        <w:pStyle w:val="Header1"/>
        <w:spacing w:before="240"/>
        <w:rPr>
          <w:color w:val="C45911" w:themeColor="accent2" w:themeShade="BF"/>
        </w:rPr>
      </w:pPr>
      <w:r>
        <w:rPr>
          <w:rFonts w:hint="eastAsia"/>
          <w:color w:val="C45911" w:themeColor="accent2" w:themeShade="BF"/>
        </w:rPr>
        <w:t>三</w:t>
      </w:r>
      <w:r w:rsidR="0082791D" w:rsidRPr="00963D43">
        <w:rPr>
          <w:rFonts w:hint="eastAsia"/>
          <w:color w:val="C45911" w:themeColor="accent2" w:themeShade="BF"/>
        </w:rPr>
        <w:t>、</w:t>
      </w:r>
      <w:r w:rsidR="00E0626C">
        <w:rPr>
          <w:rFonts w:hint="eastAsia"/>
          <w:color w:val="C45911" w:themeColor="accent2" w:themeShade="BF"/>
        </w:rPr>
        <w:t>本周市场展望</w:t>
      </w:r>
    </w:p>
    <w:p w14:paraId="5ACEDF53" w14:textId="44718DE6" w:rsidR="00963D43" w:rsidRPr="005A1950" w:rsidRDefault="00FF7903" w:rsidP="009A2BA0">
      <w:pPr>
        <w:pStyle w:val="Header2"/>
        <w:rPr>
          <w:rFonts w:ascii="华文楷体" w:hAnsi="华文楷体"/>
          <w:b w:val="0"/>
          <w:szCs w:val="24"/>
          <w:lang w:eastAsia="zh-CN"/>
        </w:rPr>
      </w:pPr>
      <w:r>
        <w:rPr>
          <w:rFonts w:hint="eastAsia"/>
          <w:sz w:val="28"/>
          <w:szCs w:val="21"/>
          <w:lang w:eastAsia="zh-CN"/>
        </w:rPr>
        <w:t>1</w:t>
      </w:r>
      <w:r>
        <w:rPr>
          <w:rFonts w:hint="eastAsia"/>
          <w:sz w:val="28"/>
          <w:szCs w:val="21"/>
          <w:lang w:eastAsia="zh-CN"/>
        </w:rPr>
        <w:t>、</w:t>
      </w:r>
      <w:r w:rsidR="00E0626C">
        <w:rPr>
          <w:rFonts w:hint="eastAsia"/>
          <w:sz w:val="28"/>
          <w:szCs w:val="21"/>
        </w:rPr>
        <w:t>基本面变化</w:t>
      </w:r>
    </w:p>
    <w:p w14:paraId="41A42062" w14:textId="35484A1F" w:rsidR="00882FA5" w:rsidRPr="003E42BE" w:rsidRDefault="00E34B22" w:rsidP="003F00C6">
      <w:pPr>
        <w:pStyle w:val="Body-text"/>
        <w:ind w:firstLineChars="200" w:firstLine="480"/>
        <w:rPr>
          <w:rFonts w:ascii="华文楷体" w:hAnsi="华文楷体"/>
          <w:bCs/>
          <w:sz w:val="24"/>
          <w:szCs w:val="24"/>
          <w:lang w:eastAsia="zh-CN"/>
        </w:rPr>
      </w:pPr>
      <w:r w:rsidRPr="005A1950">
        <w:rPr>
          <w:rFonts w:ascii="华文楷体" w:hAnsi="华文楷体" w:hint="eastAsia"/>
          <w:b/>
          <w:bCs/>
          <w:sz w:val="24"/>
          <w:szCs w:val="24"/>
          <w:lang w:eastAsia="zh-CN"/>
        </w:rPr>
        <w:t>生产</w:t>
      </w:r>
      <w:r w:rsidR="00CC2F5D" w:rsidRPr="005A1950">
        <w:rPr>
          <w:rFonts w:ascii="华文楷体" w:hAnsi="华文楷体" w:hint="eastAsia"/>
          <w:b/>
          <w:bCs/>
          <w:sz w:val="24"/>
          <w:szCs w:val="24"/>
          <w:lang w:eastAsia="zh-CN"/>
        </w:rPr>
        <w:t>：</w:t>
      </w:r>
      <w:r w:rsidR="00430EC8" w:rsidRPr="00430EC8">
        <w:rPr>
          <w:rFonts w:ascii="华文楷体" w:hAnsi="华文楷体" w:hint="eastAsia"/>
          <w:bCs/>
          <w:sz w:val="24"/>
          <w:szCs w:val="24"/>
          <w:lang w:eastAsia="zh-CN"/>
        </w:rPr>
        <w:t>本周主要港口动力煤平均价环比回落。本周</w:t>
      </w:r>
      <w:proofErr w:type="spellStart"/>
      <w:r w:rsidR="00430EC8" w:rsidRPr="00430EC8">
        <w:rPr>
          <w:rFonts w:ascii="华文楷体" w:hAnsi="华文楷体" w:hint="eastAsia"/>
          <w:bCs/>
          <w:sz w:val="24"/>
          <w:szCs w:val="24"/>
          <w:lang w:eastAsia="zh-CN"/>
        </w:rPr>
        <w:t>Myspic</w:t>
      </w:r>
      <w:proofErr w:type="spellEnd"/>
      <w:r w:rsidR="00430EC8" w:rsidRPr="00430EC8">
        <w:rPr>
          <w:rFonts w:ascii="华文楷体" w:hAnsi="华文楷体" w:hint="eastAsia"/>
          <w:bCs/>
          <w:sz w:val="24"/>
          <w:szCs w:val="24"/>
          <w:lang w:eastAsia="zh-CN"/>
        </w:rPr>
        <w:t>综合全国钢铁价格指数</w:t>
      </w:r>
      <w:r w:rsidR="0001480A">
        <w:rPr>
          <w:rFonts w:ascii="华文楷体" w:hAnsi="华文楷体" w:hint="eastAsia"/>
          <w:bCs/>
          <w:sz w:val="24"/>
          <w:szCs w:val="24"/>
          <w:lang w:eastAsia="zh-CN"/>
        </w:rPr>
        <w:t>下跌0</w:t>
      </w:r>
      <w:r w:rsidR="0001480A">
        <w:rPr>
          <w:rFonts w:ascii="华文楷体" w:hAnsi="华文楷体"/>
          <w:bCs/>
          <w:sz w:val="24"/>
          <w:szCs w:val="24"/>
          <w:lang w:eastAsia="zh-CN"/>
        </w:rPr>
        <w:t>.04</w:t>
      </w:r>
      <w:r w:rsidR="00430EC8" w:rsidRPr="00430EC8">
        <w:rPr>
          <w:rFonts w:ascii="华文楷体" w:hAnsi="华文楷体" w:hint="eastAsia"/>
          <w:bCs/>
          <w:sz w:val="24"/>
          <w:szCs w:val="24"/>
          <w:lang w:eastAsia="zh-CN"/>
        </w:rPr>
        <w:t>%。主要品种中，螺纹钢、</w:t>
      </w:r>
      <w:proofErr w:type="gramStart"/>
      <w:r w:rsidR="00430EC8" w:rsidRPr="00430EC8">
        <w:rPr>
          <w:rFonts w:ascii="华文楷体" w:hAnsi="华文楷体" w:hint="eastAsia"/>
          <w:bCs/>
          <w:sz w:val="24"/>
          <w:szCs w:val="24"/>
          <w:lang w:eastAsia="zh-CN"/>
        </w:rPr>
        <w:t>热卷价格</w:t>
      </w:r>
      <w:proofErr w:type="gramEnd"/>
      <w:r w:rsidR="0001480A">
        <w:rPr>
          <w:rFonts w:ascii="华文楷体" w:hAnsi="华文楷体" w:hint="eastAsia"/>
          <w:bCs/>
          <w:sz w:val="24"/>
          <w:szCs w:val="24"/>
          <w:lang w:eastAsia="zh-CN"/>
        </w:rPr>
        <w:t>涨跌不一</w:t>
      </w:r>
      <w:r w:rsidR="00430EC8" w:rsidRPr="00430EC8">
        <w:rPr>
          <w:rFonts w:ascii="华文楷体" w:hAnsi="华文楷体" w:hint="eastAsia"/>
          <w:bCs/>
          <w:sz w:val="24"/>
          <w:szCs w:val="24"/>
          <w:lang w:eastAsia="zh-CN"/>
        </w:rPr>
        <w:t>，分别变动</w:t>
      </w:r>
      <w:r w:rsidR="0001480A">
        <w:rPr>
          <w:rFonts w:ascii="华文楷体" w:hAnsi="华文楷体" w:hint="eastAsia"/>
          <w:bCs/>
          <w:sz w:val="24"/>
          <w:szCs w:val="24"/>
          <w:lang w:eastAsia="zh-CN"/>
        </w:rPr>
        <w:t>-</w:t>
      </w:r>
      <w:r w:rsidR="00430EC8" w:rsidRPr="00430EC8">
        <w:rPr>
          <w:rFonts w:ascii="华文楷体" w:hAnsi="华文楷体" w:hint="eastAsia"/>
          <w:bCs/>
          <w:sz w:val="24"/>
          <w:szCs w:val="24"/>
          <w:lang w:eastAsia="zh-CN"/>
        </w:rPr>
        <w:t>0.2</w:t>
      </w:r>
      <w:r w:rsidR="0001480A">
        <w:rPr>
          <w:rFonts w:ascii="华文楷体" w:hAnsi="华文楷体"/>
          <w:bCs/>
          <w:sz w:val="24"/>
          <w:szCs w:val="24"/>
          <w:lang w:eastAsia="zh-CN"/>
        </w:rPr>
        <w:t>7</w:t>
      </w:r>
      <w:r w:rsidR="00430EC8" w:rsidRPr="00430EC8">
        <w:rPr>
          <w:rFonts w:ascii="华文楷体" w:hAnsi="华文楷体" w:hint="eastAsia"/>
          <w:bCs/>
          <w:sz w:val="24"/>
          <w:szCs w:val="24"/>
          <w:lang w:eastAsia="zh-CN"/>
        </w:rPr>
        <w:t>%、</w:t>
      </w:r>
      <w:r w:rsidR="0001480A">
        <w:rPr>
          <w:rFonts w:ascii="华文楷体" w:hAnsi="华文楷体"/>
          <w:bCs/>
          <w:sz w:val="24"/>
          <w:szCs w:val="24"/>
          <w:lang w:eastAsia="zh-CN"/>
        </w:rPr>
        <w:t>1.63</w:t>
      </w:r>
      <w:r w:rsidR="00430EC8" w:rsidRPr="00430EC8">
        <w:rPr>
          <w:rFonts w:ascii="华文楷体" w:hAnsi="华文楷体" w:hint="eastAsia"/>
          <w:bCs/>
          <w:sz w:val="24"/>
          <w:szCs w:val="24"/>
          <w:lang w:eastAsia="zh-CN"/>
        </w:rPr>
        <w:t>%；从库存来看，螺纹钢、热卷、线材库存分别变动</w:t>
      </w:r>
      <w:r w:rsidR="0001480A">
        <w:rPr>
          <w:rFonts w:ascii="华文楷体" w:hAnsi="华文楷体"/>
          <w:bCs/>
          <w:sz w:val="24"/>
          <w:szCs w:val="24"/>
          <w:lang w:eastAsia="zh-CN"/>
        </w:rPr>
        <w:t>0.95</w:t>
      </w:r>
      <w:r w:rsidR="00430EC8" w:rsidRPr="00430EC8">
        <w:rPr>
          <w:rFonts w:ascii="华文楷体" w:hAnsi="华文楷体" w:hint="eastAsia"/>
          <w:bCs/>
          <w:sz w:val="24"/>
          <w:szCs w:val="24"/>
          <w:lang w:eastAsia="zh-CN"/>
        </w:rPr>
        <w:t>%、1.</w:t>
      </w:r>
      <w:r w:rsidR="00A16FDF">
        <w:rPr>
          <w:rFonts w:ascii="华文楷体" w:hAnsi="华文楷体"/>
          <w:bCs/>
          <w:sz w:val="24"/>
          <w:szCs w:val="24"/>
          <w:lang w:eastAsia="zh-CN"/>
        </w:rPr>
        <w:t>4</w:t>
      </w:r>
      <w:r w:rsidR="00430EC8" w:rsidRPr="00430EC8">
        <w:rPr>
          <w:rFonts w:ascii="华文楷体" w:hAnsi="华文楷体" w:hint="eastAsia"/>
          <w:bCs/>
          <w:sz w:val="24"/>
          <w:szCs w:val="24"/>
          <w:lang w:eastAsia="zh-CN"/>
        </w:rPr>
        <w:t>8%、</w:t>
      </w:r>
      <w:r w:rsidR="00A16FDF">
        <w:rPr>
          <w:rFonts w:ascii="华文楷体" w:hAnsi="华文楷体"/>
          <w:bCs/>
          <w:sz w:val="24"/>
          <w:szCs w:val="24"/>
          <w:lang w:eastAsia="zh-CN"/>
        </w:rPr>
        <w:t>0.84</w:t>
      </w:r>
      <w:r w:rsidR="00430EC8" w:rsidRPr="00430EC8">
        <w:rPr>
          <w:rFonts w:ascii="华文楷体" w:hAnsi="华文楷体" w:hint="eastAsia"/>
          <w:bCs/>
          <w:sz w:val="24"/>
          <w:szCs w:val="24"/>
          <w:lang w:eastAsia="zh-CN"/>
        </w:rPr>
        <w:t>%，社会库存继续回升。本周</w:t>
      </w:r>
      <w:r w:rsidR="005F3962">
        <w:rPr>
          <w:rFonts w:ascii="华文楷体" w:hAnsi="华文楷体" w:hint="eastAsia"/>
          <w:bCs/>
          <w:sz w:val="24"/>
          <w:szCs w:val="24"/>
          <w:lang w:eastAsia="zh-CN"/>
        </w:rPr>
        <w:t>LME</w:t>
      </w:r>
      <w:r w:rsidR="00430EC8" w:rsidRPr="00430EC8">
        <w:rPr>
          <w:rFonts w:ascii="华文楷体" w:hAnsi="华文楷体" w:hint="eastAsia"/>
          <w:bCs/>
          <w:sz w:val="24"/>
          <w:szCs w:val="24"/>
          <w:lang w:eastAsia="zh-CN"/>
        </w:rPr>
        <w:t>有色品种</w:t>
      </w:r>
      <w:r w:rsidR="005F3962">
        <w:rPr>
          <w:rFonts w:ascii="华文楷体" w:hAnsi="华文楷体" w:hint="eastAsia"/>
          <w:bCs/>
          <w:sz w:val="24"/>
          <w:szCs w:val="24"/>
          <w:lang w:eastAsia="zh-CN"/>
        </w:rPr>
        <w:t>铜和铝</w:t>
      </w:r>
      <w:r w:rsidR="00430EC8" w:rsidRPr="00430EC8">
        <w:rPr>
          <w:rFonts w:ascii="华文楷体" w:hAnsi="华文楷体" w:hint="eastAsia"/>
          <w:bCs/>
          <w:sz w:val="24"/>
          <w:szCs w:val="24"/>
          <w:lang w:eastAsia="zh-CN"/>
        </w:rPr>
        <w:t>价格</w:t>
      </w:r>
      <w:r w:rsidR="005F3962">
        <w:rPr>
          <w:rFonts w:ascii="华文楷体" w:hAnsi="华文楷体" w:hint="eastAsia"/>
          <w:bCs/>
          <w:sz w:val="24"/>
          <w:szCs w:val="24"/>
          <w:lang w:eastAsia="zh-CN"/>
        </w:rPr>
        <w:t>回升，主要受海外供给因素影响。</w:t>
      </w:r>
    </w:p>
    <w:p w14:paraId="537F0EB2" w14:textId="2280A4D5" w:rsidR="00CF3EA5" w:rsidRPr="00907102" w:rsidRDefault="00E34B22" w:rsidP="00DA1DC8">
      <w:pPr>
        <w:pStyle w:val="Body-text"/>
        <w:ind w:firstLineChars="200" w:firstLine="480"/>
        <w:rPr>
          <w:rFonts w:ascii="华文楷体" w:hAnsi="华文楷体"/>
          <w:bCs/>
          <w:sz w:val="24"/>
          <w:szCs w:val="24"/>
          <w:lang w:eastAsia="zh-CN"/>
        </w:rPr>
      </w:pPr>
      <w:r w:rsidRPr="00D67BD7">
        <w:rPr>
          <w:rFonts w:ascii="华文楷体" w:hAnsi="华文楷体" w:hint="eastAsia"/>
          <w:b/>
          <w:bCs/>
          <w:sz w:val="24"/>
          <w:szCs w:val="24"/>
          <w:lang w:eastAsia="zh-CN"/>
        </w:rPr>
        <w:t>地产</w:t>
      </w:r>
      <w:r w:rsidR="00763150">
        <w:rPr>
          <w:rFonts w:ascii="华文楷体" w:hAnsi="华文楷体" w:hint="eastAsia"/>
          <w:b/>
          <w:bCs/>
          <w:sz w:val="24"/>
          <w:szCs w:val="24"/>
          <w:lang w:eastAsia="zh-CN"/>
        </w:rPr>
        <w:t>和消费</w:t>
      </w:r>
      <w:r w:rsidR="00CC2F5D" w:rsidRPr="00D67BD7">
        <w:rPr>
          <w:rFonts w:ascii="华文楷体" w:hAnsi="华文楷体" w:hint="eastAsia"/>
          <w:b/>
          <w:bCs/>
          <w:sz w:val="24"/>
          <w:szCs w:val="24"/>
          <w:lang w:eastAsia="zh-CN"/>
        </w:rPr>
        <w:t>：</w:t>
      </w:r>
      <w:r w:rsidR="00430EC8" w:rsidRPr="00430EC8">
        <w:rPr>
          <w:rFonts w:ascii="华文楷体" w:hAnsi="华文楷体" w:hint="eastAsia"/>
          <w:bCs/>
          <w:sz w:val="24"/>
          <w:szCs w:val="24"/>
          <w:lang w:eastAsia="zh-CN"/>
        </w:rPr>
        <w:t>本周30大中城市商品房成交面积较上周继续回落，或与近期部分城市地产政策有所</w:t>
      </w:r>
      <w:r w:rsidR="00A61947">
        <w:rPr>
          <w:rFonts w:ascii="华文楷体" w:hAnsi="华文楷体" w:hint="eastAsia"/>
          <w:bCs/>
          <w:sz w:val="24"/>
          <w:szCs w:val="24"/>
          <w:lang w:eastAsia="zh-CN"/>
        </w:rPr>
        <w:t>收紧有关。</w:t>
      </w:r>
      <w:r w:rsidR="00430EC8" w:rsidRPr="00430EC8">
        <w:rPr>
          <w:rFonts w:ascii="华文楷体" w:hAnsi="华文楷体" w:hint="eastAsia"/>
          <w:bCs/>
          <w:sz w:val="24"/>
          <w:szCs w:val="24"/>
          <w:lang w:eastAsia="zh-CN"/>
        </w:rPr>
        <w:t>拿地方面，100大中城市土地成交面积继续回落。</w:t>
      </w:r>
      <w:r w:rsidR="00A61947" w:rsidRPr="00A61947">
        <w:rPr>
          <w:rFonts w:ascii="华文楷体" w:hAnsi="华文楷体" w:hint="eastAsia"/>
          <w:bCs/>
          <w:sz w:val="24"/>
          <w:szCs w:val="24"/>
          <w:lang w:eastAsia="zh-CN"/>
        </w:rPr>
        <w:t>乘联会最新数据显示，7月</w:t>
      </w:r>
      <w:r w:rsidR="00EC46E1">
        <w:rPr>
          <w:rFonts w:ascii="华文楷体" w:hAnsi="华文楷体" w:hint="eastAsia"/>
          <w:bCs/>
          <w:sz w:val="24"/>
          <w:szCs w:val="24"/>
          <w:lang w:eastAsia="zh-CN"/>
        </w:rPr>
        <w:t>前三周乘用车批发和零售销量增速回升，需求略有改善</w:t>
      </w:r>
      <w:r w:rsidR="00A61947" w:rsidRPr="00A61947">
        <w:rPr>
          <w:rFonts w:ascii="华文楷体" w:hAnsi="华文楷体" w:hint="eastAsia"/>
          <w:bCs/>
          <w:sz w:val="24"/>
          <w:szCs w:val="24"/>
          <w:lang w:eastAsia="zh-CN"/>
        </w:rPr>
        <w:t>。</w:t>
      </w:r>
      <w:r w:rsidR="00EC46E1">
        <w:rPr>
          <w:rFonts w:ascii="华文楷体" w:hAnsi="华文楷体" w:hint="eastAsia"/>
          <w:bCs/>
          <w:sz w:val="24"/>
          <w:szCs w:val="24"/>
          <w:lang w:eastAsia="zh-CN"/>
        </w:rPr>
        <w:t>半钢</w:t>
      </w:r>
      <w:proofErr w:type="gramStart"/>
      <w:r w:rsidR="00EC46E1">
        <w:rPr>
          <w:rFonts w:ascii="华文楷体" w:hAnsi="华文楷体" w:hint="eastAsia"/>
          <w:bCs/>
          <w:sz w:val="24"/>
          <w:szCs w:val="24"/>
          <w:lang w:eastAsia="zh-CN"/>
        </w:rPr>
        <w:t>胎</w:t>
      </w:r>
      <w:proofErr w:type="gramEnd"/>
      <w:r w:rsidR="00EC46E1">
        <w:rPr>
          <w:rFonts w:ascii="华文楷体" w:hAnsi="华文楷体" w:hint="eastAsia"/>
          <w:bCs/>
          <w:sz w:val="24"/>
          <w:szCs w:val="24"/>
          <w:lang w:eastAsia="zh-CN"/>
        </w:rPr>
        <w:t>开工率回升至6</w:t>
      </w:r>
      <w:r w:rsidR="00EC46E1">
        <w:rPr>
          <w:rFonts w:ascii="华文楷体" w:hAnsi="华文楷体"/>
          <w:bCs/>
          <w:sz w:val="24"/>
          <w:szCs w:val="24"/>
          <w:lang w:eastAsia="zh-CN"/>
        </w:rPr>
        <w:t>5.4</w:t>
      </w:r>
      <w:r w:rsidR="00EC46E1">
        <w:rPr>
          <w:rFonts w:ascii="华文楷体" w:hAnsi="华文楷体" w:hint="eastAsia"/>
          <w:bCs/>
          <w:sz w:val="24"/>
          <w:szCs w:val="24"/>
          <w:lang w:eastAsia="zh-CN"/>
        </w:rPr>
        <w:t>%，亦确认需求好转。</w:t>
      </w:r>
    </w:p>
    <w:p w14:paraId="3BDE386D" w14:textId="62C0B882" w:rsidR="003B54C0" w:rsidRPr="00682A95" w:rsidRDefault="005D478C" w:rsidP="0007254B">
      <w:pPr>
        <w:pStyle w:val="Body-text"/>
        <w:ind w:firstLineChars="200" w:firstLine="480"/>
        <w:rPr>
          <w:rFonts w:ascii="华文楷体" w:hAnsi="华文楷体"/>
          <w:bCs/>
          <w:sz w:val="24"/>
          <w:szCs w:val="24"/>
          <w:lang w:eastAsia="zh-CN"/>
        </w:rPr>
      </w:pPr>
      <w:r>
        <w:rPr>
          <w:rFonts w:ascii="华文楷体" w:hAnsi="华文楷体" w:hint="eastAsia"/>
          <w:b/>
          <w:bCs/>
          <w:sz w:val="24"/>
          <w:szCs w:val="24"/>
          <w:lang w:eastAsia="zh-CN"/>
        </w:rPr>
        <w:t>进</w:t>
      </w:r>
      <w:r w:rsidRPr="00C34A52">
        <w:rPr>
          <w:rFonts w:ascii="华文楷体" w:hAnsi="华文楷体" w:hint="eastAsia"/>
          <w:b/>
          <w:bCs/>
          <w:sz w:val="24"/>
          <w:szCs w:val="24"/>
          <w:lang w:eastAsia="zh-CN"/>
        </w:rPr>
        <w:t>出口</w:t>
      </w:r>
      <w:r w:rsidR="00CC2F5D" w:rsidRPr="00C34A52">
        <w:rPr>
          <w:rFonts w:ascii="华文楷体" w:hAnsi="华文楷体" w:hint="eastAsia"/>
          <w:bCs/>
          <w:sz w:val="24"/>
          <w:szCs w:val="24"/>
          <w:lang w:eastAsia="zh-CN"/>
        </w:rPr>
        <w:t>：</w:t>
      </w:r>
      <w:r w:rsidR="00D60F71">
        <w:rPr>
          <w:rFonts w:ascii="华文楷体" w:hAnsi="华文楷体" w:hint="eastAsia"/>
          <w:bCs/>
          <w:sz w:val="24"/>
          <w:szCs w:val="24"/>
          <w:lang w:eastAsia="zh-CN"/>
        </w:rPr>
        <w:t>出口方面，</w:t>
      </w:r>
      <w:r w:rsidR="00A61947" w:rsidRPr="00A61947">
        <w:rPr>
          <w:rFonts w:ascii="华文楷体" w:hAnsi="华文楷体" w:hint="eastAsia"/>
          <w:bCs/>
          <w:sz w:val="24"/>
          <w:szCs w:val="24"/>
          <w:lang w:eastAsia="zh-CN"/>
        </w:rPr>
        <w:t>上海出口集装箱指数（SCFI）本周</w:t>
      </w:r>
      <w:r w:rsidR="005135E2">
        <w:rPr>
          <w:rFonts w:ascii="华文楷体" w:hAnsi="华文楷体" w:hint="eastAsia"/>
          <w:bCs/>
          <w:sz w:val="24"/>
          <w:szCs w:val="24"/>
          <w:lang w:eastAsia="zh-CN"/>
        </w:rPr>
        <w:t>上升7</w:t>
      </w:r>
      <w:r w:rsidR="005135E2">
        <w:rPr>
          <w:rFonts w:ascii="华文楷体" w:hAnsi="华文楷体"/>
          <w:bCs/>
          <w:sz w:val="24"/>
          <w:szCs w:val="24"/>
          <w:lang w:eastAsia="zh-CN"/>
        </w:rPr>
        <w:t>.97</w:t>
      </w:r>
      <w:r w:rsidR="00A61947" w:rsidRPr="00A61947">
        <w:rPr>
          <w:rFonts w:ascii="华文楷体" w:hAnsi="华文楷体" w:hint="eastAsia"/>
          <w:bCs/>
          <w:sz w:val="24"/>
          <w:szCs w:val="24"/>
          <w:lang w:eastAsia="zh-CN"/>
        </w:rPr>
        <w:t>%，中国出口集装箱运价指数（CCFI）</w:t>
      </w:r>
      <w:r w:rsidR="0060189A">
        <w:rPr>
          <w:rFonts w:ascii="华文楷体" w:hAnsi="华文楷体" w:hint="eastAsia"/>
          <w:bCs/>
          <w:sz w:val="24"/>
          <w:szCs w:val="24"/>
          <w:lang w:eastAsia="zh-CN"/>
        </w:rPr>
        <w:t>小幅回落0</w:t>
      </w:r>
      <w:r w:rsidR="0060189A">
        <w:rPr>
          <w:rFonts w:ascii="华文楷体" w:hAnsi="华文楷体"/>
          <w:bCs/>
          <w:sz w:val="24"/>
          <w:szCs w:val="24"/>
          <w:lang w:eastAsia="zh-CN"/>
        </w:rPr>
        <w:t>.61</w:t>
      </w:r>
      <w:r w:rsidR="0060189A">
        <w:rPr>
          <w:rFonts w:ascii="华文楷体" w:hAnsi="华文楷体" w:hint="eastAsia"/>
          <w:bCs/>
          <w:sz w:val="24"/>
          <w:szCs w:val="24"/>
          <w:lang w:eastAsia="zh-CN"/>
        </w:rPr>
        <w:t>%</w:t>
      </w:r>
      <w:r w:rsidR="00797153">
        <w:rPr>
          <w:rFonts w:ascii="华文楷体" w:hAnsi="华文楷体" w:hint="eastAsia"/>
          <w:bCs/>
          <w:sz w:val="24"/>
          <w:szCs w:val="24"/>
          <w:lang w:eastAsia="zh-CN"/>
        </w:rPr>
        <w:t>。进口方面，</w:t>
      </w:r>
      <w:r w:rsidR="00A61947" w:rsidRPr="00A61947">
        <w:rPr>
          <w:rFonts w:ascii="华文楷体" w:hAnsi="华文楷体" w:hint="eastAsia"/>
          <w:bCs/>
          <w:sz w:val="24"/>
          <w:szCs w:val="24"/>
          <w:lang w:eastAsia="zh-CN"/>
        </w:rPr>
        <w:t>波罗的海干散货指数较上周</w:t>
      </w:r>
      <w:r w:rsidR="0060189A">
        <w:rPr>
          <w:rFonts w:ascii="华文楷体" w:hAnsi="华文楷体" w:hint="eastAsia"/>
          <w:bCs/>
          <w:sz w:val="24"/>
          <w:szCs w:val="24"/>
          <w:lang w:eastAsia="zh-CN"/>
        </w:rPr>
        <w:t>上涨</w:t>
      </w:r>
      <w:r w:rsidR="0060189A">
        <w:rPr>
          <w:rFonts w:ascii="华文楷体" w:hAnsi="华文楷体"/>
          <w:bCs/>
          <w:sz w:val="24"/>
          <w:szCs w:val="24"/>
          <w:lang w:eastAsia="zh-CN"/>
        </w:rPr>
        <w:t>2.51</w:t>
      </w:r>
      <w:r w:rsidR="00A61947" w:rsidRPr="00A61947">
        <w:rPr>
          <w:rFonts w:ascii="华文楷体" w:hAnsi="华文楷体" w:hint="eastAsia"/>
          <w:bCs/>
          <w:sz w:val="24"/>
          <w:szCs w:val="24"/>
          <w:lang w:eastAsia="zh-CN"/>
        </w:rPr>
        <w:t>%，</w:t>
      </w:r>
      <w:r w:rsidR="0060189A">
        <w:rPr>
          <w:rFonts w:ascii="华文楷体" w:hAnsi="华文楷体" w:hint="eastAsia"/>
          <w:bCs/>
          <w:sz w:val="24"/>
          <w:szCs w:val="24"/>
          <w:lang w:eastAsia="zh-CN"/>
        </w:rPr>
        <w:t>好望角型运费指数较上周上升5</w:t>
      </w:r>
      <w:r w:rsidR="0060189A">
        <w:rPr>
          <w:rFonts w:ascii="华文楷体" w:hAnsi="华文楷体"/>
          <w:bCs/>
          <w:sz w:val="24"/>
          <w:szCs w:val="24"/>
          <w:lang w:eastAsia="zh-CN"/>
        </w:rPr>
        <w:t>.85</w:t>
      </w:r>
      <w:r w:rsidR="0060189A">
        <w:rPr>
          <w:rFonts w:ascii="华文楷体" w:hAnsi="华文楷体" w:hint="eastAsia"/>
          <w:bCs/>
          <w:sz w:val="24"/>
          <w:szCs w:val="24"/>
          <w:lang w:eastAsia="zh-CN"/>
        </w:rPr>
        <w:t>%</w:t>
      </w:r>
      <w:r w:rsidR="00A61947" w:rsidRPr="00A61947">
        <w:rPr>
          <w:rFonts w:ascii="华文楷体" w:hAnsi="华文楷体" w:hint="eastAsia"/>
          <w:bCs/>
          <w:sz w:val="24"/>
          <w:szCs w:val="24"/>
          <w:lang w:eastAsia="zh-CN"/>
        </w:rPr>
        <w:t>。</w:t>
      </w:r>
    </w:p>
    <w:p w14:paraId="0542DAC4" w14:textId="636B48DC" w:rsidR="00756ABD" w:rsidRDefault="00E34B22" w:rsidP="00153A65">
      <w:pPr>
        <w:pStyle w:val="Body-text"/>
        <w:ind w:firstLineChars="200" w:firstLine="480"/>
        <w:rPr>
          <w:rFonts w:ascii="华文楷体" w:hAnsi="华文楷体"/>
          <w:bCs/>
          <w:sz w:val="24"/>
          <w:szCs w:val="24"/>
          <w:lang w:eastAsia="zh-CN"/>
        </w:rPr>
      </w:pPr>
      <w:r w:rsidRPr="00D67BD7">
        <w:rPr>
          <w:rFonts w:ascii="华文楷体" w:hAnsi="华文楷体" w:hint="eastAsia"/>
          <w:b/>
          <w:bCs/>
          <w:sz w:val="24"/>
          <w:szCs w:val="24"/>
          <w:lang w:eastAsia="zh-CN"/>
        </w:rPr>
        <w:t>通胀：</w:t>
      </w:r>
      <w:r w:rsidR="00A25885" w:rsidRPr="00A25885">
        <w:rPr>
          <w:rFonts w:ascii="华文楷体" w:hAnsi="华文楷体" w:hint="eastAsia"/>
          <w:bCs/>
          <w:sz w:val="24"/>
          <w:szCs w:val="24"/>
          <w:lang w:eastAsia="zh-CN"/>
        </w:rPr>
        <w:t>猪肉价格本周</w:t>
      </w:r>
      <w:r w:rsidR="00EC46E1">
        <w:rPr>
          <w:rFonts w:ascii="华文楷体" w:hAnsi="华文楷体" w:hint="eastAsia"/>
          <w:bCs/>
          <w:sz w:val="24"/>
          <w:szCs w:val="24"/>
          <w:lang w:eastAsia="zh-CN"/>
        </w:rPr>
        <w:t>略有回落</w:t>
      </w:r>
      <w:r w:rsidR="00A25885" w:rsidRPr="00A25885">
        <w:rPr>
          <w:rFonts w:ascii="华文楷体" w:hAnsi="华文楷体" w:hint="eastAsia"/>
          <w:bCs/>
          <w:sz w:val="24"/>
          <w:szCs w:val="24"/>
          <w:lang w:eastAsia="zh-CN"/>
        </w:rPr>
        <w:t>，农业部公布的全国平均批发价较上周末</w:t>
      </w:r>
      <w:r w:rsidR="00EC46E1">
        <w:rPr>
          <w:rFonts w:ascii="华文楷体" w:hAnsi="华文楷体" w:hint="eastAsia"/>
          <w:bCs/>
          <w:sz w:val="24"/>
          <w:szCs w:val="24"/>
          <w:lang w:eastAsia="zh-CN"/>
        </w:rPr>
        <w:t>下降至</w:t>
      </w:r>
      <w:r w:rsidR="00A25885" w:rsidRPr="00A25885">
        <w:rPr>
          <w:rFonts w:ascii="华文楷体" w:hAnsi="华文楷体" w:hint="eastAsia"/>
          <w:bCs/>
          <w:sz w:val="24"/>
          <w:szCs w:val="24"/>
          <w:lang w:eastAsia="zh-CN"/>
        </w:rPr>
        <w:t>48.</w:t>
      </w:r>
      <w:r w:rsidR="00EC46E1">
        <w:rPr>
          <w:rFonts w:ascii="华文楷体" w:hAnsi="华文楷体"/>
          <w:bCs/>
          <w:sz w:val="24"/>
          <w:szCs w:val="24"/>
          <w:lang w:eastAsia="zh-CN"/>
        </w:rPr>
        <w:t>34</w:t>
      </w:r>
      <w:r w:rsidR="00A25885" w:rsidRPr="00A25885">
        <w:rPr>
          <w:rFonts w:ascii="华文楷体" w:hAnsi="华文楷体" w:hint="eastAsia"/>
          <w:bCs/>
          <w:sz w:val="24"/>
          <w:szCs w:val="24"/>
          <w:lang w:eastAsia="zh-CN"/>
        </w:rPr>
        <w:t>元/公斤左右，环比</w:t>
      </w:r>
      <w:r w:rsidR="00EC46E1">
        <w:rPr>
          <w:rFonts w:ascii="华文楷体" w:hAnsi="华文楷体" w:hint="eastAsia"/>
          <w:bCs/>
          <w:sz w:val="24"/>
          <w:szCs w:val="24"/>
          <w:lang w:eastAsia="zh-CN"/>
        </w:rPr>
        <w:t>下降0</w:t>
      </w:r>
      <w:r w:rsidR="00EC46E1">
        <w:rPr>
          <w:rFonts w:ascii="华文楷体" w:hAnsi="华文楷体"/>
          <w:bCs/>
          <w:sz w:val="24"/>
          <w:szCs w:val="24"/>
          <w:lang w:eastAsia="zh-CN"/>
        </w:rPr>
        <w:t>.68</w:t>
      </w:r>
      <w:r w:rsidR="00A25885" w:rsidRPr="00A25885">
        <w:rPr>
          <w:rFonts w:ascii="华文楷体" w:hAnsi="华文楷体" w:hint="eastAsia"/>
          <w:bCs/>
          <w:sz w:val="24"/>
          <w:szCs w:val="24"/>
          <w:lang w:eastAsia="zh-CN"/>
        </w:rPr>
        <w:t>%</w:t>
      </w:r>
      <w:r w:rsidR="00A25885">
        <w:rPr>
          <w:rFonts w:ascii="华文楷体" w:hAnsi="华文楷体" w:hint="eastAsia"/>
          <w:bCs/>
          <w:sz w:val="24"/>
          <w:szCs w:val="24"/>
          <w:lang w:eastAsia="zh-CN"/>
        </w:rPr>
        <w:t>。</w:t>
      </w:r>
      <w:r w:rsidR="00A25885" w:rsidRPr="00A25885">
        <w:rPr>
          <w:rFonts w:ascii="华文楷体" w:hAnsi="华文楷体" w:hint="eastAsia"/>
          <w:bCs/>
          <w:sz w:val="24"/>
          <w:szCs w:val="24"/>
          <w:lang w:eastAsia="zh-CN"/>
        </w:rPr>
        <w:t>蔬菜方面，价格</w:t>
      </w:r>
      <w:r w:rsidR="00EC46E1">
        <w:rPr>
          <w:rFonts w:ascii="华文楷体" w:hAnsi="华文楷体" w:hint="eastAsia"/>
          <w:bCs/>
          <w:sz w:val="24"/>
          <w:szCs w:val="24"/>
          <w:lang w:eastAsia="zh-CN"/>
        </w:rPr>
        <w:t>继续</w:t>
      </w:r>
      <w:r w:rsidR="00A25885" w:rsidRPr="00A25885">
        <w:rPr>
          <w:rFonts w:ascii="华文楷体" w:hAnsi="华文楷体" w:hint="eastAsia"/>
          <w:bCs/>
          <w:sz w:val="24"/>
          <w:szCs w:val="24"/>
          <w:lang w:eastAsia="zh-CN"/>
        </w:rPr>
        <w:t>回升，小幅</w:t>
      </w:r>
      <w:r w:rsidR="00EC46E1">
        <w:rPr>
          <w:rFonts w:ascii="华文楷体" w:hAnsi="华文楷体" w:hint="eastAsia"/>
          <w:bCs/>
          <w:sz w:val="24"/>
          <w:szCs w:val="24"/>
          <w:lang w:eastAsia="zh-CN"/>
        </w:rPr>
        <w:t>上涨</w:t>
      </w:r>
      <w:r w:rsidR="00EC46E1">
        <w:rPr>
          <w:rFonts w:ascii="华文楷体" w:hAnsi="华文楷体"/>
          <w:bCs/>
          <w:sz w:val="24"/>
          <w:szCs w:val="24"/>
          <w:lang w:eastAsia="zh-CN"/>
        </w:rPr>
        <w:t>3</w:t>
      </w:r>
      <w:r w:rsidR="00A25885" w:rsidRPr="00A25885">
        <w:rPr>
          <w:rFonts w:ascii="华文楷体" w:hAnsi="华文楷体" w:hint="eastAsia"/>
          <w:bCs/>
          <w:sz w:val="24"/>
          <w:szCs w:val="24"/>
          <w:lang w:eastAsia="zh-CN"/>
        </w:rPr>
        <w:t>%；水果价格则有所下跌，较</w:t>
      </w:r>
      <w:r w:rsidR="00A25885" w:rsidRPr="00A25885">
        <w:rPr>
          <w:rFonts w:ascii="华文楷体" w:hAnsi="华文楷体" w:hint="eastAsia"/>
          <w:bCs/>
          <w:sz w:val="24"/>
          <w:szCs w:val="24"/>
          <w:lang w:eastAsia="zh-CN"/>
        </w:rPr>
        <w:lastRenderedPageBreak/>
        <w:t>上周下行</w:t>
      </w:r>
      <w:r w:rsidR="00EC46E1">
        <w:rPr>
          <w:rFonts w:ascii="华文楷体" w:hAnsi="华文楷体"/>
          <w:bCs/>
          <w:sz w:val="24"/>
          <w:szCs w:val="24"/>
          <w:lang w:eastAsia="zh-CN"/>
        </w:rPr>
        <w:t>1.6</w:t>
      </w:r>
      <w:r w:rsidR="00A25885" w:rsidRPr="00A25885">
        <w:rPr>
          <w:rFonts w:ascii="华文楷体" w:hAnsi="华文楷体" w:hint="eastAsia"/>
          <w:bCs/>
          <w:sz w:val="24"/>
          <w:szCs w:val="24"/>
          <w:lang w:eastAsia="zh-CN"/>
        </w:rPr>
        <w:t>%；鸡蛋方面，价格继续大幅回升</w:t>
      </w:r>
      <w:r w:rsidR="005F3962">
        <w:rPr>
          <w:rFonts w:ascii="华文楷体" w:hAnsi="华文楷体"/>
          <w:bCs/>
          <w:sz w:val="24"/>
          <w:szCs w:val="24"/>
          <w:lang w:eastAsia="zh-CN"/>
        </w:rPr>
        <w:t>16</w:t>
      </w:r>
      <w:r w:rsidR="00A25885" w:rsidRPr="00A25885">
        <w:rPr>
          <w:rFonts w:ascii="华文楷体" w:hAnsi="华文楷体" w:hint="eastAsia"/>
          <w:bCs/>
          <w:sz w:val="24"/>
          <w:szCs w:val="24"/>
          <w:lang w:eastAsia="zh-CN"/>
        </w:rPr>
        <w:t>%，或受产蛋率有所下降影响。</w:t>
      </w:r>
    </w:p>
    <w:p w14:paraId="5DF662A7" w14:textId="1649B8B3" w:rsidR="0015400F" w:rsidRDefault="00DC2C5F" w:rsidP="00F07541">
      <w:pPr>
        <w:pStyle w:val="Body-text"/>
        <w:ind w:firstLineChars="200" w:firstLine="480"/>
        <w:rPr>
          <w:rFonts w:ascii="华文楷体" w:hAnsi="华文楷体"/>
          <w:bCs/>
          <w:sz w:val="24"/>
          <w:szCs w:val="24"/>
          <w:lang w:eastAsia="zh-CN"/>
        </w:rPr>
      </w:pPr>
      <w:bookmarkStart w:id="1" w:name="_Hlk21205334"/>
      <w:r w:rsidRPr="00DC2C5F">
        <w:rPr>
          <w:rFonts w:ascii="华文楷体" w:hAnsi="华文楷体" w:hint="eastAsia"/>
          <w:b/>
          <w:bCs/>
          <w:sz w:val="24"/>
          <w:szCs w:val="24"/>
          <w:lang w:eastAsia="zh-CN"/>
        </w:rPr>
        <w:t>海外</w:t>
      </w:r>
      <w:r>
        <w:rPr>
          <w:rFonts w:ascii="华文楷体" w:hAnsi="华文楷体" w:hint="eastAsia"/>
          <w:bCs/>
          <w:sz w:val="24"/>
          <w:szCs w:val="24"/>
          <w:lang w:eastAsia="zh-CN"/>
        </w:rPr>
        <w:t>：</w:t>
      </w:r>
      <w:r w:rsidR="00A25885" w:rsidRPr="00A25885">
        <w:rPr>
          <w:rFonts w:ascii="华文楷体" w:hAnsi="华文楷体" w:hint="eastAsia"/>
          <w:bCs/>
          <w:sz w:val="24"/>
          <w:szCs w:val="24"/>
          <w:lang w:eastAsia="zh-CN"/>
        </w:rPr>
        <w:t>本周国际油价</w:t>
      </w:r>
      <w:r w:rsidR="0001480A">
        <w:rPr>
          <w:rFonts w:ascii="华文楷体" w:hAnsi="华文楷体" w:hint="eastAsia"/>
          <w:bCs/>
          <w:sz w:val="24"/>
          <w:szCs w:val="24"/>
          <w:lang w:eastAsia="zh-CN"/>
        </w:rPr>
        <w:t>下跌</w:t>
      </w:r>
      <w:r w:rsidR="00A25885" w:rsidRPr="00A25885">
        <w:rPr>
          <w:rFonts w:ascii="华文楷体" w:hAnsi="华文楷体" w:hint="eastAsia"/>
          <w:bCs/>
          <w:sz w:val="24"/>
          <w:szCs w:val="24"/>
          <w:lang w:eastAsia="zh-CN"/>
        </w:rPr>
        <w:t>，WTI原油价格</w:t>
      </w:r>
      <w:r w:rsidR="0001480A">
        <w:rPr>
          <w:rFonts w:ascii="华文楷体" w:hAnsi="华文楷体" w:hint="eastAsia"/>
          <w:bCs/>
          <w:sz w:val="24"/>
          <w:szCs w:val="24"/>
          <w:lang w:eastAsia="zh-CN"/>
        </w:rPr>
        <w:t>环比下跌1</w:t>
      </w:r>
      <w:r w:rsidR="0001480A">
        <w:rPr>
          <w:rFonts w:ascii="华文楷体" w:hAnsi="华文楷体"/>
          <w:bCs/>
          <w:sz w:val="24"/>
          <w:szCs w:val="24"/>
          <w:lang w:eastAsia="zh-CN"/>
        </w:rPr>
        <w:t>.8</w:t>
      </w:r>
      <w:r w:rsidR="0001480A">
        <w:rPr>
          <w:rFonts w:ascii="华文楷体" w:hAnsi="华文楷体" w:hint="eastAsia"/>
          <w:bCs/>
          <w:sz w:val="24"/>
          <w:szCs w:val="24"/>
          <w:lang w:eastAsia="zh-CN"/>
        </w:rPr>
        <w:t>%</w:t>
      </w:r>
      <w:r w:rsidR="00A25885" w:rsidRPr="00A25885">
        <w:rPr>
          <w:rFonts w:ascii="华文楷体" w:hAnsi="华文楷体" w:hint="eastAsia"/>
          <w:bCs/>
          <w:sz w:val="24"/>
          <w:szCs w:val="24"/>
          <w:lang w:eastAsia="zh-CN"/>
        </w:rPr>
        <w:t>；布伦</w:t>
      </w:r>
      <w:proofErr w:type="gramStart"/>
      <w:r w:rsidR="00A25885" w:rsidRPr="00A25885">
        <w:rPr>
          <w:rFonts w:ascii="华文楷体" w:hAnsi="华文楷体" w:hint="eastAsia"/>
          <w:bCs/>
          <w:sz w:val="24"/>
          <w:szCs w:val="24"/>
          <w:lang w:eastAsia="zh-CN"/>
        </w:rPr>
        <w:t>特</w:t>
      </w:r>
      <w:proofErr w:type="gramEnd"/>
      <w:r w:rsidR="00A25885" w:rsidRPr="00A25885">
        <w:rPr>
          <w:rFonts w:ascii="华文楷体" w:hAnsi="华文楷体" w:hint="eastAsia"/>
          <w:bCs/>
          <w:sz w:val="24"/>
          <w:szCs w:val="24"/>
          <w:lang w:eastAsia="zh-CN"/>
        </w:rPr>
        <w:t>原油价格</w:t>
      </w:r>
      <w:r w:rsidR="0001480A">
        <w:rPr>
          <w:rFonts w:ascii="华文楷体" w:hAnsi="华文楷体" w:hint="eastAsia"/>
          <w:bCs/>
          <w:sz w:val="24"/>
          <w:szCs w:val="24"/>
          <w:lang w:eastAsia="zh-CN"/>
        </w:rPr>
        <w:t>环比下跌1</w:t>
      </w:r>
      <w:r w:rsidR="0001480A">
        <w:rPr>
          <w:rFonts w:ascii="华文楷体" w:hAnsi="华文楷体"/>
          <w:bCs/>
          <w:sz w:val="24"/>
          <w:szCs w:val="24"/>
          <w:lang w:eastAsia="zh-CN"/>
        </w:rPr>
        <w:t>.1</w:t>
      </w:r>
      <w:r w:rsidR="0001480A">
        <w:rPr>
          <w:rFonts w:ascii="华文楷体" w:hAnsi="华文楷体" w:hint="eastAsia"/>
          <w:bCs/>
          <w:sz w:val="24"/>
          <w:szCs w:val="24"/>
          <w:lang w:eastAsia="zh-CN"/>
        </w:rPr>
        <w:t>%。本周美元指数走势呈现V型，仍在9</w:t>
      </w:r>
      <w:r w:rsidR="0001480A">
        <w:rPr>
          <w:rFonts w:ascii="华文楷体" w:hAnsi="华文楷体"/>
          <w:bCs/>
          <w:sz w:val="24"/>
          <w:szCs w:val="24"/>
          <w:lang w:eastAsia="zh-CN"/>
        </w:rPr>
        <w:t>4</w:t>
      </w:r>
      <w:r w:rsidR="0001480A">
        <w:rPr>
          <w:rFonts w:ascii="华文楷体" w:hAnsi="华文楷体" w:hint="eastAsia"/>
          <w:bCs/>
          <w:sz w:val="24"/>
          <w:szCs w:val="24"/>
          <w:lang w:eastAsia="zh-CN"/>
        </w:rPr>
        <w:t>以下</w:t>
      </w:r>
      <w:r w:rsidR="00A25885">
        <w:rPr>
          <w:rFonts w:ascii="华文楷体" w:hAnsi="华文楷体" w:hint="eastAsia"/>
          <w:bCs/>
          <w:sz w:val="24"/>
          <w:szCs w:val="24"/>
          <w:lang w:eastAsia="zh-CN"/>
        </w:rPr>
        <w:t>。</w:t>
      </w:r>
      <w:r w:rsidR="0001480A">
        <w:rPr>
          <w:rFonts w:ascii="华文楷体" w:hAnsi="华文楷体" w:hint="eastAsia"/>
          <w:bCs/>
          <w:sz w:val="24"/>
          <w:szCs w:val="24"/>
          <w:lang w:eastAsia="zh-CN"/>
        </w:rPr>
        <w:t>本</w:t>
      </w:r>
      <w:r w:rsidR="00A25885" w:rsidRPr="00A25885">
        <w:rPr>
          <w:rFonts w:ascii="华文楷体" w:hAnsi="华文楷体" w:hint="eastAsia"/>
          <w:bCs/>
          <w:sz w:val="24"/>
          <w:szCs w:val="24"/>
          <w:lang w:eastAsia="zh-CN"/>
        </w:rPr>
        <w:t>周</w:t>
      </w:r>
      <w:r w:rsidR="0001480A">
        <w:rPr>
          <w:rFonts w:ascii="华文楷体" w:hAnsi="华文楷体" w:hint="eastAsia"/>
          <w:bCs/>
          <w:sz w:val="24"/>
          <w:szCs w:val="24"/>
          <w:lang w:eastAsia="zh-CN"/>
        </w:rPr>
        <w:t>公布的</w:t>
      </w:r>
      <w:proofErr w:type="gramStart"/>
      <w:r w:rsidR="00A25885" w:rsidRPr="00A25885">
        <w:rPr>
          <w:rFonts w:ascii="华文楷体" w:hAnsi="华文楷体" w:hint="eastAsia"/>
          <w:bCs/>
          <w:sz w:val="24"/>
          <w:szCs w:val="24"/>
          <w:lang w:eastAsia="zh-CN"/>
        </w:rPr>
        <w:t>美国初请</w:t>
      </w:r>
      <w:r w:rsidR="0001480A">
        <w:rPr>
          <w:rFonts w:ascii="华文楷体" w:hAnsi="华文楷体" w:hint="eastAsia"/>
          <w:bCs/>
          <w:sz w:val="24"/>
          <w:szCs w:val="24"/>
          <w:lang w:eastAsia="zh-CN"/>
        </w:rPr>
        <w:t>和续请</w:t>
      </w:r>
      <w:proofErr w:type="gramEnd"/>
      <w:r w:rsidR="00A25885" w:rsidRPr="00A25885">
        <w:rPr>
          <w:rFonts w:ascii="华文楷体" w:hAnsi="华文楷体" w:hint="eastAsia"/>
          <w:bCs/>
          <w:sz w:val="24"/>
          <w:szCs w:val="24"/>
          <w:lang w:eastAsia="zh-CN"/>
        </w:rPr>
        <w:t>失业</w:t>
      </w:r>
      <w:proofErr w:type="gramStart"/>
      <w:r w:rsidR="00A25885" w:rsidRPr="00A25885">
        <w:rPr>
          <w:rFonts w:ascii="华文楷体" w:hAnsi="华文楷体" w:hint="eastAsia"/>
          <w:bCs/>
          <w:sz w:val="24"/>
          <w:szCs w:val="24"/>
          <w:lang w:eastAsia="zh-CN"/>
        </w:rPr>
        <w:t>金人数</w:t>
      </w:r>
      <w:proofErr w:type="gramEnd"/>
      <w:r w:rsidR="0001480A">
        <w:rPr>
          <w:rFonts w:ascii="华文楷体" w:hAnsi="华文楷体" w:hint="eastAsia"/>
          <w:bCs/>
          <w:sz w:val="24"/>
          <w:szCs w:val="24"/>
          <w:lang w:eastAsia="zh-CN"/>
        </w:rPr>
        <w:t>持续两周维持上升</w:t>
      </w:r>
      <w:r w:rsidR="00A25885">
        <w:rPr>
          <w:rFonts w:ascii="华文楷体" w:hAnsi="华文楷体" w:hint="eastAsia"/>
          <w:bCs/>
          <w:sz w:val="24"/>
          <w:szCs w:val="24"/>
          <w:lang w:eastAsia="zh-CN"/>
        </w:rPr>
        <w:t>。</w:t>
      </w:r>
    </w:p>
    <w:p w14:paraId="6197476A" w14:textId="066B7899" w:rsidR="00A058AB" w:rsidRPr="00CC505E" w:rsidRDefault="00A058AB" w:rsidP="00F07541">
      <w:pPr>
        <w:pStyle w:val="Body-text"/>
        <w:ind w:firstLineChars="200" w:firstLine="480"/>
        <w:rPr>
          <w:rFonts w:ascii="华文楷体" w:eastAsia="PMingLiU" w:hAnsi="华文楷体"/>
          <w:bCs/>
          <w:sz w:val="24"/>
          <w:szCs w:val="24"/>
          <w:lang w:eastAsia="zh-CN"/>
        </w:rPr>
      </w:pPr>
      <w:r w:rsidRPr="00C866C2">
        <w:rPr>
          <w:rFonts w:ascii="华文楷体" w:hAnsi="华文楷体" w:hint="eastAsia"/>
          <w:b/>
          <w:bCs/>
          <w:sz w:val="24"/>
          <w:szCs w:val="24"/>
          <w:lang w:eastAsia="zh-CN"/>
        </w:rPr>
        <w:t>下周</w:t>
      </w:r>
      <w:r>
        <w:rPr>
          <w:rFonts w:ascii="华文楷体" w:hAnsi="华文楷体" w:hint="eastAsia"/>
          <w:b/>
          <w:bCs/>
          <w:sz w:val="24"/>
          <w:szCs w:val="24"/>
          <w:lang w:eastAsia="zh-CN"/>
        </w:rPr>
        <w:t>关注</w:t>
      </w:r>
      <w:r>
        <w:rPr>
          <w:rFonts w:ascii="华文楷体" w:hAnsi="华文楷体" w:hint="eastAsia"/>
          <w:bCs/>
          <w:sz w:val="24"/>
          <w:szCs w:val="24"/>
          <w:lang w:eastAsia="zh-CN"/>
        </w:rPr>
        <w:t>：</w:t>
      </w:r>
      <w:proofErr w:type="gramStart"/>
      <w:r w:rsidR="00E04BBE">
        <w:rPr>
          <w:rFonts w:ascii="华文楷体" w:hAnsi="华文楷体" w:hint="eastAsia"/>
          <w:bCs/>
          <w:sz w:val="24"/>
          <w:szCs w:val="24"/>
          <w:lang w:eastAsia="zh-CN"/>
        </w:rPr>
        <w:t>财新</w:t>
      </w:r>
      <w:proofErr w:type="gramEnd"/>
      <w:r w:rsidR="00E04BBE">
        <w:rPr>
          <w:rFonts w:ascii="华文楷体" w:hAnsi="华文楷体" w:hint="eastAsia"/>
          <w:bCs/>
          <w:sz w:val="24"/>
          <w:szCs w:val="24"/>
          <w:lang w:eastAsia="zh-CN"/>
        </w:rPr>
        <w:t>PMI</w:t>
      </w:r>
      <w:r w:rsidR="00A25885">
        <w:rPr>
          <w:rFonts w:ascii="华文楷体" w:hAnsi="华文楷体" w:hint="eastAsia"/>
          <w:bCs/>
          <w:sz w:val="24"/>
          <w:szCs w:val="24"/>
          <w:lang w:eastAsia="zh-CN"/>
        </w:rPr>
        <w:t>；</w:t>
      </w:r>
      <w:r w:rsidR="00E04BBE">
        <w:rPr>
          <w:rFonts w:ascii="华文楷体" w:hAnsi="华文楷体" w:hint="eastAsia"/>
          <w:bCs/>
          <w:sz w:val="24"/>
          <w:szCs w:val="24"/>
          <w:lang w:eastAsia="zh-CN"/>
        </w:rPr>
        <w:t>美国6月耐用品订单</w:t>
      </w:r>
      <w:r w:rsidR="007E6CAA" w:rsidRPr="007E6CAA">
        <w:rPr>
          <w:rFonts w:ascii="华文楷体" w:hAnsi="华文楷体" w:hint="eastAsia"/>
          <w:bCs/>
          <w:sz w:val="24"/>
          <w:szCs w:val="24"/>
          <w:lang w:eastAsia="zh-CN"/>
        </w:rPr>
        <w:t>；</w:t>
      </w:r>
      <w:r w:rsidR="00E04BBE">
        <w:rPr>
          <w:rFonts w:ascii="华文楷体" w:hAnsi="华文楷体" w:hint="eastAsia"/>
          <w:bCs/>
          <w:sz w:val="24"/>
          <w:szCs w:val="24"/>
          <w:lang w:eastAsia="zh-CN"/>
        </w:rPr>
        <w:t>海外主要经济体PMI</w:t>
      </w:r>
      <w:r w:rsidR="00314603">
        <w:rPr>
          <w:rFonts w:ascii="华文楷体" w:hAnsi="华文楷体" w:hint="eastAsia"/>
          <w:bCs/>
          <w:sz w:val="24"/>
          <w:szCs w:val="24"/>
          <w:lang w:eastAsia="zh-CN"/>
        </w:rPr>
        <w:t>；</w:t>
      </w:r>
      <w:r w:rsidR="00E04BBE">
        <w:rPr>
          <w:rFonts w:ascii="华文楷体" w:hAnsi="华文楷体" w:hint="eastAsia"/>
          <w:bCs/>
          <w:sz w:val="24"/>
          <w:szCs w:val="24"/>
          <w:lang w:eastAsia="zh-CN"/>
        </w:rPr>
        <w:t>美国7月ADP就业数据和周度失业数据</w:t>
      </w:r>
    </w:p>
    <w:bookmarkEnd w:id="1"/>
    <w:p w14:paraId="07860EC8" w14:textId="41BD2FBB" w:rsidR="00FF7903" w:rsidRPr="00884635" w:rsidRDefault="00FF7903" w:rsidP="009A2BA0">
      <w:pPr>
        <w:pStyle w:val="Header2"/>
        <w:spacing w:before="120"/>
        <w:rPr>
          <w:rFonts w:eastAsia="PMingLiU"/>
          <w:sz w:val="28"/>
          <w:szCs w:val="21"/>
          <w:lang w:eastAsia="zh-CN"/>
        </w:rPr>
      </w:pPr>
      <w:r>
        <w:rPr>
          <w:sz w:val="28"/>
          <w:szCs w:val="21"/>
          <w:lang w:eastAsia="zh-CN"/>
        </w:rPr>
        <w:t>2</w:t>
      </w:r>
      <w:r>
        <w:rPr>
          <w:rFonts w:hint="eastAsia"/>
          <w:sz w:val="28"/>
          <w:szCs w:val="21"/>
          <w:lang w:eastAsia="zh-CN"/>
        </w:rPr>
        <w:t>、</w:t>
      </w:r>
      <w:r w:rsidR="008125E2">
        <w:rPr>
          <w:rFonts w:hint="eastAsia"/>
          <w:sz w:val="28"/>
          <w:szCs w:val="21"/>
          <w:lang w:eastAsia="zh-CN"/>
        </w:rPr>
        <w:t>下周</w:t>
      </w:r>
      <w:r w:rsidR="00E0626C">
        <w:rPr>
          <w:rFonts w:hint="eastAsia"/>
          <w:sz w:val="28"/>
          <w:szCs w:val="21"/>
          <w:lang w:eastAsia="zh-CN"/>
        </w:rPr>
        <w:t>债市</w:t>
      </w:r>
      <w:r w:rsidR="00EE070C">
        <w:rPr>
          <w:rFonts w:hint="eastAsia"/>
          <w:sz w:val="28"/>
          <w:szCs w:val="21"/>
          <w:lang w:eastAsia="zh-CN"/>
        </w:rPr>
        <w:t>判断</w:t>
      </w:r>
    </w:p>
    <w:p w14:paraId="7A2C6CD5" w14:textId="00AB6F0B" w:rsidR="00324996" w:rsidRPr="005135E2" w:rsidRDefault="006B204A" w:rsidP="00CD3C43">
      <w:pPr>
        <w:pStyle w:val="Body-text"/>
        <w:spacing w:after="240"/>
        <w:ind w:firstLineChars="200" w:firstLine="480"/>
        <w:rPr>
          <w:rFonts w:ascii="华文楷体" w:hAnsi="华文楷体"/>
          <w:bCs/>
          <w:sz w:val="24"/>
          <w:szCs w:val="24"/>
          <w:lang w:eastAsia="zh-CN"/>
        </w:rPr>
      </w:pPr>
      <w:r w:rsidRPr="005135E2">
        <w:rPr>
          <w:rFonts w:ascii="华文楷体" w:hAnsi="华文楷体" w:hint="eastAsia"/>
          <w:bCs/>
          <w:sz w:val="24"/>
          <w:szCs w:val="24"/>
          <w:lang w:eastAsia="zh-CN"/>
        </w:rPr>
        <w:t>利率债：</w:t>
      </w:r>
      <w:r w:rsidR="00324996" w:rsidRPr="005135E2">
        <w:rPr>
          <w:rFonts w:ascii="华文楷体" w:hAnsi="华文楷体" w:hint="eastAsia"/>
          <w:bCs/>
          <w:sz w:val="24"/>
          <w:szCs w:val="24"/>
          <w:lang w:eastAsia="zh-CN"/>
        </w:rPr>
        <w:t>本周公布的7月PMI数据表明制造业仍在修复，</w:t>
      </w:r>
      <w:r w:rsidR="004E1B6E" w:rsidRPr="005135E2">
        <w:rPr>
          <w:rFonts w:ascii="华文楷体" w:hAnsi="华文楷体" w:hint="eastAsia"/>
          <w:bCs/>
          <w:sz w:val="24"/>
          <w:szCs w:val="24"/>
          <w:lang w:eastAsia="zh-CN"/>
        </w:rPr>
        <w:t>服务业小幅回落。高频数据来看，部分行业需求持续改善，但另外部分行业仍在去库。</w:t>
      </w:r>
      <w:proofErr w:type="gramStart"/>
      <w:r w:rsidR="004E1B6E" w:rsidRPr="005135E2">
        <w:rPr>
          <w:rFonts w:ascii="华文楷体" w:hAnsi="华文楷体" w:hint="eastAsia"/>
          <w:bCs/>
          <w:sz w:val="24"/>
          <w:szCs w:val="24"/>
          <w:lang w:eastAsia="zh-CN"/>
        </w:rPr>
        <w:t>通胀短期</w:t>
      </w:r>
      <w:proofErr w:type="gramEnd"/>
      <w:r w:rsidR="004E1B6E" w:rsidRPr="005135E2">
        <w:rPr>
          <w:rFonts w:ascii="华文楷体" w:hAnsi="华文楷体" w:hint="eastAsia"/>
          <w:bCs/>
          <w:sz w:val="24"/>
          <w:szCs w:val="24"/>
          <w:lang w:eastAsia="zh-CN"/>
        </w:rPr>
        <w:t>无忧，PPI持续回暖提升企业盈利好转预期。受权益市场再次上冲影响，债券市场本周整体弱势。中美摩擦暂时无进一步升级的信息，市场对此反应平淡。整体来看，1</w:t>
      </w:r>
      <w:r w:rsidR="004E1B6E" w:rsidRPr="005135E2">
        <w:rPr>
          <w:rFonts w:ascii="华文楷体" w:hAnsi="华文楷体"/>
          <w:bCs/>
          <w:sz w:val="24"/>
          <w:szCs w:val="24"/>
          <w:lang w:eastAsia="zh-CN"/>
        </w:rPr>
        <w:t>0</w:t>
      </w:r>
      <w:r w:rsidR="004E1B6E" w:rsidRPr="005135E2">
        <w:rPr>
          <w:rFonts w:ascii="华文楷体" w:hAnsi="华文楷体" w:hint="eastAsia"/>
          <w:bCs/>
          <w:sz w:val="24"/>
          <w:szCs w:val="24"/>
          <w:lang w:eastAsia="zh-CN"/>
        </w:rPr>
        <w:t>y国债上行1</w:t>
      </w:r>
      <w:r w:rsidR="004E1B6E" w:rsidRPr="005135E2">
        <w:rPr>
          <w:rFonts w:ascii="华文楷体" w:hAnsi="华文楷体"/>
          <w:bCs/>
          <w:sz w:val="24"/>
          <w:szCs w:val="24"/>
          <w:lang w:eastAsia="zh-CN"/>
        </w:rPr>
        <w:t>0.5</w:t>
      </w:r>
      <w:r w:rsidR="004E1B6E" w:rsidRPr="005135E2">
        <w:rPr>
          <w:rFonts w:ascii="华文楷体" w:hAnsi="华文楷体" w:hint="eastAsia"/>
          <w:bCs/>
          <w:sz w:val="24"/>
          <w:szCs w:val="24"/>
          <w:lang w:eastAsia="zh-CN"/>
        </w:rPr>
        <w:t>bp，1</w:t>
      </w:r>
      <w:r w:rsidR="004E1B6E" w:rsidRPr="005135E2">
        <w:rPr>
          <w:rFonts w:ascii="华文楷体" w:hAnsi="华文楷体"/>
          <w:bCs/>
          <w:sz w:val="24"/>
          <w:szCs w:val="24"/>
          <w:lang w:eastAsia="zh-CN"/>
        </w:rPr>
        <w:t>0</w:t>
      </w:r>
      <w:r w:rsidR="004E1B6E" w:rsidRPr="005135E2">
        <w:rPr>
          <w:rFonts w:ascii="华文楷体" w:hAnsi="华文楷体" w:hint="eastAsia"/>
          <w:bCs/>
          <w:sz w:val="24"/>
          <w:szCs w:val="24"/>
          <w:lang w:eastAsia="zh-CN"/>
        </w:rPr>
        <w:t>y国开债上行1</w:t>
      </w:r>
      <w:r w:rsidR="004E1B6E" w:rsidRPr="005135E2">
        <w:rPr>
          <w:rFonts w:ascii="华文楷体" w:hAnsi="华文楷体"/>
          <w:bCs/>
          <w:sz w:val="24"/>
          <w:szCs w:val="24"/>
          <w:lang w:eastAsia="zh-CN"/>
        </w:rPr>
        <w:t>5.2</w:t>
      </w:r>
      <w:r w:rsidR="004E1B6E" w:rsidRPr="005135E2">
        <w:rPr>
          <w:rFonts w:ascii="华文楷体" w:hAnsi="华文楷体" w:hint="eastAsia"/>
          <w:bCs/>
          <w:sz w:val="24"/>
          <w:szCs w:val="24"/>
          <w:lang w:eastAsia="zh-CN"/>
        </w:rPr>
        <w:t>bp。收益率曲线来看，本周曲线较上周走陡。1</w:t>
      </w:r>
      <w:r w:rsidR="004E1B6E" w:rsidRPr="005135E2">
        <w:rPr>
          <w:rFonts w:ascii="华文楷体" w:hAnsi="华文楷体"/>
          <w:bCs/>
          <w:sz w:val="24"/>
          <w:szCs w:val="24"/>
          <w:lang w:eastAsia="zh-CN"/>
        </w:rPr>
        <w:t>0</w:t>
      </w:r>
      <w:r w:rsidR="004E1B6E" w:rsidRPr="005135E2">
        <w:rPr>
          <w:rFonts w:ascii="华文楷体" w:hAnsi="华文楷体" w:hint="eastAsia"/>
          <w:bCs/>
          <w:sz w:val="24"/>
          <w:szCs w:val="24"/>
          <w:lang w:eastAsia="zh-CN"/>
        </w:rPr>
        <w:t>y国开债与1</w:t>
      </w:r>
      <w:r w:rsidR="004E1B6E" w:rsidRPr="005135E2">
        <w:rPr>
          <w:rFonts w:ascii="华文楷体" w:hAnsi="华文楷体"/>
          <w:bCs/>
          <w:sz w:val="24"/>
          <w:szCs w:val="24"/>
          <w:lang w:eastAsia="zh-CN"/>
        </w:rPr>
        <w:t>0</w:t>
      </w:r>
      <w:r w:rsidR="004E1B6E" w:rsidRPr="005135E2">
        <w:rPr>
          <w:rFonts w:ascii="华文楷体" w:hAnsi="华文楷体" w:hint="eastAsia"/>
          <w:bCs/>
          <w:sz w:val="24"/>
          <w:szCs w:val="24"/>
          <w:lang w:eastAsia="zh-CN"/>
        </w:rPr>
        <w:t>y国债利</w:t>
      </w:r>
      <w:proofErr w:type="gramStart"/>
      <w:r w:rsidR="004E1B6E" w:rsidRPr="005135E2">
        <w:rPr>
          <w:rFonts w:ascii="华文楷体" w:hAnsi="华文楷体" w:hint="eastAsia"/>
          <w:bCs/>
          <w:sz w:val="24"/>
          <w:szCs w:val="24"/>
          <w:lang w:eastAsia="zh-CN"/>
        </w:rPr>
        <w:t>差维持</w:t>
      </w:r>
      <w:proofErr w:type="gramEnd"/>
      <w:r w:rsidR="004E1B6E" w:rsidRPr="005135E2">
        <w:rPr>
          <w:rFonts w:ascii="华文楷体" w:hAnsi="华文楷体" w:hint="eastAsia"/>
          <w:bCs/>
          <w:sz w:val="24"/>
          <w:szCs w:val="24"/>
          <w:lang w:eastAsia="zh-CN"/>
        </w:rPr>
        <w:t>高位</w:t>
      </w:r>
      <w:r w:rsidR="005135E2" w:rsidRPr="005135E2">
        <w:rPr>
          <w:rFonts w:ascii="华文楷体" w:hAnsi="华文楷体" w:hint="eastAsia"/>
          <w:bCs/>
          <w:sz w:val="24"/>
          <w:szCs w:val="24"/>
          <w:lang w:eastAsia="zh-CN"/>
        </w:rPr>
        <w:t>。</w:t>
      </w:r>
    </w:p>
    <w:p w14:paraId="4BCFA02F" w14:textId="64AD6109" w:rsidR="005135E2" w:rsidRPr="005135E2" w:rsidRDefault="005135E2" w:rsidP="00CD3C43">
      <w:pPr>
        <w:pStyle w:val="Body-text"/>
        <w:spacing w:after="240"/>
        <w:ind w:firstLineChars="200" w:firstLine="480"/>
        <w:rPr>
          <w:rFonts w:ascii="华文楷体" w:hAnsi="华文楷体"/>
          <w:bCs/>
          <w:sz w:val="24"/>
          <w:szCs w:val="24"/>
          <w:lang w:eastAsia="zh-CN"/>
        </w:rPr>
      </w:pPr>
      <w:r w:rsidRPr="005135E2">
        <w:rPr>
          <w:rFonts w:ascii="华文楷体" w:hAnsi="华文楷体" w:hint="eastAsia"/>
          <w:bCs/>
          <w:sz w:val="24"/>
          <w:szCs w:val="24"/>
          <w:lang w:eastAsia="zh-CN"/>
        </w:rPr>
        <w:t>当下我们仍需要重点关注高频经济数据，判断经济的修复速度和边际变化。此外，权益市场是否进行阶段性调整也需要关注，</w:t>
      </w:r>
      <w:proofErr w:type="gramStart"/>
      <w:r w:rsidRPr="005135E2">
        <w:rPr>
          <w:rFonts w:ascii="华文楷体" w:hAnsi="华文楷体" w:hint="eastAsia"/>
          <w:bCs/>
          <w:sz w:val="24"/>
          <w:szCs w:val="24"/>
          <w:lang w:eastAsia="zh-CN"/>
        </w:rPr>
        <w:t>股债性价</w:t>
      </w:r>
      <w:proofErr w:type="gramEnd"/>
      <w:r w:rsidRPr="005135E2">
        <w:rPr>
          <w:rFonts w:ascii="华文楷体" w:hAnsi="华文楷体" w:hint="eastAsia"/>
          <w:bCs/>
          <w:sz w:val="24"/>
          <w:szCs w:val="24"/>
          <w:lang w:eastAsia="zh-CN"/>
        </w:rPr>
        <w:t>比本周进一步下降，对债市逐步有利。中美的摩擦是否会蔓延到经济和其他领域，是否</w:t>
      </w:r>
      <w:proofErr w:type="gramStart"/>
      <w:r w:rsidRPr="005135E2">
        <w:rPr>
          <w:rFonts w:ascii="华文楷体" w:hAnsi="华文楷体" w:hint="eastAsia"/>
          <w:bCs/>
          <w:sz w:val="24"/>
          <w:szCs w:val="24"/>
          <w:lang w:eastAsia="zh-CN"/>
        </w:rPr>
        <w:t>对外需及市场</w:t>
      </w:r>
      <w:proofErr w:type="gramEnd"/>
      <w:r w:rsidRPr="005135E2">
        <w:rPr>
          <w:rFonts w:ascii="华文楷体" w:hAnsi="华文楷体" w:hint="eastAsia"/>
          <w:bCs/>
          <w:sz w:val="24"/>
          <w:szCs w:val="24"/>
          <w:lang w:eastAsia="zh-CN"/>
        </w:rPr>
        <w:t>风险偏好形成冲击，也需要关注。一旦经济修复速度放缓，海外经济走弱，市场风险偏好出现调整，就会形成新的交易机会。</w:t>
      </w:r>
    </w:p>
    <w:p w14:paraId="431A849C" w14:textId="33088F3F" w:rsidR="006B0B01" w:rsidRPr="005135E2" w:rsidRDefault="00C505BD" w:rsidP="006B0B01">
      <w:pPr>
        <w:pStyle w:val="a8"/>
        <w:shd w:val="clear" w:color="auto" w:fill="FFFFFF"/>
        <w:adjustRightInd w:val="0"/>
        <w:snapToGrid w:val="0"/>
        <w:spacing w:before="0" w:beforeAutospacing="0" w:after="240" w:afterAutospacing="0"/>
        <w:ind w:firstLine="482"/>
        <w:jc w:val="both"/>
        <w:rPr>
          <w:rFonts w:ascii="华文楷体" w:eastAsia="华文楷体" w:hAnsi="华文楷体" w:cs="Times New Roman"/>
          <w:bCs/>
        </w:rPr>
      </w:pPr>
      <w:r w:rsidRPr="005135E2">
        <w:rPr>
          <w:rFonts w:ascii="华文楷体" w:eastAsia="华文楷体" w:hAnsi="华文楷体" w:cs="Times New Roman" w:hint="eastAsia"/>
          <w:bCs/>
        </w:rPr>
        <w:t>信用债：</w:t>
      </w:r>
      <w:r w:rsidR="006B0B01" w:rsidRPr="005135E2">
        <w:rPr>
          <w:rFonts w:ascii="华文楷体" w:eastAsia="华文楷体" w:hAnsi="华文楷体" w:cs="Times New Roman" w:hint="eastAsia"/>
          <w:bCs/>
        </w:rPr>
        <w:t>本周各</w:t>
      </w:r>
      <w:r w:rsidR="00314603" w:rsidRPr="005135E2">
        <w:rPr>
          <w:rFonts w:ascii="华文楷体" w:eastAsia="华文楷体" w:hAnsi="华文楷体" w:cs="Times New Roman" w:hint="eastAsia"/>
          <w:bCs/>
        </w:rPr>
        <w:t>期限品种</w:t>
      </w:r>
      <w:r w:rsidR="005135E2" w:rsidRPr="005135E2">
        <w:rPr>
          <w:rFonts w:ascii="华文楷体" w:eastAsia="华文楷体" w:hAnsi="华文楷体" w:cs="Times New Roman" w:hint="eastAsia"/>
          <w:bCs/>
        </w:rPr>
        <w:t>利率上行</w:t>
      </w:r>
      <w:r w:rsidR="00314603" w:rsidRPr="005135E2">
        <w:rPr>
          <w:rFonts w:ascii="华文楷体" w:eastAsia="华文楷体" w:hAnsi="华文楷体" w:cs="Times New Roman" w:hint="eastAsia"/>
          <w:bCs/>
        </w:rPr>
        <w:t>，</w:t>
      </w:r>
      <w:r w:rsidR="005135E2" w:rsidRPr="005135E2">
        <w:rPr>
          <w:rFonts w:ascii="华文楷体" w:eastAsia="华文楷体" w:hAnsi="华文楷体" w:cs="Times New Roman" w:hint="eastAsia"/>
          <w:bCs/>
        </w:rPr>
        <w:t>主要</w:t>
      </w:r>
      <w:r w:rsidR="00F063A3" w:rsidRPr="005135E2">
        <w:rPr>
          <w:rFonts w:ascii="华文楷体" w:eastAsia="华文楷体" w:hAnsi="华文楷体" w:cs="Times New Roman" w:hint="eastAsia"/>
          <w:bCs/>
        </w:rPr>
        <w:t>受到</w:t>
      </w:r>
      <w:proofErr w:type="gramStart"/>
      <w:r w:rsidR="00F063A3" w:rsidRPr="005135E2">
        <w:rPr>
          <w:rFonts w:ascii="华文楷体" w:eastAsia="华文楷体" w:hAnsi="华文楷体" w:cs="Times New Roman" w:hint="eastAsia"/>
          <w:bCs/>
        </w:rPr>
        <w:t>资</w:t>
      </w:r>
      <w:r w:rsidR="00F063A3" w:rsidRPr="005135E2">
        <w:rPr>
          <w:rFonts w:ascii="华文楷体" w:eastAsia="华文楷体" w:hAnsi="华文楷体" w:cs="Times New Roman"/>
          <w:bCs/>
        </w:rPr>
        <w:t>利率</w:t>
      </w:r>
      <w:r w:rsidR="00F063A3" w:rsidRPr="005135E2">
        <w:rPr>
          <w:rFonts w:ascii="华文楷体" w:eastAsia="华文楷体" w:hAnsi="华文楷体" w:cs="Times New Roman" w:hint="eastAsia"/>
          <w:bCs/>
        </w:rPr>
        <w:t>债</w:t>
      </w:r>
      <w:r w:rsidR="005135E2" w:rsidRPr="005135E2">
        <w:rPr>
          <w:rFonts w:ascii="华文楷体" w:eastAsia="华文楷体" w:hAnsi="华文楷体" w:cs="Times New Roman" w:hint="eastAsia"/>
          <w:bCs/>
        </w:rPr>
        <w:t>调整</w:t>
      </w:r>
      <w:proofErr w:type="gramEnd"/>
      <w:r w:rsidR="005135E2" w:rsidRPr="005135E2">
        <w:rPr>
          <w:rFonts w:ascii="华文楷体" w:eastAsia="华文楷体" w:hAnsi="华文楷体" w:cs="Times New Roman" w:hint="eastAsia"/>
          <w:bCs/>
        </w:rPr>
        <w:t>的</w:t>
      </w:r>
      <w:r w:rsidR="00F063A3" w:rsidRPr="005135E2">
        <w:rPr>
          <w:rFonts w:ascii="华文楷体" w:eastAsia="华文楷体" w:hAnsi="华文楷体" w:cs="Times New Roman"/>
          <w:bCs/>
        </w:rPr>
        <w:t>影响。</w:t>
      </w:r>
      <w:r w:rsidR="00314603" w:rsidRPr="005135E2">
        <w:rPr>
          <w:rFonts w:ascii="华文楷体" w:eastAsia="华文楷体" w:hAnsi="华文楷体" w:cs="Times New Roman" w:hint="eastAsia"/>
          <w:bCs/>
        </w:rPr>
        <w:t>整体来看，</w:t>
      </w:r>
      <w:r w:rsidR="00A060AA" w:rsidRPr="005135E2">
        <w:rPr>
          <w:rFonts w:ascii="华文楷体" w:eastAsia="华文楷体" w:hAnsi="华文楷体" w:cs="Times New Roman" w:hint="eastAsia"/>
          <w:bCs/>
        </w:rPr>
        <w:t>当前利率的绝对水平有一定基本面支撑，配置盘的绝对收益有</w:t>
      </w:r>
      <w:r w:rsidR="00F063A3" w:rsidRPr="005135E2">
        <w:rPr>
          <w:rFonts w:ascii="华文楷体" w:eastAsia="华文楷体" w:hAnsi="华文楷体" w:cs="Times New Roman" w:hint="eastAsia"/>
          <w:bCs/>
        </w:rPr>
        <w:t>一定</w:t>
      </w:r>
      <w:r w:rsidR="00A060AA" w:rsidRPr="005135E2">
        <w:rPr>
          <w:rFonts w:ascii="华文楷体" w:eastAsia="华文楷体" w:hAnsi="华文楷体" w:cs="Times New Roman" w:hint="eastAsia"/>
          <w:bCs/>
        </w:rPr>
        <w:t>保障，但后续经济边际改善的趋势不变</w:t>
      </w:r>
      <w:proofErr w:type="gramStart"/>
      <w:r w:rsidR="00A060AA" w:rsidRPr="005135E2">
        <w:rPr>
          <w:rFonts w:ascii="华文楷体" w:eastAsia="华文楷体" w:hAnsi="华文楷体" w:cs="Times New Roman" w:hint="eastAsia"/>
          <w:bCs/>
        </w:rPr>
        <w:t>则货币</w:t>
      </w:r>
      <w:proofErr w:type="gramEnd"/>
      <w:r w:rsidR="00A060AA" w:rsidRPr="005135E2">
        <w:rPr>
          <w:rFonts w:ascii="华文楷体" w:eastAsia="华文楷体" w:hAnsi="华文楷体" w:cs="Times New Roman" w:hint="eastAsia"/>
          <w:bCs/>
        </w:rPr>
        <w:t>政策很难释放有利信号，票息策略</w:t>
      </w:r>
      <w:r w:rsidR="005135E2" w:rsidRPr="005135E2">
        <w:rPr>
          <w:rFonts w:ascii="华文楷体" w:eastAsia="华文楷体" w:hAnsi="华文楷体" w:cs="Times New Roman" w:hint="eastAsia"/>
          <w:bCs/>
        </w:rPr>
        <w:t>仍然</w:t>
      </w:r>
      <w:r w:rsidR="00A060AA" w:rsidRPr="005135E2">
        <w:rPr>
          <w:rFonts w:ascii="华文楷体" w:eastAsia="华文楷体" w:hAnsi="华文楷体" w:cs="Times New Roman" w:hint="eastAsia"/>
          <w:bCs/>
        </w:rPr>
        <w:t>占优</w:t>
      </w:r>
      <w:r w:rsidR="00F063A3" w:rsidRPr="005135E2">
        <w:rPr>
          <w:rFonts w:ascii="华文楷体" w:eastAsia="华文楷体" w:hAnsi="华文楷体" w:cs="Times New Roman" w:hint="eastAsia"/>
          <w:bCs/>
        </w:rPr>
        <w:t>，</w:t>
      </w:r>
      <w:r w:rsidR="00F063A3" w:rsidRPr="005135E2">
        <w:rPr>
          <w:rFonts w:ascii="华文楷体" w:eastAsia="华文楷体" w:hAnsi="华文楷体" w:cs="Times New Roman"/>
          <w:bCs/>
        </w:rPr>
        <w:t>关注信用风险暴露</w:t>
      </w:r>
      <w:r w:rsidR="00A060AA" w:rsidRPr="005135E2">
        <w:rPr>
          <w:rFonts w:ascii="华文楷体" w:eastAsia="华文楷体" w:hAnsi="华文楷体" w:cs="Times New Roman" w:hint="eastAsia"/>
          <w:bCs/>
        </w:rPr>
        <w:t>。</w:t>
      </w:r>
    </w:p>
    <w:p w14:paraId="4C893BAE" w14:textId="59BADEBD" w:rsidR="00983C71" w:rsidRPr="005135E2" w:rsidRDefault="00C505BD" w:rsidP="00491B29">
      <w:pPr>
        <w:pStyle w:val="Body-text"/>
        <w:spacing w:after="240"/>
        <w:ind w:firstLineChars="200" w:firstLine="480"/>
        <w:rPr>
          <w:rFonts w:ascii="华文楷体" w:hAnsi="华文楷体"/>
          <w:bCs/>
          <w:sz w:val="24"/>
          <w:szCs w:val="24"/>
          <w:lang w:eastAsia="zh-CN"/>
        </w:rPr>
      </w:pPr>
      <w:r w:rsidRPr="005135E2">
        <w:rPr>
          <w:rFonts w:ascii="华文楷体" w:hAnsi="华文楷体" w:hint="eastAsia"/>
          <w:bCs/>
          <w:sz w:val="24"/>
          <w:szCs w:val="24"/>
          <w:lang w:eastAsia="zh-CN"/>
        </w:rPr>
        <w:t>可转债：</w:t>
      </w:r>
      <w:r w:rsidR="00654624" w:rsidRPr="005135E2">
        <w:rPr>
          <w:rFonts w:ascii="华文楷体" w:hAnsi="华文楷体" w:hint="eastAsia"/>
          <w:bCs/>
          <w:sz w:val="24"/>
          <w:szCs w:val="24"/>
          <w:lang w:eastAsia="zh-CN"/>
        </w:rPr>
        <w:t>本周权益市场</w:t>
      </w:r>
      <w:r w:rsidR="005135E2" w:rsidRPr="005135E2">
        <w:rPr>
          <w:rFonts w:ascii="华文楷体" w:hAnsi="华文楷体" w:hint="eastAsia"/>
          <w:bCs/>
          <w:sz w:val="24"/>
          <w:szCs w:val="24"/>
          <w:lang w:eastAsia="zh-CN"/>
        </w:rPr>
        <w:t>好转带动转债走强</w:t>
      </w:r>
      <w:r w:rsidR="00C26EBA" w:rsidRPr="005135E2">
        <w:rPr>
          <w:rFonts w:ascii="华文楷体" w:hAnsi="华文楷体" w:hint="eastAsia"/>
          <w:bCs/>
          <w:sz w:val="24"/>
          <w:szCs w:val="24"/>
          <w:lang w:eastAsia="zh-CN"/>
        </w:rPr>
        <w:t>。</w:t>
      </w:r>
      <w:r w:rsidR="005135E2" w:rsidRPr="005135E2">
        <w:rPr>
          <w:rFonts w:ascii="华文楷体" w:hAnsi="华文楷体" w:hint="eastAsia"/>
          <w:bCs/>
          <w:sz w:val="24"/>
          <w:szCs w:val="24"/>
          <w:lang w:eastAsia="zh-CN"/>
        </w:rPr>
        <w:t>行业轮动速度加快</w:t>
      </w:r>
      <w:r w:rsidR="00F67C58" w:rsidRPr="005135E2">
        <w:rPr>
          <w:rFonts w:ascii="华文楷体" w:hAnsi="华文楷体" w:hint="eastAsia"/>
          <w:bCs/>
          <w:sz w:val="24"/>
          <w:szCs w:val="24"/>
          <w:lang w:eastAsia="zh-CN"/>
        </w:rPr>
        <w:t>，</w:t>
      </w:r>
      <w:r w:rsidR="005135E2" w:rsidRPr="005135E2">
        <w:rPr>
          <w:rFonts w:ascii="华文楷体" w:hAnsi="华文楷体" w:hint="eastAsia"/>
          <w:bCs/>
          <w:sz w:val="24"/>
          <w:szCs w:val="24"/>
          <w:lang w:eastAsia="zh-CN"/>
        </w:rPr>
        <w:t>权益阶段</w:t>
      </w:r>
      <w:proofErr w:type="gramStart"/>
      <w:r w:rsidR="005135E2" w:rsidRPr="005135E2">
        <w:rPr>
          <w:rFonts w:ascii="华文楷体" w:hAnsi="华文楷体" w:hint="eastAsia"/>
          <w:bCs/>
          <w:sz w:val="24"/>
          <w:szCs w:val="24"/>
          <w:lang w:eastAsia="zh-CN"/>
        </w:rPr>
        <w:t>冲顶迹象</w:t>
      </w:r>
      <w:proofErr w:type="gramEnd"/>
      <w:r w:rsidR="005135E2" w:rsidRPr="005135E2">
        <w:rPr>
          <w:rFonts w:ascii="华文楷体" w:hAnsi="华文楷体" w:hint="eastAsia"/>
          <w:bCs/>
          <w:sz w:val="24"/>
          <w:szCs w:val="24"/>
          <w:lang w:eastAsia="zh-CN"/>
        </w:rPr>
        <w:t>凸显，转</w:t>
      </w:r>
      <w:proofErr w:type="gramStart"/>
      <w:r w:rsidR="005135E2" w:rsidRPr="005135E2">
        <w:rPr>
          <w:rFonts w:ascii="华文楷体" w:hAnsi="华文楷体" w:hint="eastAsia"/>
          <w:bCs/>
          <w:sz w:val="24"/>
          <w:szCs w:val="24"/>
          <w:lang w:eastAsia="zh-CN"/>
        </w:rPr>
        <w:t>债部分</w:t>
      </w:r>
      <w:proofErr w:type="gramEnd"/>
      <w:r w:rsidR="005135E2" w:rsidRPr="005135E2">
        <w:rPr>
          <w:rFonts w:ascii="华文楷体" w:hAnsi="华文楷体" w:hint="eastAsia"/>
          <w:bCs/>
          <w:sz w:val="24"/>
          <w:szCs w:val="24"/>
          <w:lang w:eastAsia="zh-CN"/>
        </w:rPr>
        <w:t>品种可阶段性考虑止盈。接下来建议</w:t>
      </w:r>
      <w:r w:rsidR="00F67C58" w:rsidRPr="005135E2">
        <w:rPr>
          <w:rFonts w:ascii="华文楷体" w:hAnsi="华文楷体" w:hint="eastAsia"/>
          <w:bCs/>
          <w:sz w:val="24"/>
          <w:szCs w:val="24"/>
          <w:lang w:eastAsia="zh-CN"/>
        </w:rPr>
        <w:t>继续关注半年报绩优、正股弹性和逻辑较强品种。</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1D35B3" w:rsidRPr="006A5F34" w14:paraId="77CEE22B" w14:textId="77777777" w:rsidTr="00691BC8">
        <w:trPr>
          <w:jc w:val="center"/>
        </w:trPr>
        <w:tc>
          <w:tcPr>
            <w:tcW w:w="4939" w:type="dxa"/>
            <w:vAlign w:val="center"/>
          </w:tcPr>
          <w:p w14:paraId="50E52AA0" w14:textId="05A23B59" w:rsidR="001D35B3" w:rsidRPr="006A5F34" w:rsidRDefault="001D35B3" w:rsidP="006E5744">
            <w:pPr>
              <w:pStyle w:val="ChartHeading"/>
              <w:jc w:val="both"/>
            </w:pPr>
            <w:r w:rsidRPr="006A5F34">
              <w:rPr>
                <w:rFonts w:hint="eastAsia"/>
              </w:rPr>
              <w:t>图表</w:t>
            </w:r>
            <w:r w:rsidRPr="006A5F34">
              <w:t>.</w:t>
            </w:r>
            <w:r w:rsidR="003E314A">
              <w:rPr>
                <w:rFonts w:hint="eastAsia"/>
              </w:rPr>
              <w:t>主要钢材库存</w:t>
            </w:r>
            <w:r w:rsidR="00E24967">
              <w:rPr>
                <w:rFonts w:hint="eastAsia"/>
              </w:rPr>
              <w:t>持续</w:t>
            </w:r>
            <w:r w:rsidR="003E314A">
              <w:rPr>
                <w:rFonts w:hint="eastAsia"/>
              </w:rPr>
              <w:t>回升</w:t>
            </w:r>
          </w:p>
        </w:tc>
        <w:tc>
          <w:tcPr>
            <w:tcW w:w="4938" w:type="dxa"/>
            <w:vAlign w:val="center"/>
          </w:tcPr>
          <w:p w14:paraId="02A10F26" w14:textId="30D8B7A2" w:rsidR="001D35B3" w:rsidRPr="006A5F34" w:rsidRDefault="001D35B3" w:rsidP="008656C4">
            <w:pPr>
              <w:pStyle w:val="ChartHeading"/>
              <w:jc w:val="both"/>
            </w:pPr>
            <w:r w:rsidRPr="006A5F34">
              <w:rPr>
                <w:rFonts w:hint="eastAsia"/>
              </w:rPr>
              <w:t>图表</w:t>
            </w:r>
            <w:r w:rsidRPr="006A5F34">
              <w:t xml:space="preserve">. </w:t>
            </w:r>
            <w:r w:rsidR="0063192C">
              <w:rPr>
                <w:rFonts w:hint="eastAsia"/>
              </w:rPr>
              <w:t>水泥价格</w:t>
            </w:r>
            <w:r w:rsidR="00DE6EDA">
              <w:rPr>
                <w:rFonts w:hint="eastAsia"/>
              </w:rPr>
              <w:t>持续回落</w:t>
            </w:r>
            <w:r w:rsidR="00DE6EDA" w:rsidRPr="006A5F34">
              <w:t xml:space="preserve"> </w:t>
            </w:r>
          </w:p>
        </w:tc>
      </w:tr>
      <w:tr w:rsidR="001D35B3" w:rsidRPr="006A5F34" w14:paraId="205667F1" w14:textId="77777777" w:rsidTr="00C436F5">
        <w:tblPrEx>
          <w:tblCellMar>
            <w:left w:w="108" w:type="dxa"/>
            <w:right w:w="108" w:type="dxa"/>
          </w:tblCellMar>
        </w:tblPrEx>
        <w:trPr>
          <w:jc w:val="center"/>
        </w:trPr>
        <w:tc>
          <w:tcPr>
            <w:tcW w:w="4939" w:type="dxa"/>
            <w:vAlign w:val="center"/>
          </w:tcPr>
          <w:p w14:paraId="56C782C2" w14:textId="6A70BD50" w:rsidR="001D35B3" w:rsidRPr="007E0340" w:rsidRDefault="00C436F5" w:rsidP="009A2BA0">
            <w:pPr>
              <w:jc w:val="center"/>
              <w:rPr>
                <w:noProof/>
              </w:rPr>
            </w:pPr>
            <w:r>
              <w:rPr>
                <w:noProof/>
              </w:rPr>
              <w:drawing>
                <wp:inline distT="0" distB="0" distL="0" distR="0" wp14:anchorId="021B89F2" wp14:editId="5B0A0210">
                  <wp:extent cx="2999105" cy="1626235"/>
                  <wp:effectExtent l="0" t="0" r="0" b="0"/>
                  <wp:docPr id="16" name="图表 16">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a16="http://schemas.microsoft.com/office/drawing/2014/main" id="{00000000-0008-0000-09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tc>
        <w:tc>
          <w:tcPr>
            <w:tcW w:w="4938" w:type="dxa"/>
            <w:vAlign w:val="center"/>
          </w:tcPr>
          <w:p w14:paraId="3EF0360D" w14:textId="48CD205F" w:rsidR="001D35B3" w:rsidRPr="007E0340" w:rsidRDefault="00C436F5" w:rsidP="009A2BA0">
            <w:pPr>
              <w:jc w:val="center"/>
              <w:rPr>
                <w:noProof/>
                <w:szCs w:val="18"/>
              </w:rPr>
            </w:pPr>
            <w:r>
              <w:rPr>
                <w:noProof/>
              </w:rPr>
              <w:drawing>
                <wp:inline distT="0" distB="0" distL="0" distR="0" wp14:anchorId="005FAC3D" wp14:editId="539F56E2">
                  <wp:extent cx="2998470" cy="1764030"/>
                  <wp:effectExtent l="0" t="0" r="0" b="7620"/>
                  <wp:docPr id="17" name="图表 17">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a16="http://schemas.microsoft.com/office/drawing/2014/main" id="{00000000-0008-0000-0B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tc>
      </w:tr>
      <w:tr w:rsidR="001D35B3" w:rsidRPr="006A5F34" w14:paraId="1C5ED951" w14:textId="77777777" w:rsidTr="00691BC8">
        <w:trPr>
          <w:trHeight w:val="64"/>
          <w:jc w:val="center"/>
        </w:trPr>
        <w:tc>
          <w:tcPr>
            <w:tcW w:w="4939" w:type="dxa"/>
            <w:vAlign w:val="center"/>
          </w:tcPr>
          <w:p w14:paraId="2DDE4C83" w14:textId="77777777" w:rsidR="001D35B3" w:rsidRPr="006A5F34" w:rsidRDefault="001D35B3"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c>
          <w:tcPr>
            <w:tcW w:w="4938" w:type="dxa"/>
            <w:vAlign w:val="center"/>
          </w:tcPr>
          <w:p w14:paraId="442A0DC3" w14:textId="77777777" w:rsidR="001D35B3" w:rsidRPr="006A5F34" w:rsidRDefault="001D35B3"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tbl>
    <w:p w14:paraId="43F047F4" w14:textId="77777777" w:rsidR="001D35B3" w:rsidRDefault="001D35B3" w:rsidP="009A2BA0">
      <w:pPr>
        <w:pStyle w:val="Body-text"/>
        <w:spacing w:after="0"/>
        <w:rPr>
          <w:lang w:eastAsia="zh-CN"/>
        </w:rPr>
      </w:pP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1D35B3" w:rsidRPr="006A5F34" w14:paraId="3D734F0A" w14:textId="77777777" w:rsidTr="00691BC8">
        <w:trPr>
          <w:jc w:val="center"/>
        </w:trPr>
        <w:tc>
          <w:tcPr>
            <w:tcW w:w="4939" w:type="dxa"/>
            <w:vAlign w:val="center"/>
          </w:tcPr>
          <w:p w14:paraId="7405388D" w14:textId="1D230FA6" w:rsidR="001D35B3" w:rsidRPr="006A5F34" w:rsidRDefault="001D35B3" w:rsidP="00AC74DA">
            <w:pPr>
              <w:pStyle w:val="ChartHeading"/>
              <w:jc w:val="both"/>
            </w:pPr>
            <w:r w:rsidRPr="006A5F34">
              <w:rPr>
                <w:rFonts w:hint="eastAsia"/>
              </w:rPr>
              <w:lastRenderedPageBreak/>
              <w:t>图表</w:t>
            </w:r>
            <w:r w:rsidRPr="006A5F34">
              <w:t>.</w:t>
            </w:r>
            <w:r>
              <w:t xml:space="preserve"> </w:t>
            </w:r>
            <w:r w:rsidR="00AC74DA">
              <w:rPr>
                <w:rFonts w:hint="eastAsia"/>
              </w:rPr>
              <w:t>南华</w:t>
            </w:r>
            <w:r w:rsidR="00AC74DA">
              <w:t>工业品指数</w:t>
            </w:r>
            <w:r w:rsidR="00763150">
              <w:rPr>
                <w:rFonts w:hint="eastAsia"/>
              </w:rPr>
              <w:t>持续向好</w:t>
            </w:r>
          </w:p>
        </w:tc>
        <w:tc>
          <w:tcPr>
            <w:tcW w:w="4938" w:type="dxa"/>
            <w:vAlign w:val="center"/>
          </w:tcPr>
          <w:p w14:paraId="07575C0F" w14:textId="0A8321D0" w:rsidR="001D35B3" w:rsidRPr="006A5F34" w:rsidRDefault="001D35B3" w:rsidP="0054686C">
            <w:pPr>
              <w:pStyle w:val="ChartHeading"/>
              <w:jc w:val="both"/>
            </w:pPr>
            <w:r w:rsidRPr="006A5F34">
              <w:rPr>
                <w:rFonts w:hint="eastAsia"/>
              </w:rPr>
              <w:t>图表</w:t>
            </w:r>
            <w:r w:rsidRPr="006A5F34">
              <w:t xml:space="preserve">. </w:t>
            </w:r>
            <w:r w:rsidR="000E190F">
              <w:rPr>
                <w:rFonts w:hint="eastAsia"/>
              </w:rPr>
              <w:t>原油</w:t>
            </w:r>
            <w:r w:rsidR="00AC74DA">
              <w:rPr>
                <w:rFonts w:hint="eastAsia"/>
              </w:rPr>
              <w:t>价格</w:t>
            </w:r>
            <w:r w:rsidR="0054686C">
              <w:rPr>
                <w:rFonts w:hint="eastAsia"/>
              </w:rPr>
              <w:t>相对平稳</w:t>
            </w:r>
          </w:p>
        </w:tc>
      </w:tr>
      <w:tr w:rsidR="001D35B3" w:rsidRPr="006A5F34" w14:paraId="49BBD33E" w14:textId="77777777" w:rsidTr="00E24967">
        <w:tblPrEx>
          <w:tblCellMar>
            <w:left w:w="108" w:type="dxa"/>
            <w:right w:w="108" w:type="dxa"/>
          </w:tblCellMar>
        </w:tblPrEx>
        <w:trPr>
          <w:jc w:val="center"/>
        </w:trPr>
        <w:tc>
          <w:tcPr>
            <w:tcW w:w="4939" w:type="dxa"/>
            <w:vAlign w:val="center"/>
          </w:tcPr>
          <w:p w14:paraId="0BAC1731" w14:textId="0D83A45C" w:rsidR="001D35B3" w:rsidRPr="007E0340" w:rsidRDefault="00E24967" w:rsidP="009A2BA0">
            <w:pPr>
              <w:jc w:val="center"/>
              <w:rPr>
                <w:noProof/>
              </w:rPr>
            </w:pPr>
            <w:r>
              <w:rPr>
                <w:noProof/>
              </w:rPr>
              <w:drawing>
                <wp:inline distT="0" distB="0" distL="0" distR="0" wp14:anchorId="0E45080F" wp14:editId="51498AEF">
                  <wp:extent cx="2999105" cy="1738630"/>
                  <wp:effectExtent l="0" t="0" r="0" b="0"/>
                  <wp:docPr id="18" name="图表 18">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a16="http://schemas.microsoft.com/office/drawing/2014/main" id="{00000000-0008-0000-10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tc>
        <w:tc>
          <w:tcPr>
            <w:tcW w:w="4938" w:type="dxa"/>
            <w:vAlign w:val="center"/>
          </w:tcPr>
          <w:p w14:paraId="64025D22" w14:textId="38EA58ED" w:rsidR="001D35B3" w:rsidRPr="007E0340" w:rsidRDefault="00E24967" w:rsidP="009A2BA0">
            <w:pPr>
              <w:jc w:val="center"/>
              <w:rPr>
                <w:noProof/>
                <w:szCs w:val="18"/>
              </w:rPr>
            </w:pPr>
            <w:r>
              <w:rPr>
                <w:noProof/>
              </w:rPr>
              <w:drawing>
                <wp:inline distT="0" distB="0" distL="0" distR="0" wp14:anchorId="11624382" wp14:editId="2D2D6E7A">
                  <wp:extent cx="2998470" cy="1679575"/>
                  <wp:effectExtent l="0" t="0" r="0" b="0"/>
                  <wp:docPr id="19" name="图表 19">
                    <a:extLst xmlns:a="http://schemas.openxmlformats.org/drawingml/2006/main">
                      <a:ext uri="{FF2B5EF4-FFF2-40B4-BE49-F238E27FC236}">
                        <a16:creationId xmln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a16="http://schemas.microsoft.com/office/drawing/2014/main" id="{00000000-0008-0000-11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tc>
      </w:tr>
      <w:tr w:rsidR="001D35B3" w:rsidRPr="006A5F34" w14:paraId="2929BCA6" w14:textId="77777777" w:rsidTr="00691BC8">
        <w:trPr>
          <w:trHeight w:val="64"/>
          <w:jc w:val="center"/>
        </w:trPr>
        <w:tc>
          <w:tcPr>
            <w:tcW w:w="4939" w:type="dxa"/>
            <w:vAlign w:val="center"/>
          </w:tcPr>
          <w:p w14:paraId="45A3CEF6" w14:textId="77777777" w:rsidR="001D35B3" w:rsidRPr="006A5F34" w:rsidRDefault="001D35B3"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c>
          <w:tcPr>
            <w:tcW w:w="4938" w:type="dxa"/>
            <w:vAlign w:val="center"/>
          </w:tcPr>
          <w:p w14:paraId="38477A40" w14:textId="77777777" w:rsidR="001D35B3" w:rsidRPr="006A5F34" w:rsidRDefault="001D35B3"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tbl>
    <w:p w14:paraId="2243C4C4" w14:textId="72538FC9" w:rsidR="004E02E2" w:rsidRPr="004E02E2" w:rsidDel="006D1AD9" w:rsidRDefault="004E02E2" w:rsidP="009A2BA0">
      <w:pPr>
        <w:pStyle w:val="Body-text"/>
        <w:spacing w:after="0"/>
        <w:rPr>
          <w:rFonts w:ascii="华文楷体" w:hAnsi="华文楷体"/>
          <w:sz w:val="24"/>
          <w:szCs w:val="24"/>
          <w:lang w:eastAsia="zh-CN"/>
        </w:rPr>
      </w:pPr>
    </w:p>
    <w:p w14:paraId="40E0E436" w14:textId="77777777" w:rsidR="001A1299" w:rsidRDefault="001A1299" w:rsidP="009A2BA0">
      <w:pPr>
        <w:widowControl/>
        <w:jc w:val="left"/>
      </w:pPr>
      <w:r>
        <w:br w:type="page"/>
      </w:r>
    </w:p>
    <w:p w14:paraId="0E9FBC78" w14:textId="77777777" w:rsidR="002E1393" w:rsidRPr="001D69C6" w:rsidRDefault="002E1393" w:rsidP="009A2BA0">
      <w:pPr>
        <w:widowControl/>
        <w:ind w:firstLineChars="200" w:firstLine="420"/>
      </w:pPr>
    </w:p>
    <w:p w14:paraId="305753DC" w14:textId="77777777" w:rsidR="001A1299" w:rsidRPr="00234AC0" w:rsidRDefault="001A1299" w:rsidP="009A2BA0">
      <w:pPr>
        <w:widowControl/>
        <w:jc w:val="center"/>
        <w:rPr>
          <w:rFonts w:ascii="黑体" w:eastAsia="黑体"/>
          <w:b/>
          <w:sz w:val="24"/>
          <w:szCs w:val="24"/>
        </w:rPr>
      </w:pPr>
    </w:p>
    <w:p w14:paraId="1EF1A1F1" w14:textId="364102EA" w:rsidR="0028459A" w:rsidRPr="001A1299" w:rsidRDefault="00085A79" w:rsidP="00085A79">
      <w:pPr>
        <w:pStyle w:val="Body-text"/>
        <w:ind w:firstLineChars="200" w:firstLine="480"/>
        <w:rPr>
          <w:rFonts w:ascii="华文楷体" w:hAnsi="华文楷体"/>
          <w:sz w:val="24"/>
          <w:szCs w:val="24"/>
          <w:lang w:eastAsia="zh-CN"/>
        </w:rPr>
      </w:pPr>
      <w:r w:rsidRPr="00085A79">
        <w:rPr>
          <w:rFonts w:ascii="华文楷体" w:hAnsi="华文楷体" w:hint="eastAsia"/>
          <w:sz w:val="24"/>
          <w:szCs w:val="24"/>
          <w:lang w:eastAsia="zh-CN"/>
        </w:rPr>
        <w:t>风险提示：1、本报告中的信息均来源于我们认为可靠的已公开资料和合作客户的研究成果，但本公司及研究人员对这些信息的准确性和完整性不作任何保证，也不保证本报告所包含的信息或建议在本报告发出后不会发生任何变更，且本报告仅反映发布时的资料、观点和预测，可能在随后会</w:t>
      </w:r>
      <w:proofErr w:type="gramStart"/>
      <w:r w:rsidRPr="00085A79">
        <w:rPr>
          <w:rFonts w:ascii="华文楷体" w:hAnsi="华文楷体" w:hint="eastAsia"/>
          <w:sz w:val="24"/>
          <w:szCs w:val="24"/>
          <w:lang w:eastAsia="zh-CN"/>
        </w:rPr>
        <w:t>作出</w:t>
      </w:r>
      <w:proofErr w:type="gramEnd"/>
      <w:r w:rsidRPr="00085A79">
        <w:rPr>
          <w:rFonts w:ascii="华文楷体" w:hAnsi="华文楷体" w:hint="eastAsia"/>
          <w:sz w:val="24"/>
          <w:szCs w:val="24"/>
          <w:lang w:eastAsia="zh-CN"/>
        </w:rPr>
        <w:t>调整。2、本报告中的资料、观点和预测等仅供参考，在任何时候均不构成对任何人的个人推荐。市场有风险，投资需谨慎。</w:t>
      </w:r>
    </w:p>
    <w:p w14:paraId="36DE518D" w14:textId="77777777" w:rsidR="001170AF" w:rsidRPr="001A1299" w:rsidRDefault="001170AF" w:rsidP="009A2BA0">
      <w:pPr>
        <w:pStyle w:val="Body-text"/>
        <w:ind w:firstLineChars="200" w:firstLine="480"/>
        <w:rPr>
          <w:rFonts w:ascii="华文楷体" w:hAnsi="华文楷体"/>
          <w:sz w:val="24"/>
          <w:szCs w:val="24"/>
          <w:lang w:eastAsia="zh-CN"/>
        </w:rPr>
      </w:pPr>
      <w:bookmarkStart w:id="2" w:name="_GoBack"/>
      <w:bookmarkEnd w:id="2"/>
    </w:p>
    <w:sectPr w:rsidR="001170AF" w:rsidRPr="001A1299" w:rsidSect="00AB78C4">
      <w:headerReference w:type="default" r:id="rId19"/>
      <w:footerReference w:type="default" r:id="rId20"/>
      <w:pgSz w:w="11906" w:h="16838"/>
      <w:pgMar w:top="1134" w:right="1021" w:bottom="1134" w:left="1021" w:header="284" w:footer="567"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577ECB0" w14:textId="77777777" w:rsidR="00C3142A" w:rsidRDefault="00C3142A">
      <w:r>
        <w:separator/>
      </w:r>
    </w:p>
  </w:endnote>
  <w:endnote w:type="continuationSeparator" w:id="0">
    <w:p w14:paraId="2AF2A4CC" w14:textId="77777777" w:rsidR="00C3142A" w:rsidRDefault="00C314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华文楷体">
    <w:panose1 w:val="02010600040101010101"/>
    <w:charset w:val="86"/>
    <w:family w:val="auto"/>
    <w:pitch w:val="variable"/>
    <w:sig w:usb0="00000287" w:usb1="080F0000" w:usb2="00000010" w:usb3="00000000" w:csb0="0004009F" w:csb1="00000000"/>
  </w:font>
  <w:font w:name="Arial Bold">
    <w:altName w:val="Arial"/>
    <w:panose1 w:val="020B0704020202020204"/>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PMingLiU">
    <w:altName w:val="新細明體"/>
    <w:panose1 w:val="02020500000000000000"/>
    <w:charset w:val="88"/>
    <w:family w:val="roman"/>
    <w:pitch w:val="variable"/>
    <w:sig w:usb0="A00002FF" w:usb1="28CFFCFA" w:usb2="00000016" w:usb3="00000000" w:csb0="00100001" w:csb1="00000000"/>
  </w:font>
  <w:font w:name="等线">
    <w:altName w:val="Arial Unicode MS"/>
    <w:charset w:val="86"/>
    <w:family w:val="auto"/>
    <w:pitch w:val="variable"/>
    <w:sig w:usb0="00000000" w:usb1="38CF7CFA" w:usb2="00000016" w:usb3="00000000" w:csb0="0004000F" w:csb1="00000000"/>
  </w:font>
  <w:font w:name="等线 Light">
    <w:altName w:val="Arial Unicode MS"/>
    <w:charset w:val="86"/>
    <w:family w:val="auto"/>
    <w:pitch w:val="variable"/>
    <w:sig w:usb0="00000000"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31792377"/>
      <w:docPartObj>
        <w:docPartGallery w:val="Page Numbers (Bottom of Page)"/>
        <w:docPartUnique/>
      </w:docPartObj>
    </w:sdtPr>
    <w:sdtEndPr/>
    <w:sdtContent>
      <w:p w14:paraId="618D4EFE" w14:textId="1FB9B16E" w:rsidR="000117D9" w:rsidRDefault="000117D9">
        <w:pPr>
          <w:pStyle w:val="a4"/>
          <w:jc w:val="right"/>
        </w:pPr>
        <w:r>
          <w:fldChar w:fldCharType="begin"/>
        </w:r>
        <w:r>
          <w:instrText>PAGE   \* MERGEFORMAT</w:instrText>
        </w:r>
        <w:r>
          <w:fldChar w:fldCharType="separate"/>
        </w:r>
        <w:r w:rsidR="00085A79" w:rsidRPr="00085A79">
          <w:rPr>
            <w:noProof/>
            <w:lang w:val="zh-CN"/>
          </w:rPr>
          <w:t>7</w:t>
        </w:r>
        <w: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0ABB041" w14:textId="77777777" w:rsidR="00C3142A" w:rsidRDefault="00C3142A">
      <w:r>
        <w:separator/>
      </w:r>
    </w:p>
  </w:footnote>
  <w:footnote w:type="continuationSeparator" w:id="0">
    <w:p w14:paraId="37CA38AA" w14:textId="77777777" w:rsidR="00C3142A" w:rsidRDefault="00C3142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18A414" w14:textId="77777777" w:rsidR="000117D9" w:rsidRDefault="000117D9" w:rsidP="00D41DC0">
    <w:pPr>
      <w:pStyle w:val="a3"/>
      <w:jc w:val="left"/>
    </w:pPr>
    <w:r w:rsidRPr="0021237F">
      <w:rPr>
        <w:noProof/>
      </w:rPr>
      <w:drawing>
        <wp:inline distT="0" distB="0" distL="0" distR="0" wp14:anchorId="02750462" wp14:editId="5E35E516">
          <wp:extent cx="612140" cy="532765"/>
          <wp:effectExtent l="0" t="0" r="0" b="0"/>
          <wp:docPr id="5" name="图片 5" descr="说明: Logo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说明: Logo1.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12140" cy="53276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1FCE7A2A"/>
    <w:lvl w:ilvl="0" w:tplc="5F6C0C8E">
      <w:start w:val="1"/>
      <w:numFmt w:val="decimal"/>
      <w:lvlText w:val="%1）"/>
      <w:lvlJc w:val="left"/>
      <w:pPr>
        <w:ind w:left="360" w:hanging="36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1">
    <w:nsid w:val="00000002"/>
    <w:multiLevelType w:val="hybridMultilevel"/>
    <w:tmpl w:val="C1068BC0"/>
    <w:lvl w:ilvl="0" w:tplc="0409000B">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3">
      <w:start w:val="1"/>
      <w:numFmt w:val="bullet"/>
      <w:lvlText w:val=""/>
      <w:lvlJc w:val="left"/>
      <w:pPr>
        <w:ind w:left="2100" w:hanging="420"/>
      </w:pPr>
      <w:rPr>
        <w:rFonts w:ascii="Wingdings" w:hAnsi="Wingdings" w:hint="default"/>
      </w:rPr>
    </w:lvl>
    <w:lvl w:ilvl="5" w:tplc="04090005">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3">
      <w:start w:val="1"/>
      <w:numFmt w:val="bullet"/>
      <w:lvlText w:val=""/>
      <w:lvlJc w:val="left"/>
      <w:pPr>
        <w:ind w:left="3360" w:hanging="420"/>
      </w:pPr>
      <w:rPr>
        <w:rFonts w:ascii="Wingdings" w:hAnsi="Wingdings" w:hint="default"/>
      </w:rPr>
    </w:lvl>
    <w:lvl w:ilvl="8" w:tplc="04090005">
      <w:start w:val="1"/>
      <w:numFmt w:val="bullet"/>
      <w:lvlText w:val=""/>
      <w:lvlJc w:val="left"/>
      <w:pPr>
        <w:ind w:left="3780" w:hanging="420"/>
      </w:pPr>
      <w:rPr>
        <w:rFonts w:ascii="Wingdings" w:hAnsi="Wingdings" w:hint="default"/>
      </w:rPr>
    </w:lvl>
  </w:abstractNum>
  <w:abstractNum w:abstractNumId="2">
    <w:nsid w:val="00000003"/>
    <w:multiLevelType w:val="hybridMultilevel"/>
    <w:tmpl w:val="43AC892A"/>
    <w:lvl w:ilvl="0" w:tplc="2E54A812">
      <w:start w:val="1"/>
      <w:numFmt w:val="decimal"/>
      <w:lvlText w:val="%1、"/>
      <w:lvlJc w:val="left"/>
      <w:pPr>
        <w:ind w:left="720" w:hanging="72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3">
    <w:nsid w:val="00000004"/>
    <w:multiLevelType w:val="hybridMultilevel"/>
    <w:tmpl w:val="DAC677F4"/>
    <w:lvl w:ilvl="0" w:tplc="07A22A9A">
      <w:start w:val="1"/>
      <w:numFmt w:val="decimal"/>
      <w:lvlText w:val="%1）"/>
      <w:lvlJc w:val="left"/>
      <w:pPr>
        <w:ind w:left="360" w:hanging="36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4">
    <w:nsid w:val="00000005"/>
    <w:multiLevelType w:val="hybridMultilevel"/>
    <w:tmpl w:val="63566E36"/>
    <w:lvl w:ilvl="0" w:tplc="98126DDC">
      <w:start w:val="1"/>
      <w:numFmt w:val="bullet"/>
      <w:lvlText w:val=""/>
      <w:lvlJc w:val="left"/>
      <w:pPr>
        <w:tabs>
          <w:tab w:val="num" w:pos="720"/>
        </w:tabs>
        <w:ind w:left="720" w:hanging="360"/>
      </w:pPr>
      <w:rPr>
        <w:rFonts w:ascii="Wingdings" w:hAnsi="Wingdings" w:hint="default"/>
      </w:rPr>
    </w:lvl>
    <w:lvl w:ilvl="1" w:tplc="F18AFAD4">
      <w:start w:val="1"/>
      <w:numFmt w:val="bullet"/>
      <w:lvlRestart w:val="0"/>
      <w:lvlText w:val=""/>
      <w:lvlJc w:val="left"/>
      <w:pPr>
        <w:tabs>
          <w:tab w:val="num" w:pos="1440"/>
        </w:tabs>
        <w:ind w:left="1440" w:hanging="360"/>
      </w:pPr>
      <w:rPr>
        <w:rFonts w:ascii="Wingdings" w:hAnsi="Wingdings" w:hint="default"/>
      </w:rPr>
    </w:lvl>
    <w:lvl w:ilvl="2" w:tplc="4BC679F4">
      <w:start w:val="1"/>
      <w:numFmt w:val="bullet"/>
      <w:lvlRestart w:val="0"/>
      <w:lvlText w:val=""/>
      <w:lvlJc w:val="left"/>
      <w:pPr>
        <w:tabs>
          <w:tab w:val="num" w:pos="2160"/>
        </w:tabs>
        <w:ind w:left="2160" w:hanging="360"/>
      </w:pPr>
      <w:rPr>
        <w:rFonts w:ascii="Wingdings" w:hAnsi="Wingdings" w:hint="default"/>
      </w:rPr>
    </w:lvl>
    <w:lvl w:ilvl="3" w:tplc="E424EFB2">
      <w:start w:val="1"/>
      <w:numFmt w:val="bullet"/>
      <w:lvlRestart w:val="0"/>
      <w:lvlText w:val=""/>
      <w:lvlJc w:val="left"/>
      <w:pPr>
        <w:tabs>
          <w:tab w:val="num" w:pos="2880"/>
        </w:tabs>
        <w:ind w:left="2880" w:hanging="360"/>
      </w:pPr>
      <w:rPr>
        <w:rFonts w:ascii="Wingdings" w:hAnsi="Wingdings" w:hint="default"/>
      </w:rPr>
    </w:lvl>
    <w:lvl w:ilvl="4" w:tplc="26EC83F2">
      <w:start w:val="1"/>
      <w:numFmt w:val="bullet"/>
      <w:lvlRestart w:val="0"/>
      <w:lvlText w:val=""/>
      <w:lvlJc w:val="left"/>
      <w:pPr>
        <w:tabs>
          <w:tab w:val="num" w:pos="3600"/>
        </w:tabs>
        <w:ind w:left="3600" w:hanging="360"/>
      </w:pPr>
      <w:rPr>
        <w:rFonts w:ascii="Wingdings" w:hAnsi="Wingdings" w:hint="default"/>
      </w:rPr>
    </w:lvl>
    <w:lvl w:ilvl="5" w:tplc="60006D98">
      <w:start w:val="1"/>
      <w:numFmt w:val="bullet"/>
      <w:lvlRestart w:val="0"/>
      <w:lvlText w:val=""/>
      <w:lvlJc w:val="left"/>
      <w:pPr>
        <w:tabs>
          <w:tab w:val="num" w:pos="4320"/>
        </w:tabs>
        <w:ind w:left="4320" w:hanging="360"/>
      </w:pPr>
      <w:rPr>
        <w:rFonts w:ascii="Wingdings" w:hAnsi="Wingdings" w:hint="default"/>
      </w:rPr>
    </w:lvl>
    <w:lvl w:ilvl="6" w:tplc="B9602668">
      <w:start w:val="1"/>
      <w:numFmt w:val="bullet"/>
      <w:lvlRestart w:val="0"/>
      <w:lvlText w:val=""/>
      <w:lvlJc w:val="left"/>
      <w:pPr>
        <w:tabs>
          <w:tab w:val="num" w:pos="5040"/>
        </w:tabs>
        <w:ind w:left="5040" w:hanging="360"/>
      </w:pPr>
      <w:rPr>
        <w:rFonts w:ascii="Wingdings" w:hAnsi="Wingdings" w:hint="default"/>
      </w:rPr>
    </w:lvl>
    <w:lvl w:ilvl="7" w:tplc="BCFC81A6">
      <w:start w:val="1"/>
      <w:numFmt w:val="bullet"/>
      <w:lvlRestart w:val="0"/>
      <w:lvlText w:val=""/>
      <w:lvlJc w:val="left"/>
      <w:pPr>
        <w:tabs>
          <w:tab w:val="num" w:pos="5760"/>
        </w:tabs>
        <w:ind w:left="5760" w:hanging="360"/>
      </w:pPr>
      <w:rPr>
        <w:rFonts w:ascii="Wingdings" w:hAnsi="Wingdings" w:hint="default"/>
      </w:rPr>
    </w:lvl>
    <w:lvl w:ilvl="8" w:tplc="65CCAABA">
      <w:start w:val="1"/>
      <w:numFmt w:val="bullet"/>
      <w:lvlRestart w:val="0"/>
      <w:lvlText w:val=""/>
      <w:lvlJc w:val="left"/>
      <w:pPr>
        <w:tabs>
          <w:tab w:val="num" w:pos="6480"/>
        </w:tabs>
        <w:ind w:left="6480" w:hanging="360"/>
      </w:pPr>
      <w:rPr>
        <w:rFonts w:ascii="Wingdings" w:hAnsi="Wingdings" w:hint="default"/>
      </w:rPr>
    </w:lvl>
  </w:abstractNum>
  <w:abstractNum w:abstractNumId="5">
    <w:nsid w:val="06C5642A"/>
    <w:multiLevelType w:val="hybridMultilevel"/>
    <w:tmpl w:val="F64C5C1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08FF3C9B"/>
    <w:multiLevelType w:val="hybridMultilevel"/>
    <w:tmpl w:val="79BCA876"/>
    <w:lvl w:ilvl="0" w:tplc="3640A7B8">
      <w:start w:val="1"/>
      <w:numFmt w:val="bullet"/>
      <w:lvlText w:val=""/>
      <w:lvlJc w:val="left"/>
      <w:pPr>
        <w:tabs>
          <w:tab w:val="num" w:pos="720"/>
        </w:tabs>
        <w:ind w:left="720" w:hanging="360"/>
      </w:pPr>
      <w:rPr>
        <w:rFonts w:ascii="Wingdings" w:hAnsi="Wingdings" w:hint="default"/>
      </w:rPr>
    </w:lvl>
    <w:lvl w:ilvl="1" w:tplc="B0D682D0" w:tentative="1">
      <w:start w:val="1"/>
      <w:numFmt w:val="bullet"/>
      <w:lvlText w:val=""/>
      <w:lvlJc w:val="left"/>
      <w:pPr>
        <w:tabs>
          <w:tab w:val="num" w:pos="1440"/>
        </w:tabs>
        <w:ind w:left="1440" w:hanging="360"/>
      </w:pPr>
      <w:rPr>
        <w:rFonts w:ascii="Wingdings" w:hAnsi="Wingdings" w:hint="default"/>
      </w:rPr>
    </w:lvl>
    <w:lvl w:ilvl="2" w:tplc="CD0E1CA0" w:tentative="1">
      <w:start w:val="1"/>
      <w:numFmt w:val="bullet"/>
      <w:lvlText w:val=""/>
      <w:lvlJc w:val="left"/>
      <w:pPr>
        <w:tabs>
          <w:tab w:val="num" w:pos="2160"/>
        </w:tabs>
        <w:ind w:left="2160" w:hanging="360"/>
      </w:pPr>
      <w:rPr>
        <w:rFonts w:ascii="Wingdings" w:hAnsi="Wingdings" w:hint="default"/>
      </w:rPr>
    </w:lvl>
    <w:lvl w:ilvl="3" w:tplc="9D1E386A" w:tentative="1">
      <w:start w:val="1"/>
      <w:numFmt w:val="bullet"/>
      <w:lvlText w:val=""/>
      <w:lvlJc w:val="left"/>
      <w:pPr>
        <w:tabs>
          <w:tab w:val="num" w:pos="2880"/>
        </w:tabs>
        <w:ind w:left="2880" w:hanging="360"/>
      </w:pPr>
      <w:rPr>
        <w:rFonts w:ascii="Wingdings" w:hAnsi="Wingdings" w:hint="default"/>
      </w:rPr>
    </w:lvl>
    <w:lvl w:ilvl="4" w:tplc="8CC279A6" w:tentative="1">
      <w:start w:val="1"/>
      <w:numFmt w:val="bullet"/>
      <w:lvlText w:val=""/>
      <w:lvlJc w:val="left"/>
      <w:pPr>
        <w:tabs>
          <w:tab w:val="num" w:pos="3600"/>
        </w:tabs>
        <w:ind w:left="3600" w:hanging="360"/>
      </w:pPr>
      <w:rPr>
        <w:rFonts w:ascii="Wingdings" w:hAnsi="Wingdings" w:hint="default"/>
      </w:rPr>
    </w:lvl>
    <w:lvl w:ilvl="5" w:tplc="70222394" w:tentative="1">
      <w:start w:val="1"/>
      <w:numFmt w:val="bullet"/>
      <w:lvlText w:val=""/>
      <w:lvlJc w:val="left"/>
      <w:pPr>
        <w:tabs>
          <w:tab w:val="num" w:pos="4320"/>
        </w:tabs>
        <w:ind w:left="4320" w:hanging="360"/>
      </w:pPr>
      <w:rPr>
        <w:rFonts w:ascii="Wingdings" w:hAnsi="Wingdings" w:hint="default"/>
      </w:rPr>
    </w:lvl>
    <w:lvl w:ilvl="6" w:tplc="4C5A8DB2" w:tentative="1">
      <w:start w:val="1"/>
      <w:numFmt w:val="bullet"/>
      <w:lvlText w:val=""/>
      <w:lvlJc w:val="left"/>
      <w:pPr>
        <w:tabs>
          <w:tab w:val="num" w:pos="5040"/>
        </w:tabs>
        <w:ind w:left="5040" w:hanging="360"/>
      </w:pPr>
      <w:rPr>
        <w:rFonts w:ascii="Wingdings" w:hAnsi="Wingdings" w:hint="default"/>
      </w:rPr>
    </w:lvl>
    <w:lvl w:ilvl="7" w:tplc="4B38042E" w:tentative="1">
      <w:start w:val="1"/>
      <w:numFmt w:val="bullet"/>
      <w:lvlText w:val=""/>
      <w:lvlJc w:val="left"/>
      <w:pPr>
        <w:tabs>
          <w:tab w:val="num" w:pos="5760"/>
        </w:tabs>
        <w:ind w:left="5760" w:hanging="360"/>
      </w:pPr>
      <w:rPr>
        <w:rFonts w:ascii="Wingdings" w:hAnsi="Wingdings" w:hint="default"/>
      </w:rPr>
    </w:lvl>
    <w:lvl w:ilvl="8" w:tplc="BB60E16C" w:tentative="1">
      <w:start w:val="1"/>
      <w:numFmt w:val="bullet"/>
      <w:lvlText w:val=""/>
      <w:lvlJc w:val="left"/>
      <w:pPr>
        <w:tabs>
          <w:tab w:val="num" w:pos="6480"/>
        </w:tabs>
        <w:ind w:left="6480" w:hanging="360"/>
      </w:pPr>
      <w:rPr>
        <w:rFonts w:ascii="Wingdings" w:hAnsi="Wingdings" w:hint="default"/>
      </w:rPr>
    </w:lvl>
  </w:abstractNum>
  <w:abstractNum w:abstractNumId="7">
    <w:nsid w:val="0DC735FE"/>
    <w:multiLevelType w:val="hybridMultilevel"/>
    <w:tmpl w:val="C7208934"/>
    <w:lvl w:ilvl="0" w:tplc="1F74F60C">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8">
    <w:nsid w:val="1F6E670A"/>
    <w:multiLevelType w:val="hybridMultilevel"/>
    <w:tmpl w:val="79EE003E"/>
    <w:lvl w:ilvl="0" w:tplc="899A42B6">
      <w:start w:val="1"/>
      <w:numFmt w:val="bullet"/>
      <w:lvlText w:val=""/>
      <w:lvlJc w:val="left"/>
      <w:pPr>
        <w:tabs>
          <w:tab w:val="num" w:pos="720"/>
        </w:tabs>
        <w:ind w:left="720" w:hanging="360"/>
      </w:pPr>
      <w:rPr>
        <w:rFonts w:ascii="Wingdings" w:hAnsi="Wingdings" w:hint="default"/>
      </w:rPr>
    </w:lvl>
    <w:lvl w:ilvl="1" w:tplc="B2341948" w:tentative="1">
      <w:start w:val="1"/>
      <w:numFmt w:val="bullet"/>
      <w:lvlText w:val=""/>
      <w:lvlJc w:val="left"/>
      <w:pPr>
        <w:tabs>
          <w:tab w:val="num" w:pos="1440"/>
        </w:tabs>
        <w:ind w:left="1440" w:hanging="360"/>
      </w:pPr>
      <w:rPr>
        <w:rFonts w:ascii="Wingdings" w:hAnsi="Wingdings" w:hint="default"/>
      </w:rPr>
    </w:lvl>
    <w:lvl w:ilvl="2" w:tplc="23D27B34" w:tentative="1">
      <w:start w:val="1"/>
      <w:numFmt w:val="bullet"/>
      <w:lvlText w:val=""/>
      <w:lvlJc w:val="left"/>
      <w:pPr>
        <w:tabs>
          <w:tab w:val="num" w:pos="2160"/>
        </w:tabs>
        <w:ind w:left="2160" w:hanging="360"/>
      </w:pPr>
      <w:rPr>
        <w:rFonts w:ascii="Wingdings" w:hAnsi="Wingdings" w:hint="default"/>
      </w:rPr>
    </w:lvl>
    <w:lvl w:ilvl="3" w:tplc="F27C3C68" w:tentative="1">
      <w:start w:val="1"/>
      <w:numFmt w:val="bullet"/>
      <w:lvlText w:val=""/>
      <w:lvlJc w:val="left"/>
      <w:pPr>
        <w:tabs>
          <w:tab w:val="num" w:pos="2880"/>
        </w:tabs>
        <w:ind w:left="2880" w:hanging="360"/>
      </w:pPr>
      <w:rPr>
        <w:rFonts w:ascii="Wingdings" w:hAnsi="Wingdings" w:hint="default"/>
      </w:rPr>
    </w:lvl>
    <w:lvl w:ilvl="4" w:tplc="B492D616" w:tentative="1">
      <w:start w:val="1"/>
      <w:numFmt w:val="bullet"/>
      <w:lvlText w:val=""/>
      <w:lvlJc w:val="left"/>
      <w:pPr>
        <w:tabs>
          <w:tab w:val="num" w:pos="3600"/>
        </w:tabs>
        <w:ind w:left="3600" w:hanging="360"/>
      </w:pPr>
      <w:rPr>
        <w:rFonts w:ascii="Wingdings" w:hAnsi="Wingdings" w:hint="default"/>
      </w:rPr>
    </w:lvl>
    <w:lvl w:ilvl="5" w:tplc="9D14A4C0" w:tentative="1">
      <w:start w:val="1"/>
      <w:numFmt w:val="bullet"/>
      <w:lvlText w:val=""/>
      <w:lvlJc w:val="left"/>
      <w:pPr>
        <w:tabs>
          <w:tab w:val="num" w:pos="4320"/>
        </w:tabs>
        <w:ind w:left="4320" w:hanging="360"/>
      </w:pPr>
      <w:rPr>
        <w:rFonts w:ascii="Wingdings" w:hAnsi="Wingdings" w:hint="default"/>
      </w:rPr>
    </w:lvl>
    <w:lvl w:ilvl="6" w:tplc="CA70A402" w:tentative="1">
      <w:start w:val="1"/>
      <w:numFmt w:val="bullet"/>
      <w:lvlText w:val=""/>
      <w:lvlJc w:val="left"/>
      <w:pPr>
        <w:tabs>
          <w:tab w:val="num" w:pos="5040"/>
        </w:tabs>
        <w:ind w:left="5040" w:hanging="360"/>
      </w:pPr>
      <w:rPr>
        <w:rFonts w:ascii="Wingdings" w:hAnsi="Wingdings" w:hint="default"/>
      </w:rPr>
    </w:lvl>
    <w:lvl w:ilvl="7" w:tplc="75B624B4" w:tentative="1">
      <w:start w:val="1"/>
      <w:numFmt w:val="bullet"/>
      <w:lvlText w:val=""/>
      <w:lvlJc w:val="left"/>
      <w:pPr>
        <w:tabs>
          <w:tab w:val="num" w:pos="5760"/>
        </w:tabs>
        <w:ind w:left="5760" w:hanging="360"/>
      </w:pPr>
      <w:rPr>
        <w:rFonts w:ascii="Wingdings" w:hAnsi="Wingdings" w:hint="default"/>
      </w:rPr>
    </w:lvl>
    <w:lvl w:ilvl="8" w:tplc="7452D0B2" w:tentative="1">
      <w:start w:val="1"/>
      <w:numFmt w:val="bullet"/>
      <w:lvlText w:val=""/>
      <w:lvlJc w:val="left"/>
      <w:pPr>
        <w:tabs>
          <w:tab w:val="num" w:pos="6480"/>
        </w:tabs>
        <w:ind w:left="6480" w:hanging="360"/>
      </w:pPr>
      <w:rPr>
        <w:rFonts w:ascii="Wingdings" w:hAnsi="Wingdings" w:hint="default"/>
      </w:rPr>
    </w:lvl>
  </w:abstractNum>
  <w:abstractNum w:abstractNumId="9">
    <w:nsid w:val="29AD1276"/>
    <w:multiLevelType w:val="hybridMultilevel"/>
    <w:tmpl w:val="C47EBF3A"/>
    <w:lvl w:ilvl="0" w:tplc="3724C27C">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nsid w:val="2E5B0A8A"/>
    <w:multiLevelType w:val="hybridMultilevel"/>
    <w:tmpl w:val="E656FAD6"/>
    <w:lvl w:ilvl="0" w:tplc="AD88B018">
      <w:start w:val="1"/>
      <w:numFmt w:val="bullet"/>
      <w:lvlText w:val=""/>
      <w:lvlJc w:val="left"/>
      <w:pPr>
        <w:tabs>
          <w:tab w:val="num" w:pos="720"/>
        </w:tabs>
        <w:ind w:left="720" w:hanging="360"/>
      </w:pPr>
      <w:rPr>
        <w:rFonts w:ascii="Wingdings" w:hAnsi="Wingdings" w:hint="default"/>
      </w:rPr>
    </w:lvl>
    <w:lvl w:ilvl="1" w:tplc="F5D6CF0A" w:tentative="1">
      <w:start w:val="1"/>
      <w:numFmt w:val="bullet"/>
      <w:lvlText w:val=""/>
      <w:lvlJc w:val="left"/>
      <w:pPr>
        <w:tabs>
          <w:tab w:val="num" w:pos="1440"/>
        </w:tabs>
        <w:ind w:left="1440" w:hanging="360"/>
      </w:pPr>
      <w:rPr>
        <w:rFonts w:ascii="Wingdings" w:hAnsi="Wingdings" w:hint="default"/>
      </w:rPr>
    </w:lvl>
    <w:lvl w:ilvl="2" w:tplc="36385ADA" w:tentative="1">
      <w:start w:val="1"/>
      <w:numFmt w:val="bullet"/>
      <w:lvlText w:val=""/>
      <w:lvlJc w:val="left"/>
      <w:pPr>
        <w:tabs>
          <w:tab w:val="num" w:pos="2160"/>
        </w:tabs>
        <w:ind w:left="2160" w:hanging="360"/>
      </w:pPr>
      <w:rPr>
        <w:rFonts w:ascii="Wingdings" w:hAnsi="Wingdings" w:hint="default"/>
      </w:rPr>
    </w:lvl>
    <w:lvl w:ilvl="3" w:tplc="D9AAC7B6" w:tentative="1">
      <w:start w:val="1"/>
      <w:numFmt w:val="bullet"/>
      <w:lvlText w:val=""/>
      <w:lvlJc w:val="left"/>
      <w:pPr>
        <w:tabs>
          <w:tab w:val="num" w:pos="2880"/>
        </w:tabs>
        <w:ind w:left="2880" w:hanging="360"/>
      </w:pPr>
      <w:rPr>
        <w:rFonts w:ascii="Wingdings" w:hAnsi="Wingdings" w:hint="default"/>
      </w:rPr>
    </w:lvl>
    <w:lvl w:ilvl="4" w:tplc="2C6A574E" w:tentative="1">
      <w:start w:val="1"/>
      <w:numFmt w:val="bullet"/>
      <w:lvlText w:val=""/>
      <w:lvlJc w:val="left"/>
      <w:pPr>
        <w:tabs>
          <w:tab w:val="num" w:pos="3600"/>
        </w:tabs>
        <w:ind w:left="3600" w:hanging="360"/>
      </w:pPr>
      <w:rPr>
        <w:rFonts w:ascii="Wingdings" w:hAnsi="Wingdings" w:hint="default"/>
      </w:rPr>
    </w:lvl>
    <w:lvl w:ilvl="5" w:tplc="E4CAAA12" w:tentative="1">
      <w:start w:val="1"/>
      <w:numFmt w:val="bullet"/>
      <w:lvlText w:val=""/>
      <w:lvlJc w:val="left"/>
      <w:pPr>
        <w:tabs>
          <w:tab w:val="num" w:pos="4320"/>
        </w:tabs>
        <w:ind w:left="4320" w:hanging="360"/>
      </w:pPr>
      <w:rPr>
        <w:rFonts w:ascii="Wingdings" w:hAnsi="Wingdings" w:hint="default"/>
      </w:rPr>
    </w:lvl>
    <w:lvl w:ilvl="6" w:tplc="EB468EAA" w:tentative="1">
      <w:start w:val="1"/>
      <w:numFmt w:val="bullet"/>
      <w:lvlText w:val=""/>
      <w:lvlJc w:val="left"/>
      <w:pPr>
        <w:tabs>
          <w:tab w:val="num" w:pos="5040"/>
        </w:tabs>
        <w:ind w:left="5040" w:hanging="360"/>
      </w:pPr>
      <w:rPr>
        <w:rFonts w:ascii="Wingdings" w:hAnsi="Wingdings" w:hint="default"/>
      </w:rPr>
    </w:lvl>
    <w:lvl w:ilvl="7" w:tplc="9EEEB196" w:tentative="1">
      <w:start w:val="1"/>
      <w:numFmt w:val="bullet"/>
      <w:lvlText w:val=""/>
      <w:lvlJc w:val="left"/>
      <w:pPr>
        <w:tabs>
          <w:tab w:val="num" w:pos="5760"/>
        </w:tabs>
        <w:ind w:left="5760" w:hanging="360"/>
      </w:pPr>
      <w:rPr>
        <w:rFonts w:ascii="Wingdings" w:hAnsi="Wingdings" w:hint="default"/>
      </w:rPr>
    </w:lvl>
    <w:lvl w:ilvl="8" w:tplc="547C9224" w:tentative="1">
      <w:start w:val="1"/>
      <w:numFmt w:val="bullet"/>
      <w:lvlText w:val=""/>
      <w:lvlJc w:val="left"/>
      <w:pPr>
        <w:tabs>
          <w:tab w:val="num" w:pos="6480"/>
        </w:tabs>
        <w:ind w:left="6480" w:hanging="360"/>
      </w:pPr>
      <w:rPr>
        <w:rFonts w:ascii="Wingdings" w:hAnsi="Wingdings" w:hint="default"/>
      </w:rPr>
    </w:lvl>
  </w:abstractNum>
  <w:abstractNum w:abstractNumId="11">
    <w:nsid w:val="2FF15EF9"/>
    <w:multiLevelType w:val="hybridMultilevel"/>
    <w:tmpl w:val="69F0ACEE"/>
    <w:lvl w:ilvl="0" w:tplc="CEBC924A">
      <w:start w:val="1"/>
      <w:numFmt w:val="bullet"/>
      <w:lvlText w:val=""/>
      <w:lvlJc w:val="left"/>
      <w:pPr>
        <w:tabs>
          <w:tab w:val="num" w:pos="720"/>
        </w:tabs>
        <w:ind w:left="720" w:hanging="360"/>
      </w:pPr>
      <w:rPr>
        <w:rFonts w:ascii="Wingdings" w:hAnsi="Wingdings" w:hint="default"/>
      </w:rPr>
    </w:lvl>
    <w:lvl w:ilvl="1" w:tplc="AED48DE8" w:tentative="1">
      <w:start w:val="1"/>
      <w:numFmt w:val="bullet"/>
      <w:lvlText w:val=""/>
      <w:lvlJc w:val="left"/>
      <w:pPr>
        <w:tabs>
          <w:tab w:val="num" w:pos="1440"/>
        </w:tabs>
        <w:ind w:left="1440" w:hanging="360"/>
      </w:pPr>
      <w:rPr>
        <w:rFonts w:ascii="Wingdings" w:hAnsi="Wingdings" w:hint="default"/>
      </w:rPr>
    </w:lvl>
    <w:lvl w:ilvl="2" w:tplc="A16651D0" w:tentative="1">
      <w:start w:val="1"/>
      <w:numFmt w:val="bullet"/>
      <w:lvlText w:val=""/>
      <w:lvlJc w:val="left"/>
      <w:pPr>
        <w:tabs>
          <w:tab w:val="num" w:pos="2160"/>
        </w:tabs>
        <w:ind w:left="2160" w:hanging="360"/>
      </w:pPr>
      <w:rPr>
        <w:rFonts w:ascii="Wingdings" w:hAnsi="Wingdings" w:hint="default"/>
      </w:rPr>
    </w:lvl>
    <w:lvl w:ilvl="3" w:tplc="1912241A" w:tentative="1">
      <w:start w:val="1"/>
      <w:numFmt w:val="bullet"/>
      <w:lvlText w:val=""/>
      <w:lvlJc w:val="left"/>
      <w:pPr>
        <w:tabs>
          <w:tab w:val="num" w:pos="2880"/>
        </w:tabs>
        <w:ind w:left="2880" w:hanging="360"/>
      </w:pPr>
      <w:rPr>
        <w:rFonts w:ascii="Wingdings" w:hAnsi="Wingdings" w:hint="default"/>
      </w:rPr>
    </w:lvl>
    <w:lvl w:ilvl="4" w:tplc="7226AB40" w:tentative="1">
      <w:start w:val="1"/>
      <w:numFmt w:val="bullet"/>
      <w:lvlText w:val=""/>
      <w:lvlJc w:val="left"/>
      <w:pPr>
        <w:tabs>
          <w:tab w:val="num" w:pos="3600"/>
        </w:tabs>
        <w:ind w:left="3600" w:hanging="360"/>
      </w:pPr>
      <w:rPr>
        <w:rFonts w:ascii="Wingdings" w:hAnsi="Wingdings" w:hint="default"/>
      </w:rPr>
    </w:lvl>
    <w:lvl w:ilvl="5" w:tplc="25580E90" w:tentative="1">
      <w:start w:val="1"/>
      <w:numFmt w:val="bullet"/>
      <w:lvlText w:val=""/>
      <w:lvlJc w:val="left"/>
      <w:pPr>
        <w:tabs>
          <w:tab w:val="num" w:pos="4320"/>
        </w:tabs>
        <w:ind w:left="4320" w:hanging="360"/>
      </w:pPr>
      <w:rPr>
        <w:rFonts w:ascii="Wingdings" w:hAnsi="Wingdings" w:hint="default"/>
      </w:rPr>
    </w:lvl>
    <w:lvl w:ilvl="6" w:tplc="F1F4A802" w:tentative="1">
      <w:start w:val="1"/>
      <w:numFmt w:val="bullet"/>
      <w:lvlText w:val=""/>
      <w:lvlJc w:val="left"/>
      <w:pPr>
        <w:tabs>
          <w:tab w:val="num" w:pos="5040"/>
        </w:tabs>
        <w:ind w:left="5040" w:hanging="360"/>
      </w:pPr>
      <w:rPr>
        <w:rFonts w:ascii="Wingdings" w:hAnsi="Wingdings" w:hint="default"/>
      </w:rPr>
    </w:lvl>
    <w:lvl w:ilvl="7" w:tplc="062ADF84" w:tentative="1">
      <w:start w:val="1"/>
      <w:numFmt w:val="bullet"/>
      <w:lvlText w:val=""/>
      <w:lvlJc w:val="left"/>
      <w:pPr>
        <w:tabs>
          <w:tab w:val="num" w:pos="5760"/>
        </w:tabs>
        <w:ind w:left="5760" w:hanging="360"/>
      </w:pPr>
      <w:rPr>
        <w:rFonts w:ascii="Wingdings" w:hAnsi="Wingdings" w:hint="default"/>
      </w:rPr>
    </w:lvl>
    <w:lvl w:ilvl="8" w:tplc="86A6F9E8" w:tentative="1">
      <w:start w:val="1"/>
      <w:numFmt w:val="bullet"/>
      <w:lvlText w:val=""/>
      <w:lvlJc w:val="left"/>
      <w:pPr>
        <w:tabs>
          <w:tab w:val="num" w:pos="6480"/>
        </w:tabs>
        <w:ind w:left="6480" w:hanging="360"/>
      </w:pPr>
      <w:rPr>
        <w:rFonts w:ascii="Wingdings" w:hAnsi="Wingdings" w:hint="default"/>
      </w:rPr>
    </w:lvl>
  </w:abstractNum>
  <w:abstractNum w:abstractNumId="12">
    <w:nsid w:val="488150FB"/>
    <w:multiLevelType w:val="hybridMultilevel"/>
    <w:tmpl w:val="E11A671C"/>
    <w:lvl w:ilvl="0" w:tplc="05C4842E">
      <w:start w:val="1"/>
      <w:numFmt w:val="bullet"/>
      <w:lvlText w:val=""/>
      <w:lvlJc w:val="left"/>
      <w:pPr>
        <w:tabs>
          <w:tab w:val="num" w:pos="720"/>
        </w:tabs>
        <w:ind w:left="720" w:hanging="360"/>
      </w:pPr>
      <w:rPr>
        <w:rFonts w:ascii="Wingdings" w:hAnsi="Wingdings" w:hint="default"/>
      </w:rPr>
    </w:lvl>
    <w:lvl w:ilvl="1" w:tplc="4EB84C86" w:tentative="1">
      <w:start w:val="1"/>
      <w:numFmt w:val="bullet"/>
      <w:lvlText w:val=""/>
      <w:lvlJc w:val="left"/>
      <w:pPr>
        <w:tabs>
          <w:tab w:val="num" w:pos="1440"/>
        </w:tabs>
        <w:ind w:left="1440" w:hanging="360"/>
      </w:pPr>
      <w:rPr>
        <w:rFonts w:ascii="Wingdings" w:hAnsi="Wingdings" w:hint="default"/>
      </w:rPr>
    </w:lvl>
    <w:lvl w:ilvl="2" w:tplc="230E4394" w:tentative="1">
      <w:start w:val="1"/>
      <w:numFmt w:val="bullet"/>
      <w:lvlText w:val=""/>
      <w:lvlJc w:val="left"/>
      <w:pPr>
        <w:tabs>
          <w:tab w:val="num" w:pos="2160"/>
        </w:tabs>
        <w:ind w:left="2160" w:hanging="360"/>
      </w:pPr>
      <w:rPr>
        <w:rFonts w:ascii="Wingdings" w:hAnsi="Wingdings" w:hint="default"/>
      </w:rPr>
    </w:lvl>
    <w:lvl w:ilvl="3" w:tplc="F87651D2" w:tentative="1">
      <w:start w:val="1"/>
      <w:numFmt w:val="bullet"/>
      <w:lvlText w:val=""/>
      <w:lvlJc w:val="left"/>
      <w:pPr>
        <w:tabs>
          <w:tab w:val="num" w:pos="2880"/>
        </w:tabs>
        <w:ind w:left="2880" w:hanging="360"/>
      </w:pPr>
      <w:rPr>
        <w:rFonts w:ascii="Wingdings" w:hAnsi="Wingdings" w:hint="default"/>
      </w:rPr>
    </w:lvl>
    <w:lvl w:ilvl="4" w:tplc="34DC38C4" w:tentative="1">
      <w:start w:val="1"/>
      <w:numFmt w:val="bullet"/>
      <w:lvlText w:val=""/>
      <w:lvlJc w:val="left"/>
      <w:pPr>
        <w:tabs>
          <w:tab w:val="num" w:pos="3600"/>
        </w:tabs>
        <w:ind w:left="3600" w:hanging="360"/>
      </w:pPr>
      <w:rPr>
        <w:rFonts w:ascii="Wingdings" w:hAnsi="Wingdings" w:hint="default"/>
      </w:rPr>
    </w:lvl>
    <w:lvl w:ilvl="5" w:tplc="39C21526" w:tentative="1">
      <w:start w:val="1"/>
      <w:numFmt w:val="bullet"/>
      <w:lvlText w:val=""/>
      <w:lvlJc w:val="left"/>
      <w:pPr>
        <w:tabs>
          <w:tab w:val="num" w:pos="4320"/>
        </w:tabs>
        <w:ind w:left="4320" w:hanging="360"/>
      </w:pPr>
      <w:rPr>
        <w:rFonts w:ascii="Wingdings" w:hAnsi="Wingdings" w:hint="default"/>
      </w:rPr>
    </w:lvl>
    <w:lvl w:ilvl="6" w:tplc="9B8012DC" w:tentative="1">
      <w:start w:val="1"/>
      <w:numFmt w:val="bullet"/>
      <w:lvlText w:val=""/>
      <w:lvlJc w:val="left"/>
      <w:pPr>
        <w:tabs>
          <w:tab w:val="num" w:pos="5040"/>
        </w:tabs>
        <w:ind w:left="5040" w:hanging="360"/>
      </w:pPr>
      <w:rPr>
        <w:rFonts w:ascii="Wingdings" w:hAnsi="Wingdings" w:hint="default"/>
      </w:rPr>
    </w:lvl>
    <w:lvl w:ilvl="7" w:tplc="BFC6B84C" w:tentative="1">
      <w:start w:val="1"/>
      <w:numFmt w:val="bullet"/>
      <w:lvlText w:val=""/>
      <w:lvlJc w:val="left"/>
      <w:pPr>
        <w:tabs>
          <w:tab w:val="num" w:pos="5760"/>
        </w:tabs>
        <w:ind w:left="5760" w:hanging="360"/>
      </w:pPr>
      <w:rPr>
        <w:rFonts w:ascii="Wingdings" w:hAnsi="Wingdings" w:hint="default"/>
      </w:rPr>
    </w:lvl>
    <w:lvl w:ilvl="8" w:tplc="C4C0926C" w:tentative="1">
      <w:start w:val="1"/>
      <w:numFmt w:val="bullet"/>
      <w:lvlText w:val=""/>
      <w:lvlJc w:val="left"/>
      <w:pPr>
        <w:tabs>
          <w:tab w:val="num" w:pos="6480"/>
        </w:tabs>
        <w:ind w:left="6480" w:hanging="360"/>
      </w:pPr>
      <w:rPr>
        <w:rFonts w:ascii="Wingdings" w:hAnsi="Wingdings" w:hint="default"/>
      </w:rPr>
    </w:lvl>
  </w:abstractNum>
  <w:abstractNum w:abstractNumId="13">
    <w:nsid w:val="489C43BA"/>
    <w:multiLevelType w:val="hybridMultilevel"/>
    <w:tmpl w:val="F91C31C8"/>
    <w:lvl w:ilvl="0" w:tplc="1C2663EE">
      <w:start w:val="1"/>
      <w:numFmt w:val="bullet"/>
      <w:lvlText w:val=""/>
      <w:lvlJc w:val="left"/>
      <w:pPr>
        <w:tabs>
          <w:tab w:val="num" w:pos="720"/>
        </w:tabs>
        <w:ind w:left="720" w:hanging="360"/>
      </w:pPr>
      <w:rPr>
        <w:rFonts w:ascii="Wingdings" w:hAnsi="Wingdings" w:hint="default"/>
      </w:rPr>
    </w:lvl>
    <w:lvl w:ilvl="1" w:tplc="0486ED4C" w:tentative="1">
      <w:start w:val="1"/>
      <w:numFmt w:val="bullet"/>
      <w:lvlText w:val=""/>
      <w:lvlJc w:val="left"/>
      <w:pPr>
        <w:tabs>
          <w:tab w:val="num" w:pos="1440"/>
        </w:tabs>
        <w:ind w:left="1440" w:hanging="360"/>
      </w:pPr>
      <w:rPr>
        <w:rFonts w:ascii="Wingdings" w:hAnsi="Wingdings" w:hint="default"/>
      </w:rPr>
    </w:lvl>
    <w:lvl w:ilvl="2" w:tplc="FC9C95CA" w:tentative="1">
      <w:start w:val="1"/>
      <w:numFmt w:val="bullet"/>
      <w:lvlText w:val=""/>
      <w:lvlJc w:val="left"/>
      <w:pPr>
        <w:tabs>
          <w:tab w:val="num" w:pos="2160"/>
        </w:tabs>
        <w:ind w:left="2160" w:hanging="360"/>
      </w:pPr>
      <w:rPr>
        <w:rFonts w:ascii="Wingdings" w:hAnsi="Wingdings" w:hint="default"/>
      </w:rPr>
    </w:lvl>
    <w:lvl w:ilvl="3" w:tplc="F6ACA5DC" w:tentative="1">
      <w:start w:val="1"/>
      <w:numFmt w:val="bullet"/>
      <w:lvlText w:val=""/>
      <w:lvlJc w:val="left"/>
      <w:pPr>
        <w:tabs>
          <w:tab w:val="num" w:pos="2880"/>
        </w:tabs>
        <w:ind w:left="2880" w:hanging="360"/>
      </w:pPr>
      <w:rPr>
        <w:rFonts w:ascii="Wingdings" w:hAnsi="Wingdings" w:hint="default"/>
      </w:rPr>
    </w:lvl>
    <w:lvl w:ilvl="4" w:tplc="6E029EEE" w:tentative="1">
      <w:start w:val="1"/>
      <w:numFmt w:val="bullet"/>
      <w:lvlText w:val=""/>
      <w:lvlJc w:val="left"/>
      <w:pPr>
        <w:tabs>
          <w:tab w:val="num" w:pos="3600"/>
        </w:tabs>
        <w:ind w:left="3600" w:hanging="360"/>
      </w:pPr>
      <w:rPr>
        <w:rFonts w:ascii="Wingdings" w:hAnsi="Wingdings" w:hint="default"/>
      </w:rPr>
    </w:lvl>
    <w:lvl w:ilvl="5" w:tplc="B5425368" w:tentative="1">
      <w:start w:val="1"/>
      <w:numFmt w:val="bullet"/>
      <w:lvlText w:val=""/>
      <w:lvlJc w:val="left"/>
      <w:pPr>
        <w:tabs>
          <w:tab w:val="num" w:pos="4320"/>
        </w:tabs>
        <w:ind w:left="4320" w:hanging="360"/>
      </w:pPr>
      <w:rPr>
        <w:rFonts w:ascii="Wingdings" w:hAnsi="Wingdings" w:hint="default"/>
      </w:rPr>
    </w:lvl>
    <w:lvl w:ilvl="6" w:tplc="1B6A24B0" w:tentative="1">
      <w:start w:val="1"/>
      <w:numFmt w:val="bullet"/>
      <w:lvlText w:val=""/>
      <w:lvlJc w:val="left"/>
      <w:pPr>
        <w:tabs>
          <w:tab w:val="num" w:pos="5040"/>
        </w:tabs>
        <w:ind w:left="5040" w:hanging="360"/>
      </w:pPr>
      <w:rPr>
        <w:rFonts w:ascii="Wingdings" w:hAnsi="Wingdings" w:hint="default"/>
      </w:rPr>
    </w:lvl>
    <w:lvl w:ilvl="7" w:tplc="E580E798" w:tentative="1">
      <w:start w:val="1"/>
      <w:numFmt w:val="bullet"/>
      <w:lvlText w:val=""/>
      <w:lvlJc w:val="left"/>
      <w:pPr>
        <w:tabs>
          <w:tab w:val="num" w:pos="5760"/>
        </w:tabs>
        <w:ind w:left="5760" w:hanging="360"/>
      </w:pPr>
      <w:rPr>
        <w:rFonts w:ascii="Wingdings" w:hAnsi="Wingdings" w:hint="default"/>
      </w:rPr>
    </w:lvl>
    <w:lvl w:ilvl="8" w:tplc="3294DA4E" w:tentative="1">
      <w:start w:val="1"/>
      <w:numFmt w:val="bullet"/>
      <w:lvlText w:val=""/>
      <w:lvlJc w:val="left"/>
      <w:pPr>
        <w:tabs>
          <w:tab w:val="num" w:pos="6480"/>
        </w:tabs>
        <w:ind w:left="6480" w:hanging="360"/>
      </w:pPr>
      <w:rPr>
        <w:rFonts w:ascii="Wingdings" w:hAnsi="Wingdings" w:hint="default"/>
      </w:rPr>
    </w:lvl>
  </w:abstractNum>
  <w:abstractNum w:abstractNumId="14">
    <w:nsid w:val="48F76435"/>
    <w:multiLevelType w:val="hybridMultilevel"/>
    <w:tmpl w:val="9B326F16"/>
    <w:lvl w:ilvl="0" w:tplc="0BAE8958">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4E514870"/>
    <w:multiLevelType w:val="hybridMultilevel"/>
    <w:tmpl w:val="8B18B340"/>
    <w:lvl w:ilvl="0" w:tplc="43B27422">
      <w:start w:val="1"/>
      <w:numFmt w:val="bullet"/>
      <w:lvlText w:val=""/>
      <w:lvlJc w:val="left"/>
      <w:pPr>
        <w:tabs>
          <w:tab w:val="num" w:pos="720"/>
        </w:tabs>
        <w:ind w:left="720" w:hanging="360"/>
      </w:pPr>
      <w:rPr>
        <w:rFonts w:ascii="Wingdings" w:hAnsi="Wingdings" w:hint="default"/>
      </w:rPr>
    </w:lvl>
    <w:lvl w:ilvl="1" w:tplc="D5606B3E" w:tentative="1">
      <w:start w:val="1"/>
      <w:numFmt w:val="bullet"/>
      <w:lvlText w:val=""/>
      <w:lvlJc w:val="left"/>
      <w:pPr>
        <w:tabs>
          <w:tab w:val="num" w:pos="1440"/>
        </w:tabs>
        <w:ind w:left="1440" w:hanging="360"/>
      </w:pPr>
      <w:rPr>
        <w:rFonts w:ascii="Wingdings" w:hAnsi="Wingdings" w:hint="default"/>
      </w:rPr>
    </w:lvl>
    <w:lvl w:ilvl="2" w:tplc="B6DC92A0" w:tentative="1">
      <w:start w:val="1"/>
      <w:numFmt w:val="bullet"/>
      <w:lvlText w:val=""/>
      <w:lvlJc w:val="left"/>
      <w:pPr>
        <w:tabs>
          <w:tab w:val="num" w:pos="2160"/>
        </w:tabs>
        <w:ind w:left="2160" w:hanging="360"/>
      </w:pPr>
      <w:rPr>
        <w:rFonts w:ascii="Wingdings" w:hAnsi="Wingdings" w:hint="default"/>
      </w:rPr>
    </w:lvl>
    <w:lvl w:ilvl="3" w:tplc="82068A4C" w:tentative="1">
      <w:start w:val="1"/>
      <w:numFmt w:val="bullet"/>
      <w:lvlText w:val=""/>
      <w:lvlJc w:val="left"/>
      <w:pPr>
        <w:tabs>
          <w:tab w:val="num" w:pos="2880"/>
        </w:tabs>
        <w:ind w:left="2880" w:hanging="360"/>
      </w:pPr>
      <w:rPr>
        <w:rFonts w:ascii="Wingdings" w:hAnsi="Wingdings" w:hint="default"/>
      </w:rPr>
    </w:lvl>
    <w:lvl w:ilvl="4" w:tplc="EF2AA342" w:tentative="1">
      <w:start w:val="1"/>
      <w:numFmt w:val="bullet"/>
      <w:lvlText w:val=""/>
      <w:lvlJc w:val="left"/>
      <w:pPr>
        <w:tabs>
          <w:tab w:val="num" w:pos="3600"/>
        </w:tabs>
        <w:ind w:left="3600" w:hanging="360"/>
      </w:pPr>
      <w:rPr>
        <w:rFonts w:ascii="Wingdings" w:hAnsi="Wingdings" w:hint="default"/>
      </w:rPr>
    </w:lvl>
    <w:lvl w:ilvl="5" w:tplc="B566B580" w:tentative="1">
      <w:start w:val="1"/>
      <w:numFmt w:val="bullet"/>
      <w:lvlText w:val=""/>
      <w:lvlJc w:val="left"/>
      <w:pPr>
        <w:tabs>
          <w:tab w:val="num" w:pos="4320"/>
        </w:tabs>
        <w:ind w:left="4320" w:hanging="360"/>
      </w:pPr>
      <w:rPr>
        <w:rFonts w:ascii="Wingdings" w:hAnsi="Wingdings" w:hint="default"/>
      </w:rPr>
    </w:lvl>
    <w:lvl w:ilvl="6" w:tplc="6FCE976A" w:tentative="1">
      <w:start w:val="1"/>
      <w:numFmt w:val="bullet"/>
      <w:lvlText w:val=""/>
      <w:lvlJc w:val="left"/>
      <w:pPr>
        <w:tabs>
          <w:tab w:val="num" w:pos="5040"/>
        </w:tabs>
        <w:ind w:left="5040" w:hanging="360"/>
      </w:pPr>
      <w:rPr>
        <w:rFonts w:ascii="Wingdings" w:hAnsi="Wingdings" w:hint="default"/>
      </w:rPr>
    </w:lvl>
    <w:lvl w:ilvl="7" w:tplc="56AC582E" w:tentative="1">
      <w:start w:val="1"/>
      <w:numFmt w:val="bullet"/>
      <w:lvlText w:val=""/>
      <w:lvlJc w:val="left"/>
      <w:pPr>
        <w:tabs>
          <w:tab w:val="num" w:pos="5760"/>
        </w:tabs>
        <w:ind w:left="5760" w:hanging="360"/>
      </w:pPr>
      <w:rPr>
        <w:rFonts w:ascii="Wingdings" w:hAnsi="Wingdings" w:hint="default"/>
      </w:rPr>
    </w:lvl>
    <w:lvl w:ilvl="8" w:tplc="7892F286" w:tentative="1">
      <w:start w:val="1"/>
      <w:numFmt w:val="bullet"/>
      <w:lvlText w:val=""/>
      <w:lvlJc w:val="left"/>
      <w:pPr>
        <w:tabs>
          <w:tab w:val="num" w:pos="6480"/>
        </w:tabs>
        <w:ind w:left="6480" w:hanging="360"/>
      </w:pPr>
      <w:rPr>
        <w:rFonts w:ascii="Wingdings" w:hAnsi="Wingdings" w:hint="default"/>
      </w:rPr>
    </w:lvl>
  </w:abstractNum>
  <w:abstractNum w:abstractNumId="16">
    <w:nsid w:val="5627590C"/>
    <w:multiLevelType w:val="hybridMultilevel"/>
    <w:tmpl w:val="C37290AA"/>
    <w:lvl w:ilvl="0" w:tplc="3D706E56">
      <w:start w:val="1"/>
      <w:numFmt w:val="bullet"/>
      <w:lvlText w:val=""/>
      <w:lvlJc w:val="left"/>
      <w:pPr>
        <w:tabs>
          <w:tab w:val="num" w:pos="720"/>
        </w:tabs>
        <w:ind w:left="720" w:hanging="360"/>
      </w:pPr>
      <w:rPr>
        <w:rFonts w:ascii="Wingdings" w:hAnsi="Wingdings" w:hint="default"/>
      </w:rPr>
    </w:lvl>
    <w:lvl w:ilvl="1" w:tplc="50FE881C" w:tentative="1">
      <w:start w:val="1"/>
      <w:numFmt w:val="bullet"/>
      <w:lvlText w:val=""/>
      <w:lvlJc w:val="left"/>
      <w:pPr>
        <w:tabs>
          <w:tab w:val="num" w:pos="1440"/>
        </w:tabs>
        <w:ind w:left="1440" w:hanging="360"/>
      </w:pPr>
      <w:rPr>
        <w:rFonts w:ascii="Wingdings" w:hAnsi="Wingdings" w:hint="default"/>
      </w:rPr>
    </w:lvl>
    <w:lvl w:ilvl="2" w:tplc="0FFA45CA" w:tentative="1">
      <w:start w:val="1"/>
      <w:numFmt w:val="bullet"/>
      <w:lvlText w:val=""/>
      <w:lvlJc w:val="left"/>
      <w:pPr>
        <w:tabs>
          <w:tab w:val="num" w:pos="2160"/>
        </w:tabs>
        <w:ind w:left="2160" w:hanging="360"/>
      </w:pPr>
      <w:rPr>
        <w:rFonts w:ascii="Wingdings" w:hAnsi="Wingdings" w:hint="default"/>
      </w:rPr>
    </w:lvl>
    <w:lvl w:ilvl="3" w:tplc="BC0E0614" w:tentative="1">
      <w:start w:val="1"/>
      <w:numFmt w:val="bullet"/>
      <w:lvlText w:val=""/>
      <w:lvlJc w:val="left"/>
      <w:pPr>
        <w:tabs>
          <w:tab w:val="num" w:pos="2880"/>
        </w:tabs>
        <w:ind w:left="2880" w:hanging="360"/>
      </w:pPr>
      <w:rPr>
        <w:rFonts w:ascii="Wingdings" w:hAnsi="Wingdings" w:hint="default"/>
      </w:rPr>
    </w:lvl>
    <w:lvl w:ilvl="4" w:tplc="AFE8F2E0" w:tentative="1">
      <w:start w:val="1"/>
      <w:numFmt w:val="bullet"/>
      <w:lvlText w:val=""/>
      <w:lvlJc w:val="left"/>
      <w:pPr>
        <w:tabs>
          <w:tab w:val="num" w:pos="3600"/>
        </w:tabs>
        <w:ind w:left="3600" w:hanging="360"/>
      </w:pPr>
      <w:rPr>
        <w:rFonts w:ascii="Wingdings" w:hAnsi="Wingdings" w:hint="default"/>
      </w:rPr>
    </w:lvl>
    <w:lvl w:ilvl="5" w:tplc="4198B1C2" w:tentative="1">
      <w:start w:val="1"/>
      <w:numFmt w:val="bullet"/>
      <w:lvlText w:val=""/>
      <w:lvlJc w:val="left"/>
      <w:pPr>
        <w:tabs>
          <w:tab w:val="num" w:pos="4320"/>
        </w:tabs>
        <w:ind w:left="4320" w:hanging="360"/>
      </w:pPr>
      <w:rPr>
        <w:rFonts w:ascii="Wingdings" w:hAnsi="Wingdings" w:hint="default"/>
      </w:rPr>
    </w:lvl>
    <w:lvl w:ilvl="6" w:tplc="EDD0F8A0" w:tentative="1">
      <w:start w:val="1"/>
      <w:numFmt w:val="bullet"/>
      <w:lvlText w:val=""/>
      <w:lvlJc w:val="left"/>
      <w:pPr>
        <w:tabs>
          <w:tab w:val="num" w:pos="5040"/>
        </w:tabs>
        <w:ind w:left="5040" w:hanging="360"/>
      </w:pPr>
      <w:rPr>
        <w:rFonts w:ascii="Wingdings" w:hAnsi="Wingdings" w:hint="default"/>
      </w:rPr>
    </w:lvl>
    <w:lvl w:ilvl="7" w:tplc="95F205D4" w:tentative="1">
      <w:start w:val="1"/>
      <w:numFmt w:val="bullet"/>
      <w:lvlText w:val=""/>
      <w:lvlJc w:val="left"/>
      <w:pPr>
        <w:tabs>
          <w:tab w:val="num" w:pos="5760"/>
        </w:tabs>
        <w:ind w:left="5760" w:hanging="360"/>
      </w:pPr>
      <w:rPr>
        <w:rFonts w:ascii="Wingdings" w:hAnsi="Wingdings" w:hint="default"/>
      </w:rPr>
    </w:lvl>
    <w:lvl w:ilvl="8" w:tplc="DFFA04EE" w:tentative="1">
      <w:start w:val="1"/>
      <w:numFmt w:val="bullet"/>
      <w:lvlText w:val=""/>
      <w:lvlJc w:val="left"/>
      <w:pPr>
        <w:tabs>
          <w:tab w:val="num" w:pos="6480"/>
        </w:tabs>
        <w:ind w:left="6480" w:hanging="360"/>
      </w:pPr>
      <w:rPr>
        <w:rFonts w:ascii="Wingdings" w:hAnsi="Wingdings" w:hint="default"/>
      </w:rPr>
    </w:lvl>
  </w:abstractNum>
  <w:abstractNum w:abstractNumId="17">
    <w:nsid w:val="5C003E8C"/>
    <w:multiLevelType w:val="hybridMultilevel"/>
    <w:tmpl w:val="475AC0D8"/>
    <w:lvl w:ilvl="0" w:tplc="E08E5D22">
      <w:start w:val="1"/>
      <w:numFmt w:val="decimal"/>
      <w:lvlText w:val="%1、"/>
      <w:lvlJc w:val="left"/>
      <w:pPr>
        <w:ind w:left="1200" w:hanging="720"/>
      </w:pPr>
      <w:rPr>
        <w:rFonts w:hint="default"/>
      </w:rPr>
    </w:lvl>
    <w:lvl w:ilvl="1" w:tplc="04090019">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8">
    <w:nsid w:val="5C5F63A9"/>
    <w:multiLevelType w:val="hybridMultilevel"/>
    <w:tmpl w:val="314A2B18"/>
    <w:lvl w:ilvl="0" w:tplc="7E863EF2">
      <w:start w:val="1"/>
      <w:numFmt w:val="japaneseCounting"/>
      <w:lvlText w:val="第%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9">
    <w:nsid w:val="60BC4A89"/>
    <w:multiLevelType w:val="hybridMultilevel"/>
    <w:tmpl w:val="586EE950"/>
    <w:lvl w:ilvl="0" w:tplc="6A165E04">
      <w:start w:val="1"/>
      <w:numFmt w:val="bullet"/>
      <w:lvlText w:val=""/>
      <w:lvlJc w:val="left"/>
      <w:pPr>
        <w:tabs>
          <w:tab w:val="num" w:pos="720"/>
        </w:tabs>
        <w:ind w:left="720" w:hanging="360"/>
      </w:pPr>
      <w:rPr>
        <w:rFonts w:ascii="Wingdings" w:hAnsi="Wingdings" w:hint="default"/>
      </w:rPr>
    </w:lvl>
    <w:lvl w:ilvl="1" w:tplc="21AC195E" w:tentative="1">
      <w:start w:val="1"/>
      <w:numFmt w:val="bullet"/>
      <w:lvlText w:val=""/>
      <w:lvlJc w:val="left"/>
      <w:pPr>
        <w:tabs>
          <w:tab w:val="num" w:pos="1440"/>
        </w:tabs>
        <w:ind w:left="1440" w:hanging="360"/>
      </w:pPr>
      <w:rPr>
        <w:rFonts w:ascii="Wingdings" w:hAnsi="Wingdings" w:hint="default"/>
      </w:rPr>
    </w:lvl>
    <w:lvl w:ilvl="2" w:tplc="A0B615E8" w:tentative="1">
      <w:start w:val="1"/>
      <w:numFmt w:val="bullet"/>
      <w:lvlText w:val=""/>
      <w:lvlJc w:val="left"/>
      <w:pPr>
        <w:tabs>
          <w:tab w:val="num" w:pos="2160"/>
        </w:tabs>
        <w:ind w:left="2160" w:hanging="360"/>
      </w:pPr>
      <w:rPr>
        <w:rFonts w:ascii="Wingdings" w:hAnsi="Wingdings" w:hint="default"/>
      </w:rPr>
    </w:lvl>
    <w:lvl w:ilvl="3" w:tplc="E75C4E4C" w:tentative="1">
      <w:start w:val="1"/>
      <w:numFmt w:val="bullet"/>
      <w:lvlText w:val=""/>
      <w:lvlJc w:val="left"/>
      <w:pPr>
        <w:tabs>
          <w:tab w:val="num" w:pos="2880"/>
        </w:tabs>
        <w:ind w:left="2880" w:hanging="360"/>
      </w:pPr>
      <w:rPr>
        <w:rFonts w:ascii="Wingdings" w:hAnsi="Wingdings" w:hint="default"/>
      </w:rPr>
    </w:lvl>
    <w:lvl w:ilvl="4" w:tplc="4AEA7F6E" w:tentative="1">
      <w:start w:val="1"/>
      <w:numFmt w:val="bullet"/>
      <w:lvlText w:val=""/>
      <w:lvlJc w:val="left"/>
      <w:pPr>
        <w:tabs>
          <w:tab w:val="num" w:pos="3600"/>
        </w:tabs>
        <w:ind w:left="3600" w:hanging="360"/>
      </w:pPr>
      <w:rPr>
        <w:rFonts w:ascii="Wingdings" w:hAnsi="Wingdings" w:hint="default"/>
      </w:rPr>
    </w:lvl>
    <w:lvl w:ilvl="5" w:tplc="2D6A9648" w:tentative="1">
      <w:start w:val="1"/>
      <w:numFmt w:val="bullet"/>
      <w:lvlText w:val=""/>
      <w:lvlJc w:val="left"/>
      <w:pPr>
        <w:tabs>
          <w:tab w:val="num" w:pos="4320"/>
        </w:tabs>
        <w:ind w:left="4320" w:hanging="360"/>
      </w:pPr>
      <w:rPr>
        <w:rFonts w:ascii="Wingdings" w:hAnsi="Wingdings" w:hint="default"/>
      </w:rPr>
    </w:lvl>
    <w:lvl w:ilvl="6" w:tplc="CB7E3146" w:tentative="1">
      <w:start w:val="1"/>
      <w:numFmt w:val="bullet"/>
      <w:lvlText w:val=""/>
      <w:lvlJc w:val="left"/>
      <w:pPr>
        <w:tabs>
          <w:tab w:val="num" w:pos="5040"/>
        </w:tabs>
        <w:ind w:left="5040" w:hanging="360"/>
      </w:pPr>
      <w:rPr>
        <w:rFonts w:ascii="Wingdings" w:hAnsi="Wingdings" w:hint="default"/>
      </w:rPr>
    </w:lvl>
    <w:lvl w:ilvl="7" w:tplc="B1988EC6" w:tentative="1">
      <w:start w:val="1"/>
      <w:numFmt w:val="bullet"/>
      <w:lvlText w:val=""/>
      <w:lvlJc w:val="left"/>
      <w:pPr>
        <w:tabs>
          <w:tab w:val="num" w:pos="5760"/>
        </w:tabs>
        <w:ind w:left="5760" w:hanging="360"/>
      </w:pPr>
      <w:rPr>
        <w:rFonts w:ascii="Wingdings" w:hAnsi="Wingdings" w:hint="default"/>
      </w:rPr>
    </w:lvl>
    <w:lvl w:ilvl="8" w:tplc="B71C61B0" w:tentative="1">
      <w:start w:val="1"/>
      <w:numFmt w:val="bullet"/>
      <w:lvlText w:val=""/>
      <w:lvlJc w:val="left"/>
      <w:pPr>
        <w:tabs>
          <w:tab w:val="num" w:pos="6480"/>
        </w:tabs>
        <w:ind w:left="6480" w:hanging="360"/>
      </w:pPr>
      <w:rPr>
        <w:rFonts w:ascii="Wingdings" w:hAnsi="Wingdings" w:hint="default"/>
      </w:rPr>
    </w:lvl>
  </w:abstractNum>
  <w:abstractNum w:abstractNumId="20">
    <w:nsid w:val="61E30A09"/>
    <w:multiLevelType w:val="hybridMultilevel"/>
    <w:tmpl w:val="61DA731C"/>
    <w:lvl w:ilvl="0" w:tplc="768C7888">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1">
    <w:nsid w:val="6AA464D0"/>
    <w:multiLevelType w:val="hybridMultilevel"/>
    <w:tmpl w:val="87CE8456"/>
    <w:lvl w:ilvl="0" w:tplc="4D4E41E0">
      <w:start w:val="1"/>
      <w:numFmt w:val="bullet"/>
      <w:lvlText w:val=""/>
      <w:lvlJc w:val="left"/>
      <w:pPr>
        <w:tabs>
          <w:tab w:val="num" w:pos="720"/>
        </w:tabs>
        <w:ind w:left="720" w:hanging="360"/>
      </w:pPr>
      <w:rPr>
        <w:rFonts w:ascii="Wingdings" w:hAnsi="Wingdings" w:hint="default"/>
      </w:rPr>
    </w:lvl>
    <w:lvl w:ilvl="1" w:tplc="983CE176" w:tentative="1">
      <w:start w:val="1"/>
      <w:numFmt w:val="bullet"/>
      <w:lvlText w:val=""/>
      <w:lvlJc w:val="left"/>
      <w:pPr>
        <w:tabs>
          <w:tab w:val="num" w:pos="1440"/>
        </w:tabs>
        <w:ind w:left="1440" w:hanging="360"/>
      </w:pPr>
      <w:rPr>
        <w:rFonts w:ascii="Wingdings" w:hAnsi="Wingdings" w:hint="default"/>
      </w:rPr>
    </w:lvl>
    <w:lvl w:ilvl="2" w:tplc="EE9ECB80" w:tentative="1">
      <w:start w:val="1"/>
      <w:numFmt w:val="bullet"/>
      <w:lvlText w:val=""/>
      <w:lvlJc w:val="left"/>
      <w:pPr>
        <w:tabs>
          <w:tab w:val="num" w:pos="2160"/>
        </w:tabs>
        <w:ind w:left="2160" w:hanging="360"/>
      </w:pPr>
      <w:rPr>
        <w:rFonts w:ascii="Wingdings" w:hAnsi="Wingdings" w:hint="default"/>
      </w:rPr>
    </w:lvl>
    <w:lvl w:ilvl="3" w:tplc="61A2DFD8" w:tentative="1">
      <w:start w:val="1"/>
      <w:numFmt w:val="bullet"/>
      <w:lvlText w:val=""/>
      <w:lvlJc w:val="left"/>
      <w:pPr>
        <w:tabs>
          <w:tab w:val="num" w:pos="2880"/>
        </w:tabs>
        <w:ind w:left="2880" w:hanging="360"/>
      </w:pPr>
      <w:rPr>
        <w:rFonts w:ascii="Wingdings" w:hAnsi="Wingdings" w:hint="default"/>
      </w:rPr>
    </w:lvl>
    <w:lvl w:ilvl="4" w:tplc="26142642" w:tentative="1">
      <w:start w:val="1"/>
      <w:numFmt w:val="bullet"/>
      <w:lvlText w:val=""/>
      <w:lvlJc w:val="left"/>
      <w:pPr>
        <w:tabs>
          <w:tab w:val="num" w:pos="3600"/>
        </w:tabs>
        <w:ind w:left="3600" w:hanging="360"/>
      </w:pPr>
      <w:rPr>
        <w:rFonts w:ascii="Wingdings" w:hAnsi="Wingdings" w:hint="default"/>
      </w:rPr>
    </w:lvl>
    <w:lvl w:ilvl="5" w:tplc="F73C735E" w:tentative="1">
      <w:start w:val="1"/>
      <w:numFmt w:val="bullet"/>
      <w:lvlText w:val=""/>
      <w:lvlJc w:val="left"/>
      <w:pPr>
        <w:tabs>
          <w:tab w:val="num" w:pos="4320"/>
        </w:tabs>
        <w:ind w:left="4320" w:hanging="360"/>
      </w:pPr>
      <w:rPr>
        <w:rFonts w:ascii="Wingdings" w:hAnsi="Wingdings" w:hint="default"/>
      </w:rPr>
    </w:lvl>
    <w:lvl w:ilvl="6" w:tplc="3F82EBD8" w:tentative="1">
      <w:start w:val="1"/>
      <w:numFmt w:val="bullet"/>
      <w:lvlText w:val=""/>
      <w:lvlJc w:val="left"/>
      <w:pPr>
        <w:tabs>
          <w:tab w:val="num" w:pos="5040"/>
        </w:tabs>
        <w:ind w:left="5040" w:hanging="360"/>
      </w:pPr>
      <w:rPr>
        <w:rFonts w:ascii="Wingdings" w:hAnsi="Wingdings" w:hint="default"/>
      </w:rPr>
    </w:lvl>
    <w:lvl w:ilvl="7" w:tplc="83D649B4" w:tentative="1">
      <w:start w:val="1"/>
      <w:numFmt w:val="bullet"/>
      <w:lvlText w:val=""/>
      <w:lvlJc w:val="left"/>
      <w:pPr>
        <w:tabs>
          <w:tab w:val="num" w:pos="5760"/>
        </w:tabs>
        <w:ind w:left="5760" w:hanging="360"/>
      </w:pPr>
      <w:rPr>
        <w:rFonts w:ascii="Wingdings" w:hAnsi="Wingdings" w:hint="default"/>
      </w:rPr>
    </w:lvl>
    <w:lvl w:ilvl="8" w:tplc="EC785C22" w:tentative="1">
      <w:start w:val="1"/>
      <w:numFmt w:val="bullet"/>
      <w:lvlText w:val=""/>
      <w:lvlJc w:val="left"/>
      <w:pPr>
        <w:tabs>
          <w:tab w:val="num" w:pos="6480"/>
        </w:tabs>
        <w:ind w:left="6480" w:hanging="360"/>
      </w:pPr>
      <w:rPr>
        <w:rFonts w:ascii="Wingdings" w:hAnsi="Wingdings" w:hint="default"/>
      </w:rPr>
    </w:lvl>
  </w:abstractNum>
  <w:abstractNum w:abstractNumId="22">
    <w:nsid w:val="6F9C03C7"/>
    <w:multiLevelType w:val="hybridMultilevel"/>
    <w:tmpl w:val="3E6AE66A"/>
    <w:lvl w:ilvl="0" w:tplc="32D22218">
      <w:start w:val="1"/>
      <w:numFmt w:val="bullet"/>
      <w:lvlText w:val=""/>
      <w:lvlJc w:val="left"/>
      <w:pPr>
        <w:tabs>
          <w:tab w:val="num" w:pos="720"/>
        </w:tabs>
        <w:ind w:left="720" w:hanging="360"/>
      </w:pPr>
      <w:rPr>
        <w:rFonts w:ascii="Wingdings" w:hAnsi="Wingdings" w:hint="default"/>
      </w:rPr>
    </w:lvl>
    <w:lvl w:ilvl="1" w:tplc="63AC403C" w:tentative="1">
      <w:start w:val="1"/>
      <w:numFmt w:val="bullet"/>
      <w:lvlText w:val=""/>
      <w:lvlJc w:val="left"/>
      <w:pPr>
        <w:tabs>
          <w:tab w:val="num" w:pos="1440"/>
        </w:tabs>
        <w:ind w:left="1440" w:hanging="360"/>
      </w:pPr>
      <w:rPr>
        <w:rFonts w:ascii="Wingdings" w:hAnsi="Wingdings" w:hint="default"/>
      </w:rPr>
    </w:lvl>
    <w:lvl w:ilvl="2" w:tplc="8E0CD4A4" w:tentative="1">
      <w:start w:val="1"/>
      <w:numFmt w:val="bullet"/>
      <w:lvlText w:val=""/>
      <w:lvlJc w:val="left"/>
      <w:pPr>
        <w:tabs>
          <w:tab w:val="num" w:pos="2160"/>
        </w:tabs>
        <w:ind w:left="2160" w:hanging="360"/>
      </w:pPr>
      <w:rPr>
        <w:rFonts w:ascii="Wingdings" w:hAnsi="Wingdings" w:hint="default"/>
      </w:rPr>
    </w:lvl>
    <w:lvl w:ilvl="3" w:tplc="3F0AE334" w:tentative="1">
      <w:start w:val="1"/>
      <w:numFmt w:val="bullet"/>
      <w:lvlText w:val=""/>
      <w:lvlJc w:val="left"/>
      <w:pPr>
        <w:tabs>
          <w:tab w:val="num" w:pos="2880"/>
        </w:tabs>
        <w:ind w:left="2880" w:hanging="360"/>
      </w:pPr>
      <w:rPr>
        <w:rFonts w:ascii="Wingdings" w:hAnsi="Wingdings" w:hint="default"/>
      </w:rPr>
    </w:lvl>
    <w:lvl w:ilvl="4" w:tplc="F44E0768" w:tentative="1">
      <w:start w:val="1"/>
      <w:numFmt w:val="bullet"/>
      <w:lvlText w:val=""/>
      <w:lvlJc w:val="left"/>
      <w:pPr>
        <w:tabs>
          <w:tab w:val="num" w:pos="3600"/>
        </w:tabs>
        <w:ind w:left="3600" w:hanging="360"/>
      </w:pPr>
      <w:rPr>
        <w:rFonts w:ascii="Wingdings" w:hAnsi="Wingdings" w:hint="default"/>
      </w:rPr>
    </w:lvl>
    <w:lvl w:ilvl="5" w:tplc="74C672F0" w:tentative="1">
      <w:start w:val="1"/>
      <w:numFmt w:val="bullet"/>
      <w:lvlText w:val=""/>
      <w:lvlJc w:val="left"/>
      <w:pPr>
        <w:tabs>
          <w:tab w:val="num" w:pos="4320"/>
        </w:tabs>
        <w:ind w:left="4320" w:hanging="360"/>
      </w:pPr>
      <w:rPr>
        <w:rFonts w:ascii="Wingdings" w:hAnsi="Wingdings" w:hint="default"/>
      </w:rPr>
    </w:lvl>
    <w:lvl w:ilvl="6" w:tplc="BE0421A6" w:tentative="1">
      <w:start w:val="1"/>
      <w:numFmt w:val="bullet"/>
      <w:lvlText w:val=""/>
      <w:lvlJc w:val="left"/>
      <w:pPr>
        <w:tabs>
          <w:tab w:val="num" w:pos="5040"/>
        </w:tabs>
        <w:ind w:left="5040" w:hanging="360"/>
      </w:pPr>
      <w:rPr>
        <w:rFonts w:ascii="Wingdings" w:hAnsi="Wingdings" w:hint="default"/>
      </w:rPr>
    </w:lvl>
    <w:lvl w:ilvl="7" w:tplc="57DADC78" w:tentative="1">
      <w:start w:val="1"/>
      <w:numFmt w:val="bullet"/>
      <w:lvlText w:val=""/>
      <w:lvlJc w:val="left"/>
      <w:pPr>
        <w:tabs>
          <w:tab w:val="num" w:pos="5760"/>
        </w:tabs>
        <w:ind w:left="5760" w:hanging="360"/>
      </w:pPr>
      <w:rPr>
        <w:rFonts w:ascii="Wingdings" w:hAnsi="Wingdings" w:hint="default"/>
      </w:rPr>
    </w:lvl>
    <w:lvl w:ilvl="8" w:tplc="911A1FF4"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1"/>
  </w:num>
  <w:num w:numId="3">
    <w:abstractNumId w:val="0"/>
  </w:num>
  <w:num w:numId="4">
    <w:abstractNumId w:val="3"/>
  </w:num>
  <w:num w:numId="5">
    <w:abstractNumId w:val="4"/>
  </w:num>
  <w:num w:numId="6">
    <w:abstractNumId w:val="20"/>
  </w:num>
  <w:num w:numId="7">
    <w:abstractNumId w:val="12"/>
  </w:num>
  <w:num w:numId="8">
    <w:abstractNumId w:val="11"/>
  </w:num>
  <w:num w:numId="9">
    <w:abstractNumId w:val="6"/>
  </w:num>
  <w:num w:numId="10">
    <w:abstractNumId w:val="15"/>
  </w:num>
  <w:num w:numId="11">
    <w:abstractNumId w:val="19"/>
  </w:num>
  <w:num w:numId="12">
    <w:abstractNumId w:val="13"/>
  </w:num>
  <w:num w:numId="13">
    <w:abstractNumId w:val="21"/>
  </w:num>
  <w:num w:numId="14">
    <w:abstractNumId w:val="22"/>
  </w:num>
  <w:num w:numId="15">
    <w:abstractNumId w:val="16"/>
  </w:num>
  <w:num w:numId="16">
    <w:abstractNumId w:val="10"/>
  </w:num>
  <w:num w:numId="17">
    <w:abstractNumId w:val="8"/>
  </w:num>
  <w:num w:numId="18">
    <w:abstractNumId w:val="18"/>
  </w:num>
  <w:num w:numId="19">
    <w:abstractNumId w:val="9"/>
  </w:num>
  <w:num w:numId="20">
    <w:abstractNumId w:val="17"/>
  </w:num>
  <w:num w:numId="21">
    <w:abstractNumId w:val="7"/>
  </w:num>
  <w:num w:numId="22">
    <w:abstractNumId w:val="14"/>
  </w:num>
  <w:num w:numId="2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doNotShadeFormData/>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F28DE503"/>
    <w:rsid w:val="0000048E"/>
    <w:rsid w:val="000006A1"/>
    <w:rsid w:val="00001755"/>
    <w:rsid w:val="0000180B"/>
    <w:rsid w:val="0000220D"/>
    <w:rsid w:val="000022B0"/>
    <w:rsid w:val="0000327C"/>
    <w:rsid w:val="000037AD"/>
    <w:rsid w:val="00003DA4"/>
    <w:rsid w:val="00003F08"/>
    <w:rsid w:val="00003F49"/>
    <w:rsid w:val="00003F92"/>
    <w:rsid w:val="000047B9"/>
    <w:rsid w:val="00004DA9"/>
    <w:rsid w:val="00004DF6"/>
    <w:rsid w:val="00004F92"/>
    <w:rsid w:val="00005076"/>
    <w:rsid w:val="00005AF2"/>
    <w:rsid w:val="00005D9A"/>
    <w:rsid w:val="000060AC"/>
    <w:rsid w:val="000060DE"/>
    <w:rsid w:val="00006135"/>
    <w:rsid w:val="0000649D"/>
    <w:rsid w:val="00006593"/>
    <w:rsid w:val="00006787"/>
    <w:rsid w:val="000068CF"/>
    <w:rsid w:val="00006911"/>
    <w:rsid w:val="00006B83"/>
    <w:rsid w:val="00007A5A"/>
    <w:rsid w:val="00007F30"/>
    <w:rsid w:val="00010654"/>
    <w:rsid w:val="000106E3"/>
    <w:rsid w:val="00010B19"/>
    <w:rsid w:val="00010DAA"/>
    <w:rsid w:val="000117D9"/>
    <w:rsid w:val="000119EF"/>
    <w:rsid w:val="00011C5F"/>
    <w:rsid w:val="000128CB"/>
    <w:rsid w:val="00012A25"/>
    <w:rsid w:val="00012DA7"/>
    <w:rsid w:val="00012E48"/>
    <w:rsid w:val="0001311B"/>
    <w:rsid w:val="00013AC4"/>
    <w:rsid w:val="00013D8C"/>
    <w:rsid w:val="00013DBA"/>
    <w:rsid w:val="00014480"/>
    <w:rsid w:val="0001480A"/>
    <w:rsid w:val="0001500B"/>
    <w:rsid w:val="00015542"/>
    <w:rsid w:val="00015981"/>
    <w:rsid w:val="00015C26"/>
    <w:rsid w:val="00015ECB"/>
    <w:rsid w:val="00015EE5"/>
    <w:rsid w:val="00015F11"/>
    <w:rsid w:val="00015F3D"/>
    <w:rsid w:val="00016248"/>
    <w:rsid w:val="00016A8C"/>
    <w:rsid w:val="00016C6A"/>
    <w:rsid w:val="00017B9C"/>
    <w:rsid w:val="0002033F"/>
    <w:rsid w:val="0002051A"/>
    <w:rsid w:val="00020970"/>
    <w:rsid w:val="00020BBA"/>
    <w:rsid w:val="00020F7F"/>
    <w:rsid w:val="000219C9"/>
    <w:rsid w:val="00021B34"/>
    <w:rsid w:val="00021C85"/>
    <w:rsid w:val="00022DD3"/>
    <w:rsid w:val="0002319C"/>
    <w:rsid w:val="000232BB"/>
    <w:rsid w:val="00023531"/>
    <w:rsid w:val="00023C51"/>
    <w:rsid w:val="00023E14"/>
    <w:rsid w:val="0002431B"/>
    <w:rsid w:val="00025073"/>
    <w:rsid w:val="00025B9D"/>
    <w:rsid w:val="00025F12"/>
    <w:rsid w:val="00026193"/>
    <w:rsid w:val="000270FF"/>
    <w:rsid w:val="000274EB"/>
    <w:rsid w:val="000275C9"/>
    <w:rsid w:val="0002765B"/>
    <w:rsid w:val="0002780B"/>
    <w:rsid w:val="00027AAB"/>
    <w:rsid w:val="00027E39"/>
    <w:rsid w:val="0003065D"/>
    <w:rsid w:val="00030711"/>
    <w:rsid w:val="00030E2D"/>
    <w:rsid w:val="000312AB"/>
    <w:rsid w:val="00031A0F"/>
    <w:rsid w:val="00032A5F"/>
    <w:rsid w:val="00032A68"/>
    <w:rsid w:val="00032ABF"/>
    <w:rsid w:val="000331EC"/>
    <w:rsid w:val="0003324E"/>
    <w:rsid w:val="000332AD"/>
    <w:rsid w:val="00033828"/>
    <w:rsid w:val="00034919"/>
    <w:rsid w:val="00034E64"/>
    <w:rsid w:val="0003520F"/>
    <w:rsid w:val="0003530E"/>
    <w:rsid w:val="00035D3D"/>
    <w:rsid w:val="00036DAA"/>
    <w:rsid w:val="00037494"/>
    <w:rsid w:val="0003773F"/>
    <w:rsid w:val="00037762"/>
    <w:rsid w:val="00037E6C"/>
    <w:rsid w:val="00037F38"/>
    <w:rsid w:val="000400EC"/>
    <w:rsid w:val="000401C9"/>
    <w:rsid w:val="000409E0"/>
    <w:rsid w:val="00040A6A"/>
    <w:rsid w:val="00040E7F"/>
    <w:rsid w:val="0004102C"/>
    <w:rsid w:val="000417A6"/>
    <w:rsid w:val="00041B38"/>
    <w:rsid w:val="00043A6D"/>
    <w:rsid w:val="00043DB6"/>
    <w:rsid w:val="00043E48"/>
    <w:rsid w:val="0004427C"/>
    <w:rsid w:val="000449F0"/>
    <w:rsid w:val="0004549D"/>
    <w:rsid w:val="00045A17"/>
    <w:rsid w:val="00045AB5"/>
    <w:rsid w:val="000463F4"/>
    <w:rsid w:val="0004644B"/>
    <w:rsid w:val="000465B1"/>
    <w:rsid w:val="000467D7"/>
    <w:rsid w:val="000472E5"/>
    <w:rsid w:val="00047AB6"/>
    <w:rsid w:val="00047BC0"/>
    <w:rsid w:val="00047BF1"/>
    <w:rsid w:val="00047E2A"/>
    <w:rsid w:val="00047FA6"/>
    <w:rsid w:val="0005003A"/>
    <w:rsid w:val="00050047"/>
    <w:rsid w:val="000504C8"/>
    <w:rsid w:val="000505E2"/>
    <w:rsid w:val="000507BC"/>
    <w:rsid w:val="00050AE2"/>
    <w:rsid w:val="00050E8F"/>
    <w:rsid w:val="0005125C"/>
    <w:rsid w:val="0005155B"/>
    <w:rsid w:val="00051575"/>
    <w:rsid w:val="0005161A"/>
    <w:rsid w:val="00051CD0"/>
    <w:rsid w:val="00051D9D"/>
    <w:rsid w:val="000523C8"/>
    <w:rsid w:val="00052427"/>
    <w:rsid w:val="00053051"/>
    <w:rsid w:val="000537A4"/>
    <w:rsid w:val="00054072"/>
    <w:rsid w:val="00054893"/>
    <w:rsid w:val="00054AE0"/>
    <w:rsid w:val="00054AFD"/>
    <w:rsid w:val="00054E2A"/>
    <w:rsid w:val="0005504F"/>
    <w:rsid w:val="000553C1"/>
    <w:rsid w:val="00055485"/>
    <w:rsid w:val="0005558A"/>
    <w:rsid w:val="00055679"/>
    <w:rsid w:val="00055A52"/>
    <w:rsid w:val="00055D29"/>
    <w:rsid w:val="00055F3B"/>
    <w:rsid w:val="000562D4"/>
    <w:rsid w:val="0005655B"/>
    <w:rsid w:val="0005721A"/>
    <w:rsid w:val="00057442"/>
    <w:rsid w:val="0005758B"/>
    <w:rsid w:val="000576DA"/>
    <w:rsid w:val="000603EF"/>
    <w:rsid w:val="00060BBF"/>
    <w:rsid w:val="000617BF"/>
    <w:rsid w:val="00061869"/>
    <w:rsid w:val="00061C3C"/>
    <w:rsid w:val="00061D9E"/>
    <w:rsid w:val="000620E2"/>
    <w:rsid w:val="0006250F"/>
    <w:rsid w:val="00062981"/>
    <w:rsid w:val="000629A2"/>
    <w:rsid w:val="00062E89"/>
    <w:rsid w:val="0006364B"/>
    <w:rsid w:val="00063EF1"/>
    <w:rsid w:val="00064007"/>
    <w:rsid w:val="000643F4"/>
    <w:rsid w:val="0006472D"/>
    <w:rsid w:val="00064DDC"/>
    <w:rsid w:val="00065B19"/>
    <w:rsid w:val="0006662C"/>
    <w:rsid w:val="0006679B"/>
    <w:rsid w:val="00066A4B"/>
    <w:rsid w:val="00066B90"/>
    <w:rsid w:val="00066C46"/>
    <w:rsid w:val="00066F10"/>
    <w:rsid w:val="00067714"/>
    <w:rsid w:val="00067963"/>
    <w:rsid w:val="00067A49"/>
    <w:rsid w:val="000701D0"/>
    <w:rsid w:val="00070606"/>
    <w:rsid w:val="00070A5D"/>
    <w:rsid w:val="0007166F"/>
    <w:rsid w:val="000719CA"/>
    <w:rsid w:val="0007212E"/>
    <w:rsid w:val="000722B7"/>
    <w:rsid w:val="00072410"/>
    <w:rsid w:val="0007254B"/>
    <w:rsid w:val="00073F36"/>
    <w:rsid w:val="00075608"/>
    <w:rsid w:val="00075EC6"/>
    <w:rsid w:val="000760C6"/>
    <w:rsid w:val="0007614B"/>
    <w:rsid w:val="000771ED"/>
    <w:rsid w:val="000772BD"/>
    <w:rsid w:val="00077790"/>
    <w:rsid w:val="0007794F"/>
    <w:rsid w:val="00077B1B"/>
    <w:rsid w:val="00080318"/>
    <w:rsid w:val="000807AE"/>
    <w:rsid w:val="00080D8B"/>
    <w:rsid w:val="0008119E"/>
    <w:rsid w:val="00081E60"/>
    <w:rsid w:val="00082044"/>
    <w:rsid w:val="00082CE4"/>
    <w:rsid w:val="00083341"/>
    <w:rsid w:val="00083392"/>
    <w:rsid w:val="00083A35"/>
    <w:rsid w:val="00083B64"/>
    <w:rsid w:val="00083E1C"/>
    <w:rsid w:val="00084085"/>
    <w:rsid w:val="000840CD"/>
    <w:rsid w:val="00084873"/>
    <w:rsid w:val="0008490D"/>
    <w:rsid w:val="000853E5"/>
    <w:rsid w:val="00085A79"/>
    <w:rsid w:val="00085AC0"/>
    <w:rsid w:val="00085CBE"/>
    <w:rsid w:val="00086328"/>
    <w:rsid w:val="0008649A"/>
    <w:rsid w:val="000869DB"/>
    <w:rsid w:val="00086E6D"/>
    <w:rsid w:val="00086E99"/>
    <w:rsid w:val="0008719E"/>
    <w:rsid w:val="000875B7"/>
    <w:rsid w:val="0008760B"/>
    <w:rsid w:val="00087DC6"/>
    <w:rsid w:val="00087E90"/>
    <w:rsid w:val="00090261"/>
    <w:rsid w:val="000907BC"/>
    <w:rsid w:val="0009124F"/>
    <w:rsid w:val="00091402"/>
    <w:rsid w:val="000915F6"/>
    <w:rsid w:val="000917A1"/>
    <w:rsid w:val="000917C9"/>
    <w:rsid w:val="000918CD"/>
    <w:rsid w:val="00091AC2"/>
    <w:rsid w:val="00091F14"/>
    <w:rsid w:val="00092207"/>
    <w:rsid w:val="0009252A"/>
    <w:rsid w:val="0009258F"/>
    <w:rsid w:val="00092AD5"/>
    <w:rsid w:val="00094523"/>
    <w:rsid w:val="00094D94"/>
    <w:rsid w:val="00094F6C"/>
    <w:rsid w:val="00094FF4"/>
    <w:rsid w:val="000951D3"/>
    <w:rsid w:val="000952BB"/>
    <w:rsid w:val="000953DE"/>
    <w:rsid w:val="00095B18"/>
    <w:rsid w:val="00095DC2"/>
    <w:rsid w:val="000962C2"/>
    <w:rsid w:val="00096648"/>
    <w:rsid w:val="000967FE"/>
    <w:rsid w:val="00096C99"/>
    <w:rsid w:val="0009703A"/>
    <w:rsid w:val="00097104"/>
    <w:rsid w:val="0009729E"/>
    <w:rsid w:val="0009756E"/>
    <w:rsid w:val="00097A7F"/>
    <w:rsid w:val="00097D5D"/>
    <w:rsid w:val="00097E52"/>
    <w:rsid w:val="000A030E"/>
    <w:rsid w:val="000A0751"/>
    <w:rsid w:val="000A07AB"/>
    <w:rsid w:val="000A0975"/>
    <w:rsid w:val="000A1929"/>
    <w:rsid w:val="000A1B69"/>
    <w:rsid w:val="000A1ECC"/>
    <w:rsid w:val="000A2DAA"/>
    <w:rsid w:val="000A2E6B"/>
    <w:rsid w:val="000A2FC7"/>
    <w:rsid w:val="000A315A"/>
    <w:rsid w:val="000A3DC8"/>
    <w:rsid w:val="000A460A"/>
    <w:rsid w:val="000A4BF8"/>
    <w:rsid w:val="000A51BC"/>
    <w:rsid w:val="000A58A7"/>
    <w:rsid w:val="000A5D4F"/>
    <w:rsid w:val="000A64B9"/>
    <w:rsid w:val="000A6B05"/>
    <w:rsid w:val="000A6DE0"/>
    <w:rsid w:val="000A71BF"/>
    <w:rsid w:val="000A7DAC"/>
    <w:rsid w:val="000B026D"/>
    <w:rsid w:val="000B05E2"/>
    <w:rsid w:val="000B0BF6"/>
    <w:rsid w:val="000B10BC"/>
    <w:rsid w:val="000B1789"/>
    <w:rsid w:val="000B17BD"/>
    <w:rsid w:val="000B210C"/>
    <w:rsid w:val="000B22FC"/>
    <w:rsid w:val="000B25D3"/>
    <w:rsid w:val="000B2B07"/>
    <w:rsid w:val="000B3764"/>
    <w:rsid w:val="000B3AFD"/>
    <w:rsid w:val="000B3C90"/>
    <w:rsid w:val="000B42CE"/>
    <w:rsid w:val="000B46DA"/>
    <w:rsid w:val="000B470C"/>
    <w:rsid w:val="000B4B75"/>
    <w:rsid w:val="000B5925"/>
    <w:rsid w:val="000B6513"/>
    <w:rsid w:val="000B7BEA"/>
    <w:rsid w:val="000B7CD4"/>
    <w:rsid w:val="000B7E48"/>
    <w:rsid w:val="000C0119"/>
    <w:rsid w:val="000C078B"/>
    <w:rsid w:val="000C0CF9"/>
    <w:rsid w:val="000C11F7"/>
    <w:rsid w:val="000C183E"/>
    <w:rsid w:val="000C1B8F"/>
    <w:rsid w:val="000C2B22"/>
    <w:rsid w:val="000C3787"/>
    <w:rsid w:val="000C39FF"/>
    <w:rsid w:val="000C4BC7"/>
    <w:rsid w:val="000C5FDB"/>
    <w:rsid w:val="000C60B9"/>
    <w:rsid w:val="000C6120"/>
    <w:rsid w:val="000C64EF"/>
    <w:rsid w:val="000C66E9"/>
    <w:rsid w:val="000C6919"/>
    <w:rsid w:val="000C6997"/>
    <w:rsid w:val="000C715A"/>
    <w:rsid w:val="000C7EFF"/>
    <w:rsid w:val="000C7FD1"/>
    <w:rsid w:val="000D03DB"/>
    <w:rsid w:val="000D0A66"/>
    <w:rsid w:val="000D0C47"/>
    <w:rsid w:val="000D0D13"/>
    <w:rsid w:val="000D20CB"/>
    <w:rsid w:val="000D2ABF"/>
    <w:rsid w:val="000D2ACF"/>
    <w:rsid w:val="000D3239"/>
    <w:rsid w:val="000D39B6"/>
    <w:rsid w:val="000D476C"/>
    <w:rsid w:val="000D4D45"/>
    <w:rsid w:val="000D4F30"/>
    <w:rsid w:val="000D5319"/>
    <w:rsid w:val="000D5735"/>
    <w:rsid w:val="000D6268"/>
    <w:rsid w:val="000D6D98"/>
    <w:rsid w:val="000D7167"/>
    <w:rsid w:val="000D7AE6"/>
    <w:rsid w:val="000D7AF4"/>
    <w:rsid w:val="000E0C96"/>
    <w:rsid w:val="000E0E2A"/>
    <w:rsid w:val="000E0E59"/>
    <w:rsid w:val="000E190F"/>
    <w:rsid w:val="000E1BF0"/>
    <w:rsid w:val="000E2002"/>
    <w:rsid w:val="000E2496"/>
    <w:rsid w:val="000E25F5"/>
    <w:rsid w:val="000E2962"/>
    <w:rsid w:val="000E2A9F"/>
    <w:rsid w:val="000E2AF3"/>
    <w:rsid w:val="000E3A11"/>
    <w:rsid w:val="000E3A48"/>
    <w:rsid w:val="000E3B01"/>
    <w:rsid w:val="000E3F98"/>
    <w:rsid w:val="000E41C4"/>
    <w:rsid w:val="000E4621"/>
    <w:rsid w:val="000E4BFC"/>
    <w:rsid w:val="000E4CB9"/>
    <w:rsid w:val="000E4E3A"/>
    <w:rsid w:val="000E544C"/>
    <w:rsid w:val="000E5513"/>
    <w:rsid w:val="000E5709"/>
    <w:rsid w:val="000E5994"/>
    <w:rsid w:val="000E59F8"/>
    <w:rsid w:val="000E5C5E"/>
    <w:rsid w:val="000E5CD3"/>
    <w:rsid w:val="000E5D4B"/>
    <w:rsid w:val="000E60E9"/>
    <w:rsid w:val="000E64C5"/>
    <w:rsid w:val="000E7157"/>
    <w:rsid w:val="000E7483"/>
    <w:rsid w:val="000E7583"/>
    <w:rsid w:val="000E79B7"/>
    <w:rsid w:val="000F0182"/>
    <w:rsid w:val="000F0675"/>
    <w:rsid w:val="000F06A6"/>
    <w:rsid w:val="000F0944"/>
    <w:rsid w:val="000F17DC"/>
    <w:rsid w:val="000F1881"/>
    <w:rsid w:val="000F1FB1"/>
    <w:rsid w:val="000F2087"/>
    <w:rsid w:val="000F2794"/>
    <w:rsid w:val="000F2996"/>
    <w:rsid w:val="000F2BF3"/>
    <w:rsid w:val="000F314D"/>
    <w:rsid w:val="000F3AC7"/>
    <w:rsid w:val="000F4125"/>
    <w:rsid w:val="000F4318"/>
    <w:rsid w:val="000F4A50"/>
    <w:rsid w:val="000F4D7B"/>
    <w:rsid w:val="000F52CC"/>
    <w:rsid w:val="000F56B5"/>
    <w:rsid w:val="000F58C3"/>
    <w:rsid w:val="000F5D77"/>
    <w:rsid w:val="000F74B8"/>
    <w:rsid w:val="000F76D9"/>
    <w:rsid w:val="000F784F"/>
    <w:rsid w:val="000F7D19"/>
    <w:rsid w:val="000F7F35"/>
    <w:rsid w:val="00100559"/>
    <w:rsid w:val="001005A9"/>
    <w:rsid w:val="00100E6A"/>
    <w:rsid w:val="00100F77"/>
    <w:rsid w:val="00101DDE"/>
    <w:rsid w:val="001021F0"/>
    <w:rsid w:val="00102909"/>
    <w:rsid w:val="00102B5E"/>
    <w:rsid w:val="00102BB3"/>
    <w:rsid w:val="00102EDA"/>
    <w:rsid w:val="001032B0"/>
    <w:rsid w:val="0010359C"/>
    <w:rsid w:val="00103934"/>
    <w:rsid w:val="00103F06"/>
    <w:rsid w:val="001046A3"/>
    <w:rsid w:val="0010475E"/>
    <w:rsid w:val="00104DA0"/>
    <w:rsid w:val="00105570"/>
    <w:rsid w:val="00105EE6"/>
    <w:rsid w:val="00106571"/>
    <w:rsid w:val="001072C7"/>
    <w:rsid w:val="001072EB"/>
    <w:rsid w:val="001076D5"/>
    <w:rsid w:val="00107E45"/>
    <w:rsid w:val="001101DE"/>
    <w:rsid w:val="00110783"/>
    <w:rsid w:val="0011102F"/>
    <w:rsid w:val="001119F5"/>
    <w:rsid w:val="00111E0B"/>
    <w:rsid w:val="0011228C"/>
    <w:rsid w:val="0011230D"/>
    <w:rsid w:val="00112AFF"/>
    <w:rsid w:val="00112CB9"/>
    <w:rsid w:val="0011318D"/>
    <w:rsid w:val="001136A5"/>
    <w:rsid w:val="00113CDE"/>
    <w:rsid w:val="00113D88"/>
    <w:rsid w:val="00114286"/>
    <w:rsid w:val="00114B4D"/>
    <w:rsid w:val="001152D0"/>
    <w:rsid w:val="00115834"/>
    <w:rsid w:val="001159B4"/>
    <w:rsid w:val="0011638E"/>
    <w:rsid w:val="001163A3"/>
    <w:rsid w:val="0011651B"/>
    <w:rsid w:val="00116698"/>
    <w:rsid w:val="0011682A"/>
    <w:rsid w:val="0011689A"/>
    <w:rsid w:val="00116B60"/>
    <w:rsid w:val="00116C60"/>
    <w:rsid w:val="00116F1A"/>
    <w:rsid w:val="001170AF"/>
    <w:rsid w:val="001176C7"/>
    <w:rsid w:val="00117AF6"/>
    <w:rsid w:val="00120548"/>
    <w:rsid w:val="001209D6"/>
    <w:rsid w:val="00121000"/>
    <w:rsid w:val="00121021"/>
    <w:rsid w:val="0012177F"/>
    <w:rsid w:val="00121910"/>
    <w:rsid w:val="00121ABD"/>
    <w:rsid w:val="00121D0D"/>
    <w:rsid w:val="00121ED8"/>
    <w:rsid w:val="00122676"/>
    <w:rsid w:val="00122DB4"/>
    <w:rsid w:val="00122E09"/>
    <w:rsid w:val="00122E5C"/>
    <w:rsid w:val="001230CB"/>
    <w:rsid w:val="001232DD"/>
    <w:rsid w:val="0012345B"/>
    <w:rsid w:val="00123923"/>
    <w:rsid w:val="00123B14"/>
    <w:rsid w:val="00123B8E"/>
    <w:rsid w:val="00124044"/>
    <w:rsid w:val="001244E8"/>
    <w:rsid w:val="001245CC"/>
    <w:rsid w:val="00124DD0"/>
    <w:rsid w:val="001253B1"/>
    <w:rsid w:val="001254DA"/>
    <w:rsid w:val="001254F6"/>
    <w:rsid w:val="0012599B"/>
    <w:rsid w:val="00125D11"/>
    <w:rsid w:val="00125FF7"/>
    <w:rsid w:val="001262D7"/>
    <w:rsid w:val="0012630D"/>
    <w:rsid w:val="00126A2D"/>
    <w:rsid w:val="00126DBF"/>
    <w:rsid w:val="00127808"/>
    <w:rsid w:val="00127AE1"/>
    <w:rsid w:val="00127E16"/>
    <w:rsid w:val="00127F69"/>
    <w:rsid w:val="00127F71"/>
    <w:rsid w:val="00130403"/>
    <w:rsid w:val="001305A4"/>
    <w:rsid w:val="00130DCD"/>
    <w:rsid w:val="00131317"/>
    <w:rsid w:val="0013157D"/>
    <w:rsid w:val="0013161A"/>
    <w:rsid w:val="00131744"/>
    <w:rsid w:val="00131E4A"/>
    <w:rsid w:val="00132281"/>
    <w:rsid w:val="00132E92"/>
    <w:rsid w:val="00133A1F"/>
    <w:rsid w:val="00134D58"/>
    <w:rsid w:val="001353A1"/>
    <w:rsid w:val="001357FD"/>
    <w:rsid w:val="00136119"/>
    <w:rsid w:val="001364F2"/>
    <w:rsid w:val="00136E93"/>
    <w:rsid w:val="00136EC5"/>
    <w:rsid w:val="001371B1"/>
    <w:rsid w:val="001372BD"/>
    <w:rsid w:val="00137539"/>
    <w:rsid w:val="00137FD9"/>
    <w:rsid w:val="00140019"/>
    <w:rsid w:val="001403D4"/>
    <w:rsid w:val="0014091D"/>
    <w:rsid w:val="00140DA1"/>
    <w:rsid w:val="00140DB4"/>
    <w:rsid w:val="001417AA"/>
    <w:rsid w:val="00143596"/>
    <w:rsid w:val="00143A9A"/>
    <w:rsid w:val="00144281"/>
    <w:rsid w:val="0014448A"/>
    <w:rsid w:val="001445CA"/>
    <w:rsid w:val="0014500B"/>
    <w:rsid w:val="001453E3"/>
    <w:rsid w:val="00145481"/>
    <w:rsid w:val="001457CA"/>
    <w:rsid w:val="001458E5"/>
    <w:rsid w:val="00146098"/>
    <w:rsid w:val="001461DD"/>
    <w:rsid w:val="0014665B"/>
    <w:rsid w:val="001472D4"/>
    <w:rsid w:val="00147336"/>
    <w:rsid w:val="001473F4"/>
    <w:rsid w:val="00147557"/>
    <w:rsid w:val="00147C93"/>
    <w:rsid w:val="00150CF6"/>
    <w:rsid w:val="00150E16"/>
    <w:rsid w:val="0015135E"/>
    <w:rsid w:val="001517A4"/>
    <w:rsid w:val="001517F0"/>
    <w:rsid w:val="001522D8"/>
    <w:rsid w:val="001524B5"/>
    <w:rsid w:val="001525AD"/>
    <w:rsid w:val="00152828"/>
    <w:rsid w:val="001529B7"/>
    <w:rsid w:val="00152EF2"/>
    <w:rsid w:val="0015336C"/>
    <w:rsid w:val="001534C6"/>
    <w:rsid w:val="00153A65"/>
    <w:rsid w:val="00153C30"/>
    <w:rsid w:val="00153E05"/>
    <w:rsid w:val="00153FE5"/>
    <w:rsid w:val="0015400F"/>
    <w:rsid w:val="001541BE"/>
    <w:rsid w:val="001541EE"/>
    <w:rsid w:val="0015463A"/>
    <w:rsid w:val="00154762"/>
    <w:rsid w:val="00154773"/>
    <w:rsid w:val="00154D0E"/>
    <w:rsid w:val="00154E1C"/>
    <w:rsid w:val="00155063"/>
    <w:rsid w:val="001551C9"/>
    <w:rsid w:val="00155427"/>
    <w:rsid w:val="001556C9"/>
    <w:rsid w:val="00155C96"/>
    <w:rsid w:val="00155CBE"/>
    <w:rsid w:val="00155D06"/>
    <w:rsid w:val="00156190"/>
    <w:rsid w:val="0015634E"/>
    <w:rsid w:val="00156515"/>
    <w:rsid w:val="00156B73"/>
    <w:rsid w:val="0015798B"/>
    <w:rsid w:val="00157A02"/>
    <w:rsid w:val="00157A31"/>
    <w:rsid w:val="00157AEE"/>
    <w:rsid w:val="001602AE"/>
    <w:rsid w:val="00160370"/>
    <w:rsid w:val="0016096D"/>
    <w:rsid w:val="0016107A"/>
    <w:rsid w:val="001611C1"/>
    <w:rsid w:val="0016142C"/>
    <w:rsid w:val="0016155D"/>
    <w:rsid w:val="00161568"/>
    <w:rsid w:val="00161909"/>
    <w:rsid w:val="00161984"/>
    <w:rsid w:val="00161D5D"/>
    <w:rsid w:val="00162129"/>
    <w:rsid w:val="001629D2"/>
    <w:rsid w:val="00162C39"/>
    <w:rsid w:val="001644C8"/>
    <w:rsid w:val="0016453E"/>
    <w:rsid w:val="00166825"/>
    <w:rsid w:val="001668A4"/>
    <w:rsid w:val="00166EF2"/>
    <w:rsid w:val="00167137"/>
    <w:rsid w:val="00167E3A"/>
    <w:rsid w:val="00170521"/>
    <w:rsid w:val="00170F26"/>
    <w:rsid w:val="001715B3"/>
    <w:rsid w:val="0017214C"/>
    <w:rsid w:val="0017231C"/>
    <w:rsid w:val="0017232C"/>
    <w:rsid w:val="001723BD"/>
    <w:rsid w:val="001724C7"/>
    <w:rsid w:val="001725E0"/>
    <w:rsid w:val="0017270C"/>
    <w:rsid w:val="00172A27"/>
    <w:rsid w:val="00173BBF"/>
    <w:rsid w:val="00174443"/>
    <w:rsid w:val="001746BF"/>
    <w:rsid w:val="0017514E"/>
    <w:rsid w:val="001754D1"/>
    <w:rsid w:val="00175927"/>
    <w:rsid w:val="00175DB7"/>
    <w:rsid w:val="00176174"/>
    <w:rsid w:val="001763F2"/>
    <w:rsid w:val="00176428"/>
    <w:rsid w:val="00176585"/>
    <w:rsid w:val="0017689A"/>
    <w:rsid w:val="00176B4A"/>
    <w:rsid w:val="00176FCB"/>
    <w:rsid w:val="00177075"/>
    <w:rsid w:val="00180451"/>
    <w:rsid w:val="001811C5"/>
    <w:rsid w:val="001814D0"/>
    <w:rsid w:val="00181C6F"/>
    <w:rsid w:val="00181E75"/>
    <w:rsid w:val="00182924"/>
    <w:rsid w:val="00182A28"/>
    <w:rsid w:val="00182C74"/>
    <w:rsid w:val="00183657"/>
    <w:rsid w:val="0018385C"/>
    <w:rsid w:val="00183F22"/>
    <w:rsid w:val="00184B95"/>
    <w:rsid w:val="001851D4"/>
    <w:rsid w:val="00185778"/>
    <w:rsid w:val="00186335"/>
    <w:rsid w:val="001864F2"/>
    <w:rsid w:val="001865E2"/>
    <w:rsid w:val="00187188"/>
    <w:rsid w:val="0018722E"/>
    <w:rsid w:val="00187701"/>
    <w:rsid w:val="0019031C"/>
    <w:rsid w:val="001909FD"/>
    <w:rsid w:val="00191121"/>
    <w:rsid w:val="00191347"/>
    <w:rsid w:val="001917D7"/>
    <w:rsid w:val="001919E4"/>
    <w:rsid w:val="00191D54"/>
    <w:rsid w:val="00192B5D"/>
    <w:rsid w:val="0019318B"/>
    <w:rsid w:val="00193F49"/>
    <w:rsid w:val="001947A8"/>
    <w:rsid w:val="00194F80"/>
    <w:rsid w:val="00195012"/>
    <w:rsid w:val="001952E5"/>
    <w:rsid w:val="001954E8"/>
    <w:rsid w:val="00195544"/>
    <w:rsid w:val="001967C0"/>
    <w:rsid w:val="00196ABA"/>
    <w:rsid w:val="00196FDB"/>
    <w:rsid w:val="001973D0"/>
    <w:rsid w:val="00197AF1"/>
    <w:rsid w:val="00197F64"/>
    <w:rsid w:val="00197F76"/>
    <w:rsid w:val="001A056C"/>
    <w:rsid w:val="001A074B"/>
    <w:rsid w:val="001A07EE"/>
    <w:rsid w:val="001A0B1B"/>
    <w:rsid w:val="001A0EC4"/>
    <w:rsid w:val="001A122C"/>
    <w:rsid w:val="001A1299"/>
    <w:rsid w:val="001A1663"/>
    <w:rsid w:val="001A17C9"/>
    <w:rsid w:val="001A199F"/>
    <w:rsid w:val="001A1BC5"/>
    <w:rsid w:val="001A1D97"/>
    <w:rsid w:val="001A2799"/>
    <w:rsid w:val="001A2A8D"/>
    <w:rsid w:val="001A2E46"/>
    <w:rsid w:val="001A308F"/>
    <w:rsid w:val="001A351C"/>
    <w:rsid w:val="001A35CF"/>
    <w:rsid w:val="001A3EC3"/>
    <w:rsid w:val="001A3F75"/>
    <w:rsid w:val="001A41C6"/>
    <w:rsid w:val="001A4719"/>
    <w:rsid w:val="001A4879"/>
    <w:rsid w:val="001A4A03"/>
    <w:rsid w:val="001A4D57"/>
    <w:rsid w:val="001A4E9A"/>
    <w:rsid w:val="001A5060"/>
    <w:rsid w:val="001A510B"/>
    <w:rsid w:val="001A59CA"/>
    <w:rsid w:val="001A5CA0"/>
    <w:rsid w:val="001A621B"/>
    <w:rsid w:val="001A62A8"/>
    <w:rsid w:val="001A6417"/>
    <w:rsid w:val="001A6D3B"/>
    <w:rsid w:val="001A6DF0"/>
    <w:rsid w:val="001A6F68"/>
    <w:rsid w:val="001A6FA9"/>
    <w:rsid w:val="001A73A0"/>
    <w:rsid w:val="001A744D"/>
    <w:rsid w:val="001A7792"/>
    <w:rsid w:val="001A7A22"/>
    <w:rsid w:val="001B0403"/>
    <w:rsid w:val="001B0F99"/>
    <w:rsid w:val="001B1517"/>
    <w:rsid w:val="001B1AFF"/>
    <w:rsid w:val="001B27AB"/>
    <w:rsid w:val="001B28BB"/>
    <w:rsid w:val="001B29BE"/>
    <w:rsid w:val="001B3023"/>
    <w:rsid w:val="001B3BAE"/>
    <w:rsid w:val="001B4228"/>
    <w:rsid w:val="001B42F8"/>
    <w:rsid w:val="001B45EC"/>
    <w:rsid w:val="001B4E4D"/>
    <w:rsid w:val="001B5009"/>
    <w:rsid w:val="001B536D"/>
    <w:rsid w:val="001B5D78"/>
    <w:rsid w:val="001B5E55"/>
    <w:rsid w:val="001B5F7A"/>
    <w:rsid w:val="001B5FFD"/>
    <w:rsid w:val="001B60F6"/>
    <w:rsid w:val="001B62B9"/>
    <w:rsid w:val="001B6392"/>
    <w:rsid w:val="001B71E3"/>
    <w:rsid w:val="001B767D"/>
    <w:rsid w:val="001B7768"/>
    <w:rsid w:val="001B7997"/>
    <w:rsid w:val="001B7A64"/>
    <w:rsid w:val="001B7FE1"/>
    <w:rsid w:val="001C0755"/>
    <w:rsid w:val="001C090A"/>
    <w:rsid w:val="001C0CD6"/>
    <w:rsid w:val="001C170A"/>
    <w:rsid w:val="001C1BEB"/>
    <w:rsid w:val="001C225E"/>
    <w:rsid w:val="001C23AD"/>
    <w:rsid w:val="001C269A"/>
    <w:rsid w:val="001C2789"/>
    <w:rsid w:val="001C2DB8"/>
    <w:rsid w:val="001C3579"/>
    <w:rsid w:val="001C398F"/>
    <w:rsid w:val="001C44D6"/>
    <w:rsid w:val="001C4E64"/>
    <w:rsid w:val="001C532E"/>
    <w:rsid w:val="001C53EB"/>
    <w:rsid w:val="001C574D"/>
    <w:rsid w:val="001C5AAA"/>
    <w:rsid w:val="001C64E1"/>
    <w:rsid w:val="001C682E"/>
    <w:rsid w:val="001D0BB7"/>
    <w:rsid w:val="001D0BFB"/>
    <w:rsid w:val="001D0EDD"/>
    <w:rsid w:val="001D1897"/>
    <w:rsid w:val="001D19D7"/>
    <w:rsid w:val="001D1D32"/>
    <w:rsid w:val="001D2283"/>
    <w:rsid w:val="001D2EC7"/>
    <w:rsid w:val="001D3429"/>
    <w:rsid w:val="001D3599"/>
    <w:rsid w:val="001D35B3"/>
    <w:rsid w:val="001D4032"/>
    <w:rsid w:val="001D42A4"/>
    <w:rsid w:val="001D435F"/>
    <w:rsid w:val="001D466E"/>
    <w:rsid w:val="001D4BE8"/>
    <w:rsid w:val="001D4C19"/>
    <w:rsid w:val="001D4EA0"/>
    <w:rsid w:val="001D4EEF"/>
    <w:rsid w:val="001D526B"/>
    <w:rsid w:val="001D61B9"/>
    <w:rsid w:val="001D69C6"/>
    <w:rsid w:val="001D6A11"/>
    <w:rsid w:val="001D6ABC"/>
    <w:rsid w:val="001D7492"/>
    <w:rsid w:val="001D7759"/>
    <w:rsid w:val="001D77AD"/>
    <w:rsid w:val="001D7EE8"/>
    <w:rsid w:val="001E0137"/>
    <w:rsid w:val="001E0BE0"/>
    <w:rsid w:val="001E0C27"/>
    <w:rsid w:val="001E0C47"/>
    <w:rsid w:val="001E0DD0"/>
    <w:rsid w:val="001E1007"/>
    <w:rsid w:val="001E1353"/>
    <w:rsid w:val="001E1474"/>
    <w:rsid w:val="001E15BC"/>
    <w:rsid w:val="001E30B3"/>
    <w:rsid w:val="001E3431"/>
    <w:rsid w:val="001E386F"/>
    <w:rsid w:val="001E38AC"/>
    <w:rsid w:val="001E38B1"/>
    <w:rsid w:val="001E40F3"/>
    <w:rsid w:val="001E4679"/>
    <w:rsid w:val="001E4FE8"/>
    <w:rsid w:val="001E5940"/>
    <w:rsid w:val="001E5995"/>
    <w:rsid w:val="001E5DB2"/>
    <w:rsid w:val="001E6075"/>
    <w:rsid w:val="001E6B9A"/>
    <w:rsid w:val="001E7065"/>
    <w:rsid w:val="001E775D"/>
    <w:rsid w:val="001E7A2B"/>
    <w:rsid w:val="001E7ACC"/>
    <w:rsid w:val="001F0039"/>
    <w:rsid w:val="001F00D6"/>
    <w:rsid w:val="001F0325"/>
    <w:rsid w:val="001F0EA2"/>
    <w:rsid w:val="001F1991"/>
    <w:rsid w:val="001F2627"/>
    <w:rsid w:val="001F276D"/>
    <w:rsid w:val="001F298D"/>
    <w:rsid w:val="001F39CF"/>
    <w:rsid w:val="001F3BB3"/>
    <w:rsid w:val="001F3E6B"/>
    <w:rsid w:val="001F430F"/>
    <w:rsid w:val="001F494C"/>
    <w:rsid w:val="001F4D2F"/>
    <w:rsid w:val="001F5DD0"/>
    <w:rsid w:val="001F6A8F"/>
    <w:rsid w:val="001F71F3"/>
    <w:rsid w:val="001F73BF"/>
    <w:rsid w:val="001F7802"/>
    <w:rsid w:val="001F7EFC"/>
    <w:rsid w:val="0020043F"/>
    <w:rsid w:val="00200710"/>
    <w:rsid w:val="00200AFA"/>
    <w:rsid w:val="00200F46"/>
    <w:rsid w:val="0020107C"/>
    <w:rsid w:val="00201225"/>
    <w:rsid w:val="00201641"/>
    <w:rsid w:val="00202995"/>
    <w:rsid w:val="00202ACE"/>
    <w:rsid w:val="00202B3E"/>
    <w:rsid w:val="00202D86"/>
    <w:rsid w:val="002032C1"/>
    <w:rsid w:val="00204321"/>
    <w:rsid w:val="00204474"/>
    <w:rsid w:val="00204577"/>
    <w:rsid w:val="002049E4"/>
    <w:rsid w:val="00204BC4"/>
    <w:rsid w:val="00205BC6"/>
    <w:rsid w:val="00205C6E"/>
    <w:rsid w:val="00205E07"/>
    <w:rsid w:val="002070D2"/>
    <w:rsid w:val="002073A0"/>
    <w:rsid w:val="002073BC"/>
    <w:rsid w:val="002075E0"/>
    <w:rsid w:val="0020773A"/>
    <w:rsid w:val="002100B2"/>
    <w:rsid w:val="0021034A"/>
    <w:rsid w:val="002103DF"/>
    <w:rsid w:val="002104B2"/>
    <w:rsid w:val="0021075B"/>
    <w:rsid w:val="00210A9B"/>
    <w:rsid w:val="00210BB0"/>
    <w:rsid w:val="00210EDA"/>
    <w:rsid w:val="002111EC"/>
    <w:rsid w:val="00211B09"/>
    <w:rsid w:val="00212471"/>
    <w:rsid w:val="00213D37"/>
    <w:rsid w:val="0021431F"/>
    <w:rsid w:val="0021444E"/>
    <w:rsid w:val="00214544"/>
    <w:rsid w:val="00214A94"/>
    <w:rsid w:val="00214FD0"/>
    <w:rsid w:val="00215416"/>
    <w:rsid w:val="0021546F"/>
    <w:rsid w:val="002155C1"/>
    <w:rsid w:val="00216159"/>
    <w:rsid w:val="002162C0"/>
    <w:rsid w:val="00216577"/>
    <w:rsid w:val="00217328"/>
    <w:rsid w:val="00217A87"/>
    <w:rsid w:val="00220375"/>
    <w:rsid w:val="00220902"/>
    <w:rsid w:val="00220ABD"/>
    <w:rsid w:val="00220C12"/>
    <w:rsid w:val="00220FD6"/>
    <w:rsid w:val="00222198"/>
    <w:rsid w:val="00223749"/>
    <w:rsid w:val="00223D9B"/>
    <w:rsid w:val="00224570"/>
    <w:rsid w:val="00224D4C"/>
    <w:rsid w:val="00224F88"/>
    <w:rsid w:val="00224F8F"/>
    <w:rsid w:val="00224FA5"/>
    <w:rsid w:val="0022709F"/>
    <w:rsid w:val="002279C5"/>
    <w:rsid w:val="0023023E"/>
    <w:rsid w:val="00230372"/>
    <w:rsid w:val="00230DE4"/>
    <w:rsid w:val="00230E84"/>
    <w:rsid w:val="00230F62"/>
    <w:rsid w:val="00231973"/>
    <w:rsid w:val="00231B4A"/>
    <w:rsid w:val="00231B55"/>
    <w:rsid w:val="00231C7A"/>
    <w:rsid w:val="00231D1F"/>
    <w:rsid w:val="00231E63"/>
    <w:rsid w:val="00232244"/>
    <w:rsid w:val="00232295"/>
    <w:rsid w:val="00232A2D"/>
    <w:rsid w:val="00233451"/>
    <w:rsid w:val="002334CA"/>
    <w:rsid w:val="002335E8"/>
    <w:rsid w:val="00233DD7"/>
    <w:rsid w:val="0023464F"/>
    <w:rsid w:val="002346CA"/>
    <w:rsid w:val="00234ABC"/>
    <w:rsid w:val="00234E86"/>
    <w:rsid w:val="00235216"/>
    <w:rsid w:val="00235BF6"/>
    <w:rsid w:val="00235D91"/>
    <w:rsid w:val="00235FFB"/>
    <w:rsid w:val="0023672D"/>
    <w:rsid w:val="00237A86"/>
    <w:rsid w:val="00240018"/>
    <w:rsid w:val="002404F8"/>
    <w:rsid w:val="0024069E"/>
    <w:rsid w:val="00240B2A"/>
    <w:rsid w:val="00240D71"/>
    <w:rsid w:val="0024107D"/>
    <w:rsid w:val="00241108"/>
    <w:rsid w:val="00241413"/>
    <w:rsid w:val="00241448"/>
    <w:rsid w:val="00241A5F"/>
    <w:rsid w:val="0024233C"/>
    <w:rsid w:val="002423FD"/>
    <w:rsid w:val="00242403"/>
    <w:rsid w:val="002426C7"/>
    <w:rsid w:val="00242E58"/>
    <w:rsid w:val="00242F34"/>
    <w:rsid w:val="0024318B"/>
    <w:rsid w:val="00243469"/>
    <w:rsid w:val="002440A7"/>
    <w:rsid w:val="002441AE"/>
    <w:rsid w:val="00244247"/>
    <w:rsid w:val="00244957"/>
    <w:rsid w:val="00244A2C"/>
    <w:rsid w:val="0024511F"/>
    <w:rsid w:val="00245A3C"/>
    <w:rsid w:val="00245B94"/>
    <w:rsid w:val="00246034"/>
    <w:rsid w:val="002467C7"/>
    <w:rsid w:val="00246900"/>
    <w:rsid w:val="00246929"/>
    <w:rsid w:val="00247349"/>
    <w:rsid w:val="0024771C"/>
    <w:rsid w:val="0024775F"/>
    <w:rsid w:val="00250493"/>
    <w:rsid w:val="00250B82"/>
    <w:rsid w:val="00251A0A"/>
    <w:rsid w:val="0025204E"/>
    <w:rsid w:val="002520B1"/>
    <w:rsid w:val="00252456"/>
    <w:rsid w:val="00252619"/>
    <w:rsid w:val="002527E5"/>
    <w:rsid w:val="0025286C"/>
    <w:rsid w:val="00252E46"/>
    <w:rsid w:val="00252E69"/>
    <w:rsid w:val="00253A3B"/>
    <w:rsid w:val="00253BEB"/>
    <w:rsid w:val="00254460"/>
    <w:rsid w:val="002544BF"/>
    <w:rsid w:val="002547B9"/>
    <w:rsid w:val="002556C4"/>
    <w:rsid w:val="00255AC9"/>
    <w:rsid w:val="00256370"/>
    <w:rsid w:val="0025759D"/>
    <w:rsid w:val="00257624"/>
    <w:rsid w:val="00257637"/>
    <w:rsid w:val="00257B67"/>
    <w:rsid w:val="00257C02"/>
    <w:rsid w:val="00257C3A"/>
    <w:rsid w:val="00257DC8"/>
    <w:rsid w:val="00257E28"/>
    <w:rsid w:val="00260290"/>
    <w:rsid w:val="0026048F"/>
    <w:rsid w:val="00260DCF"/>
    <w:rsid w:val="0026138E"/>
    <w:rsid w:val="002614A1"/>
    <w:rsid w:val="002617A0"/>
    <w:rsid w:val="00262607"/>
    <w:rsid w:val="0026273B"/>
    <w:rsid w:val="00262E95"/>
    <w:rsid w:val="00262E9D"/>
    <w:rsid w:val="0026374A"/>
    <w:rsid w:val="0026390F"/>
    <w:rsid w:val="00263ADB"/>
    <w:rsid w:val="00263E6A"/>
    <w:rsid w:val="00264010"/>
    <w:rsid w:val="002641BF"/>
    <w:rsid w:val="002643F6"/>
    <w:rsid w:val="00264AAD"/>
    <w:rsid w:val="00264FC0"/>
    <w:rsid w:val="002652EA"/>
    <w:rsid w:val="00265A07"/>
    <w:rsid w:val="00265B99"/>
    <w:rsid w:val="002661B0"/>
    <w:rsid w:val="00266468"/>
    <w:rsid w:val="002673BE"/>
    <w:rsid w:val="00271825"/>
    <w:rsid w:val="00271835"/>
    <w:rsid w:val="00271EDC"/>
    <w:rsid w:val="002728FC"/>
    <w:rsid w:val="00272B90"/>
    <w:rsid w:val="00273B77"/>
    <w:rsid w:val="00273BF9"/>
    <w:rsid w:val="00273F66"/>
    <w:rsid w:val="0027404F"/>
    <w:rsid w:val="002749A4"/>
    <w:rsid w:val="00275727"/>
    <w:rsid w:val="00275C52"/>
    <w:rsid w:val="00275C90"/>
    <w:rsid w:val="00275F5F"/>
    <w:rsid w:val="00276481"/>
    <w:rsid w:val="00276EDD"/>
    <w:rsid w:val="00277145"/>
    <w:rsid w:val="002775AA"/>
    <w:rsid w:val="00277ACC"/>
    <w:rsid w:val="002801AD"/>
    <w:rsid w:val="002802D6"/>
    <w:rsid w:val="002803A4"/>
    <w:rsid w:val="00280639"/>
    <w:rsid w:val="00280A1E"/>
    <w:rsid w:val="00280AF0"/>
    <w:rsid w:val="00281689"/>
    <w:rsid w:val="00281DE4"/>
    <w:rsid w:val="00281E67"/>
    <w:rsid w:val="00281F4B"/>
    <w:rsid w:val="00282279"/>
    <w:rsid w:val="00282432"/>
    <w:rsid w:val="0028243F"/>
    <w:rsid w:val="002824B0"/>
    <w:rsid w:val="002824BE"/>
    <w:rsid w:val="002827C1"/>
    <w:rsid w:val="0028297A"/>
    <w:rsid w:val="00282CEB"/>
    <w:rsid w:val="002831A9"/>
    <w:rsid w:val="002836C0"/>
    <w:rsid w:val="0028385C"/>
    <w:rsid w:val="00283E53"/>
    <w:rsid w:val="0028459A"/>
    <w:rsid w:val="00284B89"/>
    <w:rsid w:val="00284F16"/>
    <w:rsid w:val="0028516F"/>
    <w:rsid w:val="002856CC"/>
    <w:rsid w:val="002856E8"/>
    <w:rsid w:val="00285713"/>
    <w:rsid w:val="00285A3D"/>
    <w:rsid w:val="00285D12"/>
    <w:rsid w:val="00286111"/>
    <w:rsid w:val="002861B5"/>
    <w:rsid w:val="00286247"/>
    <w:rsid w:val="0028680B"/>
    <w:rsid w:val="00286D81"/>
    <w:rsid w:val="00286F89"/>
    <w:rsid w:val="002870F0"/>
    <w:rsid w:val="00287601"/>
    <w:rsid w:val="00287827"/>
    <w:rsid w:val="0028792D"/>
    <w:rsid w:val="002905B6"/>
    <w:rsid w:val="0029087F"/>
    <w:rsid w:val="0029103E"/>
    <w:rsid w:val="002914F7"/>
    <w:rsid w:val="002921DB"/>
    <w:rsid w:val="0029295E"/>
    <w:rsid w:val="00292C0B"/>
    <w:rsid w:val="00292EFF"/>
    <w:rsid w:val="00293334"/>
    <w:rsid w:val="0029358E"/>
    <w:rsid w:val="00293978"/>
    <w:rsid w:val="00293DD9"/>
    <w:rsid w:val="00293F65"/>
    <w:rsid w:val="00293F6A"/>
    <w:rsid w:val="00294384"/>
    <w:rsid w:val="00294530"/>
    <w:rsid w:val="00294A4B"/>
    <w:rsid w:val="00295171"/>
    <w:rsid w:val="0029549E"/>
    <w:rsid w:val="0029551B"/>
    <w:rsid w:val="00296316"/>
    <w:rsid w:val="00296658"/>
    <w:rsid w:val="00296FE0"/>
    <w:rsid w:val="00297DC5"/>
    <w:rsid w:val="00297DF3"/>
    <w:rsid w:val="00297FBC"/>
    <w:rsid w:val="002A08C3"/>
    <w:rsid w:val="002A0FA8"/>
    <w:rsid w:val="002A136E"/>
    <w:rsid w:val="002A1736"/>
    <w:rsid w:val="002A1B45"/>
    <w:rsid w:val="002A1D1C"/>
    <w:rsid w:val="002A1E53"/>
    <w:rsid w:val="002A2451"/>
    <w:rsid w:val="002A32DB"/>
    <w:rsid w:val="002A3977"/>
    <w:rsid w:val="002A3ABC"/>
    <w:rsid w:val="002A3BC3"/>
    <w:rsid w:val="002A3CF7"/>
    <w:rsid w:val="002A43D9"/>
    <w:rsid w:val="002A4761"/>
    <w:rsid w:val="002A535F"/>
    <w:rsid w:val="002A6C52"/>
    <w:rsid w:val="002A7075"/>
    <w:rsid w:val="002A72BA"/>
    <w:rsid w:val="002A73B5"/>
    <w:rsid w:val="002A7AEC"/>
    <w:rsid w:val="002A7CB7"/>
    <w:rsid w:val="002B0590"/>
    <w:rsid w:val="002B05D6"/>
    <w:rsid w:val="002B0752"/>
    <w:rsid w:val="002B0F81"/>
    <w:rsid w:val="002B0FF4"/>
    <w:rsid w:val="002B1948"/>
    <w:rsid w:val="002B19F0"/>
    <w:rsid w:val="002B1B67"/>
    <w:rsid w:val="002B23F4"/>
    <w:rsid w:val="002B24D7"/>
    <w:rsid w:val="002B27BC"/>
    <w:rsid w:val="002B2930"/>
    <w:rsid w:val="002B2C83"/>
    <w:rsid w:val="002B2FEC"/>
    <w:rsid w:val="002B33F5"/>
    <w:rsid w:val="002B39EC"/>
    <w:rsid w:val="002B3EFF"/>
    <w:rsid w:val="002B4025"/>
    <w:rsid w:val="002B43E7"/>
    <w:rsid w:val="002B50F8"/>
    <w:rsid w:val="002B5ECD"/>
    <w:rsid w:val="002B69D7"/>
    <w:rsid w:val="002B739B"/>
    <w:rsid w:val="002B773F"/>
    <w:rsid w:val="002B7863"/>
    <w:rsid w:val="002B7968"/>
    <w:rsid w:val="002B7E69"/>
    <w:rsid w:val="002B7E74"/>
    <w:rsid w:val="002C0667"/>
    <w:rsid w:val="002C0898"/>
    <w:rsid w:val="002C1BC4"/>
    <w:rsid w:val="002C2475"/>
    <w:rsid w:val="002C2CA8"/>
    <w:rsid w:val="002C352A"/>
    <w:rsid w:val="002C3941"/>
    <w:rsid w:val="002C3C3B"/>
    <w:rsid w:val="002C3E85"/>
    <w:rsid w:val="002C448D"/>
    <w:rsid w:val="002C4ACD"/>
    <w:rsid w:val="002C4EA8"/>
    <w:rsid w:val="002C5496"/>
    <w:rsid w:val="002C6182"/>
    <w:rsid w:val="002C61A1"/>
    <w:rsid w:val="002C6BBD"/>
    <w:rsid w:val="002C70B3"/>
    <w:rsid w:val="002C763E"/>
    <w:rsid w:val="002C7910"/>
    <w:rsid w:val="002C7DA8"/>
    <w:rsid w:val="002C7E05"/>
    <w:rsid w:val="002D0834"/>
    <w:rsid w:val="002D0D12"/>
    <w:rsid w:val="002D14C6"/>
    <w:rsid w:val="002D19CF"/>
    <w:rsid w:val="002D251D"/>
    <w:rsid w:val="002D27D9"/>
    <w:rsid w:val="002D2B4C"/>
    <w:rsid w:val="002D32D5"/>
    <w:rsid w:val="002D354D"/>
    <w:rsid w:val="002D3DEE"/>
    <w:rsid w:val="002D521C"/>
    <w:rsid w:val="002D5222"/>
    <w:rsid w:val="002D525F"/>
    <w:rsid w:val="002D5DF7"/>
    <w:rsid w:val="002D714B"/>
    <w:rsid w:val="002D7606"/>
    <w:rsid w:val="002D7893"/>
    <w:rsid w:val="002E022C"/>
    <w:rsid w:val="002E05B2"/>
    <w:rsid w:val="002E087C"/>
    <w:rsid w:val="002E09F8"/>
    <w:rsid w:val="002E0B91"/>
    <w:rsid w:val="002E1393"/>
    <w:rsid w:val="002E13ED"/>
    <w:rsid w:val="002E1AEC"/>
    <w:rsid w:val="002E232D"/>
    <w:rsid w:val="002E24BC"/>
    <w:rsid w:val="002E3768"/>
    <w:rsid w:val="002E3B46"/>
    <w:rsid w:val="002E3F59"/>
    <w:rsid w:val="002E4008"/>
    <w:rsid w:val="002E4918"/>
    <w:rsid w:val="002E50AB"/>
    <w:rsid w:val="002E5663"/>
    <w:rsid w:val="002E5BED"/>
    <w:rsid w:val="002E5EC9"/>
    <w:rsid w:val="002E68A7"/>
    <w:rsid w:val="002E6DD1"/>
    <w:rsid w:val="002E7231"/>
    <w:rsid w:val="002E7640"/>
    <w:rsid w:val="002E7B6D"/>
    <w:rsid w:val="002F027E"/>
    <w:rsid w:val="002F047D"/>
    <w:rsid w:val="002F05CB"/>
    <w:rsid w:val="002F1095"/>
    <w:rsid w:val="002F12B1"/>
    <w:rsid w:val="002F15F2"/>
    <w:rsid w:val="002F1E29"/>
    <w:rsid w:val="002F21B5"/>
    <w:rsid w:val="002F236C"/>
    <w:rsid w:val="002F2A1A"/>
    <w:rsid w:val="002F2D06"/>
    <w:rsid w:val="002F31FD"/>
    <w:rsid w:val="002F3857"/>
    <w:rsid w:val="002F415F"/>
    <w:rsid w:val="002F4257"/>
    <w:rsid w:val="002F4832"/>
    <w:rsid w:val="002F4DE5"/>
    <w:rsid w:val="002F501E"/>
    <w:rsid w:val="002F517B"/>
    <w:rsid w:val="002F5424"/>
    <w:rsid w:val="002F5C5D"/>
    <w:rsid w:val="002F61D0"/>
    <w:rsid w:val="002F64C0"/>
    <w:rsid w:val="002F68A3"/>
    <w:rsid w:val="002F718E"/>
    <w:rsid w:val="002F781D"/>
    <w:rsid w:val="002F7956"/>
    <w:rsid w:val="002F7993"/>
    <w:rsid w:val="002F7ACC"/>
    <w:rsid w:val="002F7B58"/>
    <w:rsid w:val="002F7DAF"/>
    <w:rsid w:val="002F7E4E"/>
    <w:rsid w:val="00300046"/>
    <w:rsid w:val="00301057"/>
    <w:rsid w:val="0030212C"/>
    <w:rsid w:val="00302151"/>
    <w:rsid w:val="00302427"/>
    <w:rsid w:val="003026AE"/>
    <w:rsid w:val="00302A7B"/>
    <w:rsid w:val="00302CD4"/>
    <w:rsid w:val="00302F67"/>
    <w:rsid w:val="00303034"/>
    <w:rsid w:val="0030333F"/>
    <w:rsid w:val="00303424"/>
    <w:rsid w:val="00304388"/>
    <w:rsid w:val="0030453B"/>
    <w:rsid w:val="00304AAB"/>
    <w:rsid w:val="00304F57"/>
    <w:rsid w:val="00305223"/>
    <w:rsid w:val="00305345"/>
    <w:rsid w:val="0030543F"/>
    <w:rsid w:val="003059AA"/>
    <w:rsid w:val="00306187"/>
    <w:rsid w:val="00306416"/>
    <w:rsid w:val="00306942"/>
    <w:rsid w:val="00307024"/>
    <w:rsid w:val="0030704C"/>
    <w:rsid w:val="00307095"/>
    <w:rsid w:val="00307E61"/>
    <w:rsid w:val="00310328"/>
    <w:rsid w:val="003105CE"/>
    <w:rsid w:val="0031077E"/>
    <w:rsid w:val="00310E5A"/>
    <w:rsid w:val="003110A6"/>
    <w:rsid w:val="00311291"/>
    <w:rsid w:val="003113AE"/>
    <w:rsid w:val="0031171F"/>
    <w:rsid w:val="00311999"/>
    <w:rsid w:val="00311C5D"/>
    <w:rsid w:val="00312492"/>
    <w:rsid w:val="003128C3"/>
    <w:rsid w:val="00312ACA"/>
    <w:rsid w:val="00312C21"/>
    <w:rsid w:val="00312D90"/>
    <w:rsid w:val="00312DE6"/>
    <w:rsid w:val="00313717"/>
    <w:rsid w:val="003141E8"/>
    <w:rsid w:val="00314603"/>
    <w:rsid w:val="00314775"/>
    <w:rsid w:val="0031490D"/>
    <w:rsid w:val="00314CAA"/>
    <w:rsid w:val="00315022"/>
    <w:rsid w:val="00315124"/>
    <w:rsid w:val="003154AB"/>
    <w:rsid w:val="00315B34"/>
    <w:rsid w:val="00315D42"/>
    <w:rsid w:val="0031619A"/>
    <w:rsid w:val="0031666C"/>
    <w:rsid w:val="00316D85"/>
    <w:rsid w:val="00317181"/>
    <w:rsid w:val="003171BE"/>
    <w:rsid w:val="003177C4"/>
    <w:rsid w:val="00317827"/>
    <w:rsid w:val="00317BB6"/>
    <w:rsid w:val="00320C50"/>
    <w:rsid w:val="00320F1C"/>
    <w:rsid w:val="00320FE7"/>
    <w:rsid w:val="00321BA2"/>
    <w:rsid w:val="003226D9"/>
    <w:rsid w:val="00322D22"/>
    <w:rsid w:val="00323C88"/>
    <w:rsid w:val="003246AA"/>
    <w:rsid w:val="003247D4"/>
    <w:rsid w:val="00324996"/>
    <w:rsid w:val="00324AC9"/>
    <w:rsid w:val="00324C9B"/>
    <w:rsid w:val="00325015"/>
    <w:rsid w:val="0032541B"/>
    <w:rsid w:val="003254FF"/>
    <w:rsid w:val="00325646"/>
    <w:rsid w:val="00325660"/>
    <w:rsid w:val="003257D9"/>
    <w:rsid w:val="00325D57"/>
    <w:rsid w:val="00325DEE"/>
    <w:rsid w:val="00325E50"/>
    <w:rsid w:val="00325E69"/>
    <w:rsid w:val="003265C4"/>
    <w:rsid w:val="003273BF"/>
    <w:rsid w:val="0033013A"/>
    <w:rsid w:val="00330401"/>
    <w:rsid w:val="00330DBC"/>
    <w:rsid w:val="00330EE4"/>
    <w:rsid w:val="003319CA"/>
    <w:rsid w:val="00331AB0"/>
    <w:rsid w:val="00331DA4"/>
    <w:rsid w:val="00332161"/>
    <w:rsid w:val="003323A9"/>
    <w:rsid w:val="0033261F"/>
    <w:rsid w:val="00332707"/>
    <w:rsid w:val="00332D86"/>
    <w:rsid w:val="00332E84"/>
    <w:rsid w:val="0033311E"/>
    <w:rsid w:val="00333658"/>
    <w:rsid w:val="0033460E"/>
    <w:rsid w:val="00335A08"/>
    <w:rsid w:val="003370C6"/>
    <w:rsid w:val="003373AF"/>
    <w:rsid w:val="00337BF7"/>
    <w:rsid w:val="003401AF"/>
    <w:rsid w:val="00340776"/>
    <w:rsid w:val="00340BAB"/>
    <w:rsid w:val="0034105F"/>
    <w:rsid w:val="00341169"/>
    <w:rsid w:val="003411E9"/>
    <w:rsid w:val="00341DD0"/>
    <w:rsid w:val="00342223"/>
    <w:rsid w:val="00342482"/>
    <w:rsid w:val="00342E46"/>
    <w:rsid w:val="00342F15"/>
    <w:rsid w:val="00343038"/>
    <w:rsid w:val="00343434"/>
    <w:rsid w:val="00343EAD"/>
    <w:rsid w:val="00344169"/>
    <w:rsid w:val="00344EFD"/>
    <w:rsid w:val="00345A51"/>
    <w:rsid w:val="00345EBD"/>
    <w:rsid w:val="00346468"/>
    <w:rsid w:val="0034649F"/>
    <w:rsid w:val="00346B8F"/>
    <w:rsid w:val="00347A0C"/>
    <w:rsid w:val="00347E5A"/>
    <w:rsid w:val="00347EF5"/>
    <w:rsid w:val="00347F2C"/>
    <w:rsid w:val="00347FE3"/>
    <w:rsid w:val="00350034"/>
    <w:rsid w:val="00351448"/>
    <w:rsid w:val="00351F93"/>
    <w:rsid w:val="003525CC"/>
    <w:rsid w:val="00352CF5"/>
    <w:rsid w:val="00352E63"/>
    <w:rsid w:val="003531CB"/>
    <w:rsid w:val="003539D5"/>
    <w:rsid w:val="00353E46"/>
    <w:rsid w:val="003545C9"/>
    <w:rsid w:val="0035462A"/>
    <w:rsid w:val="00354C0F"/>
    <w:rsid w:val="003556F3"/>
    <w:rsid w:val="0035654D"/>
    <w:rsid w:val="00356FD0"/>
    <w:rsid w:val="003570A1"/>
    <w:rsid w:val="00357946"/>
    <w:rsid w:val="00360DBD"/>
    <w:rsid w:val="0036112B"/>
    <w:rsid w:val="003612EE"/>
    <w:rsid w:val="003617DB"/>
    <w:rsid w:val="00361909"/>
    <w:rsid w:val="00362051"/>
    <w:rsid w:val="00362098"/>
    <w:rsid w:val="0036249E"/>
    <w:rsid w:val="003629DD"/>
    <w:rsid w:val="00362C0F"/>
    <w:rsid w:val="003630C7"/>
    <w:rsid w:val="00363421"/>
    <w:rsid w:val="003635B8"/>
    <w:rsid w:val="003658B1"/>
    <w:rsid w:val="00365C46"/>
    <w:rsid w:val="00365F8E"/>
    <w:rsid w:val="00366556"/>
    <w:rsid w:val="00366CEA"/>
    <w:rsid w:val="003673CA"/>
    <w:rsid w:val="00367DA6"/>
    <w:rsid w:val="00367DC8"/>
    <w:rsid w:val="003708C4"/>
    <w:rsid w:val="00370BFD"/>
    <w:rsid w:val="0037137A"/>
    <w:rsid w:val="00371885"/>
    <w:rsid w:val="00371BBF"/>
    <w:rsid w:val="003721E5"/>
    <w:rsid w:val="003728F4"/>
    <w:rsid w:val="0037297A"/>
    <w:rsid w:val="003729D4"/>
    <w:rsid w:val="00372BBC"/>
    <w:rsid w:val="00372EDF"/>
    <w:rsid w:val="00372F0C"/>
    <w:rsid w:val="00373D7E"/>
    <w:rsid w:val="00374344"/>
    <w:rsid w:val="003747CD"/>
    <w:rsid w:val="00374A2B"/>
    <w:rsid w:val="00375406"/>
    <w:rsid w:val="00375570"/>
    <w:rsid w:val="003755D1"/>
    <w:rsid w:val="0037567E"/>
    <w:rsid w:val="003757B1"/>
    <w:rsid w:val="00375C42"/>
    <w:rsid w:val="003763C8"/>
    <w:rsid w:val="00376E64"/>
    <w:rsid w:val="0037746C"/>
    <w:rsid w:val="0038010B"/>
    <w:rsid w:val="003819B9"/>
    <w:rsid w:val="00381DA1"/>
    <w:rsid w:val="003824A8"/>
    <w:rsid w:val="0038293F"/>
    <w:rsid w:val="00382E7F"/>
    <w:rsid w:val="003835C6"/>
    <w:rsid w:val="00383AA2"/>
    <w:rsid w:val="00383ACB"/>
    <w:rsid w:val="00383BD0"/>
    <w:rsid w:val="00384504"/>
    <w:rsid w:val="00384804"/>
    <w:rsid w:val="00384EEB"/>
    <w:rsid w:val="003852DD"/>
    <w:rsid w:val="00385EA9"/>
    <w:rsid w:val="0038608B"/>
    <w:rsid w:val="00387003"/>
    <w:rsid w:val="0038736E"/>
    <w:rsid w:val="003904DB"/>
    <w:rsid w:val="00391755"/>
    <w:rsid w:val="0039197C"/>
    <w:rsid w:val="00391C66"/>
    <w:rsid w:val="00391F8F"/>
    <w:rsid w:val="0039230E"/>
    <w:rsid w:val="00392565"/>
    <w:rsid w:val="003931FA"/>
    <w:rsid w:val="003932DF"/>
    <w:rsid w:val="003934BF"/>
    <w:rsid w:val="00394046"/>
    <w:rsid w:val="003943C2"/>
    <w:rsid w:val="003944EC"/>
    <w:rsid w:val="003947F1"/>
    <w:rsid w:val="0039481E"/>
    <w:rsid w:val="00394855"/>
    <w:rsid w:val="00394AC2"/>
    <w:rsid w:val="00394C0B"/>
    <w:rsid w:val="00395468"/>
    <w:rsid w:val="00397022"/>
    <w:rsid w:val="003970F7"/>
    <w:rsid w:val="0039739E"/>
    <w:rsid w:val="003978BF"/>
    <w:rsid w:val="00397E01"/>
    <w:rsid w:val="00397E22"/>
    <w:rsid w:val="003A1587"/>
    <w:rsid w:val="003A1612"/>
    <w:rsid w:val="003A2440"/>
    <w:rsid w:val="003A2501"/>
    <w:rsid w:val="003A281D"/>
    <w:rsid w:val="003A28CE"/>
    <w:rsid w:val="003A29E2"/>
    <w:rsid w:val="003A2AE0"/>
    <w:rsid w:val="003A2F68"/>
    <w:rsid w:val="003A3392"/>
    <w:rsid w:val="003A37E5"/>
    <w:rsid w:val="003A3A6A"/>
    <w:rsid w:val="003A3CE5"/>
    <w:rsid w:val="003A4103"/>
    <w:rsid w:val="003A43F1"/>
    <w:rsid w:val="003A4BAC"/>
    <w:rsid w:val="003A4DCD"/>
    <w:rsid w:val="003A5249"/>
    <w:rsid w:val="003A56DF"/>
    <w:rsid w:val="003A596B"/>
    <w:rsid w:val="003A5D5D"/>
    <w:rsid w:val="003A5DFD"/>
    <w:rsid w:val="003A5E9A"/>
    <w:rsid w:val="003A5E9B"/>
    <w:rsid w:val="003A65EB"/>
    <w:rsid w:val="003A6735"/>
    <w:rsid w:val="003A67B6"/>
    <w:rsid w:val="003A734D"/>
    <w:rsid w:val="003A750D"/>
    <w:rsid w:val="003A7D93"/>
    <w:rsid w:val="003A7EED"/>
    <w:rsid w:val="003A7F8D"/>
    <w:rsid w:val="003B0425"/>
    <w:rsid w:val="003B0460"/>
    <w:rsid w:val="003B1584"/>
    <w:rsid w:val="003B1A43"/>
    <w:rsid w:val="003B1C7E"/>
    <w:rsid w:val="003B2407"/>
    <w:rsid w:val="003B2C94"/>
    <w:rsid w:val="003B2CC2"/>
    <w:rsid w:val="003B3058"/>
    <w:rsid w:val="003B39A0"/>
    <w:rsid w:val="003B406A"/>
    <w:rsid w:val="003B44E9"/>
    <w:rsid w:val="003B54C0"/>
    <w:rsid w:val="003B5AA5"/>
    <w:rsid w:val="003B6140"/>
    <w:rsid w:val="003B6715"/>
    <w:rsid w:val="003B68CE"/>
    <w:rsid w:val="003B6C6A"/>
    <w:rsid w:val="003B6C95"/>
    <w:rsid w:val="003B6E41"/>
    <w:rsid w:val="003B783E"/>
    <w:rsid w:val="003B7EF1"/>
    <w:rsid w:val="003C04ED"/>
    <w:rsid w:val="003C087A"/>
    <w:rsid w:val="003C1818"/>
    <w:rsid w:val="003C1CC8"/>
    <w:rsid w:val="003C1F37"/>
    <w:rsid w:val="003C25F5"/>
    <w:rsid w:val="003C275F"/>
    <w:rsid w:val="003C2A04"/>
    <w:rsid w:val="003C2EED"/>
    <w:rsid w:val="003C3DED"/>
    <w:rsid w:val="003C440F"/>
    <w:rsid w:val="003C441B"/>
    <w:rsid w:val="003C4AD7"/>
    <w:rsid w:val="003C5307"/>
    <w:rsid w:val="003C54D5"/>
    <w:rsid w:val="003C5690"/>
    <w:rsid w:val="003C63C5"/>
    <w:rsid w:val="003C6B0A"/>
    <w:rsid w:val="003C6D25"/>
    <w:rsid w:val="003C6DF2"/>
    <w:rsid w:val="003C7291"/>
    <w:rsid w:val="003C7569"/>
    <w:rsid w:val="003D09B2"/>
    <w:rsid w:val="003D0AF1"/>
    <w:rsid w:val="003D0FD2"/>
    <w:rsid w:val="003D1313"/>
    <w:rsid w:val="003D1384"/>
    <w:rsid w:val="003D1493"/>
    <w:rsid w:val="003D1660"/>
    <w:rsid w:val="003D1C6C"/>
    <w:rsid w:val="003D2004"/>
    <w:rsid w:val="003D2289"/>
    <w:rsid w:val="003D23C9"/>
    <w:rsid w:val="003D24B4"/>
    <w:rsid w:val="003D29E3"/>
    <w:rsid w:val="003D2A25"/>
    <w:rsid w:val="003D34BA"/>
    <w:rsid w:val="003D369E"/>
    <w:rsid w:val="003D3995"/>
    <w:rsid w:val="003D3D77"/>
    <w:rsid w:val="003D4D3B"/>
    <w:rsid w:val="003D5A3C"/>
    <w:rsid w:val="003D5DDA"/>
    <w:rsid w:val="003D67CB"/>
    <w:rsid w:val="003D6B07"/>
    <w:rsid w:val="003D70AF"/>
    <w:rsid w:val="003D7138"/>
    <w:rsid w:val="003D79C6"/>
    <w:rsid w:val="003E0356"/>
    <w:rsid w:val="003E07FA"/>
    <w:rsid w:val="003E18C7"/>
    <w:rsid w:val="003E1D40"/>
    <w:rsid w:val="003E1E12"/>
    <w:rsid w:val="003E255B"/>
    <w:rsid w:val="003E261E"/>
    <w:rsid w:val="003E2793"/>
    <w:rsid w:val="003E2D54"/>
    <w:rsid w:val="003E314A"/>
    <w:rsid w:val="003E39D2"/>
    <w:rsid w:val="003E3A33"/>
    <w:rsid w:val="003E3A5E"/>
    <w:rsid w:val="003E42BE"/>
    <w:rsid w:val="003E4804"/>
    <w:rsid w:val="003E4BF7"/>
    <w:rsid w:val="003E578A"/>
    <w:rsid w:val="003E62BD"/>
    <w:rsid w:val="003E64BA"/>
    <w:rsid w:val="003E6A42"/>
    <w:rsid w:val="003E6FC1"/>
    <w:rsid w:val="003E74C3"/>
    <w:rsid w:val="003E767D"/>
    <w:rsid w:val="003E7A03"/>
    <w:rsid w:val="003F00C6"/>
    <w:rsid w:val="003F0557"/>
    <w:rsid w:val="003F074B"/>
    <w:rsid w:val="003F1214"/>
    <w:rsid w:val="003F146C"/>
    <w:rsid w:val="003F161C"/>
    <w:rsid w:val="003F168D"/>
    <w:rsid w:val="003F17A9"/>
    <w:rsid w:val="003F1A3E"/>
    <w:rsid w:val="003F1EA2"/>
    <w:rsid w:val="003F2B42"/>
    <w:rsid w:val="003F31F0"/>
    <w:rsid w:val="003F3299"/>
    <w:rsid w:val="003F395F"/>
    <w:rsid w:val="003F3C0E"/>
    <w:rsid w:val="003F481E"/>
    <w:rsid w:val="003F4F77"/>
    <w:rsid w:val="003F5897"/>
    <w:rsid w:val="003F5A02"/>
    <w:rsid w:val="003F5BA2"/>
    <w:rsid w:val="003F6042"/>
    <w:rsid w:val="003F63D6"/>
    <w:rsid w:val="003F66B9"/>
    <w:rsid w:val="003F6779"/>
    <w:rsid w:val="003F680F"/>
    <w:rsid w:val="003F6A5F"/>
    <w:rsid w:val="003F73D3"/>
    <w:rsid w:val="003F74D8"/>
    <w:rsid w:val="003F7777"/>
    <w:rsid w:val="0040039A"/>
    <w:rsid w:val="004003D2"/>
    <w:rsid w:val="004013FD"/>
    <w:rsid w:val="0040147C"/>
    <w:rsid w:val="004014B6"/>
    <w:rsid w:val="0040184D"/>
    <w:rsid w:val="00401C45"/>
    <w:rsid w:val="00401ED0"/>
    <w:rsid w:val="004021EE"/>
    <w:rsid w:val="004025FF"/>
    <w:rsid w:val="0040275C"/>
    <w:rsid w:val="00402C1B"/>
    <w:rsid w:val="0040350C"/>
    <w:rsid w:val="00403529"/>
    <w:rsid w:val="0040366C"/>
    <w:rsid w:val="00404169"/>
    <w:rsid w:val="00404517"/>
    <w:rsid w:val="004049CF"/>
    <w:rsid w:val="00404A4A"/>
    <w:rsid w:val="00404BDE"/>
    <w:rsid w:val="00405263"/>
    <w:rsid w:val="0040544C"/>
    <w:rsid w:val="00405849"/>
    <w:rsid w:val="0040599A"/>
    <w:rsid w:val="00405F02"/>
    <w:rsid w:val="004062C0"/>
    <w:rsid w:val="00410004"/>
    <w:rsid w:val="00410555"/>
    <w:rsid w:val="00410D3C"/>
    <w:rsid w:val="00410F2F"/>
    <w:rsid w:val="00410FAC"/>
    <w:rsid w:val="00410FB0"/>
    <w:rsid w:val="0041121A"/>
    <w:rsid w:val="004124BB"/>
    <w:rsid w:val="00412FD1"/>
    <w:rsid w:val="00413398"/>
    <w:rsid w:val="004133A5"/>
    <w:rsid w:val="004134F2"/>
    <w:rsid w:val="004153CA"/>
    <w:rsid w:val="0041553E"/>
    <w:rsid w:val="00415BBA"/>
    <w:rsid w:val="00415CB0"/>
    <w:rsid w:val="00415FF1"/>
    <w:rsid w:val="004162C7"/>
    <w:rsid w:val="0041696B"/>
    <w:rsid w:val="0041697C"/>
    <w:rsid w:val="00416C5F"/>
    <w:rsid w:val="00417694"/>
    <w:rsid w:val="00417703"/>
    <w:rsid w:val="0042032E"/>
    <w:rsid w:val="00420340"/>
    <w:rsid w:val="00420358"/>
    <w:rsid w:val="004203E0"/>
    <w:rsid w:val="004206DB"/>
    <w:rsid w:val="00420A20"/>
    <w:rsid w:val="00420CAA"/>
    <w:rsid w:val="00421384"/>
    <w:rsid w:val="0042191D"/>
    <w:rsid w:val="00421BC9"/>
    <w:rsid w:val="00422BB3"/>
    <w:rsid w:val="004237FC"/>
    <w:rsid w:val="00423FF5"/>
    <w:rsid w:val="004242D8"/>
    <w:rsid w:val="00424396"/>
    <w:rsid w:val="00424BEC"/>
    <w:rsid w:val="00424FB1"/>
    <w:rsid w:val="00425AC4"/>
    <w:rsid w:val="004260F2"/>
    <w:rsid w:val="004267FF"/>
    <w:rsid w:val="00426CDF"/>
    <w:rsid w:val="004274D3"/>
    <w:rsid w:val="00427E08"/>
    <w:rsid w:val="00430EC8"/>
    <w:rsid w:val="004311BD"/>
    <w:rsid w:val="0043129E"/>
    <w:rsid w:val="00431609"/>
    <w:rsid w:val="00431BD1"/>
    <w:rsid w:val="00431F41"/>
    <w:rsid w:val="00431F5E"/>
    <w:rsid w:val="00432D93"/>
    <w:rsid w:val="00433579"/>
    <w:rsid w:val="004343E7"/>
    <w:rsid w:val="0043476F"/>
    <w:rsid w:val="004347F7"/>
    <w:rsid w:val="00434D85"/>
    <w:rsid w:val="00434EAB"/>
    <w:rsid w:val="00435665"/>
    <w:rsid w:val="0043581E"/>
    <w:rsid w:val="00435B2A"/>
    <w:rsid w:val="004361A4"/>
    <w:rsid w:val="00436363"/>
    <w:rsid w:val="00436365"/>
    <w:rsid w:val="004364CA"/>
    <w:rsid w:val="00436E48"/>
    <w:rsid w:val="004372BB"/>
    <w:rsid w:val="00437483"/>
    <w:rsid w:val="0043792E"/>
    <w:rsid w:val="00437B38"/>
    <w:rsid w:val="00437B8B"/>
    <w:rsid w:val="00440218"/>
    <w:rsid w:val="00440425"/>
    <w:rsid w:val="00440CFF"/>
    <w:rsid w:val="00440DC6"/>
    <w:rsid w:val="00441533"/>
    <w:rsid w:val="00441F09"/>
    <w:rsid w:val="00442C1A"/>
    <w:rsid w:val="0044312D"/>
    <w:rsid w:val="0044314B"/>
    <w:rsid w:val="00443709"/>
    <w:rsid w:val="00443863"/>
    <w:rsid w:val="0044426C"/>
    <w:rsid w:val="00444527"/>
    <w:rsid w:val="00444DC7"/>
    <w:rsid w:val="00445125"/>
    <w:rsid w:val="00445182"/>
    <w:rsid w:val="00445328"/>
    <w:rsid w:val="004454A2"/>
    <w:rsid w:val="00445E47"/>
    <w:rsid w:val="00445F01"/>
    <w:rsid w:val="004464DB"/>
    <w:rsid w:val="00446EB6"/>
    <w:rsid w:val="00447081"/>
    <w:rsid w:val="00447155"/>
    <w:rsid w:val="00447263"/>
    <w:rsid w:val="0044771A"/>
    <w:rsid w:val="00447CA2"/>
    <w:rsid w:val="004510B8"/>
    <w:rsid w:val="0045246D"/>
    <w:rsid w:val="0045260D"/>
    <w:rsid w:val="00452916"/>
    <w:rsid w:val="00452988"/>
    <w:rsid w:val="0045306C"/>
    <w:rsid w:val="004544EB"/>
    <w:rsid w:val="004545E0"/>
    <w:rsid w:val="004547FE"/>
    <w:rsid w:val="00454AA0"/>
    <w:rsid w:val="0045651B"/>
    <w:rsid w:val="004568B0"/>
    <w:rsid w:val="004570BF"/>
    <w:rsid w:val="00457323"/>
    <w:rsid w:val="00457C5D"/>
    <w:rsid w:val="004603A4"/>
    <w:rsid w:val="0046046E"/>
    <w:rsid w:val="0046091F"/>
    <w:rsid w:val="00460E09"/>
    <w:rsid w:val="00461755"/>
    <w:rsid w:val="0046247B"/>
    <w:rsid w:val="004627BB"/>
    <w:rsid w:val="00462891"/>
    <w:rsid w:val="00462AA7"/>
    <w:rsid w:val="004631DB"/>
    <w:rsid w:val="00463396"/>
    <w:rsid w:val="0046375D"/>
    <w:rsid w:val="0046388A"/>
    <w:rsid w:val="00463BA8"/>
    <w:rsid w:val="00464E00"/>
    <w:rsid w:val="00465471"/>
    <w:rsid w:val="00465654"/>
    <w:rsid w:val="00465A18"/>
    <w:rsid w:val="00465B90"/>
    <w:rsid w:val="00466666"/>
    <w:rsid w:val="00466D78"/>
    <w:rsid w:val="00467564"/>
    <w:rsid w:val="00467D7C"/>
    <w:rsid w:val="00467FF9"/>
    <w:rsid w:val="00470404"/>
    <w:rsid w:val="004706FF"/>
    <w:rsid w:val="004707F2"/>
    <w:rsid w:val="004709A5"/>
    <w:rsid w:val="00470E95"/>
    <w:rsid w:val="00470F16"/>
    <w:rsid w:val="004713C4"/>
    <w:rsid w:val="004716CF"/>
    <w:rsid w:val="00471CA5"/>
    <w:rsid w:val="00471F19"/>
    <w:rsid w:val="00471FDE"/>
    <w:rsid w:val="00472947"/>
    <w:rsid w:val="00472D83"/>
    <w:rsid w:val="0047318A"/>
    <w:rsid w:val="00473601"/>
    <w:rsid w:val="0047397A"/>
    <w:rsid w:val="00473BCF"/>
    <w:rsid w:val="00473CD0"/>
    <w:rsid w:val="004740FF"/>
    <w:rsid w:val="004743DC"/>
    <w:rsid w:val="00474549"/>
    <w:rsid w:val="0047471C"/>
    <w:rsid w:val="00474CB9"/>
    <w:rsid w:val="00474CE3"/>
    <w:rsid w:val="00474EC1"/>
    <w:rsid w:val="00474F3A"/>
    <w:rsid w:val="00475307"/>
    <w:rsid w:val="0047570D"/>
    <w:rsid w:val="004759D4"/>
    <w:rsid w:val="00476105"/>
    <w:rsid w:val="00476A37"/>
    <w:rsid w:val="00476CA7"/>
    <w:rsid w:val="00476D24"/>
    <w:rsid w:val="00477375"/>
    <w:rsid w:val="00477728"/>
    <w:rsid w:val="0047774E"/>
    <w:rsid w:val="0047776E"/>
    <w:rsid w:val="0047780C"/>
    <w:rsid w:val="00477E95"/>
    <w:rsid w:val="00477FEE"/>
    <w:rsid w:val="004803D2"/>
    <w:rsid w:val="004817D7"/>
    <w:rsid w:val="00482ACC"/>
    <w:rsid w:val="00482AD1"/>
    <w:rsid w:val="00482C84"/>
    <w:rsid w:val="00483575"/>
    <w:rsid w:val="0048361B"/>
    <w:rsid w:val="00483B27"/>
    <w:rsid w:val="00483F4F"/>
    <w:rsid w:val="00484C09"/>
    <w:rsid w:val="00484FE8"/>
    <w:rsid w:val="004855F6"/>
    <w:rsid w:val="00485BD6"/>
    <w:rsid w:val="00485BF3"/>
    <w:rsid w:val="00485D01"/>
    <w:rsid w:val="00486C61"/>
    <w:rsid w:val="00487533"/>
    <w:rsid w:val="004901FB"/>
    <w:rsid w:val="00490569"/>
    <w:rsid w:val="00490F0B"/>
    <w:rsid w:val="004910FA"/>
    <w:rsid w:val="00491215"/>
    <w:rsid w:val="00491B29"/>
    <w:rsid w:val="00491B39"/>
    <w:rsid w:val="00491BDF"/>
    <w:rsid w:val="0049209D"/>
    <w:rsid w:val="004924CF"/>
    <w:rsid w:val="00492755"/>
    <w:rsid w:val="0049280A"/>
    <w:rsid w:val="00492C70"/>
    <w:rsid w:val="00494871"/>
    <w:rsid w:val="00495749"/>
    <w:rsid w:val="00495A84"/>
    <w:rsid w:val="00495B47"/>
    <w:rsid w:val="00495FBC"/>
    <w:rsid w:val="0049661C"/>
    <w:rsid w:val="004966F2"/>
    <w:rsid w:val="004968BB"/>
    <w:rsid w:val="00496C34"/>
    <w:rsid w:val="00496F68"/>
    <w:rsid w:val="004978BB"/>
    <w:rsid w:val="004A05CD"/>
    <w:rsid w:val="004A06BB"/>
    <w:rsid w:val="004A17BC"/>
    <w:rsid w:val="004A1808"/>
    <w:rsid w:val="004A18FC"/>
    <w:rsid w:val="004A1E74"/>
    <w:rsid w:val="004A1F41"/>
    <w:rsid w:val="004A1F71"/>
    <w:rsid w:val="004A21A0"/>
    <w:rsid w:val="004A2348"/>
    <w:rsid w:val="004A2DB5"/>
    <w:rsid w:val="004A3394"/>
    <w:rsid w:val="004A3508"/>
    <w:rsid w:val="004A38A6"/>
    <w:rsid w:val="004A3EE6"/>
    <w:rsid w:val="004A453A"/>
    <w:rsid w:val="004A49F1"/>
    <w:rsid w:val="004A4E45"/>
    <w:rsid w:val="004A533E"/>
    <w:rsid w:val="004A555F"/>
    <w:rsid w:val="004A6C30"/>
    <w:rsid w:val="004A6FD7"/>
    <w:rsid w:val="004A7190"/>
    <w:rsid w:val="004A7AF1"/>
    <w:rsid w:val="004A7B3D"/>
    <w:rsid w:val="004A7E2B"/>
    <w:rsid w:val="004B0573"/>
    <w:rsid w:val="004B06D6"/>
    <w:rsid w:val="004B116C"/>
    <w:rsid w:val="004B122F"/>
    <w:rsid w:val="004B12A8"/>
    <w:rsid w:val="004B1941"/>
    <w:rsid w:val="004B1A9A"/>
    <w:rsid w:val="004B1D12"/>
    <w:rsid w:val="004B1E88"/>
    <w:rsid w:val="004B2144"/>
    <w:rsid w:val="004B243D"/>
    <w:rsid w:val="004B2809"/>
    <w:rsid w:val="004B30E9"/>
    <w:rsid w:val="004B310A"/>
    <w:rsid w:val="004B33D8"/>
    <w:rsid w:val="004B3730"/>
    <w:rsid w:val="004B5223"/>
    <w:rsid w:val="004B52CB"/>
    <w:rsid w:val="004B56B4"/>
    <w:rsid w:val="004B5ADF"/>
    <w:rsid w:val="004B67CE"/>
    <w:rsid w:val="004B6DC5"/>
    <w:rsid w:val="004B7377"/>
    <w:rsid w:val="004B74ED"/>
    <w:rsid w:val="004B794E"/>
    <w:rsid w:val="004B7B88"/>
    <w:rsid w:val="004C0393"/>
    <w:rsid w:val="004C08D2"/>
    <w:rsid w:val="004C131A"/>
    <w:rsid w:val="004C22E9"/>
    <w:rsid w:val="004C232D"/>
    <w:rsid w:val="004C32F6"/>
    <w:rsid w:val="004C359D"/>
    <w:rsid w:val="004C364A"/>
    <w:rsid w:val="004C4387"/>
    <w:rsid w:val="004C497E"/>
    <w:rsid w:val="004C4A62"/>
    <w:rsid w:val="004C4ABA"/>
    <w:rsid w:val="004C5268"/>
    <w:rsid w:val="004C59EC"/>
    <w:rsid w:val="004C5BC1"/>
    <w:rsid w:val="004C5E9C"/>
    <w:rsid w:val="004C5FE1"/>
    <w:rsid w:val="004C6005"/>
    <w:rsid w:val="004C64F9"/>
    <w:rsid w:val="004C6AAD"/>
    <w:rsid w:val="004C6CBF"/>
    <w:rsid w:val="004C70C5"/>
    <w:rsid w:val="004C712B"/>
    <w:rsid w:val="004C7CF7"/>
    <w:rsid w:val="004C7F54"/>
    <w:rsid w:val="004D0759"/>
    <w:rsid w:val="004D0C61"/>
    <w:rsid w:val="004D1342"/>
    <w:rsid w:val="004D1363"/>
    <w:rsid w:val="004D13A5"/>
    <w:rsid w:val="004D1ABE"/>
    <w:rsid w:val="004D22B8"/>
    <w:rsid w:val="004D2618"/>
    <w:rsid w:val="004D2913"/>
    <w:rsid w:val="004D30D9"/>
    <w:rsid w:val="004D41BF"/>
    <w:rsid w:val="004D4478"/>
    <w:rsid w:val="004D44CC"/>
    <w:rsid w:val="004D477D"/>
    <w:rsid w:val="004D50B4"/>
    <w:rsid w:val="004D566C"/>
    <w:rsid w:val="004D5940"/>
    <w:rsid w:val="004D5D28"/>
    <w:rsid w:val="004D63BA"/>
    <w:rsid w:val="004D668B"/>
    <w:rsid w:val="004D6814"/>
    <w:rsid w:val="004D6C06"/>
    <w:rsid w:val="004D6D28"/>
    <w:rsid w:val="004D772F"/>
    <w:rsid w:val="004D7863"/>
    <w:rsid w:val="004E02E2"/>
    <w:rsid w:val="004E04AE"/>
    <w:rsid w:val="004E0AA0"/>
    <w:rsid w:val="004E0CBB"/>
    <w:rsid w:val="004E1347"/>
    <w:rsid w:val="004E1893"/>
    <w:rsid w:val="004E1B2F"/>
    <w:rsid w:val="004E1B6E"/>
    <w:rsid w:val="004E1CA6"/>
    <w:rsid w:val="004E22C3"/>
    <w:rsid w:val="004E2551"/>
    <w:rsid w:val="004E27EE"/>
    <w:rsid w:val="004E2F82"/>
    <w:rsid w:val="004E34DD"/>
    <w:rsid w:val="004E3C68"/>
    <w:rsid w:val="004E45C3"/>
    <w:rsid w:val="004E4616"/>
    <w:rsid w:val="004E498D"/>
    <w:rsid w:val="004E4F49"/>
    <w:rsid w:val="004E583D"/>
    <w:rsid w:val="004E685D"/>
    <w:rsid w:val="004E6B0C"/>
    <w:rsid w:val="004E6CF8"/>
    <w:rsid w:val="004E6D62"/>
    <w:rsid w:val="004E7103"/>
    <w:rsid w:val="004E7A63"/>
    <w:rsid w:val="004F0020"/>
    <w:rsid w:val="004F0116"/>
    <w:rsid w:val="004F0526"/>
    <w:rsid w:val="004F07EC"/>
    <w:rsid w:val="004F0916"/>
    <w:rsid w:val="004F0D08"/>
    <w:rsid w:val="004F11F5"/>
    <w:rsid w:val="004F132D"/>
    <w:rsid w:val="004F1963"/>
    <w:rsid w:val="004F1BB5"/>
    <w:rsid w:val="004F1DE8"/>
    <w:rsid w:val="004F2008"/>
    <w:rsid w:val="004F29E1"/>
    <w:rsid w:val="004F2F98"/>
    <w:rsid w:val="004F306C"/>
    <w:rsid w:val="004F311A"/>
    <w:rsid w:val="004F38C5"/>
    <w:rsid w:val="004F3CC7"/>
    <w:rsid w:val="004F3D46"/>
    <w:rsid w:val="004F405B"/>
    <w:rsid w:val="004F57AE"/>
    <w:rsid w:val="004F5CB0"/>
    <w:rsid w:val="004F6333"/>
    <w:rsid w:val="004F63FA"/>
    <w:rsid w:val="004F64F2"/>
    <w:rsid w:val="004F69E1"/>
    <w:rsid w:val="004F6A24"/>
    <w:rsid w:val="004F713E"/>
    <w:rsid w:val="004F755E"/>
    <w:rsid w:val="004F78E8"/>
    <w:rsid w:val="004F7939"/>
    <w:rsid w:val="004F7B13"/>
    <w:rsid w:val="005000ED"/>
    <w:rsid w:val="00500244"/>
    <w:rsid w:val="00500552"/>
    <w:rsid w:val="005006B3"/>
    <w:rsid w:val="005011CB"/>
    <w:rsid w:val="00501479"/>
    <w:rsid w:val="00501673"/>
    <w:rsid w:val="00501771"/>
    <w:rsid w:val="005017A4"/>
    <w:rsid w:val="00502537"/>
    <w:rsid w:val="00502D27"/>
    <w:rsid w:val="00502D9A"/>
    <w:rsid w:val="00503241"/>
    <w:rsid w:val="005038E9"/>
    <w:rsid w:val="00503B32"/>
    <w:rsid w:val="0050492F"/>
    <w:rsid w:val="00504DE7"/>
    <w:rsid w:val="00504DFC"/>
    <w:rsid w:val="00505303"/>
    <w:rsid w:val="005058E5"/>
    <w:rsid w:val="00506033"/>
    <w:rsid w:val="005063D4"/>
    <w:rsid w:val="00506D6C"/>
    <w:rsid w:val="00506E80"/>
    <w:rsid w:val="005070AA"/>
    <w:rsid w:val="005075F1"/>
    <w:rsid w:val="005076AD"/>
    <w:rsid w:val="00507F7F"/>
    <w:rsid w:val="00510339"/>
    <w:rsid w:val="005103FF"/>
    <w:rsid w:val="00510895"/>
    <w:rsid w:val="00510F7D"/>
    <w:rsid w:val="0051134B"/>
    <w:rsid w:val="00511441"/>
    <w:rsid w:val="0051168C"/>
    <w:rsid w:val="00511E33"/>
    <w:rsid w:val="00511EC4"/>
    <w:rsid w:val="00511FA5"/>
    <w:rsid w:val="0051208F"/>
    <w:rsid w:val="005124E4"/>
    <w:rsid w:val="0051317F"/>
    <w:rsid w:val="0051343F"/>
    <w:rsid w:val="005135E2"/>
    <w:rsid w:val="005137E4"/>
    <w:rsid w:val="00513963"/>
    <w:rsid w:val="00513ACB"/>
    <w:rsid w:val="00514221"/>
    <w:rsid w:val="005146D6"/>
    <w:rsid w:val="0051508F"/>
    <w:rsid w:val="00515C5A"/>
    <w:rsid w:val="005160FD"/>
    <w:rsid w:val="005164AA"/>
    <w:rsid w:val="005164E9"/>
    <w:rsid w:val="00517D5F"/>
    <w:rsid w:val="00520516"/>
    <w:rsid w:val="00520CE9"/>
    <w:rsid w:val="00521091"/>
    <w:rsid w:val="005213E5"/>
    <w:rsid w:val="00521707"/>
    <w:rsid w:val="00522378"/>
    <w:rsid w:val="005223C6"/>
    <w:rsid w:val="005228ED"/>
    <w:rsid w:val="00522D9C"/>
    <w:rsid w:val="00522E2D"/>
    <w:rsid w:val="005235AA"/>
    <w:rsid w:val="00524F9F"/>
    <w:rsid w:val="005251C5"/>
    <w:rsid w:val="00525438"/>
    <w:rsid w:val="00525E34"/>
    <w:rsid w:val="005268AD"/>
    <w:rsid w:val="00526D94"/>
    <w:rsid w:val="00527445"/>
    <w:rsid w:val="00527D98"/>
    <w:rsid w:val="00530B93"/>
    <w:rsid w:val="00530BFA"/>
    <w:rsid w:val="00531699"/>
    <w:rsid w:val="00531807"/>
    <w:rsid w:val="005326FE"/>
    <w:rsid w:val="0053271B"/>
    <w:rsid w:val="00532911"/>
    <w:rsid w:val="005329A3"/>
    <w:rsid w:val="00532B16"/>
    <w:rsid w:val="00534597"/>
    <w:rsid w:val="00534C7E"/>
    <w:rsid w:val="00534CC3"/>
    <w:rsid w:val="005350F3"/>
    <w:rsid w:val="00535933"/>
    <w:rsid w:val="00535A31"/>
    <w:rsid w:val="00535C62"/>
    <w:rsid w:val="005368CE"/>
    <w:rsid w:val="005373F9"/>
    <w:rsid w:val="005376BC"/>
    <w:rsid w:val="005377DF"/>
    <w:rsid w:val="005377FC"/>
    <w:rsid w:val="00537A08"/>
    <w:rsid w:val="0054003B"/>
    <w:rsid w:val="00540089"/>
    <w:rsid w:val="00540472"/>
    <w:rsid w:val="00540677"/>
    <w:rsid w:val="00541553"/>
    <w:rsid w:val="00541931"/>
    <w:rsid w:val="00541C52"/>
    <w:rsid w:val="0054259E"/>
    <w:rsid w:val="00542BB5"/>
    <w:rsid w:val="00542E6A"/>
    <w:rsid w:val="00543854"/>
    <w:rsid w:val="005439F8"/>
    <w:rsid w:val="00543A29"/>
    <w:rsid w:val="00543F92"/>
    <w:rsid w:val="005441DF"/>
    <w:rsid w:val="005442E6"/>
    <w:rsid w:val="00544993"/>
    <w:rsid w:val="00544B6D"/>
    <w:rsid w:val="00544D3F"/>
    <w:rsid w:val="00544EE2"/>
    <w:rsid w:val="00545AB6"/>
    <w:rsid w:val="005460D9"/>
    <w:rsid w:val="0054621A"/>
    <w:rsid w:val="005465C4"/>
    <w:rsid w:val="005466C0"/>
    <w:rsid w:val="0054686C"/>
    <w:rsid w:val="00546C9F"/>
    <w:rsid w:val="00546D35"/>
    <w:rsid w:val="0054735C"/>
    <w:rsid w:val="00547456"/>
    <w:rsid w:val="00547A4A"/>
    <w:rsid w:val="00547EF5"/>
    <w:rsid w:val="00550BD2"/>
    <w:rsid w:val="00551298"/>
    <w:rsid w:val="00551B85"/>
    <w:rsid w:val="00552161"/>
    <w:rsid w:val="005525C6"/>
    <w:rsid w:val="005529EE"/>
    <w:rsid w:val="005529FF"/>
    <w:rsid w:val="00552B68"/>
    <w:rsid w:val="00553504"/>
    <w:rsid w:val="00553698"/>
    <w:rsid w:val="005536E4"/>
    <w:rsid w:val="00553AA0"/>
    <w:rsid w:val="00553B49"/>
    <w:rsid w:val="00553FE1"/>
    <w:rsid w:val="005540B5"/>
    <w:rsid w:val="00554DEE"/>
    <w:rsid w:val="0055516F"/>
    <w:rsid w:val="0055536A"/>
    <w:rsid w:val="0055561A"/>
    <w:rsid w:val="005556F9"/>
    <w:rsid w:val="00555D4E"/>
    <w:rsid w:val="00556125"/>
    <w:rsid w:val="00557216"/>
    <w:rsid w:val="005574E5"/>
    <w:rsid w:val="00557547"/>
    <w:rsid w:val="005611CD"/>
    <w:rsid w:val="00561FE2"/>
    <w:rsid w:val="005621E3"/>
    <w:rsid w:val="005627EC"/>
    <w:rsid w:val="005633F2"/>
    <w:rsid w:val="005634AA"/>
    <w:rsid w:val="005638D0"/>
    <w:rsid w:val="00564429"/>
    <w:rsid w:val="00564A57"/>
    <w:rsid w:val="00564ADE"/>
    <w:rsid w:val="00564C85"/>
    <w:rsid w:val="00564D02"/>
    <w:rsid w:val="005655B5"/>
    <w:rsid w:val="005655F4"/>
    <w:rsid w:val="0056579D"/>
    <w:rsid w:val="00565900"/>
    <w:rsid w:val="00565A1E"/>
    <w:rsid w:val="00565A30"/>
    <w:rsid w:val="00565D7B"/>
    <w:rsid w:val="00565E2E"/>
    <w:rsid w:val="00565F9F"/>
    <w:rsid w:val="0056608B"/>
    <w:rsid w:val="005666DB"/>
    <w:rsid w:val="0056683F"/>
    <w:rsid w:val="00566BA9"/>
    <w:rsid w:val="00566DD0"/>
    <w:rsid w:val="00566DD2"/>
    <w:rsid w:val="005671F6"/>
    <w:rsid w:val="0056751C"/>
    <w:rsid w:val="00567C61"/>
    <w:rsid w:val="0057023D"/>
    <w:rsid w:val="005707EB"/>
    <w:rsid w:val="00570822"/>
    <w:rsid w:val="00570BA1"/>
    <w:rsid w:val="00570DBD"/>
    <w:rsid w:val="0057151F"/>
    <w:rsid w:val="005715B5"/>
    <w:rsid w:val="005715FD"/>
    <w:rsid w:val="00571840"/>
    <w:rsid w:val="0057185D"/>
    <w:rsid w:val="005718BC"/>
    <w:rsid w:val="00571977"/>
    <w:rsid w:val="0057268E"/>
    <w:rsid w:val="00572CB3"/>
    <w:rsid w:val="0057315D"/>
    <w:rsid w:val="00573EEF"/>
    <w:rsid w:val="00574313"/>
    <w:rsid w:val="00575ED6"/>
    <w:rsid w:val="00575FD5"/>
    <w:rsid w:val="00576744"/>
    <w:rsid w:val="00576DE2"/>
    <w:rsid w:val="00576E56"/>
    <w:rsid w:val="00577012"/>
    <w:rsid w:val="00577282"/>
    <w:rsid w:val="0057740E"/>
    <w:rsid w:val="00577749"/>
    <w:rsid w:val="00577B3B"/>
    <w:rsid w:val="00577E21"/>
    <w:rsid w:val="00577FFE"/>
    <w:rsid w:val="00580B37"/>
    <w:rsid w:val="00580BC5"/>
    <w:rsid w:val="00580F54"/>
    <w:rsid w:val="00581B77"/>
    <w:rsid w:val="00581D26"/>
    <w:rsid w:val="00581D5B"/>
    <w:rsid w:val="00581F07"/>
    <w:rsid w:val="0058229A"/>
    <w:rsid w:val="005822DA"/>
    <w:rsid w:val="00582411"/>
    <w:rsid w:val="0058294C"/>
    <w:rsid w:val="00583902"/>
    <w:rsid w:val="0058396F"/>
    <w:rsid w:val="00583C28"/>
    <w:rsid w:val="00583DBB"/>
    <w:rsid w:val="00584109"/>
    <w:rsid w:val="005842CE"/>
    <w:rsid w:val="0058453E"/>
    <w:rsid w:val="00584C21"/>
    <w:rsid w:val="0058563C"/>
    <w:rsid w:val="00585B0D"/>
    <w:rsid w:val="0058662C"/>
    <w:rsid w:val="00586F0B"/>
    <w:rsid w:val="00587093"/>
    <w:rsid w:val="005874A8"/>
    <w:rsid w:val="00587837"/>
    <w:rsid w:val="00587A42"/>
    <w:rsid w:val="00587A9B"/>
    <w:rsid w:val="00587AED"/>
    <w:rsid w:val="005902FB"/>
    <w:rsid w:val="00590D5A"/>
    <w:rsid w:val="00591011"/>
    <w:rsid w:val="005915FA"/>
    <w:rsid w:val="00591DD3"/>
    <w:rsid w:val="00592A67"/>
    <w:rsid w:val="00592CB3"/>
    <w:rsid w:val="00592DFA"/>
    <w:rsid w:val="00593B52"/>
    <w:rsid w:val="00593E86"/>
    <w:rsid w:val="00594767"/>
    <w:rsid w:val="00594837"/>
    <w:rsid w:val="00595862"/>
    <w:rsid w:val="00595AD2"/>
    <w:rsid w:val="00595F7B"/>
    <w:rsid w:val="0059662D"/>
    <w:rsid w:val="00596D0A"/>
    <w:rsid w:val="00596DC2"/>
    <w:rsid w:val="005973C1"/>
    <w:rsid w:val="0059774F"/>
    <w:rsid w:val="00597CDD"/>
    <w:rsid w:val="005A06A5"/>
    <w:rsid w:val="005A0ADD"/>
    <w:rsid w:val="005A0D6D"/>
    <w:rsid w:val="005A117F"/>
    <w:rsid w:val="005A17F4"/>
    <w:rsid w:val="005A1950"/>
    <w:rsid w:val="005A1AD1"/>
    <w:rsid w:val="005A24D7"/>
    <w:rsid w:val="005A2E94"/>
    <w:rsid w:val="005A2EBC"/>
    <w:rsid w:val="005A35E3"/>
    <w:rsid w:val="005A3BDC"/>
    <w:rsid w:val="005A3C70"/>
    <w:rsid w:val="005A4826"/>
    <w:rsid w:val="005A4B2B"/>
    <w:rsid w:val="005A4E9D"/>
    <w:rsid w:val="005A5254"/>
    <w:rsid w:val="005A5345"/>
    <w:rsid w:val="005A5810"/>
    <w:rsid w:val="005A59BA"/>
    <w:rsid w:val="005A5F8D"/>
    <w:rsid w:val="005A6231"/>
    <w:rsid w:val="005A6630"/>
    <w:rsid w:val="005A67F9"/>
    <w:rsid w:val="005A69B2"/>
    <w:rsid w:val="005A7F88"/>
    <w:rsid w:val="005B1AA7"/>
    <w:rsid w:val="005B1D9E"/>
    <w:rsid w:val="005B2ACA"/>
    <w:rsid w:val="005B2C07"/>
    <w:rsid w:val="005B2DB2"/>
    <w:rsid w:val="005B2F90"/>
    <w:rsid w:val="005B32BC"/>
    <w:rsid w:val="005B33EC"/>
    <w:rsid w:val="005B354F"/>
    <w:rsid w:val="005B375C"/>
    <w:rsid w:val="005B377B"/>
    <w:rsid w:val="005B3BDD"/>
    <w:rsid w:val="005B3F76"/>
    <w:rsid w:val="005B44E3"/>
    <w:rsid w:val="005B44E7"/>
    <w:rsid w:val="005B4AB5"/>
    <w:rsid w:val="005B4F1A"/>
    <w:rsid w:val="005B51BC"/>
    <w:rsid w:val="005B5B30"/>
    <w:rsid w:val="005B5F13"/>
    <w:rsid w:val="005B636D"/>
    <w:rsid w:val="005B6E9D"/>
    <w:rsid w:val="005B7230"/>
    <w:rsid w:val="005B7B66"/>
    <w:rsid w:val="005B7F3C"/>
    <w:rsid w:val="005C1352"/>
    <w:rsid w:val="005C1538"/>
    <w:rsid w:val="005C18BB"/>
    <w:rsid w:val="005C2BD3"/>
    <w:rsid w:val="005C3C1E"/>
    <w:rsid w:val="005C4BA8"/>
    <w:rsid w:val="005C514B"/>
    <w:rsid w:val="005C51D7"/>
    <w:rsid w:val="005C5E52"/>
    <w:rsid w:val="005C5F5F"/>
    <w:rsid w:val="005C61A4"/>
    <w:rsid w:val="005C62E1"/>
    <w:rsid w:val="005C6814"/>
    <w:rsid w:val="005C6B09"/>
    <w:rsid w:val="005C6C18"/>
    <w:rsid w:val="005C7131"/>
    <w:rsid w:val="005C7EBD"/>
    <w:rsid w:val="005D00BE"/>
    <w:rsid w:val="005D086D"/>
    <w:rsid w:val="005D0B01"/>
    <w:rsid w:val="005D0EB0"/>
    <w:rsid w:val="005D10BE"/>
    <w:rsid w:val="005D155F"/>
    <w:rsid w:val="005D160C"/>
    <w:rsid w:val="005D1F3B"/>
    <w:rsid w:val="005D30BA"/>
    <w:rsid w:val="005D3197"/>
    <w:rsid w:val="005D3A12"/>
    <w:rsid w:val="005D4082"/>
    <w:rsid w:val="005D44C0"/>
    <w:rsid w:val="005D478C"/>
    <w:rsid w:val="005D5DCB"/>
    <w:rsid w:val="005D6554"/>
    <w:rsid w:val="005D65C2"/>
    <w:rsid w:val="005D70EC"/>
    <w:rsid w:val="005D7568"/>
    <w:rsid w:val="005D7719"/>
    <w:rsid w:val="005D7ED9"/>
    <w:rsid w:val="005D7FDC"/>
    <w:rsid w:val="005E0ABD"/>
    <w:rsid w:val="005E1131"/>
    <w:rsid w:val="005E1B78"/>
    <w:rsid w:val="005E1D88"/>
    <w:rsid w:val="005E20F9"/>
    <w:rsid w:val="005E23FC"/>
    <w:rsid w:val="005E2B38"/>
    <w:rsid w:val="005E315B"/>
    <w:rsid w:val="005E31F0"/>
    <w:rsid w:val="005E335D"/>
    <w:rsid w:val="005E355B"/>
    <w:rsid w:val="005E3811"/>
    <w:rsid w:val="005E4396"/>
    <w:rsid w:val="005E4544"/>
    <w:rsid w:val="005E45CC"/>
    <w:rsid w:val="005E4A97"/>
    <w:rsid w:val="005E51AE"/>
    <w:rsid w:val="005E5580"/>
    <w:rsid w:val="005E5CB1"/>
    <w:rsid w:val="005E5CBA"/>
    <w:rsid w:val="005E70FD"/>
    <w:rsid w:val="005E771B"/>
    <w:rsid w:val="005E7BE3"/>
    <w:rsid w:val="005F0576"/>
    <w:rsid w:val="005F05C5"/>
    <w:rsid w:val="005F0A33"/>
    <w:rsid w:val="005F0DAA"/>
    <w:rsid w:val="005F1732"/>
    <w:rsid w:val="005F2E97"/>
    <w:rsid w:val="005F2FD6"/>
    <w:rsid w:val="005F34B9"/>
    <w:rsid w:val="005F34FB"/>
    <w:rsid w:val="005F3720"/>
    <w:rsid w:val="005F37A1"/>
    <w:rsid w:val="005F3805"/>
    <w:rsid w:val="005F3962"/>
    <w:rsid w:val="005F3C1A"/>
    <w:rsid w:val="005F3F3F"/>
    <w:rsid w:val="005F4CE9"/>
    <w:rsid w:val="005F4FC8"/>
    <w:rsid w:val="005F5841"/>
    <w:rsid w:val="005F6910"/>
    <w:rsid w:val="005F6965"/>
    <w:rsid w:val="005F6E13"/>
    <w:rsid w:val="005F6EB8"/>
    <w:rsid w:val="005F6EE2"/>
    <w:rsid w:val="006008D9"/>
    <w:rsid w:val="00600D1C"/>
    <w:rsid w:val="006016A4"/>
    <w:rsid w:val="0060187D"/>
    <w:rsid w:val="0060189A"/>
    <w:rsid w:val="00601973"/>
    <w:rsid w:val="00601B5A"/>
    <w:rsid w:val="00601DF1"/>
    <w:rsid w:val="00602033"/>
    <w:rsid w:val="006022A6"/>
    <w:rsid w:val="0060232C"/>
    <w:rsid w:val="00602C49"/>
    <w:rsid w:val="00603349"/>
    <w:rsid w:val="0060370C"/>
    <w:rsid w:val="00603EF0"/>
    <w:rsid w:val="00603F3E"/>
    <w:rsid w:val="00604490"/>
    <w:rsid w:val="00604528"/>
    <w:rsid w:val="00604D15"/>
    <w:rsid w:val="006050AB"/>
    <w:rsid w:val="0060524A"/>
    <w:rsid w:val="006052B5"/>
    <w:rsid w:val="006059D2"/>
    <w:rsid w:val="006067A9"/>
    <w:rsid w:val="00606BEB"/>
    <w:rsid w:val="00606C55"/>
    <w:rsid w:val="00606CB9"/>
    <w:rsid w:val="00606FD4"/>
    <w:rsid w:val="0060705C"/>
    <w:rsid w:val="006071A0"/>
    <w:rsid w:val="0060734E"/>
    <w:rsid w:val="00607657"/>
    <w:rsid w:val="00610D41"/>
    <w:rsid w:val="0061127F"/>
    <w:rsid w:val="006113CC"/>
    <w:rsid w:val="00611A07"/>
    <w:rsid w:val="006121A8"/>
    <w:rsid w:val="006122DF"/>
    <w:rsid w:val="00612360"/>
    <w:rsid w:val="0061299F"/>
    <w:rsid w:val="00612C83"/>
    <w:rsid w:val="006135F5"/>
    <w:rsid w:val="00613719"/>
    <w:rsid w:val="00613F82"/>
    <w:rsid w:val="0061402E"/>
    <w:rsid w:val="006140B7"/>
    <w:rsid w:val="006145DE"/>
    <w:rsid w:val="00615060"/>
    <w:rsid w:val="00615A9E"/>
    <w:rsid w:val="00615CD5"/>
    <w:rsid w:val="00616128"/>
    <w:rsid w:val="006163CD"/>
    <w:rsid w:val="00616969"/>
    <w:rsid w:val="00616F27"/>
    <w:rsid w:val="0061738E"/>
    <w:rsid w:val="00617413"/>
    <w:rsid w:val="0062045F"/>
    <w:rsid w:val="00620E7E"/>
    <w:rsid w:val="00621626"/>
    <w:rsid w:val="006222C2"/>
    <w:rsid w:val="0062271C"/>
    <w:rsid w:val="00622E55"/>
    <w:rsid w:val="00622F02"/>
    <w:rsid w:val="00622F3A"/>
    <w:rsid w:val="006230ED"/>
    <w:rsid w:val="006239F6"/>
    <w:rsid w:val="00623AF3"/>
    <w:rsid w:val="00623F17"/>
    <w:rsid w:val="00624273"/>
    <w:rsid w:val="0062464E"/>
    <w:rsid w:val="00624BCE"/>
    <w:rsid w:val="00624FF0"/>
    <w:rsid w:val="006250B6"/>
    <w:rsid w:val="0062516F"/>
    <w:rsid w:val="00625CFE"/>
    <w:rsid w:val="00625DCE"/>
    <w:rsid w:val="006261E4"/>
    <w:rsid w:val="0062628C"/>
    <w:rsid w:val="006262DA"/>
    <w:rsid w:val="0062699C"/>
    <w:rsid w:val="00627041"/>
    <w:rsid w:val="00627C76"/>
    <w:rsid w:val="0063020A"/>
    <w:rsid w:val="0063050F"/>
    <w:rsid w:val="0063059B"/>
    <w:rsid w:val="00630782"/>
    <w:rsid w:val="00630D51"/>
    <w:rsid w:val="00630D8F"/>
    <w:rsid w:val="00630EBF"/>
    <w:rsid w:val="00630F08"/>
    <w:rsid w:val="00631253"/>
    <w:rsid w:val="00631860"/>
    <w:rsid w:val="0063192C"/>
    <w:rsid w:val="00631A17"/>
    <w:rsid w:val="0063279A"/>
    <w:rsid w:val="00632ECA"/>
    <w:rsid w:val="0063323D"/>
    <w:rsid w:val="00633F3D"/>
    <w:rsid w:val="0063487C"/>
    <w:rsid w:val="0063512F"/>
    <w:rsid w:val="00635222"/>
    <w:rsid w:val="00635540"/>
    <w:rsid w:val="00635CA9"/>
    <w:rsid w:val="006362E8"/>
    <w:rsid w:val="006365C1"/>
    <w:rsid w:val="00636618"/>
    <w:rsid w:val="0063712C"/>
    <w:rsid w:val="006375B9"/>
    <w:rsid w:val="00637B04"/>
    <w:rsid w:val="00640364"/>
    <w:rsid w:val="006416D0"/>
    <w:rsid w:val="00642E2C"/>
    <w:rsid w:val="00642FDD"/>
    <w:rsid w:val="006438BB"/>
    <w:rsid w:val="006439FF"/>
    <w:rsid w:val="00643A07"/>
    <w:rsid w:val="00644885"/>
    <w:rsid w:val="0064507C"/>
    <w:rsid w:val="00645180"/>
    <w:rsid w:val="00645569"/>
    <w:rsid w:val="00645616"/>
    <w:rsid w:val="0064568E"/>
    <w:rsid w:val="006456A8"/>
    <w:rsid w:val="00645AF1"/>
    <w:rsid w:val="00645D78"/>
    <w:rsid w:val="00646AB8"/>
    <w:rsid w:val="00646E3F"/>
    <w:rsid w:val="006470D2"/>
    <w:rsid w:val="006472D3"/>
    <w:rsid w:val="006472E0"/>
    <w:rsid w:val="0064767D"/>
    <w:rsid w:val="0064772E"/>
    <w:rsid w:val="006501B9"/>
    <w:rsid w:val="00650A21"/>
    <w:rsid w:val="0065110A"/>
    <w:rsid w:val="00651A8E"/>
    <w:rsid w:val="00651C7F"/>
    <w:rsid w:val="00651FA5"/>
    <w:rsid w:val="00652258"/>
    <w:rsid w:val="006523D7"/>
    <w:rsid w:val="006526BB"/>
    <w:rsid w:val="00652BDC"/>
    <w:rsid w:val="006530B0"/>
    <w:rsid w:val="006531F6"/>
    <w:rsid w:val="0065422F"/>
    <w:rsid w:val="006543FB"/>
    <w:rsid w:val="006545A9"/>
    <w:rsid w:val="00654624"/>
    <w:rsid w:val="00654A5C"/>
    <w:rsid w:val="00654E91"/>
    <w:rsid w:val="00654FB5"/>
    <w:rsid w:val="006554FE"/>
    <w:rsid w:val="00655808"/>
    <w:rsid w:val="00655A49"/>
    <w:rsid w:val="00655DAF"/>
    <w:rsid w:val="00655F6B"/>
    <w:rsid w:val="006560D6"/>
    <w:rsid w:val="0065631E"/>
    <w:rsid w:val="0065665E"/>
    <w:rsid w:val="00656D0A"/>
    <w:rsid w:val="00657341"/>
    <w:rsid w:val="00657DB0"/>
    <w:rsid w:val="00657F57"/>
    <w:rsid w:val="00660E0E"/>
    <w:rsid w:val="00660F91"/>
    <w:rsid w:val="00660FB6"/>
    <w:rsid w:val="006613C1"/>
    <w:rsid w:val="00661A0E"/>
    <w:rsid w:val="00661D14"/>
    <w:rsid w:val="0066321A"/>
    <w:rsid w:val="0066365D"/>
    <w:rsid w:val="00665168"/>
    <w:rsid w:val="00665997"/>
    <w:rsid w:val="00666EA1"/>
    <w:rsid w:val="006671E7"/>
    <w:rsid w:val="00667451"/>
    <w:rsid w:val="006674F6"/>
    <w:rsid w:val="006675F8"/>
    <w:rsid w:val="00670296"/>
    <w:rsid w:val="0067037F"/>
    <w:rsid w:val="0067170A"/>
    <w:rsid w:val="00672034"/>
    <w:rsid w:val="006723EC"/>
    <w:rsid w:val="0067329F"/>
    <w:rsid w:val="00673B3C"/>
    <w:rsid w:val="00673DE4"/>
    <w:rsid w:val="006741B4"/>
    <w:rsid w:val="006741D8"/>
    <w:rsid w:val="006744B9"/>
    <w:rsid w:val="00674522"/>
    <w:rsid w:val="00674B00"/>
    <w:rsid w:val="00674BEC"/>
    <w:rsid w:val="00675F02"/>
    <w:rsid w:val="00676267"/>
    <w:rsid w:val="006774BE"/>
    <w:rsid w:val="00677597"/>
    <w:rsid w:val="00677642"/>
    <w:rsid w:val="0067776E"/>
    <w:rsid w:val="00677CF1"/>
    <w:rsid w:val="00677E4E"/>
    <w:rsid w:val="0068033D"/>
    <w:rsid w:val="0068065E"/>
    <w:rsid w:val="00680C30"/>
    <w:rsid w:val="00680C71"/>
    <w:rsid w:val="006810B1"/>
    <w:rsid w:val="00681559"/>
    <w:rsid w:val="00681BD0"/>
    <w:rsid w:val="00682425"/>
    <w:rsid w:val="00682A95"/>
    <w:rsid w:val="00682C1B"/>
    <w:rsid w:val="00682D80"/>
    <w:rsid w:val="00682F6A"/>
    <w:rsid w:val="00682F8C"/>
    <w:rsid w:val="00683213"/>
    <w:rsid w:val="0068347F"/>
    <w:rsid w:val="006834DF"/>
    <w:rsid w:val="0068374E"/>
    <w:rsid w:val="00683B0E"/>
    <w:rsid w:val="006842BD"/>
    <w:rsid w:val="0068440F"/>
    <w:rsid w:val="006845E2"/>
    <w:rsid w:val="00685C2D"/>
    <w:rsid w:val="00686298"/>
    <w:rsid w:val="0068675E"/>
    <w:rsid w:val="00686E7D"/>
    <w:rsid w:val="00686FED"/>
    <w:rsid w:val="006871A8"/>
    <w:rsid w:val="00687B0F"/>
    <w:rsid w:val="006904CE"/>
    <w:rsid w:val="006907D1"/>
    <w:rsid w:val="006909D5"/>
    <w:rsid w:val="00690CC6"/>
    <w:rsid w:val="0069132F"/>
    <w:rsid w:val="0069148E"/>
    <w:rsid w:val="006917E7"/>
    <w:rsid w:val="00691BC8"/>
    <w:rsid w:val="00691FB2"/>
    <w:rsid w:val="006923CC"/>
    <w:rsid w:val="006931D0"/>
    <w:rsid w:val="00693374"/>
    <w:rsid w:val="006939E7"/>
    <w:rsid w:val="00693AD7"/>
    <w:rsid w:val="00695437"/>
    <w:rsid w:val="0069562C"/>
    <w:rsid w:val="00695938"/>
    <w:rsid w:val="00695B5A"/>
    <w:rsid w:val="00695D17"/>
    <w:rsid w:val="00695FC7"/>
    <w:rsid w:val="0069695A"/>
    <w:rsid w:val="00697835"/>
    <w:rsid w:val="00697FA3"/>
    <w:rsid w:val="006A0229"/>
    <w:rsid w:val="006A03B7"/>
    <w:rsid w:val="006A072A"/>
    <w:rsid w:val="006A09CB"/>
    <w:rsid w:val="006A0F00"/>
    <w:rsid w:val="006A0FCA"/>
    <w:rsid w:val="006A162B"/>
    <w:rsid w:val="006A181A"/>
    <w:rsid w:val="006A25FE"/>
    <w:rsid w:val="006A2E5F"/>
    <w:rsid w:val="006A3538"/>
    <w:rsid w:val="006A3A60"/>
    <w:rsid w:val="006A3B3C"/>
    <w:rsid w:val="006A3BED"/>
    <w:rsid w:val="006A4CD1"/>
    <w:rsid w:val="006A4F90"/>
    <w:rsid w:val="006A58DE"/>
    <w:rsid w:val="006A5914"/>
    <w:rsid w:val="006A5CEB"/>
    <w:rsid w:val="006A61A6"/>
    <w:rsid w:val="006A684E"/>
    <w:rsid w:val="006A7297"/>
    <w:rsid w:val="006B0394"/>
    <w:rsid w:val="006B053B"/>
    <w:rsid w:val="006B06D2"/>
    <w:rsid w:val="006B0956"/>
    <w:rsid w:val="006B0A3C"/>
    <w:rsid w:val="006B0A43"/>
    <w:rsid w:val="006B0B01"/>
    <w:rsid w:val="006B0B09"/>
    <w:rsid w:val="006B1396"/>
    <w:rsid w:val="006B139F"/>
    <w:rsid w:val="006B18FC"/>
    <w:rsid w:val="006B1B97"/>
    <w:rsid w:val="006B204A"/>
    <w:rsid w:val="006B2E6D"/>
    <w:rsid w:val="006B30CC"/>
    <w:rsid w:val="006B46AF"/>
    <w:rsid w:val="006B4923"/>
    <w:rsid w:val="006B4E0C"/>
    <w:rsid w:val="006B4F3F"/>
    <w:rsid w:val="006B55D5"/>
    <w:rsid w:val="006B56D7"/>
    <w:rsid w:val="006B58AC"/>
    <w:rsid w:val="006B5B75"/>
    <w:rsid w:val="006B60ED"/>
    <w:rsid w:val="006B6129"/>
    <w:rsid w:val="006B6739"/>
    <w:rsid w:val="006B6DFA"/>
    <w:rsid w:val="006B6E4F"/>
    <w:rsid w:val="006B7028"/>
    <w:rsid w:val="006B7098"/>
    <w:rsid w:val="006B73AA"/>
    <w:rsid w:val="006B73F9"/>
    <w:rsid w:val="006B742A"/>
    <w:rsid w:val="006B7656"/>
    <w:rsid w:val="006B7D82"/>
    <w:rsid w:val="006B7E79"/>
    <w:rsid w:val="006C05C0"/>
    <w:rsid w:val="006C07B6"/>
    <w:rsid w:val="006C1011"/>
    <w:rsid w:val="006C1535"/>
    <w:rsid w:val="006C1830"/>
    <w:rsid w:val="006C1E08"/>
    <w:rsid w:val="006C1E23"/>
    <w:rsid w:val="006C3B9F"/>
    <w:rsid w:val="006C425F"/>
    <w:rsid w:val="006C470F"/>
    <w:rsid w:val="006C47C9"/>
    <w:rsid w:val="006C503D"/>
    <w:rsid w:val="006C51C0"/>
    <w:rsid w:val="006C52B5"/>
    <w:rsid w:val="006C5320"/>
    <w:rsid w:val="006C5B23"/>
    <w:rsid w:val="006C65D2"/>
    <w:rsid w:val="006C6917"/>
    <w:rsid w:val="006C6AD9"/>
    <w:rsid w:val="006C7295"/>
    <w:rsid w:val="006C72FD"/>
    <w:rsid w:val="006C7663"/>
    <w:rsid w:val="006C76B5"/>
    <w:rsid w:val="006C78ED"/>
    <w:rsid w:val="006D0530"/>
    <w:rsid w:val="006D0613"/>
    <w:rsid w:val="006D0886"/>
    <w:rsid w:val="006D0D8D"/>
    <w:rsid w:val="006D11D5"/>
    <w:rsid w:val="006D13F5"/>
    <w:rsid w:val="006D1841"/>
    <w:rsid w:val="006D1AD9"/>
    <w:rsid w:val="006D224E"/>
    <w:rsid w:val="006D25C9"/>
    <w:rsid w:val="006D3290"/>
    <w:rsid w:val="006D3471"/>
    <w:rsid w:val="006D3BA9"/>
    <w:rsid w:val="006D409B"/>
    <w:rsid w:val="006D40C6"/>
    <w:rsid w:val="006D4243"/>
    <w:rsid w:val="006D465A"/>
    <w:rsid w:val="006D55C6"/>
    <w:rsid w:val="006D5C49"/>
    <w:rsid w:val="006D61B9"/>
    <w:rsid w:val="006D68AE"/>
    <w:rsid w:val="006D6FB3"/>
    <w:rsid w:val="006D7D68"/>
    <w:rsid w:val="006E06F9"/>
    <w:rsid w:val="006E0EA1"/>
    <w:rsid w:val="006E1390"/>
    <w:rsid w:val="006E15A8"/>
    <w:rsid w:val="006E17E4"/>
    <w:rsid w:val="006E2081"/>
    <w:rsid w:val="006E228A"/>
    <w:rsid w:val="006E2D34"/>
    <w:rsid w:val="006E34AB"/>
    <w:rsid w:val="006E3741"/>
    <w:rsid w:val="006E379A"/>
    <w:rsid w:val="006E3B64"/>
    <w:rsid w:val="006E3C31"/>
    <w:rsid w:val="006E3DAB"/>
    <w:rsid w:val="006E42F2"/>
    <w:rsid w:val="006E4391"/>
    <w:rsid w:val="006E4569"/>
    <w:rsid w:val="006E4898"/>
    <w:rsid w:val="006E4923"/>
    <w:rsid w:val="006E4B17"/>
    <w:rsid w:val="006E4C06"/>
    <w:rsid w:val="006E5744"/>
    <w:rsid w:val="006E594F"/>
    <w:rsid w:val="006E5E0F"/>
    <w:rsid w:val="006E6811"/>
    <w:rsid w:val="006E6BA5"/>
    <w:rsid w:val="006E6EFB"/>
    <w:rsid w:val="006E78DD"/>
    <w:rsid w:val="006E798E"/>
    <w:rsid w:val="006F0A7B"/>
    <w:rsid w:val="006F0CA7"/>
    <w:rsid w:val="006F1138"/>
    <w:rsid w:val="006F1F5D"/>
    <w:rsid w:val="006F2072"/>
    <w:rsid w:val="006F21C0"/>
    <w:rsid w:val="006F26B5"/>
    <w:rsid w:val="006F2AB6"/>
    <w:rsid w:val="006F2CBB"/>
    <w:rsid w:val="006F306D"/>
    <w:rsid w:val="006F346F"/>
    <w:rsid w:val="006F34EC"/>
    <w:rsid w:val="006F351A"/>
    <w:rsid w:val="006F35F6"/>
    <w:rsid w:val="006F3870"/>
    <w:rsid w:val="006F3B4F"/>
    <w:rsid w:val="006F4916"/>
    <w:rsid w:val="006F4DE8"/>
    <w:rsid w:val="006F4E0C"/>
    <w:rsid w:val="006F578C"/>
    <w:rsid w:val="006F5E0A"/>
    <w:rsid w:val="006F6303"/>
    <w:rsid w:val="006F632C"/>
    <w:rsid w:val="006F6F50"/>
    <w:rsid w:val="006F70A6"/>
    <w:rsid w:val="006F7416"/>
    <w:rsid w:val="006F7657"/>
    <w:rsid w:val="006F789D"/>
    <w:rsid w:val="006F78EF"/>
    <w:rsid w:val="006F7B8F"/>
    <w:rsid w:val="006F7BF2"/>
    <w:rsid w:val="0070018D"/>
    <w:rsid w:val="007003B3"/>
    <w:rsid w:val="007009F4"/>
    <w:rsid w:val="00700A38"/>
    <w:rsid w:val="007011B0"/>
    <w:rsid w:val="00701360"/>
    <w:rsid w:val="007014F5"/>
    <w:rsid w:val="00701596"/>
    <w:rsid w:val="007019EA"/>
    <w:rsid w:val="007024A5"/>
    <w:rsid w:val="007031B9"/>
    <w:rsid w:val="00703F4D"/>
    <w:rsid w:val="007041C6"/>
    <w:rsid w:val="007047C3"/>
    <w:rsid w:val="00704A4A"/>
    <w:rsid w:val="00705066"/>
    <w:rsid w:val="0070568D"/>
    <w:rsid w:val="007056A5"/>
    <w:rsid w:val="00705A3C"/>
    <w:rsid w:val="007068DB"/>
    <w:rsid w:val="00707088"/>
    <w:rsid w:val="0070717D"/>
    <w:rsid w:val="0070722C"/>
    <w:rsid w:val="00707899"/>
    <w:rsid w:val="00707BBB"/>
    <w:rsid w:val="00707C5D"/>
    <w:rsid w:val="00710573"/>
    <w:rsid w:val="00710821"/>
    <w:rsid w:val="00710C35"/>
    <w:rsid w:val="00710EEA"/>
    <w:rsid w:val="00711C69"/>
    <w:rsid w:val="00711CC7"/>
    <w:rsid w:val="00711F75"/>
    <w:rsid w:val="0071241F"/>
    <w:rsid w:val="007127C2"/>
    <w:rsid w:val="007127CF"/>
    <w:rsid w:val="00712BE8"/>
    <w:rsid w:val="00713050"/>
    <w:rsid w:val="0071345E"/>
    <w:rsid w:val="007137DA"/>
    <w:rsid w:val="00714211"/>
    <w:rsid w:val="00714A6D"/>
    <w:rsid w:val="00714F1E"/>
    <w:rsid w:val="007152AC"/>
    <w:rsid w:val="007157CA"/>
    <w:rsid w:val="00715F2B"/>
    <w:rsid w:val="007160E2"/>
    <w:rsid w:val="00716175"/>
    <w:rsid w:val="00716627"/>
    <w:rsid w:val="007167EA"/>
    <w:rsid w:val="00716933"/>
    <w:rsid w:val="00716C51"/>
    <w:rsid w:val="00717070"/>
    <w:rsid w:val="0071710C"/>
    <w:rsid w:val="0071731C"/>
    <w:rsid w:val="00717338"/>
    <w:rsid w:val="00717C6E"/>
    <w:rsid w:val="00720074"/>
    <w:rsid w:val="007206BD"/>
    <w:rsid w:val="0072127C"/>
    <w:rsid w:val="007217CA"/>
    <w:rsid w:val="0072204B"/>
    <w:rsid w:val="00722C10"/>
    <w:rsid w:val="00722F16"/>
    <w:rsid w:val="00723C6E"/>
    <w:rsid w:val="00723D3A"/>
    <w:rsid w:val="0072437F"/>
    <w:rsid w:val="007245BD"/>
    <w:rsid w:val="00724656"/>
    <w:rsid w:val="00724B75"/>
    <w:rsid w:val="00724E18"/>
    <w:rsid w:val="0072565D"/>
    <w:rsid w:val="00726781"/>
    <w:rsid w:val="007267F2"/>
    <w:rsid w:val="00726802"/>
    <w:rsid w:val="00726984"/>
    <w:rsid w:val="0072707B"/>
    <w:rsid w:val="00727402"/>
    <w:rsid w:val="007275B2"/>
    <w:rsid w:val="00727CF4"/>
    <w:rsid w:val="007302AF"/>
    <w:rsid w:val="00730542"/>
    <w:rsid w:val="0073106C"/>
    <w:rsid w:val="00731961"/>
    <w:rsid w:val="00731B6F"/>
    <w:rsid w:val="007325E3"/>
    <w:rsid w:val="00732848"/>
    <w:rsid w:val="00732EF0"/>
    <w:rsid w:val="0073307C"/>
    <w:rsid w:val="00733D6D"/>
    <w:rsid w:val="00734226"/>
    <w:rsid w:val="007343C5"/>
    <w:rsid w:val="00734C10"/>
    <w:rsid w:val="007353D9"/>
    <w:rsid w:val="007355E5"/>
    <w:rsid w:val="007359FD"/>
    <w:rsid w:val="0073612D"/>
    <w:rsid w:val="0073685C"/>
    <w:rsid w:val="00737551"/>
    <w:rsid w:val="0073798A"/>
    <w:rsid w:val="00737E37"/>
    <w:rsid w:val="0074000C"/>
    <w:rsid w:val="00740285"/>
    <w:rsid w:val="0074058D"/>
    <w:rsid w:val="007406A3"/>
    <w:rsid w:val="0074138F"/>
    <w:rsid w:val="00741817"/>
    <w:rsid w:val="00742A7C"/>
    <w:rsid w:val="00743235"/>
    <w:rsid w:val="00743A44"/>
    <w:rsid w:val="00743BA6"/>
    <w:rsid w:val="00743D9E"/>
    <w:rsid w:val="00744129"/>
    <w:rsid w:val="00744549"/>
    <w:rsid w:val="00744925"/>
    <w:rsid w:val="00744B30"/>
    <w:rsid w:val="007452B2"/>
    <w:rsid w:val="00745993"/>
    <w:rsid w:val="007465F8"/>
    <w:rsid w:val="00746730"/>
    <w:rsid w:val="00747950"/>
    <w:rsid w:val="00747958"/>
    <w:rsid w:val="00747B85"/>
    <w:rsid w:val="00751162"/>
    <w:rsid w:val="007512C4"/>
    <w:rsid w:val="00751348"/>
    <w:rsid w:val="007515C2"/>
    <w:rsid w:val="00751991"/>
    <w:rsid w:val="007519F6"/>
    <w:rsid w:val="007523A5"/>
    <w:rsid w:val="00752EC5"/>
    <w:rsid w:val="007532A5"/>
    <w:rsid w:val="00753584"/>
    <w:rsid w:val="007536AA"/>
    <w:rsid w:val="00753822"/>
    <w:rsid w:val="00753831"/>
    <w:rsid w:val="007538DB"/>
    <w:rsid w:val="007539E9"/>
    <w:rsid w:val="00753FF3"/>
    <w:rsid w:val="00754312"/>
    <w:rsid w:val="00754389"/>
    <w:rsid w:val="00754D73"/>
    <w:rsid w:val="00755057"/>
    <w:rsid w:val="007553AB"/>
    <w:rsid w:val="007554FC"/>
    <w:rsid w:val="00755724"/>
    <w:rsid w:val="0075573E"/>
    <w:rsid w:val="007561AE"/>
    <w:rsid w:val="007565D0"/>
    <w:rsid w:val="00756686"/>
    <w:rsid w:val="00756ABD"/>
    <w:rsid w:val="00756C5F"/>
    <w:rsid w:val="0075702E"/>
    <w:rsid w:val="007573CC"/>
    <w:rsid w:val="00757B98"/>
    <w:rsid w:val="00757E06"/>
    <w:rsid w:val="00757EB6"/>
    <w:rsid w:val="00757FFB"/>
    <w:rsid w:val="00760230"/>
    <w:rsid w:val="0076035D"/>
    <w:rsid w:val="007609FD"/>
    <w:rsid w:val="00760D20"/>
    <w:rsid w:val="00760D99"/>
    <w:rsid w:val="00761033"/>
    <w:rsid w:val="00761259"/>
    <w:rsid w:val="00761518"/>
    <w:rsid w:val="007615A3"/>
    <w:rsid w:val="007628D2"/>
    <w:rsid w:val="00762936"/>
    <w:rsid w:val="00762B84"/>
    <w:rsid w:val="0076302E"/>
    <w:rsid w:val="00763150"/>
    <w:rsid w:val="007636F0"/>
    <w:rsid w:val="00763FA1"/>
    <w:rsid w:val="007648CA"/>
    <w:rsid w:val="00764B50"/>
    <w:rsid w:val="00764CE9"/>
    <w:rsid w:val="00764D1B"/>
    <w:rsid w:val="00765803"/>
    <w:rsid w:val="00765E83"/>
    <w:rsid w:val="007660AD"/>
    <w:rsid w:val="00766202"/>
    <w:rsid w:val="00766F53"/>
    <w:rsid w:val="00770032"/>
    <w:rsid w:val="0077072F"/>
    <w:rsid w:val="00771D0D"/>
    <w:rsid w:val="00771DF6"/>
    <w:rsid w:val="0077203E"/>
    <w:rsid w:val="007734CD"/>
    <w:rsid w:val="007734DC"/>
    <w:rsid w:val="00773827"/>
    <w:rsid w:val="00773EA7"/>
    <w:rsid w:val="0077492A"/>
    <w:rsid w:val="00774C2E"/>
    <w:rsid w:val="00774DA4"/>
    <w:rsid w:val="007753DD"/>
    <w:rsid w:val="00775530"/>
    <w:rsid w:val="0077583D"/>
    <w:rsid w:val="007773D4"/>
    <w:rsid w:val="00777979"/>
    <w:rsid w:val="00780034"/>
    <w:rsid w:val="007803FC"/>
    <w:rsid w:val="00780A58"/>
    <w:rsid w:val="00780A5C"/>
    <w:rsid w:val="007811A3"/>
    <w:rsid w:val="00781597"/>
    <w:rsid w:val="00781932"/>
    <w:rsid w:val="00781955"/>
    <w:rsid w:val="00781B00"/>
    <w:rsid w:val="00781CD8"/>
    <w:rsid w:val="00781E50"/>
    <w:rsid w:val="00782B79"/>
    <w:rsid w:val="00783306"/>
    <w:rsid w:val="0078358E"/>
    <w:rsid w:val="007837A9"/>
    <w:rsid w:val="0078385F"/>
    <w:rsid w:val="00784417"/>
    <w:rsid w:val="007848B8"/>
    <w:rsid w:val="00784956"/>
    <w:rsid w:val="0078510C"/>
    <w:rsid w:val="00785310"/>
    <w:rsid w:val="00785748"/>
    <w:rsid w:val="00785E8E"/>
    <w:rsid w:val="007860DC"/>
    <w:rsid w:val="0078621B"/>
    <w:rsid w:val="0078680D"/>
    <w:rsid w:val="007872AD"/>
    <w:rsid w:val="00787AAD"/>
    <w:rsid w:val="00790010"/>
    <w:rsid w:val="00790642"/>
    <w:rsid w:val="00790C07"/>
    <w:rsid w:val="00790C2A"/>
    <w:rsid w:val="00790F32"/>
    <w:rsid w:val="00791056"/>
    <w:rsid w:val="007914EB"/>
    <w:rsid w:val="0079154D"/>
    <w:rsid w:val="007927BD"/>
    <w:rsid w:val="00792851"/>
    <w:rsid w:val="00792B0A"/>
    <w:rsid w:val="00792EA6"/>
    <w:rsid w:val="00793DD0"/>
    <w:rsid w:val="00794662"/>
    <w:rsid w:val="007946A0"/>
    <w:rsid w:val="00795B1F"/>
    <w:rsid w:val="00796656"/>
    <w:rsid w:val="00796CE4"/>
    <w:rsid w:val="00797153"/>
    <w:rsid w:val="007976D4"/>
    <w:rsid w:val="007978C1"/>
    <w:rsid w:val="00797A40"/>
    <w:rsid w:val="007A08A9"/>
    <w:rsid w:val="007A11A5"/>
    <w:rsid w:val="007A1399"/>
    <w:rsid w:val="007A26DA"/>
    <w:rsid w:val="007A2C99"/>
    <w:rsid w:val="007A2E4E"/>
    <w:rsid w:val="007A325B"/>
    <w:rsid w:val="007A39C1"/>
    <w:rsid w:val="007A3C8F"/>
    <w:rsid w:val="007A3F0D"/>
    <w:rsid w:val="007A44A0"/>
    <w:rsid w:val="007A53DD"/>
    <w:rsid w:val="007A54BE"/>
    <w:rsid w:val="007A59B1"/>
    <w:rsid w:val="007A5D24"/>
    <w:rsid w:val="007A6106"/>
    <w:rsid w:val="007A6520"/>
    <w:rsid w:val="007A6BEE"/>
    <w:rsid w:val="007A6DC1"/>
    <w:rsid w:val="007A7727"/>
    <w:rsid w:val="007A78E9"/>
    <w:rsid w:val="007A7AA0"/>
    <w:rsid w:val="007A7BB1"/>
    <w:rsid w:val="007B01C1"/>
    <w:rsid w:val="007B07B3"/>
    <w:rsid w:val="007B0B1F"/>
    <w:rsid w:val="007B0C5D"/>
    <w:rsid w:val="007B13AB"/>
    <w:rsid w:val="007B1A3D"/>
    <w:rsid w:val="007B1A58"/>
    <w:rsid w:val="007B22E7"/>
    <w:rsid w:val="007B2726"/>
    <w:rsid w:val="007B35DA"/>
    <w:rsid w:val="007B41B8"/>
    <w:rsid w:val="007B4265"/>
    <w:rsid w:val="007B42FD"/>
    <w:rsid w:val="007B4E87"/>
    <w:rsid w:val="007B4F5B"/>
    <w:rsid w:val="007B578D"/>
    <w:rsid w:val="007B59F8"/>
    <w:rsid w:val="007B5C42"/>
    <w:rsid w:val="007B6DC2"/>
    <w:rsid w:val="007B7519"/>
    <w:rsid w:val="007B768C"/>
    <w:rsid w:val="007C0C38"/>
    <w:rsid w:val="007C0E3D"/>
    <w:rsid w:val="007C185F"/>
    <w:rsid w:val="007C1EE5"/>
    <w:rsid w:val="007C21B7"/>
    <w:rsid w:val="007C2613"/>
    <w:rsid w:val="007C2CEA"/>
    <w:rsid w:val="007C3798"/>
    <w:rsid w:val="007C3D10"/>
    <w:rsid w:val="007C3F5B"/>
    <w:rsid w:val="007C42C4"/>
    <w:rsid w:val="007C43ED"/>
    <w:rsid w:val="007C52C6"/>
    <w:rsid w:val="007C5839"/>
    <w:rsid w:val="007C5E9A"/>
    <w:rsid w:val="007C6573"/>
    <w:rsid w:val="007C6A46"/>
    <w:rsid w:val="007C6AB3"/>
    <w:rsid w:val="007C6C29"/>
    <w:rsid w:val="007C7245"/>
    <w:rsid w:val="007C786B"/>
    <w:rsid w:val="007C7CD9"/>
    <w:rsid w:val="007D009A"/>
    <w:rsid w:val="007D0735"/>
    <w:rsid w:val="007D0990"/>
    <w:rsid w:val="007D1784"/>
    <w:rsid w:val="007D1A82"/>
    <w:rsid w:val="007D249B"/>
    <w:rsid w:val="007D2AAD"/>
    <w:rsid w:val="007D306B"/>
    <w:rsid w:val="007D34CA"/>
    <w:rsid w:val="007D387D"/>
    <w:rsid w:val="007D45C2"/>
    <w:rsid w:val="007D4738"/>
    <w:rsid w:val="007D48F4"/>
    <w:rsid w:val="007D4EC0"/>
    <w:rsid w:val="007D50A3"/>
    <w:rsid w:val="007D5A1C"/>
    <w:rsid w:val="007D67FB"/>
    <w:rsid w:val="007D6A27"/>
    <w:rsid w:val="007D6A91"/>
    <w:rsid w:val="007D6B6A"/>
    <w:rsid w:val="007D6F07"/>
    <w:rsid w:val="007D71CB"/>
    <w:rsid w:val="007D7938"/>
    <w:rsid w:val="007E0097"/>
    <w:rsid w:val="007E02BE"/>
    <w:rsid w:val="007E0980"/>
    <w:rsid w:val="007E12CF"/>
    <w:rsid w:val="007E15E2"/>
    <w:rsid w:val="007E1C62"/>
    <w:rsid w:val="007E21B6"/>
    <w:rsid w:val="007E2F63"/>
    <w:rsid w:val="007E314E"/>
    <w:rsid w:val="007E317F"/>
    <w:rsid w:val="007E3C64"/>
    <w:rsid w:val="007E42E7"/>
    <w:rsid w:val="007E480B"/>
    <w:rsid w:val="007E57DA"/>
    <w:rsid w:val="007E59F7"/>
    <w:rsid w:val="007E6905"/>
    <w:rsid w:val="007E6CAA"/>
    <w:rsid w:val="007E6E24"/>
    <w:rsid w:val="007E70A4"/>
    <w:rsid w:val="007E70D6"/>
    <w:rsid w:val="007E7147"/>
    <w:rsid w:val="007F08E9"/>
    <w:rsid w:val="007F0DC6"/>
    <w:rsid w:val="007F0F7C"/>
    <w:rsid w:val="007F14F1"/>
    <w:rsid w:val="007F15DA"/>
    <w:rsid w:val="007F15F2"/>
    <w:rsid w:val="007F1B22"/>
    <w:rsid w:val="007F1FCD"/>
    <w:rsid w:val="007F22A6"/>
    <w:rsid w:val="007F236E"/>
    <w:rsid w:val="007F2684"/>
    <w:rsid w:val="007F29E9"/>
    <w:rsid w:val="007F2EDB"/>
    <w:rsid w:val="007F305D"/>
    <w:rsid w:val="007F31C0"/>
    <w:rsid w:val="007F34C4"/>
    <w:rsid w:val="007F36FD"/>
    <w:rsid w:val="007F38EF"/>
    <w:rsid w:val="007F3C17"/>
    <w:rsid w:val="007F3E6E"/>
    <w:rsid w:val="007F432B"/>
    <w:rsid w:val="007F4CFE"/>
    <w:rsid w:val="007F5A66"/>
    <w:rsid w:val="007F5A87"/>
    <w:rsid w:val="007F5D94"/>
    <w:rsid w:val="007F676A"/>
    <w:rsid w:val="007F6A12"/>
    <w:rsid w:val="007F6A6F"/>
    <w:rsid w:val="007F6BCF"/>
    <w:rsid w:val="007F6D26"/>
    <w:rsid w:val="007F780C"/>
    <w:rsid w:val="007F7F46"/>
    <w:rsid w:val="00800139"/>
    <w:rsid w:val="008003F6"/>
    <w:rsid w:val="00801445"/>
    <w:rsid w:val="00801702"/>
    <w:rsid w:val="00801936"/>
    <w:rsid w:val="00801962"/>
    <w:rsid w:val="00802293"/>
    <w:rsid w:val="00802E71"/>
    <w:rsid w:val="00802F0E"/>
    <w:rsid w:val="00803028"/>
    <w:rsid w:val="008032B0"/>
    <w:rsid w:val="00803B8E"/>
    <w:rsid w:val="0080420E"/>
    <w:rsid w:val="00804803"/>
    <w:rsid w:val="008048C5"/>
    <w:rsid w:val="0080496A"/>
    <w:rsid w:val="0080570E"/>
    <w:rsid w:val="00805765"/>
    <w:rsid w:val="00805E0D"/>
    <w:rsid w:val="00806340"/>
    <w:rsid w:val="0080636B"/>
    <w:rsid w:val="00806582"/>
    <w:rsid w:val="008065B2"/>
    <w:rsid w:val="0080700C"/>
    <w:rsid w:val="00807490"/>
    <w:rsid w:val="00807CEC"/>
    <w:rsid w:val="008108AA"/>
    <w:rsid w:val="008109DB"/>
    <w:rsid w:val="00810D88"/>
    <w:rsid w:val="00810DF1"/>
    <w:rsid w:val="0081138B"/>
    <w:rsid w:val="00811BB9"/>
    <w:rsid w:val="00811BEA"/>
    <w:rsid w:val="00812064"/>
    <w:rsid w:val="008122EA"/>
    <w:rsid w:val="008125E2"/>
    <w:rsid w:val="00812A6C"/>
    <w:rsid w:val="00812AA6"/>
    <w:rsid w:val="00812B17"/>
    <w:rsid w:val="00812D8B"/>
    <w:rsid w:val="00812F0F"/>
    <w:rsid w:val="008139AD"/>
    <w:rsid w:val="008140D5"/>
    <w:rsid w:val="00814549"/>
    <w:rsid w:val="00814669"/>
    <w:rsid w:val="0081495E"/>
    <w:rsid w:val="00814AB4"/>
    <w:rsid w:val="00814BE5"/>
    <w:rsid w:val="00814D7A"/>
    <w:rsid w:val="00814E07"/>
    <w:rsid w:val="00815141"/>
    <w:rsid w:val="0081675B"/>
    <w:rsid w:val="00816E7D"/>
    <w:rsid w:val="00817214"/>
    <w:rsid w:val="00817222"/>
    <w:rsid w:val="0081783D"/>
    <w:rsid w:val="00820130"/>
    <w:rsid w:val="00820585"/>
    <w:rsid w:val="008206D7"/>
    <w:rsid w:val="008207A7"/>
    <w:rsid w:val="00820C26"/>
    <w:rsid w:val="008212AB"/>
    <w:rsid w:val="00821C63"/>
    <w:rsid w:val="00821E10"/>
    <w:rsid w:val="008224C8"/>
    <w:rsid w:val="008227EA"/>
    <w:rsid w:val="008229E6"/>
    <w:rsid w:val="00822D4D"/>
    <w:rsid w:val="0082327C"/>
    <w:rsid w:val="0082343A"/>
    <w:rsid w:val="0082357F"/>
    <w:rsid w:val="00823EEB"/>
    <w:rsid w:val="00823EF1"/>
    <w:rsid w:val="00824423"/>
    <w:rsid w:val="008249DA"/>
    <w:rsid w:val="00824B72"/>
    <w:rsid w:val="00824CA2"/>
    <w:rsid w:val="00825630"/>
    <w:rsid w:val="00825EBE"/>
    <w:rsid w:val="00826070"/>
    <w:rsid w:val="0082610F"/>
    <w:rsid w:val="0082614E"/>
    <w:rsid w:val="00826BE7"/>
    <w:rsid w:val="008273AE"/>
    <w:rsid w:val="0082791D"/>
    <w:rsid w:val="00827CC7"/>
    <w:rsid w:val="008305AD"/>
    <w:rsid w:val="008307F5"/>
    <w:rsid w:val="00831122"/>
    <w:rsid w:val="00831598"/>
    <w:rsid w:val="00831628"/>
    <w:rsid w:val="0083178F"/>
    <w:rsid w:val="00831CED"/>
    <w:rsid w:val="00832616"/>
    <w:rsid w:val="008327E5"/>
    <w:rsid w:val="00832986"/>
    <w:rsid w:val="0083308F"/>
    <w:rsid w:val="008334CE"/>
    <w:rsid w:val="00833B10"/>
    <w:rsid w:val="00833CBD"/>
    <w:rsid w:val="00834765"/>
    <w:rsid w:val="00834852"/>
    <w:rsid w:val="00834D36"/>
    <w:rsid w:val="008354DF"/>
    <w:rsid w:val="00835B26"/>
    <w:rsid w:val="00835B8F"/>
    <w:rsid w:val="00836171"/>
    <w:rsid w:val="00836308"/>
    <w:rsid w:val="00836342"/>
    <w:rsid w:val="00836474"/>
    <w:rsid w:val="0083689A"/>
    <w:rsid w:val="00836DCF"/>
    <w:rsid w:val="00836DD1"/>
    <w:rsid w:val="00836F32"/>
    <w:rsid w:val="00837550"/>
    <w:rsid w:val="008378E9"/>
    <w:rsid w:val="00837CF8"/>
    <w:rsid w:val="00837F45"/>
    <w:rsid w:val="0084009C"/>
    <w:rsid w:val="008402CD"/>
    <w:rsid w:val="008405C0"/>
    <w:rsid w:val="008406BB"/>
    <w:rsid w:val="00840A81"/>
    <w:rsid w:val="0084119E"/>
    <w:rsid w:val="0084159B"/>
    <w:rsid w:val="008419CE"/>
    <w:rsid w:val="0084213A"/>
    <w:rsid w:val="00842650"/>
    <w:rsid w:val="00842A29"/>
    <w:rsid w:val="008436FF"/>
    <w:rsid w:val="00844168"/>
    <w:rsid w:val="00844879"/>
    <w:rsid w:val="00844BA3"/>
    <w:rsid w:val="0084526F"/>
    <w:rsid w:val="00845751"/>
    <w:rsid w:val="008457CA"/>
    <w:rsid w:val="00845B6E"/>
    <w:rsid w:val="0084636A"/>
    <w:rsid w:val="0084637A"/>
    <w:rsid w:val="008464C3"/>
    <w:rsid w:val="00846FCE"/>
    <w:rsid w:val="008477F7"/>
    <w:rsid w:val="00847A0F"/>
    <w:rsid w:val="00850026"/>
    <w:rsid w:val="00850548"/>
    <w:rsid w:val="008507E6"/>
    <w:rsid w:val="008509C9"/>
    <w:rsid w:val="008510CB"/>
    <w:rsid w:val="00852383"/>
    <w:rsid w:val="00852ECE"/>
    <w:rsid w:val="00853AFB"/>
    <w:rsid w:val="00853B2D"/>
    <w:rsid w:val="00853D0C"/>
    <w:rsid w:val="00854107"/>
    <w:rsid w:val="00854190"/>
    <w:rsid w:val="00854194"/>
    <w:rsid w:val="0085459B"/>
    <w:rsid w:val="008549FC"/>
    <w:rsid w:val="00854F91"/>
    <w:rsid w:val="00855529"/>
    <w:rsid w:val="008558D5"/>
    <w:rsid w:val="008560FB"/>
    <w:rsid w:val="00856223"/>
    <w:rsid w:val="00856776"/>
    <w:rsid w:val="00856B49"/>
    <w:rsid w:val="00857571"/>
    <w:rsid w:val="0085792F"/>
    <w:rsid w:val="00857946"/>
    <w:rsid w:val="0085796A"/>
    <w:rsid w:val="00857DEA"/>
    <w:rsid w:val="00860254"/>
    <w:rsid w:val="0086030B"/>
    <w:rsid w:val="00860CEA"/>
    <w:rsid w:val="00860E43"/>
    <w:rsid w:val="0086146D"/>
    <w:rsid w:val="008618FC"/>
    <w:rsid w:val="00861991"/>
    <w:rsid w:val="008628CA"/>
    <w:rsid w:val="008628FA"/>
    <w:rsid w:val="00863025"/>
    <w:rsid w:val="008633F1"/>
    <w:rsid w:val="00863833"/>
    <w:rsid w:val="00863C38"/>
    <w:rsid w:val="00864106"/>
    <w:rsid w:val="00864591"/>
    <w:rsid w:val="008645A2"/>
    <w:rsid w:val="00864BCE"/>
    <w:rsid w:val="00864F74"/>
    <w:rsid w:val="00865301"/>
    <w:rsid w:val="00865381"/>
    <w:rsid w:val="008656C4"/>
    <w:rsid w:val="008656EF"/>
    <w:rsid w:val="00865AEC"/>
    <w:rsid w:val="00865B01"/>
    <w:rsid w:val="00865E8F"/>
    <w:rsid w:val="00866091"/>
    <w:rsid w:val="0086617B"/>
    <w:rsid w:val="008665F7"/>
    <w:rsid w:val="008667E2"/>
    <w:rsid w:val="00866A0D"/>
    <w:rsid w:val="00867727"/>
    <w:rsid w:val="008678C3"/>
    <w:rsid w:val="0087017F"/>
    <w:rsid w:val="0087029C"/>
    <w:rsid w:val="008705E6"/>
    <w:rsid w:val="00870640"/>
    <w:rsid w:val="008706C1"/>
    <w:rsid w:val="00870F74"/>
    <w:rsid w:val="0087124D"/>
    <w:rsid w:val="008715EE"/>
    <w:rsid w:val="008723AE"/>
    <w:rsid w:val="008732C3"/>
    <w:rsid w:val="00873421"/>
    <w:rsid w:val="00873890"/>
    <w:rsid w:val="00873946"/>
    <w:rsid w:val="00873ABA"/>
    <w:rsid w:val="00873BCC"/>
    <w:rsid w:val="00874CDE"/>
    <w:rsid w:val="00874F25"/>
    <w:rsid w:val="008753F2"/>
    <w:rsid w:val="00875E4F"/>
    <w:rsid w:val="00880284"/>
    <w:rsid w:val="008802EC"/>
    <w:rsid w:val="00880329"/>
    <w:rsid w:val="00880460"/>
    <w:rsid w:val="00880FE2"/>
    <w:rsid w:val="00881083"/>
    <w:rsid w:val="00881AB2"/>
    <w:rsid w:val="0088255E"/>
    <w:rsid w:val="00882963"/>
    <w:rsid w:val="00882FA5"/>
    <w:rsid w:val="0088359C"/>
    <w:rsid w:val="008841AD"/>
    <w:rsid w:val="00884635"/>
    <w:rsid w:val="00884C3C"/>
    <w:rsid w:val="00884FF6"/>
    <w:rsid w:val="008850E6"/>
    <w:rsid w:val="00885228"/>
    <w:rsid w:val="00885793"/>
    <w:rsid w:val="00885AFE"/>
    <w:rsid w:val="008861A9"/>
    <w:rsid w:val="00887005"/>
    <w:rsid w:val="00887033"/>
    <w:rsid w:val="00887C9F"/>
    <w:rsid w:val="0089089E"/>
    <w:rsid w:val="0089090E"/>
    <w:rsid w:val="00890B55"/>
    <w:rsid w:val="0089121F"/>
    <w:rsid w:val="008916D8"/>
    <w:rsid w:val="00891D74"/>
    <w:rsid w:val="00892005"/>
    <w:rsid w:val="008922A1"/>
    <w:rsid w:val="00893097"/>
    <w:rsid w:val="008930EC"/>
    <w:rsid w:val="00893406"/>
    <w:rsid w:val="008938BA"/>
    <w:rsid w:val="00893FE6"/>
    <w:rsid w:val="008943F0"/>
    <w:rsid w:val="00894600"/>
    <w:rsid w:val="00894C53"/>
    <w:rsid w:val="00894C62"/>
    <w:rsid w:val="00896300"/>
    <w:rsid w:val="0089649E"/>
    <w:rsid w:val="00896C82"/>
    <w:rsid w:val="008975B4"/>
    <w:rsid w:val="00897B79"/>
    <w:rsid w:val="008A014B"/>
    <w:rsid w:val="008A104E"/>
    <w:rsid w:val="008A1157"/>
    <w:rsid w:val="008A1592"/>
    <w:rsid w:val="008A17F0"/>
    <w:rsid w:val="008A1AD3"/>
    <w:rsid w:val="008A1C86"/>
    <w:rsid w:val="008A214A"/>
    <w:rsid w:val="008A30A8"/>
    <w:rsid w:val="008A3858"/>
    <w:rsid w:val="008A38A0"/>
    <w:rsid w:val="008A4451"/>
    <w:rsid w:val="008A4C00"/>
    <w:rsid w:val="008A4FAB"/>
    <w:rsid w:val="008A51A5"/>
    <w:rsid w:val="008A5BE8"/>
    <w:rsid w:val="008A604F"/>
    <w:rsid w:val="008A63BF"/>
    <w:rsid w:val="008A6769"/>
    <w:rsid w:val="008A687E"/>
    <w:rsid w:val="008A6AB1"/>
    <w:rsid w:val="008A6C04"/>
    <w:rsid w:val="008A6CBD"/>
    <w:rsid w:val="008A7C9F"/>
    <w:rsid w:val="008B0528"/>
    <w:rsid w:val="008B0D5B"/>
    <w:rsid w:val="008B1167"/>
    <w:rsid w:val="008B1580"/>
    <w:rsid w:val="008B1B47"/>
    <w:rsid w:val="008B2560"/>
    <w:rsid w:val="008B2A90"/>
    <w:rsid w:val="008B2D77"/>
    <w:rsid w:val="008B34E4"/>
    <w:rsid w:val="008B380B"/>
    <w:rsid w:val="008B392E"/>
    <w:rsid w:val="008B3A04"/>
    <w:rsid w:val="008B3D67"/>
    <w:rsid w:val="008B3D73"/>
    <w:rsid w:val="008B4325"/>
    <w:rsid w:val="008B457C"/>
    <w:rsid w:val="008B4CA5"/>
    <w:rsid w:val="008B53FE"/>
    <w:rsid w:val="008B5954"/>
    <w:rsid w:val="008B5E73"/>
    <w:rsid w:val="008B61A1"/>
    <w:rsid w:val="008B6413"/>
    <w:rsid w:val="008B73E0"/>
    <w:rsid w:val="008B7885"/>
    <w:rsid w:val="008B7D39"/>
    <w:rsid w:val="008C013F"/>
    <w:rsid w:val="008C02E9"/>
    <w:rsid w:val="008C103F"/>
    <w:rsid w:val="008C1820"/>
    <w:rsid w:val="008C23BD"/>
    <w:rsid w:val="008C25EA"/>
    <w:rsid w:val="008C29F0"/>
    <w:rsid w:val="008C2D23"/>
    <w:rsid w:val="008C305F"/>
    <w:rsid w:val="008C3522"/>
    <w:rsid w:val="008C41F4"/>
    <w:rsid w:val="008C51CD"/>
    <w:rsid w:val="008C55CF"/>
    <w:rsid w:val="008C5645"/>
    <w:rsid w:val="008C5ADD"/>
    <w:rsid w:val="008C6A31"/>
    <w:rsid w:val="008C6EC6"/>
    <w:rsid w:val="008C736F"/>
    <w:rsid w:val="008C76B8"/>
    <w:rsid w:val="008C79B4"/>
    <w:rsid w:val="008C7F90"/>
    <w:rsid w:val="008D00B5"/>
    <w:rsid w:val="008D0721"/>
    <w:rsid w:val="008D09A9"/>
    <w:rsid w:val="008D0A55"/>
    <w:rsid w:val="008D151F"/>
    <w:rsid w:val="008D1FBA"/>
    <w:rsid w:val="008D25E2"/>
    <w:rsid w:val="008D2A30"/>
    <w:rsid w:val="008D2A96"/>
    <w:rsid w:val="008D2AFD"/>
    <w:rsid w:val="008D2D29"/>
    <w:rsid w:val="008D2EA8"/>
    <w:rsid w:val="008D30A8"/>
    <w:rsid w:val="008D33AB"/>
    <w:rsid w:val="008D3622"/>
    <w:rsid w:val="008D3665"/>
    <w:rsid w:val="008D3A8A"/>
    <w:rsid w:val="008D4119"/>
    <w:rsid w:val="008D443F"/>
    <w:rsid w:val="008D4D50"/>
    <w:rsid w:val="008D4EBA"/>
    <w:rsid w:val="008D61E3"/>
    <w:rsid w:val="008D62D9"/>
    <w:rsid w:val="008D6F83"/>
    <w:rsid w:val="008D7AA7"/>
    <w:rsid w:val="008D7EA6"/>
    <w:rsid w:val="008E00FE"/>
    <w:rsid w:val="008E0319"/>
    <w:rsid w:val="008E0862"/>
    <w:rsid w:val="008E0BDA"/>
    <w:rsid w:val="008E11B4"/>
    <w:rsid w:val="008E134C"/>
    <w:rsid w:val="008E17AF"/>
    <w:rsid w:val="008E1BD8"/>
    <w:rsid w:val="008E1D1C"/>
    <w:rsid w:val="008E2314"/>
    <w:rsid w:val="008E273D"/>
    <w:rsid w:val="008E2779"/>
    <w:rsid w:val="008E2920"/>
    <w:rsid w:val="008E3E9D"/>
    <w:rsid w:val="008E3FF4"/>
    <w:rsid w:val="008E45CA"/>
    <w:rsid w:val="008E467A"/>
    <w:rsid w:val="008E4F23"/>
    <w:rsid w:val="008E534C"/>
    <w:rsid w:val="008E5559"/>
    <w:rsid w:val="008E5908"/>
    <w:rsid w:val="008E5967"/>
    <w:rsid w:val="008E5C91"/>
    <w:rsid w:val="008E5DFE"/>
    <w:rsid w:val="008E5F91"/>
    <w:rsid w:val="008E6133"/>
    <w:rsid w:val="008E647A"/>
    <w:rsid w:val="008E69D2"/>
    <w:rsid w:val="008E6B02"/>
    <w:rsid w:val="008E6B39"/>
    <w:rsid w:val="008E6FD6"/>
    <w:rsid w:val="008E70E9"/>
    <w:rsid w:val="008E75CD"/>
    <w:rsid w:val="008E7B74"/>
    <w:rsid w:val="008E7BAC"/>
    <w:rsid w:val="008E7CA7"/>
    <w:rsid w:val="008E7CB6"/>
    <w:rsid w:val="008E7CEF"/>
    <w:rsid w:val="008F06A4"/>
    <w:rsid w:val="008F0A40"/>
    <w:rsid w:val="008F0B73"/>
    <w:rsid w:val="008F1369"/>
    <w:rsid w:val="008F1CA2"/>
    <w:rsid w:val="008F1CFF"/>
    <w:rsid w:val="008F2100"/>
    <w:rsid w:val="008F2F55"/>
    <w:rsid w:val="008F305B"/>
    <w:rsid w:val="008F36B8"/>
    <w:rsid w:val="008F499F"/>
    <w:rsid w:val="008F4A92"/>
    <w:rsid w:val="008F4CDE"/>
    <w:rsid w:val="008F4D7B"/>
    <w:rsid w:val="008F5B73"/>
    <w:rsid w:val="008F604D"/>
    <w:rsid w:val="008F60CD"/>
    <w:rsid w:val="008F6249"/>
    <w:rsid w:val="008F64E5"/>
    <w:rsid w:val="008F7053"/>
    <w:rsid w:val="008F79BE"/>
    <w:rsid w:val="008F79F0"/>
    <w:rsid w:val="0090004E"/>
    <w:rsid w:val="009010F9"/>
    <w:rsid w:val="0090129C"/>
    <w:rsid w:val="00903328"/>
    <w:rsid w:val="009036A8"/>
    <w:rsid w:val="00903B09"/>
    <w:rsid w:val="009048F0"/>
    <w:rsid w:val="00904CBF"/>
    <w:rsid w:val="00904FE3"/>
    <w:rsid w:val="00905885"/>
    <w:rsid w:val="0090605D"/>
    <w:rsid w:val="00906AF9"/>
    <w:rsid w:val="00907102"/>
    <w:rsid w:val="00907220"/>
    <w:rsid w:val="00907297"/>
    <w:rsid w:val="00907326"/>
    <w:rsid w:val="00907933"/>
    <w:rsid w:val="00910263"/>
    <w:rsid w:val="00910421"/>
    <w:rsid w:val="00910574"/>
    <w:rsid w:val="00910F74"/>
    <w:rsid w:val="00911135"/>
    <w:rsid w:val="009117EB"/>
    <w:rsid w:val="00911B5E"/>
    <w:rsid w:val="0091219C"/>
    <w:rsid w:val="00912945"/>
    <w:rsid w:val="00912C67"/>
    <w:rsid w:val="009131C4"/>
    <w:rsid w:val="0091354A"/>
    <w:rsid w:val="00913727"/>
    <w:rsid w:val="00914BEE"/>
    <w:rsid w:val="00914F10"/>
    <w:rsid w:val="00915624"/>
    <w:rsid w:val="0091562F"/>
    <w:rsid w:val="0091626D"/>
    <w:rsid w:val="0091655A"/>
    <w:rsid w:val="00916A5C"/>
    <w:rsid w:val="00916A7F"/>
    <w:rsid w:val="00916BF5"/>
    <w:rsid w:val="00920125"/>
    <w:rsid w:val="0092024D"/>
    <w:rsid w:val="00920559"/>
    <w:rsid w:val="00920C0A"/>
    <w:rsid w:val="00920C3A"/>
    <w:rsid w:val="00921179"/>
    <w:rsid w:val="00921BF7"/>
    <w:rsid w:val="0092226C"/>
    <w:rsid w:val="009230CE"/>
    <w:rsid w:val="0092340D"/>
    <w:rsid w:val="009237CA"/>
    <w:rsid w:val="00923A8A"/>
    <w:rsid w:val="00923D23"/>
    <w:rsid w:val="00923F3F"/>
    <w:rsid w:val="00924146"/>
    <w:rsid w:val="00924452"/>
    <w:rsid w:val="009249B2"/>
    <w:rsid w:val="009259CD"/>
    <w:rsid w:val="00926C3D"/>
    <w:rsid w:val="00927011"/>
    <w:rsid w:val="0092766F"/>
    <w:rsid w:val="00927A83"/>
    <w:rsid w:val="00927B47"/>
    <w:rsid w:val="0093009C"/>
    <w:rsid w:val="009313D6"/>
    <w:rsid w:val="0093156F"/>
    <w:rsid w:val="009316FA"/>
    <w:rsid w:val="00931999"/>
    <w:rsid w:val="00931DB7"/>
    <w:rsid w:val="00931E3B"/>
    <w:rsid w:val="009321E9"/>
    <w:rsid w:val="00932956"/>
    <w:rsid w:val="00932DC8"/>
    <w:rsid w:val="0093309D"/>
    <w:rsid w:val="00933219"/>
    <w:rsid w:val="00933F6B"/>
    <w:rsid w:val="00934A6C"/>
    <w:rsid w:val="00934F66"/>
    <w:rsid w:val="00935A5F"/>
    <w:rsid w:val="00935CAF"/>
    <w:rsid w:val="00935EDA"/>
    <w:rsid w:val="00936B4B"/>
    <w:rsid w:val="00936F6A"/>
    <w:rsid w:val="00937436"/>
    <w:rsid w:val="0094023F"/>
    <w:rsid w:val="00940919"/>
    <w:rsid w:val="009412F2"/>
    <w:rsid w:val="00941760"/>
    <w:rsid w:val="00941D46"/>
    <w:rsid w:val="00941DE9"/>
    <w:rsid w:val="00942059"/>
    <w:rsid w:val="00942392"/>
    <w:rsid w:val="009428BA"/>
    <w:rsid w:val="009430F8"/>
    <w:rsid w:val="00943247"/>
    <w:rsid w:val="0094350D"/>
    <w:rsid w:val="00943995"/>
    <w:rsid w:val="00943F1F"/>
    <w:rsid w:val="0094476D"/>
    <w:rsid w:val="00944F15"/>
    <w:rsid w:val="00945033"/>
    <w:rsid w:val="00945073"/>
    <w:rsid w:val="00945519"/>
    <w:rsid w:val="00945ADF"/>
    <w:rsid w:val="00945BFC"/>
    <w:rsid w:val="0094638C"/>
    <w:rsid w:val="0094765E"/>
    <w:rsid w:val="00947EBF"/>
    <w:rsid w:val="009502B1"/>
    <w:rsid w:val="0095038B"/>
    <w:rsid w:val="00950B66"/>
    <w:rsid w:val="00951A68"/>
    <w:rsid w:val="00951D29"/>
    <w:rsid w:val="00951F47"/>
    <w:rsid w:val="00952227"/>
    <w:rsid w:val="00952635"/>
    <w:rsid w:val="00953179"/>
    <w:rsid w:val="0095317A"/>
    <w:rsid w:val="0095328B"/>
    <w:rsid w:val="00953653"/>
    <w:rsid w:val="00953776"/>
    <w:rsid w:val="00953D4B"/>
    <w:rsid w:val="00953EBB"/>
    <w:rsid w:val="00953FB6"/>
    <w:rsid w:val="0095468F"/>
    <w:rsid w:val="00954F61"/>
    <w:rsid w:val="00955A97"/>
    <w:rsid w:val="00955E1F"/>
    <w:rsid w:val="00956279"/>
    <w:rsid w:val="0095651A"/>
    <w:rsid w:val="0095657C"/>
    <w:rsid w:val="009565CA"/>
    <w:rsid w:val="00956E0E"/>
    <w:rsid w:val="0095720E"/>
    <w:rsid w:val="009577B3"/>
    <w:rsid w:val="00960480"/>
    <w:rsid w:val="00960960"/>
    <w:rsid w:val="00960BDD"/>
    <w:rsid w:val="00960D57"/>
    <w:rsid w:val="009611A4"/>
    <w:rsid w:val="00961BD9"/>
    <w:rsid w:val="00961CA6"/>
    <w:rsid w:val="0096218F"/>
    <w:rsid w:val="00962876"/>
    <w:rsid w:val="00962ABF"/>
    <w:rsid w:val="009632EA"/>
    <w:rsid w:val="009636B9"/>
    <w:rsid w:val="00963D43"/>
    <w:rsid w:val="00963DF0"/>
    <w:rsid w:val="00963EE8"/>
    <w:rsid w:val="00964348"/>
    <w:rsid w:val="00964CE2"/>
    <w:rsid w:val="00964D3E"/>
    <w:rsid w:val="00964D4F"/>
    <w:rsid w:val="0096570A"/>
    <w:rsid w:val="0096597E"/>
    <w:rsid w:val="00965FE4"/>
    <w:rsid w:val="009665FF"/>
    <w:rsid w:val="0096687C"/>
    <w:rsid w:val="00967346"/>
    <w:rsid w:val="00967BC2"/>
    <w:rsid w:val="00970075"/>
    <w:rsid w:val="009700D6"/>
    <w:rsid w:val="009700FB"/>
    <w:rsid w:val="009703EA"/>
    <w:rsid w:val="00970DB7"/>
    <w:rsid w:val="00971118"/>
    <w:rsid w:val="0097125F"/>
    <w:rsid w:val="009717B3"/>
    <w:rsid w:val="009718D9"/>
    <w:rsid w:val="00972033"/>
    <w:rsid w:val="009722BA"/>
    <w:rsid w:val="00972449"/>
    <w:rsid w:val="00972EE1"/>
    <w:rsid w:val="00973051"/>
    <w:rsid w:val="0097306D"/>
    <w:rsid w:val="0097360B"/>
    <w:rsid w:val="0097386E"/>
    <w:rsid w:val="009738EC"/>
    <w:rsid w:val="00973E52"/>
    <w:rsid w:val="00974495"/>
    <w:rsid w:val="009744F7"/>
    <w:rsid w:val="00974D79"/>
    <w:rsid w:val="00975093"/>
    <w:rsid w:val="009757BA"/>
    <w:rsid w:val="009765C0"/>
    <w:rsid w:val="009766E7"/>
    <w:rsid w:val="009766EB"/>
    <w:rsid w:val="009769B2"/>
    <w:rsid w:val="00976D68"/>
    <w:rsid w:val="00976DFB"/>
    <w:rsid w:val="00976EE1"/>
    <w:rsid w:val="009777C1"/>
    <w:rsid w:val="009779F4"/>
    <w:rsid w:val="00977F1B"/>
    <w:rsid w:val="00980013"/>
    <w:rsid w:val="0098179A"/>
    <w:rsid w:val="0098209F"/>
    <w:rsid w:val="009825CA"/>
    <w:rsid w:val="00982967"/>
    <w:rsid w:val="00983817"/>
    <w:rsid w:val="00983C71"/>
    <w:rsid w:val="00983E46"/>
    <w:rsid w:val="009846F7"/>
    <w:rsid w:val="009848DB"/>
    <w:rsid w:val="009853A2"/>
    <w:rsid w:val="0098587E"/>
    <w:rsid w:val="0098591D"/>
    <w:rsid w:val="00985BEA"/>
    <w:rsid w:val="00985D9E"/>
    <w:rsid w:val="00986154"/>
    <w:rsid w:val="009871C9"/>
    <w:rsid w:val="0098763B"/>
    <w:rsid w:val="0098793C"/>
    <w:rsid w:val="00987BA3"/>
    <w:rsid w:val="0099012D"/>
    <w:rsid w:val="009909B8"/>
    <w:rsid w:val="00990F73"/>
    <w:rsid w:val="0099143D"/>
    <w:rsid w:val="00991AA3"/>
    <w:rsid w:val="009921E6"/>
    <w:rsid w:val="00992374"/>
    <w:rsid w:val="00992431"/>
    <w:rsid w:val="0099270F"/>
    <w:rsid w:val="00992B01"/>
    <w:rsid w:val="00993053"/>
    <w:rsid w:val="0099333A"/>
    <w:rsid w:val="00993F46"/>
    <w:rsid w:val="00994301"/>
    <w:rsid w:val="0099486C"/>
    <w:rsid w:val="009948C4"/>
    <w:rsid w:val="009951C0"/>
    <w:rsid w:val="00995713"/>
    <w:rsid w:val="00995B91"/>
    <w:rsid w:val="009967F3"/>
    <w:rsid w:val="009969AE"/>
    <w:rsid w:val="00996C9B"/>
    <w:rsid w:val="00996D24"/>
    <w:rsid w:val="009971AF"/>
    <w:rsid w:val="009977EF"/>
    <w:rsid w:val="009A0606"/>
    <w:rsid w:val="009A0671"/>
    <w:rsid w:val="009A0AFE"/>
    <w:rsid w:val="009A0C34"/>
    <w:rsid w:val="009A0FBF"/>
    <w:rsid w:val="009A1430"/>
    <w:rsid w:val="009A1F42"/>
    <w:rsid w:val="009A2397"/>
    <w:rsid w:val="009A23EC"/>
    <w:rsid w:val="009A2A0F"/>
    <w:rsid w:val="009A2BA0"/>
    <w:rsid w:val="009A2C67"/>
    <w:rsid w:val="009A3482"/>
    <w:rsid w:val="009A3EF7"/>
    <w:rsid w:val="009A4077"/>
    <w:rsid w:val="009A4D3B"/>
    <w:rsid w:val="009A5A69"/>
    <w:rsid w:val="009A655A"/>
    <w:rsid w:val="009A67FC"/>
    <w:rsid w:val="009A6EB8"/>
    <w:rsid w:val="009A70C4"/>
    <w:rsid w:val="009A7B93"/>
    <w:rsid w:val="009A7CE1"/>
    <w:rsid w:val="009A7E5C"/>
    <w:rsid w:val="009B013E"/>
    <w:rsid w:val="009B0237"/>
    <w:rsid w:val="009B03A5"/>
    <w:rsid w:val="009B097E"/>
    <w:rsid w:val="009B0D08"/>
    <w:rsid w:val="009B1371"/>
    <w:rsid w:val="009B1D72"/>
    <w:rsid w:val="009B1F76"/>
    <w:rsid w:val="009B25CD"/>
    <w:rsid w:val="009B2F0F"/>
    <w:rsid w:val="009B3DF8"/>
    <w:rsid w:val="009B3F48"/>
    <w:rsid w:val="009B46C8"/>
    <w:rsid w:val="009B4CEE"/>
    <w:rsid w:val="009B4F00"/>
    <w:rsid w:val="009B5528"/>
    <w:rsid w:val="009B5640"/>
    <w:rsid w:val="009B5AF3"/>
    <w:rsid w:val="009B5B2D"/>
    <w:rsid w:val="009B5D52"/>
    <w:rsid w:val="009B61DF"/>
    <w:rsid w:val="009B6AE9"/>
    <w:rsid w:val="009B7027"/>
    <w:rsid w:val="009B7028"/>
    <w:rsid w:val="009B7186"/>
    <w:rsid w:val="009B7231"/>
    <w:rsid w:val="009B7D7B"/>
    <w:rsid w:val="009C04A9"/>
    <w:rsid w:val="009C15F4"/>
    <w:rsid w:val="009C1971"/>
    <w:rsid w:val="009C1F55"/>
    <w:rsid w:val="009C25E7"/>
    <w:rsid w:val="009C2686"/>
    <w:rsid w:val="009C30E2"/>
    <w:rsid w:val="009C33D2"/>
    <w:rsid w:val="009C3CF6"/>
    <w:rsid w:val="009C3E0A"/>
    <w:rsid w:val="009C3FEC"/>
    <w:rsid w:val="009C40CE"/>
    <w:rsid w:val="009C46A5"/>
    <w:rsid w:val="009C4A33"/>
    <w:rsid w:val="009C4A41"/>
    <w:rsid w:val="009C4B6B"/>
    <w:rsid w:val="009C516B"/>
    <w:rsid w:val="009C5966"/>
    <w:rsid w:val="009C6036"/>
    <w:rsid w:val="009D045F"/>
    <w:rsid w:val="009D05BF"/>
    <w:rsid w:val="009D060D"/>
    <w:rsid w:val="009D07C3"/>
    <w:rsid w:val="009D0A8F"/>
    <w:rsid w:val="009D0EBC"/>
    <w:rsid w:val="009D0FF8"/>
    <w:rsid w:val="009D19E0"/>
    <w:rsid w:val="009D1A77"/>
    <w:rsid w:val="009D1BEC"/>
    <w:rsid w:val="009D1E9D"/>
    <w:rsid w:val="009D1F60"/>
    <w:rsid w:val="009D203E"/>
    <w:rsid w:val="009D227B"/>
    <w:rsid w:val="009D22E3"/>
    <w:rsid w:val="009D2EB9"/>
    <w:rsid w:val="009D2EBA"/>
    <w:rsid w:val="009D3148"/>
    <w:rsid w:val="009D3702"/>
    <w:rsid w:val="009D388C"/>
    <w:rsid w:val="009D3993"/>
    <w:rsid w:val="009D3E01"/>
    <w:rsid w:val="009D435B"/>
    <w:rsid w:val="009D44D6"/>
    <w:rsid w:val="009D4C66"/>
    <w:rsid w:val="009D4E61"/>
    <w:rsid w:val="009D5305"/>
    <w:rsid w:val="009D568A"/>
    <w:rsid w:val="009D5B8D"/>
    <w:rsid w:val="009D628D"/>
    <w:rsid w:val="009D6497"/>
    <w:rsid w:val="009D71FF"/>
    <w:rsid w:val="009D798A"/>
    <w:rsid w:val="009D7E3B"/>
    <w:rsid w:val="009E0097"/>
    <w:rsid w:val="009E0557"/>
    <w:rsid w:val="009E0720"/>
    <w:rsid w:val="009E0970"/>
    <w:rsid w:val="009E0F3D"/>
    <w:rsid w:val="009E2426"/>
    <w:rsid w:val="009E25BC"/>
    <w:rsid w:val="009E275F"/>
    <w:rsid w:val="009E304F"/>
    <w:rsid w:val="009E3553"/>
    <w:rsid w:val="009E4AD6"/>
    <w:rsid w:val="009E510B"/>
    <w:rsid w:val="009E543F"/>
    <w:rsid w:val="009E5700"/>
    <w:rsid w:val="009E5BDB"/>
    <w:rsid w:val="009E5F82"/>
    <w:rsid w:val="009E6CCC"/>
    <w:rsid w:val="009E7209"/>
    <w:rsid w:val="009E75BB"/>
    <w:rsid w:val="009E76BB"/>
    <w:rsid w:val="009E7CE5"/>
    <w:rsid w:val="009E7D99"/>
    <w:rsid w:val="009F01A8"/>
    <w:rsid w:val="009F033E"/>
    <w:rsid w:val="009F03F4"/>
    <w:rsid w:val="009F0E49"/>
    <w:rsid w:val="009F1D17"/>
    <w:rsid w:val="009F2111"/>
    <w:rsid w:val="009F229A"/>
    <w:rsid w:val="009F233B"/>
    <w:rsid w:val="009F236D"/>
    <w:rsid w:val="009F2C35"/>
    <w:rsid w:val="009F2D7E"/>
    <w:rsid w:val="009F3405"/>
    <w:rsid w:val="009F35BF"/>
    <w:rsid w:val="009F3641"/>
    <w:rsid w:val="009F3EAF"/>
    <w:rsid w:val="009F4798"/>
    <w:rsid w:val="009F4E8E"/>
    <w:rsid w:val="009F4F0E"/>
    <w:rsid w:val="009F54A2"/>
    <w:rsid w:val="009F5754"/>
    <w:rsid w:val="009F585A"/>
    <w:rsid w:val="009F6072"/>
    <w:rsid w:val="009F65CC"/>
    <w:rsid w:val="009F671E"/>
    <w:rsid w:val="009F67BD"/>
    <w:rsid w:val="009F6816"/>
    <w:rsid w:val="009F6CB1"/>
    <w:rsid w:val="009F731E"/>
    <w:rsid w:val="009F7795"/>
    <w:rsid w:val="009F786B"/>
    <w:rsid w:val="009F797E"/>
    <w:rsid w:val="009F79CF"/>
    <w:rsid w:val="00A001FE"/>
    <w:rsid w:val="00A00322"/>
    <w:rsid w:val="00A00611"/>
    <w:rsid w:val="00A00944"/>
    <w:rsid w:val="00A0169A"/>
    <w:rsid w:val="00A01F0D"/>
    <w:rsid w:val="00A027BA"/>
    <w:rsid w:val="00A02DD0"/>
    <w:rsid w:val="00A036A0"/>
    <w:rsid w:val="00A037A4"/>
    <w:rsid w:val="00A03C3A"/>
    <w:rsid w:val="00A040E8"/>
    <w:rsid w:val="00A0455D"/>
    <w:rsid w:val="00A04899"/>
    <w:rsid w:val="00A04950"/>
    <w:rsid w:val="00A04B51"/>
    <w:rsid w:val="00A04EA7"/>
    <w:rsid w:val="00A058AB"/>
    <w:rsid w:val="00A0606A"/>
    <w:rsid w:val="00A060AA"/>
    <w:rsid w:val="00A06F24"/>
    <w:rsid w:val="00A071AD"/>
    <w:rsid w:val="00A07267"/>
    <w:rsid w:val="00A0728A"/>
    <w:rsid w:val="00A07AE8"/>
    <w:rsid w:val="00A07B90"/>
    <w:rsid w:val="00A1035E"/>
    <w:rsid w:val="00A1102D"/>
    <w:rsid w:val="00A112DB"/>
    <w:rsid w:val="00A11343"/>
    <w:rsid w:val="00A11791"/>
    <w:rsid w:val="00A11829"/>
    <w:rsid w:val="00A11EDE"/>
    <w:rsid w:val="00A1281A"/>
    <w:rsid w:val="00A1370A"/>
    <w:rsid w:val="00A13DB2"/>
    <w:rsid w:val="00A13F70"/>
    <w:rsid w:val="00A141F8"/>
    <w:rsid w:val="00A142F3"/>
    <w:rsid w:val="00A14C03"/>
    <w:rsid w:val="00A14CC1"/>
    <w:rsid w:val="00A14E0C"/>
    <w:rsid w:val="00A1537F"/>
    <w:rsid w:val="00A15BA0"/>
    <w:rsid w:val="00A15C20"/>
    <w:rsid w:val="00A16FDF"/>
    <w:rsid w:val="00A16FFF"/>
    <w:rsid w:val="00A17B4E"/>
    <w:rsid w:val="00A17C8D"/>
    <w:rsid w:val="00A200E2"/>
    <w:rsid w:val="00A20208"/>
    <w:rsid w:val="00A20619"/>
    <w:rsid w:val="00A20EA7"/>
    <w:rsid w:val="00A2149B"/>
    <w:rsid w:val="00A214CC"/>
    <w:rsid w:val="00A21722"/>
    <w:rsid w:val="00A21807"/>
    <w:rsid w:val="00A22001"/>
    <w:rsid w:val="00A22358"/>
    <w:rsid w:val="00A2267B"/>
    <w:rsid w:val="00A226D5"/>
    <w:rsid w:val="00A2285F"/>
    <w:rsid w:val="00A22B3B"/>
    <w:rsid w:val="00A22CFA"/>
    <w:rsid w:val="00A23026"/>
    <w:rsid w:val="00A23492"/>
    <w:rsid w:val="00A23B8F"/>
    <w:rsid w:val="00A23F77"/>
    <w:rsid w:val="00A24004"/>
    <w:rsid w:val="00A24779"/>
    <w:rsid w:val="00A248CF"/>
    <w:rsid w:val="00A24A55"/>
    <w:rsid w:val="00A24A85"/>
    <w:rsid w:val="00A24F1A"/>
    <w:rsid w:val="00A25885"/>
    <w:rsid w:val="00A25AE4"/>
    <w:rsid w:val="00A25E9A"/>
    <w:rsid w:val="00A2757F"/>
    <w:rsid w:val="00A27A5B"/>
    <w:rsid w:val="00A301A6"/>
    <w:rsid w:val="00A3045D"/>
    <w:rsid w:val="00A308CE"/>
    <w:rsid w:val="00A30CEE"/>
    <w:rsid w:val="00A31749"/>
    <w:rsid w:val="00A317A1"/>
    <w:rsid w:val="00A31823"/>
    <w:rsid w:val="00A31AFB"/>
    <w:rsid w:val="00A3215D"/>
    <w:rsid w:val="00A321A0"/>
    <w:rsid w:val="00A3225A"/>
    <w:rsid w:val="00A32321"/>
    <w:rsid w:val="00A327C0"/>
    <w:rsid w:val="00A32DC9"/>
    <w:rsid w:val="00A331D7"/>
    <w:rsid w:val="00A33751"/>
    <w:rsid w:val="00A337AE"/>
    <w:rsid w:val="00A33A02"/>
    <w:rsid w:val="00A33B1A"/>
    <w:rsid w:val="00A3458A"/>
    <w:rsid w:val="00A3475C"/>
    <w:rsid w:val="00A354E0"/>
    <w:rsid w:val="00A35C0C"/>
    <w:rsid w:val="00A3647F"/>
    <w:rsid w:val="00A3710D"/>
    <w:rsid w:val="00A3724A"/>
    <w:rsid w:val="00A372E9"/>
    <w:rsid w:val="00A37575"/>
    <w:rsid w:val="00A402A4"/>
    <w:rsid w:val="00A405CF"/>
    <w:rsid w:val="00A40C38"/>
    <w:rsid w:val="00A4100F"/>
    <w:rsid w:val="00A41673"/>
    <w:rsid w:val="00A41698"/>
    <w:rsid w:val="00A4174B"/>
    <w:rsid w:val="00A41A4F"/>
    <w:rsid w:val="00A41B59"/>
    <w:rsid w:val="00A41C09"/>
    <w:rsid w:val="00A41F7D"/>
    <w:rsid w:val="00A41F99"/>
    <w:rsid w:val="00A42194"/>
    <w:rsid w:val="00A42278"/>
    <w:rsid w:val="00A42338"/>
    <w:rsid w:val="00A4292C"/>
    <w:rsid w:val="00A429F9"/>
    <w:rsid w:val="00A42DBA"/>
    <w:rsid w:val="00A4355A"/>
    <w:rsid w:val="00A43701"/>
    <w:rsid w:val="00A43F2D"/>
    <w:rsid w:val="00A43F82"/>
    <w:rsid w:val="00A44414"/>
    <w:rsid w:val="00A4463F"/>
    <w:rsid w:val="00A44E4F"/>
    <w:rsid w:val="00A45145"/>
    <w:rsid w:val="00A45375"/>
    <w:rsid w:val="00A458E0"/>
    <w:rsid w:val="00A45C5B"/>
    <w:rsid w:val="00A45FE6"/>
    <w:rsid w:val="00A464FD"/>
    <w:rsid w:val="00A46D65"/>
    <w:rsid w:val="00A46DCD"/>
    <w:rsid w:val="00A509FF"/>
    <w:rsid w:val="00A50E21"/>
    <w:rsid w:val="00A51159"/>
    <w:rsid w:val="00A51646"/>
    <w:rsid w:val="00A5275E"/>
    <w:rsid w:val="00A52BE0"/>
    <w:rsid w:val="00A53203"/>
    <w:rsid w:val="00A53220"/>
    <w:rsid w:val="00A53735"/>
    <w:rsid w:val="00A53C6A"/>
    <w:rsid w:val="00A549B9"/>
    <w:rsid w:val="00A54A0D"/>
    <w:rsid w:val="00A54C21"/>
    <w:rsid w:val="00A54F07"/>
    <w:rsid w:val="00A550E4"/>
    <w:rsid w:val="00A5540A"/>
    <w:rsid w:val="00A5566F"/>
    <w:rsid w:val="00A557BE"/>
    <w:rsid w:val="00A56A98"/>
    <w:rsid w:val="00A56DA3"/>
    <w:rsid w:val="00A57003"/>
    <w:rsid w:val="00A5730D"/>
    <w:rsid w:val="00A5785F"/>
    <w:rsid w:val="00A57C93"/>
    <w:rsid w:val="00A60100"/>
    <w:rsid w:val="00A601AF"/>
    <w:rsid w:val="00A6087B"/>
    <w:rsid w:val="00A6090E"/>
    <w:rsid w:val="00A61947"/>
    <w:rsid w:val="00A61ED1"/>
    <w:rsid w:val="00A62904"/>
    <w:rsid w:val="00A63513"/>
    <w:rsid w:val="00A63A82"/>
    <w:rsid w:val="00A63EF6"/>
    <w:rsid w:val="00A64272"/>
    <w:rsid w:val="00A646FD"/>
    <w:rsid w:val="00A6471B"/>
    <w:rsid w:val="00A64C91"/>
    <w:rsid w:val="00A64E5A"/>
    <w:rsid w:val="00A65353"/>
    <w:rsid w:val="00A657BD"/>
    <w:rsid w:val="00A65D60"/>
    <w:rsid w:val="00A65D9F"/>
    <w:rsid w:val="00A66A8C"/>
    <w:rsid w:val="00A66B80"/>
    <w:rsid w:val="00A6716D"/>
    <w:rsid w:val="00A67658"/>
    <w:rsid w:val="00A67B89"/>
    <w:rsid w:val="00A67CA2"/>
    <w:rsid w:val="00A67DAD"/>
    <w:rsid w:val="00A67DB8"/>
    <w:rsid w:val="00A70159"/>
    <w:rsid w:val="00A70938"/>
    <w:rsid w:val="00A70B31"/>
    <w:rsid w:val="00A70C29"/>
    <w:rsid w:val="00A7175D"/>
    <w:rsid w:val="00A719AF"/>
    <w:rsid w:val="00A719C1"/>
    <w:rsid w:val="00A72C41"/>
    <w:rsid w:val="00A73193"/>
    <w:rsid w:val="00A73716"/>
    <w:rsid w:val="00A73827"/>
    <w:rsid w:val="00A74A9D"/>
    <w:rsid w:val="00A75FE8"/>
    <w:rsid w:val="00A762A1"/>
    <w:rsid w:val="00A76D35"/>
    <w:rsid w:val="00A77268"/>
    <w:rsid w:val="00A77A84"/>
    <w:rsid w:val="00A77E8A"/>
    <w:rsid w:val="00A8061F"/>
    <w:rsid w:val="00A8068F"/>
    <w:rsid w:val="00A80BCC"/>
    <w:rsid w:val="00A80DCB"/>
    <w:rsid w:val="00A81977"/>
    <w:rsid w:val="00A81D70"/>
    <w:rsid w:val="00A8212E"/>
    <w:rsid w:val="00A8229D"/>
    <w:rsid w:val="00A828A2"/>
    <w:rsid w:val="00A82970"/>
    <w:rsid w:val="00A82E22"/>
    <w:rsid w:val="00A82FE0"/>
    <w:rsid w:val="00A8498A"/>
    <w:rsid w:val="00A84B86"/>
    <w:rsid w:val="00A84CA5"/>
    <w:rsid w:val="00A84E94"/>
    <w:rsid w:val="00A85157"/>
    <w:rsid w:val="00A853B0"/>
    <w:rsid w:val="00A85CA9"/>
    <w:rsid w:val="00A868AA"/>
    <w:rsid w:val="00A875E7"/>
    <w:rsid w:val="00A878AE"/>
    <w:rsid w:val="00A87AE0"/>
    <w:rsid w:val="00A87C2D"/>
    <w:rsid w:val="00A87D5D"/>
    <w:rsid w:val="00A903EB"/>
    <w:rsid w:val="00A9079B"/>
    <w:rsid w:val="00A9219F"/>
    <w:rsid w:val="00A92BCC"/>
    <w:rsid w:val="00A932E8"/>
    <w:rsid w:val="00A93955"/>
    <w:rsid w:val="00A93B28"/>
    <w:rsid w:val="00A93CDD"/>
    <w:rsid w:val="00A93D07"/>
    <w:rsid w:val="00A941DD"/>
    <w:rsid w:val="00A9435D"/>
    <w:rsid w:val="00A944DB"/>
    <w:rsid w:val="00A94D25"/>
    <w:rsid w:val="00A94FE2"/>
    <w:rsid w:val="00A94FF9"/>
    <w:rsid w:val="00A95186"/>
    <w:rsid w:val="00A95527"/>
    <w:rsid w:val="00A959EB"/>
    <w:rsid w:val="00A9694A"/>
    <w:rsid w:val="00A96D8E"/>
    <w:rsid w:val="00A97306"/>
    <w:rsid w:val="00A97800"/>
    <w:rsid w:val="00A9792B"/>
    <w:rsid w:val="00A979AD"/>
    <w:rsid w:val="00A97D91"/>
    <w:rsid w:val="00A97FF2"/>
    <w:rsid w:val="00AA0184"/>
    <w:rsid w:val="00AA0419"/>
    <w:rsid w:val="00AA044A"/>
    <w:rsid w:val="00AA052B"/>
    <w:rsid w:val="00AA0779"/>
    <w:rsid w:val="00AA0782"/>
    <w:rsid w:val="00AA0968"/>
    <w:rsid w:val="00AA0E4E"/>
    <w:rsid w:val="00AA0EC4"/>
    <w:rsid w:val="00AA11D0"/>
    <w:rsid w:val="00AA19C1"/>
    <w:rsid w:val="00AA24C1"/>
    <w:rsid w:val="00AA2671"/>
    <w:rsid w:val="00AA2ABE"/>
    <w:rsid w:val="00AA2C48"/>
    <w:rsid w:val="00AA36F1"/>
    <w:rsid w:val="00AA3864"/>
    <w:rsid w:val="00AA38A9"/>
    <w:rsid w:val="00AA399A"/>
    <w:rsid w:val="00AA3A9E"/>
    <w:rsid w:val="00AA3E93"/>
    <w:rsid w:val="00AA44FF"/>
    <w:rsid w:val="00AA4565"/>
    <w:rsid w:val="00AA55D4"/>
    <w:rsid w:val="00AA5ABD"/>
    <w:rsid w:val="00AA614B"/>
    <w:rsid w:val="00AA6C5A"/>
    <w:rsid w:val="00AA6D3C"/>
    <w:rsid w:val="00AA6F9D"/>
    <w:rsid w:val="00AA6FCF"/>
    <w:rsid w:val="00AA748E"/>
    <w:rsid w:val="00AA781B"/>
    <w:rsid w:val="00AA79CB"/>
    <w:rsid w:val="00AA7CAD"/>
    <w:rsid w:val="00AB06D9"/>
    <w:rsid w:val="00AB0E3A"/>
    <w:rsid w:val="00AB2323"/>
    <w:rsid w:val="00AB2F5E"/>
    <w:rsid w:val="00AB34FA"/>
    <w:rsid w:val="00AB364A"/>
    <w:rsid w:val="00AB4772"/>
    <w:rsid w:val="00AB546C"/>
    <w:rsid w:val="00AB546E"/>
    <w:rsid w:val="00AB5D99"/>
    <w:rsid w:val="00AB6560"/>
    <w:rsid w:val="00AB6B3E"/>
    <w:rsid w:val="00AB7413"/>
    <w:rsid w:val="00AB75F4"/>
    <w:rsid w:val="00AB78C4"/>
    <w:rsid w:val="00AB7DC1"/>
    <w:rsid w:val="00AC038E"/>
    <w:rsid w:val="00AC06DA"/>
    <w:rsid w:val="00AC28BB"/>
    <w:rsid w:val="00AC2976"/>
    <w:rsid w:val="00AC2A72"/>
    <w:rsid w:val="00AC2B90"/>
    <w:rsid w:val="00AC2D58"/>
    <w:rsid w:val="00AC2F64"/>
    <w:rsid w:val="00AC32F8"/>
    <w:rsid w:val="00AC35E0"/>
    <w:rsid w:val="00AC3E7B"/>
    <w:rsid w:val="00AC4A56"/>
    <w:rsid w:val="00AC4B5A"/>
    <w:rsid w:val="00AC4DF4"/>
    <w:rsid w:val="00AC5F63"/>
    <w:rsid w:val="00AC641D"/>
    <w:rsid w:val="00AC66F8"/>
    <w:rsid w:val="00AC6830"/>
    <w:rsid w:val="00AC6D1B"/>
    <w:rsid w:val="00AC6DFF"/>
    <w:rsid w:val="00AC6F48"/>
    <w:rsid w:val="00AC701E"/>
    <w:rsid w:val="00AC74DA"/>
    <w:rsid w:val="00AD0512"/>
    <w:rsid w:val="00AD112D"/>
    <w:rsid w:val="00AD1170"/>
    <w:rsid w:val="00AD1345"/>
    <w:rsid w:val="00AD1722"/>
    <w:rsid w:val="00AD1917"/>
    <w:rsid w:val="00AD1BDB"/>
    <w:rsid w:val="00AD1C83"/>
    <w:rsid w:val="00AD2327"/>
    <w:rsid w:val="00AD25D0"/>
    <w:rsid w:val="00AD2771"/>
    <w:rsid w:val="00AD2AAC"/>
    <w:rsid w:val="00AD2D74"/>
    <w:rsid w:val="00AD33CB"/>
    <w:rsid w:val="00AD3A86"/>
    <w:rsid w:val="00AD3B62"/>
    <w:rsid w:val="00AD3F01"/>
    <w:rsid w:val="00AD49E6"/>
    <w:rsid w:val="00AD4FDE"/>
    <w:rsid w:val="00AD5080"/>
    <w:rsid w:val="00AD50C1"/>
    <w:rsid w:val="00AD5515"/>
    <w:rsid w:val="00AD58A6"/>
    <w:rsid w:val="00AD62A9"/>
    <w:rsid w:val="00AD65E7"/>
    <w:rsid w:val="00AD67BE"/>
    <w:rsid w:val="00AD6D19"/>
    <w:rsid w:val="00AD6D75"/>
    <w:rsid w:val="00AD76C8"/>
    <w:rsid w:val="00AD777F"/>
    <w:rsid w:val="00AD7A91"/>
    <w:rsid w:val="00AE04CA"/>
    <w:rsid w:val="00AE0CD6"/>
    <w:rsid w:val="00AE1543"/>
    <w:rsid w:val="00AE1669"/>
    <w:rsid w:val="00AE16A2"/>
    <w:rsid w:val="00AE1BD4"/>
    <w:rsid w:val="00AE22B7"/>
    <w:rsid w:val="00AE2314"/>
    <w:rsid w:val="00AE284F"/>
    <w:rsid w:val="00AE2A3A"/>
    <w:rsid w:val="00AE2DD7"/>
    <w:rsid w:val="00AE319C"/>
    <w:rsid w:val="00AE3D82"/>
    <w:rsid w:val="00AE438F"/>
    <w:rsid w:val="00AE4415"/>
    <w:rsid w:val="00AE4C03"/>
    <w:rsid w:val="00AE57B3"/>
    <w:rsid w:val="00AE57F5"/>
    <w:rsid w:val="00AE5DF2"/>
    <w:rsid w:val="00AE612E"/>
    <w:rsid w:val="00AE6848"/>
    <w:rsid w:val="00AE69BF"/>
    <w:rsid w:val="00AE6A4F"/>
    <w:rsid w:val="00AE6D17"/>
    <w:rsid w:val="00AE6D5A"/>
    <w:rsid w:val="00AE72F3"/>
    <w:rsid w:val="00AE72F7"/>
    <w:rsid w:val="00AE7309"/>
    <w:rsid w:val="00AF0240"/>
    <w:rsid w:val="00AF05BC"/>
    <w:rsid w:val="00AF05CB"/>
    <w:rsid w:val="00AF0795"/>
    <w:rsid w:val="00AF0861"/>
    <w:rsid w:val="00AF0A53"/>
    <w:rsid w:val="00AF0BD3"/>
    <w:rsid w:val="00AF0FCF"/>
    <w:rsid w:val="00AF1046"/>
    <w:rsid w:val="00AF12AA"/>
    <w:rsid w:val="00AF1CE1"/>
    <w:rsid w:val="00AF29A8"/>
    <w:rsid w:val="00AF2AAF"/>
    <w:rsid w:val="00AF2AF8"/>
    <w:rsid w:val="00AF30A5"/>
    <w:rsid w:val="00AF33EB"/>
    <w:rsid w:val="00AF3429"/>
    <w:rsid w:val="00AF37AC"/>
    <w:rsid w:val="00AF3A14"/>
    <w:rsid w:val="00AF3C15"/>
    <w:rsid w:val="00AF3CD0"/>
    <w:rsid w:val="00AF403A"/>
    <w:rsid w:val="00AF483F"/>
    <w:rsid w:val="00AF610E"/>
    <w:rsid w:val="00AF623B"/>
    <w:rsid w:val="00AF6340"/>
    <w:rsid w:val="00AF6821"/>
    <w:rsid w:val="00AF6B60"/>
    <w:rsid w:val="00AF6F25"/>
    <w:rsid w:val="00AF7950"/>
    <w:rsid w:val="00AF7977"/>
    <w:rsid w:val="00B0077D"/>
    <w:rsid w:val="00B0099E"/>
    <w:rsid w:val="00B00A08"/>
    <w:rsid w:val="00B01951"/>
    <w:rsid w:val="00B019AF"/>
    <w:rsid w:val="00B0298F"/>
    <w:rsid w:val="00B0312C"/>
    <w:rsid w:val="00B03156"/>
    <w:rsid w:val="00B03224"/>
    <w:rsid w:val="00B03A2C"/>
    <w:rsid w:val="00B041FC"/>
    <w:rsid w:val="00B0481D"/>
    <w:rsid w:val="00B0509A"/>
    <w:rsid w:val="00B055F1"/>
    <w:rsid w:val="00B05D41"/>
    <w:rsid w:val="00B06163"/>
    <w:rsid w:val="00B0650B"/>
    <w:rsid w:val="00B066B0"/>
    <w:rsid w:val="00B06B3D"/>
    <w:rsid w:val="00B06BD0"/>
    <w:rsid w:val="00B06D92"/>
    <w:rsid w:val="00B06F85"/>
    <w:rsid w:val="00B06FA9"/>
    <w:rsid w:val="00B07122"/>
    <w:rsid w:val="00B07250"/>
    <w:rsid w:val="00B0731A"/>
    <w:rsid w:val="00B0767F"/>
    <w:rsid w:val="00B07D67"/>
    <w:rsid w:val="00B07E05"/>
    <w:rsid w:val="00B07F1A"/>
    <w:rsid w:val="00B10288"/>
    <w:rsid w:val="00B10350"/>
    <w:rsid w:val="00B104A5"/>
    <w:rsid w:val="00B1101F"/>
    <w:rsid w:val="00B1134F"/>
    <w:rsid w:val="00B11377"/>
    <w:rsid w:val="00B12437"/>
    <w:rsid w:val="00B1313A"/>
    <w:rsid w:val="00B13675"/>
    <w:rsid w:val="00B1368E"/>
    <w:rsid w:val="00B150CF"/>
    <w:rsid w:val="00B1574A"/>
    <w:rsid w:val="00B16344"/>
    <w:rsid w:val="00B16E5A"/>
    <w:rsid w:val="00B17D03"/>
    <w:rsid w:val="00B17EC7"/>
    <w:rsid w:val="00B20080"/>
    <w:rsid w:val="00B204F2"/>
    <w:rsid w:val="00B20734"/>
    <w:rsid w:val="00B20E85"/>
    <w:rsid w:val="00B2181C"/>
    <w:rsid w:val="00B2186F"/>
    <w:rsid w:val="00B218A4"/>
    <w:rsid w:val="00B21AFF"/>
    <w:rsid w:val="00B21B8B"/>
    <w:rsid w:val="00B22156"/>
    <w:rsid w:val="00B2218F"/>
    <w:rsid w:val="00B22FD3"/>
    <w:rsid w:val="00B23677"/>
    <w:rsid w:val="00B23A25"/>
    <w:rsid w:val="00B243B5"/>
    <w:rsid w:val="00B2494B"/>
    <w:rsid w:val="00B24CAB"/>
    <w:rsid w:val="00B24DA6"/>
    <w:rsid w:val="00B254DE"/>
    <w:rsid w:val="00B25AF0"/>
    <w:rsid w:val="00B260BB"/>
    <w:rsid w:val="00B27341"/>
    <w:rsid w:val="00B27B34"/>
    <w:rsid w:val="00B27D60"/>
    <w:rsid w:val="00B3004D"/>
    <w:rsid w:val="00B30549"/>
    <w:rsid w:val="00B306FC"/>
    <w:rsid w:val="00B30B9E"/>
    <w:rsid w:val="00B30CE5"/>
    <w:rsid w:val="00B30D54"/>
    <w:rsid w:val="00B30D6E"/>
    <w:rsid w:val="00B30DBF"/>
    <w:rsid w:val="00B30F41"/>
    <w:rsid w:val="00B3126C"/>
    <w:rsid w:val="00B314F2"/>
    <w:rsid w:val="00B3155E"/>
    <w:rsid w:val="00B31731"/>
    <w:rsid w:val="00B31A7E"/>
    <w:rsid w:val="00B3209B"/>
    <w:rsid w:val="00B3254A"/>
    <w:rsid w:val="00B3294D"/>
    <w:rsid w:val="00B32EEF"/>
    <w:rsid w:val="00B33340"/>
    <w:rsid w:val="00B3337B"/>
    <w:rsid w:val="00B33CE5"/>
    <w:rsid w:val="00B33EB2"/>
    <w:rsid w:val="00B34053"/>
    <w:rsid w:val="00B343F3"/>
    <w:rsid w:val="00B3572B"/>
    <w:rsid w:val="00B362A5"/>
    <w:rsid w:val="00B363F6"/>
    <w:rsid w:val="00B36841"/>
    <w:rsid w:val="00B36C3A"/>
    <w:rsid w:val="00B3766F"/>
    <w:rsid w:val="00B40093"/>
    <w:rsid w:val="00B40726"/>
    <w:rsid w:val="00B40A1A"/>
    <w:rsid w:val="00B40BE5"/>
    <w:rsid w:val="00B40C32"/>
    <w:rsid w:val="00B4168B"/>
    <w:rsid w:val="00B41F55"/>
    <w:rsid w:val="00B42493"/>
    <w:rsid w:val="00B42AEF"/>
    <w:rsid w:val="00B42C17"/>
    <w:rsid w:val="00B433BD"/>
    <w:rsid w:val="00B43C37"/>
    <w:rsid w:val="00B43EA8"/>
    <w:rsid w:val="00B45F9F"/>
    <w:rsid w:val="00B46117"/>
    <w:rsid w:val="00B465B2"/>
    <w:rsid w:val="00B467FA"/>
    <w:rsid w:val="00B46A7F"/>
    <w:rsid w:val="00B46C2A"/>
    <w:rsid w:val="00B46D13"/>
    <w:rsid w:val="00B47A82"/>
    <w:rsid w:val="00B47D06"/>
    <w:rsid w:val="00B47EE2"/>
    <w:rsid w:val="00B50446"/>
    <w:rsid w:val="00B50694"/>
    <w:rsid w:val="00B514DF"/>
    <w:rsid w:val="00B51743"/>
    <w:rsid w:val="00B51F34"/>
    <w:rsid w:val="00B521CF"/>
    <w:rsid w:val="00B52716"/>
    <w:rsid w:val="00B52740"/>
    <w:rsid w:val="00B527DE"/>
    <w:rsid w:val="00B52B4C"/>
    <w:rsid w:val="00B52B4D"/>
    <w:rsid w:val="00B52CA0"/>
    <w:rsid w:val="00B52E3D"/>
    <w:rsid w:val="00B52FF3"/>
    <w:rsid w:val="00B53037"/>
    <w:rsid w:val="00B53670"/>
    <w:rsid w:val="00B53D06"/>
    <w:rsid w:val="00B53F36"/>
    <w:rsid w:val="00B54188"/>
    <w:rsid w:val="00B543A1"/>
    <w:rsid w:val="00B54B44"/>
    <w:rsid w:val="00B55068"/>
    <w:rsid w:val="00B550F2"/>
    <w:rsid w:val="00B5564B"/>
    <w:rsid w:val="00B55D4E"/>
    <w:rsid w:val="00B561CD"/>
    <w:rsid w:val="00B5634A"/>
    <w:rsid w:val="00B565F5"/>
    <w:rsid w:val="00B565F6"/>
    <w:rsid w:val="00B56FFC"/>
    <w:rsid w:val="00B5744B"/>
    <w:rsid w:val="00B5751B"/>
    <w:rsid w:val="00B57A5C"/>
    <w:rsid w:val="00B57C12"/>
    <w:rsid w:val="00B57F71"/>
    <w:rsid w:val="00B60442"/>
    <w:rsid w:val="00B60C1A"/>
    <w:rsid w:val="00B61727"/>
    <w:rsid w:val="00B61737"/>
    <w:rsid w:val="00B61D66"/>
    <w:rsid w:val="00B621FE"/>
    <w:rsid w:val="00B627F7"/>
    <w:rsid w:val="00B62B92"/>
    <w:rsid w:val="00B62D8C"/>
    <w:rsid w:val="00B63206"/>
    <w:rsid w:val="00B63E8B"/>
    <w:rsid w:val="00B63F0F"/>
    <w:rsid w:val="00B63F2E"/>
    <w:rsid w:val="00B63F97"/>
    <w:rsid w:val="00B6484C"/>
    <w:rsid w:val="00B6487C"/>
    <w:rsid w:val="00B64951"/>
    <w:rsid w:val="00B64969"/>
    <w:rsid w:val="00B65022"/>
    <w:rsid w:val="00B6589D"/>
    <w:rsid w:val="00B65C32"/>
    <w:rsid w:val="00B6631F"/>
    <w:rsid w:val="00B66918"/>
    <w:rsid w:val="00B66BC8"/>
    <w:rsid w:val="00B675B8"/>
    <w:rsid w:val="00B676A3"/>
    <w:rsid w:val="00B6793D"/>
    <w:rsid w:val="00B67BCD"/>
    <w:rsid w:val="00B7032E"/>
    <w:rsid w:val="00B705C8"/>
    <w:rsid w:val="00B70719"/>
    <w:rsid w:val="00B707CD"/>
    <w:rsid w:val="00B70B4A"/>
    <w:rsid w:val="00B71162"/>
    <w:rsid w:val="00B71163"/>
    <w:rsid w:val="00B71166"/>
    <w:rsid w:val="00B712C5"/>
    <w:rsid w:val="00B7137A"/>
    <w:rsid w:val="00B7181D"/>
    <w:rsid w:val="00B718A9"/>
    <w:rsid w:val="00B71AC5"/>
    <w:rsid w:val="00B71BE0"/>
    <w:rsid w:val="00B71F30"/>
    <w:rsid w:val="00B727A4"/>
    <w:rsid w:val="00B73DC9"/>
    <w:rsid w:val="00B743C3"/>
    <w:rsid w:val="00B7523B"/>
    <w:rsid w:val="00B75AB6"/>
    <w:rsid w:val="00B76445"/>
    <w:rsid w:val="00B76564"/>
    <w:rsid w:val="00B76B7D"/>
    <w:rsid w:val="00B7743A"/>
    <w:rsid w:val="00B7760C"/>
    <w:rsid w:val="00B77713"/>
    <w:rsid w:val="00B778AC"/>
    <w:rsid w:val="00B77C7F"/>
    <w:rsid w:val="00B77D78"/>
    <w:rsid w:val="00B77F28"/>
    <w:rsid w:val="00B80422"/>
    <w:rsid w:val="00B80489"/>
    <w:rsid w:val="00B8059E"/>
    <w:rsid w:val="00B81132"/>
    <w:rsid w:val="00B81BCA"/>
    <w:rsid w:val="00B82011"/>
    <w:rsid w:val="00B82214"/>
    <w:rsid w:val="00B82E6C"/>
    <w:rsid w:val="00B830A3"/>
    <w:rsid w:val="00B83593"/>
    <w:rsid w:val="00B83B6C"/>
    <w:rsid w:val="00B83C90"/>
    <w:rsid w:val="00B83F58"/>
    <w:rsid w:val="00B84044"/>
    <w:rsid w:val="00B848E9"/>
    <w:rsid w:val="00B8530C"/>
    <w:rsid w:val="00B85397"/>
    <w:rsid w:val="00B85ACA"/>
    <w:rsid w:val="00B85D59"/>
    <w:rsid w:val="00B8601D"/>
    <w:rsid w:val="00B86393"/>
    <w:rsid w:val="00B86564"/>
    <w:rsid w:val="00B86910"/>
    <w:rsid w:val="00B86D45"/>
    <w:rsid w:val="00B86F7C"/>
    <w:rsid w:val="00B8701F"/>
    <w:rsid w:val="00B8709B"/>
    <w:rsid w:val="00B87207"/>
    <w:rsid w:val="00B876F9"/>
    <w:rsid w:val="00B87784"/>
    <w:rsid w:val="00B9057F"/>
    <w:rsid w:val="00B90580"/>
    <w:rsid w:val="00B90716"/>
    <w:rsid w:val="00B908F6"/>
    <w:rsid w:val="00B90FBB"/>
    <w:rsid w:val="00B918C4"/>
    <w:rsid w:val="00B919E3"/>
    <w:rsid w:val="00B91CDD"/>
    <w:rsid w:val="00B927D6"/>
    <w:rsid w:val="00B93042"/>
    <w:rsid w:val="00B93971"/>
    <w:rsid w:val="00B93A2E"/>
    <w:rsid w:val="00B93AB8"/>
    <w:rsid w:val="00B93B3A"/>
    <w:rsid w:val="00B93C00"/>
    <w:rsid w:val="00B93C0A"/>
    <w:rsid w:val="00B94558"/>
    <w:rsid w:val="00B94807"/>
    <w:rsid w:val="00B94E22"/>
    <w:rsid w:val="00B954BD"/>
    <w:rsid w:val="00B958CF"/>
    <w:rsid w:val="00B959DE"/>
    <w:rsid w:val="00B9637B"/>
    <w:rsid w:val="00B96A0E"/>
    <w:rsid w:val="00B96DBA"/>
    <w:rsid w:val="00B96E8A"/>
    <w:rsid w:val="00B96EBE"/>
    <w:rsid w:val="00B97417"/>
    <w:rsid w:val="00B977F9"/>
    <w:rsid w:val="00B9785B"/>
    <w:rsid w:val="00BA02DA"/>
    <w:rsid w:val="00BA1243"/>
    <w:rsid w:val="00BA1405"/>
    <w:rsid w:val="00BA14AD"/>
    <w:rsid w:val="00BA168E"/>
    <w:rsid w:val="00BA19D8"/>
    <w:rsid w:val="00BA1BA6"/>
    <w:rsid w:val="00BA1EEF"/>
    <w:rsid w:val="00BA222C"/>
    <w:rsid w:val="00BA26B4"/>
    <w:rsid w:val="00BA3D40"/>
    <w:rsid w:val="00BA42E9"/>
    <w:rsid w:val="00BA4BB9"/>
    <w:rsid w:val="00BA54EB"/>
    <w:rsid w:val="00BA57B6"/>
    <w:rsid w:val="00BA5CBC"/>
    <w:rsid w:val="00BA6ED6"/>
    <w:rsid w:val="00BA720A"/>
    <w:rsid w:val="00BA747F"/>
    <w:rsid w:val="00BA78FB"/>
    <w:rsid w:val="00BB04DE"/>
    <w:rsid w:val="00BB05CF"/>
    <w:rsid w:val="00BB0B30"/>
    <w:rsid w:val="00BB1C85"/>
    <w:rsid w:val="00BB3082"/>
    <w:rsid w:val="00BB30A5"/>
    <w:rsid w:val="00BB3764"/>
    <w:rsid w:val="00BB3FF3"/>
    <w:rsid w:val="00BB44AD"/>
    <w:rsid w:val="00BB45AB"/>
    <w:rsid w:val="00BB48AF"/>
    <w:rsid w:val="00BB4A92"/>
    <w:rsid w:val="00BB4DBD"/>
    <w:rsid w:val="00BB4DFC"/>
    <w:rsid w:val="00BB5105"/>
    <w:rsid w:val="00BB5475"/>
    <w:rsid w:val="00BB5749"/>
    <w:rsid w:val="00BB5DB4"/>
    <w:rsid w:val="00BB745E"/>
    <w:rsid w:val="00BB7529"/>
    <w:rsid w:val="00BB7F3C"/>
    <w:rsid w:val="00BC04CA"/>
    <w:rsid w:val="00BC0855"/>
    <w:rsid w:val="00BC0C52"/>
    <w:rsid w:val="00BC0CC4"/>
    <w:rsid w:val="00BC0EF9"/>
    <w:rsid w:val="00BC10C3"/>
    <w:rsid w:val="00BC143B"/>
    <w:rsid w:val="00BC16F1"/>
    <w:rsid w:val="00BC1E10"/>
    <w:rsid w:val="00BC2133"/>
    <w:rsid w:val="00BC269B"/>
    <w:rsid w:val="00BC2932"/>
    <w:rsid w:val="00BC2AB7"/>
    <w:rsid w:val="00BC3092"/>
    <w:rsid w:val="00BC35EB"/>
    <w:rsid w:val="00BC3DD8"/>
    <w:rsid w:val="00BC4AF0"/>
    <w:rsid w:val="00BC5128"/>
    <w:rsid w:val="00BC5193"/>
    <w:rsid w:val="00BC5366"/>
    <w:rsid w:val="00BC5613"/>
    <w:rsid w:val="00BC5C0C"/>
    <w:rsid w:val="00BC5E4B"/>
    <w:rsid w:val="00BC613D"/>
    <w:rsid w:val="00BC64E0"/>
    <w:rsid w:val="00BC69EE"/>
    <w:rsid w:val="00BC72B2"/>
    <w:rsid w:val="00BC7403"/>
    <w:rsid w:val="00BD006F"/>
    <w:rsid w:val="00BD0423"/>
    <w:rsid w:val="00BD1A7D"/>
    <w:rsid w:val="00BD1AAE"/>
    <w:rsid w:val="00BD2383"/>
    <w:rsid w:val="00BD2727"/>
    <w:rsid w:val="00BD2A63"/>
    <w:rsid w:val="00BD2A6C"/>
    <w:rsid w:val="00BD2B17"/>
    <w:rsid w:val="00BD324B"/>
    <w:rsid w:val="00BD37A6"/>
    <w:rsid w:val="00BD4451"/>
    <w:rsid w:val="00BD4AD2"/>
    <w:rsid w:val="00BD4ADB"/>
    <w:rsid w:val="00BD4D87"/>
    <w:rsid w:val="00BD5C37"/>
    <w:rsid w:val="00BD603C"/>
    <w:rsid w:val="00BD62AD"/>
    <w:rsid w:val="00BD6677"/>
    <w:rsid w:val="00BD6AE5"/>
    <w:rsid w:val="00BD6E79"/>
    <w:rsid w:val="00BD71B1"/>
    <w:rsid w:val="00BD768F"/>
    <w:rsid w:val="00BE0080"/>
    <w:rsid w:val="00BE053F"/>
    <w:rsid w:val="00BE06B6"/>
    <w:rsid w:val="00BE096D"/>
    <w:rsid w:val="00BE09C5"/>
    <w:rsid w:val="00BE0E28"/>
    <w:rsid w:val="00BE104B"/>
    <w:rsid w:val="00BE1473"/>
    <w:rsid w:val="00BE179E"/>
    <w:rsid w:val="00BE1D99"/>
    <w:rsid w:val="00BE2285"/>
    <w:rsid w:val="00BE2486"/>
    <w:rsid w:val="00BE2819"/>
    <w:rsid w:val="00BE2AB0"/>
    <w:rsid w:val="00BE3228"/>
    <w:rsid w:val="00BE3923"/>
    <w:rsid w:val="00BE4138"/>
    <w:rsid w:val="00BE5024"/>
    <w:rsid w:val="00BE55D2"/>
    <w:rsid w:val="00BE5D77"/>
    <w:rsid w:val="00BE5D94"/>
    <w:rsid w:val="00BE6049"/>
    <w:rsid w:val="00BE69B0"/>
    <w:rsid w:val="00BE76D1"/>
    <w:rsid w:val="00BE77EE"/>
    <w:rsid w:val="00BE7ADE"/>
    <w:rsid w:val="00BF0A51"/>
    <w:rsid w:val="00BF16F6"/>
    <w:rsid w:val="00BF1C5B"/>
    <w:rsid w:val="00BF1FF3"/>
    <w:rsid w:val="00BF23D7"/>
    <w:rsid w:val="00BF325C"/>
    <w:rsid w:val="00BF36F7"/>
    <w:rsid w:val="00BF3B2C"/>
    <w:rsid w:val="00BF3B94"/>
    <w:rsid w:val="00BF3D45"/>
    <w:rsid w:val="00BF3DD6"/>
    <w:rsid w:val="00BF5F86"/>
    <w:rsid w:val="00BF6C13"/>
    <w:rsid w:val="00BF702E"/>
    <w:rsid w:val="00BF77E0"/>
    <w:rsid w:val="00BF793C"/>
    <w:rsid w:val="00BF79D9"/>
    <w:rsid w:val="00BF7CB6"/>
    <w:rsid w:val="00C00428"/>
    <w:rsid w:val="00C008BC"/>
    <w:rsid w:val="00C01408"/>
    <w:rsid w:val="00C015F4"/>
    <w:rsid w:val="00C0194C"/>
    <w:rsid w:val="00C01D77"/>
    <w:rsid w:val="00C02867"/>
    <w:rsid w:val="00C02929"/>
    <w:rsid w:val="00C02933"/>
    <w:rsid w:val="00C02AD1"/>
    <w:rsid w:val="00C02BD7"/>
    <w:rsid w:val="00C032D4"/>
    <w:rsid w:val="00C03692"/>
    <w:rsid w:val="00C03A9E"/>
    <w:rsid w:val="00C03E9E"/>
    <w:rsid w:val="00C0408A"/>
    <w:rsid w:val="00C05B0D"/>
    <w:rsid w:val="00C05CFA"/>
    <w:rsid w:val="00C0676D"/>
    <w:rsid w:val="00C070BF"/>
    <w:rsid w:val="00C07146"/>
    <w:rsid w:val="00C07362"/>
    <w:rsid w:val="00C07ECA"/>
    <w:rsid w:val="00C07FBE"/>
    <w:rsid w:val="00C10D65"/>
    <w:rsid w:val="00C10D78"/>
    <w:rsid w:val="00C12D12"/>
    <w:rsid w:val="00C12D15"/>
    <w:rsid w:val="00C12F86"/>
    <w:rsid w:val="00C135DF"/>
    <w:rsid w:val="00C13707"/>
    <w:rsid w:val="00C14673"/>
    <w:rsid w:val="00C14C69"/>
    <w:rsid w:val="00C14D2B"/>
    <w:rsid w:val="00C14EA7"/>
    <w:rsid w:val="00C14F54"/>
    <w:rsid w:val="00C1570A"/>
    <w:rsid w:val="00C1578D"/>
    <w:rsid w:val="00C15806"/>
    <w:rsid w:val="00C1619B"/>
    <w:rsid w:val="00C16434"/>
    <w:rsid w:val="00C1677B"/>
    <w:rsid w:val="00C1687D"/>
    <w:rsid w:val="00C16B56"/>
    <w:rsid w:val="00C171C7"/>
    <w:rsid w:val="00C1733C"/>
    <w:rsid w:val="00C17808"/>
    <w:rsid w:val="00C17A8F"/>
    <w:rsid w:val="00C20059"/>
    <w:rsid w:val="00C204FE"/>
    <w:rsid w:val="00C2056D"/>
    <w:rsid w:val="00C20B23"/>
    <w:rsid w:val="00C20D8A"/>
    <w:rsid w:val="00C20FAA"/>
    <w:rsid w:val="00C214DD"/>
    <w:rsid w:val="00C215DD"/>
    <w:rsid w:val="00C22512"/>
    <w:rsid w:val="00C230D4"/>
    <w:rsid w:val="00C23BE6"/>
    <w:rsid w:val="00C23C02"/>
    <w:rsid w:val="00C24862"/>
    <w:rsid w:val="00C24C46"/>
    <w:rsid w:val="00C24FFF"/>
    <w:rsid w:val="00C25348"/>
    <w:rsid w:val="00C2581A"/>
    <w:rsid w:val="00C26518"/>
    <w:rsid w:val="00C265C3"/>
    <w:rsid w:val="00C26EBA"/>
    <w:rsid w:val="00C270DD"/>
    <w:rsid w:val="00C27DF1"/>
    <w:rsid w:val="00C3105E"/>
    <w:rsid w:val="00C3142A"/>
    <w:rsid w:val="00C318C9"/>
    <w:rsid w:val="00C32E44"/>
    <w:rsid w:val="00C32E7A"/>
    <w:rsid w:val="00C331D3"/>
    <w:rsid w:val="00C331E8"/>
    <w:rsid w:val="00C333F6"/>
    <w:rsid w:val="00C33A45"/>
    <w:rsid w:val="00C34501"/>
    <w:rsid w:val="00C346A1"/>
    <w:rsid w:val="00C34875"/>
    <w:rsid w:val="00C34905"/>
    <w:rsid w:val="00C349A0"/>
    <w:rsid w:val="00C34A1B"/>
    <w:rsid w:val="00C34A52"/>
    <w:rsid w:val="00C34D64"/>
    <w:rsid w:val="00C34E1B"/>
    <w:rsid w:val="00C35245"/>
    <w:rsid w:val="00C35D1B"/>
    <w:rsid w:val="00C35F3A"/>
    <w:rsid w:val="00C3615D"/>
    <w:rsid w:val="00C361B2"/>
    <w:rsid w:val="00C3644A"/>
    <w:rsid w:val="00C364C5"/>
    <w:rsid w:val="00C36CD0"/>
    <w:rsid w:val="00C36CFD"/>
    <w:rsid w:val="00C37204"/>
    <w:rsid w:val="00C373C0"/>
    <w:rsid w:val="00C374E2"/>
    <w:rsid w:val="00C4086E"/>
    <w:rsid w:val="00C40D38"/>
    <w:rsid w:val="00C40EB9"/>
    <w:rsid w:val="00C4168A"/>
    <w:rsid w:val="00C41E56"/>
    <w:rsid w:val="00C41EBF"/>
    <w:rsid w:val="00C422CF"/>
    <w:rsid w:val="00C4281A"/>
    <w:rsid w:val="00C42D5B"/>
    <w:rsid w:val="00C4320E"/>
    <w:rsid w:val="00C433AF"/>
    <w:rsid w:val="00C4343B"/>
    <w:rsid w:val="00C436F5"/>
    <w:rsid w:val="00C43B36"/>
    <w:rsid w:val="00C44160"/>
    <w:rsid w:val="00C441E7"/>
    <w:rsid w:val="00C4422D"/>
    <w:rsid w:val="00C442B3"/>
    <w:rsid w:val="00C442D6"/>
    <w:rsid w:val="00C444B4"/>
    <w:rsid w:val="00C4616C"/>
    <w:rsid w:val="00C461FD"/>
    <w:rsid w:val="00C46EE3"/>
    <w:rsid w:val="00C4765B"/>
    <w:rsid w:val="00C4794F"/>
    <w:rsid w:val="00C47C24"/>
    <w:rsid w:val="00C47F0B"/>
    <w:rsid w:val="00C5004C"/>
    <w:rsid w:val="00C505BD"/>
    <w:rsid w:val="00C506C1"/>
    <w:rsid w:val="00C50D0B"/>
    <w:rsid w:val="00C50EDE"/>
    <w:rsid w:val="00C51164"/>
    <w:rsid w:val="00C51420"/>
    <w:rsid w:val="00C51AC1"/>
    <w:rsid w:val="00C5244C"/>
    <w:rsid w:val="00C52677"/>
    <w:rsid w:val="00C52733"/>
    <w:rsid w:val="00C52FE8"/>
    <w:rsid w:val="00C539A4"/>
    <w:rsid w:val="00C53B5A"/>
    <w:rsid w:val="00C53C5E"/>
    <w:rsid w:val="00C54006"/>
    <w:rsid w:val="00C54047"/>
    <w:rsid w:val="00C545EB"/>
    <w:rsid w:val="00C54897"/>
    <w:rsid w:val="00C5528F"/>
    <w:rsid w:val="00C55AE3"/>
    <w:rsid w:val="00C56444"/>
    <w:rsid w:val="00C56627"/>
    <w:rsid w:val="00C56ED6"/>
    <w:rsid w:val="00C57215"/>
    <w:rsid w:val="00C574BD"/>
    <w:rsid w:val="00C5790C"/>
    <w:rsid w:val="00C57D50"/>
    <w:rsid w:val="00C6043A"/>
    <w:rsid w:val="00C60448"/>
    <w:rsid w:val="00C6070A"/>
    <w:rsid w:val="00C60B83"/>
    <w:rsid w:val="00C6132D"/>
    <w:rsid w:val="00C61A51"/>
    <w:rsid w:val="00C61A5F"/>
    <w:rsid w:val="00C61C2C"/>
    <w:rsid w:val="00C61FAA"/>
    <w:rsid w:val="00C620FE"/>
    <w:rsid w:val="00C62613"/>
    <w:rsid w:val="00C627F1"/>
    <w:rsid w:val="00C62AFB"/>
    <w:rsid w:val="00C62F0C"/>
    <w:rsid w:val="00C640FA"/>
    <w:rsid w:val="00C6460A"/>
    <w:rsid w:val="00C6499F"/>
    <w:rsid w:val="00C64BAC"/>
    <w:rsid w:val="00C64BC1"/>
    <w:rsid w:val="00C64F2F"/>
    <w:rsid w:val="00C65D72"/>
    <w:rsid w:val="00C65D79"/>
    <w:rsid w:val="00C65E92"/>
    <w:rsid w:val="00C65F1D"/>
    <w:rsid w:val="00C66291"/>
    <w:rsid w:val="00C664C7"/>
    <w:rsid w:val="00C6682F"/>
    <w:rsid w:val="00C66B94"/>
    <w:rsid w:val="00C66F0B"/>
    <w:rsid w:val="00C67734"/>
    <w:rsid w:val="00C6776D"/>
    <w:rsid w:val="00C677AE"/>
    <w:rsid w:val="00C67A3C"/>
    <w:rsid w:val="00C67C32"/>
    <w:rsid w:val="00C703DE"/>
    <w:rsid w:val="00C703E9"/>
    <w:rsid w:val="00C70580"/>
    <w:rsid w:val="00C70E5C"/>
    <w:rsid w:val="00C70E8E"/>
    <w:rsid w:val="00C71069"/>
    <w:rsid w:val="00C71CD4"/>
    <w:rsid w:val="00C71D86"/>
    <w:rsid w:val="00C71D8A"/>
    <w:rsid w:val="00C72033"/>
    <w:rsid w:val="00C72743"/>
    <w:rsid w:val="00C727B0"/>
    <w:rsid w:val="00C73411"/>
    <w:rsid w:val="00C73583"/>
    <w:rsid w:val="00C73613"/>
    <w:rsid w:val="00C73975"/>
    <w:rsid w:val="00C73E5D"/>
    <w:rsid w:val="00C74A23"/>
    <w:rsid w:val="00C74B46"/>
    <w:rsid w:val="00C74F68"/>
    <w:rsid w:val="00C755C3"/>
    <w:rsid w:val="00C76122"/>
    <w:rsid w:val="00C76E83"/>
    <w:rsid w:val="00C76E9C"/>
    <w:rsid w:val="00C77A34"/>
    <w:rsid w:val="00C77CEB"/>
    <w:rsid w:val="00C80B82"/>
    <w:rsid w:val="00C80BCF"/>
    <w:rsid w:val="00C80DAB"/>
    <w:rsid w:val="00C810C9"/>
    <w:rsid w:val="00C81201"/>
    <w:rsid w:val="00C812B5"/>
    <w:rsid w:val="00C81392"/>
    <w:rsid w:val="00C81540"/>
    <w:rsid w:val="00C81FD2"/>
    <w:rsid w:val="00C827F2"/>
    <w:rsid w:val="00C83A5F"/>
    <w:rsid w:val="00C83E68"/>
    <w:rsid w:val="00C84569"/>
    <w:rsid w:val="00C846B0"/>
    <w:rsid w:val="00C84CA9"/>
    <w:rsid w:val="00C84EB8"/>
    <w:rsid w:val="00C85005"/>
    <w:rsid w:val="00C85750"/>
    <w:rsid w:val="00C858C2"/>
    <w:rsid w:val="00C85CB9"/>
    <w:rsid w:val="00C866C2"/>
    <w:rsid w:val="00C86940"/>
    <w:rsid w:val="00C86996"/>
    <w:rsid w:val="00C86A44"/>
    <w:rsid w:val="00C87B76"/>
    <w:rsid w:val="00C87FED"/>
    <w:rsid w:val="00C90299"/>
    <w:rsid w:val="00C908E2"/>
    <w:rsid w:val="00C9126E"/>
    <w:rsid w:val="00C914B9"/>
    <w:rsid w:val="00C91692"/>
    <w:rsid w:val="00C91A36"/>
    <w:rsid w:val="00C92614"/>
    <w:rsid w:val="00C92779"/>
    <w:rsid w:val="00C92BF9"/>
    <w:rsid w:val="00C92FC9"/>
    <w:rsid w:val="00C93376"/>
    <w:rsid w:val="00C93945"/>
    <w:rsid w:val="00C93AB6"/>
    <w:rsid w:val="00C94627"/>
    <w:rsid w:val="00C94D30"/>
    <w:rsid w:val="00C94ECA"/>
    <w:rsid w:val="00C9562A"/>
    <w:rsid w:val="00C95ADE"/>
    <w:rsid w:val="00C95C45"/>
    <w:rsid w:val="00C966EE"/>
    <w:rsid w:val="00C96783"/>
    <w:rsid w:val="00C96FF2"/>
    <w:rsid w:val="00C97565"/>
    <w:rsid w:val="00C97C9B"/>
    <w:rsid w:val="00CA008E"/>
    <w:rsid w:val="00CA01A5"/>
    <w:rsid w:val="00CA0A27"/>
    <w:rsid w:val="00CA0CD1"/>
    <w:rsid w:val="00CA0DAC"/>
    <w:rsid w:val="00CA1126"/>
    <w:rsid w:val="00CA144C"/>
    <w:rsid w:val="00CA1451"/>
    <w:rsid w:val="00CA14D5"/>
    <w:rsid w:val="00CA1A88"/>
    <w:rsid w:val="00CA204A"/>
    <w:rsid w:val="00CA210E"/>
    <w:rsid w:val="00CA255E"/>
    <w:rsid w:val="00CA2837"/>
    <w:rsid w:val="00CA3525"/>
    <w:rsid w:val="00CA3C12"/>
    <w:rsid w:val="00CA41C5"/>
    <w:rsid w:val="00CA490A"/>
    <w:rsid w:val="00CA4D4E"/>
    <w:rsid w:val="00CA53BD"/>
    <w:rsid w:val="00CA60F0"/>
    <w:rsid w:val="00CA62BD"/>
    <w:rsid w:val="00CA65A4"/>
    <w:rsid w:val="00CA66A0"/>
    <w:rsid w:val="00CA67FD"/>
    <w:rsid w:val="00CA73E0"/>
    <w:rsid w:val="00CA7655"/>
    <w:rsid w:val="00CA7984"/>
    <w:rsid w:val="00CA7A83"/>
    <w:rsid w:val="00CB0299"/>
    <w:rsid w:val="00CB0DC7"/>
    <w:rsid w:val="00CB1453"/>
    <w:rsid w:val="00CB14F4"/>
    <w:rsid w:val="00CB1696"/>
    <w:rsid w:val="00CB16E9"/>
    <w:rsid w:val="00CB16F6"/>
    <w:rsid w:val="00CB19D5"/>
    <w:rsid w:val="00CB19F0"/>
    <w:rsid w:val="00CB1AB3"/>
    <w:rsid w:val="00CB24E8"/>
    <w:rsid w:val="00CB2551"/>
    <w:rsid w:val="00CB255F"/>
    <w:rsid w:val="00CB2B53"/>
    <w:rsid w:val="00CB2E1E"/>
    <w:rsid w:val="00CB32E5"/>
    <w:rsid w:val="00CB3B05"/>
    <w:rsid w:val="00CB3BD5"/>
    <w:rsid w:val="00CB4128"/>
    <w:rsid w:val="00CB4141"/>
    <w:rsid w:val="00CB4247"/>
    <w:rsid w:val="00CB446A"/>
    <w:rsid w:val="00CB4564"/>
    <w:rsid w:val="00CB48FE"/>
    <w:rsid w:val="00CB4FB8"/>
    <w:rsid w:val="00CB55BE"/>
    <w:rsid w:val="00CB5843"/>
    <w:rsid w:val="00CB5DA3"/>
    <w:rsid w:val="00CB65F2"/>
    <w:rsid w:val="00CB6656"/>
    <w:rsid w:val="00CB7D33"/>
    <w:rsid w:val="00CC0A63"/>
    <w:rsid w:val="00CC0CAE"/>
    <w:rsid w:val="00CC1587"/>
    <w:rsid w:val="00CC1EE2"/>
    <w:rsid w:val="00CC2278"/>
    <w:rsid w:val="00CC2861"/>
    <w:rsid w:val="00CC2BDC"/>
    <w:rsid w:val="00CC2F5D"/>
    <w:rsid w:val="00CC31F9"/>
    <w:rsid w:val="00CC3B25"/>
    <w:rsid w:val="00CC4226"/>
    <w:rsid w:val="00CC4255"/>
    <w:rsid w:val="00CC4FC0"/>
    <w:rsid w:val="00CC505E"/>
    <w:rsid w:val="00CC5B7E"/>
    <w:rsid w:val="00CC5F00"/>
    <w:rsid w:val="00CC6D09"/>
    <w:rsid w:val="00CC7800"/>
    <w:rsid w:val="00CC79CE"/>
    <w:rsid w:val="00CC7A4F"/>
    <w:rsid w:val="00CD0131"/>
    <w:rsid w:val="00CD07CD"/>
    <w:rsid w:val="00CD0B81"/>
    <w:rsid w:val="00CD11AB"/>
    <w:rsid w:val="00CD15A0"/>
    <w:rsid w:val="00CD1A01"/>
    <w:rsid w:val="00CD1AC5"/>
    <w:rsid w:val="00CD1C9C"/>
    <w:rsid w:val="00CD1EEC"/>
    <w:rsid w:val="00CD2767"/>
    <w:rsid w:val="00CD2A54"/>
    <w:rsid w:val="00CD2BEE"/>
    <w:rsid w:val="00CD2D7F"/>
    <w:rsid w:val="00CD3AF1"/>
    <w:rsid w:val="00CD3C43"/>
    <w:rsid w:val="00CD441E"/>
    <w:rsid w:val="00CD4496"/>
    <w:rsid w:val="00CD4CCF"/>
    <w:rsid w:val="00CD59CF"/>
    <w:rsid w:val="00CD5BBE"/>
    <w:rsid w:val="00CD5BF0"/>
    <w:rsid w:val="00CD7D7A"/>
    <w:rsid w:val="00CE0C38"/>
    <w:rsid w:val="00CE0E87"/>
    <w:rsid w:val="00CE0F29"/>
    <w:rsid w:val="00CE10A8"/>
    <w:rsid w:val="00CE1665"/>
    <w:rsid w:val="00CE2A41"/>
    <w:rsid w:val="00CE33B0"/>
    <w:rsid w:val="00CE33C3"/>
    <w:rsid w:val="00CE3749"/>
    <w:rsid w:val="00CE3A5E"/>
    <w:rsid w:val="00CE3C20"/>
    <w:rsid w:val="00CE4131"/>
    <w:rsid w:val="00CE4311"/>
    <w:rsid w:val="00CE459E"/>
    <w:rsid w:val="00CE4B34"/>
    <w:rsid w:val="00CE4FC8"/>
    <w:rsid w:val="00CE5087"/>
    <w:rsid w:val="00CE5170"/>
    <w:rsid w:val="00CE6373"/>
    <w:rsid w:val="00CE673C"/>
    <w:rsid w:val="00CE7ABF"/>
    <w:rsid w:val="00CE7ADB"/>
    <w:rsid w:val="00CE7C10"/>
    <w:rsid w:val="00CE7FF3"/>
    <w:rsid w:val="00CF0418"/>
    <w:rsid w:val="00CF0573"/>
    <w:rsid w:val="00CF165C"/>
    <w:rsid w:val="00CF1761"/>
    <w:rsid w:val="00CF1861"/>
    <w:rsid w:val="00CF26A5"/>
    <w:rsid w:val="00CF350F"/>
    <w:rsid w:val="00CF37C4"/>
    <w:rsid w:val="00CF390B"/>
    <w:rsid w:val="00CF3927"/>
    <w:rsid w:val="00CF3EA5"/>
    <w:rsid w:val="00CF4ABF"/>
    <w:rsid w:val="00CF51A2"/>
    <w:rsid w:val="00CF5412"/>
    <w:rsid w:val="00CF5AF0"/>
    <w:rsid w:val="00CF68B3"/>
    <w:rsid w:val="00CF6BA5"/>
    <w:rsid w:val="00CF6FDA"/>
    <w:rsid w:val="00CF724E"/>
    <w:rsid w:val="00CF7B9E"/>
    <w:rsid w:val="00D0138E"/>
    <w:rsid w:val="00D033D9"/>
    <w:rsid w:val="00D034F5"/>
    <w:rsid w:val="00D03AB2"/>
    <w:rsid w:val="00D03E1B"/>
    <w:rsid w:val="00D048FD"/>
    <w:rsid w:val="00D04A7D"/>
    <w:rsid w:val="00D05177"/>
    <w:rsid w:val="00D05667"/>
    <w:rsid w:val="00D056D3"/>
    <w:rsid w:val="00D0596E"/>
    <w:rsid w:val="00D05B06"/>
    <w:rsid w:val="00D06701"/>
    <w:rsid w:val="00D069FA"/>
    <w:rsid w:val="00D07DD8"/>
    <w:rsid w:val="00D07F97"/>
    <w:rsid w:val="00D1005A"/>
    <w:rsid w:val="00D10809"/>
    <w:rsid w:val="00D1085F"/>
    <w:rsid w:val="00D1095C"/>
    <w:rsid w:val="00D11091"/>
    <w:rsid w:val="00D1140E"/>
    <w:rsid w:val="00D115B0"/>
    <w:rsid w:val="00D116F9"/>
    <w:rsid w:val="00D11E6C"/>
    <w:rsid w:val="00D11FBD"/>
    <w:rsid w:val="00D126E5"/>
    <w:rsid w:val="00D12789"/>
    <w:rsid w:val="00D128A6"/>
    <w:rsid w:val="00D12B1F"/>
    <w:rsid w:val="00D12E2D"/>
    <w:rsid w:val="00D12EF8"/>
    <w:rsid w:val="00D138CD"/>
    <w:rsid w:val="00D13AF5"/>
    <w:rsid w:val="00D13E2E"/>
    <w:rsid w:val="00D14B59"/>
    <w:rsid w:val="00D155AA"/>
    <w:rsid w:val="00D15646"/>
    <w:rsid w:val="00D1591C"/>
    <w:rsid w:val="00D15958"/>
    <w:rsid w:val="00D15B30"/>
    <w:rsid w:val="00D16090"/>
    <w:rsid w:val="00D16295"/>
    <w:rsid w:val="00D162CD"/>
    <w:rsid w:val="00D16571"/>
    <w:rsid w:val="00D168B2"/>
    <w:rsid w:val="00D175B7"/>
    <w:rsid w:val="00D17A58"/>
    <w:rsid w:val="00D17AEE"/>
    <w:rsid w:val="00D17B45"/>
    <w:rsid w:val="00D17E76"/>
    <w:rsid w:val="00D203CF"/>
    <w:rsid w:val="00D21136"/>
    <w:rsid w:val="00D21148"/>
    <w:rsid w:val="00D22A91"/>
    <w:rsid w:val="00D22B1C"/>
    <w:rsid w:val="00D22D42"/>
    <w:rsid w:val="00D22DC1"/>
    <w:rsid w:val="00D23001"/>
    <w:rsid w:val="00D233EB"/>
    <w:rsid w:val="00D238D4"/>
    <w:rsid w:val="00D2425A"/>
    <w:rsid w:val="00D24451"/>
    <w:rsid w:val="00D24EF0"/>
    <w:rsid w:val="00D25D70"/>
    <w:rsid w:val="00D25E39"/>
    <w:rsid w:val="00D262B3"/>
    <w:rsid w:val="00D26F4D"/>
    <w:rsid w:val="00D26FF3"/>
    <w:rsid w:val="00D271AD"/>
    <w:rsid w:val="00D27D1B"/>
    <w:rsid w:val="00D27EAB"/>
    <w:rsid w:val="00D30759"/>
    <w:rsid w:val="00D30FEC"/>
    <w:rsid w:val="00D31727"/>
    <w:rsid w:val="00D31AEF"/>
    <w:rsid w:val="00D31BC6"/>
    <w:rsid w:val="00D31E4E"/>
    <w:rsid w:val="00D32ACC"/>
    <w:rsid w:val="00D32C7E"/>
    <w:rsid w:val="00D33087"/>
    <w:rsid w:val="00D330B2"/>
    <w:rsid w:val="00D3402B"/>
    <w:rsid w:val="00D34702"/>
    <w:rsid w:val="00D34EDF"/>
    <w:rsid w:val="00D3587F"/>
    <w:rsid w:val="00D35F82"/>
    <w:rsid w:val="00D36274"/>
    <w:rsid w:val="00D367B2"/>
    <w:rsid w:val="00D36A78"/>
    <w:rsid w:val="00D36B8D"/>
    <w:rsid w:val="00D37430"/>
    <w:rsid w:val="00D37A7B"/>
    <w:rsid w:val="00D37B45"/>
    <w:rsid w:val="00D4011C"/>
    <w:rsid w:val="00D404B3"/>
    <w:rsid w:val="00D407A0"/>
    <w:rsid w:val="00D40B08"/>
    <w:rsid w:val="00D4194D"/>
    <w:rsid w:val="00D41A4D"/>
    <w:rsid w:val="00D41CE6"/>
    <w:rsid w:val="00D41DC0"/>
    <w:rsid w:val="00D42A48"/>
    <w:rsid w:val="00D42B94"/>
    <w:rsid w:val="00D4415D"/>
    <w:rsid w:val="00D44199"/>
    <w:rsid w:val="00D4419B"/>
    <w:rsid w:val="00D443B9"/>
    <w:rsid w:val="00D443E0"/>
    <w:rsid w:val="00D445B2"/>
    <w:rsid w:val="00D44B1B"/>
    <w:rsid w:val="00D44F2F"/>
    <w:rsid w:val="00D45572"/>
    <w:rsid w:val="00D46363"/>
    <w:rsid w:val="00D464F5"/>
    <w:rsid w:val="00D4717C"/>
    <w:rsid w:val="00D47BE2"/>
    <w:rsid w:val="00D47C39"/>
    <w:rsid w:val="00D504A0"/>
    <w:rsid w:val="00D50A89"/>
    <w:rsid w:val="00D50C96"/>
    <w:rsid w:val="00D50F36"/>
    <w:rsid w:val="00D51923"/>
    <w:rsid w:val="00D51DFD"/>
    <w:rsid w:val="00D51E62"/>
    <w:rsid w:val="00D522B1"/>
    <w:rsid w:val="00D52DAF"/>
    <w:rsid w:val="00D5436D"/>
    <w:rsid w:val="00D54378"/>
    <w:rsid w:val="00D54865"/>
    <w:rsid w:val="00D54889"/>
    <w:rsid w:val="00D54D6C"/>
    <w:rsid w:val="00D55275"/>
    <w:rsid w:val="00D553BC"/>
    <w:rsid w:val="00D555F0"/>
    <w:rsid w:val="00D556E3"/>
    <w:rsid w:val="00D556EA"/>
    <w:rsid w:val="00D55D33"/>
    <w:rsid w:val="00D55E0A"/>
    <w:rsid w:val="00D55FE7"/>
    <w:rsid w:val="00D5618C"/>
    <w:rsid w:val="00D56735"/>
    <w:rsid w:val="00D570AE"/>
    <w:rsid w:val="00D57447"/>
    <w:rsid w:val="00D60169"/>
    <w:rsid w:val="00D609B2"/>
    <w:rsid w:val="00D60F4F"/>
    <w:rsid w:val="00D60F71"/>
    <w:rsid w:val="00D60FE3"/>
    <w:rsid w:val="00D611E0"/>
    <w:rsid w:val="00D61BF9"/>
    <w:rsid w:val="00D6201A"/>
    <w:rsid w:val="00D62186"/>
    <w:rsid w:val="00D624FD"/>
    <w:rsid w:val="00D6264E"/>
    <w:rsid w:val="00D62E69"/>
    <w:rsid w:val="00D64559"/>
    <w:rsid w:val="00D64650"/>
    <w:rsid w:val="00D64AFE"/>
    <w:rsid w:val="00D64B0C"/>
    <w:rsid w:val="00D64EBE"/>
    <w:rsid w:val="00D64F9C"/>
    <w:rsid w:val="00D6522B"/>
    <w:rsid w:val="00D6534C"/>
    <w:rsid w:val="00D656CF"/>
    <w:rsid w:val="00D65719"/>
    <w:rsid w:val="00D65830"/>
    <w:rsid w:val="00D659EA"/>
    <w:rsid w:val="00D660D4"/>
    <w:rsid w:val="00D66632"/>
    <w:rsid w:val="00D6669F"/>
    <w:rsid w:val="00D670C5"/>
    <w:rsid w:val="00D67257"/>
    <w:rsid w:val="00D67469"/>
    <w:rsid w:val="00D67883"/>
    <w:rsid w:val="00D67BD7"/>
    <w:rsid w:val="00D67C51"/>
    <w:rsid w:val="00D70E3F"/>
    <w:rsid w:val="00D71877"/>
    <w:rsid w:val="00D71DF9"/>
    <w:rsid w:val="00D72154"/>
    <w:rsid w:val="00D723AC"/>
    <w:rsid w:val="00D72C22"/>
    <w:rsid w:val="00D732FC"/>
    <w:rsid w:val="00D7370B"/>
    <w:rsid w:val="00D73E84"/>
    <w:rsid w:val="00D747CD"/>
    <w:rsid w:val="00D75FBF"/>
    <w:rsid w:val="00D75FC3"/>
    <w:rsid w:val="00D75FE8"/>
    <w:rsid w:val="00D76ED1"/>
    <w:rsid w:val="00D77474"/>
    <w:rsid w:val="00D77B63"/>
    <w:rsid w:val="00D80C0E"/>
    <w:rsid w:val="00D81149"/>
    <w:rsid w:val="00D812FB"/>
    <w:rsid w:val="00D816AC"/>
    <w:rsid w:val="00D81B7D"/>
    <w:rsid w:val="00D820DF"/>
    <w:rsid w:val="00D825DC"/>
    <w:rsid w:val="00D82608"/>
    <w:rsid w:val="00D8285C"/>
    <w:rsid w:val="00D82A0C"/>
    <w:rsid w:val="00D82CAF"/>
    <w:rsid w:val="00D82F85"/>
    <w:rsid w:val="00D8302C"/>
    <w:rsid w:val="00D8337B"/>
    <w:rsid w:val="00D83659"/>
    <w:rsid w:val="00D83894"/>
    <w:rsid w:val="00D83EE4"/>
    <w:rsid w:val="00D84ABE"/>
    <w:rsid w:val="00D85027"/>
    <w:rsid w:val="00D85D5A"/>
    <w:rsid w:val="00D86149"/>
    <w:rsid w:val="00D862F6"/>
    <w:rsid w:val="00D8651E"/>
    <w:rsid w:val="00D86924"/>
    <w:rsid w:val="00D869DD"/>
    <w:rsid w:val="00D86D33"/>
    <w:rsid w:val="00D86E50"/>
    <w:rsid w:val="00D8723C"/>
    <w:rsid w:val="00D87455"/>
    <w:rsid w:val="00D90219"/>
    <w:rsid w:val="00D90BB9"/>
    <w:rsid w:val="00D90C6D"/>
    <w:rsid w:val="00D92864"/>
    <w:rsid w:val="00D928E2"/>
    <w:rsid w:val="00D92DF3"/>
    <w:rsid w:val="00D9343E"/>
    <w:rsid w:val="00D936D7"/>
    <w:rsid w:val="00D939D1"/>
    <w:rsid w:val="00D939DB"/>
    <w:rsid w:val="00D93F0D"/>
    <w:rsid w:val="00D93FB3"/>
    <w:rsid w:val="00D9413F"/>
    <w:rsid w:val="00D948D7"/>
    <w:rsid w:val="00D94B4B"/>
    <w:rsid w:val="00D953A0"/>
    <w:rsid w:val="00D9599F"/>
    <w:rsid w:val="00D95F57"/>
    <w:rsid w:val="00D961D9"/>
    <w:rsid w:val="00D9630F"/>
    <w:rsid w:val="00D96CF8"/>
    <w:rsid w:val="00D96ED0"/>
    <w:rsid w:val="00D96FF1"/>
    <w:rsid w:val="00D9738C"/>
    <w:rsid w:val="00DA046C"/>
    <w:rsid w:val="00DA0CB6"/>
    <w:rsid w:val="00DA1257"/>
    <w:rsid w:val="00DA16F7"/>
    <w:rsid w:val="00DA1D08"/>
    <w:rsid w:val="00DA1DC8"/>
    <w:rsid w:val="00DA248B"/>
    <w:rsid w:val="00DA2754"/>
    <w:rsid w:val="00DA2BBD"/>
    <w:rsid w:val="00DA30F3"/>
    <w:rsid w:val="00DA3423"/>
    <w:rsid w:val="00DA3692"/>
    <w:rsid w:val="00DA3BB5"/>
    <w:rsid w:val="00DA3FC6"/>
    <w:rsid w:val="00DA4E24"/>
    <w:rsid w:val="00DA50AE"/>
    <w:rsid w:val="00DA55E3"/>
    <w:rsid w:val="00DA645F"/>
    <w:rsid w:val="00DA7FEE"/>
    <w:rsid w:val="00DB01D9"/>
    <w:rsid w:val="00DB02FF"/>
    <w:rsid w:val="00DB0DCF"/>
    <w:rsid w:val="00DB0FFE"/>
    <w:rsid w:val="00DB1465"/>
    <w:rsid w:val="00DB16B1"/>
    <w:rsid w:val="00DB17DB"/>
    <w:rsid w:val="00DB1E01"/>
    <w:rsid w:val="00DB220D"/>
    <w:rsid w:val="00DB30A8"/>
    <w:rsid w:val="00DB332E"/>
    <w:rsid w:val="00DB33F9"/>
    <w:rsid w:val="00DB3E3C"/>
    <w:rsid w:val="00DB4225"/>
    <w:rsid w:val="00DB436E"/>
    <w:rsid w:val="00DB4E9C"/>
    <w:rsid w:val="00DB51DA"/>
    <w:rsid w:val="00DB5205"/>
    <w:rsid w:val="00DB5597"/>
    <w:rsid w:val="00DB5717"/>
    <w:rsid w:val="00DB5A7D"/>
    <w:rsid w:val="00DB5AE6"/>
    <w:rsid w:val="00DB5AFC"/>
    <w:rsid w:val="00DB5E79"/>
    <w:rsid w:val="00DB6409"/>
    <w:rsid w:val="00DB674A"/>
    <w:rsid w:val="00DB681D"/>
    <w:rsid w:val="00DB6B69"/>
    <w:rsid w:val="00DB706D"/>
    <w:rsid w:val="00DB709A"/>
    <w:rsid w:val="00DB7893"/>
    <w:rsid w:val="00DC00B5"/>
    <w:rsid w:val="00DC05C7"/>
    <w:rsid w:val="00DC090E"/>
    <w:rsid w:val="00DC0D44"/>
    <w:rsid w:val="00DC0DBF"/>
    <w:rsid w:val="00DC1448"/>
    <w:rsid w:val="00DC1FB7"/>
    <w:rsid w:val="00DC2367"/>
    <w:rsid w:val="00DC2B46"/>
    <w:rsid w:val="00DC2B78"/>
    <w:rsid w:val="00DC2C5F"/>
    <w:rsid w:val="00DC322E"/>
    <w:rsid w:val="00DC3377"/>
    <w:rsid w:val="00DC35B8"/>
    <w:rsid w:val="00DC3DDA"/>
    <w:rsid w:val="00DC4116"/>
    <w:rsid w:val="00DC4486"/>
    <w:rsid w:val="00DC4912"/>
    <w:rsid w:val="00DC4A12"/>
    <w:rsid w:val="00DC5341"/>
    <w:rsid w:val="00DC54A3"/>
    <w:rsid w:val="00DC5940"/>
    <w:rsid w:val="00DC5EB3"/>
    <w:rsid w:val="00DC6114"/>
    <w:rsid w:val="00DC6EF3"/>
    <w:rsid w:val="00DC6FE6"/>
    <w:rsid w:val="00DC7CA6"/>
    <w:rsid w:val="00DC7F90"/>
    <w:rsid w:val="00DD0678"/>
    <w:rsid w:val="00DD14FE"/>
    <w:rsid w:val="00DD15D2"/>
    <w:rsid w:val="00DD1DD5"/>
    <w:rsid w:val="00DD1F38"/>
    <w:rsid w:val="00DD20EF"/>
    <w:rsid w:val="00DD232B"/>
    <w:rsid w:val="00DD2776"/>
    <w:rsid w:val="00DD2EF6"/>
    <w:rsid w:val="00DD2F85"/>
    <w:rsid w:val="00DD344D"/>
    <w:rsid w:val="00DD39FD"/>
    <w:rsid w:val="00DD41CD"/>
    <w:rsid w:val="00DD429F"/>
    <w:rsid w:val="00DD461C"/>
    <w:rsid w:val="00DD4B85"/>
    <w:rsid w:val="00DD5402"/>
    <w:rsid w:val="00DD57A9"/>
    <w:rsid w:val="00DD586F"/>
    <w:rsid w:val="00DD5E0B"/>
    <w:rsid w:val="00DD6702"/>
    <w:rsid w:val="00DD6A73"/>
    <w:rsid w:val="00DD6CCC"/>
    <w:rsid w:val="00DD715C"/>
    <w:rsid w:val="00DD7469"/>
    <w:rsid w:val="00DD7539"/>
    <w:rsid w:val="00DD78EC"/>
    <w:rsid w:val="00DD7F1E"/>
    <w:rsid w:val="00DE01B6"/>
    <w:rsid w:val="00DE07AD"/>
    <w:rsid w:val="00DE0D4B"/>
    <w:rsid w:val="00DE1B1C"/>
    <w:rsid w:val="00DE29C0"/>
    <w:rsid w:val="00DE2EA5"/>
    <w:rsid w:val="00DE311C"/>
    <w:rsid w:val="00DE3E10"/>
    <w:rsid w:val="00DE40AA"/>
    <w:rsid w:val="00DE415F"/>
    <w:rsid w:val="00DE490B"/>
    <w:rsid w:val="00DE5B36"/>
    <w:rsid w:val="00DE6A6D"/>
    <w:rsid w:val="00DE6EDA"/>
    <w:rsid w:val="00DE76CC"/>
    <w:rsid w:val="00DE777D"/>
    <w:rsid w:val="00DE7BE2"/>
    <w:rsid w:val="00DE7F13"/>
    <w:rsid w:val="00DF076D"/>
    <w:rsid w:val="00DF0928"/>
    <w:rsid w:val="00DF0C99"/>
    <w:rsid w:val="00DF102E"/>
    <w:rsid w:val="00DF1136"/>
    <w:rsid w:val="00DF12BD"/>
    <w:rsid w:val="00DF1588"/>
    <w:rsid w:val="00DF182D"/>
    <w:rsid w:val="00DF18EE"/>
    <w:rsid w:val="00DF1AF7"/>
    <w:rsid w:val="00DF1ED1"/>
    <w:rsid w:val="00DF1FCC"/>
    <w:rsid w:val="00DF2069"/>
    <w:rsid w:val="00DF258F"/>
    <w:rsid w:val="00DF25DF"/>
    <w:rsid w:val="00DF2794"/>
    <w:rsid w:val="00DF395C"/>
    <w:rsid w:val="00DF459B"/>
    <w:rsid w:val="00DF47DB"/>
    <w:rsid w:val="00DF4873"/>
    <w:rsid w:val="00DF4E31"/>
    <w:rsid w:val="00DF5675"/>
    <w:rsid w:val="00DF5BAA"/>
    <w:rsid w:val="00DF5EA3"/>
    <w:rsid w:val="00DF6FB9"/>
    <w:rsid w:val="00DF70E5"/>
    <w:rsid w:val="00DF75AB"/>
    <w:rsid w:val="00DF77BD"/>
    <w:rsid w:val="00DF7886"/>
    <w:rsid w:val="00DF7959"/>
    <w:rsid w:val="00DF7BB6"/>
    <w:rsid w:val="00DF7CEB"/>
    <w:rsid w:val="00E0001E"/>
    <w:rsid w:val="00E000B1"/>
    <w:rsid w:val="00E00EC4"/>
    <w:rsid w:val="00E01429"/>
    <w:rsid w:val="00E018D0"/>
    <w:rsid w:val="00E01DF6"/>
    <w:rsid w:val="00E01F1E"/>
    <w:rsid w:val="00E02BEA"/>
    <w:rsid w:val="00E02F63"/>
    <w:rsid w:val="00E03C26"/>
    <w:rsid w:val="00E03D8C"/>
    <w:rsid w:val="00E04783"/>
    <w:rsid w:val="00E04BBE"/>
    <w:rsid w:val="00E04CE7"/>
    <w:rsid w:val="00E052BE"/>
    <w:rsid w:val="00E0575F"/>
    <w:rsid w:val="00E05D98"/>
    <w:rsid w:val="00E0626C"/>
    <w:rsid w:val="00E06492"/>
    <w:rsid w:val="00E06764"/>
    <w:rsid w:val="00E06FF0"/>
    <w:rsid w:val="00E106B0"/>
    <w:rsid w:val="00E10C3C"/>
    <w:rsid w:val="00E10C88"/>
    <w:rsid w:val="00E11883"/>
    <w:rsid w:val="00E11FFF"/>
    <w:rsid w:val="00E12079"/>
    <w:rsid w:val="00E12904"/>
    <w:rsid w:val="00E12EE7"/>
    <w:rsid w:val="00E13285"/>
    <w:rsid w:val="00E1376B"/>
    <w:rsid w:val="00E138F3"/>
    <w:rsid w:val="00E13950"/>
    <w:rsid w:val="00E13978"/>
    <w:rsid w:val="00E13BCF"/>
    <w:rsid w:val="00E14CF8"/>
    <w:rsid w:val="00E1550C"/>
    <w:rsid w:val="00E15D1A"/>
    <w:rsid w:val="00E161F7"/>
    <w:rsid w:val="00E16315"/>
    <w:rsid w:val="00E16A1A"/>
    <w:rsid w:val="00E1744D"/>
    <w:rsid w:val="00E17712"/>
    <w:rsid w:val="00E206BE"/>
    <w:rsid w:val="00E20723"/>
    <w:rsid w:val="00E21174"/>
    <w:rsid w:val="00E21B8D"/>
    <w:rsid w:val="00E2277F"/>
    <w:rsid w:val="00E22825"/>
    <w:rsid w:val="00E229CC"/>
    <w:rsid w:val="00E23618"/>
    <w:rsid w:val="00E238F6"/>
    <w:rsid w:val="00E23A4A"/>
    <w:rsid w:val="00E23F3A"/>
    <w:rsid w:val="00E24967"/>
    <w:rsid w:val="00E24E0E"/>
    <w:rsid w:val="00E252BE"/>
    <w:rsid w:val="00E256F0"/>
    <w:rsid w:val="00E258B1"/>
    <w:rsid w:val="00E25A2A"/>
    <w:rsid w:val="00E25AD8"/>
    <w:rsid w:val="00E2740F"/>
    <w:rsid w:val="00E27508"/>
    <w:rsid w:val="00E277DA"/>
    <w:rsid w:val="00E27A3E"/>
    <w:rsid w:val="00E27F1D"/>
    <w:rsid w:val="00E27F2D"/>
    <w:rsid w:val="00E30870"/>
    <w:rsid w:val="00E30F9B"/>
    <w:rsid w:val="00E31529"/>
    <w:rsid w:val="00E31813"/>
    <w:rsid w:val="00E3198C"/>
    <w:rsid w:val="00E31E0C"/>
    <w:rsid w:val="00E31E1A"/>
    <w:rsid w:val="00E31F6B"/>
    <w:rsid w:val="00E3240B"/>
    <w:rsid w:val="00E324EB"/>
    <w:rsid w:val="00E326C2"/>
    <w:rsid w:val="00E3287A"/>
    <w:rsid w:val="00E32D1D"/>
    <w:rsid w:val="00E339AD"/>
    <w:rsid w:val="00E33B3E"/>
    <w:rsid w:val="00E33CD1"/>
    <w:rsid w:val="00E33F53"/>
    <w:rsid w:val="00E33F62"/>
    <w:rsid w:val="00E344C2"/>
    <w:rsid w:val="00E34999"/>
    <w:rsid w:val="00E349F9"/>
    <w:rsid w:val="00E34B22"/>
    <w:rsid w:val="00E34C22"/>
    <w:rsid w:val="00E34ED4"/>
    <w:rsid w:val="00E3541C"/>
    <w:rsid w:val="00E35ED3"/>
    <w:rsid w:val="00E36B06"/>
    <w:rsid w:val="00E375B4"/>
    <w:rsid w:val="00E37645"/>
    <w:rsid w:val="00E37C02"/>
    <w:rsid w:val="00E4066C"/>
    <w:rsid w:val="00E40782"/>
    <w:rsid w:val="00E40ADC"/>
    <w:rsid w:val="00E41517"/>
    <w:rsid w:val="00E4164F"/>
    <w:rsid w:val="00E41FA5"/>
    <w:rsid w:val="00E42048"/>
    <w:rsid w:val="00E42AEB"/>
    <w:rsid w:val="00E42C34"/>
    <w:rsid w:val="00E42EA0"/>
    <w:rsid w:val="00E43A3A"/>
    <w:rsid w:val="00E44586"/>
    <w:rsid w:val="00E44748"/>
    <w:rsid w:val="00E44A20"/>
    <w:rsid w:val="00E4511E"/>
    <w:rsid w:val="00E45663"/>
    <w:rsid w:val="00E45EF1"/>
    <w:rsid w:val="00E46001"/>
    <w:rsid w:val="00E46126"/>
    <w:rsid w:val="00E46A36"/>
    <w:rsid w:val="00E46B36"/>
    <w:rsid w:val="00E46EE7"/>
    <w:rsid w:val="00E47E77"/>
    <w:rsid w:val="00E501E7"/>
    <w:rsid w:val="00E5020D"/>
    <w:rsid w:val="00E50EF3"/>
    <w:rsid w:val="00E51335"/>
    <w:rsid w:val="00E517EB"/>
    <w:rsid w:val="00E52BA6"/>
    <w:rsid w:val="00E53631"/>
    <w:rsid w:val="00E53C37"/>
    <w:rsid w:val="00E53E69"/>
    <w:rsid w:val="00E54078"/>
    <w:rsid w:val="00E54336"/>
    <w:rsid w:val="00E543BE"/>
    <w:rsid w:val="00E550B1"/>
    <w:rsid w:val="00E561BB"/>
    <w:rsid w:val="00E572CE"/>
    <w:rsid w:val="00E574F3"/>
    <w:rsid w:val="00E60140"/>
    <w:rsid w:val="00E604B2"/>
    <w:rsid w:val="00E60862"/>
    <w:rsid w:val="00E61846"/>
    <w:rsid w:val="00E61F51"/>
    <w:rsid w:val="00E62082"/>
    <w:rsid w:val="00E62084"/>
    <w:rsid w:val="00E6224F"/>
    <w:rsid w:val="00E626D1"/>
    <w:rsid w:val="00E62D84"/>
    <w:rsid w:val="00E63179"/>
    <w:rsid w:val="00E63F65"/>
    <w:rsid w:val="00E64098"/>
    <w:rsid w:val="00E64508"/>
    <w:rsid w:val="00E6474E"/>
    <w:rsid w:val="00E65107"/>
    <w:rsid w:val="00E6583C"/>
    <w:rsid w:val="00E659C8"/>
    <w:rsid w:val="00E65A50"/>
    <w:rsid w:val="00E665BE"/>
    <w:rsid w:val="00E66761"/>
    <w:rsid w:val="00E667E9"/>
    <w:rsid w:val="00E66C25"/>
    <w:rsid w:val="00E66D84"/>
    <w:rsid w:val="00E67638"/>
    <w:rsid w:val="00E67C35"/>
    <w:rsid w:val="00E67DF4"/>
    <w:rsid w:val="00E700F6"/>
    <w:rsid w:val="00E70137"/>
    <w:rsid w:val="00E70905"/>
    <w:rsid w:val="00E70E9E"/>
    <w:rsid w:val="00E70F0D"/>
    <w:rsid w:val="00E728F0"/>
    <w:rsid w:val="00E72EE6"/>
    <w:rsid w:val="00E730AB"/>
    <w:rsid w:val="00E730D7"/>
    <w:rsid w:val="00E731A4"/>
    <w:rsid w:val="00E7394E"/>
    <w:rsid w:val="00E74757"/>
    <w:rsid w:val="00E74D89"/>
    <w:rsid w:val="00E74EBC"/>
    <w:rsid w:val="00E751D1"/>
    <w:rsid w:val="00E7593E"/>
    <w:rsid w:val="00E75A31"/>
    <w:rsid w:val="00E75BE6"/>
    <w:rsid w:val="00E7600B"/>
    <w:rsid w:val="00E76190"/>
    <w:rsid w:val="00E762D2"/>
    <w:rsid w:val="00E76B85"/>
    <w:rsid w:val="00E76C2D"/>
    <w:rsid w:val="00E76F8D"/>
    <w:rsid w:val="00E80014"/>
    <w:rsid w:val="00E8007C"/>
    <w:rsid w:val="00E805E3"/>
    <w:rsid w:val="00E807C9"/>
    <w:rsid w:val="00E810C1"/>
    <w:rsid w:val="00E81491"/>
    <w:rsid w:val="00E817DF"/>
    <w:rsid w:val="00E82150"/>
    <w:rsid w:val="00E8230D"/>
    <w:rsid w:val="00E8299C"/>
    <w:rsid w:val="00E82BC0"/>
    <w:rsid w:val="00E8344E"/>
    <w:rsid w:val="00E83645"/>
    <w:rsid w:val="00E83877"/>
    <w:rsid w:val="00E84203"/>
    <w:rsid w:val="00E84276"/>
    <w:rsid w:val="00E842FD"/>
    <w:rsid w:val="00E84ABC"/>
    <w:rsid w:val="00E84AD0"/>
    <w:rsid w:val="00E8500A"/>
    <w:rsid w:val="00E853C7"/>
    <w:rsid w:val="00E8573C"/>
    <w:rsid w:val="00E85817"/>
    <w:rsid w:val="00E85AF4"/>
    <w:rsid w:val="00E860B7"/>
    <w:rsid w:val="00E86157"/>
    <w:rsid w:val="00E864BF"/>
    <w:rsid w:val="00E86CEA"/>
    <w:rsid w:val="00E86CF9"/>
    <w:rsid w:val="00E86EE6"/>
    <w:rsid w:val="00E87015"/>
    <w:rsid w:val="00E87491"/>
    <w:rsid w:val="00E8791E"/>
    <w:rsid w:val="00E87F32"/>
    <w:rsid w:val="00E907A3"/>
    <w:rsid w:val="00E9082B"/>
    <w:rsid w:val="00E90D87"/>
    <w:rsid w:val="00E925D9"/>
    <w:rsid w:val="00E92F60"/>
    <w:rsid w:val="00E93233"/>
    <w:rsid w:val="00E935BA"/>
    <w:rsid w:val="00E93A7C"/>
    <w:rsid w:val="00E93DED"/>
    <w:rsid w:val="00E93E57"/>
    <w:rsid w:val="00E946A9"/>
    <w:rsid w:val="00E94CAC"/>
    <w:rsid w:val="00E9501E"/>
    <w:rsid w:val="00E951C2"/>
    <w:rsid w:val="00E958F0"/>
    <w:rsid w:val="00E95B80"/>
    <w:rsid w:val="00E96448"/>
    <w:rsid w:val="00E96596"/>
    <w:rsid w:val="00E969BD"/>
    <w:rsid w:val="00E96A72"/>
    <w:rsid w:val="00E96AD3"/>
    <w:rsid w:val="00E97266"/>
    <w:rsid w:val="00E978D6"/>
    <w:rsid w:val="00E978F0"/>
    <w:rsid w:val="00EA0184"/>
    <w:rsid w:val="00EA0391"/>
    <w:rsid w:val="00EA0518"/>
    <w:rsid w:val="00EA0664"/>
    <w:rsid w:val="00EA0FFA"/>
    <w:rsid w:val="00EA1459"/>
    <w:rsid w:val="00EA2197"/>
    <w:rsid w:val="00EA2340"/>
    <w:rsid w:val="00EA26C8"/>
    <w:rsid w:val="00EA2724"/>
    <w:rsid w:val="00EA2E69"/>
    <w:rsid w:val="00EA301F"/>
    <w:rsid w:val="00EA3900"/>
    <w:rsid w:val="00EA44B5"/>
    <w:rsid w:val="00EA53DD"/>
    <w:rsid w:val="00EA56A1"/>
    <w:rsid w:val="00EA5E85"/>
    <w:rsid w:val="00EA5EDB"/>
    <w:rsid w:val="00EA6F74"/>
    <w:rsid w:val="00EA6FB2"/>
    <w:rsid w:val="00EA7404"/>
    <w:rsid w:val="00EA7739"/>
    <w:rsid w:val="00EA7FBA"/>
    <w:rsid w:val="00EB0068"/>
    <w:rsid w:val="00EB05A6"/>
    <w:rsid w:val="00EB0ADE"/>
    <w:rsid w:val="00EB106D"/>
    <w:rsid w:val="00EB1B57"/>
    <w:rsid w:val="00EB1FA1"/>
    <w:rsid w:val="00EB2141"/>
    <w:rsid w:val="00EB2A26"/>
    <w:rsid w:val="00EB2DBC"/>
    <w:rsid w:val="00EB39EC"/>
    <w:rsid w:val="00EB3A3D"/>
    <w:rsid w:val="00EB3B99"/>
    <w:rsid w:val="00EB3C38"/>
    <w:rsid w:val="00EB3E66"/>
    <w:rsid w:val="00EB4209"/>
    <w:rsid w:val="00EB47DE"/>
    <w:rsid w:val="00EB4F07"/>
    <w:rsid w:val="00EB4F13"/>
    <w:rsid w:val="00EB554C"/>
    <w:rsid w:val="00EB55C6"/>
    <w:rsid w:val="00EB5939"/>
    <w:rsid w:val="00EB5CB3"/>
    <w:rsid w:val="00EB603D"/>
    <w:rsid w:val="00EB62E8"/>
    <w:rsid w:val="00EB6517"/>
    <w:rsid w:val="00EB6DED"/>
    <w:rsid w:val="00EB6EF7"/>
    <w:rsid w:val="00EB7053"/>
    <w:rsid w:val="00EB7175"/>
    <w:rsid w:val="00EB747A"/>
    <w:rsid w:val="00EB78C9"/>
    <w:rsid w:val="00EC011E"/>
    <w:rsid w:val="00EC142E"/>
    <w:rsid w:val="00EC192B"/>
    <w:rsid w:val="00EC1A9E"/>
    <w:rsid w:val="00EC208C"/>
    <w:rsid w:val="00EC2256"/>
    <w:rsid w:val="00EC2AB2"/>
    <w:rsid w:val="00EC2E58"/>
    <w:rsid w:val="00EC2FF1"/>
    <w:rsid w:val="00EC32C7"/>
    <w:rsid w:val="00EC3415"/>
    <w:rsid w:val="00EC3666"/>
    <w:rsid w:val="00EC3A70"/>
    <w:rsid w:val="00EC3B9F"/>
    <w:rsid w:val="00EC3DA5"/>
    <w:rsid w:val="00EC46E1"/>
    <w:rsid w:val="00EC4881"/>
    <w:rsid w:val="00EC4BC7"/>
    <w:rsid w:val="00EC4DC0"/>
    <w:rsid w:val="00EC5BD0"/>
    <w:rsid w:val="00EC5D9D"/>
    <w:rsid w:val="00EC5EBF"/>
    <w:rsid w:val="00EC60C9"/>
    <w:rsid w:val="00EC6540"/>
    <w:rsid w:val="00EC73C9"/>
    <w:rsid w:val="00EC7621"/>
    <w:rsid w:val="00EC77C7"/>
    <w:rsid w:val="00EC7A79"/>
    <w:rsid w:val="00EC7EB2"/>
    <w:rsid w:val="00ED00A0"/>
    <w:rsid w:val="00ED04DC"/>
    <w:rsid w:val="00ED12BC"/>
    <w:rsid w:val="00ED204D"/>
    <w:rsid w:val="00ED223C"/>
    <w:rsid w:val="00ED2989"/>
    <w:rsid w:val="00ED2F30"/>
    <w:rsid w:val="00ED34C3"/>
    <w:rsid w:val="00ED3853"/>
    <w:rsid w:val="00ED3C64"/>
    <w:rsid w:val="00ED55F9"/>
    <w:rsid w:val="00ED5E05"/>
    <w:rsid w:val="00ED67E4"/>
    <w:rsid w:val="00ED685E"/>
    <w:rsid w:val="00ED691E"/>
    <w:rsid w:val="00ED7521"/>
    <w:rsid w:val="00ED78D5"/>
    <w:rsid w:val="00ED7FD1"/>
    <w:rsid w:val="00EE001E"/>
    <w:rsid w:val="00EE037F"/>
    <w:rsid w:val="00EE070C"/>
    <w:rsid w:val="00EE0CF9"/>
    <w:rsid w:val="00EE1594"/>
    <w:rsid w:val="00EE1E7F"/>
    <w:rsid w:val="00EE1F57"/>
    <w:rsid w:val="00EE2148"/>
    <w:rsid w:val="00EE232B"/>
    <w:rsid w:val="00EE26B2"/>
    <w:rsid w:val="00EE2AC3"/>
    <w:rsid w:val="00EE30FA"/>
    <w:rsid w:val="00EE355C"/>
    <w:rsid w:val="00EE3C29"/>
    <w:rsid w:val="00EE421C"/>
    <w:rsid w:val="00EE437C"/>
    <w:rsid w:val="00EE4BE9"/>
    <w:rsid w:val="00EE4DF0"/>
    <w:rsid w:val="00EE52A7"/>
    <w:rsid w:val="00EE55ED"/>
    <w:rsid w:val="00EE56EC"/>
    <w:rsid w:val="00EE5C1C"/>
    <w:rsid w:val="00EE63DB"/>
    <w:rsid w:val="00EE66D6"/>
    <w:rsid w:val="00EE6891"/>
    <w:rsid w:val="00EE705B"/>
    <w:rsid w:val="00EE72D0"/>
    <w:rsid w:val="00EE7787"/>
    <w:rsid w:val="00EF0226"/>
    <w:rsid w:val="00EF03B4"/>
    <w:rsid w:val="00EF07FA"/>
    <w:rsid w:val="00EF089D"/>
    <w:rsid w:val="00EF0CB6"/>
    <w:rsid w:val="00EF0F1A"/>
    <w:rsid w:val="00EF11B6"/>
    <w:rsid w:val="00EF1472"/>
    <w:rsid w:val="00EF1584"/>
    <w:rsid w:val="00EF1688"/>
    <w:rsid w:val="00EF1A52"/>
    <w:rsid w:val="00EF1D64"/>
    <w:rsid w:val="00EF1E0F"/>
    <w:rsid w:val="00EF1FB7"/>
    <w:rsid w:val="00EF2556"/>
    <w:rsid w:val="00EF26D8"/>
    <w:rsid w:val="00EF2D6E"/>
    <w:rsid w:val="00EF368F"/>
    <w:rsid w:val="00EF371F"/>
    <w:rsid w:val="00EF3C90"/>
    <w:rsid w:val="00EF3C9E"/>
    <w:rsid w:val="00EF47E3"/>
    <w:rsid w:val="00EF4D08"/>
    <w:rsid w:val="00EF502B"/>
    <w:rsid w:val="00EF5291"/>
    <w:rsid w:val="00EF539B"/>
    <w:rsid w:val="00EF5CE8"/>
    <w:rsid w:val="00EF5E3C"/>
    <w:rsid w:val="00EF6263"/>
    <w:rsid w:val="00EF6395"/>
    <w:rsid w:val="00EF6595"/>
    <w:rsid w:val="00EF6825"/>
    <w:rsid w:val="00EF6929"/>
    <w:rsid w:val="00EF6EBE"/>
    <w:rsid w:val="00EF6F15"/>
    <w:rsid w:val="00EF7358"/>
    <w:rsid w:val="00F00345"/>
    <w:rsid w:val="00F00CF7"/>
    <w:rsid w:val="00F01853"/>
    <w:rsid w:val="00F02D2D"/>
    <w:rsid w:val="00F0314E"/>
    <w:rsid w:val="00F032F6"/>
    <w:rsid w:val="00F03410"/>
    <w:rsid w:val="00F047D7"/>
    <w:rsid w:val="00F049B9"/>
    <w:rsid w:val="00F052D6"/>
    <w:rsid w:val="00F0533E"/>
    <w:rsid w:val="00F05A78"/>
    <w:rsid w:val="00F05C1E"/>
    <w:rsid w:val="00F05D91"/>
    <w:rsid w:val="00F063A3"/>
    <w:rsid w:val="00F06E09"/>
    <w:rsid w:val="00F06E47"/>
    <w:rsid w:val="00F073BE"/>
    <w:rsid w:val="00F07541"/>
    <w:rsid w:val="00F075AC"/>
    <w:rsid w:val="00F07EEB"/>
    <w:rsid w:val="00F07EFF"/>
    <w:rsid w:val="00F101D6"/>
    <w:rsid w:val="00F102E1"/>
    <w:rsid w:val="00F103D4"/>
    <w:rsid w:val="00F10C2B"/>
    <w:rsid w:val="00F10CCB"/>
    <w:rsid w:val="00F1116C"/>
    <w:rsid w:val="00F114DE"/>
    <w:rsid w:val="00F11A6F"/>
    <w:rsid w:val="00F120EF"/>
    <w:rsid w:val="00F12153"/>
    <w:rsid w:val="00F121F5"/>
    <w:rsid w:val="00F128BE"/>
    <w:rsid w:val="00F12C6F"/>
    <w:rsid w:val="00F12E02"/>
    <w:rsid w:val="00F12EF9"/>
    <w:rsid w:val="00F1378A"/>
    <w:rsid w:val="00F1383A"/>
    <w:rsid w:val="00F14009"/>
    <w:rsid w:val="00F14175"/>
    <w:rsid w:val="00F14439"/>
    <w:rsid w:val="00F14456"/>
    <w:rsid w:val="00F1459D"/>
    <w:rsid w:val="00F14EC9"/>
    <w:rsid w:val="00F156C1"/>
    <w:rsid w:val="00F16967"/>
    <w:rsid w:val="00F17124"/>
    <w:rsid w:val="00F2090F"/>
    <w:rsid w:val="00F20D5F"/>
    <w:rsid w:val="00F211E1"/>
    <w:rsid w:val="00F21243"/>
    <w:rsid w:val="00F21358"/>
    <w:rsid w:val="00F21830"/>
    <w:rsid w:val="00F21DB3"/>
    <w:rsid w:val="00F22859"/>
    <w:rsid w:val="00F231EF"/>
    <w:rsid w:val="00F231F9"/>
    <w:rsid w:val="00F2341C"/>
    <w:rsid w:val="00F23588"/>
    <w:rsid w:val="00F23C3B"/>
    <w:rsid w:val="00F23DB3"/>
    <w:rsid w:val="00F243A2"/>
    <w:rsid w:val="00F24889"/>
    <w:rsid w:val="00F2519A"/>
    <w:rsid w:val="00F25A11"/>
    <w:rsid w:val="00F25A4E"/>
    <w:rsid w:val="00F26150"/>
    <w:rsid w:val="00F261AB"/>
    <w:rsid w:val="00F26422"/>
    <w:rsid w:val="00F26923"/>
    <w:rsid w:val="00F27108"/>
    <w:rsid w:val="00F27C1F"/>
    <w:rsid w:val="00F30C37"/>
    <w:rsid w:val="00F31045"/>
    <w:rsid w:val="00F31073"/>
    <w:rsid w:val="00F31E5C"/>
    <w:rsid w:val="00F31F26"/>
    <w:rsid w:val="00F3229A"/>
    <w:rsid w:val="00F32A15"/>
    <w:rsid w:val="00F3464C"/>
    <w:rsid w:val="00F3471C"/>
    <w:rsid w:val="00F34DCC"/>
    <w:rsid w:val="00F35254"/>
    <w:rsid w:val="00F35B5A"/>
    <w:rsid w:val="00F35B99"/>
    <w:rsid w:val="00F35CD3"/>
    <w:rsid w:val="00F36390"/>
    <w:rsid w:val="00F364C9"/>
    <w:rsid w:val="00F36940"/>
    <w:rsid w:val="00F36976"/>
    <w:rsid w:val="00F369BD"/>
    <w:rsid w:val="00F36FC3"/>
    <w:rsid w:val="00F371E8"/>
    <w:rsid w:val="00F377E4"/>
    <w:rsid w:val="00F37B30"/>
    <w:rsid w:val="00F4074F"/>
    <w:rsid w:val="00F407B6"/>
    <w:rsid w:val="00F408E2"/>
    <w:rsid w:val="00F40ABD"/>
    <w:rsid w:val="00F40F31"/>
    <w:rsid w:val="00F416A4"/>
    <w:rsid w:val="00F41799"/>
    <w:rsid w:val="00F423E7"/>
    <w:rsid w:val="00F42882"/>
    <w:rsid w:val="00F42DE8"/>
    <w:rsid w:val="00F43098"/>
    <w:rsid w:val="00F435CB"/>
    <w:rsid w:val="00F439F4"/>
    <w:rsid w:val="00F43A6F"/>
    <w:rsid w:val="00F44100"/>
    <w:rsid w:val="00F443A6"/>
    <w:rsid w:val="00F4459B"/>
    <w:rsid w:val="00F44B75"/>
    <w:rsid w:val="00F45A56"/>
    <w:rsid w:val="00F45D3D"/>
    <w:rsid w:val="00F46245"/>
    <w:rsid w:val="00F469C8"/>
    <w:rsid w:val="00F46A8D"/>
    <w:rsid w:val="00F47A16"/>
    <w:rsid w:val="00F47D41"/>
    <w:rsid w:val="00F51346"/>
    <w:rsid w:val="00F52089"/>
    <w:rsid w:val="00F523D8"/>
    <w:rsid w:val="00F52AFF"/>
    <w:rsid w:val="00F52BA7"/>
    <w:rsid w:val="00F53409"/>
    <w:rsid w:val="00F5358E"/>
    <w:rsid w:val="00F53967"/>
    <w:rsid w:val="00F53ABF"/>
    <w:rsid w:val="00F53BF9"/>
    <w:rsid w:val="00F54FBF"/>
    <w:rsid w:val="00F5523D"/>
    <w:rsid w:val="00F55245"/>
    <w:rsid w:val="00F566E1"/>
    <w:rsid w:val="00F56B35"/>
    <w:rsid w:val="00F56CDA"/>
    <w:rsid w:val="00F57190"/>
    <w:rsid w:val="00F5722E"/>
    <w:rsid w:val="00F57276"/>
    <w:rsid w:val="00F57A9F"/>
    <w:rsid w:val="00F57C50"/>
    <w:rsid w:val="00F57DC8"/>
    <w:rsid w:val="00F604F3"/>
    <w:rsid w:val="00F6050F"/>
    <w:rsid w:val="00F60523"/>
    <w:rsid w:val="00F606F8"/>
    <w:rsid w:val="00F60E37"/>
    <w:rsid w:val="00F60F33"/>
    <w:rsid w:val="00F612DB"/>
    <w:rsid w:val="00F61778"/>
    <w:rsid w:val="00F61ABA"/>
    <w:rsid w:val="00F61BBA"/>
    <w:rsid w:val="00F61CE8"/>
    <w:rsid w:val="00F6375C"/>
    <w:rsid w:val="00F63C10"/>
    <w:rsid w:val="00F64726"/>
    <w:rsid w:val="00F65927"/>
    <w:rsid w:val="00F65A0B"/>
    <w:rsid w:val="00F65C21"/>
    <w:rsid w:val="00F66073"/>
    <w:rsid w:val="00F66512"/>
    <w:rsid w:val="00F6681D"/>
    <w:rsid w:val="00F66BB5"/>
    <w:rsid w:val="00F66C8C"/>
    <w:rsid w:val="00F66EE8"/>
    <w:rsid w:val="00F670CB"/>
    <w:rsid w:val="00F67769"/>
    <w:rsid w:val="00F67A1B"/>
    <w:rsid w:val="00F67C58"/>
    <w:rsid w:val="00F67E0C"/>
    <w:rsid w:val="00F703B4"/>
    <w:rsid w:val="00F70769"/>
    <w:rsid w:val="00F713FB"/>
    <w:rsid w:val="00F72061"/>
    <w:rsid w:val="00F72AFF"/>
    <w:rsid w:val="00F72D07"/>
    <w:rsid w:val="00F72EB6"/>
    <w:rsid w:val="00F73295"/>
    <w:rsid w:val="00F737BE"/>
    <w:rsid w:val="00F73C19"/>
    <w:rsid w:val="00F744C0"/>
    <w:rsid w:val="00F7463A"/>
    <w:rsid w:val="00F74ED5"/>
    <w:rsid w:val="00F7514E"/>
    <w:rsid w:val="00F75329"/>
    <w:rsid w:val="00F755ED"/>
    <w:rsid w:val="00F75811"/>
    <w:rsid w:val="00F75B88"/>
    <w:rsid w:val="00F76DC8"/>
    <w:rsid w:val="00F7733A"/>
    <w:rsid w:val="00F7778F"/>
    <w:rsid w:val="00F8000A"/>
    <w:rsid w:val="00F802AD"/>
    <w:rsid w:val="00F80778"/>
    <w:rsid w:val="00F807CE"/>
    <w:rsid w:val="00F809DE"/>
    <w:rsid w:val="00F80D3B"/>
    <w:rsid w:val="00F80F92"/>
    <w:rsid w:val="00F81A3D"/>
    <w:rsid w:val="00F81D49"/>
    <w:rsid w:val="00F81E74"/>
    <w:rsid w:val="00F82293"/>
    <w:rsid w:val="00F82A54"/>
    <w:rsid w:val="00F82AC3"/>
    <w:rsid w:val="00F82C63"/>
    <w:rsid w:val="00F83404"/>
    <w:rsid w:val="00F83C8B"/>
    <w:rsid w:val="00F84157"/>
    <w:rsid w:val="00F8523F"/>
    <w:rsid w:val="00F85D26"/>
    <w:rsid w:val="00F8659A"/>
    <w:rsid w:val="00F86FE0"/>
    <w:rsid w:val="00F87007"/>
    <w:rsid w:val="00F871DB"/>
    <w:rsid w:val="00F87321"/>
    <w:rsid w:val="00F8740E"/>
    <w:rsid w:val="00F8750E"/>
    <w:rsid w:val="00F879FA"/>
    <w:rsid w:val="00F87C58"/>
    <w:rsid w:val="00F90208"/>
    <w:rsid w:val="00F905E1"/>
    <w:rsid w:val="00F90761"/>
    <w:rsid w:val="00F90DBF"/>
    <w:rsid w:val="00F91432"/>
    <w:rsid w:val="00F91771"/>
    <w:rsid w:val="00F920B8"/>
    <w:rsid w:val="00F92462"/>
    <w:rsid w:val="00F92C77"/>
    <w:rsid w:val="00F93C51"/>
    <w:rsid w:val="00F93E6A"/>
    <w:rsid w:val="00F94505"/>
    <w:rsid w:val="00F9502C"/>
    <w:rsid w:val="00F95C3F"/>
    <w:rsid w:val="00F95D85"/>
    <w:rsid w:val="00F9600A"/>
    <w:rsid w:val="00F96101"/>
    <w:rsid w:val="00F961AE"/>
    <w:rsid w:val="00F96635"/>
    <w:rsid w:val="00F966B6"/>
    <w:rsid w:val="00F96B01"/>
    <w:rsid w:val="00F9744D"/>
    <w:rsid w:val="00F977D2"/>
    <w:rsid w:val="00FA06F5"/>
    <w:rsid w:val="00FA07EC"/>
    <w:rsid w:val="00FA1045"/>
    <w:rsid w:val="00FA1980"/>
    <w:rsid w:val="00FA1A03"/>
    <w:rsid w:val="00FA1B0D"/>
    <w:rsid w:val="00FA1B76"/>
    <w:rsid w:val="00FA1C10"/>
    <w:rsid w:val="00FA2458"/>
    <w:rsid w:val="00FA273F"/>
    <w:rsid w:val="00FA277F"/>
    <w:rsid w:val="00FA2AF3"/>
    <w:rsid w:val="00FA2B3B"/>
    <w:rsid w:val="00FA2CE4"/>
    <w:rsid w:val="00FA30AF"/>
    <w:rsid w:val="00FA3AA6"/>
    <w:rsid w:val="00FA4520"/>
    <w:rsid w:val="00FA466C"/>
    <w:rsid w:val="00FA4F30"/>
    <w:rsid w:val="00FA4FF6"/>
    <w:rsid w:val="00FA530F"/>
    <w:rsid w:val="00FA5D4F"/>
    <w:rsid w:val="00FA649D"/>
    <w:rsid w:val="00FA6AF2"/>
    <w:rsid w:val="00FA6BC2"/>
    <w:rsid w:val="00FA6C01"/>
    <w:rsid w:val="00FA6C9B"/>
    <w:rsid w:val="00FA7025"/>
    <w:rsid w:val="00FA72E8"/>
    <w:rsid w:val="00FA753E"/>
    <w:rsid w:val="00FB05BB"/>
    <w:rsid w:val="00FB0BC0"/>
    <w:rsid w:val="00FB0C66"/>
    <w:rsid w:val="00FB0E77"/>
    <w:rsid w:val="00FB1673"/>
    <w:rsid w:val="00FB1E46"/>
    <w:rsid w:val="00FB2241"/>
    <w:rsid w:val="00FB2CDD"/>
    <w:rsid w:val="00FB2DD6"/>
    <w:rsid w:val="00FB3B14"/>
    <w:rsid w:val="00FB3BEC"/>
    <w:rsid w:val="00FB3EC5"/>
    <w:rsid w:val="00FB4190"/>
    <w:rsid w:val="00FB41A1"/>
    <w:rsid w:val="00FB4304"/>
    <w:rsid w:val="00FB51D3"/>
    <w:rsid w:val="00FB5393"/>
    <w:rsid w:val="00FB5A62"/>
    <w:rsid w:val="00FB5D55"/>
    <w:rsid w:val="00FB6A69"/>
    <w:rsid w:val="00FB6FD5"/>
    <w:rsid w:val="00FB7739"/>
    <w:rsid w:val="00FB7EE1"/>
    <w:rsid w:val="00FC0B07"/>
    <w:rsid w:val="00FC0CD9"/>
    <w:rsid w:val="00FC10D1"/>
    <w:rsid w:val="00FC1FF9"/>
    <w:rsid w:val="00FC2424"/>
    <w:rsid w:val="00FC2B5B"/>
    <w:rsid w:val="00FC2B62"/>
    <w:rsid w:val="00FC32AB"/>
    <w:rsid w:val="00FC34E5"/>
    <w:rsid w:val="00FC3FC7"/>
    <w:rsid w:val="00FC4351"/>
    <w:rsid w:val="00FC438B"/>
    <w:rsid w:val="00FC453D"/>
    <w:rsid w:val="00FC46C9"/>
    <w:rsid w:val="00FC4D35"/>
    <w:rsid w:val="00FC54DC"/>
    <w:rsid w:val="00FC6144"/>
    <w:rsid w:val="00FC6211"/>
    <w:rsid w:val="00FC66FF"/>
    <w:rsid w:val="00FC6A52"/>
    <w:rsid w:val="00FC6C6F"/>
    <w:rsid w:val="00FC6FD8"/>
    <w:rsid w:val="00FC741D"/>
    <w:rsid w:val="00FC7841"/>
    <w:rsid w:val="00FC7875"/>
    <w:rsid w:val="00FC7F83"/>
    <w:rsid w:val="00FD1280"/>
    <w:rsid w:val="00FD1899"/>
    <w:rsid w:val="00FD2658"/>
    <w:rsid w:val="00FD2D82"/>
    <w:rsid w:val="00FD3031"/>
    <w:rsid w:val="00FD3375"/>
    <w:rsid w:val="00FD361B"/>
    <w:rsid w:val="00FD36E3"/>
    <w:rsid w:val="00FD4812"/>
    <w:rsid w:val="00FD530D"/>
    <w:rsid w:val="00FD5327"/>
    <w:rsid w:val="00FD5500"/>
    <w:rsid w:val="00FD5F47"/>
    <w:rsid w:val="00FD6467"/>
    <w:rsid w:val="00FD76B0"/>
    <w:rsid w:val="00FD7AEB"/>
    <w:rsid w:val="00FD7BDB"/>
    <w:rsid w:val="00FD7DEF"/>
    <w:rsid w:val="00FD7DFA"/>
    <w:rsid w:val="00FD7EF1"/>
    <w:rsid w:val="00FD7F9B"/>
    <w:rsid w:val="00FE0317"/>
    <w:rsid w:val="00FE11AA"/>
    <w:rsid w:val="00FE12BD"/>
    <w:rsid w:val="00FE192C"/>
    <w:rsid w:val="00FE1CA7"/>
    <w:rsid w:val="00FE1F45"/>
    <w:rsid w:val="00FE1F64"/>
    <w:rsid w:val="00FE2372"/>
    <w:rsid w:val="00FE3553"/>
    <w:rsid w:val="00FE4356"/>
    <w:rsid w:val="00FE4757"/>
    <w:rsid w:val="00FE4C70"/>
    <w:rsid w:val="00FE5BF3"/>
    <w:rsid w:val="00FE5D3C"/>
    <w:rsid w:val="00FE5D61"/>
    <w:rsid w:val="00FE5F1D"/>
    <w:rsid w:val="00FE5FC8"/>
    <w:rsid w:val="00FE725C"/>
    <w:rsid w:val="00FE76AB"/>
    <w:rsid w:val="00FE7821"/>
    <w:rsid w:val="00FE7C86"/>
    <w:rsid w:val="00FF0A80"/>
    <w:rsid w:val="00FF0B12"/>
    <w:rsid w:val="00FF0E05"/>
    <w:rsid w:val="00FF0EE6"/>
    <w:rsid w:val="00FF20A5"/>
    <w:rsid w:val="00FF21D7"/>
    <w:rsid w:val="00FF2BBB"/>
    <w:rsid w:val="00FF2CB1"/>
    <w:rsid w:val="00FF2CBC"/>
    <w:rsid w:val="00FF3811"/>
    <w:rsid w:val="00FF4168"/>
    <w:rsid w:val="00FF4A88"/>
    <w:rsid w:val="00FF54DB"/>
    <w:rsid w:val="00FF5525"/>
    <w:rsid w:val="00FF57DF"/>
    <w:rsid w:val="00FF57FB"/>
    <w:rsid w:val="00FF5ADE"/>
    <w:rsid w:val="00FF6233"/>
    <w:rsid w:val="00FF6527"/>
    <w:rsid w:val="00FF654F"/>
    <w:rsid w:val="00FF67B9"/>
    <w:rsid w:val="00FF68DF"/>
    <w:rsid w:val="00FF6919"/>
    <w:rsid w:val="00FF6C53"/>
    <w:rsid w:val="00FF723B"/>
    <w:rsid w:val="00FF72A1"/>
    <w:rsid w:val="00FF7545"/>
    <w:rsid w:val="00FF7903"/>
    <w:rsid w:val="00FF7D42"/>
    <w:rsid w:val="00FF7D79"/>
    <w:rsid w:val="702136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773FA022"/>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眉 Char"/>
    <w:link w:val="a3"/>
    <w:rPr>
      <w:rFonts w:ascii="Times New Roman" w:eastAsia="宋体" w:hAnsi="Times New Roman" w:cs="Times New Roman"/>
      <w:sz w:val="18"/>
      <w:szCs w:val="18"/>
    </w:rPr>
  </w:style>
  <w:style w:type="paragraph" w:styleId="a3">
    <w:name w:val="header"/>
    <w:basedOn w:val="a"/>
    <w:link w:val="Char"/>
    <w:pPr>
      <w:pBdr>
        <w:bottom w:val="single" w:sz="6" w:space="1" w:color="auto"/>
      </w:pBdr>
      <w:tabs>
        <w:tab w:val="center" w:pos="4153"/>
        <w:tab w:val="right" w:pos="8306"/>
      </w:tabs>
      <w:snapToGrid w:val="0"/>
      <w:jc w:val="center"/>
    </w:pPr>
    <w:rPr>
      <w:rFonts w:ascii="Times New Roman" w:hAnsi="Times New Roman"/>
      <w:sz w:val="18"/>
      <w:szCs w:val="18"/>
    </w:rPr>
  </w:style>
  <w:style w:type="character" w:customStyle="1" w:styleId="Char0">
    <w:name w:val="页脚 Char"/>
    <w:link w:val="a4"/>
    <w:uiPriority w:val="99"/>
    <w:rPr>
      <w:rFonts w:ascii="Times New Roman" w:eastAsia="宋体" w:hAnsi="Times New Roman" w:cs="Times New Roman"/>
      <w:sz w:val="18"/>
      <w:szCs w:val="18"/>
    </w:rPr>
  </w:style>
  <w:style w:type="paragraph" w:styleId="a4">
    <w:name w:val="footer"/>
    <w:basedOn w:val="a"/>
    <w:link w:val="Char0"/>
    <w:uiPriority w:val="99"/>
    <w:pPr>
      <w:tabs>
        <w:tab w:val="center" w:pos="4153"/>
        <w:tab w:val="right" w:pos="8306"/>
      </w:tabs>
      <w:snapToGrid w:val="0"/>
      <w:jc w:val="left"/>
    </w:pPr>
    <w:rPr>
      <w:rFonts w:ascii="Times New Roman" w:hAnsi="Times New Roman"/>
      <w:sz w:val="18"/>
      <w:szCs w:val="18"/>
    </w:rPr>
  </w:style>
  <w:style w:type="paragraph" w:styleId="a5">
    <w:name w:val="caption"/>
    <w:basedOn w:val="a"/>
    <w:next w:val="a"/>
    <w:qFormat/>
    <w:rPr>
      <w:rFonts w:ascii="Cambria" w:eastAsia="黑体" w:hAnsi="Cambria"/>
      <w:sz w:val="20"/>
      <w:szCs w:val="20"/>
    </w:rPr>
  </w:style>
  <w:style w:type="paragraph" w:styleId="a6">
    <w:name w:val="Balloon Text"/>
    <w:basedOn w:val="a"/>
    <w:link w:val="Char1"/>
    <w:rPr>
      <w:rFonts w:ascii="Times New Roman" w:hAnsi="Times New Roman"/>
      <w:sz w:val="18"/>
      <w:szCs w:val="18"/>
    </w:rPr>
  </w:style>
  <w:style w:type="character" w:customStyle="1" w:styleId="Char1">
    <w:name w:val="批注框文本 Char"/>
    <w:link w:val="a6"/>
    <w:rPr>
      <w:rFonts w:ascii="Times New Roman" w:eastAsia="宋体" w:hAnsi="Times New Roman" w:cs="Times New Roman"/>
      <w:sz w:val="18"/>
      <w:szCs w:val="18"/>
    </w:rPr>
  </w:style>
  <w:style w:type="character" w:styleId="a7">
    <w:name w:val="page number"/>
    <w:rPr>
      <w:rFonts w:ascii="Times New Roman" w:eastAsia="宋体" w:hAnsi="Times New Roman" w:cs="Times New Roman"/>
    </w:rPr>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customStyle="1" w:styleId="1">
    <w:name w:val="列表段落1"/>
    <w:basedOn w:val="a"/>
    <w:pPr>
      <w:ind w:firstLineChars="200" w:firstLine="420"/>
    </w:pPr>
    <w:rPr>
      <w:rFonts w:ascii="Times New Roman" w:hAnsi="Times New Roman"/>
    </w:rPr>
  </w:style>
  <w:style w:type="paragraph" w:styleId="a8">
    <w:name w:val="Normal (Web)"/>
    <w:basedOn w:val="a"/>
    <w:uiPriority w:val="99"/>
    <w:pPr>
      <w:widowControl/>
      <w:spacing w:before="100" w:beforeAutospacing="1" w:after="100" w:afterAutospacing="1"/>
      <w:jc w:val="left"/>
    </w:pPr>
    <w:rPr>
      <w:rFonts w:ascii="宋体" w:hAnsi="宋体" w:cs="宋体"/>
      <w:kern w:val="0"/>
      <w:sz w:val="24"/>
      <w:szCs w:val="24"/>
    </w:rPr>
  </w:style>
  <w:style w:type="character" w:styleId="a9">
    <w:name w:val="Hyperlink"/>
    <w:rPr>
      <w:rFonts w:ascii="Times New Roman" w:eastAsia="宋体" w:hAnsi="Times New Roman" w:cs="Times New Roman"/>
      <w:color w:val="0000FF"/>
      <w:u w:val="single"/>
    </w:rPr>
  </w:style>
  <w:style w:type="table" w:styleId="aa">
    <w:name w:val="Table Grid"/>
    <w:basedOn w:val="a1"/>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annotation reference"/>
    <w:rPr>
      <w:rFonts w:ascii="Times New Roman" w:eastAsia="宋体" w:hAnsi="Times New Roman" w:cs="Times New Roman"/>
      <w:sz w:val="21"/>
      <w:szCs w:val="21"/>
    </w:rPr>
  </w:style>
  <w:style w:type="character" w:customStyle="1" w:styleId="Char2">
    <w:name w:val="批注文字 Char"/>
    <w:link w:val="ac"/>
    <w:rPr>
      <w:rFonts w:ascii="Calibri" w:eastAsia="宋体" w:hAnsi="Calibri" w:cs="Times New Roman"/>
      <w:kern w:val="2"/>
      <w:sz w:val="21"/>
      <w:szCs w:val="22"/>
    </w:rPr>
  </w:style>
  <w:style w:type="paragraph" w:styleId="ac">
    <w:name w:val="annotation text"/>
    <w:basedOn w:val="a"/>
    <w:link w:val="Char2"/>
    <w:pPr>
      <w:jc w:val="left"/>
    </w:pPr>
    <w:rPr>
      <w:rFonts w:ascii="Times New Roman" w:hAnsi="Times New Roman"/>
    </w:rPr>
  </w:style>
  <w:style w:type="character" w:customStyle="1" w:styleId="Char3">
    <w:name w:val="批注主题 Char"/>
    <w:link w:val="ad"/>
    <w:rPr>
      <w:rFonts w:ascii="Calibri" w:eastAsia="宋体" w:hAnsi="Calibri" w:cs="Times New Roman"/>
      <w:b/>
      <w:bCs/>
      <w:kern w:val="2"/>
      <w:sz w:val="21"/>
      <w:szCs w:val="22"/>
    </w:rPr>
  </w:style>
  <w:style w:type="paragraph" w:styleId="ad">
    <w:name w:val="annotation subject"/>
    <w:basedOn w:val="ac"/>
    <w:next w:val="ac"/>
    <w:link w:val="Char3"/>
    <w:rPr>
      <w:b/>
      <w:bCs/>
    </w:rPr>
  </w:style>
  <w:style w:type="character" w:styleId="ae">
    <w:name w:val="Strong"/>
    <w:uiPriority w:val="22"/>
    <w:qFormat/>
    <w:rPr>
      <w:rFonts w:ascii="Times New Roman" w:eastAsia="宋体" w:hAnsi="Times New Roman" w:cs="Times New Roman"/>
      <w:b/>
      <w:bCs/>
    </w:rPr>
  </w:style>
  <w:style w:type="paragraph" w:customStyle="1" w:styleId="10">
    <w:name w:val="列出段落1"/>
    <w:basedOn w:val="a"/>
    <w:qFormat/>
    <w:pPr>
      <w:ind w:firstLineChars="200" w:firstLine="420"/>
    </w:pPr>
    <w:rPr>
      <w:rFonts w:ascii="Times New Roman" w:hAnsi="Times New Roman"/>
    </w:rPr>
  </w:style>
  <w:style w:type="character" w:customStyle="1" w:styleId="Char4">
    <w:name w:val="日期 Char"/>
    <w:link w:val="af"/>
    <w:rPr>
      <w:rFonts w:ascii="Calibri" w:eastAsia="宋体" w:hAnsi="Calibri" w:cs="Times New Roman"/>
      <w:kern w:val="2"/>
      <w:sz w:val="21"/>
      <w:szCs w:val="22"/>
    </w:rPr>
  </w:style>
  <w:style w:type="paragraph" w:styleId="af">
    <w:name w:val="Date"/>
    <w:basedOn w:val="a"/>
    <w:next w:val="a"/>
    <w:link w:val="Char4"/>
    <w:pPr>
      <w:ind w:leftChars="2500" w:left="100"/>
    </w:pPr>
    <w:rPr>
      <w:rFonts w:ascii="Times New Roman" w:hAnsi="Times New Roman"/>
    </w:rPr>
  </w:style>
  <w:style w:type="character" w:styleId="af0">
    <w:name w:val="Emphasis"/>
    <w:uiPriority w:val="20"/>
    <w:qFormat/>
    <w:rPr>
      <w:rFonts w:ascii="Times New Roman" w:eastAsia="宋体" w:hAnsi="Times New Roman" w:cs="Times New Roman"/>
      <w:i/>
      <w:iCs/>
    </w:rPr>
  </w:style>
  <w:style w:type="character" w:customStyle="1" w:styleId="apple-converted-space">
    <w:name w:val="apple-converted-space"/>
    <w:rsid w:val="00075EC6"/>
  </w:style>
  <w:style w:type="paragraph" w:customStyle="1" w:styleId="ChartHeading">
    <w:name w:val="Chart Heading"/>
    <w:basedOn w:val="a"/>
    <w:link w:val="ChartHeadingChar"/>
    <w:rsid w:val="0056608B"/>
    <w:pPr>
      <w:keepNext/>
      <w:keepLines/>
      <w:pBdr>
        <w:bottom w:val="single" w:sz="4" w:space="1" w:color="auto"/>
      </w:pBdr>
      <w:adjustRightInd w:val="0"/>
      <w:snapToGrid w:val="0"/>
      <w:spacing w:before="20" w:after="40"/>
      <w:jc w:val="left"/>
    </w:pPr>
    <w:rPr>
      <w:rFonts w:ascii="Arial Narrow" w:eastAsia="华文楷体" w:hAnsi="Arial Narrow"/>
      <w:b/>
      <w:kern w:val="0"/>
      <w:sz w:val="20"/>
      <w:szCs w:val="20"/>
    </w:rPr>
  </w:style>
  <w:style w:type="character" w:customStyle="1" w:styleId="ChartHeadingChar">
    <w:name w:val="Chart Heading Char"/>
    <w:link w:val="ChartHeading"/>
    <w:rsid w:val="0056608B"/>
    <w:rPr>
      <w:rFonts w:ascii="Arial Narrow" w:eastAsia="华文楷体" w:hAnsi="Arial Narrow"/>
      <w:b/>
    </w:rPr>
  </w:style>
  <w:style w:type="paragraph" w:customStyle="1" w:styleId="Source">
    <w:name w:val="Source"/>
    <w:basedOn w:val="a"/>
    <w:link w:val="Source1"/>
    <w:rsid w:val="0056608B"/>
    <w:pPr>
      <w:pBdr>
        <w:top w:val="single" w:sz="4" w:space="1" w:color="auto"/>
      </w:pBdr>
      <w:adjustRightInd w:val="0"/>
      <w:snapToGrid w:val="0"/>
      <w:spacing w:before="40"/>
      <w:jc w:val="left"/>
    </w:pPr>
    <w:rPr>
      <w:rFonts w:ascii="Arial Narrow" w:eastAsia="华文楷体" w:hAnsi="Arial Narrow"/>
      <w:i/>
      <w:sz w:val="16"/>
      <w:szCs w:val="24"/>
    </w:rPr>
  </w:style>
  <w:style w:type="character" w:customStyle="1" w:styleId="Source1">
    <w:name w:val="Source 字元1"/>
    <w:link w:val="Source"/>
    <w:rsid w:val="0056608B"/>
    <w:rPr>
      <w:rFonts w:ascii="Arial Narrow" w:eastAsia="华文楷体" w:hAnsi="Arial Narrow"/>
      <w:i/>
      <w:kern w:val="2"/>
      <w:sz w:val="16"/>
      <w:szCs w:val="24"/>
    </w:rPr>
  </w:style>
  <w:style w:type="paragraph" w:customStyle="1" w:styleId="Header1">
    <w:name w:val="Header1"/>
    <w:basedOn w:val="a"/>
    <w:link w:val="Header1Char"/>
    <w:rsid w:val="004C5268"/>
    <w:pPr>
      <w:tabs>
        <w:tab w:val="left" w:pos="4050"/>
      </w:tabs>
      <w:suppressAutoHyphens/>
      <w:adjustRightInd w:val="0"/>
      <w:snapToGrid w:val="0"/>
      <w:spacing w:before="120" w:after="240"/>
    </w:pPr>
    <w:rPr>
      <w:rFonts w:ascii="Arial Bold" w:eastAsia="华文楷体" w:hAnsi="Arial Bold"/>
      <w:b/>
      <w:smallCaps/>
      <w:color w:val="A7001D"/>
      <w:kern w:val="0"/>
      <w:sz w:val="32"/>
      <w:szCs w:val="20"/>
    </w:rPr>
  </w:style>
  <w:style w:type="character" w:customStyle="1" w:styleId="Header1Char">
    <w:name w:val="Header1 Char"/>
    <w:link w:val="Header1"/>
    <w:rsid w:val="004C5268"/>
    <w:rPr>
      <w:rFonts w:ascii="Arial Bold" w:eastAsia="华文楷体" w:hAnsi="Arial Bold"/>
      <w:b/>
      <w:smallCaps/>
      <w:color w:val="A7001D"/>
      <w:sz w:val="32"/>
    </w:rPr>
  </w:style>
  <w:style w:type="paragraph" w:customStyle="1" w:styleId="Header2">
    <w:name w:val="Header 2"/>
    <w:basedOn w:val="a"/>
    <w:link w:val="Header20"/>
    <w:rsid w:val="004C5268"/>
    <w:pPr>
      <w:suppressAutoHyphens/>
      <w:adjustRightInd w:val="0"/>
      <w:snapToGrid w:val="0"/>
      <w:spacing w:before="80" w:after="80"/>
    </w:pPr>
    <w:rPr>
      <w:rFonts w:ascii="Arial" w:eastAsia="华文楷体" w:hAnsi="Arial"/>
      <w:b/>
      <w:bCs/>
      <w:kern w:val="0"/>
      <w:sz w:val="24"/>
      <w:szCs w:val="20"/>
      <w:u w:color="003300"/>
      <w:lang w:eastAsia="zh-TW"/>
    </w:rPr>
  </w:style>
  <w:style w:type="character" w:customStyle="1" w:styleId="Header20">
    <w:name w:val="Header 2 字元"/>
    <w:link w:val="Header2"/>
    <w:locked/>
    <w:rsid w:val="004C5268"/>
    <w:rPr>
      <w:rFonts w:ascii="Arial" w:eastAsia="华文楷体" w:hAnsi="Arial"/>
      <w:b/>
      <w:bCs/>
      <w:sz w:val="24"/>
      <w:u w:color="003300"/>
      <w:lang w:eastAsia="zh-TW"/>
    </w:rPr>
  </w:style>
  <w:style w:type="paragraph" w:customStyle="1" w:styleId="Body-text">
    <w:name w:val="Body-text"/>
    <w:basedOn w:val="a"/>
    <w:link w:val="Body-textChar"/>
    <w:qFormat/>
    <w:rsid w:val="004C5268"/>
    <w:pPr>
      <w:adjustRightInd w:val="0"/>
      <w:snapToGrid w:val="0"/>
      <w:spacing w:after="120"/>
    </w:pPr>
    <w:rPr>
      <w:rFonts w:ascii="Arial Narrow" w:eastAsia="华文楷体" w:hAnsi="Arial Narrow"/>
      <w:kern w:val="0"/>
      <w:sz w:val="20"/>
      <w:szCs w:val="20"/>
      <w:lang w:eastAsia="zh-TW"/>
    </w:rPr>
  </w:style>
  <w:style w:type="character" w:customStyle="1" w:styleId="Body-textChar">
    <w:name w:val="Body-text Char"/>
    <w:link w:val="Body-text"/>
    <w:qFormat/>
    <w:rsid w:val="004C5268"/>
    <w:rPr>
      <w:rFonts w:ascii="Arial Narrow" w:eastAsia="华文楷体" w:hAnsi="Arial Narrow"/>
      <w:lang w:eastAsia="zh-TW"/>
    </w:rPr>
  </w:style>
  <w:style w:type="paragraph" w:customStyle="1" w:styleId="p-text">
    <w:name w:val="p-text"/>
    <w:basedOn w:val="a"/>
    <w:rsid w:val="008B53FE"/>
    <w:pPr>
      <w:widowControl/>
      <w:spacing w:before="100" w:beforeAutospacing="1" w:after="100" w:afterAutospacing="1"/>
      <w:jc w:val="left"/>
    </w:pPr>
    <w:rPr>
      <w:rFonts w:ascii="宋体" w:hAnsi="宋体" w:cs="宋体"/>
      <w:kern w:val="0"/>
      <w:sz w:val="24"/>
      <w:szCs w:val="24"/>
    </w:rPr>
  </w:style>
  <w:style w:type="paragraph" w:customStyle="1" w:styleId="p-type-name">
    <w:name w:val="p-type-name"/>
    <w:basedOn w:val="a"/>
    <w:rsid w:val="008B53FE"/>
    <w:pPr>
      <w:widowControl/>
      <w:spacing w:before="100" w:beforeAutospacing="1" w:after="100" w:afterAutospacing="1"/>
      <w:jc w:val="left"/>
    </w:pPr>
    <w:rPr>
      <w:rFonts w:ascii="宋体" w:hAnsi="宋体" w:cs="宋体"/>
      <w:kern w:val="0"/>
      <w:sz w:val="24"/>
      <w:szCs w:val="24"/>
    </w:rPr>
  </w:style>
  <w:style w:type="character" w:customStyle="1" w:styleId="span-type-name">
    <w:name w:val="span-type-name"/>
    <w:basedOn w:val="a0"/>
    <w:rsid w:val="008B53FE"/>
  </w:style>
  <w:style w:type="character" w:customStyle="1" w:styleId="mark">
    <w:name w:val="mark"/>
    <w:basedOn w:val="a0"/>
    <w:rsid w:val="00233DD7"/>
  </w:style>
  <w:style w:type="paragraph" w:styleId="af1">
    <w:name w:val="List Paragraph"/>
    <w:basedOn w:val="a"/>
    <w:uiPriority w:val="34"/>
    <w:qFormat/>
    <w:rsid w:val="002D251D"/>
    <w:pPr>
      <w:widowControl/>
      <w:spacing w:afterLines="100" w:after="100"/>
      <w:ind w:firstLineChars="200" w:firstLine="420"/>
    </w:pPr>
    <w:rPr>
      <w:rFonts w:ascii="仿宋" w:eastAsia="仿宋" w:hAnsi="仿宋" w:cstheme="minorBidi"/>
      <w:sz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眉 Char"/>
    <w:link w:val="a3"/>
    <w:rPr>
      <w:rFonts w:ascii="Times New Roman" w:eastAsia="宋体" w:hAnsi="Times New Roman" w:cs="Times New Roman"/>
      <w:sz w:val="18"/>
      <w:szCs w:val="18"/>
    </w:rPr>
  </w:style>
  <w:style w:type="paragraph" w:styleId="a3">
    <w:name w:val="header"/>
    <w:basedOn w:val="a"/>
    <w:link w:val="Char"/>
    <w:pPr>
      <w:pBdr>
        <w:bottom w:val="single" w:sz="6" w:space="1" w:color="auto"/>
      </w:pBdr>
      <w:tabs>
        <w:tab w:val="center" w:pos="4153"/>
        <w:tab w:val="right" w:pos="8306"/>
      </w:tabs>
      <w:snapToGrid w:val="0"/>
      <w:jc w:val="center"/>
    </w:pPr>
    <w:rPr>
      <w:rFonts w:ascii="Times New Roman" w:hAnsi="Times New Roman"/>
      <w:sz w:val="18"/>
      <w:szCs w:val="18"/>
    </w:rPr>
  </w:style>
  <w:style w:type="character" w:customStyle="1" w:styleId="Char0">
    <w:name w:val="页脚 Char"/>
    <w:link w:val="a4"/>
    <w:uiPriority w:val="99"/>
    <w:rPr>
      <w:rFonts w:ascii="Times New Roman" w:eastAsia="宋体" w:hAnsi="Times New Roman" w:cs="Times New Roman"/>
      <w:sz w:val="18"/>
      <w:szCs w:val="18"/>
    </w:rPr>
  </w:style>
  <w:style w:type="paragraph" w:styleId="a4">
    <w:name w:val="footer"/>
    <w:basedOn w:val="a"/>
    <w:link w:val="Char0"/>
    <w:uiPriority w:val="99"/>
    <w:pPr>
      <w:tabs>
        <w:tab w:val="center" w:pos="4153"/>
        <w:tab w:val="right" w:pos="8306"/>
      </w:tabs>
      <w:snapToGrid w:val="0"/>
      <w:jc w:val="left"/>
    </w:pPr>
    <w:rPr>
      <w:rFonts w:ascii="Times New Roman" w:hAnsi="Times New Roman"/>
      <w:sz w:val="18"/>
      <w:szCs w:val="18"/>
    </w:rPr>
  </w:style>
  <w:style w:type="paragraph" w:styleId="a5">
    <w:name w:val="caption"/>
    <w:basedOn w:val="a"/>
    <w:next w:val="a"/>
    <w:qFormat/>
    <w:rPr>
      <w:rFonts w:ascii="Cambria" w:eastAsia="黑体" w:hAnsi="Cambria"/>
      <w:sz w:val="20"/>
      <w:szCs w:val="20"/>
    </w:rPr>
  </w:style>
  <w:style w:type="paragraph" w:styleId="a6">
    <w:name w:val="Balloon Text"/>
    <w:basedOn w:val="a"/>
    <w:link w:val="Char1"/>
    <w:rPr>
      <w:rFonts w:ascii="Times New Roman" w:hAnsi="Times New Roman"/>
      <w:sz w:val="18"/>
      <w:szCs w:val="18"/>
    </w:rPr>
  </w:style>
  <w:style w:type="character" w:customStyle="1" w:styleId="Char1">
    <w:name w:val="批注框文本 Char"/>
    <w:link w:val="a6"/>
    <w:rPr>
      <w:rFonts w:ascii="Times New Roman" w:eastAsia="宋体" w:hAnsi="Times New Roman" w:cs="Times New Roman"/>
      <w:sz w:val="18"/>
      <w:szCs w:val="18"/>
    </w:rPr>
  </w:style>
  <w:style w:type="character" w:styleId="a7">
    <w:name w:val="page number"/>
    <w:rPr>
      <w:rFonts w:ascii="Times New Roman" w:eastAsia="宋体" w:hAnsi="Times New Roman" w:cs="Times New Roman"/>
    </w:rPr>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customStyle="1" w:styleId="1">
    <w:name w:val="列表段落1"/>
    <w:basedOn w:val="a"/>
    <w:pPr>
      <w:ind w:firstLineChars="200" w:firstLine="420"/>
    </w:pPr>
    <w:rPr>
      <w:rFonts w:ascii="Times New Roman" w:hAnsi="Times New Roman"/>
    </w:rPr>
  </w:style>
  <w:style w:type="paragraph" w:styleId="a8">
    <w:name w:val="Normal (Web)"/>
    <w:basedOn w:val="a"/>
    <w:uiPriority w:val="99"/>
    <w:pPr>
      <w:widowControl/>
      <w:spacing w:before="100" w:beforeAutospacing="1" w:after="100" w:afterAutospacing="1"/>
      <w:jc w:val="left"/>
    </w:pPr>
    <w:rPr>
      <w:rFonts w:ascii="宋体" w:hAnsi="宋体" w:cs="宋体"/>
      <w:kern w:val="0"/>
      <w:sz w:val="24"/>
      <w:szCs w:val="24"/>
    </w:rPr>
  </w:style>
  <w:style w:type="character" w:styleId="a9">
    <w:name w:val="Hyperlink"/>
    <w:rPr>
      <w:rFonts w:ascii="Times New Roman" w:eastAsia="宋体" w:hAnsi="Times New Roman" w:cs="Times New Roman"/>
      <w:color w:val="0000FF"/>
      <w:u w:val="single"/>
    </w:rPr>
  </w:style>
  <w:style w:type="table" w:styleId="aa">
    <w:name w:val="Table Grid"/>
    <w:basedOn w:val="a1"/>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annotation reference"/>
    <w:rPr>
      <w:rFonts w:ascii="Times New Roman" w:eastAsia="宋体" w:hAnsi="Times New Roman" w:cs="Times New Roman"/>
      <w:sz w:val="21"/>
      <w:szCs w:val="21"/>
    </w:rPr>
  </w:style>
  <w:style w:type="character" w:customStyle="1" w:styleId="Char2">
    <w:name w:val="批注文字 Char"/>
    <w:link w:val="ac"/>
    <w:rPr>
      <w:rFonts w:ascii="Calibri" w:eastAsia="宋体" w:hAnsi="Calibri" w:cs="Times New Roman"/>
      <w:kern w:val="2"/>
      <w:sz w:val="21"/>
      <w:szCs w:val="22"/>
    </w:rPr>
  </w:style>
  <w:style w:type="paragraph" w:styleId="ac">
    <w:name w:val="annotation text"/>
    <w:basedOn w:val="a"/>
    <w:link w:val="Char2"/>
    <w:pPr>
      <w:jc w:val="left"/>
    </w:pPr>
    <w:rPr>
      <w:rFonts w:ascii="Times New Roman" w:hAnsi="Times New Roman"/>
    </w:rPr>
  </w:style>
  <w:style w:type="character" w:customStyle="1" w:styleId="Char3">
    <w:name w:val="批注主题 Char"/>
    <w:link w:val="ad"/>
    <w:rPr>
      <w:rFonts w:ascii="Calibri" w:eastAsia="宋体" w:hAnsi="Calibri" w:cs="Times New Roman"/>
      <w:b/>
      <w:bCs/>
      <w:kern w:val="2"/>
      <w:sz w:val="21"/>
      <w:szCs w:val="22"/>
    </w:rPr>
  </w:style>
  <w:style w:type="paragraph" w:styleId="ad">
    <w:name w:val="annotation subject"/>
    <w:basedOn w:val="ac"/>
    <w:next w:val="ac"/>
    <w:link w:val="Char3"/>
    <w:rPr>
      <w:b/>
      <w:bCs/>
    </w:rPr>
  </w:style>
  <w:style w:type="character" w:styleId="ae">
    <w:name w:val="Strong"/>
    <w:uiPriority w:val="22"/>
    <w:qFormat/>
    <w:rPr>
      <w:rFonts w:ascii="Times New Roman" w:eastAsia="宋体" w:hAnsi="Times New Roman" w:cs="Times New Roman"/>
      <w:b/>
      <w:bCs/>
    </w:rPr>
  </w:style>
  <w:style w:type="paragraph" w:customStyle="1" w:styleId="10">
    <w:name w:val="列出段落1"/>
    <w:basedOn w:val="a"/>
    <w:qFormat/>
    <w:pPr>
      <w:ind w:firstLineChars="200" w:firstLine="420"/>
    </w:pPr>
    <w:rPr>
      <w:rFonts w:ascii="Times New Roman" w:hAnsi="Times New Roman"/>
    </w:rPr>
  </w:style>
  <w:style w:type="character" w:customStyle="1" w:styleId="Char4">
    <w:name w:val="日期 Char"/>
    <w:link w:val="af"/>
    <w:rPr>
      <w:rFonts w:ascii="Calibri" w:eastAsia="宋体" w:hAnsi="Calibri" w:cs="Times New Roman"/>
      <w:kern w:val="2"/>
      <w:sz w:val="21"/>
      <w:szCs w:val="22"/>
    </w:rPr>
  </w:style>
  <w:style w:type="paragraph" w:styleId="af">
    <w:name w:val="Date"/>
    <w:basedOn w:val="a"/>
    <w:next w:val="a"/>
    <w:link w:val="Char4"/>
    <w:pPr>
      <w:ind w:leftChars="2500" w:left="100"/>
    </w:pPr>
    <w:rPr>
      <w:rFonts w:ascii="Times New Roman" w:hAnsi="Times New Roman"/>
    </w:rPr>
  </w:style>
  <w:style w:type="character" w:styleId="af0">
    <w:name w:val="Emphasis"/>
    <w:uiPriority w:val="20"/>
    <w:qFormat/>
    <w:rPr>
      <w:rFonts w:ascii="Times New Roman" w:eastAsia="宋体" w:hAnsi="Times New Roman" w:cs="Times New Roman"/>
      <w:i/>
      <w:iCs/>
    </w:rPr>
  </w:style>
  <w:style w:type="character" w:customStyle="1" w:styleId="apple-converted-space">
    <w:name w:val="apple-converted-space"/>
    <w:rsid w:val="00075EC6"/>
  </w:style>
  <w:style w:type="paragraph" w:customStyle="1" w:styleId="ChartHeading">
    <w:name w:val="Chart Heading"/>
    <w:basedOn w:val="a"/>
    <w:link w:val="ChartHeadingChar"/>
    <w:rsid w:val="0056608B"/>
    <w:pPr>
      <w:keepNext/>
      <w:keepLines/>
      <w:pBdr>
        <w:bottom w:val="single" w:sz="4" w:space="1" w:color="auto"/>
      </w:pBdr>
      <w:adjustRightInd w:val="0"/>
      <w:snapToGrid w:val="0"/>
      <w:spacing w:before="20" w:after="40"/>
      <w:jc w:val="left"/>
    </w:pPr>
    <w:rPr>
      <w:rFonts w:ascii="Arial Narrow" w:eastAsia="华文楷体" w:hAnsi="Arial Narrow"/>
      <w:b/>
      <w:kern w:val="0"/>
      <w:sz w:val="20"/>
      <w:szCs w:val="20"/>
    </w:rPr>
  </w:style>
  <w:style w:type="character" w:customStyle="1" w:styleId="ChartHeadingChar">
    <w:name w:val="Chart Heading Char"/>
    <w:link w:val="ChartHeading"/>
    <w:rsid w:val="0056608B"/>
    <w:rPr>
      <w:rFonts w:ascii="Arial Narrow" w:eastAsia="华文楷体" w:hAnsi="Arial Narrow"/>
      <w:b/>
    </w:rPr>
  </w:style>
  <w:style w:type="paragraph" w:customStyle="1" w:styleId="Source">
    <w:name w:val="Source"/>
    <w:basedOn w:val="a"/>
    <w:link w:val="Source1"/>
    <w:rsid w:val="0056608B"/>
    <w:pPr>
      <w:pBdr>
        <w:top w:val="single" w:sz="4" w:space="1" w:color="auto"/>
      </w:pBdr>
      <w:adjustRightInd w:val="0"/>
      <w:snapToGrid w:val="0"/>
      <w:spacing w:before="40"/>
      <w:jc w:val="left"/>
    </w:pPr>
    <w:rPr>
      <w:rFonts w:ascii="Arial Narrow" w:eastAsia="华文楷体" w:hAnsi="Arial Narrow"/>
      <w:i/>
      <w:sz w:val="16"/>
      <w:szCs w:val="24"/>
    </w:rPr>
  </w:style>
  <w:style w:type="character" w:customStyle="1" w:styleId="Source1">
    <w:name w:val="Source 字元1"/>
    <w:link w:val="Source"/>
    <w:rsid w:val="0056608B"/>
    <w:rPr>
      <w:rFonts w:ascii="Arial Narrow" w:eastAsia="华文楷体" w:hAnsi="Arial Narrow"/>
      <w:i/>
      <w:kern w:val="2"/>
      <w:sz w:val="16"/>
      <w:szCs w:val="24"/>
    </w:rPr>
  </w:style>
  <w:style w:type="paragraph" w:customStyle="1" w:styleId="Header1">
    <w:name w:val="Header1"/>
    <w:basedOn w:val="a"/>
    <w:link w:val="Header1Char"/>
    <w:rsid w:val="004C5268"/>
    <w:pPr>
      <w:tabs>
        <w:tab w:val="left" w:pos="4050"/>
      </w:tabs>
      <w:suppressAutoHyphens/>
      <w:adjustRightInd w:val="0"/>
      <w:snapToGrid w:val="0"/>
      <w:spacing w:before="120" w:after="240"/>
    </w:pPr>
    <w:rPr>
      <w:rFonts w:ascii="Arial Bold" w:eastAsia="华文楷体" w:hAnsi="Arial Bold"/>
      <w:b/>
      <w:smallCaps/>
      <w:color w:val="A7001D"/>
      <w:kern w:val="0"/>
      <w:sz w:val="32"/>
      <w:szCs w:val="20"/>
    </w:rPr>
  </w:style>
  <w:style w:type="character" w:customStyle="1" w:styleId="Header1Char">
    <w:name w:val="Header1 Char"/>
    <w:link w:val="Header1"/>
    <w:rsid w:val="004C5268"/>
    <w:rPr>
      <w:rFonts w:ascii="Arial Bold" w:eastAsia="华文楷体" w:hAnsi="Arial Bold"/>
      <w:b/>
      <w:smallCaps/>
      <w:color w:val="A7001D"/>
      <w:sz w:val="32"/>
    </w:rPr>
  </w:style>
  <w:style w:type="paragraph" w:customStyle="1" w:styleId="Header2">
    <w:name w:val="Header 2"/>
    <w:basedOn w:val="a"/>
    <w:link w:val="Header20"/>
    <w:rsid w:val="004C5268"/>
    <w:pPr>
      <w:suppressAutoHyphens/>
      <w:adjustRightInd w:val="0"/>
      <w:snapToGrid w:val="0"/>
      <w:spacing w:before="80" w:after="80"/>
    </w:pPr>
    <w:rPr>
      <w:rFonts w:ascii="Arial" w:eastAsia="华文楷体" w:hAnsi="Arial"/>
      <w:b/>
      <w:bCs/>
      <w:kern w:val="0"/>
      <w:sz w:val="24"/>
      <w:szCs w:val="20"/>
      <w:u w:color="003300"/>
      <w:lang w:eastAsia="zh-TW"/>
    </w:rPr>
  </w:style>
  <w:style w:type="character" w:customStyle="1" w:styleId="Header20">
    <w:name w:val="Header 2 字元"/>
    <w:link w:val="Header2"/>
    <w:locked/>
    <w:rsid w:val="004C5268"/>
    <w:rPr>
      <w:rFonts w:ascii="Arial" w:eastAsia="华文楷体" w:hAnsi="Arial"/>
      <w:b/>
      <w:bCs/>
      <w:sz w:val="24"/>
      <w:u w:color="003300"/>
      <w:lang w:eastAsia="zh-TW"/>
    </w:rPr>
  </w:style>
  <w:style w:type="paragraph" w:customStyle="1" w:styleId="Body-text">
    <w:name w:val="Body-text"/>
    <w:basedOn w:val="a"/>
    <w:link w:val="Body-textChar"/>
    <w:qFormat/>
    <w:rsid w:val="004C5268"/>
    <w:pPr>
      <w:adjustRightInd w:val="0"/>
      <w:snapToGrid w:val="0"/>
      <w:spacing w:after="120"/>
    </w:pPr>
    <w:rPr>
      <w:rFonts w:ascii="Arial Narrow" w:eastAsia="华文楷体" w:hAnsi="Arial Narrow"/>
      <w:kern w:val="0"/>
      <w:sz w:val="20"/>
      <w:szCs w:val="20"/>
      <w:lang w:eastAsia="zh-TW"/>
    </w:rPr>
  </w:style>
  <w:style w:type="character" w:customStyle="1" w:styleId="Body-textChar">
    <w:name w:val="Body-text Char"/>
    <w:link w:val="Body-text"/>
    <w:qFormat/>
    <w:rsid w:val="004C5268"/>
    <w:rPr>
      <w:rFonts w:ascii="Arial Narrow" w:eastAsia="华文楷体" w:hAnsi="Arial Narrow"/>
      <w:lang w:eastAsia="zh-TW"/>
    </w:rPr>
  </w:style>
  <w:style w:type="paragraph" w:customStyle="1" w:styleId="p-text">
    <w:name w:val="p-text"/>
    <w:basedOn w:val="a"/>
    <w:rsid w:val="008B53FE"/>
    <w:pPr>
      <w:widowControl/>
      <w:spacing w:before="100" w:beforeAutospacing="1" w:after="100" w:afterAutospacing="1"/>
      <w:jc w:val="left"/>
    </w:pPr>
    <w:rPr>
      <w:rFonts w:ascii="宋体" w:hAnsi="宋体" w:cs="宋体"/>
      <w:kern w:val="0"/>
      <w:sz w:val="24"/>
      <w:szCs w:val="24"/>
    </w:rPr>
  </w:style>
  <w:style w:type="paragraph" w:customStyle="1" w:styleId="p-type-name">
    <w:name w:val="p-type-name"/>
    <w:basedOn w:val="a"/>
    <w:rsid w:val="008B53FE"/>
    <w:pPr>
      <w:widowControl/>
      <w:spacing w:before="100" w:beforeAutospacing="1" w:after="100" w:afterAutospacing="1"/>
      <w:jc w:val="left"/>
    </w:pPr>
    <w:rPr>
      <w:rFonts w:ascii="宋体" w:hAnsi="宋体" w:cs="宋体"/>
      <w:kern w:val="0"/>
      <w:sz w:val="24"/>
      <w:szCs w:val="24"/>
    </w:rPr>
  </w:style>
  <w:style w:type="character" w:customStyle="1" w:styleId="span-type-name">
    <w:name w:val="span-type-name"/>
    <w:basedOn w:val="a0"/>
    <w:rsid w:val="008B53FE"/>
  </w:style>
  <w:style w:type="character" w:customStyle="1" w:styleId="mark">
    <w:name w:val="mark"/>
    <w:basedOn w:val="a0"/>
    <w:rsid w:val="00233DD7"/>
  </w:style>
  <w:style w:type="paragraph" w:styleId="af1">
    <w:name w:val="List Paragraph"/>
    <w:basedOn w:val="a"/>
    <w:uiPriority w:val="34"/>
    <w:qFormat/>
    <w:rsid w:val="002D251D"/>
    <w:pPr>
      <w:widowControl/>
      <w:spacing w:afterLines="100" w:after="100"/>
      <w:ind w:firstLineChars="200" w:firstLine="420"/>
    </w:pPr>
    <w:rPr>
      <w:rFonts w:ascii="仿宋" w:eastAsia="仿宋" w:hAnsi="仿宋" w:cstheme="minorBidi"/>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1737516">
      <w:bodyDiv w:val="1"/>
      <w:marLeft w:val="0"/>
      <w:marRight w:val="0"/>
      <w:marTop w:val="0"/>
      <w:marBottom w:val="0"/>
      <w:divBdr>
        <w:top w:val="none" w:sz="0" w:space="0" w:color="auto"/>
        <w:left w:val="none" w:sz="0" w:space="0" w:color="auto"/>
        <w:bottom w:val="none" w:sz="0" w:space="0" w:color="auto"/>
        <w:right w:val="none" w:sz="0" w:space="0" w:color="auto"/>
      </w:divBdr>
    </w:div>
    <w:div w:id="42102807">
      <w:bodyDiv w:val="1"/>
      <w:marLeft w:val="0"/>
      <w:marRight w:val="0"/>
      <w:marTop w:val="0"/>
      <w:marBottom w:val="0"/>
      <w:divBdr>
        <w:top w:val="none" w:sz="0" w:space="0" w:color="auto"/>
        <w:left w:val="none" w:sz="0" w:space="0" w:color="auto"/>
        <w:bottom w:val="none" w:sz="0" w:space="0" w:color="auto"/>
        <w:right w:val="none" w:sz="0" w:space="0" w:color="auto"/>
      </w:divBdr>
    </w:div>
    <w:div w:id="49765581">
      <w:bodyDiv w:val="1"/>
      <w:marLeft w:val="0"/>
      <w:marRight w:val="0"/>
      <w:marTop w:val="0"/>
      <w:marBottom w:val="0"/>
      <w:divBdr>
        <w:top w:val="none" w:sz="0" w:space="0" w:color="auto"/>
        <w:left w:val="none" w:sz="0" w:space="0" w:color="auto"/>
        <w:bottom w:val="none" w:sz="0" w:space="0" w:color="auto"/>
        <w:right w:val="none" w:sz="0" w:space="0" w:color="auto"/>
      </w:divBdr>
    </w:div>
    <w:div w:id="70808911">
      <w:bodyDiv w:val="1"/>
      <w:marLeft w:val="0"/>
      <w:marRight w:val="0"/>
      <w:marTop w:val="0"/>
      <w:marBottom w:val="0"/>
      <w:divBdr>
        <w:top w:val="none" w:sz="0" w:space="0" w:color="auto"/>
        <w:left w:val="none" w:sz="0" w:space="0" w:color="auto"/>
        <w:bottom w:val="none" w:sz="0" w:space="0" w:color="auto"/>
        <w:right w:val="none" w:sz="0" w:space="0" w:color="auto"/>
      </w:divBdr>
    </w:div>
    <w:div w:id="128478330">
      <w:bodyDiv w:val="1"/>
      <w:marLeft w:val="0"/>
      <w:marRight w:val="0"/>
      <w:marTop w:val="0"/>
      <w:marBottom w:val="0"/>
      <w:divBdr>
        <w:top w:val="none" w:sz="0" w:space="0" w:color="auto"/>
        <w:left w:val="none" w:sz="0" w:space="0" w:color="auto"/>
        <w:bottom w:val="none" w:sz="0" w:space="0" w:color="auto"/>
        <w:right w:val="none" w:sz="0" w:space="0" w:color="auto"/>
      </w:divBdr>
    </w:div>
    <w:div w:id="140318787">
      <w:bodyDiv w:val="1"/>
      <w:marLeft w:val="0"/>
      <w:marRight w:val="0"/>
      <w:marTop w:val="0"/>
      <w:marBottom w:val="0"/>
      <w:divBdr>
        <w:top w:val="none" w:sz="0" w:space="0" w:color="auto"/>
        <w:left w:val="none" w:sz="0" w:space="0" w:color="auto"/>
        <w:bottom w:val="none" w:sz="0" w:space="0" w:color="auto"/>
        <w:right w:val="none" w:sz="0" w:space="0" w:color="auto"/>
      </w:divBdr>
    </w:div>
    <w:div w:id="149105645">
      <w:bodyDiv w:val="1"/>
      <w:marLeft w:val="0"/>
      <w:marRight w:val="0"/>
      <w:marTop w:val="0"/>
      <w:marBottom w:val="0"/>
      <w:divBdr>
        <w:top w:val="none" w:sz="0" w:space="0" w:color="auto"/>
        <w:left w:val="none" w:sz="0" w:space="0" w:color="auto"/>
        <w:bottom w:val="none" w:sz="0" w:space="0" w:color="auto"/>
        <w:right w:val="none" w:sz="0" w:space="0" w:color="auto"/>
      </w:divBdr>
    </w:div>
    <w:div w:id="197862177">
      <w:bodyDiv w:val="1"/>
      <w:marLeft w:val="0"/>
      <w:marRight w:val="0"/>
      <w:marTop w:val="0"/>
      <w:marBottom w:val="0"/>
      <w:divBdr>
        <w:top w:val="none" w:sz="0" w:space="0" w:color="auto"/>
        <w:left w:val="none" w:sz="0" w:space="0" w:color="auto"/>
        <w:bottom w:val="none" w:sz="0" w:space="0" w:color="auto"/>
        <w:right w:val="none" w:sz="0" w:space="0" w:color="auto"/>
      </w:divBdr>
    </w:div>
    <w:div w:id="203948145">
      <w:bodyDiv w:val="1"/>
      <w:marLeft w:val="0"/>
      <w:marRight w:val="0"/>
      <w:marTop w:val="0"/>
      <w:marBottom w:val="0"/>
      <w:divBdr>
        <w:top w:val="none" w:sz="0" w:space="0" w:color="auto"/>
        <w:left w:val="none" w:sz="0" w:space="0" w:color="auto"/>
        <w:bottom w:val="none" w:sz="0" w:space="0" w:color="auto"/>
        <w:right w:val="none" w:sz="0" w:space="0" w:color="auto"/>
      </w:divBdr>
    </w:div>
    <w:div w:id="208425047">
      <w:bodyDiv w:val="1"/>
      <w:marLeft w:val="0"/>
      <w:marRight w:val="0"/>
      <w:marTop w:val="0"/>
      <w:marBottom w:val="0"/>
      <w:divBdr>
        <w:top w:val="none" w:sz="0" w:space="0" w:color="auto"/>
        <w:left w:val="none" w:sz="0" w:space="0" w:color="auto"/>
        <w:bottom w:val="none" w:sz="0" w:space="0" w:color="auto"/>
        <w:right w:val="none" w:sz="0" w:space="0" w:color="auto"/>
      </w:divBdr>
    </w:div>
    <w:div w:id="227425062">
      <w:bodyDiv w:val="1"/>
      <w:marLeft w:val="0"/>
      <w:marRight w:val="0"/>
      <w:marTop w:val="0"/>
      <w:marBottom w:val="0"/>
      <w:divBdr>
        <w:top w:val="none" w:sz="0" w:space="0" w:color="auto"/>
        <w:left w:val="none" w:sz="0" w:space="0" w:color="auto"/>
        <w:bottom w:val="none" w:sz="0" w:space="0" w:color="auto"/>
        <w:right w:val="none" w:sz="0" w:space="0" w:color="auto"/>
      </w:divBdr>
    </w:div>
    <w:div w:id="234555626">
      <w:bodyDiv w:val="1"/>
      <w:marLeft w:val="0"/>
      <w:marRight w:val="0"/>
      <w:marTop w:val="0"/>
      <w:marBottom w:val="0"/>
      <w:divBdr>
        <w:top w:val="none" w:sz="0" w:space="0" w:color="auto"/>
        <w:left w:val="none" w:sz="0" w:space="0" w:color="auto"/>
        <w:bottom w:val="none" w:sz="0" w:space="0" w:color="auto"/>
        <w:right w:val="none" w:sz="0" w:space="0" w:color="auto"/>
      </w:divBdr>
    </w:div>
    <w:div w:id="241332597">
      <w:bodyDiv w:val="1"/>
      <w:marLeft w:val="0"/>
      <w:marRight w:val="0"/>
      <w:marTop w:val="0"/>
      <w:marBottom w:val="0"/>
      <w:divBdr>
        <w:top w:val="none" w:sz="0" w:space="0" w:color="auto"/>
        <w:left w:val="none" w:sz="0" w:space="0" w:color="auto"/>
        <w:bottom w:val="none" w:sz="0" w:space="0" w:color="auto"/>
        <w:right w:val="none" w:sz="0" w:space="0" w:color="auto"/>
      </w:divBdr>
      <w:divsChild>
        <w:div w:id="324869102">
          <w:marLeft w:val="533"/>
          <w:marRight w:val="0"/>
          <w:marTop w:val="120"/>
          <w:marBottom w:val="0"/>
          <w:divBdr>
            <w:top w:val="none" w:sz="0" w:space="0" w:color="auto"/>
            <w:left w:val="none" w:sz="0" w:space="0" w:color="auto"/>
            <w:bottom w:val="none" w:sz="0" w:space="0" w:color="auto"/>
            <w:right w:val="none" w:sz="0" w:space="0" w:color="auto"/>
          </w:divBdr>
        </w:div>
      </w:divsChild>
    </w:div>
    <w:div w:id="266085068">
      <w:bodyDiv w:val="1"/>
      <w:marLeft w:val="0"/>
      <w:marRight w:val="0"/>
      <w:marTop w:val="0"/>
      <w:marBottom w:val="0"/>
      <w:divBdr>
        <w:top w:val="none" w:sz="0" w:space="0" w:color="auto"/>
        <w:left w:val="none" w:sz="0" w:space="0" w:color="auto"/>
        <w:bottom w:val="none" w:sz="0" w:space="0" w:color="auto"/>
        <w:right w:val="none" w:sz="0" w:space="0" w:color="auto"/>
      </w:divBdr>
      <w:divsChild>
        <w:div w:id="977614478">
          <w:marLeft w:val="533"/>
          <w:marRight w:val="0"/>
          <w:marTop w:val="120"/>
          <w:marBottom w:val="0"/>
          <w:divBdr>
            <w:top w:val="none" w:sz="0" w:space="0" w:color="auto"/>
            <w:left w:val="none" w:sz="0" w:space="0" w:color="auto"/>
            <w:bottom w:val="none" w:sz="0" w:space="0" w:color="auto"/>
            <w:right w:val="none" w:sz="0" w:space="0" w:color="auto"/>
          </w:divBdr>
        </w:div>
      </w:divsChild>
    </w:div>
    <w:div w:id="274336025">
      <w:bodyDiv w:val="1"/>
      <w:marLeft w:val="0"/>
      <w:marRight w:val="0"/>
      <w:marTop w:val="0"/>
      <w:marBottom w:val="0"/>
      <w:divBdr>
        <w:top w:val="none" w:sz="0" w:space="0" w:color="auto"/>
        <w:left w:val="none" w:sz="0" w:space="0" w:color="auto"/>
        <w:bottom w:val="none" w:sz="0" w:space="0" w:color="auto"/>
        <w:right w:val="none" w:sz="0" w:space="0" w:color="auto"/>
      </w:divBdr>
      <w:divsChild>
        <w:div w:id="1430197797">
          <w:marLeft w:val="0"/>
          <w:marRight w:val="0"/>
          <w:marTop w:val="0"/>
          <w:marBottom w:val="0"/>
          <w:divBdr>
            <w:top w:val="none" w:sz="0" w:space="0" w:color="auto"/>
            <w:left w:val="none" w:sz="0" w:space="0" w:color="auto"/>
            <w:bottom w:val="none" w:sz="0" w:space="0" w:color="auto"/>
            <w:right w:val="none" w:sz="0" w:space="0" w:color="auto"/>
          </w:divBdr>
          <w:divsChild>
            <w:div w:id="1872303054">
              <w:marLeft w:val="0"/>
              <w:marRight w:val="0"/>
              <w:marTop w:val="465"/>
              <w:marBottom w:val="300"/>
              <w:divBdr>
                <w:top w:val="none" w:sz="0" w:space="0" w:color="auto"/>
                <w:left w:val="none" w:sz="0" w:space="0" w:color="auto"/>
                <w:bottom w:val="none" w:sz="0" w:space="0" w:color="auto"/>
                <w:right w:val="none" w:sz="0" w:space="0" w:color="auto"/>
              </w:divBdr>
            </w:div>
          </w:divsChild>
        </w:div>
      </w:divsChild>
    </w:div>
    <w:div w:id="288633107">
      <w:bodyDiv w:val="1"/>
      <w:marLeft w:val="0"/>
      <w:marRight w:val="0"/>
      <w:marTop w:val="0"/>
      <w:marBottom w:val="0"/>
      <w:divBdr>
        <w:top w:val="none" w:sz="0" w:space="0" w:color="auto"/>
        <w:left w:val="none" w:sz="0" w:space="0" w:color="auto"/>
        <w:bottom w:val="none" w:sz="0" w:space="0" w:color="auto"/>
        <w:right w:val="none" w:sz="0" w:space="0" w:color="auto"/>
      </w:divBdr>
      <w:divsChild>
        <w:div w:id="715466554">
          <w:marLeft w:val="533"/>
          <w:marRight w:val="0"/>
          <w:marTop w:val="120"/>
          <w:marBottom w:val="0"/>
          <w:divBdr>
            <w:top w:val="none" w:sz="0" w:space="0" w:color="auto"/>
            <w:left w:val="none" w:sz="0" w:space="0" w:color="auto"/>
            <w:bottom w:val="none" w:sz="0" w:space="0" w:color="auto"/>
            <w:right w:val="none" w:sz="0" w:space="0" w:color="auto"/>
          </w:divBdr>
        </w:div>
        <w:div w:id="1716269990">
          <w:marLeft w:val="533"/>
          <w:marRight w:val="0"/>
          <w:marTop w:val="120"/>
          <w:marBottom w:val="0"/>
          <w:divBdr>
            <w:top w:val="none" w:sz="0" w:space="0" w:color="auto"/>
            <w:left w:val="none" w:sz="0" w:space="0" w:color="auto"/>
            <w:bottom w:val="none" w:sz="0" w:space="0" w:color="auto"/>
            <w:right w:val="none" w:sz="0" w:space="0" w:color="auto"/>
          </w:divBdr>
        </w:div>
      </w:divsChild>
    </w:div>
    <w:div w:id="325741675">
      <w:bodyDiv w:val="1"/>
      <w:marLeft w:val="0"/>
      <w:marRight w:val="0"/>
      <w:marTop w:val="0"/>
      <w:marBottom w:val="0"/>
      <w:divBdr>
        <w:top w:val="none" w:sz="0" w:space="0" w:color="auto"/>
        <w:left w:val="none" w:sz="0" w:space="0" w:color="auto"/>
        <w:bottom w:val="none" w:sz="0" w:space="0" w:color="auto"/>
        <w:right w:val="none" w:sz="0" w:space="0" w:color="auto"/>
      </w:divBdr>
    </w:div>
    <w:div w:id="384717838">
      <w:bodyDiv w:val="1"/>
      <w:marLeft w:val="0"/>
      <w:marRight w:val="0"/>
      <w:marTop w:val="0"/>
      <w:marBottom w:val="0"/>
      <w:divBdr>
        <w:top w:val="none" w:sz="0" w:space="0" w:color="auto"/>
        <w:left w:val="none" w:sz="0" w:space="0" w:color="auto"/>
        <w:bottom w:val="none" w:sz="0" w:space="0" w:color="auto"/>
        <w:right w:val="none" w:sz="0" w:space="0" w:color="auto"/>
      </w:divBdr>
    </w:div>
    <w:div w:id="394743066">
      <w:bodyDiv w:val="1"/>
      <w:marLeft w:val="0"/>
      <w:marRight w:val="0"/>
      <w:marTop w:val="0"/>
      <w:marBottom w:val="0"/>
      <w:divBdr>
        <w:top w:val="none" w:sz="0" w:space="0" w:color="auto"/>
        <w:left w:val="none" w:sz="0" w:space="0" w:color="auto"/>
        <w:bottom w:val="none" w:sz="0" w:space="0" w:color="auto"/>
        <w:right w:val="none" w:sz="0" w:space="0" w:color="auto"/>
      </w:divBdr>
    </w:div>
    <w:div w:id="394743696">
      <w:bodyDiv w:val="1"/>
      <w:marLeft w:val="0"/>
      <w:marRight w:val="0"/>
      <w:marTop w:val="0"/>
      <w:marBottom w:val="0"/>
      <w:divBdr>
        <w:top w:val="none" w:sz="0" w:space="0" w:color="auto"/>
        <w:left w:val="none" w:sz="0" w:space="0" w:color="auto"/>
        <w:bottom w:val="none" w:sz="0" w:space="0" w:color="auto"/>
        <w:right w:val="none" w:sz="0" w:space="0" w:color="auto"/>
      </w:divBdr>
    </w:div>
    <w:div w:id="422344079">
      <w:bodyDiv w:val="1"/>
      <w:marLeft w:val="0"/>
      <w:marRight w:val="0"/>
      <w:marTop w:val="0"/>
      <w:marBottom w:val="0"/>
      <w:divBdr>
        <w:top w:val="none" w:sz="0" w:space="0" w:color="auto"/>
        <w:left w:val="none" w:sz="0" w:space="0" w:color="auto"/>
        <w:bottom w:val="none" w:sz="0" w:space="0" w:color="auto"/>
        <w:right w:val="none" w:sz="0" w:space="0" w:color="auto"/>
      </w:divBdr>
      <w:divsChild>
        <w:div w:id="700126991">
          <w:marLeft w:val="533"/>
          <w:marRight w:val="0"/>
          <w:marTop w:val="120"/>
          <w:marBottom w:val="0"/>
          <w:divBdr>
            <w:top w:val="none" w:sz="0" w:space="0" w:color="auto"/>
            <w:left w:val="none" w:sz="0" w:space="0" w:color="auto"/>
            <w:bottom w:val="none" w:sz="0" w:space="0" w:color="auto"/>
            <w:right w:val="none" w:sz="0" w:space="0" w:color="auto"/>
          </w:divBdr>
        </w:div>
      </w:divsChild>
    </w:div>
    <w:div w:id="430392436">
      <w:bodyDiv w:val="1"/>
      <w:marLeft w:val="0"/>
      <w:marRight w:val="0"/>
      <w:marTop w:val="0"/>
      <w:marBottom w:val="0"/>
      <w:divBdr>
        <w:top w:val="none" w:sz="0" w:space="0" w:color="auto"/>
        <w:left w:val="none" w:sz="0" w:space="0" w:color="auto"/>
        <w:bottom w:val="none" w:sz="0" w:space="0" w:color="auto"/>
        <w:right w:val="none" w:sz="0" w:space="0" w:color="auto"/>
      </w:divBdr>
    </w:div>
    <w:div w:id="452286922">
      <w:bodyDiv w:val="1"/>
      <w:marLeft w:val="0"/>
      <w:marRight w:val="0"/>
      <w:marTop w:val="0"/>
      <w:marBottom w:val="0"/>
      <w:divBdr>
        <w:top w:val="none" w:sz="0" w:space="0" w:color="auto"/>
        <w:left w:val="none" w:sz="0" w:space="0" w:color="auto"/>
        <w:bottom w:val="none" w:sz="0" w:space="0" w:color="auto"/>
        <w:right w:val="none" w:sz="0" w:space="0" w:color="auto"/>
      </w:divBdr>
    </w:div>
    <w:div w:id="458954733">
      <w:bodyDiv w:val="1"/>
      <w:marLeft w:val="0"/>
      <w:marRight w:val="0"/>
      <w:marTop w:val="0"/>
      <w:marBottom w:val="0"/>
      <w:divBdr>
        <w:top w:val="none" w:sz="0" w:space="0" w:color="auto"/>
        <w:left w:val="none" w:sz="0" w:space="0" w:color="auto"/>
        <w:bottom w:val="none" w:sz="0" w:space="0" w:color="auto"/>
        <w:right w:val="none" w:sz="0" w:space="0" w:color="auto"/>
      </w:divBdr>
    </w:div>
    <w:div w:id="565192339">
      <w:bodyDiv w:val="1"/>
      <w:marLeft w:val="0"/>
      <w:marRight w:val="0"/>
      <w:marTop w:val="0"/>
      <w:marBottom w:val="0"/>
      <w:divBdr>
        <w:top w:val="none" w:sz="0" w:space="0" w:color="auto"/>
        <w:left w:val="none" w:sz="0" w:space="0" w:color="auto"/>
        <w:bottom w:val="none" w:sz="0" w:space="0" w:color="auto"/>
        <w:right w:val="none" w:sz="0" w:space="0" w:color="auto"/>
      </w:divBdr>
    </w:div>
    <w:div w:id="591359552">
      <w:bodyDiv w:val="1"/>
      <w:marLeft w:val="0"/>
      <w:marRight w:val="0"/>
      <w:marTop w:val="0"/>
      <w:marBottom w:val="0"/>
      <w:divBdr>
        <w:top w:val="none" w:sz="0" w:space="0" w:color="auto"/>
        <w:left w:val="none" w:sz="0" w:space="0" w:color="auto"/>
        <w:bottom w:val="none" w:sz="0" w:space="0" w:color="auto"/>
        <w:right w:val="none" w:sz="0" w:space="0" w:color="auto"/>
      </w:divBdr>
    </w:div>
    <w:div w:id="592007635">
      <w:bodyDiv w:val="1"/>
      <w:marLeft w:val="0"/>
      <w:marRight w:val="0"/>
      <w:marTop w:val="0"/>
      <w:marBottom w:val="0"/>
      <w:divBdr>
        <w:top w:val="none" w:sz="0" w:space="0" w:color="auto"/>
        <w:left w:val="none" w:sz="0" w:space="0" w:color="auto"/>
        <w:bottom w:val="none" w:sz="0" w:space="0" w:color="auto"/>
        <w:right w:val="none" w:sz="0" w:space="0" w:color="auto"/>
      </w:divBdr>
    </w:div>
    <w:div w:id="592320557">
      <w:bodyDiv w:val="1"/>
      <w:marLeft w:val="0"/>
      <w:marRight w:val="0"/>
      <w:marTop w:val="0"/>
      <w:marBottom w:val="0"/>
      <w:divBdr>
        <w:top w:val="none" w:sz="0" w:space="0" w:color="auto"/>
        <w:left w:val="none" w:sz="0" w:space="0" w:color="auto"/>
        <w:bottom w:val="none" w:sz="0" w:space="0" w:color="auto"/>
        <w:right w:val="none" w:sz="0" w:space="0" w:color="auto"/>
      </w:divBdr>
    </w:div>
    <w:div w:id="629630957">
      <w:bodyDiv w:val="1"/>
      <w:marLeft w:val="0"/>
      <w:marRight w:val="0"/>
      <w:marTop w:val="0"/>
      <w:marBottom w:val="0"/>
      <w:divBdr>
        <w:top w:val="none" w:sz="0" w:space="0" w:color="auto"/>
        <w:left w:val="none" w:sz="0" w:space="0" w:color="auto"/>
        <w:bottom w:val="none" w:sz="0" w:space="0" w:color="auto"/>
        <w:right w:val="none" w:sz="0" w:space="0" w:color="auto"/>
      </w:divBdr>
    </w:div>
    <w:div w:id="802845788">
      <w:bodyDiv w:val="1"/>
      <w:marLeft w:val="0"/>
      <w:marRight w:val="0"/>
      <w:marTop w:val="0"/>
      <w:marBottom w:val="0"/>
      <w:divBdr>
        <w:top w:val="none" w:sz="0" w:space="0" w:color="auto"/>
        <w:left w:val="none" w:sz="0" w:space="0" w:color="auto"/>
        <w:bottom w:val="none" w:sz="0" w:space="0" w:color="auto"/>
        <w:right w:val="none" w:sz="0" w:space="0" w:color="auto"/>
      </w:divBdr>
    </w:div>
    <w:div w:id="831338932">
      <w:bodyDiv w:val="1"/>
      <w:marLeft w:val="0"/>
      <w:marRight w:val="0"/>
      <w:marTop w:val="0"/>
      <w:marBottom w:val="0"/>
      <w:divBdr>
        <w:top w:val="none" w:sz="0" w:space="0" w:color="auto"/>
        <w:left w:val="none" w:sz="0" w:space="0" w:color="auto"/>
        <w:bottom w:val="none" w:sz="0" w:space="0" w:color="auto"/>
        <w:right w:val="none" w:sz="0" w:space="0" w:color="auto"/>
      </w:divBdr>
    </w:div>
    <w:div w:id="866721256">
      <w:bodyDiv w:val="1"/>
      <w:marLeft w:val="0"/>
      <w:marRight w:val="0"/>
      <w:marTop w:val="0"/>
      <w:marBottom w:val="0"/>
      <w:divBdr>
        <w:top w:val="none" w:sz="0" w:space="0" w:color="auto"/>
        <w:left w:val="none" w:sz="0" w:space="0" w:color="auto"/>
        <w:bottom w:val="none" w:sz="0" w:space="0" w:color="auto"/>
        <w:right w:val="none" w:sz="0" w:space="0" w:color="auto"/>
      </w:divBdr>
    </w:div>
    <w:div w:id="870651888">
      <w:bodyDiv w:val="1"/>
      <w:marLeft w:val="0"/>
      <w:marRight w:val="0"/>
      <w:marTop w:val="0"/>
      <w:marBottom w:val="0"/>
      <w:divBdr>
        <w:top w:val="none" w:sz="0" w:space="0" w:color="auto"/>
        <w:left w:val="none" w:sz="0" w:space="0" w:color="auto"/>
        <w:bottom w:val="none" w:sz="0" w:space="0" w:color="auto"/>
        <w:right w:val="none" w:sz="0" w:space="0" w:color="auto"/>
      </w:divBdr>
      <w:divsChild>
        <w:div w:id="949974996">
          <w:marLeft w:val="533"/>
          <w:marRight w:val="0"/>
          <w:marTop w:val="120"/>
          <w:marBottom w:val="0"/>
          <w:divBdr>
            <w:top w:val="none" w:sz="0" w:space="0" w:color="auto"/>
            <w:left w:val="none" w:sz="0" w:space="0" w:color="auto"/>
            <w:bottom w:val="none" w:sz="0" w:space="0" w:color="auto"/>
            <w:right w:val="none" w:sz="0" w:space="0" w:color="auto"/>
          </w:divBdr>
        </w:div>
      </w:divsChild>
    </w:div>
    <w:div w:id="872114340">
      <w:bodyDiv w:val="1"/>
      <w:marLeft w:val="0"/>
      <w:marRight w:val="0"/>
      <w:marTop w:val="0"/>
      <w:marBottom w:val="0"/>
      <w:divBdr>
        <w:top w:val="none" w:sz="0" w:space="0" w:color="auto"/>
        <w:left w:val="none" w:sz="0" w:space="0" w:color="auto"/>
        <w:bottom w:val="none" w:sz="0" w:space="0" w:color="auto"/>
        <w:right w:val="none" w:sz="0" w:space="0" w:color="auto"/>
      </w:divBdr>
    </w:div>
    <w:div w:id="885725113">
      <w:bodyDiv w:val="1"/>
      <w:marLeft w:val="0"/>
      <w:marRight w:val="0"/>
      <w:marTop w:val="0"/>
      <w:marBottom w:val="0"/>
      <w:divBdr>
        <w:top w:val="none" w:sz="0" w:space="0" w:color="auto"/>
        <w:left w:val="none" w:sz="0" w:space="0" w:color="auto"/>
        <w:bottom w:val="none" w:sz="0" w:space="0" w:color="auto"/>
        <w:right w:val="none" w:sz="0" w:space="0" w:color="auto"/>
      </w:divBdr>
    </w:div>
    <w:div w:id="937643826">
      <w:bodyDiv w:val="1"/>
      <w:marLeft w:val="0"/>
      <w:marRight w:val="0"/>
      <w:marTop w:val="0"/>
      <w:marBottom w:val="0"/>
      <w:divBdr>
        <w:top w:val="none" w:sz="0" w:space="0" w:color="auto"/>
        <w:left w:val="none" w:sz="0" w:space="0" w:color="auto"/>
        <w:bottom w:val="none" w:sz="0" w:space="0" w:color="auto"/>
        <w:right w:val="none" w:sz="0" w:space="0" w:color="auto"/>
      </w:divBdr>
    </w:div>
    <w:div w:id="972760292">
      <w:bodyDiv w:val="1"/>
      <w:marLeft w:val="0"/>
      <w:marRight w:val="0"/>
      <w:marTop w:val="0"/>
      <w:marBottom w:val="0"/>
      <w:divBdr>
        <w:top w:val="none" w:sz="0" w:space="0" w:color="auto"/>
        <w:left w:val="none" w:sz="0" w:space="0" w:color="auto"/>
        <w:bottom w:val="none" w:sz="0" w:space="0" w:color="auto"/>
        <w:right w:val="none" w:sz="0" w:space="0" w:color="auto"/>
      </w:divBdr>
    </w:div>
    <w:div w:id="995649443">
      <w:bodyDiv w:val="1"/>
      <w:marLeft w:val="0"/>
      <w:marRight w:val="0"/>
      <w:marTop w:val="0"/>
      <w:marBottom w:val="0"/>
      <w:divBdr>
        <w:top w:val="none" w:sz="0" w:space="0" w:color="auto"/>
        <w:left w:val="none" w:sz="0" w:space="0" w:color="auto"/>
        <w:bottom w:val="none" w:sz="0" w:space="0" w:color="auto"/>
        <w:right w:val="none" w:sz="0" w:space="0" w:color="auto"/>
      </w:divBdr>
      <w:divsChild>
        <w:div w:id="842208820">
          <w:marLeft w:val="533"/>
          <w:marRight w:val="0"/>
          <w:marTop w:val="120"/>
          <w:marBottom w:val="0"/>
          <w:divBdr>
            <w:top w:val="none" w:sz="0" w:space="0" w:color="auto"/>
            <w:left w:val="none" w:sz="0" w:space="0" w:color="auto"/>
            <w:bottom w:val="none" w:sz="0" w:space="0" w:color="auto"/>
            <w:right w:val="none" w:sz="0" w:space="0" w:color="auto"/>
          </w:divBdr>
        </w:div>
        <w:div w:id="951858792">
          <w:marLeft w:val="533"/>
          <w:marRight w:val="0"/>
          <w:marTop w:val="120"/>
          <w:marBottom w:val="0"/>
          <w:divBdr>
            <w:top w:val="none" w:sz="0" w:space="0" w:color="auto"/>
            <w:left w:val="none" w:sz="0" w:space="0" w:color="auto"/>
            <w:bottom w:val="none" w:sz="0" w:space="0" w:color="auto"/>
            <w:right w:val="none" w:sz="0" w:space="0" w:color="auto"/>
          </w:divBdr>
        </w:div>
      </w:divsChild>
    </w:div>
    <w:div w:id="1008754583">
      <w:bodyDiv w:val="1"/>
      <w:marLeft w:val="0"/>
      <w:marRight w:val="0"/>
      <w:marTop w:val="0"/>
      <w:marBottom w:val="0"/>
      <w:divBdr>
        <w:top w:val="none" w:sz="0" w:space="0" w:color="auto"/>
        <w:left w:val="none" w:sz="0" w:space="0" w:color="auto"/>
        <w:bottom w:val="none" w:sz="0" w:space="0" w:color="auto"/>
        <w:right w:val="none" w:sz="0" w:space="0" w:color="auto"/>
      </w:divBdr>
    </w:div>
    <w:div w:id="1009941786">
      <w:bodyDiv w:val="1"/>
      <w:marLeft w:val="0"/>
      <w:marRight w:val="0"/>
      <w:marTop w:val="0"/>
      <w:marBottom w:val="0"/>
      <w:divBdr>
        <w:top w:val="none" w:sz="0" w:space="0" w:color="auto"/>
        <w:left w:val="none" w:sz="0" w:space="0" w:color="auto"/>
        <w:bottom w:val="none" w:sz="0" w:space="0" w:color="auto"/>
        <w:right w:val="none" w:sz="0" w:space="0" w:color="auto"/>
      </w:divBdr>
    </w:div>
    <w:div w:id="1035233045">
      <w:bodyDiv w:val="1"/>
      <w:marLeft w:val="0"/>
      <w:marRight w:val="0"/>
      <w:marTop w:val="0"/>
      <w:marBottom w:val="0"/>
      <w:divBdr>
        <w:top w:val="none" w:sz="0" w:space="0" w:color="auto"/>
        <w:left w:val="none" w:sz="0" w:space="0" w:color="auto"/>
        <w:bottom w:val="none" w:sz="0" w:space="0" w:color="auto"/>
        <w:right w:val="none" w:sz="0" w:space="0" w:color="auto"/>
      </w:divBdr>
    </w:div>
    <w:div w:id="1043362787">
      <w:bodyDiv w:val="1"/>
      <w:marLeft w:val="0"/>
      <w:marRight w:val="0"/>
      <w:marTop w:val="0"/>
      <w:marBottom w:val="0"/>
      <w:divBdr>
        <w:top w:val="none" w:sz="0" w:space="0" w:color="auto"/>
        <w:left w:val="none" w:sz="0" w:space="0" w:color="auto"/>
        <w:bottom w:val="none" w:sz="0" w:space="0" w:color="auto"/>
        <w:right w:val="none" w:sz="0" w:space="0" w:color="auto"/>
      </w:divBdr>
    </w:div>
    <w:div w:id="1064645468">
      <w:bodyDiv w:val="1"/>
      <w:marLeft w:val="0"/>
      <w:marRight w:val="0"/>
      <w:marTop w:val="0"/>
      <w:marBottom w:val="0"/>
      <w:divBdr>
        <w:top w:val="none" w:sz="0" w:space="0" w:color="auto"/>
        <w:left w:val="none" w:sz="0" w:space="0" w:color="auto"/>
        <w:bottom w:val="none" w:sz="0" w:space="0" w:color="auto"/>
        <w:right w:val="none" w:sz="0" w:space="0" w:color="auto"/>
      </w:divBdr>
    </w:div>
    <w:div w:id="1080910377">
      <w:bodyDiv w:val="1"/>
      <w:marLeft w:val="0"/>
      <w:marRight w:val="0"/>
      <w:marTop w:val="0"/>
      <w:marBottom w:val="0"/>
      <w:divBdr>
        <w:top w:val="none" w:sz="0" w:space="0" w:color="auto"/>
        <w:left w:val="none" w:sz="0" w:space="0" w:color="auto"/>
        <w:bottom w:val="none" w:sz="0" w:space="0" w:color="auto"/>
        <w:right w:val="none" w:sz="0" w:space="0" w:color="auto"/>
      </w:divBdr>
    </w:div>
    <w:div w:id="1105463493">
      <w:bodyDiv w:val="1"/>
      <w:marLeft w:val="0"/>
      <w:marRight w:val="0"/>
      <w:marTop w:val="0"/>
      <w:marBottom w:val="0"/>
      <w:divBdr>
        <w:top w:val="none" w:sz="0" w:space="0" w:color="auto"/>
        <w:left w:val="none" w:sz="0" w:space="0" w:color="auto"/>
        <w:bottom w:val="none" w:sz="0" w:space="0" w:color="auto"/>
        <w:right w:val="none" w:sz="0" w:space="0" w:color="auto"/>
      </w:divBdr>
    </w:div>
    <w:div w:id="1114053025">
      <w:bodyDiv w:val="1"/>
      <w:marLeft w:val="0"/>
      <w:marRight w:val="0"/>
      <w:marTop w:val="0"/>
      <w:marBottom w:val="0"/>
      <w:divBdr>
        <w:top w:val="none" w:sz="0" w:space="0" w:color="auto"/>
        <w:left w:val="none" w:sz="0" w:space="0" w:color="auto"/>
        <w:bottom w:val="none" w:sz="0" w:space="0" w:color="auto"/>
        <w:right w:val="none" w:sz="0" w:space="0" w:color="auto"/>
      </w:divBdr>
    </w:div>
    <w:div w:id="1138767164">
      <w:bodyDiv w:val="1"/>
      <w:marLeft w:val="0"/>
      <w:marRight w:val="0"/>
      <w:marTop w:val="0"/>
      <w:marBottom w:val="0"/>
      <w:divBdr>
        <w:top w:val="none" w:sz="0" w:space="0" w:color="auto"/>
        <w:left w:val="none" w:sz="0" w:space="0" w:color="auto"/>
        <w:bottom w:val="none" w:sz="0" w:space="0" w:color="auto"/>
        <w:right w:val="none" w:sz="0" w:space="0" w:color="auto"/>
      </w:divBdr>
    </w:div>
    <w:div w:id="1184172945">
      <w:bodyDiv w:val="1"/>
      <w:marLeft w:val="0"/>
      <w:marRight w:val="0"/>
      <w:marTop w:val="0"/>
      <w:marBottom w:val="0"/>
      <w:divBdr>
        <w:top w:val="none" w:sz="0" w:space="0" w:color="auto"/>
        <w:left w:val="none" w:sz="0" w:space="0" w:color="auto"/>
        <w:bottom w:val="none" w:sz="0" w:space="0" w:color="auto"/>
        <w:right w:val="none" w:sz="0" w:space="0" w:color="auto"/>
      </w:divBdr>
    </w:div>
    <w:div w:id="1207570485">
      <w:bodyDiv w:val="1"/>
      <w:marLeft w:val="0"/>
      <w:marRight w:val="0"/>
      <w:marTop w:val="0"/>
      <w:marBottom w:val="0"/>
      <w:divBdr>
        <w:top w:val="none" w:sz="0" w:space="0" w:color="auto"/>
        <w:left w:val="none" w:sz="0" w:space="0" w:color="auto"/>
        <w:bottom w:val="none" w:sz="0" w:space="0" w:color="auto"/>
        <w:right w:val="none" w:sz="0" w:space="0" w:color="auto"/>
      </w:divBdr>
    </w:div>
    <w:div w:id="1252818130">
      <w:bodyDiv w:val="1"/>
      <w:marLeft w:val="0"/>
      <w:marRight w:val="0"/>
      <w:marTop w:val="0"/>
      <w:marBottom w:val="0"/>
      <w:divBdr>
        <w:top w:val="none" w:sz="0" w:space="0" w:color="auto"/>
        <w:left w:val="none" w:sz="0" w:space="0" w:color="auto"/>
        <w:bottom w:val="none" w:sz="0" w:space="0" w:color="auto"/>
        <w:right w:val="none" w:sz="0" w:space="0" w:color="auto"/>
      </w:divBdr>
    </w:div>
    <w:div w:id="1298413024">
      <w:bodyDiv w:val="1"/>
      <w:marLeft w:val="0"/>
      <w:marRight w:val="0"/>
      <w:marTop w:val="0"/>
      <w:marBottom w:val="0"/>
      <w:divBdr>
        <w:top w:val="none" w:sz="0" w:space="0" w:color="auto"/>
        <w:left w:val="none" w:sz="0" w:space="0" w:color="auto"/>
        <w:bottom w:val="none" w:sz="0" w:space="0" w:color="auto"/>
        <w:right w:val="none" w:sz="0" w:space="0" w:color="auto"/>
      </w:divBdr>
      <w:divsChild>
        <w:div w:id="1017848379">
          <w:marLeft w:val="533"/>
          <w:marRight w:val="0"/>
          <w:marTop w:val="120"/>
          <w:marBottom w:val="0"/>
          <w:divBdr>
            <w:top w:val="none" w:sz="0" w:space="0" w:color="auto"/>
            <w:left w:val="none" w:sz="0" w:space="0" w:color="auto"/>
            <w:bottom w:val="none" w:sz="0" w:space="0" w:color="auto"/>
            <w:right w:val="none" w:sz="0" w:space="0" w:color="auto"/>
          </w:divBdr>
        </w:div>
      </w:divsChild>
    </w:div>
    <w:div w:id="1344165116">
      <w:bodyDiv w:val="1"/>
      <w:marLeft w:val="0"/>
      <w:marRight w:val="0"/>
      <w:marTop w:val="0"/>
      <w:marBottom w:val="0"/>
      <w:divBdr>
        <w:top w:val="none" w:sz="0" w:space="0" w:color="auto"/>
        <w:left w:val="none" w:sz="0" w:space="0" w:color="auto"/>
        <w:bottom w:val="none" w:sz="0" w:space="0" w:color="auto"/>
        <w:right w:val="none" w:sz="0" w:space="0" w:color="auto"/>
      </w:divBdr>
    </w:div>
    <w:div w:id="1347027026">
      <w:bodyDiv w:val="1"/>
      <w:marLeft w:val="0"/>
      <w:marRight w:val="0"/>
      <w:marTop w:val="0"/>
      <w:marBottom w:val="0"/>
      <w:divBdr>
        <w:top w:val="none" w:sz="0" w:space="0" w:color="auto"/>
        <w:left w:val="none" w:sz="0" w:space="0" w:color="auto"/>
        <w:bottom w:val="none" w:sz="0" w:space="0" w:color="auto"/>
        <w:right w:val="none" w:sz="0" w:space="0" w:color="auto"/>
      </w:divBdr>
    </w:div>
    <w:div w:id="1406148580">
      <w:bodyDiv w:val="1"/>
      <w:marLeft w:val="0"/>
      <w:marRight w:val="0"/>
      <w:marTop w:val="0"/>
      <w:marBottom w:val="0"/>
      <w:divBdr>
        <w:top w:val="none" w:sz="0" w:space="0" w:color="auto"/>
        <w:left w:val="none" w:sz="0" w:space="0" w:color="auto"/>
        <w:bottom w:val="none" w:sz="0" w:space="0" w:color="auto"/>
        <w:right w:val="none" w:sz="0" w:space="0" w:color="auto"/>
      </w:divBdr>
      <w:divsChild>
        <w:div w:id="2091074360">
          <w:marLeft w:val="533"/>
          <w:marRight w:val="0"/>
          <w:marTop w:val="120"/>
          <w:marBottom w:val="0"/>
          <w:divBdr>
            <w:top w:val="none" w:sz="0" w:space="0" w:color="auto"/>
            <w:left w:val="none" w:sz="0" w:space="0" w:color="auto"/>
            <w:bottom w:val="none" w:sz="0" w:space="0" w:color="auto"/>
            <w:right w:val="none" w:sz="0" w:space="0" w:color="auto"/>
          </w:divBdr>
        </w:div>
      </w:divsChild>
    </w:div>
    <w:div w:id="1513030798">
      <w:bodyDiv w:val="1"/>
      <w:marLeft w:val="0"/>
      <w:marRight w:val="0"/>
      <w:marTop w:val="0"/>
      <w:marBottom w:val="0"/>
      <w:divBdr>
        <w:top w:val="none" w:sz="0" w:space="0" w:color="auto"/>
        <w:left w:val="none" w:sz="0" w:space="0" w:color="auto"/>
        <w:bottom w:val="none" w:sz="0" w:space="0" w:color="auto"/>
        <w:right w:val="none" w:sz="0" w:space="0" w:color="auto"/>
      </w:divBdr>
    </w:div>
    <w:div w:id="1525437365">
      <w:bodyDiv w:val="1"/>
      <w:marLeft w:val="0"/>
      <w:marRight w:val="0"/>
      <w:marTop w:val="0"/>
      <w:marBottom w:val="0"/>
      <w:divBdr>
        <w:top w:val="none" w:sz="0" w:space="0" w:color="auto"/>
        <w:left w:val="none" w:sz="0" w:space="0" w:color="auto"/>
        <w:bottom w:val="none" w:sz="0" w:space="0" w:color="auto"/>
        <w:right w:val="none" w:sz="0" w:space="0" w:color="auto"/>
      </w:divBdr>
    </w:div>
    <w:div w:id="1533687695">
      <w:bodyDiv w:val="1"/>
      <w:marLeft w:val="0"/>
      <w:marRight w:val="0"/>
      <w:marTop w:val="0"/>
      <w:marBottom w:val="0"/>
      <w:divBdr>
        <w:top w:val="none" w:sz="0" w:space="0" w:color="auto"/>
        <w:left w:val="none" w:sz="0" w:space="0" w:color="auto"/>
        <w:bottom w:val="none" w:sz="0" w:space="0" w:color="auto"/>
        <w:right w:val="none" w:sz="0" w:space="0" w:color="auto"/>
      </w:divBdr>
    </w:div>
    <w:div w:id="1538663169">
      <w:bodyDiv w:val="1"/>
      <w:marLeft w:val="0"/>
      <w:marRight w:val="0"/>
      <w:marTop w:val="0"/>
      <w:marBottom w:val="0"/>
      <w:divBdr>
        <w:top w:val="none" w:sz="0" w:space="0" w:color="auto"/>
        <w:left w:val="none" w:sz="0" w:space="0" w:color="auto"/>
        <w:bottom w:val="none" w:sz="0" w:space="0" w:color="auto"/>
        <w:right w:val="none" w:sz="0" w:space="0" w:color="auto"/>
      </w:divBdr>
    </w:div>
    <w:div w:id="1587768524">
      <w:bodyDiv w:val="1"/>
      <w:marLeft w:val="0"/>
      <w:marRight w:val="0"/>
      <w:marTop w:val="0"/>
      <w:marBottom w:val="0"/>
      <w:divBdr>
        <w:top w:val="none" w:sz="0" w:space="0" w:color="auto"/>
        <w:left w:val="none" w:sz="0" w:space="0" w:color="auto"/>
        <w:bottom w:val="none" w:sz="0" w:space="0" w:color="auto"/>
        <w:right w:val="none" w:sz="0" w:space="0" w:color="auto"/>
      </w:divBdr>
    </w:div>
    <w:div w:id="1643121107">
      <w:bodyDiv w:val="1"/>
      <w:marLeft w:val="0"/>
      <w:marRight w:val="0"/>
      <w:marTop w:val="0"/>
      <w:marBottom w:val="0"/>
      <w:divBdr>
        <w:top w:val="none" w:sz="0" w:space="0" w:color="auto"/>
        <w:left w:val="none" w:sz="0" w:space="0" w:color="auto"/>
        <w:bottom w:val="none" w:sz="0" w:space="0" w:color="auto"/>
        <w:right w:val="none" w:sz="0" w:space="0" w:color="auto"/>
      </w:divBdr>
    </w:div>
    <w:div w:id="1689597116">
      <w:bodyDiv w:val="1"/>
      <w:marLeft w:val="0"/>
      <w:marRight w:val="0"/>
      <w:marTop w:val="0"/>
      <w:marBottom w:val="0"/>
      <w:divBdr>
        <w:top w:val="none" w:sz="0" w:space="0" w:color="auto"/>
        <w:left w:val="none" w:sz="0" w:space="0" w:color="auto"/>
        <w:bottom w:val="none" w:sz="0" w:space="0" w:color="auto"/>
        <w:right w:val="none" w:sz="0" w:space="0" w:color="auto"/>
      </w:divBdr>
    </w:div>
    <w:div w:id="1715813210">
      <w:bodyDiv w:val="1"/>
      <w:marLeft w:val="0"/>
      <w:marRight w:val="0"/>
      <w:marTop w:val="0"/>
      <w:marBottom w:val="0"/>
      <w:divBdr>
        <w:top w:val="none" w:sz="0" w:space="0" w:color="auto"/>
        <w:left w:val="none" w:sz="0" w:space="0" w:color="auto"/>
        <w:bottom w:val="none" w:sz="0" w:space="0" w:color="auto"/>
        <w:right w:val="none" w:sz="0" w:space="0" w:color="auto"/>
      </w:divBdr>
    </w:div>
    <w:div w:id="1792163722">
      <w:bodyDiv w:val="1"/>
      <w:marLeft w:val="0"/>
      <w:marRight w:val="0"/>
      <w:marTop w:val="0"/>
      <w:marBottom w:val="0"/>
      <w:divBdr>
        <w:top w:val="none" w:sz="0" w:space="0" w:color="auto"/>
        <w:left w:val="none" w:sz="0" w:space="0" w:color="auto"/>
        <w:bottom w:val="none" w:sz="0" w:space="0" w:color="auto"/>
        <w:right w:val="none" w:sz="0" w:space="0" w:color="auto"/>
      </w:divBdr>
    </w:div>
    <w:div w:id="1814761323">
      <w:bodyDiv w:val="1"/>
      <w:marLeft w:val="0"/>
      <w:marRight w:val="0"/>
      <w:marTop w:val="0"/>
      <w:marBottom w:val="0"/>
      <w:divBdr>
        <w:top w:val="none" w:sz="0" w:space="0" w:color="auto"/>
        <w:left w:val="none" w:sz="0" w:space="0" w:color="auto"/>
        <w:bottom w:val="none" w:sz="0" w:space="0" w:color="auto"/>
        <w:right w:val="none" w:sz="0" w:space="0" w:color="auto"/>
      </w:divBdr>
    </w:div>
    <w:div w:id="1816945865">
      <w:bodyDiv w:val="1"/>
      <w:marLeft w:val="0"/>
      <w:marRight w:val="0"/>
      <w:marTop w:val="0"/>
      <w:marBottom w:val="0"/>
      <w:divBdr>
        <w:top w:val="none" w:sz="0" w:space="0" w:color="auto"/>
        <w:left w:val="none" w:sz="0" w:space="0" w:color="auto"/>
        <w:bottom w:val="none" w:sz="0" w:space="0" w:color="auto"/>
        <w:right w:val="none" w:sz="0" w:space="0" w:color="auto"/>
      </w:divBdr>
    </w:div>
    <w:div w:id="1827938263">
      <w:bodyDiv w:val="1"/>
      <w:marLeft w:val="0"/>
      <w:marRight w:val="0"/>
      <w:marTop w:val="0"/>
      <w:marBottom w:val="0"/>
      <w:divBdr>
        <w:top w:val="none" w:sz="0" w:space="0" w:color="auto"/>
        <w:left w:val="none" w:sz="0" w:space="0" w:color="auto"/>
        <w:bottom w:val="none" w:sz="0" w:space="0" w:color="auto"/>
        <w:right w:val="none" w:sz="0" w:space="0" w:color="auto"/>
      </w:divBdr>
    </w:div>
    <w:div w:id="1879973795">
      <w:bodyDiv w:val="1"/>
      <w:marLeft w:val="0"/>
      <w:marRight w:val="0"/>
      <w:marTop w:val="0"/>
      <w:marBottom w:val="0"/>
      <w:divBdr>
        <w:top w:val="none" w:sz="0" w:space="0" w:color="auto"/>
        <w:left w:val="none" w:sz="0" w:space="0" w:color="auto"/>
        <w:bottom w:val="none" w:sz="0" w:space="0" w:color="auto"/>
        <w:right w:val="none" w:sz="0" w:space="0" w:color="auto"/>
      </w:divBdr>
    </w:div>
    <w:div w:id="1904098233">
      <w:bodyDiv w:val="1"/>
      <w:marLeft w:val="0"/>
      <w:marRight w:val="0"/>
      <w:marTop w:val="0"/>
      <w:marBottom w:val="0"/>
      <w:divBdr>
        <w:top w:val="none" w:sz="0" w:space="0" w:color="auto"/>
        <w:left w:val="none" w:sz="0" w:space="0" w:color="auto"/>
        <w:bottom w:val="none" w:sz="0" w:space="0" w:color="auto"/>
        <w:right w:val="none" w:sz="0" w:space="0" w:color="auto"/>
      </w:divBdr>
      <w:divsChild>
        <w:div w:id="369652213">
          <w:marLeft w:val="533"/>
          <w:marRight w:val="0"/>
          <w:marTop w:val="120"/>
          <w:marBottom w:val="0"/>
          <w:divBdr>
            <w:top w:val="none" w:sz="0" w:space="0" w:color="auto"/>
            <w:left w:val="none" w:sz="0" w:space="0" w:color="auto"/>
            <w:bottom w:val="none" w:sz="0" w:space="0" w:color="auto"/>
            <w:right w:val="none" w:sz="0" w:space="0" w:color="auto"/>
          </w:divBdr>
        </w:div>
      </w:divsChild>
    </w:div>
    <w:div w:id="1907449491">
      <w:bodyDiv w:val="1"/>
      <w:marLeft w:val="0"/>
      <w:marRight w:val="0"/>
      <w:marTop w:val="0"/>
      <w:marBottom w:val="0"/>
      <w:divBdr>
        <w:top w:val="none" w:sz="0" w:space="0" w:color="auto"/>
        <w:left w:val="none" w:sz="0" w:space="0" w:color="auto"/>
        <w:bottom w:val="none" w:sz="0" w:space="0" w:color="auto"/>
        <w:right w:val="none" w:sz="0" w:space="0" w:color="auto"/>
      </w:divBdr>
    </w:div>
    <w:div w:id="1908686704">
      <w:bodyDiv w:val="1"/>
      <w:marLeft w:val="0"/>
      <w:marRight w:val="0"/>
      <w:marTop w:val="0"/>
      <w:marBottom w:val="0"/>
      <w:divBdr>
        <w:top w:val="none" w:sz="0" w:space="0" w:color="auto"/>
        <w:left w:val="none" w:sz="0" w:space="0" w:color="auto"/>
        <w:bottom w:val="none" w:sz="0" w:space="0" w:color="auto"/>
        <w:right w:val="none" w:sz="0" w:space="0" w:color="auto"/>
      </w:divBdr>
    </w:div>
    <w:div w:id="1929970459">
      <w:bodyDiv w:val="1"/>
      <w:marLeft w:val="0"/>
      <w:marRight w:val="0"/>
      <w:marTop w:val="0"/>
      <w:marBottom w:val="0"/>
      <w:divBdr>
        <w:top w:val="none" w:sz="0" w:space="0" w:color="auto"/>
        <w:left w:val="none" w:sz="0" w:space="0" w:color="auto"/>
        <w:bottom w:val="none" w:sz="0" w:space="0" w:color="auto"/>
        <w:right w:val="none" w:sz="0" w:space="0" w:color="auto"/>
      </w:divBdr>
    </w:div>
    <w:div w:id="1958750240">
      <w:bodyDiv w:val="1"/>
      <w:marLeft w:val="0"/>
      <w:marRight w:val="0"/>
      <w:marTop w:val="0"/>
      <w:marBottom w:val="0"/>
      <w:divBdr>
        <w:top w:val="none" w:sz="0" w:space="0" w:color="auto"/>
        <w:left w:val="none" w:sz="0" w:space="0" w:color="auto"/>
        <w:bottom w:val="none" w:sz="0" w:space="0" w:color="auto"/>
        <w:right w:val="none" w:sz="0" w:space="0" w:color="auto"/>
      </w:divBdr>
    </w:div>
    <w:div w:id="1964118590">
      <w:bodyDiv w:val="1"/>
      <w:marLeft w:val="0"/>
      <w:marRight w:val="0"/>
      <w:marTop w:val="0"/>
      <w:marBottom w:val="0"/>
      <w:divBdr>
        <w:top w:val="none" w:sz="0" w:space="0" w:color="auto"/>
        <w:left w:val="none" w:sz="0" w:space="0" w:color="auto"/>
        <w:bottom w:val="none" w:sz="0" w:space="0" w:color="auto"/>
        <w:right w:val="none" w:sz="0" w:space="0" w:color="auto"/>
      </w:divBdr>
      <w:divsChild>
        <w:div w:id="2129353941">
          <w:marLeft w:val="533"/>
          <w:marRight w:val="0"/>
          <w:marTop w:val="120"/>
          <w:marBottom w:val="0"/>
          <w:divBdr>
            <w:top w:val="none" w:sz="0" w:space="0" w:color="auto"/>
            <w:left w:val="none" w:sz="0" w:space="0" w:color="auto"/>
            <w:bottom w:val="none" w:sz="0" w:space="0" w:color="auto"/>
            <w:right w:val="none" w:sz="0" w:space="0" w:color="auto"/>
          </w:divBdr>
        </w:div>
      </w:divsChild>
    </w:div>
    <w:div w:id="1977757174">
      <w:bodyDiv w:val="1"/>
      <w:marLeft w:val="0"/>
      <w:marRight w:val="0"/>
      <w:marTop w:val="0"/>
      <w:marBottom w:val="0"/>
      <w:divBdr>
        <w:top w:val="none" w:sz="0" w:space="0" w:color="auto"/>
        <w:left w:val="none" w:sz="0" w:space="0" w:color="auto"/>
        <w:bottom w:val="none" w:sz="0" w:space="0" w:color="auto"/>
        <w:right w:val="none" w:sz="0" w:space="0" w:color="auto"/>
      </w:divBdr>
    </w:div>
    <w:div w:id="1980376270">
      <w:bodyDiv w:val="1"/>
      <w:marLeft w:val="0"/>
      <w:marRight w:val="0"/>
      <w:marTop w:val="0"/>
      <w:marBottom w:val="0"/>
      <w:divBdr>
        <w:top w:val="none" w:sz="0" w:space="0" w:color="auto"/>
        <w:left w:val="none" w:sz="0" w:space="0" w:color="auto"/>
        <w:bottom w:val="none" w:sz="0" w:space="0" w:color="auto"/>
        <w:right w:val="none" w:sz="0" w:space="0" w:color="auto"/>
      </w:divBdr>
    </w:div>
    <w:div w:id="2011062938">
      <w:bodyDiv w:val="1"/>
      <w:marLeft w:val="0"/>
      <w:marRight w:val="0"/>
      <w:marTop w:val="0"/>
      <w:marBottom w:val="0"/>
      <w:divBdr>
        <w:top w:val="none" w:sz="0" w:space="0" w:color="auto"/>
        <w:left w:val="none" w:sz="0" w:space="0" w:color="auto"/>
        <w:bottom w:val="none" w:sz="0" w:space="0" w:color="auto"/>
        <w:right w:val="none" w:sz="0" w:space="0" w:color="auto"/>
      </w:divBdr>
      <w:divsChild>
        <w:div w:id="750197585">
          <w:marLeft w:val="533"/>
          <w:marRight w:val="0"/>
          <w:marTop w:val="120"/>
          <w:marBottom w:val="0"/>
          <w:divBdr>
            <w:top w:val="none" w:sz="0" w:space="0" w:color="auto"/>
            <w:left w:val="none" w:sz="0" w:space="0" w:color="auto"/>
            <w:bottom w:val="none" w:sz="0" w:space="0" w:color="auto"/>
            <w:right w:val="none" w:sz="0" w:space="0" w:color="auto"/>
          </w:divBdr>
        </w:div>
      </w:divsChild>
    </w:div>
    <w:div w:id="2077632041">
      <w:bodyDiv w:val="1"/>
      <w:marLeft w:val="0"/>
      <w:marRight w:val="0"/>
      <w:marTop w:val="0"/>
      <w:marBottom w:val="0"/>
      <w:divBdr>
        <w:top w:val="none" w:sz="0" w:space="0" w:color="auto"/>
        <w:left w:val="none" w:sz="0" w:space="0" w:color="auto"/>
        <w:bottom w:val="none" w:sz="0" w:space="0" w:color="auto"/>
        <w:right w:val="none" w:sz="0" w:space="0" w:color="auto"/>
      </w:divBdr>
    </w:div>
    <w:div w:id="2077891924">
      <w:bodyDiv w:val="1"/>
      <w:marLeft w:val="0"/>
      <w:marRight w:val="0"/>
      <w:marTop w:val="0"/>
      <w:marBottom w:val="0"/>
      <w:divBdr>
        <w:top w:val="none" w:sz="0" w:space="0" w:color="auto"/>
        <w:left w:val="none" w:sz="0" w:space="0" w:color="auto"/>
        <w:bottom w:val="none" w:sz="0" w:space="0" w:color="auto"/>
        <w:right w:val="none" w:sz="0" w:space="0" w:color="auto"/>
      </w:divBdr>
    </w:div>
    <w:div w:id="2103530604">
      <w:bodyDiv w:val="1"/>
      <w:marLeft w:val="0"/>
      <w:marRight w:val="0"/>
      <w:marTop w:val="0"/>
      <w:marBottom w:val="0"/>
      <w:divBdr>
        <w:top w:val="none" w:sz="0" w:space="0" w:color="auto"/>
        <w:left w:val="none" w:sz="0" w:space="0" w:color="auto"/>
        <w:bottom w:val="none" w:sz="0" w:space="0" w:color="auto"/>
        <w:right w:val="none" w:sz="0" w:space="0" w:color="auto"/>
      </w:divBdr>
      <w:divsChild>
        <w:div w:id="727412153">
          <w:marLeft w:val="533"/>
          <w:marRight w:val="0"/>
          <w:marTop w:val="120"/>
          <w:marBottom w:val="0"/>
          <w:divBdr>
            <w:top w:val="none" w:sz="0" w:space="0" w:color="auto"/>
            <w:left w:val="none" w:sz="0" w:space="0" w:color="auto"/>
            <w:bottom w:val="none" w:sz="0" w:space="0" w:color="auto"/>
            <w:right w:val="none" w:sz="0" w:space="0" w:color="auto"/>
          </w:divBdr>
        </w:div>
      </w:divsChild>
    </w:div>
    <w:div w:id="2109235321">
      <w:bodyDiv w:val="1"/>
      <w:marLeft w:val="0"/>
      <w:marRight w:val="0"/>
      <w:marTop w:val="0"/>
      <w:marBottom w:val="0"/>
      <w:divBdr>
        <w:top w:val="none" w:sz="0" w:space="0" w:color="auto"/>
        <w:left w:val="none" w:sz="0" w:space="0" w:color="auto"/>
        <w:bottom w:val="none" w:sz="0" w:space="0" w:color="auto"/>
        <w:right w:val="none" w:sz="0" w:space="0" w:color="auto"/>
      </w:divBdr>
      <w:divsChild>
        <w:div w:id="330455766">
          <w:marLeft w:val="0"/>
          <w:marRight w:val="0"/>
          <w:marTop w:val="0"/>
          <w:marBottom w:val="0"/>
          <w:divBdr>
            <w:top w:val="none" w:sz="0" w:space="0" w:color="auto"/>
            <w:left w:val="none" w:sz="0" w:space="0" w:color="auto"/>
            <w:bottom w:val="none" w:sz="0" w:space="0" w:color="auto"/>
            <w:right w:val="none" w:sz="0" w:space="0" w:color="auto"/>
          </w:divBdr>
          <w:divsChild>
            <w:div w:id="1348016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4671348">
      <w:bodyDiv w:val="1"/>
      <w:marLeft w:val="0"/>
      <w:marRight w:val="0"/>
      <w:marTop w:val="0"/>
      <w:marBottom w:val="0"/>
      <w:divBdr>
        <w:top w:val="none" w:sz="0" w:space="0" w:color="auto"/>
        <w:left w:val="none" w:sz="0" w:space="0" w:color="auto"/>
        <w:bottom w:val="none" w:sz="0" w:space="0" w:color="auto"/>
        <w:right w:val="none" w:sz="0" w:space="0" w:color="auto"/>
      </w:divBdr>
    </w:div>
    <w:div w:id="2129398135">
      <w:bodyDiv w:val="1"/>
      <w:marLeft w:val="0"/>
      <w:marRight w:val="0"/>
      <w:marTop w:val="0"/>
      <w:marBottom w:val="0"/>
      <w:divBdr>
        <w:top w:val="none" w:sz="0" w:space="0" w:color="auto"/>
        <w:left w:val="none" w:sz="0" w:space="0" w:color="auto"/>
        <w:bottom w:val="none" w:sz="0" w:space="0" w:color="auto"/>
        <w:right w:val="none" w:sz="0" w:space="0" w:color="auto"/>
      </w:divBdr>
    </w:div>
    <w:div w:id="21442254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1.png"/><Relationship Id="rId18" Type="http://schemas.openxmlformats.org/officeDocument/2006/relationships/chart" Target="charts/chart9.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chart" Target="charts/chart4.xml"/><Relationship Id="rId17" Type="http://schemas.openxmlformats.org/officeDocument/2006/relationships/chart" Target="charts/chart8.xml"/><Relationship Id="rId2" Type="http://schemas.openxmlformats.org/officeDocument/2006/relationships/numbering" Target="numbering.xml"/><Relationship Id="rId16" Type="http://schemas.openxmlformats.org/officeDocument/2006/relationships/chart" Target="charts/chart7.xm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hart" Target="charts/chart3.xml"/><Relationship Id="rId5" Type="http://schemas.openxmlformats.org/officeDocument/2006/relationships/settings" Target="settings.xml"/><Relationship Id="rId15" Type="http://schemas.openxmlformats.org/officeDocument/2006/relationships/chart" Target="charts/chart6.xml"/><Relationship Id="rId10" Type="http://schemas.openxmlformats.org/officeDocument/2006/relationships/chart" Target="charts/chart2.xml"/><Relationship Id="rId19"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chart" Target="charts/chart1.xml"/><Relationship Id="rId14" Type="http://schemas.openxmlformats.org/officeDocument/2006/relationships/chart" Target="charts/chart5.xm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charts/_rels/chart1.xml.rels><?xml version="1.0" encoding="UTF-8" standalone="yes"?>
<Relationships xmlns="http://schemas.openxmlformats.org/package/2006/relationships"><Relationship Id="rId2" Type="http://schemas.openxmlformats.org/officeDocument/2006/relationships/oleObject" Target="file:///C:\Users\Satro\Desktop\ssssb\&#21608;&#25253;&#25968;&#25454;&#34920;.xlsx" TargetMode="External"/><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2" Type="http://schemas.openxmlformats.org/officeDocument/2006/relationships/oleObject" Target="file:///C:\Users\Satro\Desktop\ssssb\&#21608;&#25253;&#25968;&#25454;&#34920;.xlsx" TargetMode="External"/><Relationship Id="rId1" Type="http://schemas.openxmlformats.org/officeDocument/2006/relationships/themeOverride" Target="../theme/themeOverride2.xml"/></Relationships>
</file>

<file path=word/charts/_rels/chart3.xml.rels><?xml version="1.0" encoding="UTF-8" standalone="yes"?>
<Relationships xmlns="http://schemas.openxmlformats.org/package/2006/relationships"><Relationship Id="rId3" Type="http://schemas.openxmlformats.org/officeDocument/2006/relationships/chartUserShapes" Target="../drawings/drawing1.xml"/><Relationship Id="rId2" Type="http://schemas.openxmlformats.org/officeDocument/2006/relationships/oleObject" Target="file:///C:\Users\Satro\Desktop\ssssb\&#21608;&#25253;&#25968;&#25454;&#34920;.xlsx" TargetMode="External"/><Relationship Id="rId1" Type="http://schemas.openxmlformats.org/officeDocument/2006/relationships/themeOverride" Target="../theme/themeOverride3.xml"/></Relationships>
</file>

<file path=word/charts/_rels/chart4.xml.rels><?xml version="1.0" encoding="UTF-8" standalone="yes"?>
<Relationships xmlns="http://schemas.openxmlformats.org/package/2006/relationships"><Relationship Id="rId3" Type="http://schemas.openxmlformats.org/officeDocument/2006/relationships/chartUserShapes" Target="../drawings/drawing2.xml"/><Relationship Id="rId2" Type="http://schemas.openxmlformats.org/officeDocument/2006/relationships/oleObject" Target="file:///C:\Users\Satro\Desktop\ssssb\&#21608;&#25253;&#25968;&#25454;&#34920;.xlsx" TargetMode="External"/><Relationship Id="rId1" Type="http://schemas.openxmlformats.org/officeDocument/2006/relationships/themeOverride" Target="../theme/themeOverride4.xml"/></Relationships>
</file>

<file path=word/charts/_rels/chart5.xml.rels><?xml version="1.0" encoding="UTF-8" standalone="yes"?>
<Relationships xmlns="http://schemas.openxmlformats.org/package/2006/relationships"><Relationship Id="rId3" Type="http://schemas.openxmlformats.org/officeDocument/2006/relationships/chartUserShapes" Target="../drawings/drawing3.xml"/><Relationship Id="rId2" Type="http://schemas.openxmlformats.org/officeDocument/2006/relationships/oleObject" Target="file:///C:\Users\Satro\Desktop\ssssb\&#21608;&#25253;&#25968;&#25454;&#34920;.xlsx" TargetMode="External"/><Relationship Id="rId1" Type="http://schemas.openxmlformats.org/officeDocument/2006/relationships/themeOverride" Target="../theme/themeOverride5.xml"/></Relationships>
</file>

<file path=word/charts/_rels/chart6.xml.rels><?xml version="1.0" encoding="UTF-8" standalone="yes"?>
<Relationships xmlns="http://schemas.openxmlformats.org/package/2006/relationships"><Relationship Id="rId3" Type="http://schemas.openxmlformats.org/officeDocument/2006/relationships/chartUserShapes" Target="../drawings/drawing4.xml"/><Relationship Id="rId2" Type="http://schemas.openxmlformats.org/officeDocument/2006/relationships/oleObject" Target="file:///C:\Users\Satro\Desktop\ssssb\&#21608;&#25253;&#25968;&#25454;&#34920;.xlsx" TargetMode="External"/><Relationship Id="rId1" Type="http://schemas.openxmlformats.org/officeDocument/2006/relationships/themeOverride" Target="../theme/themeOverride6.xml"/></Relationships>
</file>

<file path=word/charts/_rels/chart7.xml.rels><?xml version="1.0" encoding="UTF-8" standalone="yes"?>
<Relationships xmlns="http://schemas.openxmlformats.org/package/2006/relationships"><Relationship Id="rId2" Type="http://schemas.openxmlformats.org/officeDocument/2006/relationships/oleObject" Target="file:///C:\Users\Satro\Desktop\ssssb\&#21608;&#25253;&#25968;&#25454;&#34920;.xlsx" TargetMode="External"/><Relationship Id="rId1" Type="http://schemas.openxmlformats.org/officeDocument/2006/relationships/themeOverride" Target="../theme/themeOverride7.xml"/></Relationships>
</file>

<file path=word/charts/_rels/chart8.xml.rels><?xml version="1.0" encoding="UTF-8" standalone="yes"?>
<Relationships xmlns="http://schemas.openxmlformats.org/package/2006/relationships"><Relationship Id="rId2" Type="http://schemas.openxmlformats.org/officeDocument/2006/relationships/oleObject" Target="file:///C:\Users\Satro\Desktop\ssssb\&#21608;&#25253;&#25968;&#25454;&#34920;.xlsx" TargetMode="External"/><Relationship Id="rId1" Type="http://schemas.openxmlformats.org/officeDocument/2006/relationships/themeOverride" Target="../theme/themeOverride8.xml"/></Relationships>
</file>

<file path=word/charts/_rels/chart9.xml.rels><?xml version="1.0" encoding="UTF-8" standalone="yes"?>
<Relationships xmlns="http://schemas.openxmlformats.org/package/2006/relationships"><Relationship Id="rId3" Type="http://schemas.openxmlformats.org/officeDocument/2006/relationships/chartUserShapes" Target="../drawings/drawing5.xml"/><Relationship Id="rId2" Type="http://schemas.openxmlformats.org/officeDocument/2006/relationships/oleObject" Target="file:///C:\Users\Satro\Desktop\ssssb\&#21608;&#25253;&#25968;&#25454;&#34920;.xlsx" TargetMode="External"/><Relationship Id="rId1" Type="http://schemas.openxmlformats.org/officeDocument/2006/relationships/themeOverride" Target="../theme/themeOverride9.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9.8077063283756191E-2"/>
          <c:w val="0.86467847769028872"/>
          <c:h val="0.82798009623797031"/>
        </c:manualLayout>
      </c:layout>
      <c:barChart>
        <c:barDir val="col"/>
        <c:grouping val="stacked"/>
        <c:varyColors val="0"/>
        <c:ser>
          <c:idx val="0"/>
          <c:order val="0"/>
          <c:tx>
            <c:strRef>
              <c:f>央行!$B$4</c:f>
              <c:strCache>
                <c:ptCount val="1"/>
                <c:pt idx="0">
                  <c:v>货币投放</c:v>
                </c:pt>
              </c:strCache>
            </c:strRef>
          </c:tx>
          <c:spPr>
            <a:solidFill>
              <a:srgbClr val="F8CBAD"/>
            </a:solidFill>
            <a:ln w="22225">
              <a:noFill/>
            </a:ln>
          </c:spPr>
          <c:invertIfNegative val="0"/>
          <c:cat>
            <c:numRef>
              <c:f>央行!$A$5:$A$27</c:f>
              <c:numCache>
                <c:formatCode>yyyy\-mm\-dd;@</c:formatCode>
                <c:ptCount val="23"/>
                <c:pt idx="0">
                  <c:v>43889</c:v>
                </c:pt>
                <c:pt idx="1">
                  <c:v>43896</c:v>
                </c:pt>
                <c:pt idx="2">
                  <c:v>43903</c:v>
                </c:pt>
                <c:pt idx="3">
                  <c:v>43910</c:v>
                </c:pt>
                <c:pt idx="4">
                  <c:v>43917</c:v>
                </c:pt>
                <c:pt idx="5">
                  <c:v>43924</c:v>
                </c:pt>
                <c:pt idx="6">
                  <c:v>43931</c:v>
                </c:pt>
                <c:pt idx="7">
                  <c:v>43938</c:v>
                </c:pt>
                <c:pt idx="8">
                  <c:v>43945</c:v>
                </c:pt>
                <c:pt idx="9">
                  <c:v>43952</c:v>
                </c:pt>
                <c:pt idx="10">
                  <c:v>43959</c:v>
                </c:pt>
                <c:pt idx="11">
                  <c:v>43966</c:v>
                </c:pt>
                <c:pt idx="12">
                  <c:v>43973</c:v>
                </c:pt>
                <c:pt idx="13">
                  <c:v>43980</c:v>
                </c:pt>
                <c:pt idx="14">
                  <c:v>43987</c:v>
                </c:pt>
                <c:pt idx="15">
                  <c:v>43994</c:v>
                </c:pt>
                <c:pt idx="16">
                  <c:v>44001</c:v>
                </c:pt>
                <c:pt idx="17">
                  <c:v>44008</c:v>
                </c:pt>
                <c:pt idx="18">
                  <c:v>44015</c:v>
                </c:pt>
                <c:pt idx="19">
                  <c:v>44022</c:v>
                </c:pt>
                <c:pt idx="20">
                  <c:v>44029</c:v>
                </c:pt>
                <c:pt idx="21">
                  <c:v>44036</c:v>
                </c:pt>
                <c:pt idx="22">
                  <c:v>44043</c:v>
                </c:pt>
              </c:numCache>
            </c:numRef>
          </c:cat>
          <c:val>
            <c:numRef>
              <c:f>央行!$B$5:$B$27</c:f>
              <c:numCache>
                <c:formatCode>###,###,###,###,##0.00</c:formatCode>
                <c:ptCount val="23"/>
                <c:pt idx="0">
                  <c:v>60</c:v>
                </c:pt>
                <c:pt idx="1">
                  <c:v>0</c:v>
                </c:pt>
                <c:pt idx="2">
                  <c:v>0</c:v>
                </c:pt>
                <c:pt idx="3">
                  <c:v>0</c:v>
                </c:pt>
                <c:pt idx="4">
                  <c:v>60</c:v>
                </c:pt>
                <c:pt idx="5">
                  <c:v>700</c:v>
                </c:pt>
                <c:pt idx="6">
                  <c:v>0</c:v>
                </c:pt>
                <c:pt idx="7">
                  <c:v>0</c:v>
                </c:pt>
                <c:pt idx="8">
                  <c:v>60</c:v>
                </c:pt>
                <c:pt idx="9">
                  <c:v>0</c:v>
                </c:pt>
                <c:pt idx="10">
                  <c:v>0</c:v>
                </c:pt>
                <c:pt idx="11">
                  <c:v>0</c:v>
                </c:pt>
                <c:pt idx="12">
                  <c:v>0</c:v>
                </c:pt>
                <c:pt idx="13">
                  <c:v>6750</c:v>
                </c:pt>
                <c:pt idx="14">
                  <c:v>2200</c:v>
                </c:pt>
                <c:pt idx="15">
                  <c:v>4200</c:v>
                </c:pt>
                <c:pt idx="16">
                  <c:v>3000</c:v>
                </c:pt>
                <c:pt idx="17">
                  <c:v>5050</c:v>
                </c:pt>
                <c:pt idx="18">
                  <c:v>1025</c:v>
                </c:pt>
                <c:pt idx="19">
                  <c:v>0</c:v>
                </c:pt>
                <c:pt idx="20">
                  <c:v>3300</c:v>
                </c:pt>
                <c:pt idx="21">
                  <c:v>1650</c:v>
                </c:pt>
                <c:pt idx="22">
                  <c:v>2800</c:v>
                </c:pt>
              </c:numCache>
            </c:numRef>
          </c:val>
          <c:extLst xmlns:c16r2="http://schemas.microsoft.com/office/drawing/2015/06/chart">
            <c:ext xmlns:c16="http://schemas.microsoft.com/office/drawing/2014/chart" uri="{C3380CC4-5D6E-409C-BE32-E72D297353CC}">
              <c16:uniqueId val="{00000000-3881-4733-AF0D-A6AD063B5908}"/>
            </c:ext>
          </c:extLst>
        </c:ser>
        <c:ser>
          <c:idx val="2"/>
          <c:order val="1"/>
          <c:tx>
            <c:strRef>
              <c:f>央行!$C$4</c:f>
              <c:strCache>
                <c:ptCount val="1"/>
                <c:pt idx="0">
                  <c:v>货币回笼</c:v>
                </c:pt>
              </c:strCache>
            </c:strRef>
          </c:tx>
          <c:spPr>
            <a:solidFill>
              <a:srgbClr val="E7E6E6">
                <a:lumMod val="90000"/>
              </a:srgbClr>
            </a:solidFill>
            <a:ln w="22225">
              <a:noFill/>
              <a:prstDash val="sysDash"/>
            </a:ln>
          </c:spPr>
          <c:invertIfNegative val="0"/>
          <c:cat>
            <c:numRef>
              <c:f>央行!$A$5:$A$27</c:f>
              <c:numCache>
                <c:formatCode>yyyy\-mm\-dd;@</c:formatCode>
                <c:ptCount val="23"/>
                <c:pt idx="0">
                  <c:v>43889</c:v>
                </c:pt>
                <c:pt idx="1">
                  <c:v>43896</c:v>
                </c:pt>
                <c:pt idx="2">
                  <c:v>43903</c:v>
                </c:pt>
                <c:pt idx="3">
                  <c:v>43910</c:v>
                </c:pt>
                <c:pt idx="4">
                  <c:v>43917</c:v>
                </c:pt>
                <c:pt idx="5">
                  <c:v>43924</c:v>
                </c:pt>
                <c:pt idx="6">
                  <c:v>43931</c:v>
                </c:pt>
                <c:pt idx="7">
                  <c:v>43938</c:v>
                </c:pt>
                <c:pt idx="8">
                  <c:v>43945</c:v>
                </c:pt>
                <c:pt idx="9">
                  <c:v>43952</c:v>
                </c:pt>
                <c:pt idx="10">
                  <c:v>43959</c:v>
                </c:pt>
                <c:pt idx="11">
                  <c:v>43966</c:v>
                </c:pt>
                <c:pt idx="12">
                  <c:v>43973</c:v>
                </c:pt>
                <c:pt idx="13">
                  <c:v>43980</c:v>
                </c:pt>
                <c:pt idx="14">
                  <c:v>43987</c:v>
                </c:pt>
                <c:pt idx="15">
                  <c:v>43994</c:v>
                </c:pt>
                <c:pt idx="16">
                  <c:v>44001</c:v>
                </c:pt>
                <c:pt idx="17">
                  <c:v>44008</c:v>
                </c:pt>
                <c:pt idx="18">
                  <c:v>44015</c:v>
                </c:pt>
                <c:pt idx="19">
                  <c:v>44022</c:v>
                </c:pt>
                <c:pt idx="20">
                  <c:v>44029</c:v>
                </c:pt>
                <c:pt idx="21">
                  <c:v>44036</c:v>
                </c:pt>
                <c:pt idx="22">
                  <c:v>44043</c:v>
                </c:pt>
              </c:numCache>
            </c:numRef>
          </c:cat>
          <c:val>
            <c:numRef>
              <c:f>央行!$C$5:$C$27</c:f>
              <c:numCache>
                <c:formatCode>###,###,###,###,##0.00</c:formatCode>
                <c:ptCount val="23"/>
                <c:pt idx="0">
                  <c:v>-3050</c:v>
                </c:pt>
                <c:pt idx="1">
                  <c:v>0</c:v>
                </c:pt>
                <c:pt idx="2">
                  <c:v>0</c:v>
                </c:pt>
                <c:pt idx="3">
                  <c:v>0</c:v>
                </c:pt>
                <c:pt idx="4">
                  <c:v>-50</c:v>
                </c:pt>
                <c:pt idx="5">
                  <c:v>0</c:v>
                </c:pt>
                <c:pt idx="6">
                  <c:v>-700</c:v>
                </c:pt>
                <c:pt idx="7">
                  <c:v>0</c:v>
                </c:pt>
                <c:pt idx="8">
                  <c:v>-50</c:v>
                </c:pt>
                <c:pt idx="9">
                  <c:v>0</c:v>
                </c:pt>
                <c:pt idx="10">
                  <c:v>0</c:v>
                </c:pt>
                <c:pt idx="11">
                  <c:v>0</c:v>
                </c:pt>
                <c:pt idx="12">
                  <c:v>0</c:v>
                </c:pt>
                <c:pt idx="13">
                  <c:v>-50</c:v>
                </c:pt>
                <c:pt idx="14">
                  <c:v>-6700</c:v>
                </c:pt>
                <c:pt idx="15">
                  <c:v>-2200</c:v>
                </c:pt>
                <c:pt idx="16">
                  <c:v>-4200</c:v>
                </c:pt>
                <c:pt idx="17">
                  <c:v>-1200</c:v>
                </c:pt>
                <c:pt idx="18">
                  <c:v>-4950</c:v>
                </c:pt>
                <c:pt idx="19">
                  <c:v>-2900</c:v>
                </c:pt>
                <c:pt idx="20">
                  <c:v>0</c:v>
                </c:pt>
                <c:pt idx="21">
                  <c:v>-3300</c:v>
                </c:pt>
                <c:pt idx="22">
                  <c:v>-1650</c:v>
                </c:pt>
              </c:numCache>
            </c:numRef>
          </c:val>
          <c:extLst xmlns:c16r2="http://schemas.microsoft.com/office/drawing/2015/06/chart">
            <c:ext xmlns:c16="http://schemas.microsoft.com/office/drawing/2014/chart" uri="{C3380CC4-5D6E-409C-BE32-E72D297353CC}">
              <c16:uniqueId val="{00000001-3881-4733-AF0D-A6AD063B5908}"/>
            </c:ext>
          </c:extLst>
        </c:ser>
        <c:dLbls>
          <c:showLegendKey val="0"/>
          <c:showVal val="0"/>
          <c:showCatName val="0"/>
          <c:showSerName val="0"/>
          <c:showPercent val="0"/>
          <c:showBubbleSize val="0"/>
        </c:dLbls>
        <c:gapWidth val="150"/>
        <c:overlap val="100"/>
        <c:axId val="210818944"/>
        <c:axId val="210821120"/>
      </c:barChart>
      <c:lineChart>
        <c:grouping val="standard"/>
        <c:varyColors val="0"/>
        <c:ser>
          <c:idx val="1"/>
          <c:order val="2"/>
          <c:tx>
            <c:strRef>
              <c:f>央行!$D$4</c:f>
              <c:strCache>
                <c:ptCount val="1"/>
                <c:pt idx="0">
                  <c:v>货币净投放</c:v>
                </c:pt>
              </c:strCache>
            </c:strRef>
          </c:tx>
          <c:spPr>
            <a:ln w="22225">
              <a:solidFill>
                <a:srgbClr val="BF5711"/>
              </a:solidFill>
              <a:prstDash val="sysDash"/>
            </a:ln>
          </c:spPr>
          <c:marker>
            <c:symbol val="diamond"/>
            <c:size val="7"/>
            <c:spPr>
              <a:solidFill>
                <a:sysClr val="window" lastClr="FFFFFF"/>
              </a:solidFill>
              <a:ln w="15875">
                <a:solidFill>
                  <a:srgbClr val="BF5711"/>
                </a:solidFill>
              </a:ln>
            </c:spPr>
          </c:marker>
          <c:cat>
            <c:numRef>
              <c:f>央行!$A$5:$A$27</c:f>
              <c:numCache>
                <c:formatCode>yyyy\-mm\-dd;@</c:formatCode>
                <c:ptCount val="23"/>
                <c:pt idx="0">
                  <c:v>43889</c:v>
                </c:pt>
                <c:pt idx="1">
                  <c:v>43896</c:v>
                </c:pt>
                <c:pt idx="2">
                  <c:v>43903</c:v>
                </c:pt>
                <c:pt idx="3">
                  <c:v>43910</c:v>
                </c:pt>
                <c:pt idx="4">
                  <c:v>43917</c:v>
                </c:pt>
                <c:pt idx="5">
                  <c:v>43924</c:v>
                </c:pt>
                <c:pt idx="6">
                  <c:v>43931</c:v>
                </c:pt>
                <c:pt idx="7">
                  <c:v>43938</c:v>
                </c:pt>
                <c:pt idx="8">
                  <c:v>43945</c:v>
                </c:pt>
                <c:pt idx="9">
                  <c:v>43952</c:v>
                </c:pt>
                <c:pt idx="10">
                  <c:v>43959</c:v>
                </c:pt>
                <c:pt idx="11">
                  <c:v>43966</c:v>
                </c:pt>
                <c:pt idx="12">
                  <c:v>43973</c:v>
                </c:pt>
                <c:pt idx="13">
                  <c:v>43980</c:v>
                </c:pt>
                <c:pt idx="14">
                  <c:v>43987</c:v>
                </c:pt>
                <c:pt idx="15">
                  <c:v>43994</c:v>
                </c:pt>
                <c:pt idx="16">
                  <c:v>44001</c:v>
                </c:pt>
                <c:pt idx="17">
                  <c:v>44008</c:v>
                </c:pt>
                <c:pt idx="18">
                  <c:v>44015</c:v>
                </c:pt>
                <c:pt idx="19">
                  <c:v>44022</c:v>
                </c:pt>
                <c:pt idx="20">
                  <c:v>44029</c:v>
                </c:pt>
                <c:pt idx="21">
                  <c:v>44036</c:v>
                </c:pt>
                <c:pt idx="22">
                  <c:v>44043</c:v>
                </c:pt>
              </c:numCache>
            </c:numRef>
          </c:cat>
          <c:val>
            <c:numRef>
              <c:f>央行!$D$5:$D$27</c:f>
              <c:numCache>
                <c:formatCode>###,###,###,###,##0.00</c:formatCode>
                <c:ptCount val="23"/>
                <c:pt idx="0">
                  <c:v>-2990</c:v>
                </c:pt>
                <c:pt idx="1">
                  <c:v>0</c:v>
                </c:pt>
                <c:pt idx="2">
                  <c:v>0</c:v>
                </c:pt>
                <c:pt idx="3">
                  <c:v>0</c:v>
                </c:pt>
                <c:pt idx="4">
                  <c:v>10</c:v>
                </c:pt>
                <c:pt idx="5">
                  <c:v>700</c:v>
                </c:pt>
                <c:pt idx="6">
                  <c:v>-700</c:v>
                </c:pt>
                <c:pt idx="7">
                  <c:v>0</c:v>
                </c:pt>
                <c:pt idx="8">
                  <c:v>10</c:v>
                </c:pt>
                <c:pt idx="9">
                  <c:v>0</c:v>
                </c:pt>
                <c:pt idx="10">
                  <c:v>0</c:v>
                </c:pt>
                <c:pt idx="11">
                  <c:v>0</c:v>
                </c:pt>
                <c:pt idx="12">
                  <c:v>0</c:v>
                </c:pt>
                <c:pt idx="13">
                  <c:v>6700</c:v>
                </c:pt>
                <c:pt idx="14">
                  <c:v>-4500</c:v>
                </c:pt>
                <c:pt idx="15">
                  <c:v>2000</c:v>
                </c:pt>
                <c:pt idx="16">
                  <c:v>-1200</c:v>
                </c:pt>
                <c:pt idx="17">
                  <c:v>3850</c:v>
                </c:pt>
                <c:pt idx="18">
                  <c:v>-3925</c:v>
                </c:pt>
                <c:pt idx="19">
                  <c:v>-2900</c:v>
                </c:pt>
                <c:pt idx="20">
                  <c:v>3300</c:v>
                </c:pt>
                <c:pt idx="21">
                  <c:v>-1650</c:v>
                </c:pt>
                <c:pt idx="22">
                  <c:v>1150</c:v>
                </c:pt>
              </c:numCache>
            </c:numRef>
          </c:val>
          <c:smooth val="0"/>
          <c:extLst xmlns:c16r2="http://schemas.microsoft.com/office/drawing/2015/06/chart">
            <c:ext xmlns:c16="http://schemas.microsoft.com/office/drawing/2014/chart" uri="{C3380CC4-5D6E-409C-BE32-E72D297353CC}">
              <c16:uniqueId val="{00000002-3881-4733-AF0D-A6AD063B5908}"/>
            </c:ext>
          </c:extLst>
        </c:ser>
        <c:dLbls>
          <c:showLegendKey val="0"/>
          <c:showVal val="0"/>
          <c:showCatName val="0"/>
          <c:showSerName val="0"/>
          <c:showPercent val="0"/>
          <c:showBubbleSize val="0"/>
        </c:dLbls>
        <c:marker val="1"/>
        <c:smooth val="0"/>
        <c:axId val="210818944"/>
        <c:axId val="210821120"/>
      </c:lineChart>
      <c:catAx>
        <c:axId val="210818944"/>
        <c:scaling>
          <c:orientation val="minMax"/>
        </c:scaling>
        <c:delete val="0"/>
        <c:axPos val="b"/>
        <c:numFmt formatCode="mm\-dd"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210821120"/>
        <c:crosses val="autoZero"/>
        <c:auto val="0"/>
        <c:lblAlgn val="ctr"/>
        <c:lblOffset val="0"/>
        <c:tickMarkSkip val="2"/>
        <c:noMultiLvlLbl val="0"/>
      </c:catAx>
      <c:valAx>
        <c:axId val="210821120"/>
        <c:scaling>
          <c:orientation val="minMax"/>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sz="700"/>
            </a:pPr>
            <a:endParaRPr lang="zh-CN"/>
          </a:p>
        </c:txPr>
        <c:crossAx val="210818944"/>
        <c:crosses val="autoZero"/>
        <c:crossBetween val="between"/>
      </c:valAx>
    </c:plotArea>
    <c:legend>
      <c:legendPos val="r"/>
      <c:layout>
        <c:manualLayout>
          <c:xMode val="edge"/>
          <c:yMode val="edge"/>
          <c:x val="0.15225"/>
          <c:y val="2.3337707786526686E-3"/>
          <c:w val="0.81834886264216977"/>
          <c:h val="7.6589749198016921E-2"/>
        </c:manualLayout>
      </c:layout>
      <c:overlay val="0"/>
      <c:spPr>
        <a:noFill/>
        <a:ln w="3175">
          <a:noFill/>
          <a:prstDash val="solid"/>
        </a:ln>
      </c:spPr>
      <c:txPr>
        <a:bodyPr/>
        <a:lstStyle/>
        <a:p>
          <a:pPr>
            <a:defRPr sz="700"/>
          </a:pPr>
          <a:endParaRPr lang="zh-CN"/>
        </a:p>
      </c:txPr>
    </c:legend>
    <c:plotVisOnly val="1"/>
    <c:dispBlanksAs val="span"/>
    <c:showDLblsOverMax val="0"/>
  </c:chart>
  <c:spPr>
    <a:ln>
      <a:noFill/>
    </a:ln>
  </c:spPr>
  <c:txPr>
    <a:bodyPr/>
    <a:lstStyle/>
    <a:p>
      <a:pPr>
        <a:defRPr sz="6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643285214348206E-2"/>
          <c:y val="0.11196595217264509"/>
          <c:w val="0.90856714785651804"/>
          <c:h val="0.81409120734908136"/>
        </c:manualLayout>
      </c:layout>
      <c:lineChart>
        <c:grouping val="standard"/>
        <c:varyColors val="0"/>
        <c:ser>
          <c:idx val="0"/>
          <c:order val="0"/>
          <c:tx>
            <c:strRef>
              <c:f>资金!$B$2</c:f>
              <c:strCache>
                <c:ptCount val="1"/>
                <c:pt idx="0">
                  <c:v>银行间质押式回购加权利率:1天</c:v>
                </c:pt>
              </c:strCache>
            </c:strRef>
          </c:tx>
          <c:spPr>
            <a:ln w="25400">
              <a:solidFill>
                <a:srgbClr val="ED7D31">
                  <a:lumMod val="75000"/>
                </a:srgbClr>
              </a:solidFill>
            </a:ln>
          </c:spPr>
          <c:marker>
            <c:symbol val="none"/>
          </c:marker>
          <c:cat>
            <c:numRef>
              <c:f>资金!$A$3:$A$61</c:f>
              <c:numCache>
                <c:formatCode>yyyy\-mm\-dd;@</c:formatCode>
                <c:ptCount val="59"/>
                <c:pt idx="0">
                  <c:v>44043</c:v>
                </c:pt>
                <c:pt idx="1">
                  <c:v>44042</c:v>
                </c:pt>
                <c:pt idx="2">
                  <c:v>44041</c:v>
                </c:pt>
                <c:pt idx="3">
                  <c:v>44040</c:v>
                </c:pt>
                <c:pt idx="4">
                  <c:v>44039</c:v>
                </c:pt>
                <c:pt idx="5">
                  <c:v>44036</c:v>
                </c:pt>
                <c:pt idx="6">
                  <c:v>44035</c:v>
                </c:pt>
                <c:pt idx="7">
                  <c:v>44034</c:v>
                </c:pt>
                <c:pt idx="8">
                  <c:v>44033</c:v>
                </c:pt>
                <c:pt idx="9">
                  <c:v>44032</c:v>
                </c:pt>
                <c:pt idx="10">
                  <c:v>44029</c:v>
                </c:pt>
                <c:pt idx="11">
                  <c:v>44028</c:v>
                </c:pt>
                <c:pt idx="12">
                  <c:v>44027</c:v>
                </c:pt>
                <c:pt idx="13">
                  <c:v>44026</c:v>
                </c:pt>
                <c:pt idx="14">
                  <c:v>44025</c:v>
                </c:pt>
                <c:pt idx="15">
                  <c:v>44022</c:v>
                </c:pt>
                <c:pt idx="16">
                  <c:v>44021</c:v>
                </c:pt>
                <c:pt idx="17">
                  <c:v>44020</c:v>
                </c:pt>
                <c:pt idx="18">
                  <c:v>44019</c:v>
                </c:pt>
                <c:pt idx="19">
                  <c:v>44018</c:v>
                </c:pt>
                <c:pt idx="20">
                  <c:v>44015</c:v>
                </c:pt>
                <c:pt idx="21">
                  <c:v>44014</c:v>
                </c:pt>
                <c:pt idx="22">
                  <c:v>44013</c:v>
                </c:pt>
                <c:pt idx="23">
                  <c:v>44012</c:v>
                </c:pt>
                <c:pt idx="24">
                  <c:v>44011</c:v>
                </c:pt>
                <c:pt idx="25">
                  <c:v>44010</c:v>
                </c:pt>
                <c:pt idx="26">
                  <c:v>44006</c:v>
                </c:pt>
                <c:pt idx="27">
                  <c:v>44005</c:v>
                </c:pt>
                <c:pt idx="28">
                  <c:v>44004</c:v>
                </c:pt>
                <c:pt idx="29">
                  <c:v>44001</c:v>
                </c:pt>
                <c:pt idx="30">
                  <c:v>44000</c:v>
                </c:pt>
                <c:pt idx="31">
                  <c:v>43999</c:v>
                </c:pt>
                <c:pt idx="32">
                  <c:v>43998</c:v>
                </c:pt>
                <c:pt idx="33">
                  <c:v>43997</c:v>
                </c:pt>
                <c:pt idx="34">
                  <c:v>43994</c:v>
                </c:pt>
                <c:pt idx="35">
                  <c:v>43993</c:v>
                </c:pt>
                <c:pt idx="36">
                  <c:v>43992</c:v>
                </c:pt>
                <c:pt idx="37">
                  <c:v>43991</c:v>
                </c:pt>
                <c:pt idx="38">
                  <c:v>43990</c:v>
                </c:pt>
                <c:pt idx="39">
                  <c:v>43987</c:v>
                </c:pt>
                <c:pt idx="40">
                  <c:v>43986</c:v>
                </c:pt>
                <c:pt idx="41">
                  <c:v>43985</c:v>
                </c:pt>
                <c:pt idx="42">
                  <c:v>43984</c:v>
                </c:pt>
                <c:pt idx="43">
                  <c:v>43983</c:v>
                </c:pt>
                <c:pt idx="44">
                  <c:v>43980</c:v>
                </c:pt>
                <c:pt idx="45">
                  <c:v>43979</c:v>
                </c:pt>
                <c:pt idx="46">
                  <c:v>43978</c:v>
                </c:pt>
                <c:pt idx="47">
                  <c:v>43977</c:v>
                </c:pt>
                <c:pt idx="48">
                  <c:v>43976</c:v>
                </c:pt>
                <c:pt idx="49">
                  <c:v>43973</c:v>
                </c:pt>
                <c:pt idx="50">
                  <c:v>43972</c:v>
                </c:pt>
                <c:pt idx="51">
                  <c:v>43971</c:v>
                </c:pt>
                <c:pt idx="52">
                  <c:v>43970</c:v>
                </c:pt>
                <c:pt idx="53">
                  <c:v>43969</c:v>
                </c:pt>
                <c:pt idx="54">
                  <c:v>43966</c:v>
                </c:pt>
                <c:pt idx="55">
                  <c:v>43965</c:v>
                </c:pt>
                <c:pt idx="56">
                  <c:v>43964</c:v>
                </c:pt>
                <c:pt idx="57">
                  <c:v>43963</c:v>
                </c:pt>
                <c:pt idx="58">
                  <c:v>43962</c:v>
                </c:pt>
              </c:numCache>
            </c:numRef>
          </c:cat>
          <c:val>
            <c:numRef>
              <c:f>资金!$B$3:$B$61</c:f>
              <c:numCache>
                <c:formatCode>###,###,###,###,##0.0000</c:formatCode>
                <c:ptCount val="59"/>
                <c:pt idx="0">
                  <c:v>1.921</c:v>
                </c:pt>
                <c:pt idx="1">
                  <c:v>1.4155</c:v>
                </c:pt>
                <c:pt idx="2">
                  <c:v>1.4807999999999999</c:v>
                </c:pt>
                <c:pt idx="3">
                  <c:v>1.7774000000000001</c:v>
                </c:pt>
                <c:pt idx="4">
                  <c:v>2.0301999999999998</c:v>
                </c:pt>
                <c:pt idx="5">
                  <c:v>1.8781000000000001</c:v>
                </c:pt>
                <c:pt idx="6">
                  <c:v>1.9132</c:v>
                </c:pt>
                <c:pt idx="7">
                  <c:v>1.3838999999999999</c:v>
                </c:pt>
                <c:pt idx="8">
                  <c:v>1.5924</c:v>
                </c:pt>
                <c:pt idx="9">
                  <c:v>1.9733000000000001</c:v>
                </c:pt>
                <c:pt idx="10">
                  <c:v>2.3995000000000002</c:v>
                </c:pt>
                <c:pt idx="11">
                  <c:v>2.3612000000000002</c:v>
                </c:pt>
                <c:pt idx="12">
                  <c:v>2.0855999999999999</c:v>
                </c:pt>
                <c:pt idx="13">
                  <c:v>1.7021999999999999</c:v>
                </c:pt>
                <c:pt idx="14">
                  <c:v>2.1414</c:v>
                </c:pt>
                <c:pt idx="15">
                  <c:v>2.2174</c:v>
                </c:pt>
                <c:pt idx="16">
                  <c:v>2.2547999999999999</c:v>
                </c:pt>
                <c:pt idx="17">
                  <c:v>2.1366000000000001</c:v>
                </c:pt>
                <c:pt idx="18">
                  <c:v>1.7793000000000001</c:v>
                </c:pt>
                <c:pt idx="19">
                  <c:v>1.4025000000000001</c:v>
                </c:pt>
                <c:pt idx="20">
                  <c:v>1.4065000000000001</c:v>
                </c:pt>
                <c:pt idx="21">
                  <c:v>1.7667999999999999</c:v>
                </c:pt>
                <c:pt idx="22">
                  <c:v>2.0270999999999999</c:v>
                </c:pt>
                <c:pt idx="23">
                  <c:v>2.2993999999999999</c:v>
                </c:pt>
                <c:pt idx="24">
                  <c:v>1.0634999999999999</c:v>
                </c:pt>
                <c:pt idx="25">
                  <c:v>1.0626</c:v>
                </c:pt>
                <c:pt idx="26">
                  <c:v>1.4907999999999999</c:v>
                </c:pt>
                <c:pt idx="27">
                  <c:v>1.9904999999999999</c:v>
                </c:pt>
                <c:pt idx="28">
                  <c:v>2.1852999999999998</c:v>
                </c:pt>
                <c:pt idx="29">
                  <c:v>2.1818</c:v>
                </c:pt>
                <c:pt idx="30">
                  <c:v>2.1688999999999998</c:v>
                </c:pt>
                <c:pt idx="31">
                  <c:v>2.1088</c:v>
                </c:pt>
                <c:pt idx="32">
                  <c:v>1.8025</c:v>
                </c:pt>
                <c:pt idx="33">
                  <c:v>1.5213000000000001</c:v>
                </c:pt>
                <c:pt idx="34">
                  <c:v>1.5598000000000001</c:v>
                </c:pt>
                <c:pt idx="35">
                  <c:v>1.7955000000000001</c:v>
                </c:pt>
                <c:pt idx="36">
                  <c:v>1.8873</c:v>
                </c:pt>
                <c:pt idx="37">
                  <c:v>1.883</c:v>
                </c:pt>
                <c:pt idx="38">
                  <c:v>1.9269000000000001</c:v>
                </c:pt>
                <c:pt idx="39">
                  <c:v>1.6131</c:v>
                </c:pt>
                <c:pt idx="40">
                  <c:v>1.9869000000000001</c:v>
                </c:pt>
                <c:pt idx="41">
                  <c:v>1.9258999999999999</c:v>
                </c:pt>
                <c:pt idx="42">
                  <c:v>1.5313000000000001</c:v>
                </c:pt>
                <c:pt idx="43">
                  <c:v>1.6446000000000001</c:v>
                </c:pt>
                <c:pt idx="44">
                  <c:v>2.1263999999999998</c:v>
                </c:pt>
                <c:pt idx="45">
                  <c:v>2.1741999999999999</c:v>
                </c:pt>
                <c:pt idx="46">
                  <c:v>2.1711</c:v>
                </c:pt>
                <c:pt idx="47">
                  <c:v>1.9621</c:v>
                </c:pt>
                <c:pt idx="48">
                  <c:v>1.5498000000000001</c:v>
                </c:pt>
                <c:pt idx="49">
                  <c:v>1.1511</c:v>
                </c:pt>
                <c:pt idx="50">
                  <c:v>1.1535</c:v>
                </c:pt>
                <c:pt idx="51">
                  <c:v>1.2717000000000001</c:v>
                </c:pt>
                <c:pt idx="52">
                  <c:v>1.4426000000000001</c:v>
                </c:pt>
                <c:pt idx="53">
                  <c:v>0.97460000000000002</c:v>
                </c:pt>
                <c:pt idx="54">
                  <c:v>0.91920000000000002</c:v>
                </c:pt>
                <c:pt idx="55">
                  <c:v>0.80310000000000004</c:v>
                </c:pt>
                <c:pt idx="56">
                  <c:v>0.751</c:v>
                </c:pt>
                <c:pt idx="57">
                  <c:v>0.84740000000000004</c:v>
                </c:pt>
                <c:pt idx="58">
                  <c:v>0.92610000000000003</c:v>
                </c:pt>
              </c:numCache>
            </c:numRef>
          </c:val>
          <c:smooth val="1"/>
          <c:extLst xmlns:c16r2="http://schemas.microsoft.com/office/drawing/2015/06/chart">
            <c:ext xmlns:c16="http://schemas.microsoft.com/office/drawing/2014/chart" uri="{C3380CC4-5D6E-409C-BE32-E72D297353CC}">
              <c16:uniqueId val="{00000000-86B4-4611-B8E9-CAAB84010CBF}"/>
            </c:ext>
          </c:extLst>
        </c:ser>
        <c:ser>
          <c:idx val="2"/>
          <c:order val="1"/>
          <c:tx>
            <c:strRef>
              <c:f>资金!$C$2</c:f>
              <c:strCache>
                <c:ptCount val="1"/>
                <c:pt idx="0">
                  <c:v>银行间质押式回购加权利率:7天</c:v>
                </c:pt>
              </c:strCache>
            </c:strRef>
          </c:tx>
          <c:spPr>
            <a:ln w="25400">
              <a:solidFill>
                <a:srgbClr val="ED7D31"/>
              </a:solidFill>
              <a:prstDash val="sysDash"/>
            </a:ln>
          </c:spPr>
          <c:marker>
            <c:symbol val="none"/>
          </c:marker>
          <c:cat>
            <c:numRef>
              <c:f>资金!$A$3:$A$61</c:f>
              <c:numCache>
                <c:formatCode>yyyy\-mm\-dd;@</c:formatCode>
                <c:ptCount val="59"/>
                <c:pt idx="0">
                  <c:v>44043</c:v>
                </c:pt>
                <c:pt idx="1">
                  <c:v>44042</c:v>
                </c:pt>
                <c:pt idx="2">
                  <c:v>44041</c:v>
                </c:pt>
                <c:pt idx="3">
                  <c:v>44040</c:v>
                </c:pt>
                <c:pt idx="4">
                  <c:v>44039</c:v>
                </c:pt>
                <c:pt idx="5">
                  <c:v>44036</c:v>
                </c:pt>
                <c:pt idx="6">
                  <c:v>44035</c:v>
                </c:pt>
                <c:pt idx="7">
                  <c:v>44034</c:v>
                </c:pt>
                <c:pt idx="8">
                  <c:v>44033</c:v>
                </c:pt>
                <c:pt idx="9">
                  <c:v>44032</c:v>
                </c:pt>
                <c:pt idx="10">
                  <c:v>44029</c:v>
                </c:pt>
                <c:pt idx="11">
                  <c:v>44028</c:v>
                </c:pt>
                <c:pt idx="12">
                  <c:v>44027</c:v>
                </c:pt>
                <c:pt idx="13">
                  <c:v>44026</c:v>
                </c:pt>
                <c:pt idx="14">
                  <c:v>44025</c:v>
                </c:pt>
                <c:pt idx="15">
                  <c:v>44022</c:v>
                </c:pt>
                <c:pt idx="16">
                  <c:v>44021</c:v>
                </c:pt>
                <c:pt idx="17">
                  <c:v>44020</c:v>
                </c:pt>
                <c:pt idx="18">
                  <c:v>44019</c:v>
                </c:pt>
                <c:pt idx="19">
                  <c:v>44018</c:v>
                </c:pt>
                <c:pt idx="20">
                  <c:v>44015</c:v>
                </c:pt>
                <c:pt idx="21">
                  <c:v>44014</c:v>
                </c:pt>
                <c:pt idx="22">
                  <c:v>44013</c:v>
                </c:pt>
                <c:pt idx="23">
                  <c:v>44012</c:v>
                </c:pt>
                <c:pt idx="24">
                  <c:v>44011</c:v>
                </c:pt>
                <c:pt idx="25">
                  <c:v>44010</c:v>
                </c:pt>
                <c:pt idx="26">
                  <c:v>44006</c:v>
                </c:pt>
                <c:pt idx="27">
                  <c:v>44005</c:v>
                </c:pt>
                <c:pt idx="28">
                  <c:v>44004</c:v>
                </c:pt>
                <c:pt idx="29">
                  <c:v>44001</c:v>
                </c:pt>
                <c:pt idx="30">
                  <c:v>44000</c:v>
                </c:pt>
                <c:pt idx="31">
                  <c:v>43999</c:v>
                </c:pt>
                <c:pt idx="32">
                  <c:v>43998</c:v>
                </c:pt>
                <c:pt idx="33">
                  <c:v>43997</c:v>
                </c:pt>
                <c:pt idx="34">
                  <c:v>43994</c:v>
                </c:pt>
                <c:pt idx="35">
                  <c:v>43993</c:v>
                </c:pt>
                <c:pt idx="36">
                  <c:v>43992</c:v>
                </c:pt>
                <c:pt idx="37">
                  <c:v>43991</c:v>
                </c:pt>
                <c:pt idx="38">
                  <c:v>43990</c:v>
                </c:pt>
                <c:pt idx="39">
                  <c:v>43987</c:v>
                </c:pt>
                <c:pt idx="40">
                  <c:v>43986</c:v>
                </c:pt>
                <c:pt idx="41">
                  <c:v>43985</c:v>
                </c:pt>
                <c:pt idx="42">
                  <c:v>43984</c:v>
                </c:pt>
                <c:pt idx="43">
                  <c:v>43983</c:v>
                </c:pt>
                <c:pt idx="44">
                  <c:v>43980</c:v>
                </c:pt>
                <c:pt idx="45">
                  <c:v>43979</c:v>
                </c:pt>
                <c:pt idx="46">
                  <c:v>43978</c:v>
                </c:pt>
                <c:pt idx="47">
                  <c:v>43977</c:v>
                </c:pt>
                <c:pt idx="48">
                  <c:v>43976</c:v>
                </c:pt>
                <c:pt idx="49">
                  <c:v>43973</c:v>
                </c:pt>
                <c:pt idx="50">
                  <c:v>43972</c:v>
                </c:pt>
                <c:pt idx="51">
                  <c:v>43971</c:v>
                </c:pt>
                <c:pt idx="52">
                  <c:v>43970</c:v>
                </c:pt>
                <c:pt idx="53">
                  <c:v>43969</c:v>
                </c:pt>
                <c:pt idx="54">
                  <c:v>43966</c:v>
                </c:pt>
                <c:pt idx="55">
                  <c:v>43965</c:v>
                </c:pt>
                <c:pt idx="56">
                  <c:v>43964</c:v>
                </c:pt>
                <c:pt idx="57">
                  <c:v>43963</c:v>
                </c:pt>
                <c:pt idx="58">
                  <c:v>43962</c:v>
                </c:pt>
              </c:numCache>
            </c:numRef>
          </c:cat>
          <c:val>
            <c:numRef>
              <c:f>资金!$C$3:$C$61</c:f>
              <c:numCache>
                <c:formatCode>###,###,###,###,##0.0000</c:formatCode>
                <c:ptCount val="59"/>
                <c:pt idx="0">
                  <c:v>2.3254000000000001</c:v>
                </c:pt>
                <c:pt idx="1">
                  <c:v>2.3382999999999998</c:v>
                </c:pt>
                <c:pt idx="2">
                  <c:v>2.3513000000000002</c:v>
                </c:pt>
                <c:pt idx="3">
                  <c:v>2.4123999999999999</c:v>
                </c:pt>
                <c:pt idx="4">
                  <c:v>2.4384000000000001</c:v>
                </c:pt>
                <c:pt idx="5">
                  <c:v>2.0954000000000002</c:v>
                </c:pt>
                <c:pt idx="6">
                  <c:v>2.2709000000000001</c:v>
                </c:pt>
                <c:pt idx="7">
                  <c:v>2.0026000000000002</c:v>
                </c:pt>
                <c:pt idx="8">
                  <c:v>2.1061999999999999</c:v>
                </c:pt>
                <c:pt idx="9">
                  <c:v>2.2656999999999998</c:v>
                </c:pt>
                <c:pt idx="10">
                  <c:v>2.4668999999999999</c:v>
                </c:pt>
                <c:pt idx="11">
                  <c:v>2.3656000000000001</c:v>
                </c:pt>
                <c:pt idx="12">
                  <c:v>2.2551000000000001</c:v>
                </c:pt>
                <c:pt idx="13">
                  <c:v>2.2277</c:v>
                </c:pt>
                <c:pt idx="14">
                  <c:v>2.3549000000000002</c:v>
                </c:pt>
                <c:pt idx="15">
                  <c:v>2.3384999999999998</c:v>
                </c:pt>
                <c:pt idx="16">
                  <c:v>2.2734999999999999</c:v>
                </c:pt>
                <c:pt idx="17">
                  <c:v>2.2345999999999999</c:v>
                </c:pt>
                <c:pt idx="18">
                  <c:v>2.1484999999999999</c:v>
                </c:pt>
                <c:pt idx="19">
                  <c:v>1.8398000000000001</c:v>
                </c:pt>
                <c:pt idx="20">
                  <c:v>1.857</c:v>
                </c:pt>
                <c:pt idx="21">
                  <c:v>2.0632999999999999</c:v>
                </c:pt>
                <c:pt idx="22">
                  <c:v>2.2721</c:v>
                </c:pt>
                <c:pt idx="23">
                  <c:v>3.0518999999999998</c:v>
                </c:pt>
                <c:pt idx="24">
                  <c:v>2.7978999999999998</c:v>
                </c:pt>
                <c:pt idx="25">
                  <c:v>2.2408999999999999</c:v>
                </c:pt>
                <c:pt idx="26">
                  <c:v>2.3866999999999998</c:v>
                </c:pt>
                <c:pt idx="27">
                  <c:v>2.3123</c:v>
                </c:pt>
                <c:pt idx="28">
                  <c:v>2.2494999999999998</c:v>
                </c:pt>
                <c:pt idx="29">
                  <c:v>2.1716000000000002</c:v>
                </c:pt>
                <c:pt idx="30">
                  <c:v>2.1389</c:v>
                </c:pt>
                <c:pt idx="31">
                  <c:v>2.0489999999999999</c:v>
                </c:pt>
                <c:pt idx="32">
                  <c:v>1.9447000000000001</c:v>
                </c:pt>
                <c:pt idx="33">
                  <c:v>1.8593999999999999</c:v>
                </c:pt>
                <c:pt idx="34">
                  <c:v>1.9265000000000001</c:v>
                </c:pt>
                <c:pt idx="35">
                  <c:v>2.0001000000000002</c:v>
                </c:pt>
                <c:pt idx="36">
                  <c:v>1.9938</c:v>
                </c:pt>
                <c:pt idx="37">
                  <c:v>1.9323999999999999</c:v>
                </c:pt>
                <c:pt idx="38">
                  <c:v>1.88</c:v>
                </c:pt>
                <c:pt idx="39">
                  <c:v>1.8634999999999999</c:v>
                </c:pt>
                <c:pt idx="40">
                  <c:v>1.8980999999999999</c:v>
                </c:pt>
                <c:pt idx="41">
                  <c:v>1.9643999999999999</c:v>
                </c:pt>
                <c:pt idx="42">
                  <c:v>1.5506</c:v>
                </c:pt>
                <c:pt idx="43">
                  <c:v>1.6257999999999999</c:v>
                </c:pt>
                <c:pt idx="44">
                  <c:v>2.2210999999999999</c:v>
                </c:pt>
                <c:pt idx="45">
                  <c:v>2.246</c:v>
                </c:pt>
                <c:pt idx="46">
                  <c:v>2.0767000000000002</c:v>
                </c:pt>
                <c:pt idx="47">
                  <c:v>1.9472</c:v>
                </c:pt>
                <c:pt idx="48">
                  <c:v>1.7498</c:v>
                </c:pt>
                <c:pt idx="49">
                  <c:v>1.4472</c:v>
                </c:pt>
                <c:pt idx="50">
                  <c:v>1.4988999999999999</c:v>
                </c:pt>
                <c:pt idx="51">
                  <c:v>1.5571999999999999</c:v>
                </c:pt>
                <c:pt idx="52">
                  <c:v>1.5296000000000001</c:v>
                </c:pt>
                <c:pt idx="53">
                  <c:v>1.3913</c:v>
                </c:pt>
                <c:pt idx="54">
                  <c:v>1.4092</c:v>
                </c:pt>
                <c:pt idx="55">
                  <c:v>1.3529</c:v>
                </c:pt>
                <c:pt idx="56">
                  <c:v>1.3654999999999999</c:v>
                </c:pt>
                <c:pt idx="57">
                  <c:v>1.4115</c:v>
                </c:pt>
                <c:pt idx="58">
                  <c:v>1.4842</c:v>
                </c:pt>
              </c:numCache>
            </c:numRef>
          </c:val>
          <c:smooth val="1"/>
          <c:extLst xmlns:c16r2="http://schemas.microsoft.com/office/drawing/2015/06/chart">
            <c:ext xmlns:c16="http://schemas.microsoft.com/office/drawing/2014/chart" uri="{C3380CC4-5D6E-409C-BE32-E72D297353CC}">
              <c16:uniqueId val="{00000001-86B4-4611-B8E9-CAAB84010CBF}"/>
            </c:ext>
          </c:extLst>
        </c:ser>
        <c:dLbls>
          <c:showLegendKey val="0"/>
          <c:showVal val="0"/>
          <c:showCatName val="0"/>
          <c:showSerName val="0"/>
          <c:showPercent val="0"/>
          <c:showBubbleSize val="0"/>
        </c:dLbls>
        <c:marker val="1"/>
        <c:smooth val="0"/>
        <c:axId val="210856576"/>
        <c:axId val="210862464"/>
      </c:lineChart>
      <c:dateAx>
        <c:axId val="210856576"/>
        <c:scaling>
          <c:orientation val="minMax"/>
        </c:scaling>
        <c:delete val="0"/>
        <c:axPos val="b"/>
        <c:numFmt formatCode="mm\-dd"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210862464"/>
        <c:crosses val="autoZero"/>
        <c:auto val="0"/>
        <c:lblOffset val="0"/>
        <c:baseTimeUnit val="days"/>
        <c:majorUnit val="14"/>
        <c:majorTimeUnit val="days"/>
        <c:minorUnit val="7"/>
        <c:minorTimeUnit val="days"/>
      </c:dateAx>
      <c:valAx>
        <c:axId val="210862464"/>
        <c:scaling>
          <c:orientation val="minMax"/>
        </c:scaling>
        <c:delete val="0"/>
        <c:axPos val="l"/>
        <c:numFmt formatCode="#,##0.0_);[Red]\(#,##0.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210856576"/>
        <c:crosses val="autoZero"/>
        <c:crossBetween val="between"/>
      </c:valAx>
    </c:plotArea>
    <c:legend>
      <c:legendPos val="r"/>
      <c:layout>
        <c:manualLayout>
          <c:xMode val="edge"/>
          <c:yMode val="edge"/>
          <c:x val="0.15502777777777776"/>
          <c:y val="2.3337707786526686E-3"/>
          <c:w val="0.690571084864392"/>
          <c:h val="0.12288604549431321"/>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8932852143482062E-2"/>
          <c:y val="0.11196595217264509"/>
          <c:w val="0.88363429571303587"/>
          <c:h val="0.81409120734908136"/>
        </c:manualLayout>
      </c:layout>
      <c:barChart>
        <c:barDir val="col"/>
        <c:grouping val="clustered"/>
        <c:varyColors val="0"/>
        <c:ser>
          <c:idx val="0"/>
          <c:order val="0"/>
          <c:tx>
            <c:strRef>
              <c:f>国债!$J$3</c:f>
              <c:strCache>
                <c:ptCount val="1"/>
                <c:pt idx="0">
                  <c:v>变化(左)</c:v>
                </c:pt>
              </c:strCache>
            </c:strRef>
          </c:tx>
          <c:spPr>
            <a:solidFill>
              <a:srgbClr val="E7E6E6">
                <a:lumMod val="90000"/>
              </a:srgbClr>
            </a:solidFill>
            <a:ln w="22225">
              <a:noFill/>
            </a:ln>
          </c:spPr>
          <c:invertIfNegative val="0"/>
          <c:dLbls>
            <c:spPr>
              <a:noFill/>
              <a:ln>
                <a:noFill/>
              </a:ln>
              <a:effectLst/>
            </c:spPr>
            <c:txPr>
              <a:bodyPr wrap="square" lIns="38100" tIns="19050" rIns="38100" bIns="19050" anchor="ctr">
                <a:spAutoFit/>
              </a:bodyPr>
              <a:lstStyle/>
              <a:p>
                <a:pPr>
                  <a:defRPr sz="600"/>
                </a:pPr>
                <a:endParaRPr lang="zh-CN"/>
              </a:p>
            </c:txPr>
            <c:dLblPos val="inBase"/>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ext>
            </c:extLst>
          </c:dLbls>
          <c:cat>
            <c:strRef>
              <c:f>国债!$K$2:$Q$2</c:f>
              <c:strCache>
                <c:ptCount val="7"/>
                <c:pt idx="0">
                  <c:v>1M</c:v>
                </c:pt>
                <c:pt idx="1">
                  <c:v>3M</c:v>
                </c:pt>
                <c:pt idx="2">
                  <c:v>1Y</c:v>
                </c:pt>
                <c:pt idx="3">
                  <c:v>3Y</c:v>
                </c:pt>
                <c:pt idx="4">
                  <c:v>5Y</c:v>
                </c:pt>
                <c:pt idx="5">
                  <c:v>7Y</c:v>
                </c:pt>
                <c:pt idx="6">
                  <c:v>10Y</c:v>
                </c:pt>
              </c:strCache>
            </c:strRef>
          </c:cat>
          <c:val>
            <c:numRef>
              <c:f>国债!$K$3:$Q$3</c:f>
              <c:numCache>
                <c:formatCode>0.0_ ;[Red]\-0.0\ </c:formatCode>
                <c:ptCount val="7"/>
                <c:pt idx="0">
                  <c:v>-20.99</c:v>
                </c:pt>
                <c:pt idx="1">
                  <c:v>1.859999999999995</c:v>
                </c:pt>
                <c:pt idx="2">
                  <c:v>-0.18000000000002458</c:v>
                </c:pt>
                <c:pt idx="3">
                  <c:v>5.9600000000000097</c:v>
                </c:pt>
                <c:pt idx="4">
                  <c:v>10.230000000000006</c:v>
                </c:pt>
                <c:pt idx="5">
                  <c:v>11.870000000000003</c:v>
                </c:pt>
                <c:pt idx="6">
                  <c:v>10.519999999999996</c:v>
                </c:pt>
              </c:numCache>
            </c:numRef>
          </c:val>
          <c:extLst xmlns:c16r2="http://schemas.microsoft.com/office/drawing/2015/06/chart">
            <c:ext xmlns:c16="http://schemas.microsoft.com/office/drawing/2014/chart" uri="{C3380CC4-5D6E-409C-BE32-E72D297353CC}">
              <c16:uniqueId val="{00000000-C7B7-4B75-B19F-E2967436EBDB}"/>
            </c:ext>
          </c:extLst>
        </c:ser>
        <c:dLbls>
          <c:showLegendKey val="0"/>
          <c:showVal val="0"/>
          <c:showCatName val="0"/>
          <c:showSerName val="0"/>
          <c:showPercent val="0"/>
          <c:showBubbleSize val="0"/>
        </c:dLbls>
        <c:gapWidth val="150"/>
        <c:axId val="226224768"/>
        <c:axId val="229708544"/>
      </c:barChart>
      <c:lineChart>
        <c:grouping val="standard"/>
        <c:varyColors val="0"/>
        <c:ser>
          <c:idx val="2"/>
          <c:order val="1"/>
          <c:tx>
            <c:strRef>
              <c:f>国债!$J$4</c:f>
              <c:strCache>
                <c:ptCount val="1"/>
                <c:pt idx="0">
                  <c:v>本周</c:v>
                </c:pt>
              </c:strCache>
            </c:strRef>
          </c:tx>
          <c:spPr>
            <a:ln w="22225">
              <a:solidFill>
                <a:srgbClr val="BF5711"/>
              </a:solidFill>
              <a:prstDash val="solid"/>
            </a:ln>
          </c:spPr>
          <c:marker>
            <c:symbol val="diamond"/>
            <c:size val="7"/>
            <c:spPr>
              <a:solidFill>
                <a:sysClr val="window" lastClr="FFFFFF"/>
              </a:solidFill>
              <a:ln w="15875">
                <a:solidFill>
                  <a:srgbClr val="BF5711"/>
                </a:solidFill>
                <a:prstDash val="solid"/>
              </a:ln>
            </c:spPr>
          </c:marker>
          <c:dLbls>
            <c:dLbl>
              <c:idx val="0"/>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1-C7B7-4B75-B19F-E2967436EBDB}"/>
                </c:ext>
              </c:extLst>
            </c:dLbl>
            <c:dLbl>
              <c:idx val="1"/>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2-C7B7-4B75-B19F-E2967436EBDB}"/>
                </c:ext>
              </c:extLst>
            </c:dLbl>
            <c:dLbl>
              <c:idx val="2"/>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3-C7B7-4B75-B19F-E2967436EBDB}"/>
                </c:ext>
              </c:extLst>
            </c:dLbl>
            <c:dLbl>
              <c:idx val="3"/>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4-C7B7-4B75-B19F-E2967436EBDB}"/>
                </c:ext>
              </c:extLst>
            </c:dLbl>
            <c:dLbl>
              <c:idx val="4"/>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5-C7B7-4B75-B19F-E2967436EBDB}"/>
                </c:ext>
              </c:extLst>
            </c:dLbl>
            <c:dLbl>
              <c:idx val="5"/>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6-C7B7-4B75-B19F-E2967436EBDB}"/>
                </c:ext>
              </c:extLst>
            </c:dLbl>
            <c:spPr>
              <a:noFill/>
              <a:ln>
                <a:noFill/>
              </a:ln>
              <a:effectLst/>
            </c:spPr>
            <c:txPr>
              <a:bodyPr wrap="square" lIns="38100" tIns="19050" rIns="38100" bIns="19050" anchor="ctr">
                <a:spAutoFit/>
              </a:bodyPr>
              <a:lstStyle/>
              <a:p>
                <a:pPr>
                  <a:defRPr sz="700"/>
                </a:pPr>
                <a:endParaRPr lang="zh-CN"/>
              </a:p>
            </c:txPr>
            <c:dLblPos val="t"/>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ext>
            </c:extLst>
          </c:dLbls>
          <c:cat>
            <c:strRef>
              <c:f>国债!$K$2:$Q$2</c:f>
              <c:strCache>
                <c:ptCount val="7"/>
                <c:pt idx="0">
                  <c:v>1M</c:v>
                </c:pt>
                <c:pt idx="1">
                  <c:v>3M</c:v>
                </c:pt>
                <c:pt idx="2">
                  <c:v>1Y</c:v>
                </c:pt>
                <c:pt idx="3">
                  <c:v>3Y</c:v>
                </c:pt>
                <c:pt idx="4">
                  <c:v>5Y</c:v>
                </c:pt>
                <c:pt idx="5">
                  <c:v>7Y</c:v>
                </c:pt>
                <c:pt idx="6">
                  <c:v>10Y</c:v>
                </c:pt>
              </c:strCache>
            </c:strRef>
          </c:cat>
          <c:val>
            <c:numRef>
              <c:f>国债!$K$4:$Q$4</c:f>
              <c:numCache>
                <c:formatCode>###,###,###,###,##0.00</c:formatCode>
                <c:ptCount val="7"/>
                <c:pt idx="0">
                  <c:v>1.6688000000000001</c:v>
                </c:pt>
                <c:pt idx="1">
                  <c:v>1.9799</c:v>
                </c:pt>
                <c:pt idx="2">
                  <c:v>2.2427999999999999</c:v>
                </c:pt>
                <c:pt idx="3">
                  <c:v>2.5152000000000001</c:v>
                </c:pt>
                <c:pt idx="4">
                  <c:v>2.7021999999999999</c:v>
                </c:pt>
                <c:pt idx="5">
                  <c:v>2.97</c:v>
                </c:pt>
                <c:pt idx="6">
                  <c:v>2.9664000000000001</c:v>
                </c:pt>
              </c:numCache>
            </c:numRef>
          </c:val>
          <c:smooth val="0"/>
          <c:extLst xmlns:c16r2="http://schemas.microsoft.com/office/drawing/2015/06/chart">
            <c:ext xmlns:c16="http://schemas.microsoft.com/office/drawing/2014/chart" uri="{C3380CC4-5D6E-409C-BE32-E72D297353CC}">
              <c16:uniqueId val="{00000007-C7B7-4B75-B19F-E2967436EBDB}"/>
            </c:ext>
          </c:extLst>
        </c:ser>
        <c:ser>
          <c:idx val="1"/>
          <c:order val="2"/>
          <c:tx>
            <c:strRef>
              <c:f>国债!$J$5</c:f>
              <c:strCache>
                <c:ptCount val="1"/>
                <c:pt idx="0">
                  <c:v>上周</c:v>
                </c:pt>
              </c:strCache>
            </c:strRef>
          </c:tx>
          <c:spPr>
            <a:ln w="22225">
              <a:solidFill>
                <a:srgbClr val="ED7D31"/>
              </a:solidFill>
              <a:prstDash val="sysDash"/>
            </a:ln>
          </c:spPr>
          <c:marker>
            <c:symbol val="diamond"/>
            <c:size val="7"/>
            <c:spPr>
              <a:solidFill>
                <a:sysClr val="window" lastClr="FFFFFF"/>
              </a:solidFill>
              <a:ln w="15875">
                <a:solidFill>
                  <a:srgbClr val="ED7D31"/>
                </a:solidFill>
              </a:ln>
            </c:spPr>
          </c:marker>
          <c:cat>
            <c:strRef>
              <c:f>国债!$K$2:$Q$2</c:f>
              <c:strCache>
                <c:ptCount val="7"/>
                <c:pt idx="0">
                  <c:v>1M</c:v>
                </c:pt>
                <c:pt idx="1">
                  <c:v>3M</c:v>
                </c:pt>
                <c:pt idx="2">
                  <c:v>1Y</c:v>
                </c:pt>
                <c:pt idx="3">
                  <c:v>3Y</c:v>
                </c:pt>
                <c:pt idx="4">
                  <c:v>5Y</c:v>
                </c:pt>
                <c:pt idx="5">
                  <c:v>7Y</c:v>
                </c:pt>
                <c:pt idx="6">
                  <c:v>10Y</c:v>
                </c:pt>
              </c:strCache>
            </c:strRef>
          </c:cat>
          <c:val>
            <c:numRef>
              <c:f>国债!$K$5:$Q$5</c:f>
              <c:numCache>
                <c:formatCode>###,###,###,###,##0.00</c:formatCode>
                <c:ptCount val="7"/>
                <c:pt idx="0">
                  <c:v>1.8787</c:v>
                </c:pt>
                <c:pt idx="1">
                  <c:v>1.9613</c:v>
                </c:pt>
                <c:pt idx="2">
                  <c:v>2.2446000000000002</c:v>
                </c:pt>
                <c:pt idx="3">
                  <c:v>2.4556</c:v>
                </c:pt>
                <c:pt idx="4">
                  <c:v>2.5998999999999999</c:v>
                </c:pt>
                <c:pt idx="5">
                  <c:v>2.8513000000000002</c:v>
                </c:pt>
                <c:pt idx="6">
                  <c:v>2.8612000000000002</c:v>
                </c:pt>
              </c:numCache>
            </c:numRef>
          </c:val>
          <c:smooth val="0"/>
          <c:extLst xmlns:c16r2="http://schemas.microsoft.com/office/drawing/2015/06/chart">
            <c:ext xmlns:c16="http://schemas.microsoft.com/office/drawing/2014/chart" uri="{C3380CC4-5D6E-409C-BE32-E72D297353CC}">
              <c16:uniqueId val="{00000008-C7B7-4B75-B19F-E2967436EBDB}"/>
            </c:ext>
          </c:extLst>
        </c:ser>
        <c:dLbls>
          <c:showLegendKey val="0"/>
          <c:showVal val="0"/>
          <c:showCatName val="0"/>
          <c:showSerName val="0"/>
          <c:showPercent val="0"/>
          <c:showBubbleSize val="0"/>
        </c:dLbls>
        <c:marker val="1"/>
        <c:smooth val="0"/>
        <c:axId val="229720064"/>
        <c:axId val="229710080"/>
      </c:lineChart>
      <c:dateAx>
        <c:axId val="226224768"/>
        <c:scaling>
          <c:orientation val="minMax"/>
        </c:scaling>
        <c:delete val="0"/>
        <c:axPos val="b"/>
        <c:numFmt formatCode="yy\-mm;@" sourceLinked="0"/>
        <c:majorTickMark val="out"/>
        <c:minorTickMark val="out"/>
        <c:tickLblPos val="low"/>
        <c:spPr>
          <a:ln w="3175">
            <a:solidFill>
              <a:sysClr val="windowText" lastClr="000000"/>
            </a:solidFill>
            <a:prstDash val="solid"/>
          </a:ln>
        </c:spPr>
        <c:txPr>
          <a:bodyPr rot="0" vert="horz"/>
          <a:lstStyle/>
          <a:p>
            <a:pPr>
              <a:defRPr sz="700">
                <a:latin typeface="Arial Narrow" panose="020B0606020202030204" pitchFamily="34" charset="0"/>
              </a:defRPr>
            </a:pPr>
            <a:endParaRPr lang="zh-CN"/>
          </a:p>
        </c:txPr>
        <c:crossAx val="229708544"/>
        <c:crosses val="autoZero"/>
        <c:auto val="0"/>
        <c:lblOffset val="0"/>
        <c:baseTimeUnit val="days"/>
      </c:dateAx>
      <c:valAx>
        <c:axId val="229708544"/>
        <c:scaling>
          <c:orientation val="minMax"/>
          <c:max val="1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sz="700">
                <a:solidFill>
                  <a:schemeClr val="tx1"/>
                </a:solidFill>
                <a:latin typeface="Arial Narrow" panose="020B0606020202030204" pitchFamily="34" charset="0"/>
              </a:defRPr>
            </a:pPr>
            <a:endParaRPr lang="zh-CN"/>
          </a:p>
        </c:txPr>
        <c:crossAx val="226224768"/>
        <c:crosses val="autoZero"/>
        <c:crossBetween val="between"/>
      </c:valAx>
      <c:valAx>
        <c:axId val="229710080"/>
        <c:scaling>
          <c:orientation val="minMax"/>
        </c:scaling>
        <c:delete val="0"/>
        <c:axPos val="r"/>
        <c:numFmt formatCode="#,##0.0_);[Red]\(#,##0.0\)" sourceLinked="0"/>
        <c:majorTickMark val="out"/>
        <c:minorTickMark val="none"/>
        <c:tickLblPos val="nextTo"/>
        <c:spPr>
          <a:ln w="3175">
            <a:solidFill>
              <a:sysClr val="windowText" lastClr="000000"/>
            </a:solidFill>
          </a:ln>
        </c:spPr>
        <c:txPr>
          <a:bodyPr/>
          <a:lstStyle/>
          <a:p>
            <a:pPr>
              <a:defRPr sz="700">
                <a:solidFill>
                  <a:schemeClr val="tx1"/>
                </a:solidFill>
                <a:latin typeface="Arial Narrow" panose="020B0606020202030204" pitchFamily="34" charset="0"/>
              </a:defRPr>
            </a:pPr>
            <a:endParaRPr lang="zh-CN"/>
          </a:p>
        </c:txPr>
        <c:crossAx val="229720064"/>
        <c:crosses val="max"/>
        <c:crossBetween val="between"/>
      </c:valAx>
      <c:dateAx>
        <c:axId val="229720064"/>
        <c:scaling>
          <c:orientation val="minMax"/>
        </c:scaling>
        <c:delete val="1"/>
        <c:axPos val="b"/>
        <c:numFmt formatCode="General" sourceLinked="1"/>
        <c:majorTickMark val="out"/>
        <c:minorTickMark val="none"/>
        <c:tickLblPos val="nextTo"/>
        <c:crossAx val="229710080"/>
        <c:crosses val="autoZero"/>
        <c:auto val="0"/>
        <c:lblOffset val="100"/>
        <c:baseTimeUnit val="years"/>
      </c:dateAx>
    </c:plotArea>
    <c:legend>
      <c:legendPos val="r"/>
      <c:layout>
        <c:manualLayout>
          <c:xMode val="edge"/>
          <c:yMode val="edge"/>
          <c:x val="0.15225"/>
          <c:y val="2.3337707786526686E-3"/>
          <c:w val="0.690571084864392"/>
          <c:h val="7.6589749198016921E-2"/>
        </c:manualLayout>
      </c:layout>
      <c:overlay val="0"/>
      <c:spPr>
        <a:noFill/>
        <a:ln w="3175">
          <a:noFill/>
          <a:prstDash val="solid"/>
        </a:ln>
      </c:spPr>
      <c:txPr>
        <a:bodyPr/>
        <a:lstStyle/>
        <a:p>
          <a:pPr>
            <a:defRPr sz="700" b="0">
              <a:latin typeface="华文楷体" panose="02010600040101010101" pitchFamily="2" charset="-122"/>
              <a:ea typeface="华文楷体" panose="02010600040101010101" pitchFamily="2" charset="-122"/>
            </a:defRPr>
          </a:pPr>
          <a:endParaRPr lang="zh-CN"/>
        </a:p>
      </c:txPr>
    </c:legend>
    <c:plotVisOnly val="1"/>
    <c:dispBlanksAs val="span"/>
    <c:showDLblsOverMax val="0"/>
  </c:chart>
  <c:spPr>
    <a:ln>
      <a:noFill/>
    </a:ln>
  </c:spPr>
  <c:txPr>
    <a:bodyPr/>
    <a:lstStyle/>
    <a:p>
      <a:pPr>
        <a:defRPr sz="10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8932852143482062E-2"/>
          <c:y val="0.11196595217264509"/>
          <c:w val="0.86463429571303585"/>
          <c:h val="0.81409120734908136"/>
        </c:manualLayout>
      </c:layout>
      <c:barChart>
        <c:barDir val="col"/>
        <c:grouping val="clustered"/>
        <c:varyColors val="0"/>
        <c:ser>
          <c:idx val="0"/>
          <c:order val="0"/>
          <c:tx>
            <c:strRef>
              <c:f>国开!$J$3</c:f>
              <c:strCache>
                <c:ptCount val="1"/>
                <c:pt idx="0">
                  <c:v>变化(左)</c:v>
                </c:pt>
              </c:strCache>
            </c:strRef>
          </c:tx>
          <c:spPr>
            <a:solidFill>
              <a:srgbClr val="E7E6E6">
                <a:lumMod val="90000"/>
              </a:srgbClr>
            </a:solidFill>
            <a:ln w="22225">
              <a:noFill/>
            </a:ln>
          </c:spPr>
          <c:invertIfNegative val="0"/>
          <c:dLbls>
            <c:spPr>
              <a:noFill/>
              <a:ln>
                <a:noFill/>
              </a:ln>
              <a:effectLst/>
            </c:spPr>
            <c:txPr>
              <a:bodyPr wrap="square" lIns="38100" tIns="19050" rIns="38100" bIns="19050" anchor="ctr">
                <a:spAutoFit/>
              </a:bodyPr>
              <a:lstStyle/>
              <a:p>
                <a:pPr>
                  <a:defRPr sz="700"/>
                </a:pPr>
                <a:endParaRPr lang="zh-CN"/>
              </a:p>
            </c:txPr>
            <c:dLblPos val="inBase"/>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ext>
            </c:extLst>
          </c:dLbls>
          <c:cat>
            <c:strRef>
              <c:f>国开!$K$2:$Q$2</c:f>
              <c:strCache>
                <c:ptCount val="7"/>
                <c:pt idx="0">
                  <c:v>1M</c:v>
                </c:pt>
                <c:pt idx="1">
                  <c:v>3M</c:v>
                </c:pt>
                <c:pt idx="2">
                  <c:v>1Y</c:v>
                </c:pt>
                <c:pt idx="3">
                  <c:v>3Y</c:v>
                </c:pt>
                <c:pt idx="4">
                  <c:v>5Y</c:v>
                </c:pt>
                <c:pt idx="5">
                  <c:v>7Y</c:v>
                </c:pt>
                <c:pt idx="6">
                  <c:v>10Y</c:v>
                </c:pt>
              </c:strCache>
            </c:strRef>
          </c:cat>
          <c:val>
            <c:numRef>
              <c:f>国开!$K$3:$Q$3</c:f>
              <c:numCache>
                <c:formatCode>0.0_ ;[Red]\-0.0\ </c:formatCode>
                <c:ptCount val="7"/>
                <c:pt idx="0">
                  <c:v>-20.99</c:v>
                </c:pt>
                <c:pt idx="1">
                  <c:v>6.3200000000000145</c:v>
                </c:pt>
                <c:pt idx="2">
                  <c:v>9.8899999999999988</c:v>
                </c:pt>
                <c:pt idx="3">
                  <c:v>18.019999999999968</c:v>
                </c:pt>
                <c:pt idx="4">
                  <c:v>16.060000000000009</c:v>
                </c:pt>
                <c:pt idx="5">
                  <c:v>8.030000000000026</c:v>
                </c:pt>
                <c:pt idx="6">
                  <c:v>15.240000000000009</c:v>
                </c:pt>
              </c:numCache>
            </c:numRef>
          </c:val>
          <c:extLst xmlns:c16r2="http://schemas.microsoft.com/office/drawing/2015/06/chart">
            <c:ext xmlns:c16="http://schemas.microsoft.com/office/drawing/2014/chart" uri="{C3380CC4-5D6E-409C-BE32-E72D297353CC}">
              <c16:uniqueId val="{00000000-769C-4A3B-B9D4-A05F73BEBD9E}"/>
            </c:ext>
          </c:extLst>
        </c:ser>
        <c:dLbls>
          <c:showLegendKey val="0"/>
          <c:showVal val="0"/>
          <c:showCatName val="0"/>
          <c:showSerName val="0"/>
          <c:showPercent val="0"/>
          <c:showBubbleSize val="0"/>
        </c:dLbls>
        <c:gapWidth val="150"/>
        <c:axId val="262790144"/>
        <c:axId val="262874240"/>
      </c:barChart>
      <c:lineChart>
        <c:grouping val="standard"/>
        <c:varyColors val="0"/>
        <c:ser>
          <c:idx val="2"/>
          <c:order val="1"/>
          <c:tx>
            <c:strRef>
              <c:f>国开!$J$4</c:f>
              <c:strCache>
                <c:ptCount val="1"/>
                <c:pt idx="0">
                  <c:v>本周</c:v>
                </c:pt>
              </c:strCache>
            </c:strRef>
          </c:tx>
          <c:spPr>
            <a:ln w="22225">
              <a:solidFill>
                <a:srgbClr val="BF5711"/>
              </a:solidFill>
              <a:prstDash val="solid"/>
            </a:ln>
          </c:spPr>
          <c:marker>
            <c:symbol val="diamond"/>
            <c:size val="7"/>
            <c:spPr>
              <a:solidFill>
                <a:sysClr val="window" lastClr="FFFFFF"/>
              </a:solidFill>
              <a:ln w="15875">
                <a:solidFill>
                  <a:srgbClr val="BF5711"/>
                </a:solidFill>
                <a:prstDash val="solid"/>
              </a:ln>
            </c:spPr>
          </c:marker>
          <c:dLbls>
            <c:dLbl>
              <c:idx val="0"/>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1-769C-4A3B-B9D4-A05F73BEBD9E}"/>
                </c:ext>
              </c:extLst>
            </c:dLbl>
            <c:dLbl>
              <c:idx val="1"/>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2-769C-4A3B-B9D4-A05F73BEBD9E}"/>
                </c:ext>
              </c:extLst>
            </c:dLbl>
            <c:dLbl>
              <c:idx val="2"/>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3-769C-4A3B-B9D4-A05F73BEBD9E}"/>
                </c:ext>
              </c:extLst>
            </c:dLbl>
            <c:dLbl>
              <c:idx val="3"/>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4-769C-4A3B-B9D4-A05F73BEBD9E}"/>
                </c:ext>
              </c:extLst>
            </c:dLbl>
            <c:dLbl>
              <c:idx val="4"/>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5-769C-4A3B-B9D4-A05F73BEBD9E}"/>
                </c:ext>
              </c:extLst>
            </c:dLbl>
            <c:dLbl>
              <c:idx val="5"/>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6-769C-4A3B-B9D4-A05F73BEBD9E}"/>
                </c:ext>
              </c:extLst>
            </c:dLbl>
            <c:spPr>
              <a:noFill/>
              <a:ln>
                <a:noFill/>
              </a:ln>
              <a:effectLst/>
            </c:spPr>
            <c:txPr>
              <a:bodyPr wrap="square" lIns="38100" tIns="19050" rIns="38100" bIns="19050" anchor="ctr">
                <a:spAutoFit/>
              </a:bodyPr>
              <a:lstStyle/>
              <a:p>
                <a:pPr>
                  <a:defRPr sz="700"/>
                </a:pPr>
                <a:endParaRPr lang="zh-CN"/>
              </a:p>
            </c:txPr>
            <c:dLblPos val="t"/>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ext>
            </c:extLst>
          </c:dLbls>
          <c:cat>
            <c:strRef>
              <c:f>国开!$K$2:$Q$2</c:f>
              <c:strCache>
                <c:ptCount val="7"/>
                <c:pt idx="0">
                  <c:v>1M</c:v>
                </c:pt>
                <c:pt idx="1">
                  <c:v>3M</c:v>
                </c:pt>
                <c:pt idx="2">
                  <c:v>1Y</c:v>
                </c:pt>
                <c:pt idx="3">
                  <c:v>3Y</c:v>
                </c:pt>
                <c:pt idx="4">
                  <c:v>5Y</c:v>
                </c:pt>
                <c:pt idx="5">
                  <c:v>7Y</c:v>
                </c:pt>
                <c:pt idx="6">
                  <c:v>10Y</c:v>
                </c:pt>
              </c:strCache>
            </c:strRef>
          </c:cat>
          <c:val>
            <c:numRef>
              <c:f>国开!$K$4:$Q$4</c:f>
              <c:numCache>
                <c:formatCode>###,###,###,###,##0.00</c:formatCode>
                <c:ptCount val="7"/>
                <c:pt idx="0">
                  <c:v>1.6921999999999999</c:v>
                </c:pt>
                <c:pt idx="1">
                  <c:v>2.3609</c:v>
                </c:pt>
                <c:pt idx="2">
                  <c:v>2.6728000000000001</c:v>
                </c:pt>
                <c:pt idx="3">
                  <c:v>3.1000999999999999</c:v>
                </c:pt>
                <c:pt idx="4">
                  <c:v>3.2911000000000001</c:v>
                </c:pt>
                <c:pt idx="5">
                  <c:v>3.4811000000000001</c:v>
                </c:pt>
                <c:pt idx="6">
                  <c:v>3.4777</c:v>
                </c:pt>
              </c:numCache>
            </c:numRef>
          </c:val>
          <c:smooth val="0"/>
          <c:extLst xmlns:c16r2="http://schemas.microsoft.com/office/drawing/2015/06/chart">
            <c:ext xmlns:c16="http://schemas.microsoft.com/office/drawing/2014/chart" uri="{C3380CC4-5D6E-409C-BE32-E72D297353CC}">
              <c16:uniqueId val="{00000007-769C-4A3B-B9D4-A05F73BEBD9E}"/>
            </c:ext>
          </c:extLst>
        </c:ser>
        <c:ser>
          <c:idx val="1"/>
          <c:order val="2"/>
          <c:tx>
            <c:strRef>
              <c:f>国开!$J$5</c:f>
              <c:strCache>
                <c:ptCount val="1"/>
                <c:pt idx="0">
                  <c:v>上周</c:v>
                </c:pt>
              </c:strCache>
            </c:strRef>
          </c:tx>
          <c:spPr>
            <a:ln w="22225">
              <a:solidFill>
                <a:srgbClr val="ED7D31"/>
              </a:solidFill>
              <a:prstDash val="sysDash"/>
            </a:ln>
          </c:spPr>
          <c:marker>
            <c:symbol val="diamond"/>
            <c:size val="7"/>
            <c:spPr>
              <a:solidFill>
                <a:sysClr val="window" lastClr="FFFFFF"/>
              </a:solidFill>
              <a:ln w="15875">
                <a:solidFill>
                  <a:srgbClr val="ED7D31"/>
                </a:solidFill>
              </a:ln>
            </c:spPr>
          </c:marker>
          <c:cat>
            <c:strRef>
              <c:f>国开!$K$2:$Q$2</c:f>
              <c:strCache>
                <c:ptCount val="7"/>
                <c:pt idx="0">
                  <c:v>1M</c:v>
                </c:pt>
                <c:pt idx="1">
                  <c:v>3M</c:v>
                </c:pt>
                <c:pt idx="2">
                  <c:v>1Y</c:v>
                </c:pt>
                <c:pt idx="3">
                  <c:v>3Y</c:v>
                </c:pt>
                <c:pt idx="4">
                  <c:v>5Y</c:v>
                </c:pt>
                <c:pt idx="5">
                  <c:v>7Y</c:v>
                </c:pt>
                <c:pt idx="6">
                  <c:v>10Y</c:v>
                </c:pt>
              </c:strCache>
            </c:strRef>
          </c:cat>
          <c:val>
            <c:numRef>
              <c:f>国开!$K$5:$Q$5</c:f>
              <c:numCache>
                <c:formatCode>###,###,###,###,##0.00</c:formatCode>
                <c:ptCount val="7"/>
                <c:pt idx="0">
                  <c:v>1.9020999999999999</c:v>
                </c:pt>
                <c:pt idx="1">
                  <c:v>2.2976999999999999</c:v>
                </c:pt>
                <c:pt idx="2">
                  <c:v>2.5739000000000001</c:v>
                </c:pt>
                <c:pt idx="3">
                  <c:v>2.9199000000000002</c:v>
                </c:pt>
                <c:pt idx="4">
                  <c:v>3.1305000000000001</c:v>
                </c:pt>
                <c:pt idx="5">
                  <c:v>3.4007999999999998</c:v>
                </c:pt>
                <c:pt idx="6">
                  <c:v>3.3252999999999999</c:v>
                </c:pt>
              </c:numCache>
            </c:numRef>
          </c:val>
          <c:smooth val="0"/>
          <c:extLst xmlns:c16r2="http://schemas.microsoft.com/office/drawing/2015/06/chart">
            <c:ext xmlns:c16="http://schemas.microsoft.com/office/drawing/2014/chart" uri="{C3380CC4-5D6E-409C-BE32-E72D297353CC}">
              <c16:uniqueId val="{00000008-769C-4A3B-B9D4-A05F73BEBD9E}"/>
            </c:ext>
          </c:extLst>
        </c:ser>
        <c:dLbls>
          <c:showLegendKey val="0"/>
          <c:showVal val="0"/>
          <c:showCatName val="0"/>
          <c:showSerName val="0"/>
          <c:showPercent val="0"/>
          <c:showBubbleSize val="0"/>
        </c:dLbls>
        <c:marker val="1"/>
        <c:smooth val="0"/>
        <c:axId val="262963584"/>
        <c:axId val="262875776"/>
      </c:lineChart>
      <c:dateAx>
        <c:axId val="262790144"/>
        <c:scaling>
          <c:orientation val="minMax"/>
        </c:scaling>
        <c:delete val="0"/>
        <c:axPos val="b"/>
        <c:numFmt formatCode="yy\-mm;@" sourceLinked="0"/>
        <c:majorTickMark val="out"/>
        <c:minorTickMark val="out"/>
        <c:tickLblPos val="low"/>
        <c:spPr>
          <a:ln w="3175">
            <a:solidFill>
              <a:sysClr val="windowText" lastClr="000000"/>
            </a:solidFill>
            <a:prstDash val="solid"/>
          </a:ln>
        </c:spPr>
        <c:txPr>
          <a:bodyPr rot="0" vert="horz"/>
          <a:lstStyle/>
          <a:p>
            <a:pPr>
              <a:defRPr sz="700">
                <a:latin typeface="Arial Narrow" panose="020B0606020202030204" pitchFamily="34" charset="0"/>
              </a:defRPr>
            </a:pPr>
            <a:endParaRPr lang="zh-CN"/>
          </a:p>
        </c:txPr>
        <c:crossAx val="262874240"/>
        <c:crosses val="autoZero"/>
        <c:auto val="0"/>
        <c:lblOffset val="0"/>
        <c:baseTimeUnit val="days"/>
      </c:dateAx>
      <c:valAx>
        <c:axId val="262874240"/>
        <c:scaling>
          <c:orientation val="minMax"/>
          <c:max val="1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sz="700">
                <a:solidFill>
                  <a:schemeClr val="tx1"/>
                </a:solidFill>
                <a:latin typeface="Arial Narrow" panose="020B0606020202030204" pitchFamily="34" charset="0"/>
              </a:defRPr>
            </a:pPr>
            <a:endParaRPr lang="zh-CN"/>
          </a:p>
        </c:txPr>
        <c:crossAx val="262790144"/>
        <c:crosses val="autoZero"/>
        <c:crossBetween val="between"/>
      </c:valAx>
      <c:valAx>
        <c:axId val="262875776"/>
        <c:scaling>
          <c:orientation val="minMax"/>
        </c:scaling>
        <c:delete val="0"/>
        <c:axPos val="r"/>
        <c:numFmt formatCode="#,##0.0_);[Red]\(#,##0.0\)" sourceLinked="0"/>
        <c:majorTickMark val="out"/>
        <c:minorTickMark val="none"/>
        <c:tickLblPos val="nextTo"/>
        <c:spPr>
          <a:ln w="3175">
            <a:solidFill>
              <a:sysClr val="windowText" lastClr="000000"/>
            </a:solidFill>
          </a:ln>
        </c:spPr>
        <c:txPr>
          <a:bodyPr/>
          <a:lstStyle/>
          <a:p>
            <a:pPr>
              <a:defRPr sz="700">
                <a:solidFill>
                  <a:schemeClr val="tx1"/>
                </a:solidFill>
                <a:latin typeface="Arial Narrow" panose="020B0606020202030204" pitchFamily="34" charset="0"/>
              </a:defRPr>
            </a:pPr>
            <a:endParaRPr lang="zh-CN"/>
          </a:p>
        </c:txPr>
        <c:crossAx val="262963584"/>
        <c:crosses val="max"/>
        <c:crossBetween val="between"/>
      </c:valAx>
      <c:dateAx>
        <c:axId val="262963584"/>
        <c:scaling>
          <c:orientation val="minMax"/>
        </c:scaling>
        <c:delete val="1"/>
        <c:axPos val="b"/>
        <c:numFmt formatCode="General" sourceLinked="1"/>
        <c:majorTickMark val="out"/>
        <c:minorTickMark val="none"/>
        <c:tickLblPos val="nextTo"/>
        <c:crossAx val="262875776"/>
        <c:crosses val="autoZero"/>
        <c:auto val="0"/>
        <c:lblOffset val="100"/>
        <c:baseTimeUnit val="years"/>
      </c:dateAx>
    </c:plotArea>
    <c:legend>
      <c:legendPos val="r"/>
      <c:layout>
        <c:manualLayout>
          <c:xMode val="edge"/>
          <c:yMode val="edge"/>
          <c:x val="0.15225"/>
          <c:y val="2.3337707786526686E-3"/>
          <c:w val="0.690571084864392"/>
          <c:h val="7.6589749198016921E-2"/>
        </c:manualLayout>
      </c:layout>
      <c:overlay val="0"/>
      <c:spPr>
        <a:noFill/>
        <a:ln w="3175">
          <a:noFill/>
          <a:prstDash val="solid"/>
        </a:ln>
      </c:spPr>
      <c:txPr>
        <a:bodyPr/>
        <a:lstStyle/>
        <a:p>
          <a:pPr>
            <a:defRPr sz="700" b="0">
              <a:latin typeface="华文楷体" panose="02010600040101010101" pitchFamily="2" charset="-122"/>
              <a:ea typeface="华文楷体" panose="02010600040101010101" pitchFamily="2" charset="-122"/>
            </a:defRPr>
          </a:pPr>
          <a:endParaRPr lang="zh-CN"/>
        </a:p>
      </c:txPr>
    </c:legend>
    <c:plotVisOnly val="1"/>
    <c:dispBlanksAs val="span"/>
    <c:showDLblsOverMax val="0"/>
  </c:chart>
  <c:spPr>
    <a:ln>
      <a:noFill/>
    </a:ln>
  </c:spPr>
  <c:txPr>
    <a:bodyPr/>
    <a:lstStyle/>
    <a:p>
      <a:pPr>
        <a:defRPr sz="10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0270669291338583"/>
          <c:w val="0.91250459317585297"/>
          <c:h val="0.81409120734908136"/>
        </c:manualLayout>
      </c:layout>
      <c:lineChart>
        <c:grouping val="standard"/>
        <c:varyColors val="0"/>
        <c:ser>
          <c:idx val="0"/>
          <c:order val="0"/>
          <c:tx>
            <c:strRef>
              <c:f>转债!$H$4</c:f>
              <c:strCache>
                <c:ptCount val="1"/>
                <c:pt idx="0">
                  <c:v>中证转债</c:v>
                </c:pt>
              </c:strCache>
            </c:strRef>
          </c:tx>
          <c:spPr>
            <a:ln w="25400">
              <a:solidFill>
                <a:srgbClr val="ED7D31">
                  <a:lumMod val="75000"/>
                </a:srgbClr>
              </a:solidFill>
            </a:ln>
          </c:spPr>
          <c:marker>
            <c:symbol val="none"/>
          </c:marker>
          <c:cat>
            <c:numRef>
              <c:f>转债!$G$5:$G$28</c:f>
              <c:numCache>
                <c:formatCode>yyyy\-mm\-dd</c:formatCode>
                <c:ptCount val="24"/>
                <c:pt idx="0">
                  <c:v>44043</c:v>
                </c:pt>
                <c:pt idx="1">
                  <c:v>44036</c:v>
                </c:pt>
                <c:pt idx="2">
                  <c:v>44029</c:v>
                </c:pt>
                <c:pt idx="3">
                  <c:v>44022</c:v>
                </c:pt>
                <c:pt idx="4">
                  <c:v>44015</c:v>
                </c:pt>
                <c:pt idx="5">
                  <c:v>44006</c:v>
                </c:pt>
                <c:pt idx="6">
                  <c:v>44001</c:v>
                </c:pt>
                <c:pt idx="7">
                  <c:v>43994</c:v>
                </c:pt>
                <c:pt idx="8">
                  <c:v>43987</c:v>
                </c:pt>
                <c:pt idx="9">
                  <c:v>43980</c:v>
                </c:pt>
                <c:pt idx="10">
                  <c:v>43973</c:v>
                </c:pt>
                <c:pt idx="11">
                  <c:v>43966</c:v>
                </c:pt>
                <c:pt idx="12">
                  <c:v>43959</c:v>
                </c:pt>
                <c:pt idx="13">
                  <c:v>43951</c:v>
                </c:pt>
                <c:pt idx="14">
                  <c:v>43945</c:v>
                </c:pt>
                <c:pt idx="15">
                  <c:v>43938</c:v>
                </c:pt>
                <c:pt idx="16">
                  <c:v>43931</c:v>
                </c:pt>
                <c:pt idx="17">
                  <c:v>43924</c:v>
                </c:pt>
                <c:pt idx="18">
                  <c:v>43917</c:v>
                </c:pt>
                <c:pt idx="19">
                  <c:v>43910</c:v>
                </c:pt>
                <c:pt idx="20">
                  <c:v>43903</c:v>
                </c:pt>
                <c:pt idx="21">
                  <c:v>43896</c:v>
                </c:pt>
                <c:pt idx="22">
                  <c:v>43889</c:v>
                </c:pt>
                <c:pt idx="23">
                  <c:v>43882</c:v>
                </c:pt>
              </c:numCache>
            </c:numRef>
          </c:cat>
          <c:val>
            <c:numRef>
              <c:f>转债!$H$5:$H$28</c:f>
              <c:numCache>
                <c:formatCode>General</c:formatCode>
                <c:ptCount val="24"/>
                <c:pt idx="0">
                  <c:v>1.1839688339228216</c:v>
                </c:pt>
                <c:pt idx="1">
                  <c:v>-1.0653307270229728</c:v>
                </c:pt>
                <c:pt idx="2">
                  <c:v>-1.5050702165995133</c:v>
                </c:pt>
                <c:pt idx="3">
                  <c:v>2.0513592259356894</c:v>
                </c:pt>
                <c:pt idx="4">
                  <c:v>-1.8665765367924747</c:v>
                </c:pt>
                <c:pt idx="5">
                  <c:v>-5.8826738200401296</c:v>
                </c:pt>
                <c:pt idx="6">
                  <c:v>-5.3976500992716892</c:v>
                </c:pt>
                <c:pt idx="7">
                  <c:v>-6.2153703781370417</c:v>
                </c:pt>
                <c:pt idx="8">
                  <c:v>-5.8902942899380477</c:v>
                </c:pt>
                <c:pt idx="9">
                  <c:v>-6.278472254773682</c:v>
                </c:pt>
                <c:pt idx="10">
                  <c:v>-7.0139846587331522</c:v>
                </c:pt>
                <c:pt idx="11">
                  <c:v>-4.6654545185411784</c:v>
                </c:pt>
                <c:pt idx="12">
                  <c:v>-3.173816065430779</c:v>
                </c:pt>
                <c:pt idx="13">
                  <c:v>-3.1324517162367171</c:v>
                </c:pt>
                <c:pt idx="14">
                  <c:v>-4.0192222241410391</c:v>
                </c:pt>
                <c:pt idx="15">
                  <c:v>-3.8306841235733247</c:v>
                </c:pt>
                <c:pt idx="16">
                  <c:v>-3.9070807048879774</c:v>
                </c:pt>
                <c:pt idx="17">
                  <c:v>-4.2267840876913265</c:v>
                </c:pt>
                <c:pt idx="18">
                  <c:v>-3.6490811988479366</c:v>
                </c:pt>
                <c:pt idx="19">
                  <c:v>-3.2087660622647229</c:v>
                </c:pt>
                <c:pt idx="20">
                  <c:v>-2.3042053206778657</c:v>
                </c:pt>
                <c:pt idx="21">
                  <c:v>0.1855776302476686</c:v>
                </c:pt>
                <c:pt idx="22">
                  <c:v>-2.013010170586127</c:v>
                </c:pt>
                <c:pt idx="23">
                  <c:v>0</c:v>
                </c:pt>
              </c:numCache>
            </c:numRef>
          </c:val>
          <c:smooth val="1"/>
          <c:extLst xmlns:c16r2="http://schemas.microsoft.com/office/drawing/2015/06/chart">
            <c:ext xmlns:c16="http://schemas.microsoft.com/office/drawing/2014/chart" uri="{C3380CC4-5D6E-409C-BE32-E72D297353CC}">
              <c16:uniqueId val="{00000000-4D9F-4ECF-B1A8-1EFC309130AD}"/>
            </c:ext>
          </c:extLst>
        </c:ser>
        <c:ser>
          <c:idx val="2"/>
          <c:order val="1"/>
          <c:tx>
            <c:strRef>
              <c:f>转债!$I$4</c:f>
              <c:strCache>
                <c:ptCount val="1"/>
                <c:pt idx="0">
                  <c:v>中债总净价</c:v>
                </c:pt>
              </c:strCache>
            </c:strRef>
          </c:tx>
          <c:spPr>
            <a:ln w="25400">
              <a:solidFill>
                <a:srgbClr val="ED7D31"/>
              </a:solidFill>
              <a:prstDash val="sysDash"/>
            </a:ln>
          </c:spPr>
          <c:marker>
            <c:symbol val="none"/>
          </c:marker>
          <c:cat>
            <c:numRef>
              <c:f>转债!$G$5:$G$28</c:f>
              <c:numCache>
                <c:formatCode>yyyy\-mm\-dd</c:formatCode>
                <c:ptCount val="24"/>
                <c:pt idx="0">
                  <c:v>44043</c:v>
                </c:pt>
                <c:pt idx="1">
                  <c:v>44036</c:v>
                </c:pt>
                <c:pt idx="2">
                  <c:v>44029</c:v>
                </c:pt>
                <c:pt idx="3">
                  <c:v>44022</c:v>
                </c:pt>
                <c:pt idx="4">
                  <c:v>44015</c:v>
                </c:pt>
                <c:pt idx="5">
                  <c:v>44006</c:v>
                </c:pt>
                <c:pt idx="6">
                  <c:v>44001</c:v>
                </c:pt>
                <c:pt idx="7">
                  <c:v>43994</c:v>
                </c:pt>
                <c:pt idx="8">
                  <c:v>43987</c:v>
                </c:pt>
                <c:pt idx="9">
                  <c:v>43980</c:v>
                </c:pt>
                <c:pt idx="10">
                  <c:v>43973</c:v>
                </c:pt>
                <c:pt idx="11">
                  <c:v>43966</c:v>
                </c:pt>
                <c:pt idx="12">
                  <c:v>43959</c:v>
                </c:pt>
                <c:pt idx="13">
                  <c:v>43951</c:v>
                </c:pt>
                <c:pt idx="14">
                  <c:v>43945</c:v>
                </c:pt>
                <c:pt idx="15">
                  <c:v>43938</c:v>
                </c:pt>
                <c:pt idx="16">
                  <c:v>43931</c:v>
                </c:pt>
                <c:pt idx="17">
                  <c:v>43924</c:v>
                </c:pt>
                <c:pt idx="18">
                  <c:v>43917</c:v>
                </c:pt>
                <c:pt idx="19">
                  <c:v>43910</c:v>
                </c:pt>
                <c:pt idx="20">
                  <c:v>43903</c:v>
                </c:pt>
                <c:pt idx="21">
                  <c:v>43896</c:v>
                </c:pt>
                <c:pt idx="22">
                  <c:v>43889</c:v>
                </c:pt>
                <c:pt idx="23">
                  <c:v>43882</c:v>
                </c:pt>
              </c:numCache>
            </c:numRef>
          </c:cat>
          <c:val>
            <c:numRef>
              <c:f>转债!$I$5:$I$28</c:f>
              <c:numCache>
                <c:formatCode>General</c:formatCode>
                <c:ptCount val="24"/>
                <c:pt idx="0">
                  <c:v>-1.4980383525829866</c:v>
                </c:pt>
                <c:pt idx="1">
                  <c:v>-0.95881457471517217</c:v>
                </c:pt>
                <c:pt idx="2">
                  <c:v>-1.602081530501831</c:v>
                </c:pt>
                <c:pt idx="3">
                  <c:v>-1.8300094539233758</c:v>
                </c:pt>
                <c:pt idx="4">
                  <c:v>-0.60241666958454898</c:v>
                </c:pt>
                <c:pt idx="5">
                  <c:v>-0.64318358785562246</c:v>
                </c:pt>
                <c:pt idx="6">
                  <c:v>-0.58515950786242055</c:v>
                </c:pt>
                <c:pt idx="7">
                  <c:v>-6.6944448612837881E-2</c:v>
                </c:pt>
                <c:pt idx="8">
                  <c:v>-0.53255434338582708</c:v>
                </c:pt>
                <c:pt idx="9">
                  <c:v>0.71079497991666241</c:v>
                </c:pt>
                <c:pt idx="10">
                  <c:v>1.4706103032758655</c:v>
                </c:pt>
                <c:pt idx="11">
                  <c:v>1.5211312694768386</c:v>
                </c:pt>
                <c:pt idx="12">
                  <c:v>1.9467245573579817</c:v>
                </c:pt>
                <c:pt idx="13">
                  <c:v>2.553559727286836</c:v>
                </c:pt>
                <c:pt idx="14">
                  <c:v>2.5895746734895031</c:v>
                </c:pt>
                <c:pt idx="15">
                  <c:v>2.2749441018022454</c:v>
                </c:pt>
                <c:pt idx="16">
                  <c:v>2.1632310742291549</c:v>
                </c:pt>
                <c:pt idx="17">
                  <c:v>1.3239661126034141</c:v>
                </c:pt>
                <c:pt idx="18">
                  <c:v>1.059022827806877</c:v>
                </c:pt>
                <c:pt idx="19">
                  <c:v>0.58766054579317828</c:v>
                </c:pt>
                <c:pt idx="20">
                  <c:v>0.74022385956837855</c:v>
                </c:pt>
                <c:pt idx="21">
                  <c:v>0.7789065795638539</c:v>
                </c:pt>
                <c:pt idx="22">
                  <c:v>0.41067042822773292</c:v>
                </c:pt>
                <c:pt idx="23">
                  <c:v>0</c:v>
                </c:pt>
              </c:numCache>
            </c:numRef>
          </c:val>
          <c:smooth val="1"/>
          <c:extLst xmlns:c16r2="http://schemas.microsoft.com/office/drawing/2015/06/chart">
            <c:ext xmlns:c16="http://schemas.microsoft.com/office/drawing/2014/chart" uri="{C3380CC4-5D6E-409C-BE32-E72D297353CC}">
              <c16:uniqueId val="{00000001-4D9F-4ECF-B1A8-1EFC309130AD}"/>
            </c:ext>
          </c:extLst>
        </c:ser>
        <c:ser>
          <c:idx val="1"/>
          <c:order val="2"/>
          <c:tx>
            <c:strRef>
              <c:f>转债!$J$4</c:f>
              <c:strCache>
                <c:ptCount val="1"/>
                <c:pt idx="0">
                  <c:v>沪深300</c:v>
                </c:pt>
              </c:strCache>
            </c:strRef>
          </c:tx>
          <c:spPr>
            <a:ln w="25400">
              <a:solidFill>
                <a:sysClr val="windowText" lastClr="000000">
                  <a:lumMod val="50000"/>
                  <a:lumOff val="50000"/>
                </a:sysClr>
              </a:solidFill>
              <a:prstDash val="sysDash"/>
            </a:ln>
          </c:spPr>
          <c:marker>
            <c:symbol val="none"/>
          </c:marker>
          <c:cat>
            <c:numRef>
              <c:f>转债!$G$5:$G$28</c:f>
              <c:numCache>
                <c:formatCode>yyyy\-mm\-dd</c:formatCode>
                <c:ptCount val="24"/>
                <c:pt idx="0">
                  <c:v>44043</c:v>
                </c:pt>
                <c:pt idx="1">
                  <c:v>44036</c:v>
                </c:pt>
                <c:pt idx="2">
                  <c:v>44029</c:v>
                </c:pt>
                <c:pt idx="3">
                  <c:v>44022</c:v>
                </c:pt>
                <c:pt idx="4">
                  <c:v>44015</c:v>
                </c:pt>
                <c:pt idx="5">
                  <c:v>44006</c:v>
                </c:pt>
                <c:pt idx="6">
                  <c:v>44001</c:v>
                </c:pt>
                <c:pt idx="7">
                  <c:v>43994</c:v>
                </c:pt>
                <c:pt idx="8">
                  <c:v>43987</c:v>
                </c:pt>
                <c:pt idx="9">
                  <c:v>43980</c:v>
                </c:pt>
                <c:pt idx="10">
                  <c:v>43973</c:v>
                </c:pt>
                <c:pt idx="11">
                  <c:v>43966</c:v>
                </c:pt>
                <c:pt idx="12">
                  <c:v>43959</c:v>
                </c:pt>
                <c:pt idx="13">
                  <c:v>43951</c:v>
                </c:pt>
                <c:pt idx="14">
                  <c:v>43945</c:v>
                </c:pt>
                <c:pt idx="15">
                  <c:v>43938</c:v>
                </c:pt>
                <c:pt idx="16">
                  <c:v>43931</c:v>
                </c:pt>
                <c:pt idx="17">
                  <c:v>43924</c:v>
                </c:pt>
                <c:pt idx="18">
                  <c:v>43917</c:v>
                </c:pt>
                <c:pt idx="19">
                  <c:v>43910</c:v>
                </c:pt>
                <c:pt idx="20">
                  <c:v>43903</c:v>
                </c:pt>
                <c:pt idx="21">
                  <c:v>43896</c:v>
                </c:pt>
                <c:pt idx="22">
                  <c:v>43889</c:v>
                </c:pt>
                <c:pt idx="23">
                  <c:v>43882</c:v>
                </c:pt>
              </c:numCache>
            </c:numRef>
          </c:cat>
          <c:val>
            <c:numRef>
              <c:f>转债!$J$5:$J$28</c:f>
              <c:numCache>
                <c:formatCode>General</c:formatCode>
                <c:ptCount val="24"/>
                <c:pt idx="0">
                  <c:v>13.147540072572262</c:v>
                </c:pt>
                <c:pt idx="1">
                  <c:v>8.5817841290049444</c:v>
                </c:pt>
                <c:pt idx="2">
                  <c:v>9.5243119377818495</c:v>
                </c:pt>
                <c:pt idx="3">
                  <c:v>14.547401159125496</c:v>
                </c:pt>
                <c:pt idx="4">
                  <c:v>6.5093585108513263</c:v>
                </c:pt>
                <c:pt idx="5">
                  <c:v>-0.2530624062430209</c:v>
                </c:pt>
                <c:pt idx="6">
                  <c:v>-1.2237840392108068</c:v>
                </c:pt>
                <c:pt idx="7">
                  <c:v>-3.5283225026456977</c:v>
                </c:pt>
                <c:pt idx="8">
                  <c:v>-3.5724725034301241</c:v>
                </c:pt>
                <c:pt idx="9">
                  <c:v>-6.8072722088300841</c:v>
                </c:pt>
                <c:pt idx="10">
                  <c:v>-7.8425608080105791</c:v>
                </c:pt>
                <c:pt idx="11">
                  <c:v>-5.703698114440714</c:v>
                </c:pt>
                <c:pt idx="12">
                  <c:v>-4.479311591594759</c:v>
                </c:pt>
                <c:pt idx="13">
                  <c:v>-5.7094506281892059</c:v>
                </c:pt>
                <c:pt idx="14">
                  <c:v>-8.495457863824873</c:v>
                </c:pt>
                <c:pt idx="15">
                  <c:v>-7.4708741938739003</c:v>
                </c:pt>
                <c:pt idx="16">
                  <c:v>-9.1652726601144323</c:v>
                </c:pt>
                <c:pt idx="17">
                  <c:v>-10.513869619119253</c:v>
                </c:pt>
                <c:pt idx="18">
                  <c:v>-10.589970532043424</c:v>
                </c:pt>
                <c:pt idx="19">
                  <c:v>-11.959695387165992</c:v>
                </c:pt>
                <c:pt idx="20">
                  <c:v>-6.1255113670225958</c:v>
                </c:pt>
                <c:pt idx="21">
                  <c:v>-0.26468552053249272</c:v>
                </c:pt>
                <c:pt idx="22">
                  <c:v>-5.0474030509241157</c:v>
                </c:pt>
                <c:pt idx="23">
                  <c:v>0</c:v>
                </c:pt>
              </c:numCache>
            </c:numRef>
          </c:val>
          <c:smooth val="1"/>
          <c:extLst xmlns:c16r2="http://schemas.microsoft.com/office/drawing/2015/06/chart">
            <c:ext xmlns:c16="http://schemas.microsoft.com/office/drawing/2014/chart" uri="{C3380CC4-5D6E-409C-BE32-E72D297353CC}">
              <c16:uniqueId val="{00000002-4D9F-4ECF-B1A8-1EFC309130AD}"/>
            </c:ext>
          </c:extLst>
        </c:ser>
        <c:dLbls>
          <c:showLegendKey val="0"/>
          <c:showVal val="0"/>
          <c:showCatName val="0"/>
          <c:showSerName val="0"/>
          <c:showPercent val="0"/>
          <c:showBubbleSize val="0"/>
        </c:dLbls>
        <c:marker val="1"/>
        <c:smooth val="0"/>
        <c:axId val="263505792"/>
        <c:axId val="263507328"/>
      </c:lineChart>
      <c:dateAx>
        <c:axId val="263505792"/>
        <c:scaling>
          <c:orientation val="minMax"/>
        </c:scaling>
        <c:delete val="0"/>
        <c:axPos val="b"/>
        <c:numFmt formatCode="mm\-dd" sourceLinked="0"/>
        <c:majorTickMark val="out"/>
        <c:minorTickMark val="out"/>
        <c:tickLblPos val="low"/>
        <c:spPr>
          <a:ln w="3175">
            <a:solidFill>
              <a:sysClr val="windowText" lastClr="000000"/>
            </a:solidFill>
            <a:prstDash val="solid"/>
          </a:ln>
        </c:spPr>
        <c:txPr>
          <a:bodyPr rot="0" vert="horz"/>
          <a:lstStyle/>
          <a:p>
            <a:pPr>
              <a:defRPr sz="700">
                <a:latin typeface="Arial Narrow" panose="020B0606020202030204" pitchFamily="34" charset="0"/>
              </a:defRPr>
            </a:pPr>
            <a:endParaRPr lang="zh-CN"/>
          </a:p>
        </c:txPr>
        <c:crossAx val="263507328"/>
        <c:crosses val="autoZero"/>
        <c:auto val="0"/>
        <c:lblOffset val="0"/>
        <c:baseTimeUnit val="days"/>
        <c:majorUnit val="14"/>
        <c:majorTimeUnit val="days"/>
      </c:dateAx>
      <c:valAx>
        <c:axId val="263507328"/>
        <c:scaling>
          <c:orientation val="minMax"/>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sz="700">
                <a:solidFill>
                  <a:schemeClr val="tx1"/>
                </a:solidFill>
                <a:latin typeface="Arial Narrow" panose="020B0606020202030204" pitchFamily="34" charset="0"/>
              </a:defRPr>
            </a:pPr>
            <a:endParaRPr lang="zh-CN"/>
          </a:p>
        </c:txPr>
        <c:crossAx val="263505792"/>
        <c:crosses val="autoZero"/>
        <c:crossBetween val="between"/>
      </c:valAx>
    </c:plotArea>
    <c:legend>
      <c:legendPos val="r"/>
      <c:layout>
        <c:manualLayout>
          <c:xMode val="edge"/>
          <c:yMode val="edge"/>
          <c:x val="9.9472222222222226E-2"/>
          <c:y val="2.3337707786526686E-3"/>
          <c:w val="0.86834886264216971"/>
          <c:h val="8.1219378827646557E-2"/>
        </c:manualLayout>
      </c:layout>
      <c:overlay val="0"/>
      <c:spPr>
        <a:noFill/>
        <a:ln w="3175">
          <a:noFill/>
          <a:prstDash val="solid"/>
        </a:ln>
      </c:spPr>
      <c:txPr>
        <a:bodyPr/>
        <a:lstStyle/>
        <a:p>
          <a:pPr>
            <a:defRPr sz="700" b="0">
              <a:latin typeface="华文楷体" panose="02010600040101010101" pitchFamily="2" charset="-122"/>
              <a:ea typeface="华文楷体" panose="02010600040101010101" pitchFamily="2" charset="-122"/>
            </a:defRPr>
          </a:pPr>
          <a:endParaRPr lang="zh-CN"/>
        </a:p>
      </c:txPr>
    </c:legend>
    <c:plotVisOnly val="1"/>
    <c:dispBlanksAs val="span"/>
    <c:showDLblsOverMax val="0"/>
  </c:chart>
  <c:spPr>
    <a:ln>
      <a:noFill/>
    </a:ln>
  </c:spPr>
  <c:txPr>
    <a:bodyPr/>
    <a:lstStyle/>
    <a:p>
      <a:pPr>
        <a:defRPr sz="10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1196595217264509"/>
          <c:w val="0.92723381452318465"/>
          <c:h val="0.81409120734908136"/>
        </c:manualLayout>
      </c:layout>
      <c:lineChart>
        <c:grouping val="standard"/>
        <c:varyColors val="0"/>
        <c:ser>
          <c:idx val="0"/>
          <c:order val="0"/>
          <c:tx>
            <c:strRef>
              <c:f>库存!$H$1</c:f>
              <c:strCache>
                <c:ptCount val="1"/>
                <c:pt idx="0">
                  <c:v>2018</c:v>
                </c:pt>
              </c:strCache>
            </c:strRef>
          </c:tx>
          <c:spPr>
            <a:ln w="28575">
              <a:solidFill>
                <a:srgbClr val="E7E6E6">
                  <a:lumMod val="75000"/>
                </a:srgbClr>
              </a:solidFill>
              <a:prstDash val="solid"/>
            </a:ln>
          </c:spPr>
          <c:marker>
            <c:symbol val="none"/>
          </c:marker>
          <c:cat>
            <c:numRef>
              <c:f>库存!$G$2:$G$366</c:f>
              <c:numCache>
                <c:formatCode>m/d/yyyy</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库存!$H$2:$H$366</c:f>
              <c:numCache>
                <c:formatCode>General</c:formatCode>
                <c:ptCount val="365"/>
                <c:pt idx="0">
                  <c:v>#N/A</c:v>
                </c:pt>
                <c:pt idx="1">
                  <c:v>#N/A</c:v>
                </c:pt>
                <c:pt idx="2">
                  <c:v>#N/A</c:v>
                </c:pt>
                <c:pt idx="3">
                  <c:v>#N/A</c:v>
                </c:pt>
                <c:pt idx="4">
                  <c:v>835.09839999999997</c:v>
                </c:pt>
                <c:pt idx="5">
                  <c:v>#N/A</c:v>
                </c:pt>
                <c:pt idx="6">
                  <c:v>#N/A</c:v>
                </c:pt>
                <c:pt idx="7">
                  <c:v>#N/A</c:v>
                </c:pt>
                <c:pt idx="8">
                  <c:v>#N/A</c:v>
                </c:pt>
                <c:pt idx="9">
                  <c:v>#N/A</c:v>
                </c:pt>
                <c:pt idx="10">
                  <c:v>#N/A</c:v>
                </c:pt>
                <c:pt idx="11">
                  <c:v>890.60569999999996</c:v>
                </c:pt>
                <c:pt idx="12">
                  <c:v>#N/A</c:v>
                </c:pt>
                <c:pt idx="13">
                  <c:v>#N/A</c:v>
                </c:pt>
                <c:pt idx="14">
                  <c:v>#N/A</c:v>
                </c:pt>
                <c:pt idx="15">
                  <c:v>#N/A</c:v>
                </c:pt>
                <c:pt idx="16">
                  <c:v>#N/A</c:v>
                </c:pt>
                <c:pt idx="17">
                  <c:v>#N/A</c:v>
                </c:pt>
                <c:pt idx="18">
                  <c:v>932.39099999999996</c:v>
                </c:pt>
                <c:pt idx="19">
                  <c:v>#N/A</c:v>
                </c:pt>
                <c:pt idx="20">
                  <c:v>#N/A</c:v>
                </c:pt>
                <c:pt idx="21">
                  <c:v>#N/A</c:v>
                </c:pt>
                <c:pt idx="22">
                  <c:v>#N/A</c:v>
                </c:pt>
                <c:pt idx="23">
                  <c:v>#N/A</c:v>
                </c:pt>
                <c:pt idx="24">
                  <c:v>#N/A</c:v>
                </c:pt>
                <c:pt idx="25">
                  <c:v>972.77679999999998</c:v>
                </c:pt>
                <c:pt idx="26">
                  <c:v>#N/A</c:v>
                </c:pt>
                <c:pt idx="27">
                  <c:v>#N/A</c:v>
                </c:pt>
                <c:pt idx="28">
                  <c:v>#N/A</c:v>
                </c:pt>
                <c:pt idx="29">
                  <c:v>#N/A</c:v>
                </c:pt>
                <c:pt idx="30">
                  <c:v>#N/A</c:v>
                </c:pt>
                <c:pt idx="31">
                  <c:v>#N/A</c:v>
                </c:pt>
                <c:pt idx="32">
                  <c:v>1075.2798</c:v>
                </c:pt>
                <c:pt idx="33">
                  <c:v>#N/A</c:v>
                </c:pt>
                <c:pt idx="34">
                  <c:v>#N/A</c:v>
                </c:pt>
                <c:pt idx="35">
                  <c:v>#N/A</c:v>
                </c:pt>
                <c:pt idx="36">
                  <c:v>#N/A</c:v>
                </c:pt>
                <c:pt idx="37">
                  <c:v>#N/A</c:v>
                </c:pt>
                <c:pt idx="38">
                  <c:v>#N/A</c:v>
                </c:pt>
                <c:pt idx="39">
                  <c:v>1218.9889000000001</c:v>
                </c:pt>
                <c:pt idx="40">
                  <c:v>#N/A</c:v>
                </c:pt>
                <c:pt idx="41">
                  <c:v>#N/A</c:v>
                </c:pt>
                <c:pt idx="42">
                  <c:v>#N/A</c:v>
                </c:pt>
                <c:pt idx="43">
                  <c:v>#N/A</c:v>
                </c:pt>
                <c:pt idx="44">
                  <c:v>#N/A</c:v>
                </c:pt>
                <c:pt idx="45">
                  <c:v>#N/A</c:v>
                </c:pt>
                <c:pt idx="46">
                  <c:v>#N/A</c:v>
                </c:pt>
                <c:pt idx="47">
                  <c:v>#N/A</c:v>
                </c:pt>
                <c:pt idx="48">
                  <c:v>#N/A</c:v>
                </c:pt>
                <c:pt idx="49">
                  <c:v>#N/A</c:v>
                </c:pt>
                <c:pt idx="50">
                  <c:v>#N/A</c:v>
                </c:pt>
                <c:pt idx="51">
                  <c:v>#N/A</c:v>
                </c:pt>
                <c:pt idx="52">
                  <c:v>#N/A</c:v>
                </c:pt>
                <c:pt idx="53">
                  <c:v>1616.0438999999999</c:v>
                </c:pt>
                <c:pt idx="54">
                  <c:v>#N/A</c:v>
                </c:pt>
                <c:pt idx="55">
                  <c:v>#N/A</c:v>
                </c:pt>
                <c:pt idx="56">
                  <c:v>#N/A</c:v>
                </c:pt>
                <c:pt idx="57">
                  <c:v>#N/A</c:v>
                </c:pt>
                <c:pt idx="58">
                  <c:v>#N/A</c:v>
                </c:pt>
                <c:pt idx="59">
                  <c:v>#N/A</c:v>
                </c:pt>
                <c:pt idx="60">
                  <c:v>1851.7684999999999</c:v>
                </c:pt>
                <c:pt idx="61">
                  <c:v>#N/A</c:v>
                </c:pt>
                <c:pt idx="62">
                  <c:v>#N/A</c:v>
                </c:pt>
                <c:pt idx="63">
                  <c:v>#N/A</c:v>
                </c:pt>
                <c:pt idx="64">
                  <c:v>#N/A</c:v>
                </c:pt>
                <c:pt idx="65">
                  <c:v>#N/A</c:v>
                </c:pt>
                <c:pt idx="66">
                  <c:v>#N/A</c:v>
                </c:pt>
                <c:pt idx="67">
                  <c:v>1965.1591000000001</c:v>
                </c:pt>
                <c:pt idx="68">
                  <c:v>#N/A</c:v>
                </c:pt>
                <c:pt idx="69">
                  <c:v>#N/A</c:v>
                </c:pt>
                <c:pt idx="70">
                  <c:v>#N/A</c:v>
                </c:pt>
                <c:pt idx="71">
                  <c:v>#N/A</c:v>
                </c:pt>
                <c:pt idx="72">
                  <c:v>#N/A</c:v>
                </c:pt>
                <c:pt idx="73">
                  <c:v>#N/A</c:v>
                </c:pt>
                <c:pt idx="74">
                  <c:v>1947.9930999999999</c:v>
                </c:pt>
                <c:pt idx="75">
                  <c:v>#N/A</c:v>
                </c:pt>
                <c:pt idx="76">
                  <c:v>#N/A</c:v>
                </c:pt>
                <c:pt idx="77">
                  <c:v>#N/A</c:v>
                </c:pt>
                <c:pt idx="78">
                  <c:v>#N/A</c:v>
                </c:pt>
                <c:pt idx="79">
                  <c:v>#N/A</c:v>
                </c:pt>
                <c:pt idx="80">
                  <c:v>#N/A</c:v>
                </c:pt>
                <c:pt idx="81">
                  <c:v>1877.1077</c:v>
                </c:pt>
                <c:pt idx="82">
                  <c:v>#N/A</c:v>
                </c:pt>
                <c:pt idx="83">
                  <c:v>#N/A</c:v>
                </c:pt>
                <c:pt idx="84">
                  <c:v>#N/A</c:v>
                </c:pt>
                <c:pt idx="85">
                  <c:v>#N/A</c:v>
                </c:pt>
                <c:pt idx="86">
                  <c:v>#N/A</c:v>
                </c:pt>
                <c:pt idx="87">
                  <c:v>#N/A</c:v>
                </c:pt>
                <c:pt idx="88">
                  <c:v>1797.1663000000001</c:v>
                </c:pt>
                <c:pt idx="89">
                  <c:v>#N/A</c:v>
                </c:pt>
                <c:pt idx="90">
                  <c:v>#N/A</c:v>
                </c:pt>
                <c:pt idx="91">
                  <c:v>#N/A</c:v>
                </c:pt>
                <c:pt idx="92">
                  <c:v>#N/A</c:v>
                </c:pt>
                <c:pt idx="93">
                  <c:v>#N/A</c:v>
                </c:pt>
                <c:pt idx="94">
                  <c:v>1680.1645000000001</c:v>
                </c:pt>
                <c:pt idx="95">
                  <c:v>#N/A</c:v>
                </c:pt>
                <c:pt idx="96">
                  <c:v>#N/A</c:v>
                </c:pt>
                <c:pt idx="97">
                  <c:v>#N/A</c:v>
                </c:pt>
                <c:pt idx="98">
                  <c:v>#N/A</c:v>
                </c:pt>
                <c:pt idx="99">
                  <c:v>#N/A</c:v>
                </c:pt>
                <c:pt idx="100">
                  <c:v>#N/A</c:v>
                </c:pt>
                <c:pt idx="101">
                  <c:v>#N/A</c:v>
                </c:pt>
                <c:pt idx="102">
                  <c:v>1593.9454000000001</c:v>
                </c:pt>
                <c:pt idx="103">
                  <c:v>#N/A</c:v>
                </c:pt>
                <c:pt idx="104">
                  <c:v>#N/A</c:v>
                </c:pt>
                <c:pt idx="105">
                  <c:v>#N/A</c:v>
                </c:pt>
                <c:pt idx="106">
                  <c:v>#N/A</c:v>
                </c:pt>
                <c:pt idx="107">
                  <c:v>#N/A</c:v>
                </c:pt>
                <c:pt idx="108">
                  <c:v>#N/A</c:v>
                </c:pt>
                <c:pt idx="109">
                  <c:v>1500.1545000000001</c:v>
                </c:pt>
                <c:pt idx="110">
                  <c:v>#N/A</c:v>
                </c:pt>
                <c:pt idx="111">
                  <c:v>#N/A</c:v>
                </c:pt>
                <c:pt idx="112">
                  <c:v>#N/A</c:v>
                </c:pt>
                <c:pt idx="113">
                  <c:v>#N/A</c:v>
                </c:pt>
                <c:pt idx="114">
                  <c:v>#N/A</c:v>
                </c:pt>
                <c:pt idx="115">
                  <c:v>#N/A</c:v>
                </c:pt>
                <c:pt idx="116">
                  <c:v>1415.1107</c:v>
                </c:pt>
                <c:pt idx="117">
                  <c:v>#N/A</c:v>
                </c:pt>
                <c:pt idx="118">
                  <c:v>#N/A</c:v>
                </c:pt>
                <c:pt idx="119">
                  <c:v>#N/A</c:v>
                </c:pt>
                <c:pt idx="120">
                  <c:v>#N/A</c:v>
                </c:pt>
                <c:pt idx="121">
                  <c:v>#N/A</c:v>
                </c:pt>
                <c:pt idx="122">
                  <c:v>#N/A</c:v>
                </c:pt>
                <c:pt idx="123">
                  <c:v>1348.7941000000001</c:v>
                </c:pt>
                <c:pt idx="124">
                  <c:v>#N/A</c:v>
                </c:pt>
                <c:pt idx="125">
                  <c:v>#N/A</c:v>
                </c:pt>
                <c:pt idx="126">
                  <c:v>#N/A</c:v>
                </c:pt>
                <c:pt idx="127">
                  <c:v>#N/A</c:v>
                </c:pt>
                <c:pt idx="128">
                  <c:v>#N/A</c:v>
                </c:pt>
                <c:pt idx="129">
                  <c:v>#N/A</c:v>
                </c:pt>
                <c:pt idx="130">
                  <c:v>1270.1989000000001</c:v>
                </c:pt>
                <c:pt idx="131">
                  <c:v>#N/A</c:v>
                </c:pt>
                <c:pt idx="132">
                  <c:v>#N/A</c:v>
                </c:pt>
                <c:pt idx="133">
                  <c:v>#N/A</c:v>
                </c:pt>
                <c:pt idx="134">
                  <c:v>#N/A</c:v>
                </c:pt>
                <c:pt idx="135">
                  <c:v>#N/A</c:v>
                </c:pt>
                <c:pt idx="136">
                  <c:v>#N/A</c:v>
                </c:pt>
                <c:pt idx="137">
                  <c:v>1210.9458999999999</c:v>
                </c:pt>
                <c:pt idx="138">
                  <c:v>#N/A</c:v>
                </c:pt>
                <c:pt idx="139">
                  <c:v>#N/A</c:v>
                </c:pt>
                <c:pt idx="140">
                  <c:v>#N/A</c:v>
                </c:pt>
                <c:pt idx="141">
                  <c:v>#N/A</c:v>
                </c:pt>
                <c:pt idx="142">
                  <c:v>#N/A</c:v>
                </c:pt>
                <c:pt idx="143">
                  <c:v>#N/A</c:v>
                </c:pt>
                <c:pt idx="144">
                  <c:v>1133.2660000000001</c:v>
                </c:pt>
                <c:pt idx="145">
                  <c:v>#N/A</c:v>
                </c:pt>
                <c:pt idx="146">
                  <c:v>#N/A</c:v>
                </c:pt>
                <c:pt idx="147">
                  <c:v>#N/A</c:v>
                </c:pt>
                <c:pt idx="148">
                  <c:v>#N/A</c:v>
                </c:pt>
                <c:pt idx="149">
                  <c:v>#N/A</c:v>
                </c:pt>
                <c:pt idx="150">
                  <c:v>#N/A</c:v>
                </c:pt>
                <c:pt idx="151">
                  <c:v>1075.385</c:v>
                </c:pt>
                <c:pt idx="152">
                  <c:v>#N/A</c:v>
                </c:pt>
                <c:pt idx="153">
                  <c:v>#N/A</c:v>
                </c:pt>
                <c:pt idx="154">
                  <c:v>#N/A</c:v>
                </c:pt>
                <c:pt idx="155">
                  <c:v>#N/A</c:v>
                </c:pt>
                <c:pt idx="156">
                  <c:v>#N/A</c:v>
                </c:pt>
                <c:pt idx="157">
                  <c:v>#N/A</c:v>
                </c:pt>
                <c:pt idx="158">
                  <c:v>1035.886</c:v>
                </c:pt>
                <c:pt idx="159">
                  <c:v>#N/A</c:v>
                </c:pt>
                <c:pt idx="160">
                  <c:v>#N/A</c:v>
                </c:pt>
                <c:pt idx="161">
                  <c:v>#N/A</c:v>
                </c:pt>
                <c:pt idx="162">
                  <c:v>#N/A</c:v>
                </c:pt>
                <c:pt idx="163">
                  <c:v>#N/A</c:v>
                </c:pt>
                <c:pt idx="164">
                  <c:v>#N/A</c:v>
                </c:pt>
                <c:pt idx="165">
                  <c:v>998.59460000000001</c:v>
                </c:pt>
                <c:pt idx="166">
                  <c:v>#N/A</c:v>
                </c:pt>
                <c:pt idx="167">
                  <c:v>#N/A</c:v>
                </c:pt>
                <c:pt idx="168">
                  <c:v>#N/A</c:v>
                </c:pt>
                <c:pt idx="169">
                  <c:v>#N/A</c:v>
                </c:pt>
                <c:pt idx="170">
                  <c:v>#N/A</c:v>
                </c:pt>
                <c:pt idx="171">
                  <c:v>#N/A</c:v>
                </c:pt>
                <c:pt idx="172">
                  <c:v>1009.6992</c:v>
                </c:pt>
                <c:pt idx="173">
                  <c:v>#N/A</c:v>
                </c:pt>
                <c:pt idx="174">
                  <c:v>#N/A</c:v>
                </c:pt>
                <c:pt idx="175">
                  <c:v>#N/A</c:v>
                </c:pt>
                <c:pt idx="176">
                  <c:v>#N/A</c:v>
                </c:pt>
                <c:pt idx="177">
                  <c:v>#N/A</c:v>
                </c:pt>
                <c:pt idx="178">
                  <c:v>#N/A</c:v>
                </c:pt>
                <c:pt idx="179">
                  <c:v>1025.2517</c:v>
                </c:pt>
                <c:pt idx="180">
                  <c:v>#N/A</c:v>
                </c:pt>
                <c:pt idx="181">
                  <c:v>#N/A</c:v>
                </c:pt>
                <c:pt idx="182">
                  <c:v>#N/A</c:v>
                </c:pt>
                <c:pt idx="183">
                  <c:v>#N/A</c:v>
                </c:pt>
                <c:pt idx="184">
                  <c:v>#N/A</c:v>
                </c:pt>
                <c:pt idx="185">
                  <c:v>#N/A</c:v>
                </c:pt>
                <c:pt idx="186">
                  <c:v>1009.8008</c:v>
                </c:pt>
                <c:pt idx="187">
                  <c:v>#N/A</c:v>
                </c:pt>
                <c:pt idx="188">
                  <c:v>#N/A</c:v>
                </c:pt>
                <c:pt idx="189">
                  <c:v>#N/A</c:v>
                </c:pt>
                <c:pt idx="190">
                  <c:v>#N/A</c:v>
                </c:pt>
                <c:pt idx="191">
                  <c:v>#N/A</c:v>
                </c:pt>
                <c:pt idx="192">
                  <c:v>#N/A</c:v>
                </c:pt>
                <c:pt idx="193">
                  <c:v>996.97540000000004</c:v>
                </c:pt>
                <c:pt idx="194">
                  <c:v>#N/A</c:v>
                </c:pt>
                <c:pt idx="195">
                  <c:v>#N/A</c:v>
                </c:pt>
                <c:pt idx="196">
                  <c:v>#N/A</c:v>
                </c:pt>
                <c:pt idx="197">
                  <c:v>#N/A</c:v>
                </c:pt>
                <c:pt idx="198">
                  <c:v>#N/A</c:v>
                </c:pt>
                <c:pt idx="199">
                  <c:v>#N/A</c:v>
                </c:pt>
                <c:pt idx="200">
                  <c:v>999.93079999999998</c:v>
                </c:pt>
                <c:pt idx="201">
                  <c:v>#N/A</c:v>
                </c:pt>
                <c:pt idx="202">
                  <c:v>#N/A</c:v>
                </c:pt>
                <c:pt idx="203">
                  <c:v>#N/A</c:v>
                </c:pt>
                <c:pt idx="204">
                  <c:v>#N/A</c:v>
                </c:pt>
                <c:pt idx="205">
                  <c:v>#N/A</c:v>
                </c:pt>
                <c:pt idx="206">
                  <c:v>#N/A</c:v>
                </c:pt>
                <c:pt idx="207">
                  <c:v>987.18</c:v>
                </c:pt>
                <c:pt idx="208">
                  <c:v>#N/A</c:v>
                </c:pt>
                <c:pt idx="209">
                  <c:v>#N/A</c:v>
                </c:pt>
                <c:pt idx="210">
                  <c:v>#N/A</c:v>
                </c:pt>
                <c:pt idx="211">
                  <c:v>#N/A</c:v>
                </c:pt>
                <c:pt idx="212">
                  <c:v>#N/A</c:v>
                </c:pt>
                <c:pt idx="213">
                  <c:v>#N/A</c:v>
                </c:pt>
                <c:pt idx="214">
                  <c:v>1001.82</c:v>
                </c:pt>
                <c:pt idx="215">
                  <c:v>#N/A</c:v>
                </c:pt>
                <c:pt idx="216">
                  <c:v>#N/A</c:v>
                </c:pt>
                <c:pt idx="217">
                  <c:v>#N/A</c:v>
                </c:pt>
                <c:pt idx="218">
                  <c:v>#N/A</c:v>
                </c:pt>
                <c:pt idx="219">
                  <c:v>#N/A</c:v>
                </c:pt>
                <c:pt idx="220">
                  <c:v>#N/A</c:v>
                </c:pt>
                <c:pt idx="221">
                  <c:v>1001.2</c:v>
                </c:pt>
                <c:pt idx="222">
                  <c:v>#N/A</c:v>
                </c:pt>
                <c:pt idx="223">
                  <c:v>#N/A</c:v>
                </c:pt>
                <c:pt idx="224">
                  <c:v>#N/A</c:v>
                </c:pt>
                <c:pt idx="225">
                  <c:v>#N/A</c:v>
                </c:pt>
                <c:pt idx="226">
                  <c:v>#N/A</c:v>
                </c:pt>
                <c:pt idx="227">
                  <c:v>#N/A</c:v>
                </c:pt>
                <c:pt idx="228">
                  <c:v>1008.52</c:v>
                </c:pt>
                <c:pt idx="229">
                  <c:v>#N/A</c:v>
                </c:pt>
                <c:pt idx="230">
                  <c:v>#N/A</c:v>
                </c:pt>
                <c:pt idx="231">
                  <c:v>#N/A</c:v>
                </c:pt>
                <c:pt idx="232">
                  <c:v>#N/A</c:v>
                </c:pt>
                <c:pt idx="233">
                  <c:v>#N/A</c:v>
                </c:pt>
                <c:pt idx="234">
                  <c:v>#N/A</c:v>
                </c:pt>
                <c:pt idx="235">
                  <c:v>1004.18</c:v>
                </c:pt>
                <c:pt idx="236">
                  <c:v>#N/A</c:v>
                </c:pt>
                <c:pt idx="237">
                  <c:v>#N/A</c:v>
                </c:pt>
                <c:pt idx="238">
                  <c:v>#N/A</c:v>
                </c:pt>
                <c:pt idx="239">
                  <c:v>#N/A</c:v>
                </c:pt>
                <c:pt idx="240">
                  <c:v>#N/A</c:v>
                </c:pt>
                <c:pt idx="241">
                  <c:v>#N/A</c:v>
                </c:pt>
                <c:pt idx="242">
                  <c:v>995.88</c:v>
                </c:pt>
                <c:pt idx="243">
                  <c:v>#N/A</c:v>
                </c:pt>
                <c:pt idx="244">
                  <c:v>#N/A</c:v>
                </c:pt>
                <c:pt idx="245">
                  <c:v>#N/A</c:v>
                </c:pt>
                <c:pt idx="246">
                  <c:v>#N/A</c:v>
                </c:pt>
                <c:pt idx="247">
                  <c:v>#N/A</c:v>
                </c:pt>
                <c:pt idx="248">
                  <c:v>#N/A</c:v>
                </c:pt>
                <c:pt idx="249">
                  <c:v>999.49</c:v>
                </c:pt>
                <c:pt idx="250">
                  <c:v>#N/A</c:v>
                </c:pt>
                <c:pt idx="251">
                  <c:v>#N/A</c:v>
                </c:pt>
                <c:pt idx="252">
                  <c:v>#N/A</c:v>
                </c:pt>
                <c:pt idx="253">
                  <c:v>#N/A</c:v>
                </c:pt>
                <c:pt idx="254">
                  <c:v>#N/A</c:v>
                </c:pt>
                <c:pt idx="255">
                  <c:v>#N/A</c:v>
                </c:pt>
                <c:pt idx="256">
                  <c:v>1001.47</c:v>
                </c:pt>
                <c:pt idx="257">
                  <c:v>#N/A</c:v>
                </c:pt>
                <c:pt idx="258">
                  <c:v>#N/A</c:v>
                </c:pt>
                <c:pt idx="259">
                  <c:v>#N/A</c:v>
                </c:pt>
                <c:pt idx="260">
                  <c:v>#N/A</c:v>
                </c:pt>
                <c:pt idx="261">
                  <c:v>#N/A</c:v>
                </c:pt>
                <c:pt idx="262">
                  <c:v>#N/A</c:v>
                </c:pt>
                <c:pt idx="263">
                  <c:v>984.59</c:v>
                </c:pt>
                <c:pt idx="264">
                  <c:v>#N/A</c:v>
                </c:pt>
                <c:pt idx="265">
                  <c:v>#N/A</c:v>
                </c:pt>
                <c:pt idx="266">
                  <c:v>#N/A</c:v>
                </c:pt>
                <c:pt idx="267">
                  <c:v>#N/A</c:v>
                </c:pt>
                <c:pt idx="268">
                  <c:v>#N/A</c:v>
                </c:pt>
                <c:pt idx="269">
                  <c:v>#N/A</c:v>
                </c:pt>
                <c:pt idx="270">
                  <c:v>1001.28</c:v>
                </c:pt>
                <c:pt idx="271">
                  <c:v>#N/A</c:v>
                </c:pt>
                <c:pt idx="272">
                  <c:v>#N/A</c:v>
                </c:pt>
                <c:pt idx="273">
                  <c:v>#N/A</c:v>
                </c:pt>
                <c:pt idx="274">
                  <c:v>#N/A</c:v>
                </c:pt>
                <c:pt idx="275">
                  <c:v>#N/A</c:v>
                </c:pt>
                <c:pt idx="276">
                  <c:v>#N/A</c:v>
                </c:pt>
                <c:pt idx="277">
                  <c:v>#N/A</c:v>
                </c:pt>
                <c:pt idx="278">
                  <c:v>#N/A</c:v>
                </c:pt>
                <c:pt idx="279">
                  <c:v>#N/A</c:v>
                </c:pt>
                <c:pt idx="280">
                  <c:v>1086.1099999999999</c:v>
                </c:pt>
                <c:pt idx="281">
                  <c:v>#N/A</c:v>
                </c:pt>
                <c:pt idx="282">
                  <c:v>#N/A</c:v>
                </c:pt>
                <c:pt idx="283">
                  <c:v>#N/A</c:v>
                </c:pt>
                <c:pt idx="284">
                  <c:v>1066.73</c:v>
                </c:pt>
                <c:pt idx="285">
                  <c:v>#N/A</c:v>
                </c:pt>
                <c:pt idx="286">
                  <c:v>#N/A</c:v>
                </c:pt>
                <c:pt idx="287">
                  <c:v>#N/A</c:v>
                </c:pt>
                <c:pt idx="288">
                  <c:v>#N/A</c:v>
                </c:pt>
                <c:pt idx="289">
                  <c:v>#N/A</c:v>
                </c:pt>
                <c:pt idx="290">
                  <c:v>#N/A</c:v>
                </c:pt>
                <c:pt idx="291">
                  <c:v>1029.99</c:v>
                </c:pt>
                <c:pt idx="292">
                  <c:v>#N/A</c:v>
                </c:pt>
                <c:pt idx="293">
                  <c:v>#N/A</c:v>
                </c:pt>
                <c:pt idx="294">
                  <c:v>#N/A</c:v>
                </c:pt>
                <c:pt idx="295">
                  <c:v>#N/A</c:v>
                </c:pt>
                <c:pt idx="296">
                  <c:v>#N/A</c:v>
                </c:pt>
                <c:pt idx="297">
                  <c:v>#N/A</c:v>
                </c:pt>
                <c:pt idx="298">
                  <c:v>980.96</c:v>
                </c:pt>
                <c:pt idx="299">
                  <c:v>#N/A</c:v>
                </c:pt>
                <c:pt idx="300">
                  <c:v>#N/A</c:v>
                </c:pt>
                <c:pt idx="301">
                  <c:v>#N/A</c:v>
                </c:pt>
                <c:pt idx="302">
                  <c:v>#N/A</c:v>
                </c:pt>
                <c:pt idx="303">
                  <c:v>#N/A</c:v>
                </c:pt>
                <c:pt idx="304">
                  <c:v>#N/A</c:v>
                </c:pt>
                <c:pt idx="305">
                  <c:v>938.9</c:v>
                </c:pt>
                <c:pt idx="306">
                  <c:v>#N/A</c:v>
                </c:pt>
                <c:pt idx="307">
                  <c:v>#N/A</c:v>
                </c:pt>
                <c:pt idx="308">
                  <c:v>#N/A</c:v>
                </c:pt>
                <c:pt idx="309">
                  <c:v>#N/A</c:v>
                </c:pt>
                <c:pt idx="310">
                  <c:v>#N/A</c:v>
                </c:pt>
                <c:pt idx="311">
                  <c:v>#N/A</c:v>
                </c:pt>
                <c:pt idx="312">
                  <c:v>891.22</c:v>
                </c:pt>
                <c:pt idx="313">
                  <c:v>#N/A</c:v>
                </c:pt>
                <c:pt idx="314">
                  <c:v>#N/A</c:v>
                </c:pt>
                <c:pt idx="315">
                  <c:v>#N/A</c:v>
                </c:pt>
                <c:pt idx="316">
                  <c:v>#N/A</c:v>
                </c:pt>
                <c:pt idx="317">
                  <c:v>#N/A</c:v>
                </c:pt>
                <c:pt idx="318">
                  <c:v>#N/A</c:v>
                </c:pt>
                <c:pt idx="319">
                  <c:v>862.79</c:v>
                </c:pt>
                <c:pt idx="320">
                  <c:v>#N/A</c:v>
                </c:pt>
                <c:pt idx="321">
                  <c:v>#N/A</c:v>
                </c:pt>
                <c:pt idx="322">
                  <c:v>#N/A</c:v>
                </c:pt>
                <c:pt idx="323">
                  <c:v>#N/A</c:v>
                </c:pt>
                <c:pt idx="324">
                  <c:v>#N/A</c:v>
                </c:pt>
                <c:pt idx="325">
                  <c:v>842.36</c:v>
                </c:pt>
                <c:pt idx="326">
                  <c:v>#N/A</c:v>
                </c:pt>
                <c:pt idx="327">
                  <c:v>#N/A</c:v>
                </c:pt>
                <c:pt idx="328">
                  <c:v>#N/A</c:v>
                </c:pt>
                <c:pt idx="329">
                  <c:v>#N/A</c:v>
                </c:pt>
                <c:pt idx="330">
                  <c:v>#N/A</c:v>
                </c:pt>
                <c:pt idx="331">
                  <c:v>#N/A</c:v>
                </c:pt>
                <c:pt idx="332">
                  <c:v>#N/A</c:v>
                </c:pt>
                <c:pt idx="333">
                  <c:v>822.83</c:v>
                </c:pt>
                <c:pt idx="334">
                  <c:v>#N/A</c:v>
                </c:pt>
                <c:pt idx="335">
                  <c:v>#N/A</c:v>
                </c:pt>
                <c:pt idx="336">
                  <c:v>#N/A</c:v>
                </c:pt>
                <c:pt idx="337">
                  <c:v>#N/A</c:v>
                </c:pt>
                <c:pt idx="338">
                  <c:v>#N/A</c:v>
                </c:pt>
                <c:pt idx="339">
                  <c:v>#N/A</c:v>
                </c:pt>
                <c:pt idx="340">
                  <c:v>797.77</c:v>
                </c:pt>
                <c:pt idx="341">
                  <c:v>#N/A</c:v>
                </c:pt>
                <c:pt idx="342">
                  <c:v>#N/A</c:v>
                </c:pt>
                <c:pt idx="343">
                  <c:v>#N/A</c:v>
                </c:pt>
                <c:pt idx="344">
                  <c:v>#N/A</c:v>
                </c:pt>
                <c:pt idx="345">
                  <c:v>#N/A</c:v>
                </c:pt>
                <c:pt idx="346">
                  <c:v>#N/A</c:v>
                </c:pt>
                <c:pt idx="347">
                  <c:v>796.7</c:v>
                </c:pt>
                <c:pt idx="348">
                  <c:v>#N/A</c:v>
                </c:pt>
                <c:pt idx="349">
                  <c:v>#N/A</c:v>
                </c:pt>
                <c:pt idx="350">
                  <c:v>#N/A</c:v>
                </c:pt>
                <c:pt idx="351">
                  <c:v>#N/A</c:v>
                </c:pt>
                <c:pt idx="352">
                  <c:v>#N/A</c:v>
                </c:pt>
                <c:pt idx="353">
                  <c:v>#N/A</c:v>
                </c:pt>
                <c:pt idx="354">
                  <c:v>789.91</c:v>
                </c:pt>
                <c:pt idx="355">
                  <c:v>#N/A</c:v>
                </c:pt>
                <c:pt idx="356">
                  <c:v>#N/A</c:v>
                </c:pt>
                <c:pt idx="357">
                  <c:v>#N/A</c:v>
                </c:pt>
                <c:pt idx="358">
                  <c:v>#N/A</c:v>
                </c:pt>
                <c:pt idx="359">
                  <c:v>#N/A</c:v>
                </c:pt>
                <c:pt idx="360">
                  <c:v>#N/A</c:v>
                </c:pt>
                <c:pt idx="361">
                  <c:v>797.56</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0-57F3-4226-850D-EC22305A3D75}"/>
            </c:ext>
          </c:extLst>
        </c:ser>
        <c:ser>
          <c:idx val="2"/>
          <c:order val="1"/>
          <c:tx>
            <c:strRef>
              <c:f>库存!$I$1</c:f>
              <c:strCache>
                <c:ptCount val="1"/>
                <c:pt idx="0">
                  <c:v>2019</c:v>
                </c:pt>
              </c:strCache>
            </c:strRef>
          </c:tx>
          <c:spPr>
            <a:ln w="28575">
              <a:solidFill>
                <a:srgbClr val="F8CBAD"/>
              </a:solidFill>
              <a:prstDash val="solid"/>
            </a:ln>
          </c:spPr>
          <c:marker>
            <c:symbol val="none"/>
          </c:marker>
          <c:cat>
            <c:numRef>
              <c:f>库存!$G$2:$G$366</c:f>
              <c:numCache>
                <c:formatCode>m/d/yyyy</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库存!$I$2:$I$366</c:f>
              <c:numCache>
                <c:formatCode>General</c:formatCode>
                <c:ptCount val="365"/>
                <c:pt idx="0">
                  <c:v>#N/A</c:v>
                </c:pt>
                <c:pt idx="1">
                  <c:v>#N/A</c:v>
                </c:pt>
                <c:pt idx="2">
                  <c:v>#N/A</c:v>
                </c:pt>
                <c:pt idx="3">
                  <c:v>839.2</c:v>
                </c:pt>
                <c:pt idx="4">
                  <c:v>#N/A</c:v>
                </c:pt>
                <c:pt idx="5">
                  <c:v>#N/A</c:v>
                </c:pt>
                <c:pt idx="6">
                  <c:v>#N/A</c:v>
                </c:pt>
                <c:pt idx="7">
                  <c:v>#N/A</c:v>
                </c:pt>
                <c:pt idx="8">
                  <c:v>#N/A</c:v>
                </c:pt>
                <c:pt idx="9">
                  <c:v>#N/A</c:v>
                </c:pt>
                <c:pt idx="10">
                  <c:v>884.63</c:v>
                </c:pt>
                <c:pt idx="11">
                  <c:v>#N/A</c:v>
                </c:pt>
                <c:pt idx="12">
                  <c:v>#N/A</c:v>
                </c:pt>
                <c:pt idx="13">
                  <c:v>#N/A</c:v>
                </c:pt>
                <c:pt idx="14">
                  <c:v>#N/A</c:v>
                </c:pt>
                <c:pt idx="15">
                  <c:v>#N/A</c:v>
                </c:pt>
                <c:pt idx="16">
                  <c:v>#N/A</c:v>
                </c:pt>
                <c:pt idx="17">
                  <c:v>925.35</c:v>
                </c:pt>
                <c:pt idx="18">
                  <c:v>#N/A</c:v>
                </c:pt>
                <c:pt idx="19">
                  <c:v>#N/A</c:v>
                </c:pt>
                <c:pt idx="20">
                  <c:v>#N/A</c:v>
                </c:pt>
                <c:pt idx="21">
                  <c:v>#N/A</c:v>
                </c:pt>
                <c:pt idx="22">
                  <c:v>#N/A</c:v>
                </c:pt>
                <c:pt idx="23">
                  <c:v>#N/A</c:v>
                </c:pt>
                <c:pt idx="24">
                  <c:v>992.71</c:v>
                </c:pt>
                <c:pt idx="25">
                  <c:v>#N/A</c:v>
                </c:pt>
                <c:pt idx="26">
                  <c:v>#N/A</c:v>
                </c:pt>
                <c:pt idx="27">
                  <c:v>#N/A</c:v>
                </c:pt>
                <c:pt idx="28">
                  <c:v>#N/A</c:v>
                </c:pt>
                <c:pt idx="29">
                  <c:v>#N/A</c:v>
                </c:pt>
                <c:pt idx="30">
                  <c:v>#N/A</c:v>
                </c:pt>
                <c:pt idx="31">
                  <c:v>1117.96</c:v>
                </c:pt>
                <c:pt idx="32">
                  <c:v>#N/A</c:v>
                </c:pt>
                <c:pt idx="33">
                  <c:v>#N/A</c:v>
                </c:pt>
                <c:pt idx="34">
                  <c:v>#N/A</c:v>
                </c:pt>
                <c:pt idx="35">
                  <c:v>#N/A</c:v>
                </c:pt>
                <c:pt idx="36">
                  <c:v>#N/A</c:v>
                </c:pt>
                <c:pt idx="37">
                  <c:v>#N/A</c:v>
                </c:pt>
                <c:pt idx="38">
                  <c:v>1458.05</c:v>
                </c:pt>
                <c:pt idx="39">
                  <c:v>#N/A</c:v>
                </c:pt>
                <c:pt idx="40">
                  <c:v>#N/A</c:v>
                </c:pt>
                <c:pt idx="41">
                  <c:v>#N/A</c:v>
                </c:pt>
                <c:pt idx="42">
                  <c:v>#N/A</c:v>
                </c:pt>
                <c:pt idx="43">
                  <c:v>#N/A</c:v>
                </c:pt>
                <c:pt idx="44">
                  <c:v>#N/A</c:v>
                </c:pt>
                <c:pt idx="45">
                  <c:v>1619.91</c:v>
                </c:pt>
                <c:pt idx="46">
                  <c:v>#N/A</c:v>
                </c:pt>
                <c:pt idx="47">
                  <c:v>#N/A</c:v>
                </c:pt>
                <c:pt idx="48">
                  <c:v>#N/A</c:v>
                </c:pt>
                <c:pt idx="49">
                  <c:v>#N/A</c:v>
                </c:pt>
                <c:pt idx="50">
                  <c:v>#N/A</c:v>
                </c:pt>
                <c:pt idx="51">
                  <c:v>#N/A</c:v>
                </c:pt>
                <c:pt idx="52">
                  <c:v>1799.15</c:v>
                </c:pt>
                <c:pt idx="53">
                  <c:v>#N/A</c:v>
                </c:pt>
                <c:pt idx="54">
                  <c:v>#N/A</c:v>
                </c:pt>
                <c:pt idx="55">
                  <c:v>#N/A</c:v>
                </c:pt>
                <c:pt idx="56">
                  <c:v>#N/A</c:v>
                </c:pt>
                <c:pt idx="57">
                  <c:v>#N/A</c:v>
                </c:pt>
                <c:pt idx="58">
                  <c:v>#N/A</c:v>
                </c:pt>
                <c:pt idx="59">
                  <c:v>1868.66</c:v>
                </c:pt>
                <c:pt idx="60">
                  <c:v>#N/A</c:v>
                </c:pt>
                <c:pt idx="61">
                  <c:v>#N/A</c:v>
                </c:pt>
                <c:pt idx="62">
                  <c:v>#N/A</c:v>
                </c:pt>
                <c:pt idx="63">
                  <c:v>#N/A</c:v>
                </c:pt>
                <c:pt idx="64">
                  <c:v>#N/A</c:v>
                </c:pt>
                <c:pt idx="65">
                  <c:v>#N/A</c:v>
                </c:pt>
                <c:pt idx="66">
                  <c:v>1851.82</c:v>
                </c:pt>
                <c:pt idx="67">
                  <c:v>#N/A</c:v>
                </c:pt>
                <c:pt idx="68">
                  <c:v>#N/A</c:v>
                </c:pt>
                <c:pt idx="69">
                  <c:v>#N/A</c:v>
                </c:pt>
                <c:pt idx="70">
                  <c:v>#N/A</c:v>
                </c:pt>
                <c:pt idx="71">
                  <c:v>#N/A</c:v>
                </c:pt>
                <c:pt idx="72">
                  <c:v>#N/A</c:v>
                </c:pt>
                <c:pt idx="73">
                  <c:v>1781.91</c:v>
                </c:pt>
                <c:pt idx="74">
                  <c:v>#N/A</c:v>
                </c:pt>
                <c:pt idx="75">
                  <c:v>#N/A</c:v>
                </c:pt>
                <c:pt idx="76">
                  <c:v>#N/A</c:v>
                </c:pt>
                <c:pt idx="77">
                  <c:v>#N/A</c:v>
                </c:pt>
                <c:pt idx="78">
                  <c:v>#N/A</c:v>
                </c:pt>
                <c:pt idx="79">
                  <c:v>#N/A</c:v>
                </c:pt>
                <c:pt idx="80">
                  <c:v>1681.29</c:v>
                </c:pt>
                <c:pt idx="81">
                  <c:v>#N/A</c:v>
                </c:pt>
                <c:pt idx="82">
                  <c:v>#N/A</c:v>
                </c:pt>
                <c:pt idx="83">
                  <c:v>#N/A</c:v>
                </c:pt>
                <c:pt idx="84">
                  <c:v>#N/A</c:v>
                </c:pt>
                <c:pt idx="85">
                  <c:v>#N/A</c:v>
                </c:pt>
                <c:pt idx="86">
                  <c:v>#N/A</c:v>
                </c:pt>
                <c:pt idx="87">
                  <c:v>1602.53</c:v>
                </c:pt>
                <c:pt idx="88">
                  <c:v>#N/A</c:v>
                </c:pt>
                <c:pt idx="89">
                  <c:v>#N/A</c:v>
                </c:pt>
                <c:pt idx="90">
                  <c:v>#N/A</c:v>
                </c:pt>
                <c:pt idx="91">
                  <c:v>#N/A</c:v>
                </c:pt>
                <c:pt idx="92">
                  <c:v>#N/A</c:v>
                </c:pt>
                <c:pt idx="93">
                  <c:v>#N/A</c:v>
                </c:pt>
                <c:pt idx="94">
                  <c:v>1514.02</c:v>
                </c:pt>
                <c:pt idx="95">
                  <c:v>#N/A</c:v>
                </c:pt>
                <c:pt idx="96">
                  <c:v>#N/A</c:v>
                </c:pt>
                <c:pt idx="97">
                  <c:v>#N/A</c:v>
                </c:pt>
                <c:pt idx="98">
                  <c:v>#N/A</c:v>
                </c:pt>
                <c:pt idx="99">
                  <c:v>#N/A</c:v>
                </c:pt>
                <c:pt idx="100">
                  <c:v>#N/A</c:v>
                </c:pt>
                <c:pt idx="101">
                  <c:v>1426.38</c:v>
                </c:pt>
                <c:pt idx="102">
                  <c:v>#N/A</c:v>
                </c:pt>
                <c:pt idx="103">
                  <c:v>#N/A</c:v>
                </c:pt>
                <c:pt idx="104">
                  <c:v>#N/A</c:v>
                </c:pt>
                <c:pt idx="105">
                  <c:v>#N/A</c:v>
                </c:pt>
                <c:pt idx="106">
                  <c:v>#N/A</c:v>
                </c:pt>
                <c:pt idx="107">
                  <c:v>#N/A</c:v>
                </c:pt>
                <c:pt idx="108">
                  <c:v>1334.84</c:v>
                </c:pt>
                <c:pt idx="109">
                  <c:v>#N/A</c:v>
                </c:pt>
                <c:pt idx="110">
                  <c:v>#N/A</c:v>
                </c:pt>
                <c:pt idx="111">
                  <c:v>#N/A</c:v>
                </c:pt>
                <c:pt idx="112">
                  <c:v>#N/A</c:v>
                </c:pt>
                <c:pt idx="113">
                  <c:v>#N/A</c:v>
                </c:pt>
                <c:pt idx="114">
                  <c:v>#N/A</c:v>
                </c:pt>
                <c:pt idx="115">
                  <c:v>1273.6400000000001</c:v>
                </c:pt>
                <c:pt idx="116">
                  <c:v>#N/A</c:v>
                </c:pt>
                <c:pt idx="117">
                  <c:v>#N/A</c:v>
                </c:pt>
                <c:pt idx="118">
                  <c:v>#N/A</c:v>
                </c:pt>
                <c:pt idx="119">
                  <c:v>#N/A</c:v>
                </c:pt>
                <c:pt idx="120">
                  <c:v>#N/A</c:v>
                </c:pt>
                <c:pt idx="121">
                  <c:v>#N/A</c:v>
                </c:pt>
                <c:pt idx="122">
                  <c:v>1242.76</c:v>
                </c:pt>
                <c:pt idx="123">
                  <c:v>#N/A</c:v>
                </c:pt>
                <c:pt idx="124">
                  <c:v>#N/A</c:v>
                </c:pt>
                <c:pt idx="125">
                  <c:v>#N/A</c:v>
                </c:pt>
                <c:pt idx="126">
                  <c:v>#N/A</c:v>
                </c:pt>
                <c:pt idx="127">
                  <c:v>#N/A</c:v>
                </c:pt>
                <c:pt idx="128">
                  <c:v>#N/A</c:v>
                </c:pt>
                <c:pt idx="129">
                  <c:v>1215.52</c:v>
                </c:pt>
                <c:pt idx="130">
                  <c:v>#N/A</c:v>
                </c:pt>
                <c:pt idx="131">
                  <c:v>#N/A</c:v>
                </c:pt>
                <c:pt idx="132">
                  <c:v>#N/A</c:v>
                </c:pt>
                <c:pt idx="133">
                  <c:v>#N/A</c:v>
                </c:pt>
                <c:pt idx="134">
                  <c:v>#N/A</c:v>
                </c:pt>
                <c:pt idx="135">
                  <c:v>#N/A</c:v>
                </c:pt>
                <c:pt idx="136">
                  <c:v>1164.0899999999999</c:v>
                </c:pt>
                <c:pt idx="137">
                  <c:v>#N/A</c:v>
                </c:pt>
                <c:pt idx="138">
                  <c:v>#N/A</c:v>
                </c:pt>
                <c:pt idx="139">
                  <c:v>#N/A</c:v>
                </c:pt>
                <c:pt idx="140">
                  <c:v>#N/A</c:v>
                </c:pt>
                <c:pt idx="141">
                  <c:v>#N/A</c:v>
                </c:pt>
                <c:pt idx="142">
                  <c:v>#N/A</c:v>
                </c:pt>
                <c:pt idx="143">
                  <c:v>1123.3699999999999</c:v>
                </c:pt>
                <c:pt idx="144">
                  <c:v>#N/A</c:v>
                </c:pt>
                <c:pt idx="145">
                  <c:v>#N/A</c:v>
                </c:pt>
                <c:pt idx="146">
                  <c:v>#N/A</c:v>
                </c:pt>
                <c:pt idx="147">
                  <c:v>#N/A</c:v>
                </c:pt>
                <c:pt idx="148">
                  <c:v>#N/A</c:v>
                </c:pt>
                <c:pt idx="149">
                  <c:v>#N/A</c:v>
                </c:pt>
                <c:pt idx="150">
                  <c:v>1104.6300000000001</c:v>
                </c:pt>
                <c:pt idx="151">
                  <c:v>#N/A</c:v>
                </c:pt>
                <c:pt idx="152">
                  <c:v>#N/A</c:v>
                </c:pt>
                <c:pt idx="153">
                  <c:v>#N/A</c:v>
                </c:pt>
                <c:pt idx="154">
                  <c:v>#N/A</c:v>
                </c:pt>
                <c:pt idx="155">
                  <c:v>#N/A</c:v>
                </c:pt>
                <c:pt idx="156">
                  <c:v>#N/A</c:v>
                </c:pt>
                <c:pt idx="157">
                  <c:v>1091.19</c:v>
                </c:pt>
                <c:pt idx="158">
                  <c:v>#N/A</c:v>
                </c:pt>
                <c:pt idx="159">
                  <c:v>#N/A</c:v>
                </c:pt>
                <c:pt idx="160">
                  <c:v>#N/A</c:v>
                </c:pt>
                <c:pt idx="161">
                  <c:v>#N/A</c:v>
                </c:pt>
                <c:pt idx="162">
                  <c:v>#N/A</c:v>
                </c:pt>
                <c:pt idx="163">
                  <c:v>#N/A</c:v>
                </c:pt>
                <c:pt idx="164">
                  <c:v>1122.04</c:v>
                </c:pt>
                <c:pt idx="165">
                  <c:v>#N/A</c:v>
                </c:pt>
                <c:pt idx="166">
                  <c:v>#N/A</c:v>
                </c:pt>
                <c:pt idx="167">
                  <c:v>#N/A</c:v>
                </c:pt>
                <c:pt idx="168">
                  <c:v>#N/A</c:v>
                </c:pt>
                <c:pt idx="169">
                  <c:v>#N/A</c:v>
                </c:pt>
                <c:pt idx="170">
                  <c:v>#N/A</c:v>
                </c:pt>
                <c:pt idx="171">
                  <c:v>1135.0899999999999</c:v>
                </c:pt>
                <c:pt idx="172">
                  <c:v>#N/A</c:v>
                </c:pt>
                <c:pt idx="173">
                  <c:v>#N/A</c:v>
                </c:pt>
                <c:pt idx="174">
                  <c:v>#N/A</c:v>
                </c:pt>
                <c:pt idx="175">
                  <c:v>#N/A</c:v>
                </c:pt>
                <c:pt idx="176">
                  <c:v>#N/A</c:v>
                </c:pt>
                <c:pt idx="177">
                  <c:v>#N/A</c:v>
                </c:pt>
                <c:pt idx="178">
                  <c:v>1146.04</c:v>
                </c:pt>
                <c:pt idx="179">
                  <c:v>#N/A</c:v>
                </c:pt>
                <c:pt idx="180">
                  <c:v>#N/A</c:v>
                </c:pt>
                <c:pt idx="181">
                  <c:v>#N/A</c:v>
                </c:pt>
                <c:pt idx="182">
                  <c:v>#N/A</c:v>
                </c:pt>
                <c:pt idx="183">
                  <c:v>#N/A</c:v>
                </c:pt>
                <c:pt idx="184">
                  <c:v>#N/A</c:v>
                </c:pt>
                <c:pt idx="185">
                  <c:v>1163.48</c:v>
                </c:pt>
                <c:pt idx="186">
                  <c:v>#N/A</c:v>
                </c:pt>
                <c:pt idx="187">
                  <c:v>#N/A</c:v>
                </c:pt>
                <c:pt idx="188">
                  <c:v>#N/A</c:v>
                </c:pt>
                <c:pt idx="189">
                  <c:v>#N/A</c:v>
                </c:pt>
                <c:pt idx="190">
                  <c:v>#N/A</c:v>
                </c:pt>
                <c:pt idx="191">
                  <c:v>#N/A</c:v>
                </c:pt>
                <c:pt idx="192">
                  <c:v>1183.68</c:v>
                </c:pt>
                <c:pt idx="193">
                  <c:v>#N/A</c:v>
                </c:pt>
                <c:pt idx="194">
                  <c:v>#N/A</c:v>
                </c:pt>
                <c:pt idx="195">
                  <c:v>#N/A</c:v>
                </c:pt>
                <c:pt idx="196">
                  <c:v>#N/A</c:v>
                </c:pt>
                <c:pt idx="197">
                  <c:v>#N/A</c:v>
                </c:pt>
                <c:pt idx="198">
                  <c:v>#N/A</c:v>
                </c:pt>
                <c:pt idx="199">
                  <c:v>1215.78</c:v>
                </c:pt>
                <c:pt idx="200">
                  <c:v>#N/A</c:v>
                </c:pt>
                <c:pt idx="201">
                  <c:v>#N/A</c:v>
                </c:pt>
                <c:pt idx="202">
                  <c:v>#N/A</c:v>
                </c:pt>
                <c:pt idx="203">
                  <c:v>#N/A</c:v>
                </c:pt>
                <c:pt idx="204">
                  <c:v>#N/A</c:v>
                </c:pt>
                <c:pt idx="205">
                  <c:v>#N/A</c:v>
                </c:pt>
                <c:pt idx="206">
                  <c:v>1254.53</c:v>
                </c:pt>
                <c:pt idx="207">
                  <c:v>#N/A</c:v>
                </c:pt>
                <c:pt idx="208">
                  <c:v>#N/A</c:v>
                </c:pt>
                <c:pt idx="209">
                  <c:v>#N/A</c:v>
                </c:pt>
                <c:pt idx="210">
                  <c:v>#N/A</c:v>
                </c:pt>
                <c:pt idx="211">
                  <c:v>#N/A</c:v>
                </c:pt>
                <c:pt idx="212">
                  <c:v>#N/A</c:v>
                </c:pt>
                <c:pt idx="213">
                  <c:v>1284.53</c:v>
                </c:pt>
                <c:pt idx="214">
                  <c:v>#N/A</c:v>
                </c:pt>
                <c:pt idx="215">
                  <c:v>#N/A</c:v>
                </c:pt>
                <c:pt idx="216">
                  <c:v>#N/A</c:v>
                </c:pt>
                <c:pt idx="217">
                  <c:v>#N/A</c:v>
                </c:pt>
                <c:pt idx="218">
                  <c:v>#N/A</c:v>
                </c:pt>
                <c:pt idx="219">
                  <c:v>#N/A</c:v>
                </c:pt>
                <c:pt idx="220">
                  <c:v>1299.98</c:v>
                </c:pt>
                <c:pt idx="221">
                  <c:v>#N/A</c:v>
                </c:pt>
                <c:pt idx="222">
                  <c:v>#N/A</c:v>
                </c:pt>
                <c:pt idx="223">
                  <c:v>#N/A</c:v>
                </c:pt>
                <c:pt idx="224">
                  <c:v>#N/A</c:v>
                </c:pt>
                <c:pt idx="225">
                  <c:v>#N/A</c:v>
                </c:pt>
                <c:pt idx="226">
                  <c:v>#N/A</c:v>
                </c:pt>
                <c:pt idx="227">
                  <c:v>1288.44</c:v>
                </c:pt>
                <c:pt idx="228">
                  <c:v>#N/A</c:v>
                </c:pt>
                <c:pt idx="229">
                  <c:v>#N/A</c:v>
                </c:pt>
                <c:pt idx="230">
                  <c:v>#N/A</c:v>
                </c:pt>
                <c:pt idx="231">
                  <c:v>#N/A</c:v>
                </c:pt>
                <c:pt idx="232">
                  <c:v>#N/A</c:v>
                </c:pt>
                <c:pt idx="233">
                  <c:v>#N/A</c:v>
                </c:pt>
                <c:pt idx="234">
                  <c:v>1277.81</c:v>
                </c:pt>
                <c:pt idx="235">
                  <c:v>#N/A</c:v>
                </c:pt>
                <c:pt idx="236">
                  <c:v>#N/A</c:v>
                </c:pt>
                <c:pt idx="237">
                  <c:v>#N/A</c:v>
                </c:pt>
                <c:pt idx="238">
                  <c:v>#N/A</c:v>
                </c:pt>
                <c:pt idx="239">
                  <c:v>#N/A</c:v>
                </c:pt>
                <c:pt idx="240">
                  <c:v>#N/A</c:v>
                </c:pt>
                <c:pt idx="241">
                  <c:v>1248.1300000000001</c:v>
                </c:pt>
                <c:pt idx="242">
                  <c:v>#N/A</c:v>
                </c:pt>
                <c:pt idx="243">
                  <c:v>#N/A</c:v>
                </c:pt>
                <c:pt idx="244">
                  <c:v>#N/A</c:v>
                </c:pt>
                <c:pt idx="245">
                  <c:v>#N/A</c:v>
                </c:pt>
                <c:pt idx="246">
                  <c:v>#N/A</c:v>
                </c:pt>
                <c:pt idx="247">
                  <c:v>#N/A</c:v>
                </c:pt>
                <c:pt idx="248">
                  <c:v>1214.21</c:v>
                </c:pt>
                <c:pt idx="249">
                  <c:v>#N/A</c:v>
                </c:pt>
                <c:pt idx="250">
                  <c:v>#N/A</c:v>
                </c:pt>
                <c:pt idx="251">
                  <c:v>#N/A</c:v>
                </c:pt>
                <c:pt idx="252">
                  <c:v>#N/A</c:v>
                </c:pt>
                <c:pt idx="253">
                  <c:v>#N/A</c:v>
                </c:pt>
                <c:pt idx="254">
                  <c:v>#N/A</c:v>
                </c:pt>
                <c:pt idx="255">
                  <c:v>1161.48</c:v>
                </c:pt>
                <c:pt idx="256">
                  <c:v>#N/A</c:v>
                </c:pt>
                <c:pt idx="257">
                  <c:v>#N/A</c:v>
                </c:pt>
                <c:pt idx="258">
                  <c:v>#N/A</c:v>
                </c:pt>
                <c:pt idx="259">
                  <c:v>#N/A</c:v>
                </c:pt>
                <c:pt idx="260">
                  <c:v>#N/A</c:v>
                </c:pt>
                <c:pt idx="261">
                  <c:v>#N/A</c:v>
                </c:pt>
                <c:pt idx="262">
                  <c:v>1142.67</c:v>
                </c:pt>
                <c:pt idx="263">
                  <c:v>#N/A</c:v>
                </c:pt>
                <c:pt idx="264">
                  <c:v>#N/A</c:v>
                </c:pt>
                <c:pt idx="265">
                  <c:v>#N/A</c:v>
                </c:pt>
                <c:pt idx="266">
                  <c:v>#N/A</c:v>
                </c:pt>
                <c:pt idx="267">
                  <c:v>#N/A</c:v>
                </c:pt>
                <c:pt idx="268">
                  <c:v>#N/A</c:v>
                </c:pt>
                <c:pt idx="269">
                  <c:v>1083.17</c:v>
                </c:pt>
                <c:pt idx="270">
                  <c:v>#N/A</c:v>
                </c:pt>
                <c:pt idx="271">
                  <c:v>#N/A</c:v>
                </c:pt>
                <c:pt idx="272">
                  <c:v>#N/A</c:v>
                </c:pt>
                <c:pt idx="273">
                  <c:v>#N/A</c:v>
                </c:pt>
                <c:pt idx="274">
                  <c:v>#N/A</c:v>
                </c:pt>
                <c:pt idx="275">
                  <c:v>#N/A</c:v>
                </c:pt>
                <c:pt idx="276">
                  <c:v>1142.6300000000001</c:v>
                </c:pt>
                <c:pt idx="277">
                  <c:v>#N/A</c:v>
                </c:pt>
                <c:pt idx="278">
                  <c:v>#N/A</c:v>
                </c:pt>
                <c:pt idx="279">
                  <c:v>#N/A</c:v>
                </c:pt>
                <c:pt idx="280">
                  <c:v>#N/A</c:v>
                </c:pt>
                <c:pt idx="281">
                  <c:v>#N/A</c:v>
                </c:pt>
                <c:pt idx="282">
                  <c:v>#N/A</c:v>
                </c:pt>
                <c:pt idx="283">
                  <c:v>1125.8900000000001</c:v>
                </c:pt>
                <c:pt idx="284">
                  <c:v>#N/A</c:v>
                </c:pt>
                <c:pt idx="285">
                  <c:v>#N/A</c:v>
                </c:pt>
                <c:pt idx="286">
                  <c:v>#N/A</c:v>
                </c:pt>
                <c:pt idx="287">
                  <c:v>#N/A</c:v>
                </c:pt>
                <c:pt idx="288">
                  <c:v>#N/A</c:v>
                </c:pt>
                <c:pt idx="289">
                  <c:v>#N/A</c:v>
                </c:pt>
                <c:pt idx="290">
                  <c:v>1046.56</c:v>
                </c:pt>
                <c:pt idx="291">
                  <c:v>#N/A</c:v>
                </c:pt>
                <c:pt idx="292">
                  <c:v>#N/A</c:v>
                </c:pt>
                <c:pt idx="293">
                  <c:v>#N/A</c:v>
                </c:pt>
                <c:pt idx="294">
                  <c:v>#N/A</c:v>
                </c:pt>
                <c:pt idx="295">
                  <c:v>#N/A</c:v>
                </c:pt>
                <c:pt idx="296">
                  <c:v>#N/A</c:v>
                </c:pt>
                <c:pt idx="297">
                  <c:v>986.63</c:v>
                </c:pt>
                <c:pt idx="298">
                  <c:v>#N/A</c:v>
                </c:pt>
                <c:pt idx="299">
                  <c:v>#N/A</c:v>
                </c:pt>
                <c:pt idx="300">
                  <c:v>#N/A</c:v>
                </c:pt>
                <c:pt idx="301">
                  <c:v>#N/A</c:v>
                </c:pt>
                <c:pt idx="302">
                  <c:v>#N/A</c:v>
                </c:pt>
                <c:pt idx="303">
                  <c:v>#N/A</c:v>
                </c:pt>
                <c:pt idx="304">
                  <c:v>938.47</c:v>
                </c:pt>
                <c:pt idx="305">
                  <c:v>#N/A</c:v>
                </c:pt>
                <c:pt idx="306">
                  <c:v>#N/A</c:v>
                </c:pt>
                <c:pt idx="307">
                  <c:v>#N/A</c:v>
                </c:pt>
                <c:pt idx="308">
                  <c:v>#N/A</c:v>
                </c:pt>
                <c:pt idx="309">
                  <c:v>#N/A</c:v>
                </c:pt>
                <c:pt idx="310">
                  <c:v>#N/A</c:v>
                </c:pt>
                <c:pt idx="311">
                  <c:v>887.3</c:v>
                </c:pt>
                <c:pt idx="312">
                  <c:v>#N/A</c:v>
                </c:pt>
                <c:pt idx="313">
                  <c:v>#N/A</c:v>
                </c:pt>
                <c:pt idx="314">
                  <c:v>#N/A</c:v>
                </c:pt>
                <c:pt idx="315">
                  <c:v>#N/A</c:v>
                </c:pt>
                <c:pt idx="316">
                  <c:v>#N/A</c:v>
                </c:pt>
                <c:pt idx="317">
                  <c:v>#N/A</c:v>
                </c:pt>
                <c:pt idx="318">
                  <c:v>833.81</c:v>
                </c:pt>
                <c:pt idx="319">
                  <c:v>#N/A</c:v>
                </c:pt>
                <c:pt idx="320">
                  <c:v>#N/A</c:v>
                </c:pt>
                <c:pt idx="321">
                  <c:v>#N/A</c:v>
                </c:pt>
                <c:pt idx="322">
                  <c:v>#N/A</c:v>
                </c:pt>
                <c:pt idx="323">
                  <c:v>#N/A</c:v>
                </c:pt>
                <c:pt idx="324">
                  <c:v>#N/A</c:v>
                </c:pt>
                <c:pt idx="325">
                  <c:v>780.49</c:v>
                </c:pt>
                <c:pt idx="326">
                  <c:v>#N/A</c:v>
                </c:pt>
                <c:pt idx="327">
                  <c:v>#N/A</c:v>
                </c:pt>
                <c:pt idx="328">
                  <c:v>#N/A</c:v>
                </c:pt>
                <c:pt idx="329">
                  <c:v>#N/A</c:v>
                </c:pt>
                <c:pt idx="330">
                  <c:v>#N/A</c:v>
                </c:pt>
                <c:pt idx="331">
                  <c:v>#N/A</c:v>
                </c:pt>
                <c:pt idx="332">
                  <c:v>757.68</c:v>
                </c:pt>
                <c:pt idx="333">
                  <c:v>#N/A</c:v>
                </c:pt>
                <c:pt idx="334">
                  <c:v>#N/A</c:v>
                </c:pt>
                <c:pt idx="335">
                  <c:v>#N/A</c:v>
                </c:pt>
                <c:pt idx="336">
                  <c:v>#N/A</c:v>
                </c:pt>
                <c:pt idx="337">
                  <c:v>#N/A</c:v>
                </c:pt>
                <c:pt idx="338">
                  <c:v>#N/A</c:v>
                </c:pt>
                <c:pt idx="339">
                  <c:v>756.05</c:v>
                </c:pt>
                <c:pt idx="340">
                  <c:v>#N/A</c:v>
                </c:pt>
                <c:pt idx="341">
                  <c:v>#N/A</c:v>
                </c:pt>
                <c:pt idx="342">
                  <c:v>#N/A</c:v>
                </c:pt>
                <c:pt idx="343">
                  <c:v>#N/A</c:v>
                </c:pt>
                <c:pt idx="344">
                  <c:v>#N/A</c:v>
                </c:pt>
                <c:pt idx="345">
                  <c:v>#N/A</c:v>
                </c:pt>
                <c:pt idx="346">
                  <c:v>743.54</c:v>
                </c:pt>
                <c:pt idx="347">
                  <c:v>#N/A</c:v>
                </c:pt>
                <c:pt idx="348">
                  <c:v>#N/A</c:v>
                </c:pt>
                <c:pt idx="349">
                  <c:v>#N/A</c:v>
                </c:pt>
                <c:pt idx="350">
                  <c:v>#N/A</c:v>
                </c:pt>
                <c:pt idx="351">
                  <c:v>#N/A</c:v>
                </c:pt>
                <c:pt idx="352">
                  <c:v>#N/A</c:v>
                </c:pt>
                <c:pt idx="353">
                  <c:v>748.81</c:v>
                </c:pt>
                <c:pt idx="354">
                  <c:v>#N/A</c:v>
                </c:pt>
                <c:pt idx="355">
                  <c:v>#N/A</c:v>
                </c:pt>
                <c:pt idx="356">
                  <c:v>#N/A</c:v>
                </c:pt>
                <c:pt idx="357">
                  <c:v>#N/A</c:v>
                </c:pt>
                <c:pt idx="358">
                  <c:v>#N/A</c:v>
                </c:pt>
                <c:pt idx="359">
                  <c:v>#N/A</c:v>
                </c:pt>
                <c:pt idx="360">
                  <c:v>772.26</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1-57F3-4226-850D-EC22305A3D75}"/>
            </c:ext>
          </c:extLst>
        </c:ser>
        <c:ser>
          <c:idx val="1"/>
          <c:order val="2"/>
          <c:tx>
            <c:strRef>
              <c:f>库存!$J$1</c:f>
              <c:strCache>
                <c:ptCount val="1"/>
                <c:pt idx="0">
                  <c:v>2020</c:v>
                </c:pt>
              </c:strCache>
            </c:strRef>
          </c:tx>
          <c:spPr>
            <a:ln w="28575">
              <a:solidFill>
                <a:srgbClr val="BF5711"/>
              </a:solidFill>
              <a:prstDash val="solid"/>
            </a:ln>
          </c:spPr>
          <c:marker>
            <c:symbol val="none"/>
          </c:marker>
          <c:cat>
            <c:numRef>
              <c:f>库存!$G$2:$G$366</c:f>
              <c:numCache>
                <c:formatCode>m/d/yyyy</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库存!$J$2:$J$366</c:f>
              <c:numCache>
                <c:formatCode>General</c:formatCode>
                <c:ptCount val="365"/>
                <c:pt idx="0">
                  <c:v>#N/A</c:v>
                </c:pt>
                <c:pt idx="1">
                  <c:v>#N/A</c:v>
                </c:pt>
                <c:pt idx="2">
                  <c:v>826.25</c:v>
                </c:pt>
                <c:pt idx="3">
                  <c:v>#N/A</c:v>
                </c:pt>
                <c:pt idx="4">
                  <c:v>#N/A</c:v>
                </c:pt>
                <c:pt idx="5">
                  <c:v>#N/A</c:v>
                </c:pt>
                <c:pt idx="6">
                  <c:v>#N/A</c:v>
                </c:pt>
                <c:pt idx="7">
                  <c:v>#N/A</c:v>
                </c:pt>
                <c:pt idx="8">
                  <c:v>#N/A</c:v>
                </c:pt>
                <c:pt idx="9">
                  <c:v>903.67</c:v>
                </c:pt>
                <c:pt idx="10">
                  <c:v>#N/A</c:v>
                </c:pt>
                <c:pt idx="11">
                  <c:v>#N/A</c:v>
                </c:pt>
                <c:pt idx="12">
                  <c:v>#N/A</c:v>
                </c:pt>
                <c:pt idx="13">
                  <c:v>#N/A</c:v>
                </c:pt>
                <c:pt idx="14">
                  <c:v>#N/A</c:v>
                </c:pt>
                <c:pt idx="15">
                  <c:v>#N/A</c:v>
                </c:pt>
                <c:pt idx="16">
                  <c:v>1024.3800000000001</c:v>
                </c:pt>
                <c:pt idx="17">
                  <c:v>#N/A</c:v>
                </c:pt>
                <c:pt idx="18">
                  <c:v>#N/A</c:v>
                </c:pt>
                <c:pt idx="19">
                  <c:v>#N/A</c:v>
                </c:pt>
                <c:pt idx="20">
                  <c:v>#N/A</c:v>
                </c:pt>
                <c:pt idx="21">
                  <c:v>#N/A</c:v>
                </c:pt>
                <c:pt idx="22">
                  <c:v>#N/A</c:v>
                </c:pt>
                <c:pt idx="23">
                  <c:v>1184.82</c:v>
                </c:pt>
                <c:pt idx="24">
                  <c:v>#N/A</c:v>
                </c:pt>
                <c:pt idx="25">
                  <c:v>#N/A</c:v>
                </c:pt>
                <c:pt idx="26">
                  <c:v>#N/A</c:v>
                </c:pt>
                <c:pt idx="27">
                  <c:v>#N/A</c:v>
                </c:pt>
                <c:pt idx="28">
                  <c:v>#N/A</c:v>
                </c:pt>
                <c:pt idx="29">
                  <c:v>#N/A</c:v>
                </c:pt>
                <c:pt idx="30">
                  <c:v>1504.49</c:v>
                </c:pt>
                <c:pt idx="31">
                  <c:v>#N/A</c:v>
                </c:pt>
                <c:pt idx="32">
                  <c:v>#N/A</c:v>
                </c:pt>
                <c:pt idx="33">
                  <c:v>#N/A</c:v>
                </c:pt>
                <c:pt idx="34">
                  <c:v>#N/A</c:v>
                </c:pt>
                <c:pt idx="35">
                  <c:v>#N/A</c:v>
                </c:pt>
                <c:pt idx="36">
                  <c:v>#N/A</c:v>
                </c:pt>
                <c:pt idx="37">
                  <c:v>1634.4</c:v>
                </c:pt>
                <c:pt idx="38">
                  <c:v>#N/A</c:v>
                </c:pt>
                <c:pt idx="39">
                  <c:v>#N/A</c:v>
                </c:pt>
                <c:pt idx="40">
                  <c:v>#N/A</c:v>
                </c:pt>
                <c:pt idx="41">
                  <c:v>#N/A</c:v>
                </c:pt>
                <c:pt idx="42">
                  <c:v>#N/A</c:v>
                </c:pt>
                <c:pt idx="43">
                  <c:v>#N/A</c:v>
                </c:pt>
                <c:pt idx="44">
                  <c:v>1893.68</c:v>
                </c:pt>
                <c:pt idx="45">
                  <c:v>#N/A</c:v>
                </c:pt>
                <c:pt idx="46">
                  <c:v>#N/A</c:v>
                </c:pt>
                <c:pt idx="47">
                  <c:v>#N/A</c:v>
                </c:pt>
                <c:pt idx="48">
                  <c:v>#N/A</c:v>
                </c:pt>
                <c:pt idx="49">
                  <c:v>#N/A</c:v>
                </c:pt>
                <c:pt idx="50">
                  <c:v>#N/A</c:v>
                </c:pt>
                <c:pt idx="51">
                  <c:v>2145.41</c:v>
                </c:pt>
                <c:pt idx="52">
                  <c:v>#N/A</c:v>
                </c:pt>
                <c:pt idx="53">
                  <c:v>#N/A</c:v>
                </c:pt>
                <c:pt idx="54">
                  <c:v>#N/A</c:v>
                </c:pt>
                <c:pt idx="55">
                  <c:v>#N/A</c:v>
                </c:pt>
                <c:pt idx="56">
                  <c:v>#N/A</c:v>
                </c:pt>
                <c:pt idx="57">
                  <c:v>#N/A</c:v>
                </c:pt>
                <c:pt idx="58">
                  <c:v>2375.88</c:v>
                </c:pt>
                <c:pt idx="59">
                  <c:v>#N/A</c:v>
                </c:pt>
                <c:pt idx="60">
                  <c:v>#N/A</c:v>
                </c:pt>
                <c:pt idx="61">
                  <c:v>#N/A</c:v>
                </c:pt>
                <c:pt idx="62">
                  <c:v>#N/A</c:v>
                </c:pt>
                <c:pt idx="63">
                  <c:v>#N/A</c:v>
                </c:pt>
                <c:pt idx="64">
                  <c:v>#N/A</c:v>
                </c:pt>
                <c:pt idx="65">
                  <c:v>2529.56</c:v>
                </c:pt>
                <c:pt idx="66">
                  <c:v>#N/A</c:v>
                </c:pt>
                <c:pt idx="67">
                  <c:v>#N/A</c:v>
                </c:pt>
                <c:pt idx="68">
                  <c:v>#N/A</c:v>
                </c:pt>
                <c:pt idx="69">
                  <c:v>#N/A</c:v>
                </c:pt>
                <c:pt idx="70">
                  <c:v>#N/A</c:v>
                </c:pt>
                <c:pt idx="71">
                  <c:v>#N/A</c:v>
                </c:pt>
                <c:pt idx="72">
                  <c:v>2600.52</c:v>
                </c:pt>
                <c:pt idx="73">
                  <c:v>#N/A</c:v>
                </c:pt>
                <c:pt idx="74">
                  <c:v>#N/A</c:v>
                </c:pt>
                <c:pt idx="75">
                  <c:v>#N/A</c:v>
                </c:pt>
                <c:pt idx="76">
                  <c:v>#N/A</c:v>
                </c:pt>
                <c:pt idx="77">
                  <c:v>#N/A</c:v>
                </c:pt>
                <c:pt idx="78">
                  <c:v>#N/A</c:v>
                </c:pt>
                <c:pt idx="79">
                  <c:v>2537.65</c:v>
                </c:pt>
                <c:pt idx="80">
                  <c:v>#N/A</c:v>
                </c:pt>
                <c:pt idx="81">
                  <c:v>#N/A</c:v>
                </c:pt>
                <c:pt idx="82">
                  <c:v>#N/A</c:v>
                </c:pt>
                <c:pt idx="83">
                  <c:v>#N/A</c:v>
                </c:pt>
                <c:pt idx="84">
                  <c:v>#N/A</c:v>
                </c:pt>
                <c:pt idx="85">
                  <c:v>#N/A</c:v>
                </c:pt>
                <c:pt idx="86">
                  <c:v>2430.63</c:v>
                </c:pt>
                <c:pt idx="87">
                  <c:v>#N/A</c:v>
                </c:pt>
                <c:pt idx="88">
                  <c:v>#N/A</c:v>
                </c:pt>
                <c:pt idx="89">
                  <c:v>#N/A</c:v>
                </c:pt>
                <c:pt idx="90">
                  <c:v>#N/A</c:v>
                </c:pt>
                <c:pt idx="91">
                  <c:v>#N/A</c:v>
                </c:pt>
                <c:pt idx="92">
                  <c:v>#N/A</c:v>
                </c:pt>
                <c:pt idx="93">
                  <c:v>2347.5700000000002</c:v>
                </c:pt>
                <c:pt idx="94">
                  <c:v>#N/A</c:v>
                </c:pt>
                <c:pt idx="95">
                  <c:v>#N/A</c:v>
                </c:pt>
                <c:pt idx="96">
                  <c:v>#N/A</c:v>
                </c:pt>
                <c:pt idx="97">
                  <c:v>#N/A</c:v>
                </c:pt>
                <c:pt idx="98">
                  <c:v>#N/A</c:v>
                </c:pt>
                <c:pt idx="99">
                  <c:v>#N/A</c:v>
                </c:pt>
                <c:pt idx="100">
                  <c:v>2241.2600000000002</c:v>
                </c:pt>
                <c:pt idx="101">
                  <c:v>#N/A</c:v>
                </c:pt>
                <c:pt idx="102">
                  <c:v>#N/A</c:v>
                </c:pt>
                <c:pt idx="103">
                  <c:v>#N/A</c:v>
                </c:pt>
                <c:pt idx="104">
                  <c:v>#N/A</c:v>
                </c:pt>
                <c:pt idx="105">
                  <c:v>#N/A</c:v>
                </c:pt>
                <c:pt idx="106">
                  <c:v>#N/A</c:v>
                </c:pt>
                <c:pt idx="107">
                  <c:v>2127.75</c:v>
                </c:pt>
                <c:pt idx="108">
                  <c:v>#N/A</c:v>
                </c:pt>
                <c:pt idx="109">
                  <c:v>#N/A</c:v>
                </c:pt>
                <c:pt idx="110">
                  <c:v>#N/A</c:v>
                </c:pt>
                <c:pt idx="111">
                  <c:v>#N/A</c:v>
                </c:pt>
                <c:pt idx="112">
                  <c:v>#N/A</c:v>
                </c:pt>
                <c:pt idx="113">
                  <c:v>#N/A</c:v>
                </c:pt>
                <c:pt idx="114">
                  <c:v>2013.22</c:v>
                </c:pt>
                <c:pt idx="115">
                  <c:v>#N/A</c:v>
                </c:pt>
                <c:pt idx="116">
                  <c:v>#N/A</c:v>
                </c:pt>
                <c:pt idx="117">
                  <c:v>#N/A</c:v>
                </c:pt>
                <c:pt idx="118">
                  <c:v>#N/A</c:v>
                </c:pt>
                <c:pt idx="119">
                  <c:v>#N/A</c:v>
                </c:pt>
                <c:pt idx="120">
                  <c:v>#N/A</c:v>
                </c:pt>
                <c:pt idx="121">
                  <c:v>1876.34</c:v>
                </c:pt>
                <c:pt idx="122">
                  <c:v>#N/A</c:v>
                </c:pt>
                <c:pt idx="123">
                  <c:v>#N/A</c:v>
                </c:pt>
                <c:pt idx="124">
                  <c:v>#N/A</c:v>
                </c:pt>
                <c:pt idx="125">
                  <c:v>#N/A</c:v>
                </c:pt>
                <c:pt idx="126">
                  <c:v>#N/A</c:v>
                </c:pt>
                <c:pt idx="127">
                  <c:v>#N/A</c:v>
                </c:pt>
                <c:pt idx="128">
                  <c:v>1810.51</c:v>
                </c:pt>
                <c:pt idx="129">
                  <c:v>#N/A</c:v>
                </c:pt>
                <c:pt idx="130">
                  <c:v>#N/A</c:v>
                </c:pt>
                <c:pt idx="131">
                  <c:v>#N/A</c:v>
                </c:pt>
                <c:pt idx="132">
                  <c:v>#N/A</c:v>
                </c:pt>
                <c:pt idx="133">
                  <c:v>#N/A</c:v>
                </c:pt>
                <c:pt idx="134">
                  <c:v>#N/A</c:v>
                </c:pt>
                <c:pt idx="135">
                  <c:v>1710.44</c:v>
                </c:pt>
                <c:pt idx="136">
                  <c:v>#N/A</c:v>
                </c:pt>
                <c:pt idx="137">
                  <c:v>#N/A</c:v>
                </c:pt>
                <c:pt idx="138">
                  <c:v>#N/A</c:v>
                </c:pt>
                <c:pt idx="139">
                  <c:v>#N/A</c:v>
                </c:pt>
                <c:pt idx="140">
                  <c:v>#N/A</c:v>
                </c:pt>
                <c:pt idx="141">
                  <c:v>#N/A</c:v>
                </c:pt>
                <c:pt idx="142">
                  <c:v>1608.84</c:v>
                </c:pt>
                <c:pt idx="143">
                  <c:v>#N/A</c:v>
                </c:pt>
                <c:pt idx="144">
                  <c:v>#N/A</c:v>
                </c:pt>
                <c:pt idx="145">
                  <c:v>#N/A</c:v>
                </c:pt>
                <c:pt idx="146">
                  <c:v>#N/A</c:v>
                </c:pt>
                <c:pt idx="147">
                  <c:v>#N/A</c:v>
                </c:pt>
                <c:pt idx="148">
                  <c:v>#N/A</c:v>
                </c:pt>
                <c:pt idx="149">
                  <c:v>1549.23</c:v>
                </c:pt>
                <c:pt idx="150">
                  <c:v>#N/A</c:v>
                </c:pt>
                <c:pt idx="151">
                  <c:v>#N/A</c:v>
                </c:pt>
                <c:pt idx="152">
                  <c:v>#N/A</c:v>
                </c:pt>
                <c:pt idx="153">
                  <c:v>#N/A</c:v>
                </c:pt>
                <c:pt idx="154">
                  <c:v>#N/A</c:v>
                </c:pt>
                <c:pt idx="155">
                  <c:v>#N/A</c:v>
                </c:pt>
                <c:pt idx="156">
                  <c:v>1488.27</c:v>
                </c:pt>
                <c:pt idx="157">
                  <c:v>#N/A</c:v>
                </c:pt>
                <c:pt idx="158">
                  <c:v>#N/A</c:v>
                </c:pt>
                <c:pt idx="159">
                  <c:v>#N/A</c:v>
                </c:pt>
                <c:pt idx="160">
                  <c:v>#N/A</c:v>
                </c:pt>
                <c:pt idx="161">
                  <c:v>#N/A</c:v>
                </c:pt>
                <c:pt idx="162">
                  <c:v>#N/A</c:v>
                </c:pt>
                <c:pt idx="163">
                  <c:v>1449.52</c:v>
                </c:pt>
                <c:pt idx="164">
                  <c:v>#N/A</c:v>
                </c:pt>
                <c:pt idx="165">
                  <c:v>#N/A</c:v>
                </c:pt>
                <c:pt idx="166">
                  <c:v>#N/A</c:v>
                </c:pt>
                <c:pt idx="167">
                  <c:v>#N/A</c:v>
                </c:pt>
                <c:pt idx="168">
                  <c:v>#N/A</c:v>
                </c:pt>
                <c:pt idx="169">
                  <c:v>#N/A</c:v>
                </c:pt>
                <c:pt idx="170">
                  <c:v>1423.43</c:v>
                </c:pt>
                <c:pt idx="171">
                  <c:v>#N/A</c:v>
                </c:pt>
                <c:pt idx="172">
                  <c:v>#N/A</c:v>
                </c:pt>
                <c:pt idx="173">
                  <c:v>#N/A</c:v>
                </c:pt>
                <c:pt idx="174">
                  <c:v>#N/A</c:v>
                </c:pt>
                <c:pt idx="175">
                  <c:v>#N/A</c:v>
                </c:pt>
                <c:pt idx="176">
                  <c:v>#N/A</c:v>
                </c:pt>
                <c:pt idx="177">
                  <c:v>1432.71</c:v>
                </c:pt>
                <c:pt idx="178">
                  <c:v>#N/A</c:v>
                </c:pt>
                <c:pt idx="179">
                  <c:v>#N/A</c:v>
                </c:pt>
                <c:pt idx="180">
                  <c:v>#N/A</c:v>
                </c:pt>
                <c:pt idx="181">
                  <c:v>#N/A</c:v>
                </c:pt>
                <c:pt idx="182">
                  <c:v>#N/A</c:v>
                </c:pt>
                <c:pt idx="183">
                  <c:v>#N/A</c:v>
                </c:pt>
                <c:pt idx="184">
                  <c:v>1477.38</c:v>
                </c:pt>
                <c:pt idx="185">
                  <c:v>#N/A</c:v>
                </c:pt>
                <c:pt idx="186">
                  <c:v>#N/A</c:v>
                </c:pt>
                <c:pt idx="187">
                  <c:v>#N/A</c:v>
                </c:pt>
                <c:pt idx="188">
                  <c:v>#N/A</c:v>
                </c:pt>
                <c:pt idx="189">
                  <c:v>#N/A</c:v>
                </c:pt>
                <c:pt idx="190">
                  <c:v>#N/A</c:v>
                </c:pt>
                <c:pt idx="191">
                  <c:v>1505.75</c:v>
                </c:pt>
                <c:pt idx="192">
                  <c:v>#N/A</c:v>
                </c:pt>
                <c:pt idx="193">
                  <c:v>#N/A</c:v>
                </c:pt>
                <c:pt idx="194">
                  <c:v>#N/A</c:v>
                </c:pt>
                <c:pt idx="195">
                  <c:v>#N/A</c:v>
                </c:pt>
                <c:pt idx="196">
                  <c:v>#N/A</c:v>
                </c:pt>
                <c:pt idx="197">
                  <c:v>#N/A</c:v>
                </c:pt>
                <c:pt idx="198">
                  <c:v>1535.68</c:v>
                </c:pt>
                <c:pt idx="199">
                  <c:v>#N/A</c:v>
                </c:pt>
                <c:pt idx="200">
                  <c:v>#N/A</c:v>
                </c:pt>
                <c:pt idx="201">
                  <c:v>#N/A</c:v>
                </c:pt>
                <c:pt idx="202">
                  <c:v>#N/A</c:v>
                </c:pt>
                <c:pt idx="203">
                  <c:v>#N/A</c:v>
                </c:pt>
                <c:pt idx="204">
                  <c:v>#N/A</c:v>
                </c:pt>
                <c:pt idx="205">
                  <c:v>1548.97</c:v>
                </c:pt>
                <c:pt idx="206">
                  <c:v>#N/A</c:v>
                </c:pt>
                <c:pt idx="207">
                  <c:v>#N/A</c:v>
                </c:pt>
                <c:pt idx="208">
                  <c:v>#N/A</c:v>
                </c:pt>
                <c:pt idx="209">
                  <c:v>#N/A</c:v>
                </c:pt>
                <c:pt idx="210">
                  <c:v>#N/A</c:v>
                </c:pt>
                <c:pt idx="211">
                  <c:v>#N/A</c:v>
                </c:pt>
                <c:pt idx="212">
                  <c:v>#N/A</c:v>
                </c:pt>
                <c:pt idx="213">
                  <c:v>#N/A</c:v>
                </c:pt>
                <c:pt idx="214">
                  <c:v>#N/A</c:v>
                </c:pt>
                <c:pt idx="215">
                  <c:v>#N/A</c:v>
                </c:pt>
                <c:pt idx="216">
                  <c:v>#N/A</c:v>
                </c:pt>
                <c:pt idx="217">
                  <c:v>#N/A</c:v>
                </c:pt>
                <c:pt idx="218">
                  <c:v>#N/A</c:v>
                </c:pt>
                <c:pt idx="219">
                  <c:v>#N/A</c:v>
                </c:pt>
                <c:pt idx="220">
                  <c:v>#N/A</c:v>
                </c:pt>
                <c:pt idx="221">
                  <c:v>#N/A</c:v>
                </c:pt>
                <c:pt idx="222">
                  <c:v>#N/A</c:v>
                </c:pt>
                <c:pt idx="223">
                  <c:v>#N/A</c:v>
                </c:pt>
                <c:pt idx="224">
                  <c:v>#N/A</c:v>
                </c:pt>
                <c:pt idx="225">
                  <c:v>#N/A</c:v>
                </c:pt>
                <c:pt idx="226">
                  <c:v>#N/A</c:v>
                </c:pt>
                <c:pt idx="227">
                  <c:v>#N/A</c:v>
                </c:pt>
                <c:pt idx="228">
                  <c:v>#N/A</c:v>
                </c:pt>
                <c:pt idx="229">
                  <c:v>#N/A</c:v>
                </c:pt>
                <c:pt idx="230">
                  <c:v>#N/A</c:v>
                </c:pt>
                <c:pt idx="231">
                  <c:v>#N/A</c:v>
                </c:pt>
                <c:pt idx="232">
                  <c:v>#N/A</c:v>
                </c:pt>
                <c:pt idx="233">
                  <c:v>#N/A</c:v>
                </c:pt>
                <c:pt idx="234">
                  <c:v>#N/A</c:v>
                </c:pt>
                <c:pt idx="235">
                  <c:v>#N/A</c:v>
                </c:pt>
                <c:pt idx="236">
                  <c:v>#N/A</c:v>
                </c:pt>
                <c:pt idx="237">
                  <c:v>#N/A</c:v>
                </c:pt>
                <c:pt idx="238">
                  <c:v>#N/A</c:v>
                </c:pt>
                <c:pt idx="239">
                  <c:v>#N/A</c:v>
                </c:pt>
                <c:pt idx="240">
                  <c:v>#N/A</c:v>
                </c:pt>
                <c:pt idx="241">
                  <c:v>#N/A</c:v>
                </c:pt>
                <c:pt idx="242">
                  <c:v>#N/A</c:v>
                </c:pt>
                <c:pt idx="243">
                  <c:v>#N/A</c:v>
                </c:pt>
                <c:pt idx="244">
                  <c:v>#N/A</c:v>
                </c:pt>
                <c:pt idx="245">
                  <c:v>#N/A</c:v>
                </c:pt>
                <c:pt idx="246">
                  <c:v>#N/A</c:v>
                </c:pt>
                <c:pt idx="247">
                  <c:v>#N/A</c:v>
                </c:pt>
                <c:pt idx="248">
                  <c:v>#N/A</c:v>
                </c:pt>
                <c:pt idx="249">
                  <c:v>#N/A</c:v>
                </c:pt>
                <c:pt idx="250">
                  <c:v>#N/A</c:v>
                </c:pt>
                <c:pt idx="251">
                  <c:v>#N/A</c:v>
                </c:pt>
                <c:pt idx="252">
                  <c:v>#N/A</c:v>
                </c:pt>
                <c:pt idx="253">
                  <c:v>#N/A</c:v>
                </c:pt>
                <c:pt idx="254">
                  <c:v>#N/A</c:v>
                </c:pt>
                <c:pt idx="255">
                  <c:v>#N/A</c:v>
                </c:pt>
                <c:pt idx="256">
                  <c:v>#N/A</c:v>
                </c:pt>
                <c:pt idx="257">
                  <c:v>#N/A</c:v>
                </c:pt>
                <c:pt idx="258">
                  <c:v>#N/A</c:v>
                </c:pt>
                <c:pt idx="259">
                  <c:v>#N/A</c:v>
                </c:pt>
                <c:pt idx="260">
                  <c:v>#N/A</c:v>
                </c:pt>
                <c:pt idx="261">
                  <c:v>#N/A</c:v>
                </c:pt>
                <c:pt idx="262">
                  <c:v>#N/A</c:v>
                </c:pt>
                <c:pt idx="263">
                  <c:v>#N/A</c:v>
                </c:pt>
                <c:pt idx="264">
                  <c:v>#N/A</c:v>
                </c:pt>
                <c:pt idx="265">
                  <c:v>#N/A</c:v>
                </c:pt>
                <c:pt idx="266">
                  <c:v>#N/A</c:v>
                </c:pt>
                <c:pt idx="267">
                  <c:v>#N/A</c:v>
                </c:pt>
                <c:pt idx="268">
                  <c:v>#N/A</c:v>
                </c:pt>
                <c:pt idx="269">
                  <c:v>#N/A</c:v>
                </c:pt>
                <c:pt idx="270">
                  <c:v>#N/A</c:v>
                </c:pt>
                <c:pt idx="271">
                  <c:v>#N/A</c:v>
                </c:pt>
                <c:pt idx="272">
                  <c:v>#N/A</c:v>
                </c:pt>
                <c:pt idx="273">
                  <c:v>#N/A</c:v>
                </c:pt>
                <c:pt idx="274">
                  <c:v>#N/A</c:v>
                </c:pt>
                <c:pt idx="275">
                  <c:v>#N/A</c:v>
                </c:pt>
                <c:pt idx="276">
                  <c:v>#N/A</c:v>
                </c:pt>
                <c:pt idx="277">
                  <c:v>#N/A</c:v>
                </c:pt>
                <c:pt idx="278">
                  <c:v>#N/A</c:v>
                </c:pt>
                <c:pt idx="279">
                  <c:v>#N/A</c:v>
                </c:pt>
                <c:pt idx="280">
                  <c:v>#N/A</c:v>
                </c:pt>
                <c:pt idx="281">
                  <c:v>#N/A</c:v>
                </c:pt>
                <c:pt idx="282">
                  <c:v>#N/A</c:v>
                </c:pt>
                <c:pt idx="283">
                  <c:v>#N/A</c:v>
                </c:pt>
                <c:pt idx="284">
                  <c:v>#N/A</c:v>
                </c:pt>
                <c:pt idx="285">
                  <c:v>#N/A</c:v>
                </c:pt>
                <c:pt idx="286">
                  <c:v>#N/A</c:v>
                </c:pt>
                <c:pt idx="287">
                  <c:v>#N/A</c:v>
                </c:pt>
                <c:pt idx="288">
                  <c:v>#N/A</c:v>
                </c:pt>
                <c:pt idx="289">
                  <c:v>#N/A</c:v>
                </c:pt>
                <c:pt idx="290">
                  <c:v>#N/A</c:v>
                </c:pt>
                <c:pt idx="291">
                  <c:v>#N/A</c:v>
                </c:pt>
                <c:pt idx="292">
                  <c:v>#N/A</c:v>
                </c:pt>
                <c:pt idx="293">
                  <c:v>#N/A</c:v>
                </c:pt>
                <c:pt idx="294">
                  <c:v>#N/A</c:v>
                </c:pt>
                <c:pt idx="295">
                  <c:v>#N/A</c:v>
                </c:pt>
                <c:pt idx="296">
                  <c:v>#N/A</c:v>
                </c:pt>
                <c:pt idx="297">
                  <c:v>#N/A</c:v>
                </c:pt>
                <c:pt idx="298">
                  <c:v>#N/A</c:v>
                </c:pt>
                <c:pt idx="299">
                  <c:v>#N/A</c:v>
                </c:pt>
                <c:pt idx="300">
                  <c:v>#N/A</c:v>
                </c:pt>
                <c:pt idx="301">
                  <c:v>#N/A</c:v>
                </c:pt>
                <c:pt idx="302">
                  <c:v>#N/A</c:v>
                </c:pt>
                <c:pt idx="303">
                  <c:v>#N/A</c:v>
                </c:pt>
                <c:pt idx="304">
                  <c:v>#N/A</c:v>
                </c:pt>
                <c:pt idx="305">
                  <c:v>#N/A</c:v>
                </c:pt>
                <c:pt idx="306">
                  <c:v>#N/A</c:v>
                </c:pt>
                <c:pt idx="307">
                  <c:v>#N/A</c:v>
                </c:pt>
                <c:pt idx="308">
                  <c:v>#N/A</c:v>
                </c:pt>
                <c:pt idx="309">
                  <c:v>#N/A</c:v>
                </c:pt>
                <c:pt idx="310">
                  <c:v>#N/A</c:v>
                </c:pt>
                <c:pt idx="311">
                  <c:v>#N/A</c:v>
                </c:pt>
                <c:pt idx="312">
                  <c:v>#N/A</c:v>
                </c:pt>
                <c:pt idx="313">
                  <c:v>#N/A</c:v>
                </c:pt>
                <c:pt idx="314">
                  <c:v>#N/A</c:v>
                </c:pt>
                <c:pt idx="315">
                  <c:v>#N/A</c:v>
                </c:pt>
                <c:pt idx="316">
                  <c:v>#N/A</c:v>
                </c:pt>
                <c:pt idx="317">
                  <c:v>#N/A</c:v>
                </c:pt>
                <c:pt idx="318">
                  <c:v>#N/A</c:v>
                </c:pt>
                <c:pt idx="319">
                  <c:v>#N/A</c:v>
                </c:pt>
                <c:pt idx="320">
                  <c:v>#N/A</c:v>
                </c:pt>
                <c:pt idx="321">
                  <c:v>#N/A</c:v>
                </c:pt>
                <c:pt idx="322">
                  <c:v>#N/A</c:v>
                </c:pt>
                <c:pt idx="323">
                  <c:v>#N/A</c:v>
                </c:pt>
                <c:pt idx="324">
                  <c:v>#N/A</c:v>
                </c:pt>
                <c:pt idx="325">
                  <c:v>#N/A</c:v>
                </c:pt>
                <c:pt idx="326">
                  <c:v>#N/A</c:v>
                </c:pt>
                <c:pt idx="327">
                  <c:v>#N/A</c:v>
                </c:pt>
                <c:pt idx="328">
                  <c:v>#N/A</c:v>
                </c:pt>
                <c:pt idx="329">
                  <c:v>#N/A</c:v>
                </c:pt>
                <c:pt idx="330">
                  <c:v>#N/A</c:v>
                </c:pt>
                <c:pt idx="331">
                  <c:v>#N/A</c:v>
                </c:pt>
                <c:pt idx="332">
                  <c:v>#N/A</c:v>
                </c:pt>
                <c:pt idx="333">
                  <c:v>#N/A</c:v>
                </c:pt>
                <c:pt idx="334">
                  <c:v>#N/A</c:v>
                </c:pt>
                <c:pt idx="335">
                  <c:v>#N/A</c:v>
                </c:pt>
                <c:pt idx="336">
                  <c:v>#N/A</c:v>
                </c:pt>
                <c:pt idx="337">
                  <c:v>#N/A</c:v>
                </c:pt>
                <c:pt idx="338">
                  <c:v>#N/A</c:v>
                </c:pt>
                <c:pt idx="339">
                  <c:v>#N/A</c:v>
                </c:pt>
                <c:pt idx="340">
                  <c:v>#N/A</c:v>
                </c:pt>
                <c:pt idx="341">
                  <c:v>#N/A</c:v>
                </c:pt>
                <c:pt idx="342">
                  <c:v>#N/A</c:v>
                </c:pt>
                <c:pt idx="343">
                  <c:v>#N/A</c:v>
                </c:pt>
                <c:pt idx="344">
                  <c:v>#N/A</c:v>
                </c:pt>
                <c:pt idx="345">
                  <c:v>#N/A</c:v>
                </c:pt>
                <c:pt idx="346">
                  <c:v>#N/A</c:v>
                </c:pt>
                <c:pt idx="347">
                  <c:v>#N/A</c:v>
                </c:pt>
                <c:pt idx="348">
                  <c:v>#N/A</c:v>
                </c:pt>
                <c:pt idx="349">
                  <c:v>#N/A</c:v>
                </c:pt>
                <c:pt idx="350">
                  <c:v>#N/A</c:v>
                </c:pt>
                <c:pt idx="351">
                  <c:v>#N/A</c:v>
                </c:pt>
                <c:pt idx="352">
                  <c:v>#N/A</c:v>
                </c:pt>
                <c:pt idx="353">
                  <c:v>#N/A</c:v>
                </c:pt>
                <c:pt idx="354">
                  <c:v>#N/A</c:v>
                </c:pt>
                <c:pt idx="355">
                  <c:v>#N/A</c:v>
                </c:pt>
                <c:pt idx="356">
                  <c:v>#N/A</c:v>
                </c:pt>
                <c:pt idx="357">
                  <c:v>#N/A</c:v>
                </c:pt>
                <c:pt idx="358">
                  <c:v>#N/A</c:v>
                </c:pt>
                <c:pt idx="359">
                  <c:v>#N/A</c:v>
                </c:pt>
                <c:pt idx="360">
                  <c:v>#N/A</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2-57F3-4226-850D-EC22305A3D75}"/>
            </c:ext>
          </c:extLst>
        </c:ser>
        <c:dLbls>
          <c:showLegendKey val="0"/>
          <c:showVal val="0"/>
          <c:showCatName val="0"/>
          <c:showSerName val="0"/>
          <c:showPercent val="0"/>
          <c:showBubbleSize val="0"/>
        </c:dLbls>
        <c:marker val="1"/>
        <c:smooth val="0"/>
        <c:axId val="264916992"/>
        <c:axId val="264918528"/>
      </c:lineChart>
      <c:dateAx>
        <c:axId val="264916992"/>
        <c:scaling>
          <c:orientation val="minMax"/>
        </c:scaling>
        <c:delete val="0"/>
        <c:axPos val="b"/>
        <c:numFmt formatCode="m" sourceLinked="0"/>
        <c:majorTickMark val="out"/>
        <c:minorTickMark val="out"/>
        <c:tickLblPos val="low"/>
        <c:spPr>
          <a:ln w="3175">
            <a:solidFill>
              <a:sysClr val="windowText" lastClr="000000"/>
            </a:solidFill>
            <a:prstDash val="solid"/>
          </a:ln>
        </c:spPr>
        <c:txPr>
          <a:bodyPr rot="0" vert="horz"/>
          <a:lstStyle/>
          <a:p>
            <a:pPr>
              <a:defRPr sz="700">
                <a:latin typeface="Arial Narrow" panose="020B0606020202030204" pitchFamily="34" charset="0"/>
              </a:defRPr>
            </a:pPr>
            <a:endParaRPr lang="zh-CN"/>
          </a:p>
        </c:txPr>
        <c:crossAx val="264918528"/>
        <c:crosses val="autoZero"/>
        <c:auto val="0"/>
        <c:lblOffset val="0"/>
        <c:baseTimeUnit val="days"/>
        <c:majorUnit val="1"/>
        <c:majorTimeUnit val="months"/>
      </c:dateAx>
      <c:valAx>
        <c:axId val="264918528"/>
        <c:scaling>
          <c:orientation val="minMax"/>
          <c:min val="50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sz="700">
                <a:solidFill>
                  <a:schemeClr val="tx1"/>
                </a:solidFill>
                <a:latin typeface="Arial Narrow" panose="020B0606020202030204" pitchFamily="34" charset="0"/>
              </a:defRPr>
            </a:pPr>
            <a:endParaRPr lang="zh-CN"/>
          </a:p>
        </c:txPr>
        <c:crossAx val="264916992"/>
        <c:crosses val="autoZero"/>
        <c:crossBetween val="between"/>
      </c:valAx>
    </c:plotArea>
    <c:legend>
      <c:legendPos val="r"/>
      <c:layout>
        <c:manualLayout>
          <c:xMode val="edge"/>
          <c:yMode val="edge"/>
          <c:x val="0.15225"/>
          <c:y val="2.3337707786526686E-3"/>
          <c:w val="0.690571084864392"/>
          <c:h val="5.8071230679498403E-2"/>
        </c:manualLayout>
      </c:layout>
      <c:overlay val="0"/>
      <c:spPr>
        <a:noFill/>
        <a:ln w="3175">
          <a:noFill/>
          <a:prstDash val="solid"/>
        </a:ln>
      </c:spPr>
      <c:txPr>
        <a:bodyPr/>
        <a:lstStyle/>
        <a:p>
          <a:pPr>
            <a:defRPr sz="700" b="0">
              <a:latin typeface="华文楷体" panose="02010600040101010101" pitchFamily="2" charset="-122"/>
              <a:ea typeface="华文楷体" panose="02010600040101010101" pitchFamily="2" charset="-122"/>
            </a:defRPr>
          </a:pPr>
          <a:endParaRPr lang="zh-CN"/>
        </a:p>
      </c:txPr>
    </c:legend>
    <c:plotVisOnly val="1"/>
    <c:dispBlanksAs val="span"/>
    <c:showDLblsOverMax val="0"/>
  </c:chart>
  <c:spPr>
    <a:ln>
      <a:noFill/>
    </a:ln>
  </c:spPr>
  <c:txPr>
    <a:bodyPr/>
    <a:lstStyle/>
    <a:p>
      <a:pPr>
        <a:defRPr sz="10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1196595217264509"/>
          <c:w val="0.92723381452318465"/>
          <c:h val="0.81409120734908136"/>
        </c:manualLayout>
      </c:layout>
      <c:lineChart>
        <c:grouping val="standard"/>
        <c:varyColors val="0"/>
        <c:ser>
          <c:idx val="0"/>
          <c:order val="0"/>
          <c:tx>
            <c:strRef>
              <c:f>水泥!$H$1</c:f>
              <c:strCache>
                <c:ptCount val="1"/>
                <c:pt idx="0">
                  <c:v>2018</c:v>
                </c:pt>
              </c:strCache>
            </c:strRef>
          </c:tx>
          <c:spPr>
            <a:ln w="28575">
              <a:solidFill>
                <a:srgbClr val="E7E6E6">
                  <a:lumMod val="75000"/>
                </a:srgbClr>
              </a:solidFill>
              <a:prstDash val="solid"/>
            </a:ln>
          </c:spPr>
          <c:marker>
            <c:symbol val="none"/>
          </c:marker>
          <c:cat>
            <c:numRef>
              <c:f>水泥!$G$2:$G$366</c:f>
              <c:numCache>
                <c:formatCode>m"月"d"日"</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水泥!$H$2:$H$366</c:f>
              <c:numCache>
                <c:formatCode>General</c:formatCode>
                <c:ptCount val="365"/>
                <c:pt idx="0">
                  <c:v>#N/A</c:v>
                </c:pt>
                <c:pt idx="1">
                  <c:v>150.18</c:v>
                </c:pt>
                <c:pt idx="2">
                  <c:v>150.68</c:v>
                </c:pt>
                <c:pt idx="3">
                  <c:v>150.66999999999999</c:v>
                </c:pt>
                <c:pt idx="4">
                  <c:v>150.76</c:v>
                </c:pt>
                <c:pt idx="5">
                  <c:v>#N/A</c:v>
                </c:pt>
                <c:pt idx="6">
                  <c:v>#N/A</c:v>
                </c:pt>
                <c:pt idx="7">
                  <c:v>150.9</c:v>
                </c:pt>
                <c:pt idx="8">
                  <c:v>150.83000000000001</c:v>
                </c:pt>
                <c:pt idx="9">
                  <c:v>150.83000000000001</c:v>
                </c:pt>
                <c:pt idx="10">
                  <c:v>150.72999999999999</c:v>
                </c:pt>
                <c:pt idx="11">
                  <c:v>148.5</c:v>
                </c:pt>
                <c:pt idx="12">
                  <c:v>#N/A</c:v>
                </c:pt>
                <c:pt idx="13">
                  <c:v>#N/A</c:v>
                </c:pt>
                <c:pt idx="14">
                  <c:v>147.31</c:v>
                </c:pt>
                <c:pt idx="15">
                  <c:v>145.79</c:v>
                </c:pt>
                <c:pt idx="16">
                  <c:v>145.1</c:v>
                </c:pt>
                <c:pt idx="17">
                  <c:v>144.66</c:v>
                </c:pt>
                <c:pt idx="18">
                  <c:v>144.57</c:v>
                </c:pt>
                <c:pt idx="19">
                  <c:v>#N/A</c:v>
                </c:pt>
                <c:pt idx="20">
                  <c:v>#N/A</c:v>
                </c:pt>
                <c:pt idx="21">
                  <c:v>143.91</c:v>
                </c:pt>
                <c:pt idx="22">
                  <c:v>142.71</c:v>
                </c:pt>
                <c:pt idx="23">
                  <c:v>142.54</c:v>
                </c:pt>
                <c:pt idx="24">
                  <c:v>141.97</c:v>
                </c:pt>
                <c:pt idx="25">
                  <c:v>141.56</c:v>
                </c:pt>
                <c:pt idx="26">
                  <c:v>#N/A</c:v>
                </c:pt>
                <c:pt idx="27">
                  <c:v>#N/A</c:v>
                </c:pt>
                <c:pt idx="28">
                  <c:v>141.44999999999999</c:v>
                </c:pt>
                <c:pt idx="29">
                  <c:v>141.30000000000001</c:v>
                </c:pt>
                <c:pt idx="30">
                  <c:v>141.28</c:v>
                </c:pt>
                <c:pt idx="31">
                  <c:v>141.22999999999999</c:v>
                </c:pt>
                <c:pt idx="32">
                  <c:v>140.58000000000001</c:v>
                </c:pt>
                <c:pt idx="33">
                  <c:v>#N/A</c:v>
                </c:pt>
                <c:pt idx="34">
                  <c:v>#N/A</c:v>
                </c:pt>
                <c:pt idx="35">
                  <c:v>138.84</c:v>
                </c:pt>
                <c:pt idx="36">
                  <c:v>138.85</c:v>
                </c:pt>
                <c:pt idx="37">
                  <c:v>138.52000000000001</c:v>
                </c:pt>
                <c:pt idx="38">
                  <c:v>137.16</c:v>
                </c:pt>
                <c:pt idx="39">
                  <c:v>137.11000000000001</c:v>
                </c:pt>
                <c:pt idx="40">
                  <c:v>#N/A</c:v>
                </c:pt>
                <c:pt idx="41">
                  <c:v>#N/A</c:v>
                </c:pt>
                <c:pt idx="42">
                  <c:v>136.53</c:v>
                </c:pt>
                <c:pt idx="43">
                  <c:v>#N/A</c:v>
                </c:pt>
                <c:pt idx="44">
                  <c:v>#N/A</c:v>
                </c:pt>
                <c:pt idx="45">
                  <c:v>#N/A</c:v>
                </c:pt>
                <c:pt idx="46">
                  <c:v>#N/A</c:v>
                </c:pt>
                <c:pt idx="47">
                  <c:v>#N/A</c:v>
                </c:pt>
                <c:pt idx="48">
                  <c:v>#N/A</c:v>
                </c:pt>
                <c:pt idx="49">
                  <c:v>#N/A</c:v>
                </c:pt>
                <c:pt idx="50">
                  <c:v>#N/A</c:v>
                </c:pt>
                <c:pt idx="51">
                  <c:v>#N/A</c:v>
                </c:pt>
                <c:pt idx="52">
                  <c:v>#N/A</c:v>
                </c:pt>
                <c:pt idx="53">
                  <c:v>136.44</c:v>
                </c:pt>
                <c:pt idx="54">
                  <c:v>#N/A</c:v>
                </c:pt>
                <c:pt idx="55">
                  <c:v>#N/A</c:v>
                </c:pt>
                <c:pt idx="56">
                  <c:v>136.19</c:v>
                </c:pt>
                <c:pt idx="57">
                  <c:v>135.83000000000001</c:v>
                </c:pt>
                <c:pt idx="58">
                  <c:v>134.84</c:v>
                </c:pt>
                <c:pt idx="59">
                  <c:v>134.28</c:v>
                </c:pt>
                <c:pt idx="60">
                  <c:v>134.16999999999999</c:v>
                </c:pt>
                <c:pt idx="61">
                  <c:v>#N/A</c:v>
                </c:pt>
                <c:pt idx="62">
                  <c:v>#N/A</c:v>
                </c:pt>
                <c:pt idx="63">
                  <c:v>133.91999999999999</c:v>
                </c:pt>
                <c:pt idx="64">
                  <c:v>133.34</c:v>
                </c:pt>
                <c:pt idx="65">
                  <c:v>133.08000000000001</c:v>
                </c:pt>
                <c:pt idx="66">
                  <c:v>132.44999999999999</c:v>
                </c:pt>
                <c:pt idx="67">
                  <c:v>132.5</c:v>
                </c:pt>
                <c:pt idx="68">
                  <c:v>#N/A</c:v>
                </c:pt>
                <c:pt idx="69">
                  <c:v>#N/A</c:v>
                </c:pt>
                <c:pt idx="70">
                  <c:v>132.57</c:v>
                </c:pt>
                <c:pt idx="71">
                  <c:v>132.66</c:v>
                </c:pt>
                <c:pt idx="72">
                  <c:v>132.36000000000001</c:v>
                </c:pt>
                <c:pt idx="73">
                  <c:v>132.44999999999999</c:v>
                </c:pt>
                <c:pt idx="74">
                  <c:v>132.30000000000001</c:v>
                </c:pt>
                <c:pt idx="75">
                  <c:v>#N/A</c:v>
                </c:pt>
                <c:pt idx="76">
                  <c:v>#N/A</c:v>
                </c:pt>
                <c:pt idx="77">
                  <c:v>131.63</c:v>
                </c:pt>
                <c:pt idx="78">
                  <c:v>131.26</c:v>
                </c:pt>
                <c:pt idx="79">
                  <c:v>131.24</c:v>
                </c:pt>
                <c:pt idx="80">
                  <c:v>131.19999999999999</c:v>
                </c:pt>
                <c:pt idx="81">
                  <c:v>131.24</c:v>
                </c:pt>
                <c:pt idx="82">
                  <c:v>#N/A</c:v>
                </c:pt>
                <c:pt idx="83">
                  <c:v>#N/A</c:v>
                </c:pt>
                <c:pt idx="84">
                  <c:v>131.59</c:v>
                </c:pt>
                <c:pt idx="85">
                  <c:v>131.59</c:v>
                </c:pt>
                <c:pt idx="86">
                  <c:v>131.59</c:v>
                </c:pt>
                <c:pt idx="87">
                  <c:v>131.78</c:v>
                </c:pt>
                <c:pt idx="88">
                  <c:v>132.03</c:v>
                </c:pt>
                <c:pt idx="89">
                  <c:v>#N/A</c:v>
                </c:pt>
                <c:pt idx="90">
                  <c:v>#N/A</c:v>
                </c:pt>
                <c:pt idx="91">
                  <c:v>133.16</c:v>
                </c:pt>
                <c:pt idx="92">
                  <c:v>133.41</c:v>
                </c:pt>
                <c:pt idx="93">
                  <c:v>133.84</c:v>
                </c:pt>
                <c:pt idx="94">
                  <c:v>#N/A</c:v>
                </c:pt>
                <c:pt idx="95">
                  <c:v>#N/A</c:v>
                </c:pt>
                <c:pt idx="96">
                  <c:v>#N/A</c:v>
                </c:pt>
                <c:pt idx="97">
                  <c:v>#N/A</c:v>
                </c:pt>
                <c:pt idx="98">
                  <c:v>134.12</c:v>
                </c:pt>
                <c:pt idx="99">
                  <c:v>134.05000000000001</c:v>
                </c:pt>
                <c:pt idx="100">
                  <c:v>134.52000000000001</c:v>
                </c:pt>
                <c:pt idx="101">
                  <c:v>134.55000000000001</c:v>
                </c:pt>
                <c:pt idx="102">
                  <c:v>135.08000000000001</c:v>
                </c:pt>
                <c:pt idx="103">
                  <c:v>#N/A</c:v>
                </c:pt>
                <c:pt idx="104">
                  <c:v>#N/A</c:v>
                </c:pt>
                <c:pt idx="105">
                  <c:v>135.91</c:v>
                </c:pt>
                <c:pt idx="106">
                  <c:v>136.09</c:v>
                </c:pt>
                <c:pt idx="107">
                  <c:v>136.29</c:v>
                </c:pt>
                <c:pt idx="108">
                  <c:v>136.88</c:v>
                </c:pt>
                <c:pt idx="109">
                  <c:v>137.5</c:v>
                </c:pt>
                <c:pt idx="110">
                  <c:v>#N/A</c:v>
                </c:pt>
                <c:pt idx="111">
                  <c:v>#N/A</c:v>
                </c:pt>
                <c:pt idx="112">
                  <c:v>138.1</c:v>
                </c:pt>
                <c:pt idx="113">
                  <c:v>138.43</c:v>
                </c:pt>
                <c:pt idx="114">
                  <c:v>138.52000000000001</c:v>
                </c:pt>
                <c:pt idx="115">
                  <c:v>139.25</c:v>
                </c:pt>
                <c:pt idx="116">
                  <c:v>137.24</c:v>
                </c:pt>
                <c:pt idx="117">
                  <c:v>#N/A</c:v>
                </c:pt>
                <c:pt idx="118">
                  <c:v>#N/A</c:v>
                </c:pt>
                <c:pt idx="119">
                  <c:v>#N/A</c:v>
                </c:pt>
                <c:pt idx="120">
                  <c:v>#N/A</c:v>
                </c:pt>
                <c:pt idx="121">
                  <c:v>139.96</c:v>
                </c:pt>
                <c:pt idx="122">
                  <c:v>140.47999999999999</c:v>
                </c:pt>
                <c:pt idx="123">
                  <c:v>141.27000000000001</c:v>
                </c:pt>
                <c:pt idx="124">
                  <c:v>#N/A</c:v>
                </c:pt>
                <c:pt idx="125">
                  <c:v>#N/A</c:v>
                </c:pt>
                <c:pt idx="126">
                  <c:v>141.84</c:v>
                </c:pt>
                <c:pt idx="127">
                  <c:v>142.32</c:v>
                </c:pt>
                <c:pt idx="128">
                  <c:v>142.13</c:v>
                </c:pt>
                <c:pt idx="129">
                  <c:v>142.15</c:v>
                </c:pt>
                <c:pt idx="130">
                  <c:v>142.36000000000001</c:v>
                </c:pt>
                <c:pt idx="131">
                  <c:v>#N/A</c:v>
                </c:pt>
                <c:pt idx="132">
                  <c:v>#N/A</c:v>
                </c:pt>
                <c:pt idx="133">
                  <c:v>142.19999999999999</c:v>
                </c:pt>
                <c:pt idx="134">
                  <c:v>142.15</c:v>
                </c:pt>
                <c:pt idx="135">
                  <c:v>142.18</c:v>
                </c:pt>
                <c:pt idx="136">
                  <c:v>142.54</c:v>
                </c:pt>
                <c:pt idx="137">
                  <c:v>142.61000000000001</c:v>
                </c:pt>
                <c:pt idx="138">
                  <c:v>#N/A</c:v>
                </c:pt>
                <c:pt idx="139">
                  <c:v>#N/A</c:v>
                </c:pt>
                <c:pt idx="140">
                  <c:v>142.62</c:v>
                </c:pt>
                <c:pt idx="141">
                  <c:v>142.78</c:v>
                </c:pt>
                <c:pt idx="142">
                  <c:v>142.99</c:v>
                </c:pt>
                <c:pt idx="143">
                  <c:v>143.08000000000001</c:v>
                </c:pt>
                <c:pt idx="144">
                  <c:v>143.19</c:v>
                </c:pt>
                <c:pt idx="145">
                  <c:v>#N/A</c:v>
                </c:pt>
                <c:pt idx="146">
                  <c:v>#N/A</c:v>
                </c:pt>
                <c:pt idx="147">
                  <c:v>143.18</c:v>
                </c:pt>
                <c:pt idx="148">
                  <c:v>143.16999999999999</c:v>
                </c:pt>
                <c:pt idx="149">
                  <c:v>143.21</c:v>
                </c:pt>
                <c:pt idx="150">
                  <c:v>143.22</c:v>
                </c:pt>
                <c:pt idx="151">
                  <c:v>143.34</c:v>
                </c:pt>
                <c:pt idx="152">
                  <c:v>#N/A</c:v>
                </c:pt>
                <c:pt idx="153">
                  <c:v>#N/A</c:v>
                </c:pt>
                <c:pt idx="154">
                  <c:v>143.27000000000001</c:v>
                </c:pt>
                <c:pt idx="155">
                  <c:v>142.72</c:v>
                </c:pt>
                <c:pt idx="156">
                  <c:v>142.71</c:v>
                </c:pt>
                <c:pt idx="157">
                  <c:v>142.63999999999999</c:v>
                </c:pt>
                <c:pt idx="158">
                  <c:v>142.66999999999999</c:v>
                </c:pt>
                <c:pt idx="159">
                  <c:v>#N/A</c:v>
                </c:pt>
                <c:pt idx="160">
                  <c:v>#N/A</c:v>
                </c:pt>
                <c:pt idx="161">
                  <c:v>142.63</c:v>
                </c:pt>
                <c:pt idx="162">
                  <c:v>142.65</c:v>
                </c:pt>
                <c:pt idx="163">
                  <c:v>142.66999999999999</c:v>
                </c:pt>
                <c:pt idx="164">
                  <c:v>142.69</c:v>
                </c:pt>
                <c:pt idx="165">
                  <c:v>142.68</c:v>
                </c:pt>
                <c:pt idx="166">
                  <c:v>#N/A</c:v>
                </c:pt>
                <c:pt idx="167">
                  <c:v>#N/A</c:v>
                </c:pt>
                <c:pt idx="168">
                  <c:v>#N/A</c:v>
                </c:pt>
                <c:pt idx="169">
                  <c:v>142.52000000000001</c:v>
                </c:pt>
                <c:pt idx="170">
                  <c:v>142.53</c:v>
                </c:pt>
                <c:pt idx="171">
                  <c:v>142.51</c:v>
                </c:pt>
                <c:pt idx="172">
                  <c:v>142.56</c:v>
                </c:pt>
                <c:pt idx="173">
                  <c:v>#N/A</c:v>
                </c:pt>
                <c:pt idx="174">
                  <c:v>#N/A</c:v>
                </c:pt>
                <c:pt idx="175">
                  <c:v>142.57</c:v>
                </c:pt>
                <c:pt idx="176">
                  <c:v>142.53</c:v>
                </c:pt>
                <c:pt idx="177">
                  <c:v>142.46</c:v>
                </c:pt>
                <c:pt idx="178">
                  <c:v>141.96</c:v>
                </c:pt>
                <c:pt idx="179">
                  <c:v>141.97999999999999</c:v>
                </c:pt>
                <c:pt idx="180">
                  <c:v>#N/A</c:v>
                </c:pt>
                <c:pt idx="181">
                  <c:v>#N/A</c:v>
                </c:pt>
                <c:pt idx="182">
                  <c:v>141.72999999999999</c:v>
                </c:pt>
                <c:pt idx="183">
                  <c:v>141.63</c:v>
                </c:pt>
                <c:pt idx="184">
                  <c:v>141.44</c:v>
                </c:pt>
                <c:pt idx="185">
                  <c:v>141.30000000000001</c:v>
                </c:pt>
                <c:pt idx="186">
                  <c:v>140.9</c:v>
                </c:pt>
                <c:pt idx="187">
                  <c:v>#N/A</c:v>
                </c:pt>
                <c:pt idx="188">
                  <c:v>#N/A</c:v>
                </c:pt>
                <c:pt idx="189">
                  <c:v>140.93</c:v>
                </c:pt>
                <c:pt idx="190">
                  <c:v>140.68</c:v>
                </c:pt>
                <c:pt idx="191">
                  <c:v>140.46</c:v>
                </c:pt>
                <c:pt idx="192">
                  <c:v>140.38</c:v>
                </c:pt>
                <c:pt idx="193">
                  <c:v>140.28</c:v>
                </c:pt>
                <c:pt idx="194">
                  <c:v>#N/A</c:v>
                </c:pt>
                <c:pt idx="195">
                  <c:v>#N/A</c:v>
                </c:pt>
                <c:pt idx="196">
                  <c:v>140.13999999999999</c:v>
                </c:pt>
                <c:pt idx="197">
                  <c:v>139.96</c:v>
                </c:pt>
                <c:pt idx="198">
                  <c:v>139.72999999999999</c:v>
                </c:pt>
                <c:pt idx="199">
                  <c:v>139.77000000000001</c:v>
                </c:pt>
                <c:pt idx="200">
                  <c:v>139.63999999999999</c:v>
                </c:pt>
                <c:pt idx="201">
                  <c:v>#N/A</c:v>
                </c:pt>
                <c:pt idx="202">
                  <c:v>#N/A</c:v>
                </c:pt>
                <c:pt idx="203">
                  <c:v>139.79</c:v>
                </c:pt>
                <c:pt idx="204">
                  <c:v>139.82</c:v>
                </c:pt>
                <c:pt idx="205">
                  <c:v>139.80000000000001</c:v>
                </c:pt>
                <c:pt idx="206">
                  <c:v>139.71</c:v>
                </c:pt>
                <c:pt idx="207">
                  <c:v>139.69</c:v>
                </c:pt>
                <c:pt idx="208">
                  <c:v>#N/A</c:v>
                </c:pt>
                <c:pt idx="209">
                  <c:v>#N/A</c:v>
                </c:pt>
                <c:pt idx="210">
                  <c:v>139.69</c:v>
                </c:pt>
                <c:pt idx="211">
                  <c:v>139.58000000000001</c:v>
                </c:pt>
                <c:pt idx="212">
                  <c:v>139.38</c:v>
                </c:pt>
                <c:pt idx="213">
                  <c:v>139.35</c:v>
                </c:pt>
                <c:pt idx="214">
                  <c:v>138.99</c:v>
                </c:pt>
                <c:pt idx="215">
                  <c:v>#N/A</c:v>
                </c:pt>
                <c:pt idx="216">
                  <c:v>#N/A</c:v>
                </c:pt>
                <c:pt idx="217">
                  <c:v>138.99</c:v>
                </c:pt>
                <c:pt idx="218">
                  <c:v>138.91</c:v>
                </c:pt>
                <c:pt idx="219">
                  <c:v>138.97</c:v>
                </c:pt>
                <c:pt idx="220">
                  <c:v>139.01</c:v>
                </c:pt>
                <c:pt idx="221">
                  <c:v>139.01</c:v>
                </c:pt>
                <c:pt idx="222">
                  <c:v>#N/A</c:v>
                </c:pt>
                <c:pt idx="223">
                  <c:v>#N/A</c:v>
                </c:pt>
                <c:pt idx="224">
                  <c:v>138.99</c:v>
                </c:pt>
                <c:pt idx="225">
                  <c:v>138.97999999999999</c:v>
                </c:pt>
                <c:pt idx="226">
                  <c:v>139.32</c:v>
                </c:pt>
                <c:pt idx="227">
                  <c:v>139.31</c:v>
                </c:pt>
                <c:pt idx="228">
                  <c:v>139.36000000000001</c:v>
                </c:pt>
                <c:pt idx="229">
                  <c:v>#N/A</c:v>
                </c:pt>
                <c:pt idx="230">
                  <c:v>#N/A</c:v>
                </c:pt>
                <c:pt idx="231">
                  <c:v>139.27000000000001</c:v>
                </c:pt>
                <c:pt idx="232">
                  <c:v>139.31</c:v>
                </c:pt>
                <c:pt idx="233">
                  <c:v>139.44</c:v>
                </c:pt>
                <c:pt idx="234">
                  <c:v>139.28</c:v>
                </c:pt>
                <c:pt idx="235">
                  <c:v>139.26</c:v>
                </c:pt>
                <c:pt idx="236">
                  <c:v>#N/A</c:v>
                </c:pt>
                <c:pt idx="237">
                  <c:v>#N/A</c:v>
                </c:pt>
                <c:pt idx="238">
                  <c:v>139.91999999999999</c:v>
                </c:pt>
                <c:pt idx="239">
                  <c:v>139.97</c:v>
                </c:pt>
                <c:pt idx="240">
                  <c:v>139.96</c:v>
                </c:pt>
                <c:pt idx="241">
                  <c:v>140.16999999999999</c:v>
                </c:pt>
                <c:pt idx="242">
                  <c:v>139.99</c:v>
                </c:pt>
                <c:pt idx="243">
                  <c:v>#N/A</c:v>
                </c:pt>
                <c:pt idx="244">
                  <c:v>#N/A</c:v>
                </c:pt>
                <c:pt idx="245">
                  <c:v>141.19999999999999</c:v>
                </c:pt>
                <c:pt idx="246">
                  <c:v>141.44</c:v>
                </c:pt>
                <c:pt idx="247">
                  <c:v>142.13</c:v>
                </c:pt>
                <c:pt idx="248">
                  <c:v>142.22</c:v>
                </c:pt>
                <c:pt idx="249">
                  <c:v>142.36000000000001</c:v>
                </c:pt>
                <c:pt idx="250">
                  <c:v>#N/A</c:v>
                </c:pt>
                <c:pt idx="251">
                  <c:v>#N/A</c:v>
                </c:pt>
                <c:pt idx="252">
                  <c:v>142.38999999999999</c:v>
                </c:pt>
                <c:pt idx="253">
                  <c:v>142.43</c:v>
                </c:pt>
                <c:pt idx="254">
                  <c:v>142.4</c:v>
                </c:pt>
                <c:pt idx="255">
                  <c:v>142.57</c:v>
                </c:pt>
                <c:pt idx="256">
                  <c:v>142.72999999999999</c:v>
                </c:pt>
                <c:pt idx="257">
                  <c:v>#N/A</c:v>
                </c:pt>
                <c:pt idx="258">
                  <c:v>#N/A</c:v>
                </c:pt>
                <c:pt idx="259">
                  <c:v>142.88</c:v>
                </c:pt>
                <c:pt idx="260">
                  <c:v>143.31</c:v>
                </c:pt>
                <c:pt idx="261">
                  <c:v>143.24</c:v>
                </c:pt>
                <c:pt idx="262">
                  <c:v>143.22999999999999</c:v>
                </c:pt>
                <c:pt idx="263">
                  <c:v>143.38999999999999</c:v>
                </c:pt>
                <c:pt idx="264">
                  <c:v>#N/A</c:v>
                </c:pt>
                <c:pt idx="265">
                  <c:v>#N/A</c:v>
                </c:pt>
                <c:pt idx="266">
                  <c:v>#N/A</c:v>
                </c:pt>
                <c:pt idx="267">
                  <c:v>143.56</c:v>
                </c:pt>
                <c:pt idx="268">
                  <c:v>143.49</c:v>
                </c:pt>
                <c:pt idx="269">
                  <c:v>143.72999999999999</c:v>
                </c:pt>
                <c:pt idx="270">
                  <c:v>143.75</c:v>
                </c:pt>
                <c:pt idx="271">
                  <c:v>#N/A</c:v>
                </c:pt>
                <c:pt idx="272">
                  <c:v>#N/A</c:v>
                </c:pt>
                <c:pt idx="273">
                  <c:v>#N/A</c:v>
                </c:pt>
                <c:pt idx="274">
                  <c:v>#N/A</c:v>
                </c:pt>
                <c:pt idx="275">
                  <c:v>#N/A</c:v>
                </c:pt>
                <c:pt idx="276">
                  <c:v>#N/A</c:v>
                </c:pt>
                <c:pt idx="277">
                  <c:v>#N/A</c:v>
                </c:pt>
                <c:pt idx="278">
                  <c:v>#N/A</c:v>
                </c:pt>
                <c:pt idx="279">
                  <c:v>#N/A</c:v>
                </c:pt>
                <c:pt idx="280">
                  <c:v>144.69</c:v>
                </c:pt>
                <c:pt idx="281">
                  <c:v>144.93</c:v>
                </c:pt>
                <c:pt idx="282">
                  <c:v>145.12</c:v>
                </c:pt>
                <c:pt idx="283">
                  <c:v>145.13999999999999</c:v>
                </c:pt>
                <c:pt idx="284">
                  <c:v>144.88</c:v>
                </c:pt>
                <c:pt idx="285">
                  <c:v>#N/A</c:v>
                </c:pt>
                <c:pt idx="286">
                  <c:v>#N/A</c:v>
                </c:pt>
                <c:pt idx="287">
                  <c:v>145.71</c:v>
                </c:pt>
                <c:pt idx="288">
                  <c:v>145.86000000000001</c:v>
                </c:pt>
                <c:pt idx="289">
                  <c:v>145.99</c:v>
                </c:pt>
                <c:pt idx="290">
                  <c:v>146.4</c:v>
                </c:pt>
                <c:pt idx="291">
                  <c:v>146.49</c:v>
                </c:pt>
                <c:pt idx="292">
                  <c:v>#N/A</c:v>
                </c:pt>
                <c:pt idx="293">
                  <c:v>#N/A</c:v>
                </c:pt>
                <c:pt idx="294">
                  <c:v>147.97</c:v>
                </c:pt>
                <c:pt idx="295">
                  <c:v>148.21</c:v>
                </c:pt>
                <c:pt idx="296">
                  <c:v>148.31</c:v>
                </c:pt>
                <c:pt idx="297">
                  <c:v>148.82</c:v>
                </c:pt>
                <c:pt idx="298">
                  <c:v>148.83000000000001</c:v>
                </c:pt>
                <c:pt idx="299">
                  <c:v>#N/A</c:v>
                </c:pt>
                <c:pt idx="300">
                  <c:v>#N/A</c:v>
                </c:pt>
                <c:pt idx="301">
                  <c:v>149.24</c:v>
                </c:pt>
                <c:pt idx="302">
                  <c:v>149.29</c:v>
                </c:pt>
                <c:pt idx="303">
                  <c:v>149.47999999999999</c:v>
                </c:pt>
                <c:pt idx="304">
                  <c:v>151.63</c:v>
                </c:pt>
                <c:pt idx="305">
                  <c:v>155.09</c:v>
                </c:pt>
                <c:pt idx="306">
                  <c:v>#N/A</c:v>
                </c:pt>
                <c:pt idx="307">
                  <c:v>#N/A</c:v>
                </c:pt>
                <c:pt idx="308">
                  <c:v>155.74</c:v>
                </c:pt>
                <c:pt idx="309">
                  <c:v>155.82</c:v>
                </c:pt>
                <c:pt idx="310">
                  <c:v>156.05000000000001</c:v>
                </c:pt>
                <c:pt idx="311">
                  <c:v>156.25</c:v>
                </c:pt>
                <c:pt idx="312">
                  <c:v>156.79</c:v>
                </c:pt>
                <c:pt idx="313">
                  <c:v>#N/A</c:v>
                </c:pt>
                <c:pt idx="314">
                  <c:v>#N/A</c:v>
                </c:pt>
                <c:pt idx="315">
                  <c:v>157.08000000000001</c:v>
                </c:pt>
                <c:pt idx="316">
                  <c:v>157.19999999999999</c:v>
                </c:pt>
                <c:pt idx="317">
                  <c:v>157.22</c:v>
                </c:pt>
                <c:pt idx="318">
                  <c:v>158.04</c:v>
                </c:pt>
                <c:pt idx="319">
                  <c:v>158.47</c:v>
                </c:pt>
                <c:pt idx="320">
                  <c:v>#N/A</c:v>
                </c:pt>
                <c:pt idx="321">
                  <c:v>#N/A</c:v>
                </c:pt>
                <c:pt idx="322">
                  <c:v>159.16999999999999</c:v>
                </c:pt>
                <c:pt idx="323">
                  <c:v>159.59</c:v>
                </c:pt>
                <c:pt idx="324">
                  <c:v>160.61000000000001</c:v>
                </c:pt>
                <c:pt idx="325">
                  <c:v>160.84</c:v>
                </c:pt>
                <c:pt idx="326">
                  <c:v>160.84</c:v>
                </c:pt>
                <c:pt idx="327">
                  <c:v>#N/A</c:v>
                </c:pt>
                <c:pt idx="328">
                  <c:v>#N/A</c:v>
                </c:pt>
                <c:pt idx="329">
                  <c:v>161.01</c:v>
                </c:pt>
                <c:pt idx="330">
                  <c:v>161.01</c:v>
                </c:pt>
                <c:pt idx="331">
                  <c:v>161.25</c:v>
                </c:pt>
                <c:pt idx="332">
                  <c:v>161.35</c:v>
                </c:pt>
                <c:pt idx="333">
                  <c:v>161.37</c:v>
                </c:pt>
                <c:pt idx="334">
                  <c:v>#N/A</c:v>
                </c:pt>
                <c:pt idx="335">
                  <c:v>#N/A</c:v>
                </c:pt>
                <c:pt idx="336">
                  <c:v>161.68</c:v>
                </c:pt>
                <c:pt idx="337">
                  <c:v>162</c:v>
                </c:pt>
                <c:pt idx="338">
                  <c:v>162.09</c:v>
                </c:pt>
                <c:pt idx="339">
                  <c:v>162.41</c:v>
                </c:pt>
                <c:pt idx="340">
                  <c:v>162.44</c:v>
                </c:pt>
                <c:pt idx="341">
                  <c:v>#N/A</c:v>
                </c:pt>
                <c:pt idx="342">
                  <c:v>#N/A</c:v>
                </c:pt>
                <c:pt idx="343">
                  <c:v>162.51</c:v>
                </c:pt>
                <c:pt idx="344">
                  <c:v>162.51</c:v>
                </c:pt>
                <c:pt idx="345">
                  <c:v>161.9</c:v>
                </c:pt>
                <c:pt idx="346">
                  <c:v>161.9</c:v>
                </c:pt>
                <c:pt idx="347">
                  <c:v>161.88999999999999</c:v>
                </c:pt>
                <c:pt idx="348">
                  <c:v>#N/A</c:v>
                </c:pt>
                <c:pt idx="349">
                  <c:v>#N/A</c:v>
                </c:pt>
                <c:pt idx="350">
                  <c:v>162.35</c:v>
                </c:pt>
                <c:pt idx="351">
                  <c:v>162.36000000000001</c:v>
                </c:pt>
                <c:pt idx="352">
                  <c:v>162.31</c:v>
                </c:pt>
                <c:pt idx="353">
                  <c:v>162.32</c:v>
                </c:pt>
                <c:pt idx="354">
                  <c:v>162.30000000000001</c:v>
                </c:pt>
                <c:pt idx="355">
                  <c:v>#N/A</c:v>
                </c:pt>
                <c:pt idx="356">
                  <c:v>#N/A</c:v>
                </c:pt>
                <c:pt idx="357">
                  <c:v>162.34</c:v>
                </c:pt>
                <c:pt idx="358">
                  <c:v>162.30000000000001</c:v>
                </c:pt>
                <c:pt idx="359">
                  <c:v>162.32</c:v>
                </c:pt>
                <c:pt idx="360">
                  <c:v>162.33000000000001</c:v>
                </c:pt>
                <c:pt idx="361">
                  <c:v>162.27000000000001</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0-3DF6-472D-A161-45EE49929D76}"/>
            </c:ext>
          </c:extLst>
        </c:ser>
        <c:ser>
          <c:idx val="2"/>
          <c:order val="1"/>
          <c:tx>
            <c:strRef>
              <c:f>水泥!$I$1</c:f>
              <c:strCache>
                <c:ptCount val="1"/>
                <c:pt idx="0">
                  <c:v>2019</c:v>
                </c:pt>
              </c:strCache>
            </c:strRef>
          </c:tx>
          <c:spPr>
            <a:ln w="28575">
              <a:solidFill>
                <a:srgbClr val="F8CBAD"/>
              </a:solidFill>
              <a:prstDash val="solid"/>
            </a:ln>
          </c:spPr>
          <c:marker>
            <c:symbol val="none"/>
          </c:marker>
          <c:cat>
            <c:numRef>
              <c:f>水泥!$G$2:$G$366</c:f>
              <c:numCache>
                <c:formatCode>m"月"d"日"</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水泥!$I$2:$I$366</c:f>
              <c:numCache>
                <c:formatCode>General</c:formatCode>
                <c:ptCount val="365"/>
                <c:pt idx="0">
                  <c:v>#N/A</c:v>
                </c:pt>
                <c:pt idx="1">
                  <c:v>161.68</c:v>
                </c:pt>
                <c:pt idx="2">
                  <c:v>161.56</c:v>
                </c:pt>
                <c:pt idx="3">
                  <c:v>161.36000000000001</c:v>
                </c:pt>
                <c:pt idx="4">
                  <c:v>#N/A</c:v>
                </c:pt>
                <c:pt idx="5">
                  <c:v>#N/A</c:v>
                </c:pt>
                <c:pt idx="6">
                  <c:v>156.93</c:v>
                </c:pt>
                <c:pt idx="7">
                  <c:v>155.94999999999999</c:v>
                </c:pt>
                <c:pt idx="8">
                  <c:v>155.59</c:v>
                </c:pt>
                <c:pt idx="9">
                  <c:v>155.55000000000001</c:v>
                </c:pt>
                <c:pt idx="10">
                  <c:v>155.54</c:v>
                </c:pt>
                <c:pt idx="11">
                  <c:v>#N/A</c:v>
                </c:pt>
                <c:pt idx="12">
                  <c:v>#N/A</c:v>
                </c:pt>
                <c:pt idx="13">
                  <c:v>155.22999999999999</c:v>
                </c:pt>
                <c:pt idx="14">
                  <c:v>155.13999999999999</c:v>
                </c:pt>
                <c:pt idx="15">
                  <c:v>154.21</c:v>
                </c:pt>
                <c:pt idx="16">
                  <c:v>153.81</c:v>
                </c:pt>
                <c:pt idx="17">
                  <c:v>153.62</c:v>
                </c:pt>
                <c:pt idx="18">
                  <c:v>#N/A</c:v>
                </c:pt>
                <c:pt idx="19">
                  <c:v>#N/A</c:v>
                </c:pt>
                <c:pt idx="20">
                  <c:v>153.5</c:v>
                </c:pt>
                <c:pt idx="21">
                  <c:v>153.5</c:v>
                </c:pt>
                <c:pt idx="22">
                  <c:v>153.34</c:v>
                </c:pt>
                <c:pt idx="23">
                  <c:v>153.30000000000001</c:v>
                </c:pt>
                <c:pt idx="24">
                  <c:v>153.29</c:v>
                </c:pt>
                <c:pt idx="25">
                  <c:v>#N/A</c:v>
                </c:pt>
                <c:pt idx="26">
                  <c:v>#N/A</c:v>
                </c:pt>
                <c:pt idx="27">
                  <c:v>153.26</c:v>
                </c:pt>
                <c:pt idx="28">
                  <c:v>152.41</c:v>
                </c:pt>
                <c:pt idx="29">
                  <c:v>152.38999999999999</c:v>
                </c:pt>
                <c:pt idx="30">
                  <c:v>152.38999999999999</c:v>
                </c:pt>
                <c:pt idx="31">
                  <c:v>151.9</c:v>
                </c:pt>
                <c:pt idx="32">
                  <c:v>#N/A</c:v>
                </c:pt>
                <c:pt idx="33">
                  <c:v>#N/A</c:v>
                </c:pt>
                <c:pt idx="34">
                  <c:v>#N/A</c:v>
                </c:pt>
                <c:pt idx="35">
                  <c:v>#N/A</c:v>
                </c:pt>
                <c:pt idx="36">
                  <c:v>#N/A</c:v>
                </c:pt>
                <c:pt idx="37">
                  <c:v>#N/A</c:v>
                </c:pt>
                <c:pt idx="38">
                  <c:v>#N/A</c:v>
                </c:pt>
                <c:pt idx="39">
                  <c:v>#N/A</c:v>
                </c:pt>
                <c:pt idx="40">
                  <c:v>#N/A</c:v>
                </c:pt>
                <c:pt idx="41">
                  <c:v>#N/A</c:v>
                </c:pt>
                <c:pt idx="42">
                  <c:v>151.87</c:v>
                </c:pt>
                <c:pt idx="43">
                  <c:v>151.84</c:v>
                </c:pt>
                <c:pt idx="44">
                  <c:v>151.84</c:v>
                </c:pt>
                <c:pt idx="45">
                  <c:v>151.84</c:v>
                </c:pt>
                <c:pt idx="46">
                  <c:v>#N/A</c:v>
                </c:pt>
                <c:pt idx="47">
                  <c:v>#N/A</c:v>
                </c:pt>
                <c:pt idx="48">
                  <c:v>151.84</c:v>
                </c:pt>
                <c:pt idx="49">
                  <c:v>150.71</c:v>
                </c:pt>
                <c:pt idx="50">
                  <c:v>149.51</c:v>
                </c:pt>
                <c:pt idx="51">
                  <c:v>149.37</c:v>
                </c:pt>
                <c:pt idx="52">
                  <c:v>148.58000000000001</c:v>
                </c:pt>
                <c:pt idx="53">
                  <c:v>#N/A</c:v>
                </c:pt>
                <c:pt idx="54">
                  <c:v>#N/A</c:v>
                </c:pt>
                <c:pt idx="55">
                  <c:v>148.32</c:v>
                </c:pt>
                <c:pt idx="56">
                  <c:v>147.97</c:v>
                </c:pt>
                <c:pt idx="57">
                  <c:v>147.58000000000001</c:v>
                </c:pt>
                <c:pt idx="58">
                  <c:v>147.47999999999999</c:v>
                </c:pt>
                <c:pt idx="59">
                  <c:v>147.27000000000001</c:v>
                </c:pt>
                <c:pt idx="60">
                  <c:v>#N/A</c:v>
                </c:pt>
                <c:pt idx="61">
                  <c:v>#N/A</c:v>
                </c:pt>
                <c:pt idx="62">
                  <c:v>147.03</c:v>
                </c:pt>
                <c:pt idx="63">
                  <c:v>146.94</c:v>
                </c:pt>
                <c:pt idx="64">
                  <c:v>146.94</c:v>
                </c:pt>
                <c:pt idx="65">
                  <c:v>146.59</c:v>
                </c:pt>
                <c:pt idx="66">
                  <c:v>146.37</c:v>
                </c:pt>
                <c:pt idx="67">
                  <c:v>#N/A</c:v>
                </c:pt>
                <c:pt idx="68">
                  <c:v>#N/A</c:v>
                </c:pt>
                <c:pt idx="69">
                  <c:v>146.31</c:v>
                </c:pt>
                <c:pt idx="70">
                  <c:v>146.02000000000001</c:v>
                </c:pt>
                <c:pt idx="71">
                  <c:v>145.69999999999999</c:v>
                </c:pt>
                <c:pt idx="72">
                  <c:v>145.4</c:v>
                </c:pt>
                <c:pt idx="73">
                  <c:v>145.09</c:v>
                </c:pt>
                <c:pt idx="74">
                  <c:v>#N/A</c:v>
                </c:pt>
                <c:pt idx="75">
                  <c:v>#N/A</c:v>
                </c:pt>
                <c:pt idx="76">
                  <c:v>145.1</c:v>
                </c:pt>
                <c:pt idx="77">
                  <c:v>145.02000000000001</c:v>
                </c:pt>
                <c:pt idx="78">
                  <c:v>144.99</c:v>
                </c:pt>
                <c:pt idx="79">
                  <c:v>145.01</c:v>
                </c:pt>
                <c:pt idx="80">
                  <c:v>145.22</c:v>
                </c:pt>
                <c:pt idx="81">
                  <c:v>#N/A</c:v>
                </c:pt>
                <c:pt idx="82">
                  <c:v>#N/A</c:v>
                </c:pt>
                <c:pt idx="83">
                  <c:v>145.44999999999999</c:v>
                </c:pt>
                <c:pt idx="84">
                  <c:v>145.47999999999999</c:v>
                </c:pt>
                <c:pt idx="85">
                  <c:v>146.15</c:v>
                </c:pt>
                <c:pt idx="86">
                  <c:v>146.59</c:v>
                </c:pt>
                <c:pt idx="87">
                  <c:v>146.71</c:v>
                </c:pt>
                <c:pt idx="88">
                  <c:v>#N/A</c:v>
                </c:pt>
                <c:pt idx="89">
                  <c:v>#N/A</c:v>
                </c:pt>
                <c:pt idx="90">
                  <c:v>147.31</c:v>
                </c:pt>
                <c:pt idx="91">
                  <c:v>147.4</c:v>
                </c:pt>
                <c:pt idx="92">
                  <c:v>147.35</c:v>
                </c:pt>
                <c:pt idx="93">
                  <c:v>147.62</c:v>
                </c:pt>
                <c:pt idx="94">
                  <c:v>#N/A</c:v>
                </c:pt>
                <c:pt idx="95">
                  <c:v>#N/A</c:v>
                </c:pt>
                <c:pt idx="96">
                  <c:v>#N/A</c:v>
                </c:pt>
                <c:pt idx="97">
                  <c:v>148.69999999999999</c:v>
                </c:pt>
                <c:pt idx="98">
                  <c:v>148.72</c:v>
                </c:pt>
                <c:pt idx="99">
                  <c:v>148.91999999999999</c:v>
                </c:pt>
                <c:pt idx="100">
                  <c:v>148.91999999999999</c:v>
                </c:pt>
                <c:pt idx="101">
                  <c:v>149.02000000000001</c:v>
                </c:pt>
                <c:pt idx="102">
                  <c:v>#N/A</c:v>
                </c:pt>
                <c:pt idx="103">
                  <c:v>#N/A</c:v>
                </c:pt>
                <c:pt idx="104">
                  <c:v>149.29</c:v>
                </c:pt>
                <c:pt idx="105">
                  <c:v>149.32</c:v>
                </c:pt>
                <c:pt idx="106">
                  <c:v>149.29</c:v>
                </c:pt>
                <c:pt idx="107">
                  <c:v>149.26</c:v>
                </c:pt>
                <c:pt idx="108">
                  <c:v>149.30000000000001</c:v>
                </c:pt>
                <c:pt idx="109">
                  <c:v>#N/A</c:v>
                </c:pt>
                <c:pt idx="110">
                  <c:v>#N/A</c:v>
                </c:pt>
                <c:pt idx="111">
                  <c:v>149.59</c:v>
                </c:pt>
                <c:pt idx="112">
                  <c:v>149.65</c:v>
                </c:pt>
                <c:pt idx="113">
                  <c:v>149.58000000000001</c:v>
                </c:pt>
                <c:pt idx="114">
                  <c:v>149.57</c:v>
                </c:pt>
                <c:pt idx="115">
                  <c:v>149.57</c:v>
                </c:pt>
                <c:pt idx="116">
                  <c:v>#N/A</c:v>
                </c:pt>
                <c:pt idx="117">
                  <c:v>#N/A</c:v>
                </c:pt>
                <c:pt idx="118">
                  <c:v>149.66999999999999</c:v>
                </c:pt>
                <c:pt idx="119">
                  <c:v>149.66999999999999</c:v>
                </c:pt>
                <c:pt idx="120">
                  <c:v>#N/A</c:v>
                </c:pt>
                <c:pt idx="121">
                  <c:v>#N/A</c:v>
                </c:pt>
                <c:pt idx="122">
                  <c:v>#N/A</c:v>
                </c:pt>
                <c:pt idx="123">
                  <c:v>#N/A</c:v>
                </c:pt>
                <c:pt idx="124">
                  <c:v>#N/A</c:v>
                </c:pt>
                <c:pt idx="125">
                  <c:v>149.93</c:v>
                </c:pt>
                <c:pt idx="126">
                  <c:v>149.97</c:v>
                </c:pt>
                <c:pt idx="127">
                  <c:v>149.97999999999999</c:v>
                </c:pt>
                <c:pt idx="128">
                  <c:v>150.03</c:v>
                </c:pt>
                <c:pt idx="129">
                  <c:v>149.96</c:v>
                </c:pt>
                <c:pt idx="130">
                  <c:v>#N/A</c:v>
                </c:pt>
                <c:pt idx="131">
                  <c:v>#N/A</c:v>
                </c:pt>
                <c:pt idx="132">
                  <c:v>149.97</c:v>
                </c:pt>
                <c:pt idx="133">
                  <c:v>150.22999999999999</c:v>
                </c:pt>
                <c:pt idx="134">
                  <c:v>150.37</c:v>
                </c:pt>
                <c:pt idx="135">
                  <c:v>150.38999999999999</c:v>
                </c:pt>
                <c:pt idx="136">
                  <c:v>150.37</c:v>
                </c:pt>
                <c:pt idx="137">
                  <c:v>#N/A</c:v>
                </c:pt>
                <c:pt idx="138">
                  <c:v>#N/A</c:v>
                </c:pt>
                <c:pt idx="139">
                  <c:v>150.37</c:v>
                </c:pt>
                <c:pt idx="140">
                  <c:v>150.37</c:v>
                </c:pt>
                <c:pt idx="141">
                  <c:v>150.36000000000001</c:v>
                </c:pt>
                <c:pt idx="142">
                  <c:v>150.41</c:v>
                </c:pt>
                <c:pt idx="143">
                  <c:v>150.38</c:v>
                </c:pt>
                <c:pt idx="144">
                  <c:v>#N/A</c:v>
                </c:pt>
                <c:pt idx="145">
                  <c:v>#N/A</c:v>
                </c:pt>
                <c:pt idx="146">
                  <c:v>150.44</c:v>
                </c:pt>
                <c:pt idx="147">
                  <c:v>150.44</c:v>
                </c:pt>
                <c:pt idx="148">
                  <c:v>150.34</c:v>
                </c:pt>
                <c:pt idx="149">
                  <c:v>150.34</c:v>
                </c:pt>
                <c:pt idx="150">
                  <c:v>150.36000000000001</c:v>
                </c:pt>
                <c:pt idx="151">
                  <c:v>#N/A</c:v>
                </c:pt>
                <c:pt idx="152">
                  <c:v>#N/A</c:v>
                </c:pt>
                <c:pt idx="153">
                  <c:v>150.37</c:v>
                </c:pt>
                <c:pt idx="154">
                  <c:v>150.36000000000001</c:v>
                </c:pt>
                <c:pt idx="155">
                  <c:v>150.35</c:v>
                </c:pt>
                <c:pt idx="156">
                  <c:v>150.21</c:v>
                </c:pt>
                <c:pt idx="157">
                  <c:v>#N/A</c:v>
                </c:pt>
                <c:pt idx="158">
                  <c:v>#N/A</c:v>
                </c:pt>
                <c:pt idx="159">
                  <c:v>#N/A</c:v>
                </c:pt>
                <c:pt idx="160">
                  <c:v>149.63</c:v>
                </c:pt>
                <c:pt idx="161">
                  <c:v>149.34</c:v>
                </c:pt>
                <c:pt idx="162">
                  <c:v>149.13</c:v>
                </c:pt>
                <c:pt idx="163">
                  <c:v>148.61000000000001</c:v>
                </c:pt>
                <c:pt idx="164">
                  <c:v>148.54</c:v>
                </c:pt>
                <c:pt idx="165">
                  <c:v>#N/A</c:v>
                </c:pt>
                <c:pt idx="166">
                  <c:v>#N/A</c:v>
                </c:pt>
                <c:pt idx="167">
                  <c:v>148.65</c:v>
                </c:pt>
                <c:pt idx="168">
                  <c:v>148.63999999999999</c:v>
                </c:pt>
                <c:pt idx="169">
                  <c:v>148.62</c:v>
                </c:pt>
                <c:pt idx="170">
                  <c:v>148.13</c:v>
                </c:pt>
                <c:pt idx="171">
                  <c:v>148.03</c:v>
                </c:pt>
                <c:pt idx="172">
                  <c:v>#N/A</c:v>
                </c:pt>
                <c:pt idx="173">
                  <c:v>#N/A</c:v>
                </c:pt>
                <c:pt idx="174">
                  <c:v>147.75</c:v>
                </c:pt>
                <c:pt idx="175">
                  <c:v>147.44999999999999</c:v>
                </c:pt>
                <c:pt idx="176">
                  <c:v>147.46</c:v>
                </c:pt>
                <c:pt idx="177">
                  <c:v>147.33000000000001</c:v>
                </c:pt>
                <c:pt idx="178">
                  <c:v>146.99</c:v>
                </c:pt>
                <c:pt idx="179">
                  <c:v>#N/A</c:v>
                </c:pt>
                <c:pt idx="180">
                  <c:v>#N/A</c:v>
                </c:pt>
                <c:pt idx="181">
                  <c:v>146.87</c:v>
                </c:pt>
                <c:pt idx="182">
                  <c:v>146.84</c:v>
                </c:pt>
                <c:pt idx="183">
                  <c:v>146.80000000000001</c:v>
                </c:pt>
                <c:pt idx="184">
                  <c:v>146.87</c:v>
                </c:pt>
                <c:pt idx="185">
                  <c:v>146.86000000000001</c:v>
                </c:pt>
                <c:pt idx="186">
                  <c:v>#N/A</c:v>
                </c:pt>
                <c:pt idx="187">
                  <c:v>#N/A</c:v>
                </c:pt>
                <c:pt idx="188">
                  <c:v>146.69999999999999</c:v>
                </c:pt>
                <c:pt idx="189">
                  <c:v>146.38999999999999</c:v>
                </c:pt>
                <c:pt idx="190">
                  <c:v>146.35</c:v>
                </c:pt>
                <c:pt idx="191">
                  <c:v>146.1</c:v>
                </c:pt>
                <c:pt idx="192">
                  <c:v>145.56</c:v>
                </c:pt>
                <c:pt idx="193">
                  <c:v>#N/A</c:v>
                </c:pt>
                <c:pt idx="194">
                  <c:v>#N/A</c:v>
                </c:pt>
                <c:pt idx="195">
                  <c:v>145.41999999999999</c:v>
                </c:pt>
                <c:pt idx="196">
                  <c:v>145.28</c:v>
                </c:pt>
                <c:pt idx="197">
                  <c:v>145.15</c:v>
                </c:pt>
                <c:pt idx="198">
                  <c:v>145.13999999999999</c:v>
                </c:pt>
                <c:pt idx="199">
                  <c:v>144.76</c:v>
                </c:pt>
                <c:pt idx="200">
                  <c:v>#N/A</c:v>
                </c:pt>
                <c:pt idx="201">
                  <c:v>#N/A</c:v>
                </c:pt>
                <c:pt idx="202">
                  <c:v>144.69</c:v>
                </c:pt>
                <c:pt idx="203">
                  <c:v>144.55000000000001</c:v>
                </c:pt>
                <c:pt idx="204">
                  <c:v>144.58000000000001</c:v>
                </c:pt>
                <c:pt idx="205">
                  <c:v>144.51</c:v>
                </c:pt>
                <c:pt idx="206">
                  <c:v>144.37</c:v>
                </c:pt>
                <c:pt idx="207">
                  <c:v>#N/A</c:v>
                </c:pt>
                <c:pt idx="208">
                  <c:v>#N/A</c:v>
                </c:pt>
                <c:pt idx="209">
                  <c:v>144.46</c:v>
                </c:pt>
                <c:pt idx="210">
                  <c:v>144.41</c:v>
                </c:pt>
                <c:pt idx="211">
                  <c:v>144.25</c:v>
                </c:pt>
                <c:pt idx="212">
                  <c:v>144.25</c:v>
                </c:pt>
                <c:pt idx="213">
                  <c:v>144.22999999999999</c:v>
                </c:pt>
                <c:pt idx="214">
                  <c:v>#N/A</c:v>
                </c:pt>
                <c:pt idx="215">
                  <c:v>#N/A</c:v>
                </c:pt>
                <c:pt idx="216">
                  <c:v>144.1</c:v>
                </c:pt>
                <c:pt idx="217">
                  <c:v>144.1</c:v>
                </c:pt>
                <c:pt idx="218">
                  <c:v>143.91999999999999</c:v>
                </c:pt>
                <c:pt idx="219">
                  <c:v>143.96</c:v>
                </c:pt>
                <c:pt idx="220">
                  <c:v>143.91</c:v>
                </c:pt>
                <c:pt idx="221">
                  <c:v>#N/A</c:v>
                </c:pt>
                <c:pt idx="222">
                  <c:v>#N/A</c:v>
                </c:pt>
                <c:pt idx="223">
                  <c:v>143.86000000000001</c:v>
                </c:pt>
                <c:pt idx="224">
                  <c:v>143.81</c:v>
                </c:pt>
                <c:pt idx="225">
                  <c:v>143.72999999999999</c:v>
                </c:pt>
                <c:pt idx="226">
                  <c:v>143.71</c:v>
                </c:pt>
                <c:pt idx="227">
                  <c:v>143.65</c:v>
                </c:pt>
                <c:pt idx="228">
                  <c:v>#N/A</c:v>
                </c:pt>
                <c:pt idx="229">
                  <c:v>#N/A</c:v>
                </c:pt>
                <c:pt idx="230">
                  <c:v>143.81</c:v>
                </c:pt>
                <c:pt idx="231">
                  <c:v>143.88999999999999</c:v>
                </c:pt>
                <c:pt idx="232">
                  <c:v>144.06</c:v>
                </c:pt>
                <c:pt idx="233">
                  <c:v>144.04</c:v>
                </c:pt>
                <c:pt idx="234">
                  <c:v>144.07</c:v>
                </c:pt>
                <c:pt idx="235">
                  <c:v>#N/A</c:v>
                </c:pt>
                <c:pt idx="236">
                  <c:v>#N/A</c:v>
                </c:pt>
                <c:pt idx="237">
                  <c:v>144.6</c:v>
                </c:pt>
                <c:pt idx="238">
                  <c:v>144.97</c:v>
                </c:pt>
                <c:pt idx="239">
                  <c:v>145.01</c:v>
                </c:pt>
                <c:pt idx="240">
                  <c:v>145.4</c:v>
                </c:pt>
                <c:pt idx="241">
                  <c:v>145.63999999999999</c:v>
                </c:pt>
                <c:pt idx="242">
                  <c:v>#N/A</c:v>
                </c:pt>
                <c:pt idx="243">
                  <c:v>#N/A</c:v>
                </c:pt>
                <c:pt idx="244">
                  <c:v>146.08000000000001</c:v>
                </c:pt>
                <c:pt idx="245">
                  <c:v>146.16999999999999</c:v>
                </c:pt>
                <c:pt idx="246">
                  <c:v>146.16999999999999</c:v>
                </c:pt>
                <c:pt idx="247">
                  <c:v>146.07</c:v>
                </c:pt>
                <c:pt idx="248">
                  <c:v>146.19</c:v>
                </c:pt>
                <c:pt idx="249">
                  <c:v>#N/A</c:v>
                </c:pt>
                <c:pt idx="250">
                  <c:v>#N/A</c:v>
                </c:pt>
                <c:pt idx="251">
                  <c:v>146.57</c:v>
                </c:pt>
                <c:pt idx="252">
                  <c:v>146.62</c:v>
                </c:pt>
                <c:pt idx="253">
                  <c:v>146.71</c:v>
                </c:pt>
                <c:pt idx="254">
                  <c:v>146.65</c:v>
                </c:pt>
                <c:pt idx="255">
                  <c:v>#N/A</c:v>
                </c:pt>
                <c:pt idx="256">
                  <c:v>#N/A</c:v>
                </c:pt>
                <c:pt idx="257">
                  <c:v>#N/A</c:v>
                </c:pt>
                <c:pt idx="258">
                  <c:v>147</c:v>
                </c:pt>
                <c:pt idx="259">
                  <c:v>147.12</c:v>
                </c:pt>
                <c:pt idx="260">
                  <c:v>147.63999999999999</c:v>
                </c:pt>
                <c:pt idx="261">
                  <c:v>147.69</c:v>
                </c:pt>
                <c:pt idx="262">
                  <c:v>148.62</c:v>
                </c:pt>
                <c:pt idx="263">
                  <c:v>#N/A</c:v>
                </c:pt>
                <c:pt idx="264">
                  <c:v>#N/A</c:v>
                </c:pt>
                <c:pt idx="265">
                  <c:v>149.29</c:v>
                </c:pt>
                <c:pt idx="266">
                  <c:v>149.30000000000001</c:v>
                </c:pt>
                <c:pt idx="267">
                  <c:v>149.6</c:v>
                </c:pt>
                <c:pt idx="268">
                  <c:v>149.58000000000001</c:v>
                </c:pt>
                <c:pt idx="269">
                  <c:v>149.91</c:v>
                </c:pt>
                <c:pt idx="270">
                  <c:v>#N/A</c:v>
                </c:pt>
                <c:pt idx="271">
                  <c:v>#N/A</c:v>
                </c:pt>
                <c:pt idx="272">
                  <c:v>150.08000000000001</c:v>
                </c:pt>
                <c:pt idx="273">
                  <c:v>#N/A</c:v>
                </c:pt>
                <c:pt idx="274">
                  <c:v>#N/A</c:v>
                </c:pt>
                <c:pt idx="275">
                  <c:v>#N/A</c:v>
                </c:pt>
                <c:pt idx="276">
                  <c:v>#N/A</c:v>
                </c:pt>
                <c:pt idx="277">
                  <c:v>#N/A</c:v>
                </c:pt>
                <c:pt idx="278">
                  <c:v>#N/A</c:v>
                </c:pt>
                <c:pt idx="279">
                  <c:v>#N/A</c:v>
                </c:pt>
                <c:pt idx="280">
                  <c:v>150.53</c:v>
                </c:pt>
                <c:pt idx="281">
                  <c:v>150.69999999999999</c:v>
                </c:pt>
                <c:pt idx="282">
                  <c:v>150.74</c:v>
                </c:pt>
                <c:pt idx="283">
                  <c:v>151.22999999999999</c:v>
                </c:pt>
                <c:pt idx="284">
                  <c:v>#N/A</c:v>
                </c:pt>
                <c:pt idx="285">
                  <c:v>#N/A</c:v>
                </c:pt>
                <c:pt idx="286">
                  <c:v>151.13</c:v>
                </c:pt>
                <c:pt idx="287">
                  <c:v>151.13999999999999</c:v>
                </c:pt>
                <c:pt idx="288">
                  <c:v>151.47</c:v>
                </c:pt>
                <c:pt idx="289">
                  <c:v>151.56</c:v>
                </c:pt>
                <c:pt idx="290">
                  <c:v>151.44</c:v>
                </c:pt>
                <c:pt idx="291">
                  <c:v>#N/A</c:v>
                </c:pt>
                <c:pt idx="292">
                  <c:v>#N/A</c:v>
                </c:pt>
                <c:pt idx="293">
                  <c:v>151.46</c:v>
                </c:pt>
                <c:pt idx="294">
                  <c:v>151.71</c:v>
                </c:pt>
                <c:pt idx="295">
                  <c:v>151.9</c:v>
                </c:pt>
                <c:pt idx="296">
                  <c:v>151.91999999999999</c:v>
                </c:pt>
                <c:pt idx="297">
                  <c:v>151.97999999999999</c:v>
                </c:pt>
                <c:pt idx="298">
                  <c:v>#N/A</c:v>
                </c:pt>
                <c:pt idx="299">
                  <c:v>#N/A</c:v>
                </c:pt>
                <c:pt idx="300">
                  <c:v>152.04</c:v>
                </c:pt>
                <c:pt idx="301">
                  <c:v>152.79</c:v>
                </c:pt>
                <c:pt idx="302">
                  <c:v>152.84</c:v>
                </c:pt>
                <c:pt idx="303">
                  <c:v>153.01</c:v>
                </c:pt>
                <c:pt idx="304">
                  <c:v>153.46</c:v>
                </c:pt>
                <c:pt idx="305">
                  <c:v>#N/A</c:v>
                </c:pt>
                <c:pt idx="306">
                  <c:v>#N/A</c:v>
                </c:pt>
                <c:pt idx="307">
                  <c:v>153.97</c:v>
                </c:pt>
                <c:pt idx="308">
                  <c:v>154.38</c:v>
                </c:pt>
                <c:pt idx="309">
                  <c:v>154.71</c:v>
                </c:pt>
                <c:pt idx="310">
                  <c:v>155.13</c:v>
                </c:pt>
                <c:pt idx="311">
                  <c:v>155.78</c:v>
                </c:pt>
                <c:pt idx="312">
                  <c:v>#N/A</c:v>
                </c:pt>
                <c:pt idx="313">
                  <c:v>#N/A</c:v>
                </c:pt>
                <c:pt idx="314">
                  <c:v>156.93</c:v>
                </c:pt>
                <c:pt idx="315">
                  <c:v>157.09</c:v>
                </c:pt>
                <c:pt idx="316">
                  <c:v>157.61000000000001</c:v>
                </c:pt>
                <c:pt idx="317">
                  <c:v>158.09</c:v>
                </c:pt>
                <c:pt idx="318">
                  <c:v>159.01</c:v>
                </c:pt>
                <c:pt idx="319">
                  <c:v>#N/A</c:v>
                </c:pt>
                <c:pt idx="320">
                  <c:v>#N/A</c:v>
                </c:pt>
                <c:pt idx="321">
                  <c:v>160.22</c:v>
                </c:pt>
                <c:pt idx="322">
                  <c:v>161</c:v>
                </c:pt>
                <c:pt idx="323">
                  <c:v>161.77000000000001</c:v>
                </c:pt>
                <c:pt idx="324">
                  <c:v>162.05000000000001</c:v>
                </c:pt>
                <c:pt idx="325">
                  <c:v>162.41</c:v>
                </c:pt>
                <c:pt idx="326">
                  <c:v>#N/A</c:v>
                </c:pt>
                <c:pt idx="327">
                  <c:v>#N/A</c:v>
                </c:pt>
                <c:pt idx="328">
                  <c:v>163.15</c:v>
                </c:pt>
                <c:pt idx="329">
                  <c:v>163.21</c:v>
                </c:pt>
                <c:pt idx="330">
                  <c:v>163.89</c:v>
                </c:pt>
                <c:pt idx="331">
                  <c:v>163.9</c:v>
                </c:pt>
                <c:pt idx="332">
                  <c:v>163.91</c:v>
                </c:pt>
                <c:pt idx="333">
                  <c:v>#N/A</c:v>
                </c:pt>
                <c:pt idx="334">
                  <c:v>#N/A</c:v>
                </c:pt>
                <c:pt idx="335">
                  <c:v>164.82</c:v>
                </c:pt>
                <c:pt idx="336">
                  <c:v>164.94</c:v>
                </c:pt>
                <c:pt idx="337">
                  <c:v>165.11</c:v>
                </c:pt>
                <c:pt idx="338">
                  <c:v>165.55</c:v>
                </c:pt>
                <c:pt idx="339">
                  <c:v>165.67</c:v>
                </c:pt>
                <c:pt idx="340">
                  <c:v>#N/A</c:v>
                </c:pt>
                <c:pt idx="341">
                  <c:v>#N/A</c:v>
                </c:pt>
                <c:pt idx="342">
                  <c:v>165.76</c:v>
                </c:pt>
                <c:pt idx="343">
                  <c:v>165.73</c:v>
                </c:pt>
                <c:pt idx="344">
                  <c:v>165.81</c:v>
                </c:pt>
                <c:pt idx="345">
                  <c:v>166.13</c:v>
                </c:pt>
                <c:pt idx="346">
                  <c:v>166.06</c:v>
                </c:pt>
                <c:pt idx="347">
                  <c:v>#N/A</c:v>
                </c:pt>
                <c:pt idx="348">
                  <c:v>#N/A</c:v>
                </c:pt>
                <c:pt idx="349">
                  <c:v>166.26</c:v>
                </c:pt>
                <c:pt idx="350">
                  <c:v>166.33</c:v>
                </c:pt>
                <c:pt idx="351">
                  <c:v>166.28</c:v>
                </c:pt>
                <c:pt idx="352">
                  <c:v>166.43</c:v>
                </c:pt>
                <c:pt idx="353">
                  <c:v>166.46</c:v>
                </c:pt>
                <c:pt idx="354">
                  <c:v>#N/A</c:v>
                </c:pt>
                <c:pt idx="355">
                  <c:v>#N/A</c:v>
                </c:pt>
                <c:pt idx="356">
                  <c:v>166.45</c:v>
                </c:pt>
                <c:pt idx="357">
                  <c:v>166.44</c:v>
                </c:pt>
                <c:pt idx="358">
                  <c:v>166.39</c:v>
                </c:pt>
                <c:pt idx="359">
                  <c:v>166.4</c:v>
                </c:pt>
                <c:pt idx="360">
                  <c:v>166.44</c:v>
                </c:pt>
                <c:pt idx="361">
                  <c:v>#N/A</c:v>
                </c:pt>
                <c:pt idx="362">
                  <c:v>#N/A</c:v>
                </c:pt>
                <c:pt idx="363">
                  <c:v>166.44</c:v>
                </c:pt>
                <c:pt idx="364">
                  <c:v>166.44</c:v>
                </c:pt>
              </c:numCache>
            </c:numRef>
          </c:val>
          <c:smooth val="1"/>
          <c:extLst xmlns:c16r2="http://schemas.microsoft.com/office/drawing/2015/06/chart">
            <c:ext xmlns:c16="http://schemas.microsoft.com/office/drawing/2014/chart" uri="{C3380CC4-5D6E-409C-BE32-E72D297353CC}">
              <c16:uniqueId val="{00000001-3DF6-472D-A161-45EE49929D76}"/>
            </c:ext>
          </c:extLst>
        </c:ser>
        <c:ser>
          <c:idx val="1"/>
          <c:order val="2"/>
          <c:tx>
            <c:strRef>
              <c:f>水泥!$J$1</c:f>
              <c:strCache>
                <c:ptCount val="1"/>
                <c:pt idx="0">
                  <c:v>2020</c:v>
                </c:pt>
              </c:strCache>
            </c:strRef>
          </c:tx>
          <c:spPr>
            <a:ln w="28575">
              <a:solidFill>
                <a:srgbClr val="BF5711"/>
              </a:solidFill>
              <a:prstDash val="solid"/>
            </a:ln>
          </c:spPr>
          <c:marker>
            <c:symbol val="none"/>
          </c:marker>
          <c:cat>
            <c:numRef>
              <c:f>水泥!$G$2:$G$366</c:f>
              <c:numCache>
                <c:formatCode>m"月"d"日"</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水泥!$J$2:$J$366</c:f>
              <c:numCache>
                <c:formatCode>General</c:formatCode>
                <c:ptCount val="365"/>
                <c:pt idx="0">
                  <c:v>#N/A</c:v>
                </c:pt>
                <c:pt idx="1">
                  <c:v>166.36</c:v>
                </c:pt>
                <c:pt idx="2">
                  <c:v>165.91</c:v>
                </c:pt>
                <c:pt idx="3">
                  <c:v>#N/A</c:v>
                </c:pt>
                <c:pt idx="4">
                  <c:v>#N/A</c:v>
                </c:pt>
                <c:pt idx="5">
                  <c:v>165.96</c:v>
                </c:pt>
                <c:pt idx="6">
                  <c:v>165.81</c:v>
                </c:pt>
                <c:pt idx="7">
                  <c:v>165.67</c:v>
                </c:pt>
                <c:pt idx="8">
                  <c:v>165.57</c:v>
                </c:pt>
                <c:pt idx="9">
                  <c:v>165.36</c:v>
                </c:pt>
                <c:pt idx="10">
                  <c:v>#N/A</c:v>
                </c:pt>
                <c:pt idx="11">
                  <c:v>#N/A</c:v>
                </c:pt>
                <c:pt idx="12">
                  <c:v>164.76</c:v>
                </c:pt>
                <c:pt idx="13">
                  <c:v>164.3</c:v>
                </c:pt>
                <c:pt idx="14">
                  <c:v>164.19</c:v>
                </c:pt>
                <c:pt idx="15">
                  <c:v>164.06</c:v>
                </c:pt>
                <c:pt idx="16">
                  <c:v>164.05</c:v>
                </c:pt>
                <c:pt idx="17">
                  <c:v>#N/A</c:v>
                </c:pt>
                <c:pt idx="18">
                  <c:v>#N/A</c:v>
                </c:pt>
                <c:pt idx="19">
                  <c:v>162.75</c:v>
                </c:pt>
                <c:pt idx="20">
                  <c:v>162.72</c:v>
                </c:pt>
                <c:pt idx="21">
                  <c:v>#N/A</c:v>
                </c:pt>
                <c:pt idx="22">
                  <c:v>#N/A</c:v>
                </c:pt>
                <c:pt idx="23">
                  <c:v>#N/A</c:v>
                </c:pt>
                <c:pt idx="24">
                  <c:v>#N/A</c:v>
                </c:pt>
                <c:pt idx="25">
                  <c:v>#N/A</c:v>
                </c:pt>
                <c:pt idx="26">
                  <c:v>#N/A</c:v>
                </c:pt>
                <c:pt idx="27">
                  <c:v>#N/A</c:v>
                </c:pt>
                <c:pt idx="28">
                  <c:v>#N/A</c:v>
                </c:pt>
                <c:pt idx="29">
                  <c:v>#N/A</c:v>
                </c:pt>
                <c:pt idx="30">
                  <c:v>#N/A</c:v>
                </c:pt>
                <c:pt idx="31">
                  <c:v>#N/A</c:v>
                </c:pt>
                <c:pt idx="32">
                  <c:v>#N/A</c:v>
                </c:pt>
                <c:pt idx="33">
                  <c:v>#N/A</c:v>
                </c:pt>
                <c:pt idx="34">
                  <c:v>#N/A</c:v>
                </c:pt>
                <c:pt idx="35">
                  <c:v>#N/A</c:v>
                </c:pt>
                <c:pt idx="36">
                  <c:v>162.31</c:v>
                </c:pt>
                <c:pt idx="37">
                  <c:v>162.31</c:v>
                </c:pt>
                <c:pt idx="38">
                  <c:v>#N/A</c:v>
                </c:pt>
                <c:pt idx="39">
                  <c:v>#N/A</c:v>
                </c:pt>
                <c:pt idx="40">
                  <c:v>162.26</c:v>
                </c:pt>
                <c:pt idx="41">
                  <c:v>161.97999999999999</c:v>
                </c:pt>
                <c:pt idx="42">
                  <c:v>161.51</c:v>
                </c:pt>
                <c:pt idx="43">
                  <c:v>161.51</c:v>
                </c:pt>
                <c:pt idx="44">
                  <c:v>161.53</c:v>
                </c:pt>
                <c:pt idx="45">
                  <c:v>#N/A</c:v>
                </c:pt>
                <c:pt idx="46">
                  <c:v>#N/A</c:v>
                </c:pt>
                <c:pt idx="47">
                  <c:v>160.22</c:v>
                </c:pt>
                <c:pt idx="48">
                  <c:v>159.81</c:v>
                </c:pt>
                <c:pt idx="49">
                  <c:v>159.71</c:v>
                </c:pt>
                <c:pt idx="50">
                  <c:v>159.71</c:v>
                </c:pt>
                <c:pt idx="51">
                  <c:v>159.69999999999999</c:v>
                </c:pt>
                <c:pt idx="52">
                  <c:v>#N/A</c:v>
                </c:pt>
                <c:pt idx="53">
                  <c:v>#N/A</c:v>
                </c:pt>
                <c:pt idx="54">
                  <c:v>158.32</c:v>
                </c:pt>
                <c:pt idx="55">
                  <c:v>158.21</c:v>
                </c:pt>
                <c:pt idx="56">
                  <c:v>157.66</c:v>
                </c:pt>
                <c:pt idx="57">
                  <c:v>157.53</c:v>
                </c:pt>
                <c:pt idx="58">
                  <c:v>157.43</c:v>
                </c:pt>
                <c:pt idx="59">
                  <c:v>#N/A</c:v>
                </c:pt>
                <c:pt idx="60">
                  <c:v>#N/A</c:v>
                </c:pt>
                <c:pt idx="61">
                  <c:v>156.99</c:v>
                </c:pt>
                <c:pt idx="62">
                  <c:v>156.97</c:v>
                </c:pt>
                <c:pt idx="63">
                  <c:v>156.76</c:v>
                </c:pt>
                <c:pt idx="64">
                  <c:v>156.5</c:v>
                </c:pt>
                <c:pt idx="65">
                  <c:v>156.09</c:v>
                </c:pt>
                <c:pt idx="66">
                  <c:v>#N/A</c:v>
                </c:pt>
                <c:pt idx="67">
                  <c:v>#N/A</c:v>
                </c:pt>
                <c:pt idx="68">
                  <c:v>154.65</c:v>
                </c:pt>
                <c:pt idx="69">
                  <c:v>153.88</c:v>
                </c:pt>
                <c:pt idx="70">
                  <c:v>153.74</c:v>
                </c:pt>
                <c:pt idx="71">
                  <c:v>153.47</c:v>
                </c:pt>
                <c:pt idx="72">
                  <c:v>153.19999999999999</c:v>
                </c:pt>
                <c:pt idx="73">
                  <c:v>#N/A</c:v>
                </c:pt>
                <c:pt idx="74">
                  <c:v>#N/A</c:v>
                </c:pt>
                <c:pt idx="75">
                  <c:v>151.91</c:v>
                </c:pt>
                <c:pt idx="76">
                  <c:v>151.27000000000001</c:v>
                </c:pt>
                <c:pt idx="77">
                  <c:v>151.12</c:v>
                </c:pt>
                <c:pt idx="78">
                  <c:v>150.96</c:v>
                </c:pt>
                <c:pt idx="79">
                  <c:v>150.11000000000001</c:v>
                </c:pt>
                <c:pt idx="80">
                  <c:v>#N/A</c:v>
                </c:pt>
                <c:pt idx="81">
                  <c:v>#N/A</c:v>
                </c:pt>
                <c:pt idx="82">
                  <c:v>149.63</c:v>
                </c:pt>
                <c:pt idx="83">
                  <c:v>149.30000000000001</c:v>
                </c:pt>
                <c:pt idx="84">
                  <c:v>149.02000000000001</c:v>
                </c:pt>
                <c:pt idx="85">
                  <c:v>148.88</c:v>
                </c:pt>
                <c:pt idx="86">
                  <c:v>148.61000000000001</c:v>
                </c:pt>
                <c:pt idx="87">
                  <c:v>#N/A</c:v>
                </c:pt>
                <c:pt idx="88">
                  <c:v>#N/A</c:v>
                </c:pt>
                <c:pt idx="89">
                  <c:v>148.66</c:v>
                </c:pt>
                <c:pt idx="90">
                  <c:v>148.51</c:v>
                </c:pt>
                <c:pt idx="91">
                  <c:v>148.32</c:v>
                </c:pt>
                <c:pt idx="92">
                  <c:v>148.19</c:v>
                </c:pt>
                <c:pt idx="93">
                  <c:v>147.4</c:v>
                </c:pt>
                <c:pt idx="94">
                  <c:v>#N/A</c:v>
                </c:pt>
                <c:pt idx="95">
                  <c:v>#N/A</c:v>
                </c:pt>
                <c:pt idx="96">
                  <c:v>#N/A</c:v>
                </c:pt>
                <c:pt idx="97">
                  <c:v>147.13999999999999</c:v>
                </c:pt>
                <c:pt idx="98">
                  <c:v>146.97999999999999</c:v>
                </c:pt>
                <c:pt idx="99">
                  <c:v>146.84</c:v>
                </c:pt>
                <c:pt idx="100">
                  <c:v>146.43</c:v>
                </c:pt>
                <c:pt idx="101">
                  <c:v>#N/A</c:v>
                </c:pt>
                <c:pt idx="102">
                  <c:v>#N/A</c:v>
                </c:pt>
                <c:pt idx="103">
                  <c:v>146.24</c:v>
                </c:pt>
                <c:pt idx="104">
                  <c:v>146.19999999999999</c:v>
                </c:pt>
                <c:pt idx="105">
                  <c:v>146.19</c:v>
                </c:pt>
                <c:pt idx="106">
                  <c:v>146.24</c:v>
                </c:pt>
                <c:pt idx="107">
                  <c:v>146.08000000000001</c:v>
                </c:pt>
                <c:pt idx="108">
                  <c:v>#N/A</c:v>
                </c:pt>
                <c:pt idx="109">
                  <c:v>#N/A</c:v>
                </c:pt>
                <c:pt idx="110">
                  <c:v>146.08000000000001</c:v>
                </c:pt>
                <c:pt idx="111">
                  <c:v>146.03</c:v>
                </c:pt>
                <c:pt idx="112">
                  <c:v>145.78</c:v>
                </c:pt>
                <c:pt idx="113">
                  <c:v>145.94</c:v>
                </c:pt>
                <c:pt idx="114">
                  <c:v>145.91</c:v>
                </c:pt>
                <c:pt idx="115">
                  <c:v>#N/A</c:v>
                </c:pt>
                <c:pt idx="116">
                  <c:v>#N/A</c:v>
                </c:pt>
                <c:pt idx="117">
                  <c:v>146.43</c:v>
                </c:pt>
                <c:pt idx="118">
                  <c:v>146.46</c:v>
                </c:pt>
                <c:pt idx="119">
                  <c:v>146.41999999999999</c:v>
                </c:pt>
                <c:pt idx="120">
                  <c:v>146.31</c:v>
                </c:pt>
                <c:pt idx="121">
                  <c:v>#N/A</c:v>
                </c:pt>
                <c:pt idx="122">
                  <c:v>#N/A</c:v>
                </c:pt>
                <c:pt idx="123">
                  <c:v>#N/A</c:v>
                </c:pt>
                <c:pt idx="124">
                  <c:v>#N/A</c:v>
                </c:pt>
                <c:pt idx="125">
                  <c:v>#N/A</c:v>
                </c:pt>
                <c:pt idx="126">
                  <c:v>146.62</c:v>
                </c:pt>
                <c:pt idx="127">
                  <c:v>146.66</c:v>
                </c:pt>
                <c:pt idx="128">
                  <c:v>146.74</c:v>
                </c:pt>
                <c:pt idx="129">
                  <c:v>#N/A</c:v>
                </c:pt>
                <c:pt idx="130">
                  <c:v>#N/A</c:v>
                </c:pt>
                <c:pt idx="131">
                  <c:v>147.51</c:v>
                </c:pt>
                <c:pt idx="132">
                  <c:v>147.59</c:v>
                </c:pt>
                <c:pt idx="133">
                  <c:v>147.51</c:v>
                </c:pt>
                <c:pt idx="134">
                  <c:v>147.58000000000001</c:v>
                </c:pt>
                <c:pt idx="135">
                  <c:v>147.56</c:v>
                </c:pt>
                <c:pt idx="136">
                  <c:v>#N/A</c:v>
                </c:pt>
                <c:pt idx="137">
                  <c:v>#N/A</c:v>
                </c:pt>
                <c:pt idx="138">
                  <c:v>147.97999999999999</c:v>
                </c:pt>
                <c:pt idx="139">
                  <c:v>147.97999999999999</c:v>
                </c:pt>
                <c:pt idx="140">
                  <c:v>147.97999999999999</c:v>
                </c:pt>
                <c:pt idx="141">
                  <c:v>147.93</c:v>
                </c:pt>
                <c:pt idx="142">
                  <c:v>148.37</c:v>
                </c:pt>
                <c:pt idx="143">
                  <c:v>#N/A</c:v>
                </c:pt>
                <c:pt idx="144">
                  <c:v>#N/A</c:v>
                </c:pt>
                <c:pt idx="145">
                  <c:v>148.52000000000001</c:v>
                </c:pt>
                <c:pt idx="146">
                  <c:v>148.59</c:v>
                </c:pt>
                <c:pt idx="147">
                  <c:v>148.72999999999999</c:v>
                </c:pt>
                <c:pt idx="148">
                  <c:v>148.72999999999999</c:v>
                </c:pt>
                <c:pt idx="149">
                  <c:v>148.63999999999999</c:v>
                </c:pt>
                <c:pt idx="150">
                  <c:v>#N/A</c:v>
                </c:pt>
                <c:pt idx="151">
                  <c:v>#N/A</c:v>
                </c:pt>
                <c:pt idx="152">
                  <c:v>148.5</c:v>
                </c:pt>
                <c:pt idx="153">
                  <c:v>148.43</c:v>
                </c:pt>
                <c:pt idx="154">
                  <c:v>148.12</c:v>
                </c:pt>
                <c:pt idx="155">
                  <c:v>148.07</c:v>
                </c:pt>
                <c:pt idx="156">
                  <c:v>148.02000000000001</c:v>
                </c:pt>
                <c:pt idx="157">
                  <c:v>#N/A</c:v>
                </c:pt>
                <c:pt idx="158">
                  <c:v>#N/A</c:v>
                </c:pt>
                <c:pt idx="159">
                  <c:v>147.88</c:v>
                </c:pt>
                <c:pt idx="160">
                  <c:v>147.85</c:v>
                </c:pt>
                <c:pt idx="161">
                  <c:v>147.68</c:v>
                </c:pt>
                <c:pt idx="162">
                  <c:v>146.65</c:v>
                </c:pt>
                <c:pt idx="163">
                  <c:v>145.38999999999999</c:v>
                </c:pt>
                <c:pt idx="164">
                  <c:v>#N/A</c:v>
                </c:pt>
                <c:pt idx="165">
                  <c:v>#N/A</c:v>
                </c:pt>
                <c:pt idx="166">
                  <c:v>145.38999999999999</c:v>
                </c:pt>
                <c:pt idx="167">
                  <c:v>145.37</c:v>
                </c:pt>
                <c:pt idx="168">
                  <c:v>145.35</c:v>
                </c:pt>
                <c:pt idx="169">
                  <c:v>145.41999999999999</c:v>
                </c:pt>
                <c:pt idx="170">
                  <c:v>145.32</c:v>
                </c:pt>
                <c:pt idx="171">
                  <c:v>#N/A</c:v>
                </c:pt>
                <c:pt idx="172">
                  <c:v>#N/A</c:v>
                </c:pt>
                <c:pt idx="173">
                  <c:v>144.08000000000001</c:v>
                </c:pt>
                <c:pt idx="174">
                  <c:v>143.6</c:v>
                </c:pt>
                <c:pt idx="175">
                  <c:v>143.05000000000001</c:v>
                </c:pt>
                <c:pt idx="176">
                  <c:v>#N/A</c:v>
                </c:pt>
                <c:pt idx="177">
                  <c:v>#N/A</c:v>
                </c:pt>
                <c:pt idx="178">
                  <c:v>#N/A</c:v>
                </c:pt>
                <c:pt idx="179">
                  <c:v>#N/A</c:v>
                </c:pt>
                <c:pt idx="180">
                  <c:v>141.94999999999999</c:v>
                </c:pt>
                <c:pt idx="181">
                  <c:v>141.75</c:v>
                </c:pt>
                <c:pt idx="182">
                  <c:v>140.97</c:v>
                </c:pt>
                <c:pt idx="183">
                  <c:v>140.71</c:v>
                </c:pt>
                <c:pt idx="184">
                  <c:v>139.80000000000001</c:v>
                </c:pt>
                <c:pt idx="185">
                  <c:v>#N/A</c:v>
                </c:pt>
                <c:pt idx="186">
                  <c:v>#N/A</c:v>
                </c:pt>
                <c:pt idx="187">
                  <c:v>139.30000000000001</c:v>
                </c:pt>
                <c:pt idx="188">
                  <c:v>139.27000000000001</c:v>
                </c:pt>
                <c:pt idx="189">
                  <c:v>138.56</c:v>
                </c:pt>
                <c:pt idx="190">
                  <c:v>138.13</c:v>
                </c:pt>
                <c:pt idx="191">
                  <c:v>137.97999999999999</c:v>
                </c:pt>
                <c:pt idx="192">
                  <c:v>#N/A</c:v>
                </c:pt>
                <c:pt idx="193">
                  <c:v>#N/A</c:v>
                </c:pt>
                <c:pt idx="194">
                  <c:v>137.77000000000001</c:v>
                </c:pt>
                <c:pt idx="195">
                  <c:v>137.58000000000001</c:v>
                </c:pt>
                <c:pt idx="196">
                  <c:v>137.51</c:v>
                </c:pt>
                <c:pt idx="197">
                  <c:v>137.21</c:v>
                </c:pt>
                <c:pt idx="198">
                  <c:v>137.22</c:v>
                </c:pt>
                <c:pt idx="199">
                  <c:v>#N/A</c:v>
                </c:pt>
                <c:pt idx="200">
                  <c:v>#N/A</c:v>
                </c:pt>
                <c:pt idx="201">
                  <c:v>137.04</c:v>
                </c:pt>
                <c:pt idx="202">
                  <c:v>136.91999999999999</c:v>
                </c:pt>
                <c:pt idx="203">
                  <c:v>136.88999999999999</c:v>
                </c:pt>
                <c:pt idx="204">
                  <c:v>136.31</c:v>
                </c:pt>
                <c:pt idx="205">
                  <c:v>136.22</c:v>
                </c:pt>
                <c:pt idx="206">
                  <c:v>#N/A</c:v>
                </c:pt>
                <c:pt idx="207">
                  <c:v>#N/A</c:v>
                </c:pt>
                <c:pt idx="208">
                  <c:v>136.37</c:v>
                </c:pt>
                <c:pt idx="209">
                  <c:v>136.22999999999999</c:v>
                </c:pt>
                <c:pt idx="210">
                  <c:v>136.22999999999999</c:v>
                </c:pt>
                <c:pt idx="211">
                  <c:v>135.96</c:v>
                </c:pt>
                <c:pt idx="212">
                  <c:v>135.94999999999999</c:v>
                </c:pt>
                <c:pt idx="213">
                  <c:v>#N/A</c:v>
                </c:pt>
                <c:pt idx="214">
                  <c:v>#N/A</c:v>
                </c:pt>
                <c:pt idx="215">
                  <c:v>#N/A</c:v>
                </c:pt>
                <c:pt idx="216">
                  <c:v>#N/A</c:v>
                </c:pt>
                <c:pt idx="217">
                  <c:v>#N/A</c:v>
                </c:pt>
                <c:pt idx="218">
                  <c:v>#N/A</c:v>
                </c:pt>
                <c:pt idx="219">
                  <c:v>#N/A</c:v>
                </c:pt>
                <c:pt idx="220">
                  <c:v>#N/A</c:v>
                </c:pt>
                <c:pt idx="221">
                  <c:v>#N/A</c:v>
                </c:pt>
                <c:pt idx="222">
                  <c:v>#N/A</c:v>
                </c:pt>
                <c:pt idx="223">
                  <c:v>#N/A</c:v>
                </c:pt>
                <c:pt idx="224">
                  <c:v>#N/A</c:v>
                </c:pt>
                <c:pt idx="225">
                  <c:v>#N/A</c:v>
                </c:pt>
                <c:pt idx="226">
                  <c:v>#N/A</c:v>
                </c:pt>
                <c:pt idx="227">
                  <c:v>#N/A</c:v>
                </c:pt>
                <c:pt idx="228">
                  <c:v>#N/A</c:v>
                </c:pt>
                <c:pt idx="229">
                  <c:v>#N/A</c:v>
                </c:pt>
                <c:pt idx="230">
                  <c:v>#N/A</c:v>
                </c:pt>
                <c:pt idx="231">
                  <c:v>#N/A</c:v>
                </c:pt>
                <c:pt idx="232">
                  <c:v>#N/A</c:v>
                </c:pt>
                <c:pt idx="233">
                  <c:v>#N/A</c:v>
                </c:pt>
                <c:pt idx="234">
                  <c:v>#N/A</c:v>
                </c:pt>
                <c:pt idx="235">
                  <c:v>#N/A</c:v>
                </c:pt>
                <c:pt idx="236">
                  <c:v>#N/A</c:v>
                </c:pt>
                <c:pt idx="237">
                  <c:v>#N/A</c:v>
                </c:pt>
                <c:pt idx="238">
                  <c:v>#N/A</c:v>
                </c:pt>
                <c:pt idx="239">
                  <c:v>#N/A</c:v>
                </c:pt>
                <c:pt idx="240">
                  <c:v>#N/A</c:v>
                </c:pt>
                <c:pt idx="241">
                  <c:v>#N/A</c:v>
                </c:pt>
                <c:pt idx="242">
                  <c:v>#N/A</c:v>
                </c:pt>
                <c:pt idx="243">
                  <c:v>#N/A</c:v>
                </c:pt>
                <c:pt idx="244">
                  <c:v>#N/A</c:v>
                </c:pt>
                <c:pt idx="245">
                  <c:v>#N/A</c:v>
                </c:pt>
                <c:pt idx="246">
                  <c:v>#N/A</c:v>
                </c:pt>
                <c:pt idx="247">
                  <c:v>#N/A</c:v>
                </c:pt>
                <c:pt idx="248">
                  <c:v>#N/A</c:v>
                </c:pt>
                <c:pt idx="249">
                  <c:v>#N/A</c:v>
                </c:pt>
                <c:pt idx="250">
                  <c:v>#N/A</c:v>
                </c:pt>
                <c:pt idx="251">
                  <c:v>#N/A</c:v>
                </c:pt>
                <c:pt idx="252">
                  <c:v>#N/A</c:v>
                </c:pt>
                <c:pt idx="253">
                  <c:v>#N/A</c:v>
                </c:pt>
                <c:pt idx="254">
                  <c:v>#N/A</c:v>
                </c:pt>
                <c:pt idx="255">
                  <c:v>#N/A</c:v>
                </c:pt>
                <c:pt idx="256">
                  <c:v>#N/A</c:v>
                </c:pt>
                <c:pt idx="257">
                  <c:v>#N/A</c:v>
                </c:pt>
                <c:pt idx="258">
                  <c:v>#N/A</c:v>
                </c:pt>
                <c:pt idx="259">
                  <c:v>#N/A</c:v>
                </c:pt>
                <c:pt idx="260">
                  <c:v>#N/A</c:v>
                </c:pt>
                <c:pt idx="261">
                  <c:v>#N/A</c:v>
                </c:pt>
                <c:pt idx="262">
                  <c:v>#N/A</c:v>
                </c:pt>
                <c:pt idx="263">
                  <c:v>#N/A</c:v>
                </c:pt>
                <c:pt idx="264">
                  <c:v>#N/A</c:v>
                </c:pt>
                <c:pt idx="265">
                  <c:v>#N/A</c:v>
                </c:pt>
                <c:pt idx="266">
                  <c:v>#N/A</c:v>
                </c:pt>
                <c:pt idx="267">
                  <c:v>#N/A</c:v>
                </c:pt>
                <c:pt idx="268">
                  <c:v>#N/A</c:v>
                </c:pt>
                <c:pt idx="269">
                  <c:v>#N/A</c:v>
                </c:pt>
                <c:pt idx="270">
                  <c:v>#N/A</c:v>
                </c:pt>
                <c:pt idx="271">
                  <c:v>#N/A</c:v>
                </c:pt>
                <c:pt idx="272">
                  <c:v>#N/A</c:v>
                </c:pt>
                <c:pt idx="273">
                  <c:v>#N/A</c:v>
                </c:pt>
                <c:pt idx="274">
                  <c:v>#N/A</c:v>
                </c:pt>
                <c:pt idx="275">
                  <c:v>#N/A</c:v>
                </c:pt>
                <c:pt idx="276">
                  <c:v>#N/A</c:v>
                </c:pt>
                <c:pt idx="277">
                  <c:v>#N/A</c:v>
                </c:pt>
                <c:pt idx="278">
                  <c:v>#N/A</c:v>
                </c:pt>
                <c:pt idx="279">
                  <c:v>#N/A</c:v>
                </c:pt>
                <c:pt idx="280">
                  <c:v>#N/A</c:v>
                </c:pt>
                <c:pt idx="281">
                  <c:v>#N/A</c:v>
                </c:pt>
                <c:pt idx="282">
                  <c:v>#N/A</c:v>
                </c:pt>
                <c:pt idx="283">
                  <c:v>#N/A</c:v>
                </c:pt>
                <c:pt idx="284">
                  <c:v>#N/A</c:v>
                </c:pt>
                <c:pt idx="285">
                  <c:v>#N/A</c:v>
                </c:pt>
                <c:pt idx="286">
                  <c:v>#N/A</c:v>
                </c:pt>
                <c:pt idx="287">
                  <c:v>#N/A</c:v>
                </c:pt>
                <c:pt idx="288">
                  <c:v>#N/A</c:v>
                </c:pt>
                <c:pt idx="289">
                  <c:v>#N/A</c:v>
                </c:pt>
                <c:pt idx="290">
                  <c:v>#N/A</c:v>
                </c:pt>
                <c:pt idx="291">
                  <c:v>#N/A</c:v>
                </c:pt>
                <c:pt idx="292">
                  <c:v>#N/A</c:v>
                </c:pt>
                <c:pt idx="293">
                  <c:v>#N/A</c:v>
                </c:pt>
                <c:pt idx="294">
                  <c:v>#N/A</c:v>
                </c:pt>
                <c:pt idx="295">
                  <c:v>#N/A</c:v>
                </c:pt>
                <c:pt idx="296">
                  <c:v>#N/A</c:v>
                </c:pt>
                <c:pt idx="297">
                  <c:v>#N/A</c:v>
                </c:pt>
                <c:pt idx="298">
                  <c:v>#N/A</c:v>
                </c:pt>
                <c:pt idx="299">
                  <c:v>#N/A</c:v>
                </c:pt>
                <c:pt idx="300">
                  <c:v>#N/A</c:v>
                </c:pt>
                <c:pt idx="301">
                  <c:v>#N/A</c:v>
                </c:pt>
                <c:pt idx="302">
                  <c:v>#N/A</c:v>
                </c:pt>
                <c:pt idx="303">
                  <c:v>#N/A</c:v>
                </c:pt>
                <c:pt idx="304">
                  <c:v>#N/A</c:v>
                </c:pt>
                <c:pt idx="305">
                  <c:v>#N/A</c:v>
                </c:pt>
                <c:pt idx="306">
                  <c:v>#N/A</c:v>
                </c:pt>
                <c:pt idx="307">
                  <c:v>#N/A</c:v>
                </c:pt>
                <c:pt idx="308">
                  <c:v>#N/A</c:v>
                </c:pt>
                <c:pt idx="309">
                  <c:v>#N/A</c:v>
                </c:pt>
                <c:pt idx="310">
                  <c:v>#N/A</c:v>
                </c:pt>
                <c:pt idx="311">
                  <c:v>#N/A</c:v>
                </c:pt>
                <c:pt idx="312">
                  <c:v>#N/A</c:v>
                </c:pt>
                <c:pt idx="313">
                  <c:v>#N/A</c:v>
                </c:pt>
                <c:pt idx="314">
                  <c:v>#N/A</c:v>
                </c:pt>
                <c:pt idx="315">
                  <c:v>#N/A</c:v>
                </c:pt>
                <c:pt idx="316">
                  <c:v>#N/A</c:v>
                </c:pt>
                <c:pt idx="317">
                  <c:v>#N/A</c:v>
                </c:pt>
                <c:pt idx="318">
                  <c:v>#N/A</c:v>
                </c:pt>
                <c:pt idx="319">
                  <c:v>#N/A</c:v>
                </c:pt>
                <c:pt idx="320">
                  <c:v>#N/A</c:v>
                </c:pt>
                <c:pt idx="321">
                  <c:v>#N/A</c:v>
                </c:pt>
                <c:pt idx="322">
                  <c:v>#N/A</c:v>
                </c:pt>
                <c:pt idx="323">
                  <c:v>#N/A</c:v>
                </c:pt>
                <c:pt idx="324">
                  <c:v>#N/A</c:v>
                </c:pt>
                <c:pt idx="325">
                  <c:v>#N/A</c:v>
                </c:pt>
                <c:pt idx="326">
                  <c:v>#N/A</c:v>
                </c:pt>
                <c:pt idx="327">
                  <c:v>#N/A</c:v>
                </c:pt>
                <c:pt idx="328">
                  <c:v>#N/A</c:v>
                </c:pt>
                <c:pt idx="329">
                  <c:v>#N/A</c:v>
                </c:pt>
                <c:pt idx="330">
                  <c:v>#N/A</c:v>
                </c:pt>
                <c:pt idx="331">
                  <c:v>#N/A</c:v>
                </c:pt>
                <c:pt idx="332">
                  <c:v>#N/A</c:v>
                </c:pt>
                <c:pt idx="333">
                  <c:v>#N/A</c:v>
                </c:pt>
                <c:pt idx="334">
                  <c:v>#N/A</c:v>
                </c:pt>
                <c:pt idx="335">
                  <c:v>#N/A</c:v>
                </c:pt>
                <c:pt idx="336">
                  <c:v>#N/A</c:v>
                </c:pt>
                <c:pt idx="337">
                  <c:v>#N/A</c:v>
                </c:pt>
                <c:pt idx="338">
                  <c:v>#N/A</c:v>
                </c:pt>
                <c:pt idx="339">
                  <c:v>#N/A</c:v>
                </c:pt>
                <c:pt idx="340">
                  <c:v>#N/A</c:v>
                </c:pt>
                <c:pt idx="341">
                  <c:v>#N/A</c:v>
                </c:pt>
                <c:pt idx="342">
                  <c:v>#N/A</c:v>
                </c:pt>
                <c:pt idx="343">
                  <c:v>#N/A</c:v>
                </c:pt>
                <c:pt idx="344">
                  <c:v>#N/A</c:v>
                </c:pt>
                <c:pt idx="345">
                  <c:v>#N/A</c:v>
                </c:pt>
                <c:pt idx="346">
                  <c:v>#N/A</c:v>
                </c:pt>
                <c:pt idx="347">
                  <c:v>#N/A</c:v>
                </c:pt>
                <c:pt idx="348">
                  <c:v>#N/A</c:v>
                </c:pt>
                <c:pt idx="349">
                  <c:v>#N/A</c:v>
                </c:pt>
                <c:pt idx="350">
                  <c:v>#N/A</c:v>
                </c:pt>
                <c:pt idx="351">
                  <c:v>#N/A</c:v>
                </c:pt>
                <c:pt idx="352">
                  <c:v>#N/A</c:v>
                </c:pt>
                <c:pt idx="353">
                  <c:v>#N/A</c:v>
                </c:pt>
                <c:pt idx="354">
                  <c:v>#N/A</c:v>
                </c:pt>
                <c:pt idx="355">
                  <c:v>#N/A</c:v>
                </c:pt>
                <c:pt idx="356">
                  <c:v>#N/A</c:v>
                </c:pt>
                <c:pt idx="357">
                  <c:v>#N/A</c:v>
                </c:pt>
                <c:pt idx="358">
                  <c:v>#N/A</c:v>
                </c:pt>
                <c:pt idx="359">
                  <c:v>#N/A</c:v>
                </c:pt>
                <c:pt idx="360">
                  <c:v>#N/A</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2-3DF6-472D-A161-45EE49929D76}"/>
            </c:ext>
          </c:extLst>
        </c:ser>
        <c:dLbls>
          <c:showLegendKey val="0"/>
          <c:showVal val="0"/>
          <c:showCatName val="0"/>
          <c:showSerName val="0"/>
          <c:showPercent val="0"/>
          <c:showBubbleSize val="0"/>
        </c:dLbls>
        <c:marker val="1"/>
        <c:smooth val="0"/>
        <c:axId val="272331136"/>
        <c:axId val="272332672"/>
      </c:lineChart>
      <c:dateAx>
        <c:axId val="272331136"/>
        <c:scaling>
          <c:orientation val="minMax"/>
        </c:scaling>
        <c:delete val="0"/>
        <c:axPos val="b"/>
        <c:numFmt formatCode="m" sourceLinked="0"/>
        <c:majorTickMark val="out"/>
        <c:minorTickMark val="out"/>
        <c:tickLblPos val="low"/>
        <c:spPr>
          <a:ln w="3175">
            <a:solidFill>
              <a:sysClr val="windowText" lastClr="000000"/>
            </a:solidFill>
            <a:prstDash val="solid"/>
          </a:ln>
        </c:spPr>
        <c:txPr>
          <a:bodyPr rot="0" vert="horz"/>
          <a:lstStyle/>
          <a:p>
            <a:pPr>
              <a:defRPr sz="700">
                <a:latin typeface="Arial Narrow" panose="020B0606020202030204" pitchFamily="34" charset="0"/>
              </a:defRPr>
            </a:pPr>
            <a:endParaRPr lang="zh-CN"/>
          </a:p>
        </c:txPr>
        <c:crossAx val="272332672"/>
        <c:crosses val="autoZero"/>
        <c:auto val="0"/>
        <c:lblOffset val="0"/>
        <c:baseTimeUnit val="days"/>
        <c:majorUnit val="1"/>
        <c:majorTimeUnit val="months"/>
      </c:dateAx>
      <c:valAx>
        <c:axId val="272332672"/>
        <c:scaling>
          <c:orientation val="minMax"/>
          <c:max val="170"/>
          <c:min val="9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sz="700">
                <a:solidFill>
                  <a:schemeClr val="tx1"/>
                </a:solidFill>
                <a:latin typeface="Arial Narrow" panose="020B0606020202030204" pitchFamily="34" charset="0"/>
              </a:defRPr>
            </a:pPr>
            <a:endParaRPr lang="zh-CN"/>
          </a:p>
        </c:txPr>
        <c:crossAx val="272331136"/>
        <c:crosses val="autoZero"/>
        <c:crossBetween val="between"/>
      </c:valAx>
    </c:plotArea>
    <c:legend>
      <c:legendPos val="r"/>
      <c:layout>
        <c:manualLayout>
          <c:xMode val="edge"/>
          <c:yMode val="edge"/>
          <c:x val="0.15225"/>
          <c:y val="2.3337707786526686E-3"/>
          <c:w val="0.690571084864392"/>
          <c:h val="5.8071230679498403E-2"/>
        </c:manualLayout>
      </c:layout>
      <c:overlay val="0"/>
      <c:spPr>
        <a:noFill/>
        <a:ln w="3175">
          <a:noFill/>
          <a:prstDash val="solid"/>
        </a:ln>
      </c:spPr>
      <c:txPr>
        <a:bodyPr/>
        <a:lstStyle/>
        <a:p>
          <a:pPr>
            <a:defRPr sz="700" b="0">
              <a:latin typeface="华文楷体" panose="02010600040101010101" pitchFamily="2" charset="-122"/>
              <a:ea typeface="华文楷体" panose="02010600040101010101" pitchFamily="2" charset="-122"/>
            </a:defRPr>
          </a:pPr>
          <a:endParaRPr lang="zh-CN"/>
        </a:p>
      </c:txPr>
    </c:legend>
    <c:plotVisOnly val="1"/>
    <c:dispBlanksAs val="span"/>
    <c:showDLblsOverMax val="0"/>
  </c:chart>
  <c:spPr>
    <a:ln>
      <a:noFill/>
    </a:ln>
  </c:spPr>
  <c:txPr>
    <a:bodyPr/>
    <a:lstStyle/>
    <a:p>
      <a:pPr>
        <a:defRPr sz="10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1196595217264509"/>
          <c:w val="0.92723381452318465"/>
          <c:h val="0.81409120734908136"/>
        </c:manualLayout>
      </c:layout>
      <c:lineChart>
        <c:grouping val="standard"/>
        <c:varyColors val="0"/>
        <c:ser>
          <c:idx val="0"/>
          <c:order val="0"/>
          <c:tx>
            <c:strRef>
              <c:f>南华!$H$1</c:f>
              <c:strCache>
                <c:ptCount val="1"/>
                <c:pt idx="0">
                  <c:v>2018</c:v>
                </c:pt>
              </c:strCache>
            </c:strRef>
          </c:tx>
          <c:spPr>
            <a:ln w="28575">
              <a:solidFill>
                <a:srgbClr val="E7E6E6">
                  <a:lumMod val="75000"/>
                </a:srgbClr>
              </a:solidFill>
              <a:prstDash val="solid"/>
            </a:ln>
          </c:spPr>
          <c:marker>
            <c:symbol val="none"/>
          </c:marker>
          <c:cat>
            <c:numRef>
              <c:f>南华!$G$2:$G$366</c:f>
              <c:numCache>
                <c:formatCode>m"月"d"日"</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南华!$H$2:$H$366</c:f>
              <c:numCache>
                <c:formatCode>General</c:formatCode>
                <c:ptCount val="365"/>
                <c:pt idx="0">
                  <c:v>#N/A</c:v>
                </c:pt>
                <c:pt idx="1">
                  <c:v>#N/A</c:v>
                </c:pt>
                <c:pt idx="2">
                  <c:v>#N/A</c:v>
                </c:pt>
                <c:pt idx="3">
                  <c:v>#N/A</c:v>
                </c:pt>
                <c:pt idx="4">
                  <c:v>#N/A</c:v>
                </c:pt>
                <c:pt idx="5">
                  <c:v>2100.85</c:v>
                </c:pt>
                <c:pt idx="6">
                  <c:v>#N/A</c:v>
                </c:pt>
                <c:pt idx="7">
                  <c:v>#N/A</c:v>
                </c:pt>
                <c:pt idx="8">
                  <c:v>#N/A</c:v>
                </c:pt>
                <c:pt idx="9">
                  <c:v>#N/A</c:v>
                </c:pt>
                <c:pt idx="10">
                  <c:v>#N/A</c:v>
                </c:pt>
                <c:pt idx="11">
                  <c:v>#N/A</c:v>
                </c:pt>
                <c:pt idx="12">
                  <c:v>2106.14</c:v>
                </c:pt>
                <c:pt idx="13">
                  <c:v>#N/A</c:v>
                </c:pt>
                <c:pt idx="14">
                  <c:v>#N/A</c:v>
                </c:pt>
                <c:pt idx="15">
                  <c:v>#N/A</c:v>
                </c:pt>
                <c:pt idx="16">
                  <c:v>#N/A</c:v>
                </c:pt>
                <c:pt idx="17">
                  <c:v>#N/A</c:v>
                </c:pt>
                <c:pt idx="18">
                  <c:v>#N/A</c:v>
                </c:pt>
                <c:pt idx="19">
                  <c:v>2086.31</c:v>
                </c:pt>
                <c:pt idx="20">
                  <c:v>#N/A</c:v>
                </c:pt>
                <c:pt idx="21">
                  <c:v>#N/A</c:v>
                </c:pt>
                <c:pt idx="22">
                  <c:v>#N/A</c:v>
                </c:pt>
                <c:pt idx="23">
                  <c:v>#N/A</c:v>
                </c:pt>
                <c:pt idx="24">
                  <c:v>#N/A</c:v>
                </c:pt>
                <c:pt idx="25">
                  <c:v>#N/A</c:v>
                </c:pt>
                <c:pt idx="26">
                  <c:v>2095.38</c:v>
                </c:pt>
                <c:pt idx="27">
                  <c:v>#N/A</c:v>
                </c:pt>
                <c:pt idx="28">
                  <c:v>#N/A</c:v>
                </c:pt>
                <c:pt idx="29">
                  <c:v>#N/A</c:v>
                </c:pt>
                <c:pt idx="30">
                  <c:v>#N/A</c:v>
                </c:pt>
                <c:pt idx="31">
                  <c:v>#N/A</c:v>
                </c:pt>
                <c:pt idx="32">
                  <c:v>#N/A</c:v>
                </c:pt>
                <c:pt idx="33">
                  <c:v>2077.0700000000002</c:v>
                </c:pt>
                <c:pt idx="34">
                  <c:v>#N/A</c:v>
                </c:pt>
                <c:pt idx="35">
                  <c:v>#N/A</c:v>
                </c:pt>
                <c:pt idx="36">
                  <c:v>#N/A</c:v>
                </c:pt>
                <c:pt idx="37">
                  <c:v>#N/A</c:v>
                </c:pt>
                <c:pt idx="38">
                  <c:v>#N/A</c:v>
                </c:pt>
                <c:pt idx="39">
                  <c:v>#N/A</c:v>
                </c:pt>
                <c:pt idx="40">
                  <c:v>2046.71</c:v>
                </c:pt>
                <c:pt idx="41">
                  <c:v>#N/A</c:v>
                </c:pt>
                <c:pt idx="42">
                  <c:v>#N/A</c:v>
                </c:pt>
                <c:pt idx="43">
                  <c:v>#N/A</c:v>
                </c:pt>
                <c:pt idx="44">
                  <c:v>#N/A</c:v>
                </c:pt>
                <c:pt idx="45">
                  <c:v>#N/A</c:v>
                </c:pt>
                <c:pt idx="46">
                  <c:v>#N/A</c:v>
                </c:pt>
                <c:pt idx="47">
                  <c:v>2071.9299999999998</c:v>
                </c:pt>
                <c:pt idx="48">
                  <c:v>#N/A</c:v>
                </c:pt>
                <c:pt idx="49">
                  <c:v>#N/A</c:v>
                </c:pt>
                <c:pt idx="50">
                  <c:v>#N/A</c:v>
                </c:pt>
                <c:pt idx="51">
                  <c:v>#N/A</c:v>
                </c:pt>
                <c:pt idx="52">
                  <c:v>#N/A</c:v>
                </c:pt>
                <c:pt idx="53">
                  <c:v>#N/A</c:v>
                </c:pt>
                <c:pt idx="54">
                  <c:v>2103.08</c:v>
                </c:pt>
                <c:pt idx="55">
                  <c:v>#N/A</c:v>
                </c:pt>
                <c:pt idx="56">
                  <c:v>#N/A</c:v>
                </c:pt>
                <c:pt idx="57">
                  <c:v>#N/A</c:v>
                </c:pt>
                <c:pt idx="58">
                  <c:v>#N/A</c:v>
                </c:pt>
                <c:pt idx="59">
                  <c:v>#N/A</c:v>
                </c:pt>
                <c:pt idx="60">
                  <c:v>#N/A</c:v>
                </c:pt>
                <c:pt idx="61">
                  <c:v>2098.15</c:v>
                </c:pt>
                <c:pt idx="62">
                  <c:v>#N/A</c:v>
                </c:pt>
                <c:pt idx="63">
                  <c:v>#N/A</c:v>
                </c:pt>
                <c:pt idx="64">
                  <c:v>#N/A</c:v>
                </c:pt>
                <c:pt idx="65">
                  <c:v>#N/A</c:v>
                </c:pt>
                <c:pt idx="66">
                  <c:v>#N/A</c:v>
                </c:pt>
                <c:pt idx="67">
                  <c:v>#N/A</c:v>
                </c:pt>
                <c:pt idx="68">
                  <c:v>1999.3</c:v>
                </c:pt>
                <c:pt idx="69">
                  <c:v>#N/A</c:v>
                </c:pt>
                <c:pt idx="70">
                  <c:v>#N/A</c:v>
                </c:pt>
                <c:pt idx="71">
                  <c:v>#N/A</c:v>
                </c:pt>
                <c:pt idx="72">
                  <c:v>#N/A</c:v>
                </c:pt>
                <c:pt idx="73">
                  <c:v>#N/A</c:v>
                </c:pt>
                <c:pt idx="74">
                  <c:v>#N/A</c:v>
                </c:pt>
                <c:pt idx="75">
                  <c:v>2001.46</c:v>
                </c:pt>
                <c:pt idx="76">
                  <c:v>#N/A</c:v>
                </c:pt>
                <c:pt idx="77">
                  <c:v>#N/A</c:v>
                </c:pt>
                <c:pt idx="78">
                  <c:v>#N/A</c:v>
                </c:pt>
                <c:pt idx="79">
                  <c:v>#N/A</c:v>
                </c:pt>
                <c:pt idx="80">
                  <c:v>#N/A</c:v>
                </c:pt>
                <c:pt idx="81">
                  <c:v>#N/A</c:v>
                </c:pt>
                <c:pt idx="82">
                  <c:v>1898.76</c:v>
                </c:pt>
                <c:pt idx="83">
                  <c:v>#N/A</c:v>
                </c:pt>
                <c:pt idx="84">
                  <c:v>#N/A</c:v>
                </c:pt>
                <c:pt idx="85">
                  <c:v>#N/A</c:v>
                </c:pt>
                <c:pt idx="86">
                  <c:v>#N/A</c:v>
                </c:pt>
                <c:pt idx="87">
                  <c:v>#N/A</c:v>
                </c:pt>
                <c:pt idx="88">
                  <c:v>#N/A</c:v>
                </c:pt>
                <c:pt idx="89">
                  <c:v>1921.33</c:v>
                </c:pt>
                <c:pt idx="90">
                  <c:v>#N/A</c:v>
                </c:pt>
                <c:pt idx="91">
                  <c:v>#N/A</c:v>
                </c:pt>
                <c:pt idx="92">
                  <c:v>#N/A</c:v>
                </c:pt>
                <c:pt idx="93">
                  <c:v>#N/A</c:v>
                </c:pt>
                <c:pt idx="94">
                  <c:v>#N/A</c:v>
                </c:pt>
                <c:pt idx="95">
                  <c:v>#N/A</c:v>
                </c:pt>
                <c:pt idx="96">
                  <c:v>1914.14</c:v>
                </c:pt>
                <c:pt idx="97">
                  <c:v>#N/A</c:v>
                </c:pt>
                <c:pt idx="98">
                  <c:v>#N/A</c:v>
                </c:pt>
                <c:pt idx="99">
                  <c:v>#N/A</c:v>
                </c:pt>
                <c:pt idx="100">
                  <c:v>#N/A</c:v>
                </c:pt>
                <c:pt idx="101">
                  <c:v>#N/A</c:v>
                </c:pt>
                <c:pt idx="102">
                  <c:v>#N/A</c:v>
                </c:pt>
                <c:pt idx="103">
                  <c:v>1965.75</c:v>
                </c:pt>
                <c:pt idx="104">
                  <c:v>#N/A</c:v>
                </c:pt>
                <c:pt idx="105">
                  <c:v>#N/A</c:v>
                </c:pt>
                <c:pt idx="106">
                  <c:v>#N/A</c:v>
                </c:pt>
                <c:pt idx="107">
                  <c:v>#N/A</c:v>
                </c:pt>
                <c:pt idx="108">
                  <c:v>#N/A</c:v>
                </c:pt>
                <c:pt idx="109">
                  <c:v>#N/A</c:v>
                </c:pt>
                <c:pt idx="110">
                  <c:v>1994.47</c:v>
                </c:pt>
                <c:pt idx="111">
                  <c:v>#N/A</c:v>
                </c:pt>
                <c:pt idx="112">
                  <c:v>#N/A</c:v>
                </c:pt>
                <c:pt idx="113">
                  <c:v>#N/A</c:v>
                </c:pt>
                <c:pt idx="114">
                  <c:v>#N/A</c:v>
                </c:pt>
                <c:pt idx="115">
                  <c:v>#N/A</c:v>
                </c:pt>
                <c:pt idx="116">
                  <c:v>#N/A</c:v>
                </c:pt>
                <c:pt idx="117">
                  <c:v>2012.85</c:v>
                </c:pt>
                <c:pt idx="118">
                  <c:v>#N/A</c:v>
                </c:pt>
                <c:pt idx="119">
                  <c:v>#N/A</c:v>
                </c:pt>
                <c:pt idx="120">
                  <c:v>#N/A</c:v>
                </c:pt>
                <c:pt idx="121">
                  <c:v>#N/A</c:v>
                </c:pt>
                <c:pt idx="122">
                  <c:v>#N/A</c:v>
                </c:pt>
                <c:pt idx="123">
                  <c:v>#N/A</c:v>
                </c:pt>
                <c:pt idx="124">
                  <c:v>2047.97</c:v>
                </c:pt>
                <c:pt idx="125">
                  <c:v>#N/A</c:v>
                </c:pt>
                <c:pt idx="126">
                  <c:v>#N/A</c:v>
                </c:pt>
                <c:pt idx="127">
                  <c:v>#N/A</c:v>
                </c:pt>
                <c:pt idx="128">
                  <c:v>#N/A</c:v>
                </c:pt>
                <c:pt idx="129">
                  <c:v>#N/A</c:v>
                </c:pt>
                <c:pt idx="130">
                  <c:v>#N/A</c:v>
                </c:pt>
                <c:pt idx="131">
                  <c:v>2072.7600000000002</c:v>
                </c:pt>
                <c:pt idx="132">
                  <c:v>#N/A</c:v>
                </c:pt>
                <c:pt idx="133">
                  <c:v>#N/A</c:v>
                </c:pt>
                <c:pt idx="134">
                  <c:v>#N/A</c:v>
                </c:pt>
                <c:pt idx="135">
                  <c:v>#N/A</c:v>
                </c:pt>
                <c:pt idx="136">
                  <c:v>#N/A</c:v>
                </c:pt>
                <c:pt idx="137">
                  <c:v>#N/A</c:v>
                </c:pt>
                <c:pt idx="138">
                  <c:v>2079.2800000000002</c:v>
                </c:pt>
                <c:pt idx="139">
                  <c:v>#N/A</c:v>
                </c:pt>
                <c:pt idx="140">
                  <c:v>#N/A</c:v>
                </c:pt>
                <c:pt idx="141">
                  <c:v>#N/A</c:v>
                </c:pt>
                <c:pt idx="142">
                  <c:v>#N/A</c:v>
                </c:pt>
                <c:pt idx="143">
                  <c:v>#N/A</c:v>
                </c:pt>
                <c:pt idx="144">
                  <c:v>#N/A</c:v>
                </c:pt>
                <c:pt idx="145">
                  <c:v>2039.69</c:v>
                </c:pt>
                <c:pt idx="146">
                  <c:v>#N/A</c:v>
                </c:pt>
                <c:pt idx="147">
                  <c:v>#N/A</c:v>
                </c:pt>
                <c:pt idx="148">
                  <c:v>#N/A</c:v>
                </c:pt>
                <c:pt idx="149">
                  <c:v>#N/A</c:v>
                </c:pt>
                <c:pt idx="150">
                  <c:v>#N/A</c:v>
                </c:pt>
                <c:pt idx="151">
                  <c:v>#N/A</c:v>
                </c:pt>
                <c:pt idx="152">
                  <c:v>2085.89</c:v>
                </c:pt>
                <c:pt idx="153">
                  <c:v>#N/A</c:v>
                </c:pt>
                <c:pt idx="154">
                  <c:v>#N/A</c:v>
                </c:pt>
                <c:pt idx="155">
                  <c:v>#N/A</c:v>
                </c:pt>
                <c:pt idx="156">
                  <c:v>#N/A</c:v>
                </c:pt>
                <c:pt idx="157">
                  <c:v>#N/A</c:v>
                </c:pt>
                <c:pt idx="158">
                  <c:v>#N/A</c:v>
                </c:pt>
                <c:pt idx="159">
                  <c:v>2099.5082000000002</c:v>
                </c:pt>
                <c:pt idx="160">
                  <c:v>#N/A</c:v>
                </c:pt>
                <c:pt idx="161">
                  <c:v>#N/A</c:v>
                </c:pt>
                <c:pt idx="162">
                  <c:v>#N/A</c:v>
                </c:pt>
                <c:pt idx="163">
                  <c:v>#N/A</c:v>
                </c:pt>
                <c:pt idx="164">
                  <c:v>#N/A</c:v>
                </c:pt>
                <c:pt idx="165">
                  <c:v>#N/A</c:v>
                </c:pt>
                <c:pt idx="166">
                  <c:v>2108.4513999999999</c:v>
                </c:pt>
                <c:pt idx="167">
                  <c:v>#N/A</c:v>
                </c:pt>
                <c:pt idx="168">
                  <c:v>#N/A</c:v>
                </c:pt>
                <c:pt idx="169">
                  <c:v>#N/A</c:v>
                </c:pt>
                <c:pt idx="170">
                  <c:v>#N/A</c:v>
                </c:pt>
                <c:pt idx="171">
                  <c:v>#N/A</c:v>
                </c:pt>
                <c:pt idx="172">
                  <c:v>#N/A</c:v>
                </c:pt>
                <c:pt idx="173">
                  <c:v>2045.25</c:v>
                </c:pt>
                <c:pt idx="174">
                  <c:v>#N/A</c:v>
                </c:pt>
                <c:pt idx="175">
                  <c:v>#N/A</c:v>
                </c:pt>
                <c:pt idx="176">
                  <c:v>#N/A</c:v>
                </c:pt>
                <c:pt idx="177">
                  <c:v>#N/A</c:v>
                </c:pt>
                <c:pt idx="178">
                  <c:v>#N/A</c:v>
                </c:pt>
                <c:pt idx="179">
                  <c:v>#N/A</c:v>
                </c:pt>
                <c:pt idx="180">
                  <c:v>2087.83</c:v>
                </c:pt>
                <c:pt idx="181">
                  <c:v>#N/A</c:v>
                </c:pt>
                <c:pt idx="182">
                  <c:v>#N/A</c:v>
                </c:pt>
                <c:pt idx="183">
                  <c:v>#N/A</c:v>
                </c:pt>
                <c:pt idx="184">
                  <c:v>#N/A</c:v>
                </c:pt>
                <c:pt idx="185">
                  <c:v>#N/A</c:v>
                </c:pt>
                <c:pt idx="186">
                  <c:v>#N/A</c:v>
                </c:pt>
                <c:pt idx="187">
                  <c:v>2034.98</c:v>
                </c:pt>
                <c:pt idx="188">
                  <c:v>#N/A</c:v>
                </c:pt>
                <c:pt idx="189">
                  <c:v>#N/A</c:v>
                </c:pt>
                <c:pt idx="190">
                  <c:v>#N/A</c:v>
                </c:pt>
                <c:pt idx="191">
                  <c:v>#N/A</c:v>
                </c:pt>
                <c:pt idx="192">
                  <c:v>#N/A</c:v>
                </c:pt>
                <c:pt idx="193">
                  <c:v>#N/A</c:v>
                </c:pt>
                <c:pt idx="194">
                  <c:v>2045.87</c:v>
                </c:pt>
                <c:pt idx="195">
                  <c:v>#N/A</c:v>
                </c:pt>
                <c:pt idx="196">
                  <c:v>#N/A</c:v>
                </c:pt>
                <c:pt idx="197">
                  <c:v>#N/A</c:v>
                </c:pt>
                <c:pt idx="198">
                  <c:v>#N/A</c:v>
                </c:pt>
                <c:pt idx="199">
                  <c:v>#N/A</c:v>
                </c:pt>
                <c:pt idx="200">
                  <c:v>#N/A</c:v>
                </c:pt>
                <c:pt idx="201">
                  <c:v>2060.85</c:v>
                </c:pt>
                <c:pt idx="202">
                  <c:v>#N/A</c:v>
                </c:pt>
                <c:pt idx="203">
                  <c:v>#N/A</c:v>
                </c:pt>
                <c:pt idx="204">
                  <c:v>#N/A</c:v>
                </c:pt>
                <c:pt idx="205">
                  <c:v>#N/A</c:v>
                </c:pt>
                <c:pt idx="206">
                  <c:v>#N/A</c:v>
                </c:pt>
                <c:pt idx="207">
                  <c:v>#N/A</c:v>
                </c:pt>
                <c:pt idx="208">
                  <c:v>2120.34</c:v>
                </c:pt>
                <c:pt idx="209">
                  <c:v>#N/A</c:v>
                </c:pt>
                <c:pt idx="210">
                  <c:v>#N/A</c:v>
                </c:pt>
                <c:pt idx="211">
                  <c:v>#N/A</c:v>
                </c:pt>
                <c:pt idx="212">
                  <c:v>#N/A</c:v>
                </c:pt>
                <c:pt idx="213">
                  <c:v>#N/A</c:v>
                </c:pt>
                <c:pt idx="214">
                  <c:v>#N/A</c:v>
                </c:pt>
                <c:pt idx="215">
                  <c:v>2149.58</c:v>
                </c:pt>
                <c:pt idx="216">
                  <c:v>#N/A</c:v>
                </c:pt>
                <c:pt idx="217">
                  <c:v>#N/A</c:v>
                </c:pt>
                <c:pt idx="218">
                  <c:v>#N/A</c:v>
                </c:pt>
                <c:pt idx="219">
                  <c:v>#N/A</c:v>
                </c:pt>
                <c:pt idx="220">
                  <c:v>#N/A</c:v>
                </c:pt>
                <c:pt idx="221">
                  <c:v>#N/A</c:v>
                </c:pt>
                <c:pt idx="222">
                  <c:v>2182.56</c:v>
                </c:pt>
                <c:pt idx="223">
                  <c:v>#N/A</c:v>
                </c:pt>
                <c:pt idx="224">
                  <c:v>#N/A</c:v>
                </c:pt>
                <c:pt idx="225">
                  <c:v>#N/A</c:v>
                </c:pt>
                <c:pt idx="226">
                  <c:v>#N/A</c:v>
                </c:pt>
                <c:pt idx="227">
                  <c:v>#N/A</c:v>
                </c:pt>
                <c:pt idx="228">
                  <c:v>#N/A</c:v>
                </c:pt>
                <c:pt idx="229">
                  <c:v>2194.0500000000002</c:v>
                </c:pt>
                <c:pt idx="230">
                  <c:v>#N/A</c:v>
                </c:pt>
                <c:pt idx="231">
                  <c:v>#N/A</c:v>
                </c:pt>
                <c:pt idx="232">
                  <c:v>#N/A</c:v>
                </c:pt>
                <c:pt idx="233">
                  <c:v>#N/A</c:v>
                </c:pt>
                <c:pt idx="234">
                  <c:v>#N/A</c:v>
                </c:pt>
                <c:pt idx="235">
                  <c:v>#N/A</c:v>
                </c:pt>
                <c:pt idx="236">
                  <c:v>2212.41</c:v>
                </c:pt>
                <c:pt idx="237">
                  <c:v>#N/A</c:v>
                </c:pt>
                <c:pt idx="238">
                  <c:v>#N/A</c:v>
                </c:pt>
                <c:pt idx="239">
                  <c:v>#N/A</c:v>
                </c:pt>
                <c:pt idx="240">
                  <c:v>#N/A</c:v>
                </c:pt>
                <c:pt idx="241">
                  <c:v>#N/A</c:v>
                </c:pt>
                <c:pt idx="242">
                  <c:v>#N/A</c:v>
                </c:pt>
                <c:pt idx="243">
                  <c:v>2184.73</c:v>
                </c:pt>
                <c:pt idx="244">
                  <c:v>#N/A</c:v>
                </c:pt>
                <c:pt idx="245">
                  <c:v>#N/A</c:v>
                </c:pt>
                <c:pt idx="246">
                  <c:v>#N/A</c:v>
                </c:pt>
                <c:pt idx="247">
                  <c:v>#N/A</c:v>
                </c:pt>
                <c:pt idx="248">
                  <c:v>#N/A</c:v>
                </c:pt>
                <c:pt idx="249">
                  <c:v>#N/A</c:v>
                </c:pt>
                <c:pt idx="250">
                  <c:v>2166.48</c:v>
                </c:pt>
                <c:pt idx="251">
                  <c:v>#N/A</c:v>
                </c:pt>
                <c:pt idx="252">
                  <c:v>#N/A</c:v>
                </c:pt>
                <c:pt idx="253">
                  <c:v>#N/A</c:v>
                </c:pt>
                <c:pt idx="254">
                  <c:v>#N/A</c:v>
                </c:pt>
                <c:pt idx="255">
                  <c:v>#N/A</c:v>
                </c:pt>
                <c:pt idx="256">
                  <c:v>#N/A</c:v>
                </c:pt>
                <c:pt idx="257">
                  <c:v>2169.17</c:v>
                </c:pt>
                <c:pt idx="258">
                  <c:v>#N/A</c:v>
                </c:pt>
                <c:pt idx="259">
                  <c:v>#N/A</c:v>
                </c:pt>
                <c:pt idx="260">
                  <c:v>#N/A</c:v>
                </c:pt>
                <c:pt idx="261">
                  <c:v>#N/A</c:v>
                </c:pt>
                <c:pt idx="262">
                  <c:v>#N/A</c:v>
                </c:pt>
                <c:pt idx="263">
                  <c:v>#N/A</c:v>
                </c:pt>
                <c:pt idx="264">
                  <c:v>2205.2199999999998</c:v>
                </c:pt>
                <c:pt idx="265">
                  <c:v>#N/A</c:v>
                </c:pt>
                <c:pt idx="266">
                  <c:v>#N/A</c:v>
                </c:pt>
                <c:pt idx="267">
                  <c:v>#N/A</c:v>
                </c:pt>
                <c:pt idx="268">
                  <c:v>#N/A</c:v>
                </c:pt>
                <c:pt idx="269">
                  <c:v>#N/A</c:v>
                </c:pt>
                <c:pt idx="270">
                  <c:v>#N/A</c:v>
                </c:pt>
                <c:pt idx="271">
                  <c:v>2186.4</c:v>
                </c:pt>
                <c:pt idx="272">
                  <c:v>#N/A</c:v>
                </c:pt>
                <c:pt idx="273">
                  <c:v>#N/A</c:v>
                </c:pt>
                <c:pt idx="274">
                  <c:v>#N/A</c:v>
                </c:pt>
                <c:pt idx="275">
                  <c:v>#N/A</c:v>
                </c:pt>
                <c:pt idx="276">
                  <c:v>#N/A</c:v>
                </c:pt>
                <c:pt idx="277">
                  <c:v>#N/A</c:v>
                </c:pt>
                <c:pt idx="278">
                  <c:v>#N/A</c:v>
                </c:pt>
                <c:pt idx="279">
                  <c:v>#N/A</c:v>
                </c:pt>
                <c:pt idx="280">
                  <c:v>#N/A</c:v>
                </c:pt>
                <c:pt idx="281">
                  <c:v>#N/A</c:v>
                </c:pt>
                <c:pt idx="282">
                  <c:v>#N/A</c:v>
                </c:pt>
                <c:pt idx="283">
                  <c:v>#N/A</c:v>
                </c:pt>
                <c:pt idx="284">
                  <c:v>#N/A</c:v>
                </c:pt>
                <c:pt idx="285">
                  <c:v>2260.4299999999998</c:v>
                </c:pt>
                <c:pt idx="286">
                  <c:v>#N/A</c:v>
                </c:pt>
                <c:pt idx="287">
                  <c:v>#N/A</c:v>
                </c:pt>
                <c:pt idx="288">
                  <c:v>#N/A</c:v>
                </c:pt>
                <c:pt idx="289">
                  <c:v>#N/A</c:v>
                </c:pt>
                <c:pt idx="290">
                  <c:v>#N/A</c:v>
                </c:pt>
                <c:pt idx="291">
                  <c:v>#N/A</c:v>
                </c:pt>
                <c:pt idx="292">
                  <c:v>2208.63</c:v>
                </c:pt>
                <c:pt idx="293">
                  <c:v>#N/A</c:v>
                </c:pt>
                <c:pt idx="294">
                  <c:v>#N/A</c:v>
                </c:pt>
                <c:pt idx="295">
                  <c:v>#N/A</c:v>
                </c:pt>
                <c:pt idx="296">
                  <c:v>#N/A</c:v>
                </c:pt>
                <c:pt idx="297">
                  <c:v>#N/A</c:v>
                </c:pt>
                <c:pt idx="298">
                  <c:v>#N/A</c:v>
                </c:pt>
                <c:pt idx="299">
                  <c:v>2220.85</c:v>
                </c:pt>
                <c:pt idx="300">
                  <c:v>#N/A</c:v>
                </c:pt>
                <c:pt idx="301">
                  <c:v>#N/A</c:v>
                </c:pt>
                <c:pt idx="302">
                  <c:v>#N/A</c:v>
                </c:pt>
                <c:pt idx="303">
                  <c:v>#N/A</c:v>
                </c:pt>
                <c:pt idx="304">
                  <c:v>#N/A</c:v>
                </c:pt>
                <c:pt idx="305">
                  <c:v>#N/A</c:v>
                </c:pt>
                <c:pt idx="306">
                  <c:v>2157.69</c:v>
                </c:pt>
                <c:pt idx="307">
                  <c:v>#N/A</c:v>
                </c:pt>
                <c:pt idx="308">
                  <c:v>#N/A</c:v>
                </c:pt>
                <c:pt idx="309">
                  <c:v>#N/A</c:v>
                </c:pt>
                <c:pt idx="310">
                  <c:v>#N/A</c:v>
                </c:pt>
                <c:pt idx="311">
                  <c:v>#N/A</c:v>
                </c:pt>
                <c:pt idx="312">
                  <c:v>#N/A</c:v>
                </c:pt>
                <c:pt idx="313">
                  <c:v>2126.17</c:v>
                </c:pt>
                <c:pt idx="314">
                  <c:v>#N/A</c:v>
                </c:pt>
                <c:pt idx="315">
                  <c:v>#N/A</c:v>
                </c:pt>
                <c:pt idx="316">
                  <c:v>#N/A</c:v>
                </c:pt>
                <c:pt idx="317">
                  <c:v>#N/A</c:v>
                </c:pt>
                <c:pt idx="318">
                  <c:v>#N/A</c:v>
                </c:pt>
                <c:pt idx="319">
                  <c:v>#N/A</c:v>
                </c:pt>
                <c:pt idx="320">
                  <c:v>2116.79</c:v>
                </c:pt>
                <c:pt idx="321">
                  <c:v>#N/A</c:v>
                </c:pt>
                <c:pt idx="322">
                  <c:v>#N/A</c:v>
                </c:pt>
                <c:pt idx="323">
                  <c:v>#N/A</c:v>
                </c:pt>
                <c:pt idx="324">
                  <c:v>#N/A</c:v>
                </c:pt>
                <c:pt idx="325">
                  <c:v>#N/A</c:v>
                </c:pt>
                <c:pt idx="326">
                  <c:v>#N/A</c:v>
                </c:pt>
                <c:pt idx="327">
                  <c:v>2003.97</c:v>
                </c:pt>
                <c:pt idx="328">
                  <c:v>#N/A</c:v>
                </c:pt>
                <c:pt idx="329">
                  <c:v>#N/A</c:v>
                </c:pt>
                <c:pt idx="330">
                  <c:v>#N/A</c:v>
                </c:pt>
                <c:pt idx="331">
                  <c:v>#N/A</c:v>
                </c:pt>
                <c:pt idx="332">
                  <c:v>#N/A</c:v>
                </c:pt>
                <c:pt idx="333">
                  <c:v>#N/A</c:v>
                </c:pt>
                <c:pt idx="334">
                  <c:v>1988.09</c:v>
                </c:pt>
                <c:pt idx="335">
                  <c:v>#N/A</c:v>
                </c:pt>
                <c:pt idx="336">
                  <c:v>#N/A</c:v>
                </c:pt>
                <c:pt idx="337">
                  <c:v>#N/A</c:v>
                </c:pt>
                <c:pt idx="338">
                  <c:v>#N/A</c:v>
                </c:pt>
                <c:pt idx="339">
                  <c:v>#N/A</c:v>
                </c:pt>
                <c:pt idx="340">
                  <c:v>#N/A</c:v>
                </c:pt>
                <c:pt idx="341">
                  <c:v>2059.87</c:v>
                </c:pt>
                <c:pt idx="342">
                  <c:v>#N/A</c:v>
                </c:pt>
                <c:pt idx="343">
                  <c:v>#N/A</c:v>
                </c:pt>
                <c:pt idx="344">
                  <c:v>#N/A</c:v>
                </c:pt>
                <c:pt idx="345">
                  <c:v>#N/A</c:v>
                </c:pt>
                <c:pt idx="346">
                  <c:v>#N/A</c:v>
                </c:pt>
                <c:pt idx="347">
                  <c:v>#N/A</c:v>
                </c:pt>
                <c:pt idx="348">
                  <c:v>2064.35</c:v>
                </c:pt>
                <c:pt idx="349">
                  <c:v>#N/A</c:v>
                </c:pt>
                <c:pt idx="350">
                  <c:v>#N/A</c:v>
                </c:pt>
                <c:pt idx="351">
                  <c:v>#N/A</c:v>
                </c:pt>
                <c:pt idx="352">
                  <c:v>#N/A</c:v>
                </c:pt>
                <c:pt idx="353">
                  <c:v>#N/A</c:v>
                </c:pt>
                <c:pt idx="354">
                  <c:v>#N/A</c:v>
                </c:pt>
                <c:pt idx="355">
                  <c:v>2046.16</c:v>
                </c:pt>
                <c:pt idx="356">
                  <c:v>#N/A</c:v>
                </c:pt>
                <c:pt idx="357">
                  <c:v>#N/A</c:v>
                </c:pt>
                <c:pt idx="358">
                  <c:v>#N/A</c:v>
                </c:pt>
                <c:pt idx="359">
                  <c:v>#N/A</c:v>
                </c:pt>
                <c:pt idx="360">
                  <c:v>#N/A</c:v>
                </c:pt>
                <c:pt idx="361">
                  <c:v>#N/A</c:v>
                </c:pt>
                <c:pt idx="362">
                  <c:v>2011.89</c:v>
                </c:pt>
                <c:pt idx="363">
                  <c:v>#N/A</c:v>
                </c:pt>
                <c:pt idx="364">
                  <c:v>#N/A</c:v>
                </c:pt>
              </c:numCache>
            </c:numRef>
          </c:val>
          <c:smooth val="1"/>
          <c:extLst xmlns:c16r2="http://schemas.microsoft.com/office/drawing/2015/06/chart">
            <c:ext xmlns:c16="http://schemas.microsoft.com/office/drawing/2014/chart" uri="{C3380CC4-5D6E-409C-BE32-E72D297353CC}">
              <c16:uniqueId val="{00000000-ECE9-4193-97FE-7A71D630A633}"/>
            </c:ext>
          </c:extLst>
        </c:ser>
        <c:ser>
          <c:idx val="2"/>
          <c:order val="1"/>
          <c:tx>
            <c:strRef>
              <c:f>南华!$I$1</c:f>
              <c:strCache>
                <c:ptCount val="1"/>
                <c:pt idx="0">
                  <c:v>2019</c:v>
                </c:pt>
              </c:strCache>
            </c:strRef>
          </c:tx>
          <c:spPr>
            <a:ln w="28575">
              <a:solidFill>
                <a:srgbClr val="F8CBAD"/>
              </a:solidFill>
              <a:prstDash val="solid"/>
            </a:ln>
          </c:spPr>
          <c:marker>
            <c:symbol val="none"/>
          </c:marker>
          <c:cat>
            <c:numRef>
              <c:f>南华!$G$2:$G$366</c:f>
              <c:numCache>
                <c:formatCode>m"月"d"日"</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南华!$I$2:$I$366</c:f>
              <c:numCache>
                <c:formatCode>General</c:formatCode>
                <c:ptCount val="365"/>
                <c:pt idx="0">
                  <c:v>#N/A</c:v>
                </c:pt>
                <c:pt idx="1">
                  <c:v>#N/A</c:v>
                </c:pt>
                <c:pt idx="2">
                  <c:v>#N/A</c:v>
                </c:pt>
                <c:pt idx="3">
                  <c:v>#N/A</c:v>
                </c:pt>
                <c:pt idx="4">
                  <c:v>2048.88</c:v>
                </c:pt>
                <c:pt idx="5">
                  <c:v>#N/A</c:v>
                </c:pt>
                <c:pt idx="6">
                  <c:v>#N/A</c:v>
                </c:pt>
                <c:pt idx="7">
                  <c:v>#N/A</c:v>
                </c:pt>
                <c:pt idx="8">
                  <c:v>#N/A</c:v>
                </c:pt>
                <c:pt idx="9">
                  <c:v>#N/A</c:v>
                </c:pt>
                <c:pt idx="10">
                  <c:v>#N/A</c:v>
                </c:pt>
                <c:pt idx="11">
                  <c:v>2079.09</c:v>
                </c:pt>
                <c:pt idx="12">
                  <c:v>#N/A</c:v>
                </c:pt>
                <c:pt idx="13">
                  <c:v>#N/A</c:v>
                </c:pt>
                <c:pt idx="14">
                  <c:v>#N/A</c:v>
                </c:pt>
                <c:pt idx="15">
                  <c:v>#N/A</c:v>
                </c:pt>
                <c:pt idx="16">
                  <c:v>#N/A</c:v>
                </c:pt>
                <c:pt idx="17">
                  <c:v>#N/A</c:v>
                </c:pt>
                <c:pt idx="18">
                  <c:v>2122.16</c:v>
                </c:pt>
                <c:pt idx="19">
                  <c:v>#N/A</c:v>
                </c:pt>
                <c:pt idx="20">
                  <c:v>#N/A</c:v>
                </c:pt>
                <c:pt idx="21">
                  <c:v>#N/A</c:v>
                </c:pt>
                <c:pt idx="22">
                  <c:v>#N/A</c:v>
                </c:pt>
                <c:pt idx="23">
                  <c:v>#N/A</c:v>
                </c:pt>
                <c:pt idx="24">
                  <c:v>#N/A</c:v>
                </c:pt>
                <c:pt idx="25">
                  <c:v>2127.4299999999998</c:v>
                </c:pt>
                <c:pt idx="26">
                  <c:v>#N/A</c:v>
                </c:pt>
                <c:pt idx="27">
                  <c:v>#N/A</c:v>
                </c:pt>
                <c:pt idx="28">
                  <c:v>#N/A</c:v>
                </c:pt>
                <c:pt idx="29">
                  <c:v>#N/A</c:v>
                </c:pt>
                <c:pt idx="30">
                  <c:v>#N/A</c:v>
                </c:pt>
                <c:pt idx="31">
                  <c:v>#N/A</c:v>
                </c:pt>
                <c:pt idx="32">
                  <c:v>2191.3200000000002</c:v>
                </c:pt>
                <c:pt idx="33">
                  <c:v>#N/A</c:v>
                </c:pt>
                <c:pt idx="34">
                  <c:v>#N/A</c:v>
                </c:pt>
                <c:pt idx="35">
                  <c:v>#N/A</c:v>
                </c:pt>
                <c:pt idx="36">
                  <c:v>#N/A</c:v>
                </c:pt>
                <c:pt idx="37">
                  <c:v>#N/A</c:v>
                </c:pt>
                <c:pt idx="38">
                  <c:v>#N/A</c:v>
                </c:pt>
                <c:pt idx="39">
                  <c:v>#N/A</c:v>
                </c:pt>
                <c:pt idx="40">
                  <c:v>#N/A</c:v>
                </c:pt>
                <c:pt idx="41">
                  <c:v>#N/A</c:v>
                </c:pt>
                <c:pt idx="42">
                  <c:v>#N/A</c:v>
                </c:pt>
                <c:pt idx="43">
                  <c:v>#N/A</c:v>
                </c:pt>
                <c:pt idx="44">
                  <c:v>#N/A</c:v>
                </c:pt>
                <c:pt idx="45">
                  <c:v>#N/A</c:v>
                </c:pt>
                <c:pt idx="46">
                  <c:v>2169.5</c:v>
                </c:pt>
                <c:pt idx="47">
                  <c:v>#N/A</c:v>
                </c:pt>
                <c:pt idx="48">
                  <c:v>#N/A</c:v>
                </c:pt>
                <c:pt idx="49">
                  <c:v>#N/A</c:v>
                </c:pt>
                <c:pt idx="50">
                  <c:v>#N/A</c:v>
                </c:pt>
                <c:pt idx="51">
                  <c:v>#N/A</c:v>
                </c:pt>
                <c:pt idx="52">
                  <c:v>#N/A</c:v>
                </c:pt>
                <c:pt idx="53">
                  <c:v>2236.9299999999998</c:v>
                </c:pt>
                <c:pt idx="54">
                  <c:v>#N/A</c:v>
                </c:pt>
                <c:pt idx="55">
                  <c:v>#N/A</c:v>
                </c:pt>
                <c:pt idx="56">
                  <c:v>#N/A</c:v>
                </c:pt>
                <c:pt idx="57">
                  <c:v>#N/A</c:v>
                </c:pt>
                <c:pt idx="58">
                  <c:v>#N/A</c:v>
                </c:pt>
                <c:pt idx="59">
                  <c:v>#N/A</c:v>
                </c:pt>
                <c:pt idx="60">
                  <c:v>2261.9499999999998</c:v>
                </c:pt>
                <c:pt idx="61">
                  <c:v>#N/A</c:v>
                </c:pt>
                <c:pt idx="62">
                  <c:v>#N/A</c:v>
                </c:pt>
                <c:pt idx="63">
                  <c:v>#N/A</c:v>
                </c:pt>
                <c:pt idx="64">
                  <c:v>#N/A</c:v>
                </c:pt>
                <c:pt idx="65">
                  <c:v>#N/A</c:v>
                </c:pt>
                <c:pt idx="66">
                  <c:v>#N/A</c:v>
                </c:pt>
                <c:pt idx="67">
                  <c:v>2198.5300000000002</c:v>
                </c:pt>
                <c:pt idx="68">
                  <c:v>#N/A</c:v>
                </c:pt>
                <c:pt idx="69">
                  <c:v>#N/A</c:v>
                </c:pt>
                <c:pt idx="70">
                  <c:v>#N/A</c:v>
                </c:pt>
                <c:pt idx="71">
                  <c:v>#N/A</c:v>
                </c:pt>
                <c:pt idx="72">
                  <c:v>#N/A</c:v>
                </c:pt>
                <c:pt idx="73">
                  <c:v>#N/A</c:v>
                </c:pt>
                <c:pt idx="74">
                  <c:v>2200.92</c:v>
                </c:pt>
                <c:pt idx="75">
                  <c:v>#N/A</c:v>
                </c:pt>
                <c:pt idx="76">
                  <c:v>#N/A</c:v>
                </c:pt>
                <c:pt idx="77">
                  <c:v>#N/A</c:v>
                </c:pt>
                <c:pt idx="78">
                  <c:v>#N/A</c:v>
                </c:pt>
                <c:pt idx="79">
                  <c:v>#N/A</c:v>
                </c:pt>
                <c:pt idx="80">
                  <c:v>#N/A</c:v>
                </c:pt>
                <c:pt idx="81">
                  <c:v>2200.04</c:v>
                </c:pt>
                <c:pt idx="82">
                  <c:v>#N/A</c:v>
                </c:pt>
                <c:pt idx="83">
                  <c:v>#N/A</c:v>
                </c:pt>
                <c:pt idx="84">
                  <c:v>#N/A</c:v>
                </c:pt>
                <c:pt idx="85">
                  <c:v>#N/A</c:v>
                </c:pt>
                <c:pt idx="86">
                  <c:v>#N/A</c:v>
                </c:pt>
                <c:pt idx="87">
                  <c:v>#N/A</c:v>
                </c:pt>
                <c:pt idx="88">
                  <c:v>2191.34</c:v>
                </c:pt>
                <c:pt idx="89">
                  <c:v>#N/A</c:v>
                </c:pt>
                <c:pt idx="90">
                  <c:v>#N/A</c:v>
                </c:pt>
                <c:pt idx="91">
                  <c:v>#N/A</c:v>
                </c:pt>
                <c:pt idx="92">
                  <c:v>#N/A</c:v>
                </c:pt>
                <c:pt idx="93">
                  <c:v>#N/A</c:v>
                </c:pt>
                <c:pt idx="94">
                  <c:v>#N/A</c:v>
                </c:pt>
                <c:pt idx="95">
                  <c:v>2252.59</c:v>
                </c:pt>
                <c:pt idx="96">
                  <c:v>#N/A</c:v>
                </c:pt>
                <c:pt idx="97">
                  <c:v>#N/A</c:v>
                </c:pt>
                <c:pt idx="98">
                  <c:v>#N/A</c:v>
                </c:pt>
                <c:pt idx="99">
                  <c:v>#N/A</c:v>
                </c:pt>
                <c:pt idx="100">
                  <c:v>#N/A</c:v>
                </c:pt>
                <c:pt idx="101">
                  <c:v>#N/A</c:v>
                </c:pt>
                <c:pt idx="102">
                  <c:v>2286.11</c:v>
                </c:pt>
                <c:pt idx="103">
                  <c:v>#N/A</c:v>
                </c:pt>
                <c:pt idx="104">
                  <c:v>#N/A</c:v>
                </c:pt>
                <c:pt idx="105">
                  <c:v>#N/A</c:v>
                </c:pt>
                <c:pt idx="106">
                  <c:v>#N/A</c:v>
                </c:pt>
                <c:pt idx="107">
                  <c:v>#N/A</c:v>
                </c:pt>
                <c:pt idx="108">
                  <c:v>#N/A</c:v>
                </c:pt>
                <c:pt idx="109">
                  <c:v>2253.19</c:v>
                </c:pt>
                <c:pt idx="110">
                  <c:v>#N/A</c:v>
                </c:pt>
                <c:pt idx="111">
                  <c:v>#N/A</c:v>
                </c:pt>
                <c:pt idx="112">
                  <c:v>#N/A</c:v>
                </c:pt>
                <c:pt idx="113">
                  <c:v>#N/A</c:v>
                </c:pt>
                <c:pt idx="114">
                  <c:v>#N/A</c:v>
                </c:pt>
                <c:pt idx="115">
                  <c:v>#N/A</c:v>
                </c:pt>
                <c:pt idx="116">
                  <c:v>2250.8000000000002</c:v>
                </c:pt>
                <c:pt idx="117">
                  <c:v>#N/A</c:v>
                </c:pt>
                <c:pt idx="118">
                  <c:v>#N/A</c:v>
                </c:pt>
                <c:pt idx="119">
                  <c:v>#N/A</c:v>
                </c:pt>
                <c:pt idx="120">
                  <c:v>#N/A</c:v>
                </c:pt>
                <c:pt idx="121">
                  <c:v>#N/A</c:v>
                </c:pt>
                <c:pt idx="122">
                  <c:v>#N/A</c:v>
                </c:pt>
                <c:pt idx="123">
                  <c:v>2274.46</c:v>
                </c:pt>
                <c:pt idx="124">
                  <c:v>#N/A</c:v>
                </c:pt>
                <c:pt idx="125">
                  <c:v>#N/A</c:v>
                </c:pt>
                <c:pt idx="126">
                  <c:v>#N/A</c:v>
                </c:pt>
                <c:pt idx="127">
                  <c:v>#N/A</c:v>
                </c:pt>
                <c:pt idx="128">
                  <c:v>#N/A</c:v>
                </c:pt>
                <c:pt idx="129">
                  <c:v>#N/A</c:v>
                </c:pt>
                <c:pt idx="130">
                  <c:v>2270.42</c:v>
                </c:pt>
                <c:pt idx="131">
                  <c:v>#N/A</c:v>
                </c:pt>
                <c:pt idx="132">
                  <c:v>#N/A</c:v>
                </c:pt>
                <c:pt idx="133">
                  <c:v>#N/A</c:v>
                </c:pt>
                <c:pt idx="134">
                  <c:v>#N/A</c:v>
                </c:pt>
                <c:pt idx="135">
                  <c:v>#N/A</c:v>
                </c:pt>
                <c:pt idx="136">
                  <c:v>#N/A</c:v>
                </c:pt>
                <c:pt idx="137">
                  <c:v>2307.73</c:v>
                </c:pt>
                <c:pt idx="138">
                  <c:v>#N/A</c:v>
                </c:pt>
                <c:pt idx="139">
                  <c:v>#N/A</c:v>
                </c:pt>
                <c:pt idx="140">
                  <c:v>#N/A</c:v>
                </c:pt>
                <c:pt idx="141">
                  <c:v>#N/A</c:v>
                </c:pt>
                <c:pt idx="142">
                  <c:v>#N/A</c:v>
                </c:pt>
                <c:pt idx="143">
                  <c:v>#N/A</c:v>
                </c:pt>
                <c:pt idx="144">
                  <c:v>2309.7600000000002</c:v>
                </c:pt>
                <c:pt idx="145">
                  <c:v>#N/A</c:v>
                </c:pt>
                <c:pt idx="146">
                  <c:v>#N/A</c:v>
                </c:pt>
                <c:pt idx="147">
                  <c:v>#N/A</c:v>
                </c:pt>
                <c:pt idx="148">
                  <c:v>#N/A</c:v>
                </c:pt>
                <c:pt idx="149">
                  <c:v>#N/A</c:v>
                </c:pt>
                <c:pt idx="150">
                  <c:v>#N/A</c:v>
                </c:pt>
                <c:pt idx="151">
                  <c:v>2263.06</c:v>
                </c:pt>
                <c:pt idx="152">
                  <c:v>#N/A</c:v>
                </c:pt>
                <c:pt idx="153">
                  <c:v>#N/A</c:v>
                </c:pt>
                <c:pt idx="154">
                  <c:v>#N/A</c:v>
                </c:pt>
                <c:pt idx="155">
                  <c:v>#N/A</c:v>
                </c:pt>
                <c:pt idx="156">
                  <c:v>#N/A</c:v>
                </c:pt>
                <c:pt idx="157">
                  <c:v>#N/A</c:v>
                </c:pt>
                <c:pt idx="158">
                  <c:v>2223.44</c:v>
                </c:pt>
                <c:pt idx="159">
                  <c:v>#N/A</c:v>
                </c:pt>
                <c:pt idx="160">
                  <c:v>#N/A</c:v>
                </c:pt>
                <c:pt idx="161">
                  <c:v>#N/A</c:v>
                </c:pt>
                <c:pt idx="162">
                  <c:v>#N/A</c:v>
                </c:pt>
                <c:pt idx="163">
                  <c:v>#N/A</c:v>
                </c:pt>
                <c:pt idx="164">
                  <c:v>#N/A</c:v>
                </c:pt>
                <c:pt idx="165">
                  <c:v>2253.75</c:v>
                </c:pt>
                <c:pt idx="166">
                  <c:v>#N/A</c:v>
                </c:pt>
                <c:pt idx="167">
                  <c:v>#N/A</c:v>
                </c:pt>
                <c:pt idx="168">
                  <c:v>#N/A</c:v>
                </c:pt>
                <c:pt idx="169">
                  <c:v>#N/A</c:v>
                </c:pt>
                <c:pt idx="170">
                  <c:v>#N/A</c:v>
                </c:pt>
                <c:pt idx="171">
                  <c:v>#N/A</c:v>
                </c:pt>
                <c:pt idx="172">
                  <c:v>2290.59</c:v>
                </c:pt>
                <c:pt idx="173">
                  <c:v>#N/A</c:v>
                </c:pt>
                <c:pt idx="174">
                  <c:v>#N/A</c:v>
                </c:pt>
                <c:pt idx="175">
                  <c:v>#N/A</c:v>
                </c:pt>
                <c:pt idx="176">
                  <c:v>#N/A</c:v>
                </c:pt>
                <c:pt idx="177">
                  <c:v>#N/A</c:v>
                </c:pt>
                <c:pt idx="178">
                  <c:v>#N/A</c:v>
                </c:pt>
                <c:pt idx="179">
                  <c:v>2329.38</c:v>
                </c:pt>
                <c:pt idx="180">
                  <c:v>#N/A</c:v>
                </c:pt>
                <c:pt idx="181">
                  <c:v>#N/A</c:v>
                </c:pt>
                <c:pt idx="182">
                  <c:v>#N/A</c:v>
                </c:pt>
                <c:pt idx="183">
                  <c:v>#N/A</c:v>
                </c:pt>
                <c:pt idx="184">
                  <c:v>#N/A</c:v>
                </c:pt>
                <c:pt idx="185">
                  <c:v>#N/A</c:v>
                </c:pt>
                <c:pt idx="186">
                  <c:v>2313.8000000000002</c:v>
                </c:pt>
                <c:pt idx="187">
                  <c:v>#N/A</c:v>
                </c:pt>
                <c:pt idx="188">
                  <c:v>#N/A</c:v>
                </c:pt>
                <c:pt idx="189">
                  <c:v>#N/A</c:v>
                </c:pt>
                <c:pt idx="190">
                  <c:v>#N/A</c:v>
                </c:pt>
                <c:pt idx="191">
                  <c:v>#N/A</c:v>
                </c:pt>
                <c:pt idx="192">
                  <c:v>#N/A</c:v>
                </c:pt>
                <c:pt idx="193">
                  <c:v>2337.94</c:v>
                </c:pt>
                <c:pt idx="194">
                  <c:v>#N/A</c:v>
                </c:pt>
                <c:pt idx="195">
                  <c:v>#N/A</c:v>
                </c:pt>
                <c:pt idx="196">
                  <c:v>#N/A</c:v>
                </c:pt>
                <c:pt idx="197">
                  <c:v>#N/A</c:v>
                </c:pt>
                <c:pt idx="198">
                  <c:v>#N/A</c:v>
                </c:pt>
                <c:pt idx="199">
                  <c:v>#N/A</c:v>
                </c:pt>
                <c:pt idx="200">
                  <c:v>2369.3000000000002</c:v>
                </c:pt>
                <c:pt idx="201">
                  <c:v>#N/A</c:v>
                </c:pt>
                <c:pt idx="202">
                  <c:v>#N/A</c:v>
                </c:pt>
                <c:pt idx="203">
                  <c:v>#N/A</c:v>
                </c:pt>
                <c:pt idx="204">
                  <c:v>#N/A</c:v>
                </c:pt>
                <c:pt idx="205">
                  <c:v>#N/A</c:v>
                </c:pt>
                <c:pt idx="206">
                  <c:v>#N/A</c:v>
                </c:pt>
                <c:pt idx="207">
                  <c:v>2333.4299999999998</c:v>
                </c:pt>
                <c:pt idx="208">
                  <c:v>#N/A</c:v>
                </c:pt>
                <c:pt idx="209">
                  <c:v>#N/A</c:v>
                </c:pt>
                <c:pt idx="210">
                  <c:v>#N/A</c:v>
                </c:pt>
                <c:pt idx="211">
                  <c:v>#N/A</c:v>
                </c:pt>
                <c:pt idx="212">
                  <c:v>#N/A</c:v>
                </c:pt>
                <c:pt idx="213">
                  <c:v>#N/A</c:v>
                </c:pt>
                <c:pt idx="214">
                  <c:v>2287.13</c:v>
                </c:pt>
                <c:pt idx="215">
                  <c:v>#N/A</c:v>
                </c:pt>
                <c:pt idx="216">
                  <c:v>#N/A</c:v>
                </c:pt>
                <c:pt idx="217">
                  <c:v>#N/A</c:v>
                </c:pt>
                <c:pt idx="218">
                  <c:v>#N/A</c:v>
                </c:pt>
                <c:pt idx="219">
                  <c:v>#N/A</c:v>
                </c:pt>
                <c:pt idx="220">
                  <c:v>#N/A</c:v>
                </c:pt>
                <c:pt idx="221">
                  <c:v>2219.92</c:v>
                </c:pt>
                <c:pt idx="222">
                  <c:v>#N/A</c:v>
                </c:pt>
                <c:pt idx="223">
                  <c:v>#N/A</c:v>
                </c:pt>
                <c:pt idx="224">
                  <c:v>#N/A</c:v>
                </c:pt>
                <c:pt idx="225">
                  <c:v>#N/A</c:v>
                </c:pt>
                <c:pt idx="226">
                  <c:v>#N/A</c:v>
                </c:pt>
                <c:pt idx="227">
                  <c:v>#N/A</c:v>
                </c:pt>
                <c:pt idx="228">
                  <c:v>2231.1999999999998</c:v>
                </c:pt>
                <c:pt idx="229">
                  <c:v>#N/A</c:v>
                </c:pt>
                <c:pt idx="230">
                  <c:v>#N/A</c:v>
                </c:pt>
                <c:pt idx="231">
                  <c:v>#N/A</c:v>
                </c:pt>
                <c:pt idx="232">
                  <c:v>#N/A</c:v>
                </c:pt>
                <c:pt idx="233">
                  <c:v>#N/A</c:v>
                </c:pt>
                <c:pt idx="234">
                  <c:v>#N/A</c:v>
                </c:pt>
                <c:pt idx="235">
                  <c:v>2222.88</c:v>
                </c:pt>
                <c:pt idx="236">
                  <c:v>#N/A</c:v>
                </c:pt>
                <c:pt idx="237">
                  <c:v>#N/A</c:v>
                </c:pt>
                <c:pt idx="238">
                  <c:v>#N/A</c:v>
                </c:pt>
                <c:pt idx="239">
                  <c:v>#N/A</c:v>
                </c:pt>
                <c:pt idx="240">
                  <c:v>#N/A</c:v>
                </c:pt>
                <c:pt idx="241">
                  <c:v>#N/A</c:v>
                </c:pt>
                <c:pt idx="242">
                  <c:v>2225.21</c:v>
                </c:pt>
                <c:pt idx="243">
                  <c:v>#N/A</c:v>
                </c:pt>
                <c:pt idx="244">
                  <c:v>#N/A</c:v>
                </c:pt>
                <c:pt idx="245">
                  <c:v>#N/A</c:v>
                </c:pt>
                <c:pt idx="246">
                  <c:v>#N/A</c:v>
                </c:pt>
                <c:pt idx="247">
                  <c:v>#N/A</c:v>
                </c:pt>
                <c:pt idx="248">
                  <c:v>#N/A</c:v>
                </c:pt>
                <c:pt idx="249">
                  <c:v>2262.46</c:v>
                </c:pt>
                <c:pt idx="250">
                  <c:v>#N/A</c:v>
                </c:pt>
                <c:pt idx="251">
                  <c:v>#N/A</c:v>
                </c:pt>
                <c:pt idx="252">
                  <c:v>#N/A</c:v>
                </c:pt>
                <c:pt idx="253">
                  <c:v>#N/A</c:v>
                </c:pt>
                <c:pt idx="254">
                  <c:v>#N/A</c:v>
                </c:pt>
                <c:pt idx="255">
                  <c:v>#N/A</c:v>
                </c:pt>
                <c:pt idx="256">
                  <c:v>2325.7800000000002</c:v>
                </c:pt>
                <c:pt idx="257">
                  <c:v>#N/A</c:v>
                </c:pt>
                <c:pt idx="258">
                  <c:v>#N/A</c:v>
                </c:pt>
                <c:pt idx="259">
                  <c:v>#N/A</c:v>
                </c:pt>
                <c:pt idx="260">
                  <c:v>#N/A</c:v>
                </c:pt>
                <c:pt idx="261">
                  <c:v>#N/A</c:v>
                </c:pt>
                <c:pt idx="262">
                  <c:v>#N/A</c:v>
                </c:pt>
                <c:pt idx="263">
                  <c:v>2288.17</c:v>
                </c:pt>
                <c:pt idx="264">
                  <c:v>#N/A</c:v>
                </c:pt>
                <c:pt idx="265">
                  <c:v>#N/A</c:v>
                </c:pt>
                <c:pt idx="266">
                  <c:v>#N/A</c:v>
                </c:pt>
                <c:pt idx="267">
                  <c:v>#N/A</c:v>
                </c:pt>
                <c:pt idx="268">
                  <c:v>#N/A</c:v>
                </c:pt>
                <c:pt idx="269">
                  <c:v>#N/A</c:v>
                </c:pt>
                <c:pt idx="270">
                  <c:v>2262.38</c:v>
                </c:pt>
                <c:pt idx="271">
                  <c:v>#N/A</c:v>
                </c:pt>
                <c:pt idx="272">
                  <c:v>#N/A</c:v>
                </c:pt>
                <c:pt idx="273">
                  <c:v>#N/A</c:v>
                </c:pt>
                <c:pt idx="274">
                  <c:v>#N/A</c:v>
                </c:pt>
                <c:pt idx="275">
                  <c:v>#N/A</c:v>
                </c:pt>
                <c:pt idx="276">
                  <c:v>#N/A</c:v>
                </c:pt>
                <c:pt idx="277">
                  <c:v>2275.5</c:v>
                </c:pt>
                <c:pt idx="278">
                  <c:v>#N/A</c:v>
                </c:pt>
                <c:pt idx="279">
                  <c:v>#N/A</c:v>
                </c:pt>
                <c:pt idx="280">
                  <c:v>#N/A</c:v>
                </c:pt>
                <c:pt idx="281">
                  <c:v>#N/A</c:v>
                </c:pt>
                <c:pt idx="282">
                  <c:v>#N/A</c:v>
                </c:pt>
                <c:pt idx="283">
                  <c:v>#N/A</c:v>
                </c:pt>
                <c:pt idx="284">
                  <c:v>2258.92</c:v>
                </c:pt>
                <c:pt idx="285">
                  <c:v>#N/A</c:v>
                </c:pt>
                <c:pt idx="286">
                  <c:v>#N/A</c:v>
                </c:pt>
                <c:pt idx="287">
                  <c:v>#N/A</c:v>
                </c:pt>
                <c:pt idx="288">
                  <c:v>#N/A</c:v>
                </c:pt>
                <c:pt idx="289">
                  <c:v>#N/A</c:v>
                </c:pt>
                <c:pt idx="290">
                  <c:v>#N/A</c:v>
                </c:pt>
                <c:pt idx="291">
                  <c:v>2216.44</c:v>
                </c:pt>
                <c:pt idx="292">
                  <c:v>#N/A</c:v>
                </c:pt>
                <c:pt idx="293">
                  <c:v>#N/A</c:v>
                </c:pt>
                <c:pt idx="294">
                  <c:v>#N/A</c:v>
                </c:pt>
                <c:pt idx="295">
                  <c:v>#N/A</c:v>
                </c:pt>
                <c:pt idx="296">
                  <c:v>#N/A</c:v>
                </c:pt>
                <c:pt idx="297">
                  <c:v>#N/A</c:v>
                </c:pt>
                <c:pt idx="298">
                  <c:v>2236.38</c:v>
                </c:pt>
                <c:pt idx="299">
                  <c:v>#N/A</c:v>
                </c:pt>
                <c:pt idx="300">
                  <c:v>#N/A</c:v>
                </c:pt>
                <c:pt idx="301">
                  <c:v>#N/A</c:v>
                </c:pt>
                <c:pt idx="302">
                  <c:v>#N/A</c:v>
                </c:pt>
                <c:pt idx="303">
                  <c:v>#N/A</c:v>
                </c:pt>
                <c:pt idx="304">
                  <c:v>#N/A</c:v>
                </c:pt>
                <c:pt idx="305">
                  <c:v>2224.27</c:v>
                </c:pt>
                <c:pt idx="306">
                  <c:v>#N/A</c:v>
                </c:pt>
                <c:pt idx="307">
                  <c:v>#N/A</c:v>
                </c:pt>
                <c:pt idx="308">
                  <c:v>#N/A</c:v>
                </c:pt>
                <c:pt idx="309">
                  <c:v>#N/A</c:v>
                </c:pt>
                <c:pt idx="310">
                  <c:v>#N/A</c:v>
                </c:pt>
                <c:pt idx="311">
                  <c:v>#N/A</c:v>
                </c:pt>
                <c:pt idx="312">
                  <c:v>2214.73</c:v>
                </c:pt>
                <c:pt idx="313">
                  <c:v>#N/A</c:v>
                </c:pt>
                <c:pt idx="314">
                  <c:v>#N/A</c:v>
                </c:pt>
                <c:pt idx="315">
                  <c:v>#N/A</c:v>
                </c:pt>
                <c:pt idx="316">
                  <c:v>#N/A</c:v>
                </c:pt>
                <c:pt idx="317">
                  <c:v>#N/A</c:v>
                </c:pt>
                <c:pt idx="318">
                  <c:v>#N/A</c:v>
                </c:pt>
                <c:pt idx="319">
                  <c:v>2215.8000000000002</c:v>
                </c:pt>
                <c:pt idx="320">
                  <c:v>#N/A</c:v>
                </c:pt>
                <c:pt idx="321">
                  <c:v>#N/A</c:v>
                </c:pt>
                <c:pt idx="322">
                  <c:v>#N/A</c:v>
                </c:pt>
                <c:pt idx="323">
                  <c:v>#N/A</c:v>
                </c:pt>
                <c:pt idx="324">
                  <c:v>#N/A</c:v>
                </c:pt>
                <c:pt idx="325">
                  <c:v>#N/A</c:v>
                </c:pt>
                <c:pt idx="326">
                  <c:v>2253.58</c:v>
                </c:pt>
                <c:pt idx="327">
                  <c:v>#N/A</c:v>
                </c:pt>
                <c:pt idx="328">
                  <c:v>#N/A</c:v>
                </c:pt>
                <c:pt idx="329">
                  <c:v>#N/A</c:v>
                </c:pt>
                <c:pt idx="330">
                  <c:v>#N/A</c:v>
                </c:pt>
                <c:pt idx="331">
                  <c:v>#N/A</c:v>
                </c:pt>
                <c:pt idx="332">
                  <c:v>#N/A</c:v>
                </c:pt>
                <c:pt idx="333">
                  <c:v>2251.36</c:v>
                </c:pt>
                <c:pt idx="334">
                  <c:v>#N/A</c:v>
                </c:pt>
                <c:pt idx="335">
                  <c:v>#N/A</c:v>
                </c:pt>
                <c:pt idx="336">
                  <c:v>#N/A</c:v>
                </c:pt>
                <c:pt idx="337">
                  <c:v>#N/A</c:v>
                </c:pt>
                <c:pt idx="338">
                  <c:v>#N/A</c:v>
                </c:pt>
                <c:pt idx="339">
                  <c:v>#N/A</c:v>
                </c:pt>
                <c:pt idx="340">
                  <c:v>2270.7399999999998</c:v>
                </c:pt>
                <c:pt idx="341">
                  <c:v>#N/A</c:v>
                </c:pt>
                <c:pt idx="342">
                  <c:v>#N/A</c:v>
                </c:pt>
                <c:pt idx="343">
                  <c:v>#N/A</c:v>
                </c:pt>
                <c:pt idx="344">
                  <c:v>#N/A</c:v>
                </c:pt>
                <c:pt idx="345">
                  <c:v>#N/A</c:v>
                </c:pt>
                <c:pt idx="346">
                  <c:v>#N/A</c:v>
                </c:pt>
                <c:pt idx="347">
                  <c:v>2322.27</c:v>
                </c:pt>
                <c:pt idx="348">
                  <c:v>#N/A</c:v>
                </c:pt>
                <c:pt idx="349">
                  <c:v>#N/A</c:v>
                </c:pt>
                <c:pt idx="350">
                  <c:v>#N/A</c:v>
                </c:pt>
                <c:pt idx="351">
                  <c:v>#N/A</c:v>
                </c:pt>
                <c:pt idx="352">
                  <c:v>#N/A</c:v>
                </c:pt>
                <c:pt idx="353">
                  <c:v>#N/A</c:v>
                </c:pt>
                <c:pt idx="354">
                  <c:v>2328.02</c:v>
                </c:pt>
                <c:pt idx="355">
                  <c:v>#N/A</c:v>
                </c:pt>
                <c:pt idx="356">
                  <c:v>#N/A</c:v>
                </c:pt>
                <c:pt idx="357">
                  <c:v>#N/A</c:v>
                </c:pt>
                <c:pt idx="358">
                  <c:v>#N/A</c:v>
                </c:pt>
                <c:pt idx="359">
                  <c:v>#N/A</c:v>
                </c:pt>
                <c:pt idx="360">
                  <c:v>#N/A</c:v>
                </c:pt>
                <c:pt idx="361">
                  <c:v>2340.98</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1-ECE9-4193-97FE-7A71D630A633}"/>
            </c:ext>
          </c:extLst>
        </c:ser>
        <c:ser>
          <c:idx val="1"/>
          <c:order val="2"/>
          <c:tx>
            <c:strRef>
              <c:f>南华!$J$1</c:f>
              <c:strCache>
                <c:ptCount val="1"/>
                <c:pt idx="0">
                  <c:v>2020</c:v>
                </c:pt>
              </c:strCache>
            </c:strRef>
          </c:tx>
          <c:spPr>
            <a:ln w="28575">
              <a:solidFill>
                <a:srgbClr val="BF5711"/>
              </a:solidFill>
              <a:prstDash val="solid"/>
            </a:ln>
          </c:spPr>
          <c:marker>
            <c:symbol val="none"/>
          </c:marker>
          <c:cat>
            <c:numRef>
              <c:f>南华!$G$2:$G$366</c:f>
              <c:numCache>
                <c:formatCode>m"月"d"日"</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南华!$J$2:$J$366</c:f>
              <c:numCache>
                <c:formatCode>General</c:formatCode>
                <c:ptCount val="365"/>
                <c:pt idx="0">
                  <c:v>#N/A</c:v>
                </c:pt>
                <c:pt idx="1">
                  <c:v>#N/A</c:v>
                </c:pt>
                <c:pt idx="2">
                  <c:v>#N/A</c:v>
                </c:pt>
                <c:pt idx="3">
                  <c:v>2351.6</c:v>
                </c:pt>
                <c:pt idx="4">
                  <c:v>#N/A</c:v>
                </c:pt>
                <c:pt idx="5">
                  <c:v>#N/A</c:v>
                </c:pt>
                <c:pt idx="6">
                  <c:v>#N/A</c:v>
                </c:pt>
                <c:pt idx="7">
                  <c:v>#N/A</c:v>
                </c:pt>
                <c:pt idx="8">
                  <c:v>#N/A</c:v>
                </c:pt>
                <c:pt idx="9">
                  <c:v>#N/A</c:v>
                </c:pt>
                <c:pt idx="10">
                  <c:v>2362.9699999999998</c:v>
                </c:pt>
                <c:pt idx="11">
                  <c:v>#N/A</c:v>
                </c:pt>
                <c:pt idx="12">
                  <c:v>#N/A</c:v>
                </c:pt>
                <c:pt idx="13">
                  <c:v>#N/A</c:v>
                </c:pt>
                <c:pt idx="14">
                  <c:v>#N/A</c:v>
                </c:pt>
                <c:pt idx="15">
                  <c:v>#N/A</c:v>
                </c:pt>
                <c:pt idx="16">
                  <c:v>#N/A</c:v>
                </c:pt>
                <c:pt idx="17">
                  <c:v>2355.96</c:v>
                </c:pt>
                <c:pt idx="18">
                  <c:v>#N/A</c:v>
                </c:pt>
                <c:pt idx="19">
                  <c:v>#N/A</c:v>
                </c:pt>
                <c:pt idx="20">
                  <c:v>#N/A</c:v>
                </c:pt>
                <c:pt idx="21">
                  <c:v>#N/A</c:v>
                </c:pt>
                <c:pt idx="22">
                  <c:v>#N/A</c:v>
                </c:pt>
                <c:pt idx="23">
                  <c:v>#N/A</c:v>
                </c:pt>
                <c:pt idx="24">
                  <c:v>2291.4</c:v>
                </c:pt>
                <c:pt idx="25">
                  <c:v>#N/A</c:v>
                </c:pt>
                <c:pt idx="26">
                  <c:v>#N/A</c:v>
                </c:pt>
                <c:pt idx="27">
                  <c:v>#N/A</c:v>
                </c:pt>
                <c:pt idx="28">
                  <c:v>#N/A</c:v>
                </c:pt>
                <c:pt idx="29">
                  <c:v>#N/A</c:v>
                </c:pt>
                <c:pt idx="30">
                  <c:v>#N/A</c:v>
                </c:pt>
                <c:pt idx="31">
                  <c:v>#N/A</c:v>
                </c:pt>
                <c:pt idx="32">
                  <c:v>#N/A</c:v>
                </c:pt>
                <c:pt idx="33">
                  <c:v>#N/A</c:v>
                </c:pt>
                <c:pt idx="34">
                  <c:v>#N/A</c:v>
                </c:pt>
                <c:pt idx="35">
                  <c:v>#N/A</c:v>
                </c:pt>
                <c:pt idx="36">
                  <c:v>#N/A</c:v>
                </c:pt>
                <c:pt idx="37">
                  <c:v>#N/A</c:v>
                </c:pt>
                <c:pt idx="38">
                  <c:v>2166.89</c:v>
                </c:pt>
                <c:pt idx="39">
                  <c:v>#N/A</c:v>
                </c:pt>
                <c:pt idx="40">
                  <c:v>#N/A</c:v>
                </c:pt>
                <c:pt idx="41">
                  <c:v>#N/A</c:v>
                </c:pt>
                <c:pt idx="42">
                  <c:v>#N/A</c:v>
                </c:pt>
                <c:pt idx="43">
                  <c:v>#N/A</c:v>
                </c:pt>
                <c:pt idx="44">
                  <c:v>#N/A</c:v>
                </c:pt>
                <c:pt idx="45">
                  <c:v>2209.41</c:v>
                </c:pt>
                <c:pt idx="46">
                  <c:v>#N/A</c:v>
                </c:pt>
                <c:pt idx="47">
                  <c:v>#N/A</c:v>
                </c:pt>
                <c:pt idx="48">
                  <c:v>#N/A</c:v>
                </c:pt>
                <c:pt idx="49">
                  <c:v>#N/A</c:v>
                </c:pt>
                <c:pt idx="50">
                  <c:v>#N/A</c:v>
                </c:pt>
                <c:pt idx="51">
                  <c:v>#N/A</c:v>
                </c:pt>
                <c:pt idx="52">
                  <c:v>2244.0300000000002</c:v>
                </c:pt>
                <c:pt idx="53">
                  <c:v>#N/A</c:v>
                </c:pt>
                <c:pt idx="54">
                  <c:v>#N/A</c:v>
                </c:pt>
                <c:pt idx="55">
                  <c:v>#N/A</c:v>
                </c:pt>
                <c:pt idx="56">
                  <c:v>#N/A</c:v>
                </c:pt>
                <c:pt idx="57">
                  <c:v>#N/A</c:v>
                </c:pt>
                <c:pt idx="58">
                  <c:v>#N/A</c:v>
                </c:pt>
                <c:pt idx="59">
                  <c:v>2098.98</c:v>
                </c:pt>
                <c:pt idx="60">
                  <c:v>#N/A</c:v>
                </c:pt>
                <c:pt idx="61">
                  <c:v>#N/A</c:v>
                </c:pt>
                <c:pt idx="62">
                  <c:v>#N/A</c:v>
                </c:pt>
                <c:pt idx="63">
                  <c:v>#N/A</c:v>
                </c:pt>
                <c:pt idx="64">
                  <c:v>#N/A</c:v>
                </c:pt>
                <c:pt idx="65">
                  <c:v>#N/A</c:v>
                </c:pt>
                <c:pt idx="66">
                  <c:v>2143.6799999999998</c:v>
                </c:pt>
                <c:pt idx="67">
                  <c:v>#N/A</c:v>
                </c:pt>
                <c:pt idx="68">
                  <c:v>#N/A</c:v>
                </c:pt>
                <c:pt idx="69">
                  <c:v>#N/A</c:v>
                </c:pt>
                <c:pt idx="70">
                  <c:v>#N/A</c:v>
                </c:pt>
                <c:pt idx="71">
                  <c:v>#N/A</c:v>
                </c:pt>
                <c:pt idx="72">
                  <c:v>#N/A</c:v>
                </c:pt>
                <c:pt idx="73">
                  <c:v>2061.33</c:v>
                </c:pt>
                <c:pt idx="74">
                  <c:v>#N/A</c:v>
                </c:pt>
                <c:pt idx="75">
                  <c:v>#N/A</c:v>
                </c:pt>
                <c:pt idx="76">
                  <c:v>#N/A</c:v>
                </c:pt>
                <c:pt idx="77">
                  <c:v>#N/A</c:v>
                </c:pt>
                <c:pt idx="78">
                  <c:v>#N/A</c:v>
                </c:pt>
                <c:pt idx="79">
                  <c:v>#N/A</c:v>
                </c:pt>
                <c:pt idx="80">
                  <c:v>1948.82</c:v>
                </c:pt>
                <c:pt idx="81">
                  <c:v>#N/A</c:v>
                </c:pt>
                <c:pt idx="82">
                  <c:v>#N/A</c:v>
                </c:pt>
                <c:pt idx="83">
                  <c:v>#N/A</c:v>
                </c:pt>
                <c:pt idx="84">
                  <c:v>#N/A</c:v>
                </c:pt>
                <c:pt idx="85">
                  <c:v>#N/A</c:v>
                </c:pt>
                <c:pt idx="86">
                  <c:v>#N/A</c:v>
                </c:pt>
                <c:pt idx="87">
                  <c:v>1918.97</c:v>
                </c:pt>
                <c:pt idx="88">
                  <c:v>#N/A</c:v>
                </c:pt>
                <c:pt idx="89">
                  <c:v>#N/A</c:v>
                </c:pt>
                <c:pt idx="90">
                  <c:v>#N/A</c:v>
                </c:pt>
                <c:pt idx="91">
                  <c:v>#N/A</c:v>
                </c:pt>
                <c:pt idx="92">
                  <c:v>#N/A</c:v>
                </c:pt>
                <c:pt idx="93">
                  <c:v>#N/A</c:v>
                </c:pt>
                <c:pt idx="94">
                  <c:v>1928.11</c:v>
                </c:pt>
                <c:pt idx="95">
                  <c:v>#N/A</c:v>
                </c:pt>
                <c:pt idx="96">
                  <c:v>#N/A</c:v>
                </c:pt>
                <c:pt idx="97">
                  <c:v>#N/A</c:v>
                </c:pt>
                <c:pt idx="98">
                  <c:v>#N/A</c:v>
                </c:pt>
                <c:pt idx="99">
                  <c:v>#N/A</c:v>
                </c:pt>
                <c:pt idx="100">
                  <c:v>#N/A</c:v>
                </c:pt>
                <c:pt idx="101">
                  <c:v>2020.68</c:v>
                </c:pt>
                <c:pt idx="102">
                  <c:v>#N/A</c:v>
                </c:pt>
                <c:pt idx="103">
                  <c:v>#N/A</c:v>
                </c:pt>
                <c:pt idx="104">
                  <c:v>#N/A</c:v>
                </c:pt>
                <c:pt idx="105">
                  <c:v>#N/A</c:v>
                </c:pt>
                <c:pt idx="106">
                  <c:v>#N/A</c:v>
                </c:pt>
                <c:pt idx="107">
                  <c:v>#N/A</c:v>
                </c:pt>
                <c:pt idx="108">
                  <c:v>1997.48</c:v>
                </c:pt>
                <c:pt idx="109">
                  <c:v>#N/A</c:v>
                </c:pt>
                <c:pt idx="110">
                  <c:v>#N/A</c:v>
                </c:pt>
                <c:pt idx="111">
                  <c:v>#N/A</c:v>
                </c:pt>
                <c:pt idx="112">
                  <c:v>#N/A</c:v>
                </c:pt>
                <c:pt idx="113">
                  <c:v>#N/A</c:v>
                </c:pt>
                <c:pt idx="114">
                  <c:v>#N/A</c:v>
                </c:pt>
                <c:pt idx="115">
                  <c:v>1955.36</c:v>
                </c:pt>
                <c:pt idx="116">
                  <c:v>#N/A</c:v>
                </c:pt>
                <c:pt idx="117">
                  <c:v>#N/A</c:v>
                </c:pt>
                <c:pt idx="118">
                  <c:v>#N/A</c:v>
                </c:pt>
                <c:pt idx="119">
                  <c:v>#N/A</c:v>
                </c:pt>
                <c:pt idx="120">
                  <c:v>#N/A</c:v>
                </c:pt>
                <c:pt idx="121">
                  <c:v>#N/A</c:v>
                </c:pt>
                <c:pt idx="122">
                  <c:v>1971.12</c:v>
                </c:pt>
                <c:pt idx="123">
                  <c:v>#N/A</c:v>
                </c:pt>
                <c:pt idx="124">
                  <c:v>#N/A</c:v>
                </c:pt>
                <c:pt idx="125">
                  <c:v>#N/A</c:v>
                </c:pt>
                <c:pt idx="126">
                  <c:v>#N/A</c:v>
                </c:pt>
                <c:pt idx="127">
                  <c:v>#N/A</c:v>
                </c:pt>
                <c:pt idx="128">
                  <c:v>#N/A</c:v>
                </c:pt>
                <c:pt idx="129">
                  <c:v>2027.63</c:v>
                </c:pt>
                <c:pt idx="130">
                  <c:v>#N/A</c:v>
                </c:pt>
                <c:pt idx="131">
                  <c:v>#N/A</c:v>
                </c:pt>
                <c:pt idx="132">
                  <c:v>#N/A</c:v>
                </c:pt>
                <c:pt idx="133">
                  <c:v>#N/A</c:v>
                </c:pt>
                <c:pt idx="134">
                  <c:v>#N/A</c:v>
                </c:pt>
                <c:pt idx="135">
                  <c:v>#N/A</c:v>
                </c:pt>
                <c:pt idx="136">
                  <c:v>2038.63</c:v>
                </c:pt>
                <c:pt idx="137">
                  <c:v>#N/A</c:v>
                </c:pt>
                <c:pt idx="138">
                  <c:v>#N/A</c:v>
                </c:pt>
                <c:pt idx="139">
                  <c:v>#N/A</c:v>
                </c:pt>
                <c:pt idx="140">
                  <c:v>#N/A</c:v>
                </c:pt>
                <c:pt idx="141">
                  <c:v>#N/A</c:v>
                </c:pt>
                <c:pt idx="142">
                  <c:v>#N/A</c:v>
                </c:pt>
                <c:pt idx="143">
                  <c:v>2071.16</c:v>
                </c:pt>
                <c:pt idx="144">
                  <c:v>#N/A</c:v>
                </c:pt>
                <c:pt idx="145">
                  <c:v>#N/A</c:v>
                </c:pt>
                <c:pt idx="146">
                  <c:v>#N/A</c:v>
                </c:pt>
                <c:pt idx="147">
                  <c:v>#N/A</c:v>
                </c:pt>
                <c:pt idx="148">
                  <c:v>#N/A</c:v>
                </c:pt>
                <c:pt idx="149">
                  <c:v>#N/A</c:v>
                </c:pt>
                <c:pt idx="150">
                  <c:v>2116.6799999999998</c:v>
                </c:pt>
                <c:pt idx="151">
                  <c:v>#N/A</c:v>
                </c:pt>
                <c:pt idx="152">
                  <c:v>#N/A</c:v>
                </c:pt>
                <c:pt idx="153">
                  <c:v>#N/A</c:v>
                </c:pt>
                <c:pt idx="154">
                  <c:v>#N/A</c:v>
                </c:pt>
                <c:pt idx="155">
                  <c:v>#N/A</c:v>
                </c:pt>
                <c:pt idx="156">
                  <c:v>#N/A</c:v>
                </c:pt>
                <c:pt idx="157">
                  <c:v>2166.84</c:v>
                </c:pt>
                <c:pt idx="158">
                  <c:v>#N/A</c:v>
                </c:pt>
                <c:pt idx="159">
                  <c:v>#N/A</c:v>
                </c:pt>
                <c:pt idx="160">
                  <c:v>#N/A</c:v>
                </c:pt>
                <c:pt idx="161">
                  <c:v>#N/A</c:v>
                </c:pt>
                <c:pt idx="162">
                  <c:v>#N/A</c:v>
                </c:pt>
                <c:pt idx="163">
                  <c:v>#N/A</c:v>
                </c:pt>
                <c:pt idx="164">
                  <c:v>2151.11</c:v>
                </c:pt>
                <c:pt idx="165">
                  <c:v>#N/A</c:v>
                </c:pt>
                <c:pt idx="166">
                  <c:v>#N/A</c:v>
                </c:pt>
                <c:pt idx="167">
                  <c:v>#N/A</c:v>
                </c:pt>
                <c:pt idx="168">
                  <c:v>#N/A</c:v>
                </c:pt>
                <c:pt idx="169">
                  <c:v>#N/A</c:v>
                </c:pt>
                <c:pt idx="170">
                  <c:v>#N/A</c:v>
                </c:pt>
                <c:pt idx="171">
                  <c:v>2199.9</c:v>
                </c:pt>
                <c:pt idx="172">
                  <c:v>#N/A</c:v>
                </c:pt>
                <c:pt idx="173">
                  <c:v>#N/A</c:v>
                </c:pt>
                <c:pt idx="174">
                  <c:v>#N/A</c:v>
                </c:pt>
                <c:pt idx="175">
                  <c:v>#N/A</c:v>
                </c:pt>
                <c:pt idx="176">
                  <c:v>#N/A</c:v>
                </c:pt>
                <c:pt idx="177">
                  <c:v>#N/A</c:v>
                </c:pt>
                <c:pt idx="178">
                  <c:v>2190.31</c:v>
                </c:pt>
                <c:pt idx="179">
                  <c:v>#N/A</c:v>
                </c:pt>
                <c:pt idx="180">
                  <c:v>#N/A</c:v>
                </c:pt>
                <c:pt idx="181">
                  <c:v>#N/A</c:v>
                </c:pt>
                <c:pt idx="182">
                  <c:v>#N/A</c:v>
                </c:pt>
                <c:pt idx="183">
                  <c:v>#N/A</c:v>
                </c:pt>
                <c:pt idx="184">
                  <c:v>#N/A</c:v>
                </c:pt>
                <c:pt idx="185">
                  <c:v>2191.85</c:v>
                </c:pt>
                <c:pt idx="186">
                  <c:v>#N/A</c:v>
                </c:pt>
                <c:pt idx="187">
                  <c:v>#N/A</c:v>
                </c:pt>
                <c:pt idx="188">
                  <c:v>#N/A</c:v>
                </c:pt>
                <c:pt idx="189">
                  <c:v>#N/A</c:v>
                </c:pt>
                <c:pt idx="190">
                  <c:v>#N/A</c:v>
                </c:pt>
                <c:pt idx="191">
                  <c:v>#N/A</c:v>
                </c:pt>
                <c:pt idx="192">
                  <c:v>2211.69</c:v>
                </c:pt>
                <c:pt idx="193">
                  <c:v>#N/A</c:v>
                </c:pt>
                <c:pt idx="194">
                  <c:v>#N/A</c:v>
                </c:pt>
                <c:pt idx="195">
                  <c:v>#N/A</c:v>
                </c:pt>
                <c:pt idx="196">
                  <c:v>#N/A</c:v>
                </c:pt>
                <c:pt idx="197">
                  <c:v>#N/A</c:v>
                </c:pt>
                <c:pt idx="198">
                  <c:v>#N/A</c:v>
                </c:pt>
                <c:pt idx="199">
                  <c:v>2235.16</c:v>
                </c:pt>
                <c:pt idx="200">
                  <c:v>#N/A</c:v>
                </c:pt>
                <c:pt idx="201">
                  <c:v>#N/A</c:v>
                </c:pt>
                <c:pt idx="202">
                  <c:v>#N/A</c:v>
                </c:pt>
                <c:pt idx="203">
                  <c:v>#N/A</c:v>
                </c:pt>
                <c:pt idx="204">
                  <c:v>#N/A</c:v>
                </c:pt>
                <c:pt idx="205">
                  <c:v>#N/A</c:v>
                </c:pt>
                <c:pt idx="206">
                  <c:v>2233.9699999999998</c:v>
                </c:pt>
                <c:pt idx="207">
                  <c:v>#N/A</c:v>
                </c:pt>
                <c:pt idx="208">
                  <c:v>#N/A</c:v>
                </c:pt>
                <c:pt idx="209">
                  <c:v>#N/A</c:v>
                </c:pt>
                <c:pt idx="210">
                  <c:v>#N/A</c:v>
                </c:pt>
                <c:pt idx="211">
                  <c:v>#N/A</c:v>
                </c:pt>
                <c:pt idx="212">
                  <c:v>#N/A</c:v>
                </c:pt>
                <c:pt idx="213">
                  <c:v>2250.1</c:v>
                </c:pt>
                <c:pt idx="214">
                  <c:v>#N/A</c:v>
                </c:pt>
                <c:pt idx="215">
                  <c:v>#N/A</c:v>
                </c:pt>
                <c:pt idx="216">
                  <c:v>#N/A</c:v>
                </c:pt>
                <c:pt idx="217">
                  <c:v>#N/A</c:v>
                </c:pt>
                <c:pt idx="218">
                  <c:v>#N/A</c:v>
                </c:pt>
                <c:pt idx="219">
                  <c:v>#N/A</c:v>
                </c:pt>
                <c:pt idx="220">
                  <c:v>#N/A</c:v>
                </c:pt>
                <c:pt idx="221">
                  <c:v>#N/A</c:v>
                </c:pt>
                <c:pt idx="222">
                  <c:v>#N/A</c:v>
                </c:pt>
                <c:pt idx="223">
                  <c:v>#N/A</c:v>
                </c:pt>
                <c:pt idx="224">
                  <c:v>#N/A</c:v>
                </c:pt>
                <c:pt idx="225">
                  <c:v>#N/A</c:v>
                </c:pt>
                <c:pt idx="226">
                  <c:v>#N/A</c:v>
                </c:pt>
                <c:pt idx="227">
                  <c:v>#N/A</c:v>
                </c:pt>
                <c:pt idx="228">
                  <c:v>#N/A</c:v>
                </c:pt>
                <c:pt idx="229">
                  <c:v>#N/A</c:v>
                </c:pt>
                <c:pt idx="230">
                  <c:v>#N/A</c:v>
                </c:pt>
                <c:pt idx="231">
                  <c:v>#N/A</c:v>
                </c:pt>
                <c:pt idx="232">
                  <c:v>#N/A</c:v>
                </c:pt>
                <c:pt idx="233">
                  <c:v>#N/A</c:v>
                </c:pt>
                <c:pt idx="234">
                  <c:v>#N/A</c:v>
                </c:pt>
                <c:pt idx="235">
                  <c:v>#N/A</c:v>
                </c:pt>
                <c:pt idx="236">
                  <c:v>#N/A</c:v>
                </c:pt>
                <c:pt idx="237">
                  <c:v>#N/A</c:v>
                </c:pt>
                <c:pt idx="238">
                  <c:v>#N/A</c:v>
                </c:pt>
                <c:pt idx="239">
                  <c:v>#N/A</c:v>
                </c:pt>
                <c:pt idx="240">
                  <c:v>#N/A</c:v>
                </c:pt>
                <c:pt idx="241">
                  <c:v>#N/A</c:v>
                </c:pt>
                <c:pt idx="242">
                  <c:v>#N/A</c:v>
                </c:pt>
                <c:pt idx="243">
                  <c:v>#N/A</c:v>
                </c:pt>
                <c:pt idx="244">
                  <c:v>#N/A</c:v>
                </c:pt>
                <c:pt idx="245">
                  <c:v>#N/A</c:v>
                </c:pt>
                <c:pt idx="246">
                  <c:v>#N/A</c:v>
                </c:pt>
                <c:pt idx="247">
                  <c:v>#N/A</c:v>
                </c:pt>
                <c:pt idx="248">
                  <c:v>#N/A</c:v>
                </c:pt>
                <c:pt idx="249">
                  <c:v>#N/A</c:v>
                </c:pt>
                <c:pt idx="250">
                  <c:v>#N/A</c:v>
                </c:pt>
                <c:pt idx="251">
                  <c:v>#N/A</c:v>
                </c:pt>
                <c:pt idx="252">
                  <c:v>#N/A</c:v>
                </c:pt>
                <c:pt idx="253">
                  <c:v>#N/A</c:v>
                </c:pt>
                <c:pt idx="254">
                  <c:v>#N/A</c:v>
                </c:pt>
                <c:pt idx="255">
                  <c:v>#N/A</c:v>
                </c:pt>
                <c:pt idx="256">
                  <c:v>#N/A</c:v>
                </c:pt>
                <c:pt idx="257">
                  <c:v>#N/A</c:v>
                </c:pt>
                <c:pt idx="258">
                  <c:v>#N/A</c:v>
                </c:pt>
                <c:pt idx="259">
                  <c:v>#N/A</c:v>
                </c:pt>
                <c:pt idx="260">
                  <c:v>#N/A</c:v>
                </c:pt>
                <c:pt idx="261">
                  <c:v>#N/A</c:v>
                </c:pt>
                <c:pt idx="262">
                  <c:v>#N/A</c:v>
                </c:pt>
                <c:pt idx="263">
                  <c:v>#N/A</c:v>
                </c:pt>
                <c:pt idx="264">
                  <c:v>#N/A</c:v>
                </c:pt>
                <c:pt idx="265">
                  <c:v>#N/A</c:v>
                </c:pt>
                <c:pt idx="266">
                  <c:v>#N/A</c:v>
                </c:pt>
                <c:pt idx="267">
                  <c:v>#N/A</c:v>
                </c:pt>
                <c:pt idx="268">
                  <c:v>#N/A</c:v>
                </c:pt>
                <c:pt idx="269">
                  <c:v>#N/A</c:v>
                </c:pt>
                <c:pt idx="270">
                  <c:v>#N/A</c:v>
                </c:pt>
                <c:pt idx="271">
                  <c:v>#N/A</c:v>
                </c:pt>
                <c:pt idx="272">
                  <c:v>#N/A</c:v>
                </c:pt>
                <c:pt idx="273">
                  <c:v>#N/A</c:v>
                </c:pt>
                <c:pt idx="274">
                  <c:v>#N/A</c:v>
                </c:pt>
                <c:pt idx="275">
                  <c:v>#N/A</c:v>
                </c:pt>
                <c:pt idx="276">
                  <c:v>#N/A</c:v>
                </c:pt>
                <c:pt idx="277">
                  <c:v>#N/A</c:v>
                </c:pt>
                <c:pt idx="278">
                  <c:v>#N/A</c:v>
                </c:pt>
                <c:pt idx="279">
                  <c:v>#N/A</c:v>
                </c:pt>
                <c:pt idx="280">
                  <c:v>#N/A</c:v>
                </c:pt>
                <c:pt idx="281">
                  <c:v>#N/A</c:v>
                </c:pt>
                <c:pt idx="282">
                  <c:v>#N/A</c:v>
                </c:pt>
                <c:pt idx="283">
                  <c:v>#N/A</c:v>
                </c:pt>
                <c:pt idx="284">
                  <c:v>#N/A</c:v>
                </c:pt>
                <c:pt idx="285">
                  <c:v>#N/A</c:v>
                </c:pt>
                <c:pt idx="286">
                  <c:v>#N/A</c:v>
                </c:pt>
                <c:pt idx="287">
                  <c:v>#N/A</c:v>
                </c:pt>
                <c:pt idx="288">
                  <c:v>#N/A</c:v>
                </c:pt>
                <c:pt idx="289">
                  <c:v>#N/A</c:v>
                </c:pt>
                <c:pt idx="290">
                  <c:v>#N/A</c:v>
                </c:pt>
                <c:pt idx="291">
                  <c:v>#N/A</c:v>
                </c:pt>
                <c:pt idx="292">
                  <c:v>#N/A</c:v>
                </c:pt>
                <c:pt idx="293">
                  <c:v>#N/A</c:v>
                </c:pt>
                <c:pt idx="294">
                  <c:v>#N/A</c:v>
                </c:pt>
                <c:pt idx="295">
                  <c:v>#N/A</c:v>
                </c:pt>
                <c:pt idx="296">
                  <c:v>#N/A</c:v>
                </c:pt>
                <c:pt idx="297">
                  <c:v>#N/A</c:v>
                </c:pt>
                <c:pt idx="298">
                  <c:v>#N/A</c:v>
                </c:pt>
                <c:pt idx="299">
                  <c:v>#N/A</c:v>
                </c:pt>
                <c:pt idx="300">
                  <c:v>#N/A</c:v>
                </c:pt>
                <c:pt idx="301">
                  <c:v>#N/A</c:v>
                </c:pt>
                <c:pt idx="302">
                  <c:v>#N/A</c:v>
                </c:pt>
                <c:pt idx="303">
                  <c:v>#N/A</c:v>
                </c:pt>
                <c:pt idx="304">
                  <c:v>#N/A</c:v>
                </c:pt>
                <c:pt idx="305">
                  <c:v>#N/A</c:v>
                </c:pt>
                <c:pt idx="306">
                  <c:v>#N/A</c:v>
                </c:pt>
                <c:pt idx="307">
                  <c:v>#N/A</c:v>
                </c:pt>
                <c:pt idx="308">
                  <c:v>#N/A</c:v>
                </c:pt>
                <c:pt idx="309">
                  <c:v>#N/A</c:v>
                </c:pt>
                <c:pt idx="310">
                  <c:v>#N/A</c:v>
                </c:pt>
                <c:pt idx="311">
                  <c:v>#N/A</c:v>
                </c:pt>
                <c:pt idx="312">
                  <c:v>#N/A</c:v>
                </c:pt>
                <c:pt idx="313">
                  <c:v>#N/A</c:v>
                </c:pt>
                <c:pt idx="314">
                  <c:v>#N/A</c:v>
                </c:pt>
                <c:pt idx="315">
                  <c:v>#N/A</c:v>
                </c:pt>
                <c:pt idx="316">
                  <c:v>#N/A</c:v>
                </c:pt>
                <c:pt idx="317">
                  <c:v>#N/A</c:v>
                </c:pt>
                <c:pt idx="318">
                  <c:v>#N/A</c:v>
                </c:pt>
                <c:pt idx="319">
                  <c:v>#N/A</c:v>
                </c:pt>
                <c:pt idx="320">
                  <c:v>#N/A</c:v>
                </c:pt>
                <c:pt idx="321">
                  <c:v>#N/A</c:v>
                </c:pt>
                <c:pt idx="322">
                  <c:v>#N/A</c:v>
                </c:pt>
                <c:pt idx="323">
                  <c:v>#N/A</c:v>
                </c:pt>
                <c:pt idx="324">
                  <c:v>#N/A</c:v>
                </c:pt>
                <c:pt idx="325">
                  <c:v>#N/A</c:v>
                </c:pt>
                <c:pt idx="326">
                  <c:v>#N/A</c:v>
                </c:pt>
                <c:pt idx="327">
                  <c:v>#N/A</c:v>
                </c:pt>
                <c:pt idx="328">
                  <c:v>#N/A</c:v>
                </c:pt>
                <c:pt idx="329">
                  <c:v>#N/A</c:v>
                </c:pt>
                <c:pt idx="330">
                  <c:v>#N/A</c:v>
                </c:pt>
                <c:pt idx="331">
                  <c:v>#N/A</c:v>
                </c:pt>
                <c:pt idx="332">
                  <c:v>#N/A</c:v>
                </c:pt>
                <c:pt idx="333">
                  <c:v>#N/A</c:v>
                </c:pt>
                <c:pt idx="334">
                  <c:v>#N/A</c:v>
                </c:pt>
                <c:pt idx="335">
                  <c:v>#N/A</c:v>
                </c:pt>
                <c:pt idx="336">
                  <c:v>#N/A</c:v>
                </c:pt>
                <c:pt idx="337">
                  <c:v>#N/A</c:v>
                </c:pt>
                <c:pt idx="338">
                  <c:v>#N/A</c:v>
                </c:pt>
                <c:pt idx="339">
                  <c:v>#N/A</c:v>
                </c:pt>
                <c:pt idx="340">
                  <c:v>#N/A</c:v>
                </c:pt>
                <c:pt idx="341">
                  <c:v>#N/A</c:v>
                </c:pt>
                <c:pt idx="342">
                  <c:v>#N/A</c:v>
                </c:pt>
                <c:pt idx="343">
                  <c:v>#N/A</c:v>
                </c:pt>
                <c:pt idx="344">
                  <c:v>#N/A</c:v>
                </c:pt>
                <c:pt idx="345">
                  <c:v>#N/A</c:v>
                </c:pt>
                <c:pt idx="346">
                  <c:v>#N/A</c:v>
                </c:pt>
                <c:pt idx="347">
                  <c:v>#N/A</c:v>
                </c:pt>
                <c:pt idx="348">
                  <c:v>#N/A</c:v>
                </c:pt>
                <c:pt idx="349">
                  <c:v>#N/A</c:v>
                </c:pt>
                <c:pt idx="350">
                  <c:v>#N/A</c:v>
                </c:pt>
                <c:pt idx="351">
                  <c:v>#N/A</c:v>
                </c:pt>
                <c:pt idx="352">
                  <c:v>#N/A</c:v>
                </c:pt>
                <c:pt idx="353">
                  <c:v>#N/A</c:v>
                </c:pt>
                <c:pt idx="354">
                  <c:v>#N/A</c:v>
                </c:pt>
                <c:pt idx="355">
                  <c:v>#N/A</c:v>
                </c:pt>
                <c:pt idx="356">
                  <c:v>#N/A</c:v>
                </c:pt>
                <c:pt idx="357">
                  <c:v>#N/A</c:v>
                </c:pt>
                <c:pt idx="358">
                  <c:v>#N/A</c:v>
                </c:pt>
                <c:pt idx="359">
                  <c:v>#N/A</c:v>
                </c:pt>
                <c:pt idx="360">
                  <c:v>#N/A</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2-ECE9-4193-97FE-7A71D630A633}"/>
            </c:ext>
          </c:extLst>
        </c:ser>
        <c:dLbls>
          <c:showLegendKey val="0"/>
          <c:showVal val="0"/>
          <c:showCatName val="0"/>
          <c:showSerName val="0"/>
          <c:showPercent val="0"/>
          <c:showBubbleSize val="0"/>
        </c:dLbls>
        <c:marker val="1"/>
        <c:smooth val="0"/>
        <c:axId val="272384384"/>
        <c:axId val="272385920"/>
      </c:lineChart>
      <c:dateAx>
        <c:axId val="272384384"/>
        <c:scaling>
          <c:orientation val="minMax"/>
        </c:scaling>
        <c:delete val="0"/>
        <c:axPos val="b"/>
        <c:numFmt formatCode="m" sourceLinked="0"/>
        <c:majorTickMark val="out"/>
        <c:minorTickMark val="out"/>
        <c:tickLblPos val="low"/>
        <c:spPr>
          <a:ln w="3175">
            <a:solidFill>
              <a:sysClr val="windowText" lastClr="000000"/>
            </a:solidFill>
            <a:prstDash val="solid"/>
          </a:ln>
        </c:spPr>
        <c:txPr>
          <a:bodyPr rot="0" vert="horz"/>
          <a:lstStyle/>
          <a:p>
            <a:pPr>
              <a:defRPr sz="700">
                <a:latin typeface="Arial Narrow" panose="020B0606020202030204" pitchFamily="34" charset="0"/>
              </a:defRPr>
            </a:pPr>
            <a:endParaRPr lang="zh-CN"/>
          </a:p>
        </c:txPr>
        <c:crossAx val="272385920"/>
        <c:crosses val="autoZero"/>
        <c:auto val="0"/>
        <c:lblOffset val="0"/>
        <c:baseTimeUnit val="days"/>
        <c:majorUnit val="1"/>
        <c:majorTimeUnit val="months"/>
      </c:dateAx>
      <c:valAx>
        <c:axId val="272385920"/>
        <c:scaling>
          <c:orientation val="minMax"/>
          <c:min val="170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sz="700">
                <a:solidFill>
                  <a:schemeClr val="tx1"/>
                </a:solidFill>
                <a:latin typeface="Arial Narrow" panose="020B0606020202030204" pitchFamily="34" charset="0"/>
              </a:defRPr>
            </a:pPr>
            <a:endParaRPr lang="zh-CN"/>
          </a:p>
        </c:txPr>
        <c:crossAx val="272384384"/>
        <c:crosses val="autoZero"/>
        <c:crossBetween val="between"/>
      </c:valAx>
    </c:plotArea>
    <c:legend>
      <c:legendPos val="r"/>
      <c:layout>
        <c:manualLayout>
          <c:xMode val="edge"/>
          <c:yMode val="edge"/>
          <c:x val="0.15225"/>
          <c:y val="2.3337707786526686E-3"/>
          <c:w val="0.690571084864392"/>
          <c:h val="5.8071230679498403E-2"/>
        </c:manualLayout>
      </c:layout>
      <c:overlay val="0"/>
      <c:spPr>
        <a:noFill/>
        <a:ln w="3175">
          <a:noFill/>
          <a:prstDash val="solid"/>
        </a:ln>
      </c:spPr>
      <c:txPr>
        <a:bodyPr/>
        <a:lstStyle/>
        <a:p>
          <a:pPr>
            <a:defRPr sz="700" b="0">
              <a:latin typeface="华文楷体" panose="02010600040101010101" pitchFamily="2" charset="-122"/>
              <a:ea typeface="华文楷体" panose="02010600040101010101" pitchFamily="2" charset="-122"/>
            </a:defRPr>
          </a:pPr>
          <a:endParaRPr lang="zh-CN"/>
        </a:p>
      </c:txPr>
    </c:legend>
    <c:plotVisOnly val="1"/>
    <c:dispBlanksAs val="span"/>
    <c:showDLblsOverMax val="0"/>
  </c:chart>
  <c:spPr>
    <a:ln>
      <a:noFill/>
    </a:ln>
  </c:spPr>
  <c:txPr>
    <a:bodyPr/>
    <a:lstStyle/>
    <a:p>
      <a:pPr>
        <a:defRPr sz="10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1196595217264509"/>
          <c:w val="0.92723381452318465"/>
          <c:h val="0.81409120734908136"/>
        </c:manualLayout>
      </c:layout>
      <c:lineChart>
        <c:grouping val="standard"/>
        <c:varyColors val="0"/>
        <c:ser>
          <c:idx val="0"/>
          <c:order val="0"/>
          <c:tx>
            <c:strRef>
              <c:f>原油!$I$1</c:f>
              <c:strCache>
                <c:ptCount val="1"/>
                <c:pt idx="0">
                  <c:v>2019</c:v>
                </c:pt>
              </c:strCache>
            </c:strRef>
          </c:tx>
          <c:spPr>
            <a:ln w="28575">
              <a:solidFill>
                <a:srgbClr val="F8CBAD"/>
              </a:solidFill>
              <a:prstDash val="solid"/>
            </a:ln>
          </c:spPr>
          <c:marker>
            <c:symbol val="none"/>
          </c:marker>
          <c:cat>
            <c:numRef>
              <c:f>原油!$G$2:$G$366</c:f>
              <c:numCache>
                <c:formatCode>m"月"d"日"</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原油!$I$2:$I$366</c:f>
              <c:numCache>
                <c:formatCode>General</c:formatCode>
                <c:ptCount val="365"/>
                <c:pt idx="0">
                  <c:v>#N/A</c:v>
                </c:pt>
                <c:pt idx="1">
                  <c:v>#N/A</c:v>
                </c:pt>
                <c:pt idx="2">
                  <c:v>#N/A</c:v>
                </c:pt>
                <c:pt idx="3">
                  <c:v>#N/A</c:v>
                </c:pt>
                <c:pt idx="4">
                  <c:v>47.96</c:v>
                </c:pt>
                <c:pt idx="5">
                  <c:v>#N/A</c:v>
                </c:pt>
                <c:pt idx="6">
                  <c:v>#N/A</c:v>
                </c:pt>
                <c:pt idx="7">
                  <c:v>#N/A</c:v>
                </c:pt>
                <c:pt idx="8">
                  <c:v>#N/A</c:v>
                </c:pt>
                <c:pt idx="9">
                  <c:v>#N/A</c:v>
                </c:pt>
                <c:pt idx="10">
                  <c:v>#N/A</c:v>
                </c:pt>
                <c:pt idx="11">
                  <c:v>51.91</c:v>
                </c:pt>
                <c:pt idx="12">
                  <c:v>#N/A</c:v>
                </c:pt>
                <c:pt idx="13">
                  <c:v>#N/A</c:v>
                </c:pt>
                <c:pt idx="14">
                  <c:v>#N/A</c:v>
                </c:pt>
                <c:pt idx="15">
                  <c:v>#N/A</c:v>
                </c:pt>
                <c:pt idx="16">
                  <c:v>#N/A</c:v>
                </c:pt>
                <c:pt idx="17">
                  <c:v>#N/A</c:v>
                </c:pt>
                <c:pt idx="18">
                  <c:v>54.04</c:v>
                </c:pt>
                <c:pt idx="19">
                  <c:v>#N/A</c:v>
                </c:pt>
                <c:pt idx="20">
                  <c:v>#N/A</c:v>
                </c:pt>
                <c:pt idx="21">
                  <c:v>#N/A</c:v>
                </c:pt>
                <c:pt idx="22">
                  <c:v>#N/A</c:v>
                </c:pt>
                <c:pt idx="23">
                  <c:v>#N/A</c:v>
                </c:pt>
                <c:pt idx="24">
                  <c:v>#N/A</c:v>
                </c:pt>
                <c:pt idx="25">
                  <c:v>53.69</c:v>
                </c:pt>
                <c:pt idx="26">
                  <c:v>#N/A</c:v>
                </c:pt>
                <c:pt idx="27">
                  <c:v>#N/A</c:v>
                </c:pt>
                <c:pt idx="28">
                  <c:v>#N/A</c:v>
                </c:pt>
                <c:pt idx="29">
                  <c:v>#N/A</c:v>
                </c:pt>
                <c:pt idx="30">
                  <c:v>#N/A</c:v>
                </c:pt>
                <c:pt idx="31">
                  <c:v>#N/A</c:v>
                </c:pt>
                <c:pt idx="32">
                  <c:v>55.26</c:v>
                </c:pt>
                <c:pt idx="33">
                  <c:v>#N/A</c:v>
                </c:pt>
                <c:pt idx="34">
                  <c:v>#N/A</c:v>
                </c:pt>
                <c:pt idx="35">
                  <c:v>#N/A</c:v>
                </c:pt>
                <c:pt idx="36">
                  <c:v>#N/A</c:v>
                </c:pt>
                <c:pt idx="37">
                  <c:v>#N/A</c:v>
                </c:pt>
                <c:pt idx="38">
                  <c:v>#N/A</c:v>
                </c:pt>
                <c:pt idx="39">
                  <c:v>52.72</c:v>
                </c:pt>
                <c:pt idx="40">
                  <c:v>#N/A</c:v>
                </c:pt>
                <c:pt idx="41">
                  <c:v>#N/A</c:v>
                </c:pt>
                <c:pt idx="42">
                  <c:v>#N/A</c:v>
                </c:pt>
                <c:pt idx="43">
                  <c:v>#N/A</c:v>
                </c:pt>
                <c:pt idx="44">
                  <c:v>#N/A</c:v>
                </c:pt>
                <c:pt idx="45">
                  <c:v>#N/A</c:v>
                </c:pt>
                <c:pt idx="46">
                  <c:v>55.98</c:v>
                </c:pt>
                <c:pt idx="47">
                  <c:v>#N/A</c:v>
                </c:pt>
                <c:pt idx="48">
                  <c:v>#N/A</c:v>
                </c:pt>
                <c:pt idx="49">
                  <c:v>#N/A</c:v>
                </c:pt>
                <c:pt idx="50">
                  <c:v>#N/A</c:v>
                </c:pt>
                <c:pt idx="51">
                  <c:v>#N/A</c:v>
                </c:pt>
                <c:pt idx="52">
                  <c:v>#N/A</c:v>
                </c:pt>
                <c:pt idx="53">
                  <c:v>57.26</c:v>
                </c:pt>
                <c:pt idx="54">
                  <c:v>#N/A</c:v>
                </c:pt>
                <c:pt idx="55">
                  <c:v>#N/A</c:v>
                </c:pt>
                <c:pt idx="56">
                  <c:v>#N/A</c:v>
                </c:pt>
                <c:pt idx="57">
                  <c:v>#N/A</c:v>
                </c:pt>
                <c:pt idx="58">
                  <c:v>#N/A</c:v>
                </c:pt>
                <c:pt idx="59">
                  <c:v>#N/A</c:v>
                </c:pt>
                <c:pt idx="60">
                  <c:v>55.8</c:v>
                </c:pt>
                <c:pt idx="61">
                  <c:v>#N/A</c:v>
                </c:pt>
                <c:pt idx="62">
                  <c:v>#N/A</c:v>
                </c:pt>
                <c:pt idx="63">
                  <c:v>#N/A</c:v>
                </c:pt>
                <c:pt idx="64">
                  <c:v>#N/A</c:v>
                </c:pt>
                <c:pt idx="65">
                  <c:v>#N/A</c:v>
                </c:pt>
                <c:pt idx="66">
                  <c:v>#N/A</c:v>
                </c:pt>
                <c:pt idx="67">
                  <c:v>56.07</c:v>
                </c:pt>
                <c:pt idx="68">
                  <c:v>#N/A</c:v>
                </c:pt>
                <c:pt idx="69">
                  <c:v>#N/A</c:v>
                </c:pt>
                <c:pt idx="70">
                  <c:v>#N/A</c:v>
                </c:pt>
                <c:pt idx="71">
                  <c:v>#N/A</c:v>
                </c:pt>
                <c:pt idx="72">
                  <c:v>#N/A</c:v>
                </c:pt>
                <c:pt idx="73">
                  <c:v>#N/A</c:v>
                </c:pt>
                <c:pt idx="74">
                  <c:v>58.82</c:v>
                </c:pt>
                <c:pt idx="75">
                  <c:v>#N/A</c:v>
                </c:pt>
                <c:pt idx="76">
                  <c:v>#N/A</c:v>
                </c:pt>
                <c:pt idx="77">
                  <c:v>#N/A</c:v>
                </c:pt>
                <c:pt idx="78">
                  <c:v>#N/A</c:v>
                </c:pt>
                <c:pt idx="79">
                  <c:v>#N/A</c:v>
                </c:pt>
                <c:pt idx="80">
                  <c:v>#N/A</c:v>
                </c:pt>
                <c:pt idx="81">
                  <c:v>59.04</c:v>
                </c:pt>
                <c:pt idx="82">
                  <c:v>#N/A</c:v>
                </c:pt>
                <c:pt idx="83">
                  <c:v>#N/A</c:v>
                </c:pt>
                <c:pt idx="84">
                  <c:v>#N/A</c:v>
                </c:pt>
                <c:pt idx="85">
                  <c:v>#N/A</c:v>
                </c:pt>
                <c:pt idx="86">
                  <c:v>#N/A</c:v>
                </c:pt>
                <c:pt idx="87">
                  <c:v>#N/A</c:v>
                </c:pt>
                <c:pt idx="88">
                  <c:v>60.14</c:v>
                </c:pt>
                <c:pt idx="89">
                  <c:v>#N/A</c:v>
                </c:pt>
                <c:pt idx="90">
                  <c:v>#N/A</c:v>
                </c:pt>
                <c:pt idx="91">
                  <c:v>#N/A</c:v>
                </c:pt>
                <c:pt idx="92">
                  <c:v>#N/A</c:v>
                </c:pt>
                <c:pt idx="93">
                  <c:v>#N/A</c:v>
                </c:pt>
                <c:pt idx="94">
                  <c:v>#N/A</c:v>
                </c:pt>
                <c:pt idx="95">
                  <c:v>63.08</c:v>
                </c:pt>
                <c:pt idx="96">
                  <c:v>#N/A</c:v>
                </c:pt>
                <c:pt idx="97">
                  <c:v>#N/A</c:v>
                </c:pt>
                <c:pt idx="98">
                  <c:v>#N/A</c:v>
                </c:pt>
                <c:pt idx="99">
                  <c:v>#N/A</c:v>
                </c:pt>
                <c:pt idx="100">
                  <c:v>#N/A</c:v>
                </c:pt>
                <c:pt idx="101">
                  <c:v>#N/A</c:v>
                </c:pt>
                <c:pt idx="102">
                  <c:v>64.02</c:v>
                </c:pt>
                <c:pt idx="103">
                  <c:v>#N/A</c:v>
                </c:pt>
                <c:pt idx="104">
                  <c:v>#N/A</c:v>
                </c:pt>
                <c:pt idx="105">
                  <c:v>#N/A</c:v>
                </c:pt>
                <c:pt idx="106">
                  <c:v>#N/A</c:v>
                </c:pt>
                <c:pt idx="107">
                  <c:v>#N/A</c:v>
                </c:pt>
                <c:pt idx="108">
                  <c:v>#N/A</c:v>
                </c:pt>
                <c:pt idx="109">
                  <c:v>64.069999999999993</c:v>
                </c:pt>
                <c:pt idx="110">
                  <c:v>#N/A</c:v>
                </c:pt>
                <c:pt idx="111">
                  <c:v>#N/A</c:v>
                </c:pt>
                <c:pt idx="112">
                  <c:v>#N/A</c:v>
                </c:pt>
                <c:pt idx="113">
                  <c:v>#N/A</c:v>
                </c:pt>
                <c:pt idx="114">
                  <c:v>#N/A</c:v>
                </c:pt>
                <c:pt idx="115">
                  <c:v>#N/A</c:v>
                </c:pt>
                <c:pt idx="116">
                  <c:v>63.3</c:v>
                </c:pt>
                <c:pt idx="117">
                  <c:v>#N/A</c:v>
                </c:pt>
                <c:pt idx="118">
                  <c:v>#N/A</c:v>
                </c:pt>
                <c:pt idx="119">
                  <c:v>#N/A</c:v>
                </c:pt>
                <c:pt idx="120">
                  <c:v>#N/A</c:v>
                </c:pt>
                <c:pt idx="121">
                  <c:v>#N/A</c:v>
                </c:pt>
                <c:pt idx="122">
                  <c:v>#N/A</c:v>
                </c:pt>
                <c:pt idx="123">
                  <c:v>61.94</c:v>
                </c:pt>
                <c:pt idx="124">
                  <c:v>#N/A</c:v>
                </c:pt>
                <c:pt idx="125">
                  <c:v>#N/A</c:v>
                </c:pt>
                <c:pt idx="126">
                  <c:v>#N/A</c:v>
                </c:pt>
                <c:pt idx="127">
                  <c:v>#N/A</c:v>
                </c:pt>
                <c:pt idx="128">
                  <c:v>#N/A</c:v>
                </c:pt>
                <c:pt idx="129">
                  <c:v>#N/A</c:v>
                </c:pt>
                <c:pt idx="130">
                  <c:v>61.66</c:v>
                </c:pt>
                <c:pt idx="131">
                  <c:v>#N/A</c:v>
                </c:pt>
                <c:pt idx="132">
                  <c:v>#N/A</c:v>
                </c:pt>
                <c:pt idx="133">
                  <c:v>#N/A</c:v>
                </c:pt>
                <c:pt idx="134">
                  <c:v>#N/A</c:v>
                </c:pt>
                <c:pt idx="135">
                  <c:v>#N/A</c:v>
                </c:pt>
                <c:pt idx="136">
                  <c:v>#N/A</c:v>
                </c:pt>
                <c:pt idx="137">
                  <c:v>62.92</c:v>
                </c:pt>
                <c:pt idx="138">
                  <c:v>#N/A</c:v>
                </c:pt>
                <c:pt idx="139">
                  <c:v>#N/A</c:v>
                </c:pt>
                <c:pt idx="140">
                  <c:v>#N/A</c:v>
                </c:pt>
                <c:pt idx="141">
                  <c:v>#N/A</c:v>
                </c:pt>
                <c:pt idx="142">
                  <c:v>#N/A</c:v>
                </c:pt>
                <c:pt idx="143">
                  <c:v>#N/A</c:v>
                </c:pt>
                <c:pt idx="144">
                  <c:v>58.63</c:v>
                </c:pt>
                <c:pt idx="145">
                  <c:v>#N/A</c:v>
                </c:pt>
                <c:pt idx="146">
                  <c:v>#N/A</c:v>
                </c:pt>
                <c:pt idx="147">
                  <c:v>#N/A</c:v>
                </c:pt>
                <c:pt idx="148">
                  <c:v>#N/A</c:v>
                </c:pt>
                <c:pt idx="149">
                  <c:v>#N/A</c:v>
                </c:pt>
                <c:pt idx="150">
                  <c:v>#N/A</c:v>
                </c:pt>
                <c:pt idx="151">
                  <c:v>53.5</c:v>
                </c:pt>
                <c:pt idx="152">
                  <c:v>#N/A</c:v>
                </c:pt>
                <c:pt idx="153">
                  <c:v>#N/A</c:v>
                </c:pt>
                <c:pt idx="154">
                  <c:v>#N/A</c:v>
                </c:pt>
                <c:pt idx="155">
                  <c:v>#N/A</c:v>
                </c:pt>
                <c:pt idx="156">
                  <c:v>#N/A</c:v>
                </c:pt>
                <c:pt idx="157">
                  <c:v>#N/A</c:v>
                </c:pt>
                <c:pt idx="158">
                  <c:v>53.99</c:v>
                </c:pt>
                <c:pt idx="159">
                  <c:v>#N/A</c:v>
                </c:pt>
                <c:pt idx="160">
                  <c:v>#N/A</c:v>
                </c:pt>
                <c:pt idx="161">
                  <c:v>#N/A</c:v>
                </c:pt>
                <c:pt idx="162">
                  <c:v>#N/A</c:v>
                </c:pt>
                <c:pt idx="163">
                  <c:v>#N/A</c:v>
                </c:pt>
                <c:pt idx="164">
                  <c:v>#N/A</c:v>
                </c:pt>
                <c:pt idx="165">
                  <c:v>52.77</c:v>
                </c:pt>
                <c:pt idx="166">
                  <c:v>#N/A</c:v>
                </c:pt>
                <c:pt idx="167">
                  <c:v>#N/A</c:v>
                </c:pt>
                <c:pt idx="168">
                  <c:v>#N/A</c:v>
                </c:pt>
                <c:pt idx="169">
                  <c:v>#N/A</c:v>
                </c:pt>
                <c:pt idx="170">
                  <c:v>#N/A</c:v>
                </c:pt>
                <c:pt idx="171">
                  <c:v>#N/A</c:v>
                </c:pt>
                <c:pt idx="172">
                  <c:v>57.43</c:v>
                </c:pt>
                <c:pt idx="173">
                  <c:v>#N/A</c:v>
                </c:pt>
                <c:pt idx="174">
                  <c:v>#N/A</c:v>
                </c:pt>
                <c:pt idx="175">
                  <c:v>#N/A</c:v>
                </c:pt>
                <c:pt idx="176">
                  <c:v>#N/A</c:v>
                </c:pt>
                <c:pt idx="177">
                  <c:v>#N/A</c:v>
                </c:pt>
                <c:pt idx="178">
                  <c:v>#N/A</c:v>
                </c:pt>
                <c:pt idx="179">
                  <c:v>58.47</c:v>
                </c:pt>
                <c:pt idx="180">
                  <c:v>#N/A</c:v>
                </c:pt>
                <c:pt idx="181">
                  <c:v>#N/A</c:v>
                </c:pt>
                <c:pt idx="182">
                  <c:v>#N/A</c:v>
                </c:pt>
                <c:pt idx="183">
                  <c:v>#N/A</c:v>
                </c:pt>
                <c:pt idx="184">
                  <c:v>#N/A</c:v>
                </c:pt>
                <c:pt idx="185">
                  <c:v>#N/A</c:v>
                </c:pt>
                <c:pt idx="186">
                  <c:v>57.51</c:v>
                </c:pt>
                <c:pt idx="187">
                  <c:v>#N/A</c:v>
                </c:pt>
                <c:pt idx="188">
                  <c:v>#N/A</c:v>
                </c:pt>
                <c:pt idx="189">
                  <c:v>#N/A</c:v>
                </c:pt>
                <c:pt idx="190">
                  <c:v>#N/A</c:v>
                </c:pt>
                <c:pt idx="191">
                  <c:v>#N/A</c:v>
                </c:pt>
                <c:pt idx="192">
                  <c:v>#N/A</c:v>
                </c:pt>
                <c:pt idx="193">
                  <c:v>60.3</c:v>
                </c:pt>
                <c:pt idx="194">
                  <c:v>#N/A</c:v>
                </c:pt>
                <c:pt idx="195">
                  <c:v>#N/A</c:v>
                </c:pt>
                <c:pt idx="196">
                  <c:v>#N/A</c:v>
                </c:pt>
                <c:pt idx="197">
                  <c:v>#N/A</c:v>
                </c:pt>
                <c:pt idx="198">
                  <c:v>#N/A</c:v>
                </c:pt>
                <c:pt idx="199">
                  <c:v>#N/A</c:v>
                </c:pt>
                <c:pt idx="200">
                  <c:v>55.76</c:v>
                </c:pt>
                <c:pt idx="201">
                  <c:v>#N/A</c:v>
                </c:pt>
                <c:pt idx="202">
                  <c:v>#N/A</c:v>
                </c:pt>
                <c:pt idx="203">
                  <c:v>#N/A</c:v>
                </c:pt>
                <c:pt idx="204">
                  <c:v>#N/A</c:v>
                </c:pt>
                <c:pt idx="205">
                  <c:v>#N/A</c:v>
                </c:pt>
                <c:pt idx="206">
                  <c:v>#N/A</c:v>
                </c:pt>
                <c:pt idx="207">
                  <c:v>56.2</c:v>
                </c:pt>
                <c:pt idx="208">
                  <c:v>#N/A</c:v>
                </c:pt>
                <c:pt idx="209">
                  <c:v>#N/A</c:v>
                </c:pt>
                <c:pt idx="210">
                  <c:v>#N/A</c:v>
                </c:pt>
                <c:pt idx="211">
                  <c:v>#N/A</c:v>
                </c:pt>
                <c:pt idx="212">
                  <c:v>#N/A</c:v>
                </c:pt>
                <c:pt idx="213">
                  <c:v>#N/A</c:v>
                </c:pt>
                <c:pt idx="214">
                  <c:v>55.66</c:v>
                </c:pt>
                <c:pt idx="215">
                  <c:v>#N/A</c:v>
                </c:pt>
                <c:pt idx="216">
                  <c:v>#N/A</c:v>
                </c:pt>
                <c:pt idx="217">
                  <c:v>#N/A</c:v>
                </c:pt>
                <c:pt idx="218">
                  <c:v>#N/A</c:v>
                </c:pt>
                <c:pt idx="219">
                  <c:v>#N/A</c:v>
                </c:pt>
                <c:pt idx="220">
                  <c:v>#N/A</c:v>
                </c:pt>
                <c:pt idx="221">
                  <c:v>54.5</c:v>
                </c:pt>
                <c:pt idx="222">
                  <c:v>#N/A</c:v>
                </c:pt>
                <c:pt idx="223">
                  <c:v>#N/A</c:v>
                </c:pt>
                <c:pt idx="224">
                  <c:v>#N/A</c:v>
                </c:pt>
                <c:pt idx="225">
                  <c:v>#N/A</c:v>
                </c:pt>
                <c:pt idx="226">
                  <c:v>#N/A</c:v>
                </c:pt>
                <c:pt idx="227">
                  <c:v>#N/A</c:v>
                </c:pt>
                <c:pt idx="228">
                  <c:v>54.81</c:v>
                </c:pt>
                <c:pt idx="229">
                  <c:v>#N/A</c:v>
                </c:pt>
                <c:pt idx="230">
                  <c:v>#N/A</c:v>
                </c:pt>
                <c:pt idx="231">
                  <c:v>#N/A</c:v>
                </c:pt>
                <c:pt idx="232">
                  <c:v>#N/A</c:v>
                </c:pt>
                <c:pt idx="233">
                  <c:v>#N/A</c:v>
                </c:pt>
                <c:pt idx="234">
                  <c:v>#N/A</c:v>
                </c:pt>
                <c:pt idx="235">
                  <c:v>54.17</c:v>
                </c:pt>
                <c:pt idx="236">
                  <c:v>#N/A</c:v>
                </c:pt>
                <c:pt idx="237">
                  <c:v>#N/A</c:v>
                </c:pt>
                <c:pt idx="238">
                  <c:v>#N/A</c:v>
                </c:pt>
                <c:pt idx="239">
                  <c:v>#N/A</c:v>
                </c:pt>
                <c:pt idx="240">
                  <c:v>#N/A</c:v>
                </c:pt>
                <c:pt idx="241">
                  <c:v>#N/A</c:v>
                </c:pt>
                <c:pt idx="242">
                  <c:v>55.1</c:v>
                </c:pt>
                <c:pt idx="243">
                  <c:v>#N/A</c:v>
                </c:pt>
                <c:pt idx="244">
                  <c:v>#N/A</c:v>
                </c:pt>
                <c:pt idx="245">
                  <c:v>#N/A</c:v>
                </c:pt>
                <c:pt idx="246">
                  <c:v>#N/A</c:v>
                </c:pt>
                <c:pt idx="247">
                  <c:v>#N/A</c:v>
                </c:pt>
                <c:pt idx="248">
                  <c:v>#N/A</c:v>
                </c:pt>
                <c:pt idx="249">
                  <c:v>56.52</c:v>
                </c:pt>
                <c:pt idx="250">
                  <c:v>#N/A</c:v>
                </c:pt>
                <c:pt idx="251">
                  <c:v>#N/A</c:v>
                </c:pt>
                <c:pt idx="252">
                  <c:v>#N/A</c:v>
                </c:pt>
                <c:pt idx="253">
                  <c:v>#N/A</c:v>
                </c:pt>
                <c:pt idx="254">
                  <c:v>#N/A</c:v>
                </c:pt>
                <c:pt idx="255">
                  <c:v>#N/A</c:v>
                </c:pt>
                <c:pt idx="256">
                  <c:v>54.8</c:v>
                </c:pt>
                <c:pt idx="257">
                  <c:v>#N/A</c:v>
                </c:pt>
                <c:pt idx="258">
                  <c:v>#N/A</c:v>
                </c:pt>
                <c:pt idx="259">
                  <c:v>#N/A</c:v>
                </c:pt>
                <c:pt idx="260">
                  <c:v>#N/A</c:v>
                </c:pt>
                <c:pt idx="261">
                  <c:v>#N/A</c:v>
                </c:pt>
                <c:pt idx="262">
                  <c:v>#N/A</c:v>
                </c:pt>
                <c:pt idx="263">
                  <c:v>58.09</c:v>
                </c:pt>
                <c:pt idx="264">
                  <c:v>#N/A</c:v>
                </c:pt>
                <c:pt idx="265">
                  <c:v>#N/A</c:v>
                </c:pt>
                <c:pt idx="266">
                  <c:v>#N/A</c:v>
                </c:pt>
                <c:pt idx="267">
                  <c:v>#N/A</c:v>
                </c:pt>
                <c:pt idx="268">
                  <c:v>#N/A</c:v>
                </c:pt>
                <c:pt idx="269">
                  <c:v>#N/A</c:v>
                </c:pt>
                <c:pt idx="270">
                  <c:v>55.91</c:v>
                </c:pt>
                <c:pt idx="271">
                  <c:v>#N/A</c:v>
                </c:pt>
                <c:pt idx="272">
                  <c:v>#N/A</c:v>
                </c:pt>
                <c:pt idx="273">
                  <c:v>#N/A</c:v>
                </c:pt>
                <c:pt idx="274">
                  <c:v>#N/A</c:v>
                </c:pt>
                <c:pt idx="275">
                  <c:v>#N/A</c:v>
                </c:pt>
                <c:pt idx="276">
                  <c:v>#N/A</c:v>
                </c:pt>
                <c:pt idx="277">
                  <c:v>52.81</c:v>
                </c:pt>
                <c:pt idx="278">
                  <c:v>#N/A</c:v>
                </c:pt>
                <c:pt idx="279">
                  <c:v>#N/A</c:v>
                </c:pt>
                <c:pt idx="280">
                  <c:v>#N/A</c:v>
                </c:pt>
                <c:pt idx="281">
                  <c:v>#N/A</c:v>
                </c:pt>
                <c:pt idx="282">
                  <c:v>#N/A</c:v>
                </c:pt>
                <c:pt idx="283">
                  <c:v>#N/A</c:v>
                </c:pt>
                <c:pt idx="284">
                  <c:v>54.78</c:v>
                </c:pt>
                <c:pt idx="285">
                  <c:v>#N/A</c:v>
                </c:pt>
                <c:pt idx="286">
                  <c:v>#N/A</c:v>
                </c:pt>
                <c:pt idx="287">
                  <c:v>#N/A</c:v>
                </c:pt>
                <c:pt idx="288">
                  <c:v>#N/A</c:v>
                </c:pt>
                <c:pt idx="289">
                  <c:v>#N/A</c:v>
                </c:pt>
                <c:pt idx="290">
                  <c:v>#N/A</c:v>
                </c:pt>
                <c:pt idx="291">
                  <c:v>53.87</c:v>
                </c:pt>
                <c:pt idx="292">
                  <c:v>#N/A</c:v>
                </c:pt>
                <c:pt idx="293">
                  <c:v>#N/A</c:v>
                </c:pt>
                <c:pt idx="294">
                  <c:v>#N/A</c:v>
                </c:pt>
                <c:pt idx="295">
                  <c:v>#N/A</c:v>
                </c:pt>
                <c:pt idx="296">
                  <c:v>#N/A</c:v>
                </c:pt>
                <c:pt idx="297">
                  <c:v>#N/A</c:v>
                </c:pt>
                <c:pt idx="298">
                  <c:v>56.66</c:v>
                </c:pt>
                <c:pt idx="299">
                  <c:v>#N/A</c:v>
                </c:pt>
                <c:pt idx="300">
                  <c:v>#N/A</c:v>
                </c:pt>
                <c:pt idx="301">
                  <c:v>#N/A</c:v>
                </c:pt>
                <c:pt idx="302">
                  <c:v>#N/A</c:v>
                </c:pt>
                <c:pt idx="303">
                  <c:v>#N/A</c:v>
                </c:pt>
                <c:pt idx="304">
                  <c:v>#N/A</c:v>
                </c:pt>
                <c:pt idx="305">
                  <c:v>56.2</c:v>
                </c:pt>
                <c:pt idx="306">
                  <c:v>#N/A</c:v>
                </c:pt>
                <c:pt idx="307">
                  <c:v>#N/A</c:v>
                </c:pt>
                <c:pt idx="308">
                  <c:v>#N/A</c:v>
                </c:pt>
                <c:pt idx="309">
                  <c:v>#N/A</c:v>
                </c:pt>
                <c:pt idx="310">
                  <c:v>#N/A</c:v>
                </c:pt>
                <c:pt idx="311">
                  <c:v>#N/A</c:v>
                </c:pt>
                <c:pt idx="312">
                  <c:v>57.24</c:v>
                </c:pt>
                <c:pt idx="313">
                  <c:v>#N/A</c:v>
                </c:pt>
                <c:pt idx="314">
                  <c:v>#N/A</c:v>
                </c:pt>
                <c:pt idx="315">
                  <c:v>#N/A</c:v>
                </c:pt>
                <c:pt idx="316">
                  <c:v>#N/A</c:v>
                </c:pt>
                <c:pt idx="317">
                  <c:v>#N/A</c:v>
                </c:pt>
                <c:pt idx="318">
                  <c:v>#N/A</c:v>
                </c:pt>
                <c:pt idx="319">
                  <c:v>57.83</c:v>
                </c:pt>
                <c:pt idx="320">
                  <c:v>#N/A</c:v>
                </c:pt>
                <c:pt idx="321">
                  <c:v>#N/A</c:v>
                </c:pt>
                <c:pt idx="322">
                  <c:v>#N/A</c:v>
                </c:pt>
                <c:pt idx="323">
                  <c:v>#N/A</c:v>
                </c:pt>
                <c:pt idx="324">
                  <c:v>#N/A</c:v>
                </c:pt>
                <c:pt idx="325">
                  <c:v>#N/A</c:v>
                </c:pt>
                <c:pt idx="326">
                  <c:v>57.77</c:v>
                </c:pt>
                <c:pt idx="327">
                  <c:v>#N/A</c:v>
                </c:pt>
                <c:pt idx="328">
                  <c:v>#N/A</c:v>
                </c:pt>
                <c:pt idx="329">
                  <c:v>#N/A</c:v>
                </c:pt>
                <c:pt idx="330">
                  <c:v>#N/A</c:v>
                </c:pt>
                <c:pt idx="331">
                  <c:v>#N/A</c:v>
                </c:pt>
                <c:pt idx="332">
                  <c:v>#N/A</c:v>
                </c:pt>
                <c:pt idx="333">
                  <c:v>55.17</c:v>
                </c:pt>
                <c:pt idx="334">
                  <c:v>#N/A</c:v>
                </c:pt>
                <c:pt idx="335">
                  <c:v>#N/A</c:v>
                </c:pt>
                <c:pt idx="336">
                  <c:v>#N/A</c:v>
                </c:pt>
                <c:pt idx="337">
                  <c:v>#N/A</c:v>
                </c:pt>
                <c:pt idx="338">
                  <c:v>#N/A</c:v>
                </c:pt>
                <c:pt idx="339">
                  <c:v>#N/A</c:v>
                </c:pt>
                <c:pt idx="340">
                  <c:v>59.2</c:v>
                </c:pt>
                <c:pt idx="341">
                  <c:v>#N/A</c:v>
                </c:pt>
                <c:pt idx="342">
                  <c:v>#N/A</c:v>
                </c:pt>
                <c:pt idx="343">
                  <c:v>#N/A</c:v>
                </c:pt>
                <c:pt idx="344">
                  <c:v>#N/A</c:v>
                </c:pt>
                <c:pt idx="345">
                  <c:v>#N/A</c:v>
                </c:pt>
                <c:pt idx="346">
                  <c:v>#N/A</c:v>
                </c:pt>
                <c:pt idx="347">
                  <c:v>59.98</c:v>
                </c:pt>
                <c:pt idx="348">
                  <c:v>#N/A</c:v>
                </c:pt>
                <c:pt idx="349">
                  <c:v>#N/A</c:v>
                </c:pt>
                <c:pt idx="350">
                  <c:v>#N/A</c:v>
                </c:pt>
                <c:pt idx="351">
                  <c:v>#N/A</c:v>
                </c:pt>
                <c:pt idx="352">
                  <c:v>#N/A</c:v>
                </c:pt>
                <c:pt idx="353">
                  <c:v>#N/A</c:v>
                </c:pt>
                <c:pt idx="354">
                  <c:v>60.44</c:v>
                </c:pt>
                <c:pt idx="355">
                  <c:v>#N/A</c:v>
                </c:pt>
                <c:pt idx="356">
                  <c:v>#N/A</c:v>
                </c:pt>
                <c:pt idx="357">
                  <c:v>#N/A</c:v>
                </c:pt>
                <c:pt idx="358">
                  <c:v>#N/A</c:v>
                </c:pt>
                <c:pt idx="359">
                  <c:v>#N/A</c:v>
                </c:pt>
                <c:pt idx="360">
                  <c:v>#N/A</c:v>
                </c:pt>
                <c:pt idx="361">
                  <c:v>61.72</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0-CB48-4FA9-A7F4-C893556A9C11}"/>
            </c:ext>
          </c:extLst>
        </c:ser>
        <c:ser>
          <c:idx val="2"/>
          <c:order val="1"/>
          <c:tx>
            <c:strRef>
              <c:f>原油!$J$1</c:f>
              <c:strCache>
                <c:ptCount val="1"/>
                <c:pt idx="0">
                  <c:v>2020</c:v>
                </c:pt>
              </c:strCache>
            </c:strRef>
          </c:tx>
          <c:spPr>
            <a:ln w="28575">
              <a:solidFill>
                <a:srgbClr val="BF5711"/>
              </a:solidFill>
              <a:prstDash val="solid"/>
            </a:ln>
          </c:spPr>
          <c:marker>
            <c:symbol val="none"/>
          </c:marker>
          <c:cat>
            <c:numRef>
              <c:f>原油!$G$2:$G$366</c:f>
              <c:numCache>
                <c:formatCode>m"月"d"日"</c:formatCode>
                <c:ptCount val="365"/>
                <c:pt idx="0">
                  <c:v>43831</c:v>
                </c:pt>
                <c:pt idx="1">
                  <c:v>43832</c:v>
                </c:pt>
                <c:pt idx="2">
                  <c:v>43833</c:v>
                </c:pt>
                <c:pt idx="3">
                  <c:v>43834</c:v>
                </c:pt>
                <c:pt idx="4">
                  <c:v>43835</c:v>
                </c:pt>
                <c:pt idx="5">
                  <c:v>43836</c:v>
                </c:pt>
                <c:pt idx="6">
                  <c:v>43837</c:v>
                </c:pt>
                <c:pt idx="7">
                  <c:v>43838</c:v>
                </c:pt>
                <c:pt idx="8">
                  <c:v>43839</c:v>
                </c:pt>
                <c:pt idx="9">
                  <c:v>43840</c:v>
                </c:pt>
                <c:pt idx="10">
                  <c:v>43841</c:v>
                </c:pt>
                <c:pt idx="11">
                  <c:v>43842</c:v>
                </c:pt>
                <c:pt idx="12">
                  <c:v>43843</c:v>
                </c:pt>
                <c:pt idx="13">
                  <c:v>43844</c:v>
                </c:pt>
                <c:pt idx="14">
                  <c:v>43845</c:v>
                </c:pt>
                <c:pt idx="15">
                  <c:v>43846</c:v>
                </c:pt>
                <c:pt idx="16">
                  <c:v>43847</c:v>
                </c:pt>
                <c:pt idx="17">
                  <c:v>43848</c:v>
                </c:pt>
                <c:pt idx="18">
                  <c:v>43849</c:v>
                </c:pt>
                <c:pt idx="19">
                  <c:v>43850</c:v>
                </c:pt>
                <c:pt idx="20">
                  <c:v>43851</c:v>
                </c:pt>
                <c:pt idx="21">
                  <c:v>43852</c:v>
                </c:pt>
                <c:pt idx="22">
                  <c:v>43853</c:v>
                </c:pt>
                <c:pt idx="23">
                  <c:v>43854</c:v>
                </c:pt>
                <c:pt idx="24">
                  <c:v>43855</c:v>
                </c:pt>
                <c:pt idx="25">
                  <c:v>43856</c:v>
                </c:pt>
                <c:pt idx="26">
                  <c:v>43857</c:v>
                </c:pt>
                <c:pt idx="27">
                  <c:v>43858</c:v>
                </c:pt>
                <c:pt idx="28">
                  <c:v>43859</c:v>
                </c:pt>
                <c:pt idx="29">
                  <c:v>43860</c:v>
                </c:pt>
                <c:pt idx="30">
                  <c:v>43861</c:v>
                </c:pt>
                <c:pt idx="31">
                  <c:v>43862</c:v>
                </c:pt>
                <c:pt idx="32">
                  <c:v>43863</c:v>
                </c:pt>
                <c:pt idx="33">
                  <c:v>43864</c:v>
                </c:pt>
                <c:pt idx="34">
                  <c:v>43865</c:v>
                </c:pt>
                <c:pt idx="35">
                  <c:v>43866</c:v>
                </c:pt>
                <c:pt idx="36">
                  <c:v>43867</c:v>
                </c:pt>
                <c:pt idx="37">
                  <c:v>43868</c:v>
                </c:pt>
                <c:pt idx="38">
                  <c:v>43869</c:v>
                </c:pt>
                <c:pt idx="39">
                  <c:v>43870</c:v>
                </c:pt>
                <c:pt idx="40">
                  <c:v>43871</c:v>
                </c:pt>
                <c:pt idx="41">
                  <c:v>43872</c:v>
                </c:pt>
                <c:pt idx="42">
                  <c:v>43873</c:v>
                </c:pt>
                <c:pt idx="43">
                  <c:v>43874</c:v>
                </c:pt>
                <c:pt idx="44">
                  <c:v>43875</c:v>
                </c:pt>
                <c:pt idx="45">
                  <c:v>43876</c:v>
                </c:pt>
                <c:pt idx="46">
                  <c:v>43877</c:v>
                </c:pt>
                <c:pt idx="47">
                  <c:v>43878</c:v>
                </c:pt>
                <c:pt idx="48">
                  <c:v>43879</c:v>
                </c:pt>
                <c:pt idx="49">
                  <c:v>43880</c:v>
                </c:pt>
                <c:pt idx="50">
                  <c:v>43881</c:v>
                </c:pt>
                <c:pt idx="51">
                  <c:v>43882</c:v>
                </c:pt>
                <c:pt idx="52">
                  <c:v>43883</c:v>
                </c:pt>
                <c:pt idx="53">
                  <c:v>43884</c:v>
                </c:pt>
                <c:pt idx="54">
                  <c:v>43885</c:v>
                </c:pt>
                <c:pt idx="55">
                  <c:v>43886</c:v>
                </c:pt>
                <c:pt idx="56">
                  <c:v>43887</c:v>
                </c:pt>
                <c:pt idx="57">
                  <c:v>43888</c:v>
                </c:pt>
                <c:pt idx="58">
                  <c:v>43889</c:v>
                </c:pt>
                <c:pt idx="59">
                  <c:v>43890</c:v>
                </c:pt>
                <c:pt idx="60">
                  <c:v>43891</c:v>
                </c:pt>
                <c:pt idx="61">
                  <c:v>43892</c:v>
                </c:pt>
                <c:pt idx="62">
                  <c:v>43893</c:v>
                </c:pt>
                <c:pt idx="63">
                  <c:v>43894</c:v>
                </c:pt>
                <c:pt idx="64">
                  <c:v>43895</c:v>
                </c:pt>
                <c:pt idx="65">
                  <c:v>43896</c:v>
                </c:pt>
                <c:pt idx="66">
                  <c:v>43897</c:v>
                </c:pt>
                <c:pt idx="67">
                  <c:v>43898</c:v>
                </c:pt>
                <c:pt idx="68">
                  <c:v>43899</c:v>
                </c:pt>
                <c:pt idx="69">
                  <c:v>43900</c:v>
                </c:pt>
                <c:pt idx="70">
                  <c:v>43901</c:v>
                </c:pt>
                <c:pt idx="71">
                  <c:v>43902</c:v>
                </c:pt>
                <c:pt idx="72">
                  <c:v>43903</c:v>
                </c:pt>
                <c:pt idx="73">
                  <c:v>43904</c:v>
                </c:pt>
                <c:pt idx="74">
                  <c:v>43905</c:v>
                </c:pt>
                <c:pt idx="75">
                  <c:v>43906</c:v>
                </c:pt>
                <c:pt idx="76">
                  <c:v>43907</c:v>
                </c:pt>
                <c:pt idx="77">
                  <c:v>43908</c:v>
                </c:pt>
                <c:pt idx="78">
                  <c:v>43909</c:v>
                </c:pt>
                <c:pt idx="79">
                  <c:v>43910</c:v>
                </c:pt>
                <c:pt idx="80">
                  <c:v>43911</c:v>
                </c:pt>
                <c:pt idx="81">
                  <c:v>43912</c:v>
                </c:pt>
                <c:pt idx="82">
                  <c:v>43913</c:v>
                </c:pt>
                <c:pt idx="83">
                  <c:v>43914</c:v>
                </c:pt>
                <c:pt idx="84">
                  <c:v>43915</c:v>
                </c:pt>
                <c:pt idx="85">
                  <c:v>43916</c:v>
                </c:pt>
                <c:pt idx="86">
                  <c:v>43917</c:v>
                </c:pt>
                <c:pt idx="87">
                  <c:v>43918</c:v>
                </c:pt>
                <c:pt idx="88">
                  <c:v>43919</c:v>
                </c:pt>
                <c:pt idx="89">
                  <c:v>43920</c:v>
                </c:pt>
                <c:pt idx="90">
                  <c:v>43921</c:v>
                </c:pt>
                <c:pt idx="91">
                  <c:v>43922</c:v>
                </c:pt>
                <c:pt idx="92">
                  <c:v>43923</c:v>
                </c:pt>
                <c:pt idx="93">
                  <c:v>43924</c:v>
                </c:pt>
                <c:pt idx="94">
                  <c:v>43925</c:v>
                </c:pt>
                <c:pt idx="95">
                  <c:v>43926</c:v>
                </c:pt>
                <c:pt idx="96">
                  <c:v>43927</c:v>
                </c:pt>
                <c:pt idx="97">
                  <c:v>43928</c:v>
                </c:pt>
                <c:pt idx="98">
                  <c:v>43929</c:v>
                </c:pt>
                <c:pt idx="99">
                  <c:v>43930</c:v>
                </c:pt>
                <c:pt idx="100">
                  <c:v>43931</c:v>
                </c:pt>
                <c:pt idx="101">
                  <c:v>43932</c:v>
                </c:pt>
                <c:pt idx="102">
                  <c:v>43933</c:v>
                </c:pt>
                <c:pt idx="103">
                  <c:v>43934</c:v>
                </c:pt>
                <c:pt idx="104">
                  <c:v>43935</c:v>
                </c:pt>
                <c:pt idx="105">
                  <c:v>43936</c:v>
                </c:pt>
                <c:pt idx="106">
                  <c:v>43937</c:v>
                </c:pt>
                <c:pt idx="107">
                  <c:v>43938</c:v>
                </c:pt>
                <c:pt idx="108">
                  <c:v>43939</c:v>
                </c:pt>
                <c:pt idx="109">
                  <c:v>43940</c:v>
                </c:pt>
                <c:pt idx="110">
                  <c:v>43941</c:v>
                </c:pt>
                <c:pt idx="111">
                  <c:v>43942</c:v>
                </c:pt>
                <c:pt idx="112">
                  <c:v>43943</c:v>
                </c:pt>
                <c:pt idx="113">
                  <c:v>43944</c:v>
                </c:pt>
                <c:pt idx="114">
                  <c:v>43945</c:v>
                </c:pt>
                <c:pt idx="115">
                  <c:v>43946</c:v>
                </c:pt>
                <c:pt idx="116">
                  <c:v>43947</c:v>
                </c:pt>
                <c:pt idx="117">
                  <c:v>43948</c:v>
                </c:pt>
                <c:pt idx="118">
                  <c:v>43949</c:v>
                </c:pt>
                <c:pt idx="119">
                  <c:v>43950</c:v>
                </c:pt>
                <c:pt idx="120">
                  <c:v>43951</c:v>
                </c:pt>
                <c:pt idx="121">
                  <c:v>43952</c:v>
                </c:pt>
                <c:pt idx="122">
                  <c:v>43953</c:v>
                </c:pt>
                <c:pt idx="123">
                  <c:v>43954</c:v>
                </c:pt>
                <c:pt idx="124">
                  <c:v>43955</c:v>
                </c:pt>
                <c:pt idx="125">
                  <c:v>43956</c:v>
                </c:pt>
                <c:pt idx="126">
                  <c:v>43957</c:v>
                </c:pt>
                <c:pt idx="127">
                  <c:v>43958</c:v>
                </c:pt>
                <c:pt idx="128">
                  <c:v>43959</c:v>
                </c:pt>
                <c:pt idx="129">
                  <c:v>43960</c:v>
                </c:pt>
                <c:pt idx="130">
                  <c:v>43961</c:v>
                </c:pt>
                <c:pt idx="131">
                  <c:v>43962</c:v>
                </c:pt>
                <c:pt idx="132">
                  <c:v>43963</c:v>
                </c:pt>
                <c:pt idx="133">
                  <c:v>43964</c:v>
                </c:pt>
                <c:pt idx="134">
                  <c:v>43965</c:v>
                </c:pt>
                <c:pt idx="135">
                  <c:v>43966</c:v>
                </c:pt>
                <c:pt idx="136">
                  <c:v>43967</c:v>
                </c:pt>
                <c:pt idx="137">
                  <c:v>43968</c:v>
                </c:pt>
                <c:pt idx="138">
                  <c:v>43969</c:v>
                </c:pt>
                <c:pt idx="139">
                  <c:v>43970</c:v>
                </c:pt>
                <c:pt idx="140">
                  <c:v>43971</c:v>
                </c:pt>
                <c:pt idx="141">
                  <c:v>43972</c:v>
                </c:pt>
                <c:pt idx="142">
                  <c:v>43973</c:v>
                </c:pt>
                <c:pt idx="143">
                  <c:v>43974</c:v>
                </c:pt>
                <c:pt idx="144">
                  <c:v>43975</c:v>
                </c:pt>
                <c:pt idx="145">
                  <c:v>43976</c:v>
                </c:pt>
                <c:pt idx="146">
                  <c:v>43977</c:v>
                </c:pt>
                <c:pt idx="147">
                  <c:v>43978</c:v>
                </c:pt>
                <c:pt idx="148">
                  <c:v>43979</c:v>
                </c:pt>
                <c:pt idx="149">
                  <c:v>43980</c:v>
                </c:pt>
                <c:pt idx="150">
                  <c:v>43981</c:v>
                </c:pt>
                <c:pt idx="151">
                  <c:v>43982</c:v>
                </c:pt>
                <c:pt idx="152">
                  <c:v>43983</c:v>
                </c:pt>
                <c:pt idx="153">
                  <c:v>43984</c:v>
                </c:pt>
                <c:pt idx="154">
                  <c:v>43985</c:v>
                </c:pt>
                <c:pt idx="155">
                  <c:v>43986</c:v>
                </c:pt>
                <c:pt idx="156">
                  <c:v>43987</c:v>
                </c:pt>
                <c:pt idx="157">
                  <c:v>43988</c:v>
                </c:pt>
                <c:pt idx="158">
                  <c:v>43989</c:v>
                </c:pt>
                <c:pt idx="159">
                  <c:v>43990</c:v>
                </c:pt>
                <c:pt idx="160">
                  <c:v>43991</c:v>
                </c:pt>
                <c:pt idx="161">
                  <c:v>43992</c:v>
                </c:pt>
                <c:pt idx="162">
                  <c:v>43993</c:v>
                </c:pt>
                <c:pt idx="163">
                  <c:v>43994</c:v>
                </c:pt>
                <c:pt idx="164">
                  <c:v>43995</c:v>
                </c:pt>
                <c:pt idx="165">
                  <c:v>43996</c:v>
                </c:pt>
                <c:pt idx="166">
                  <c:v>43997</c:v>
                </c:pt>
                <c:pt idx="167">
                  <c:v>43998</c:v>
                </c:pt>
                <c:pt idx="168">
                  <c:v>43999</c:v>
                </c:pt>
                <c:pt idx="169">
                  <c:v>44000</c:v>
                </c:pt>
                <c:pt idx="170">
                  <c:v>44001</c:v>
                </c:pt>
                <c:pt idx="171">
                  <c:v>44002</c:v>
                </c:pt>
                <c:pt idx="172">
                  <c:v>44003</c:v>
                </c:pt>
                <c:pt idx="173">
                  <c:v>44004</c:v>
                </c:pt>
                <c:pt idx="174">
                  <c:v>44005</c:v>
                </c:pt>
                <c:pt idx="175">
                  <c:v>44006</c:v>
                </c:pt>
                <c:pt idx="176">
                  <c:v>44007</c:v>
                </c:pt>
                <c:pt idx="177">
                  <c:v>44008</c:v>
                </c:pt>
                <c:pt idx="178">
                  <c:v>44009</c:v>
                </c:pt>
                <c:pt idx="179">
                  <c:v>44010</c:v>
                </c:pt>
                <c:pt idx="180">
                  <c:v>44011</c:v>
                </c:pt>
                <c:pt idx="181">
                  <c:v>44012</c:v>
                </c:pt>
                <c:pt idx="182">
                  <c:v>44013</c:v>
                </c:pt>
                <c:pt idx="183">
                  <c:v>44014</c:v>
                </c:pt>
                <c:pt idx="184">
                  <c:v>44015</c:v>
                </c:pt>
                <c:pt idx="185">
                  <c:v>44016</c:v>
                </c:pt>
                <c:pt idx="186">
                  <c:v>44017</c:v>
                </c:pt>
                <c:pt idx="187">
                  <c:v>44018</c:v>
                </c:pt>
                <c:pt idx="188">
                  <c:v>44019</c:v>
                </c:pt>
                <c:pt idx="189">
                  <c:v>44020</c:v>
                </c:pt>
                <c:pt idx="190">
                  <c:v>44021</c:v>
                </c:pt>
                <c:pt idx="191">
                  <c:v>44022</c:v>
                </c:pt>
                <c:pt idx="192">
                  <c:v>44023</c:v>
                </c:pt>
                <c:pt idx="193">
                  <c:v>44024</c:v>
                </c:pt>
                <c:pt idx="194">
                  <c:v>44025</c:v>
                </c:pt>
                <c:pt idx="195">
                  <c:v>44026</c:v>
                </c:pt>
                <c:pt idx="196">
                  <c:v>44027</c:v>
                </c:pt>
                <c:pt idx="197">
                  <c:v>44028</c:v>
                </c:pt>
                <c:pt idx="198">
                  <c:v>44029</c:v>
                </c:pt>
                <c:pt idx="199">
                  <c:v>44030</c:v>
                </c:pt>
                <c:pt idx="200">
                  <c:v>44031</c:v>
                </c:pt>
                <c:pt idx="201">
                  <c:v>44032</c:v>
                </c:pt>
                <c:pt idx="202">
                  <c:v>44033</c:v>
                </c:pt>
                <c:pt idx="203">
                  <c:v>44034</c:v>
                </c:pt>
                <c:pt idx="204">
                  <c:v>44035</c:v>
                </c:pt>
                <c:pt idx="205">
                  <c:v>44036</c:v>
                </c:pt>
                <c:pt idx="206">
                  <c:v>44037</c:v>
                </c:pt>
                <c:pt idx="207">
                  <c:v>44038</c:v>
                </c:pt>
                <c:pt idx="208">
                  <c:v>44039</c:v>
                </c:pt>
                <c:pt idx="209">
                  <c:v>44040</c:v>
                </c:pt>
                <c:pt idx="210">
                  <c:v>44041</c:v>
                </c:pt>
                <c:pt idx="211">
                  <c:v>44042</c:v>
                </c:pt>
                <c:pt idx="212">
                  <c:v>44043</c:v>
                </c:pt>
                <c:pt idx="213">
                  <c:v>44044</c:v>
                </c:pt>
                <c:pt idx="214">
                  <c:v>44045</c:v>
                </c:pt>
                <c:pt idx="215">
                  <c:v>44046</c:v>
                </c:pt>
                <c:pt idx="216">
                  <c:v>44047</c:v>
                </c:pt>
                <c:pt idx="217">
                  <c:v>44048</c:v>
                </c:pt>
                <c:pt idx="218">
                  <c:v>44049</c:v>
                </c:pt>
                <c:pt idx="219">
                  <c:v>44050</c:v>
                </c:pt>
                <c:pt idx="220">
                  <c:v>44051</c:v>
                </c:pt>
                <c:pt idx="221">
                  <c:v>44052</c:v>
                </c:pt>
                <c:pt idx="222">
                  <c:v>44053</c:v>
                </c:pt>
                <c:pt idx="223">
                  <c:v>44054</c:v>
                </c:pt>
                <c:pt idx="224">
                  <c:v>44055</c:v>
                </c:pt>
                <c:pt idx="225">
                  <c:v>44056</c:v>
                </c:pt>
                <c:pt idx="226">
                  <c:v>44057</c:v>
                </c:pt>
                <c:pt idx="227">
                  <c:v>44058</c:v>
                </c:pt>
                <c:pt idx="228">
                  <c:v>44059</c:v>
                </c:pt>
                <c:pt idx="229">
                  <c:v>44060</c:v>
                </c:pt>
                <c:pt idx="230">
                  <c:v>44061</c:v>
                </c:pt>
                <c:pt idx="231">
                  <c:v>44062</c:v>
                </c:pt>
                <c:pt idx="232">
                  <c:v>44063</c:v>
                </c:pt>
                <c:pt idx="233">
                  <c:v>44064</c:v>
                </c:pt>
                <c:pt idx="234">
                  <c:v>44065</c:v>
                </c:pt>
                <c:pt idx="235">
                  <c:v>44066</c:v>
                </c:pt>
                <c:pt idx="236">
                  <c:v>44067</c:v>
                </c:pt>
                <c:pt idx="237">
                  <c:v>44068</c:v>
                </c:pt>
                <c:pt idx="238">
                  <c:v>44069</c:v>
                </c:pt>
                <c:pt idx="239">
                  <c:v>44070</c:v>
                </c:pt>
                <c:pt idx="240">
                  <c:v>44071</c:v>
                </c:pt>
                <c:pt idx="241">
                  <c:v>44072</c:v>
                </c:pt>
                <c:pt idx="242">
                  <c:v>44073</c:v>
                </c:pt>
                <c:pt idx="243">
                  <c:v>44074</c:v>
                </c:pt>
                <c:pt idx="244">
                  <c:v>44075</c:v>
                </c:pt>
                <c:pt idx="245">
                  <c:v>44076</c:v>
                </c:pt>
                <c:pt idx="246">
                  <c:v>44077</c:v>
                </c:pt>
                <c:pt idx="247">
                  <c:v>44078</c:v>
                </c:pt>
                <c:pt idx="248">
                  <c:v>44079</c:v>
                </c:pt>
                <c:pt idx="249">
                  <c:v>44080</c:v>
                </c:pt>
                <c:pt idx="250">
                  <c:v>44081</c:v>
                </c:pt>
                <c:pt idx="251">
                  <c:v>44082</c:v>
                </c:pt>
                <c:pt idx="252">
                  <c:v>44083</c:v>
                </c:pt>
                <c:pt idx="253">
                  <c:v>44084</c:v>
                </c:pt>
                <c:pt idx="254">
                  <c:v>44085</c:v>
                </c:pt>
                <c:pt idx="255">
                  <c:v>44086</c:v>
                </c:pt>
                <c:pt idx="256">
                  <c:v>44087</c:v>
                </c:pt>
                <c:pt idx="257">
                  <c:v>44088</c:v>
                </c:pt>
                <c:pt idx="258">
                  <c:v>44089</c:v>
                </c:pt>
                <c:pt idx="259">
                  <c:v>44090</c:v>
                </c:pt>
                <c:pt idx="260">
                  <c:v>44091</c:v>
                </c:pt>
                <c:pt idx="261">
                  <c:v>44092</c:v>
                </c:pt>
                <c:pt idx="262">
                  <c:v>44093</c:v>
                </c:pt>
                <c:pt idx="263">
                  <c:v>44094</c:v>
                </c:pt>
                <c:pt idx="264">
                  <c:v>44095</c:v>
                </c:pt>
                <c:pt idx="265">
                  <c:v>44096</c:v>
                </c:pt>
                <c:pt idx="266">
                  <c:v>44097</c:v>
                </c:pt>
                <c:pt idx="267">
                  <c:v>44098</c:v>
                </c:pt>
                <c:pt idx="268">
                  <c:v>44099</c:v>
                </c:pt>
                <c:pt idx="269">
                  <c:v>44100</c:v>
                </c:pt>
                <c:pt idx="270">
                  <c:v>44101</c:v>
                </c:pt>
                <c:pt idx="271">
                  <c:v>44102</c:v>
                </c:pt>
                <c:pt idx="272">
                  <c:v>44103</c:v>
                </c:pt>
                <c:pt idx="273">
                  <c:v>44104</c:v>
                </c:pt>
                <c:pt idx="274">
                  <c:v>44105</c:v>
                </c:pt>
                <c:pt idx="275">
                  <c:v>44106</c:v>
                </c:pt>
                <c:pt idx="276">
                  <c:v>44107</c:v>
                </c:pt>
                <c:pt idx="277">
                  <c:v>44108</c:v>
                </c:pt>
                <c:pt idx="278">
                  <c:v>44109</c:v>
                </c:pt>
                <c:pt idx="279">
                  <c:v>44110</c:v>
                </c:pt>
                <c:pt idx="280">
                  <c:v>44111</c:v>
                </c:pt>
                <c:pt idx="281">
                  <c:v>44112</c:v>
                </c:pt>
                <c:pt idx="282">
                  <c:v>44113</c:v>
                </c:pt>
                <c:pt idx="283">
                  <c:v>44114</c:v>
                </c:pt>
                <c:pt idx="284">
                  <c:v>44115</c:v>
                </c:pt>
                <c:pt idx="285">
                  <c:v>44116</c:v>
                </c:pt>
                <c:pt idx="286">
                  <c:v>44117</c:v>
                </c:pt>
                <c:pt idx="287">
                  <c:v>44118</c:v>
                </c:pt>
                <c:pt idx="288">
                  <c:v>44119</c:v>
                </c:pt>
                <c:pt idx="289">
                  <c:v>44120</c:v>
                </c:pt>
                <c:pt idx="290">
                  <c:v>44121</c:v>
                </c:pt>
                <c:pt idx="291">
                  <c:v>44122</c:v>
                </c:pt>
                <c:pt idx="292">
                  <c:v>44123</c:v>
                </c:pt>
                <c:pt idx="293">
                  <c:v>44124</c:v>
                </c:pt>
                <c:pt idx="294">
                  <c:v>44125</c:v>
                </c:pt>
                <c:pt idx="295">
                  <c:v>44126</c:v>
                </c:pt>
                <c:pt idx="296">
                  <c:v>44127</c:v>
                </c:pt>
                <c:pt idx="297">
                  <c:v>44128</c:v>
                </c:pt>
                <c:pt idx="298">
                  <c:v>44129</c:v>
                </c:pt>
                <c:pt idx="299">
                  <c:v>44130</c:v>
                </c:pt>
                <c:pt idx="300">
                  <c:v>44131</c:v>
                </c:pt>
                <c:pt idx="301">
                  <c:v>44132</c:v>
                </c:pt>
                <c:pt idx="302">
                  <c:v>44133</c:v>
                </c:pt>
                <c:pt idx="303">
                  <c:v>44134</c:v>
                </c:pt>
                <c:pt idx="304">
                  <c:v>44135</c:v>
                </c:pt>
                <c:pt idx="305">
                  <c:v>44136</c:v>
                </c:pt>
                <c:pt idx="306">
                  <c:v>44137</c:v>
                </c:pt>
                <c:pt idx="307">
                  <c:v>44138</c:v>
                </c:pt>
                <c:pt idx="308">
                  <c:v>44139</c:v>
                </c:pt>
                <c:pt idx="309">
                  <c:v>44140</c:v>
                </c:pt>
                <c:pt idx="310">
                  <c:v>44141</c:v>
                </c:pt>
                <c:pt idx="311">
                  <c:v>44142</c:v>
                </c:pt>
                <c:pt idx="312">
                  <c:v>44143</c:v>
                </c:pt>
                <c:pt idx="313">
                  <c:v>44144</c:v>
                </c:pt>
                <c:pt idx="314">
                  <c:v>44145</c:v>
                </c:pt>
                <c:pt idx="315">
                  <c:v>44146</c:v>
                </c:pt>
                <c:pt idx="316">
                  <c:v>44147</c:v>
                </c:pt>
                <c:pt idx="317">
                  <c:v>44148</c:v>
                </c:pt>
                <c:pt idx="318">
                  <c:v>44149</c:v>
                </c:pt>
                <c:pt idx="319">
                  <c:v>44150</c:v>
                </c:pt>
                <c:pt idx="320">
                  <c:v>44151</c:v>
                </c:pt>
                <c:pt idx="321">
                  <c:v>44152</c:v>
                </c:pt>
                <c:pt idx="322">
                  <c:v>44153</c:v>
                </c:pt>
                <c:pt idx="323">
                  <c:v>44154</c:v>
                </c:pt>
                <c:pt idx="324">
                  <c:v>44155</c:v>
                </c:pt>
                <c:pt idx="325">
                  <c:v>44156</c:v>
                </c:pt>
                <c:pt idx="326">
                  <c:v>44157</c:v>
                </c:pt>
                <c:pt idx="327">
                  <c:v>44158</c:v>
                </c:pt>
                <c:pt idx="328">
                  <c:v>44159</c:v>
                </c:pt>
                <c:pt idx="329">
                  <c:v>44160</c:v>
                </c:pt>
                <c:pt idx="330">
                  <c:v>44161</c:v>
                </c:pt>
                <c:pt idx="331">
                  <c:v>44162</c:v>
                </c:pt>
                <c:pt idx="332">
                  <c:v>44163</c:v>
                </c:pt>
                <c:pt idx="333">
                  <c:v>44164</c:v>
                </c:pt>
                <c:pt idx="334">
                  <c:v>44165</c:v>
                </c:pt>
                <c:pt idx="335">
                  <c:v>44166</c:v>
                </c:pt>
                <c:pt idx="336">
                  <c:v>44167</c:v>
                </c:pt>
                <c:pt idx="337">
                  <c:v>44168</c:v>
                </c:pt>
                <c:pt idx="338">
                  <c:v>44169</c:v>
                </c:pt>
                <c:pt idx="339">
                  <c:v>44170</c:v>
                </c:pt>
                <c:pt idx="340">
                  <c:v>44171</c:v>
                </c:pt>
                <c:pt idx="341">
                  <c:v>44172</c:v>
                </c:pt>
                <c:pt idx="342">
                  <c:v>44173</c:v>
                </c:pt>
                <c:pt idx="343">
                  <c:v>44174</c:v>
                </c:pt>
                <c:pt idx="344">
                  <c:v>44175</c:v>
                </c:pt>
                <c:pt idx="345">
                  <c:v>44176</c:v>
                </c:pt>
                <c:pt idx="346">
                  <c:v>44177</c:v>
                </c:pt>
                <c:pt idx="347">
                  <c:v>44178</c:v>
                </c:pt>
                <c:pt idx="348">
                  <c:v>44179</c:v>
                </c:pt>
                <c:pt idx="349">
                  <c:v>44180</c:v>
                </c:pt>
                <c:pt idx="350">
                  <c:v>44181</c:v>
                </c:pt>
                <c:pt idx="351">
                  <c:v>44182</c:v>
                </c:pt>
                <c:pt idx="352">
                  <c:v>44183</c:v>
                </c:pt>
                <c:pt idx="353">
                  <c:v>44184</c:v>
                </c:pt>
                <c:pt idx="354">
                  <c:v>44185</c:v>
                </c:pt>
                <c:pt idx="355">
                  <c:v>44186</c:v>
                </c:pt>
                <c:pt idx="356">
                  <c:v>44187</c:v>
                </c:pt>
                <c:pt idx="357">
                  <c:v>44188</c:v>
                </c:pt>
                <c:pt idx="358">
                  <c:v>44189</c:v>
                </c:pt>
                <c:pt idx="359">
                  <c:v>44190</c:v>
                </c:pt>
                <c:pt idx="360">
                  <c:v>44191</c:v>
                </c:pt>
                <c:pt idx="361">
                  <c:v>44192</c:v>
                </c:pt>
                <c:pt idx="362">
                  <c:v>44193</c:v>
                </c:pt>
                <c:pt idx="363">
                  <c:v>44194</c:v>
                </c:pt>
                <c:pt idx="364">
                  <c:v>44195</c:v>
                </c:pt>
              </c:numCache>
            </c:numRef>
          </c:cat>
          <c:val>
            <c:numRef>
              <c:f>原油!$J$2:$J$366</c:f>
              <c:numCache>
                <c:formatCode>General</c:formatCode>
                <c:ptCount val="365"/>
                <c:pt idx="0">
                  <c:v>#N/A</c:v>
                </c:pt>
                <c:pt idx="1">
                  <c:v>#N/A</c:v>
                </c:pt>
                <c:pt idx="2">
                  <c:v>#N/A</c:v>
                </c:pt>
                <c:pt idx="3">
                  <c:v>63.05</c:v>
                </c:pt>
                <c:pt idx="4">
                  <c:v>#N/A</c:v>
                </c:pt>
                <c:pt idx="5">
                  <c:v>#N/A</c:v>
                </c:pt>
                <c:pt idx="6">
                  <c:v>#N/A</c:v>
                </c:pt>
                <c:pt idx="7">
                  <c:v>#N/A</c:v>
                </c:pt>
                <c:pt idx="8">
                  <c:v>#N/A</c:v>
                </c:pt>
                <c:pt idx="9">
                  <c:v>#N/A</c:v>
                </c:pt>
                <c:pt idx="10">
                  <c:v>59.04</c:v>
                </c:pt>
                <c:pt idx="11">
                  <c:v>#N/A</c:v>
                </c:pt>
                <c:pt idx="12">
                  <c:v>#N/A</c:v>
                </c:pt>
                <c:pt idx="13">
                  <c:v>#N/A</c:v>
                </c:pt>
                <c:pt idx="14">
                  <c:v>#N/A</c:v>
                </c:pt>
                <c:pt idx="15">
                  <c:v>#N/A</c:v>
                </c:pt>
                <c:pt idx="16">
                  <c:v>#N/A</c:v>
                </c:pt>
                <c:pt idx="17">
                  <c:v>58.58</c:v>
                </c:pt>
                <c:pt idx="18">
                  <c:v>#N/A</c:v>
                </c:pt>
                <c:pt idx="19">
                  <c:v>#N/A</c:v>
                </c:pt>
                <c:pt idx="20">
                  <c:v>#N/A</c:v>
                </c:pt>
                <c:pt idx="21">
                  <c:v>#N/A</c:v>
                </c:pt>
                <c:pt idx="22">
                  <c:v>#N/A</c:v>
                </c:pt>
                <c:pt idx="23">
                  <c:v>#N/A</c:v>
                </c:pt>
                <c:pt idx="24">
                  <c:v>54.19</c:v>
                </c:pt>
                <c:pt idx="25">
                  <c:v>#N/A</c:v>
                </c:pt>
                <c:pt idx="26">
                  <c:v>#N/A</c:v>
                </c:pt>
                <c:pt idx="27">
                  <c:v>#N/A</c:v>
                </c:pt>
                <c:pt idx="28">
                  <c:v>#N/A</c:v>
                </c:pt>
                <c:pt idx="29">
                  <c:v>#N/A</c:v>
                </c:pt>
                <c:pt idx="30">
                  <c:v>#N/A</c:v>
                </c:pt>
                <c:pt idx="31">
                  <c:v>51.56</c:v>
                </c:pt>
                <c:pt idx="32">
                  <c:v>#N/A</c:v>
                </c:pt>
                <c:pt idx="33">
                  <c:v>#N/A</c:v>
                </c:pt>
                <c:pt idx="34">
                  <c:v>#N/A</c:v>
                </c:pt>
                <c:pt idx="35">
                  <c:v>#N/A</c:v>
                </c:pt>
                <c:pt idx="36">
                  <c:v>#N/A</c:v>
                </c:pt>
                <c:pt idx="37">
                  <c:v>#N/A</c:v>
                </c:pt>
                <c:pt idx="38">
                  <c:v>50.32</c:v>
                </c:pt>
                <c:pt idx="39">
                  <c:v>#N/A</c:v>
                </c:pt>
                <c:pt idx="40">
                  <c:v>#N/A</c:v>
                </c:pt>
                <c:pt idx="41">
                  <c:v>#N/A</c:v>
                </c:pt>
                <c:pt idx="42">
                  <c:v>#N/A</c:v>
                </c:pt>
                <c:pt idx="43">
                  <c:v>#N/A</c:v>
                </c:pt>
                <c:pt idx="44">
                  <c:v>#N/A</c:v>
                </c:pt>
                <c:pt idx="45">
                  <c:v>52.32</c:v>
                </c:pt>
                <c:pt idx="46">
                  <c:v>#N/A</c:v>
                </c:pt>
                <c:pt idx="47">
                  <c:v>#N/A</c:v>
                </c:pt>
                <c:pt idx="48">
                  <c:v>#N/A</c:v>
                </c:pt>
                <c:pt idx="49">
                  <c:v>#N/A</c:v>
                </c:pt>
                <c:pt idx="50">
                  <c:v>#N/A</c:v>
                </c:pt>
                <c:pt idx="51">
                  <c:v>#N/A</c:v>
                </c:pt>
                <c:pt idx="52">
                  <c:v>53.38</c:v>
                </c:pt>
                <c:pt idx="53">
                  <c:v>#N/A</c:v>
                </c:pt>
                <c:pt idx="54">
                  <c:v>#N/A</c:v>
                </c:pt>
                <c:pt idx="55">
                  <c:v>#N/A</c:v>
                </c:pt>
                <c:pt idx="56">
                  <c:v>#N/A</c:v>
                </c:pt>
                <c:pt idx="57">
                  <c:v>#N/A</c:v>
                </c:pt>
                <c:pt idx="58">
                  <c:v>#N/A</c:v>
                </c:pt>
                <c:pt idx="59">
                  <c:v>44.76</c:v>
                </c:pt>
                <c:pt idx="60">
                  <c:v>#N/A</c:v>
                </c:pt>
                <c:pt idx="61">
                  <c:v>#N/A</c:v>
                </c:pt>
                <c:pt idx="62">
                  <c:v>#N/A</c:v>
                </c:pt>
                <c:pt idx="63">
                  <c:v>#N/A</c:v>
                </c:pt>
                <c:pt idx="64">
                  <c:v>#N/A</c:v>
                </c:pt>
                <c:pt idx="65">
                  <c:v>#N/A</c:v>
                </c:pt>
                <c:pt idx="66">
                  <c:v>41.28</c:v>
                </c:pt>
                <c:pt idx="67">
                  <c:v>#N/A</c:v>
                </c:pt>
                <c:pt idx="68">
                  <c:v>#N/A</c:v>
                </c:pt>
                <c:pt idx="69">
                  <c:v>#N/A</c:v>
                </c:pt>
                <c:pt idx="70">
                  <c:v>#N/A</c:v>
                </c:pt>
                <c:pt idx="71">
                  <c:v>#N/A</c:v>
                </c:pt>
                <c:pt idx="72">
                  <c:v>#N/A</c:v>
                </c:pt>
                <c:pt idx="73">
                  <c:v>32.11</c:v>
                </c:pt>
                <c:pt idx="74">
                  <c:v>#N/A</c:v>
                </c:pt>
                <c:pt idx="75">
                  <c:v>#N/A</c:v>
                </c:pt>
                <c:pt idx="76">
                  <c:v>#N/A</c:v>
                </c:pt>
                <c:pt idx="77">
                  <c:v>#N/A</c:v>
                </c:pt>
                <c:pt idx="78">
                  <c:v>#N/A</c:v>
                </c:pt>
                <c:pt idx="79">
                  <c:v>#N/A</c:v>
                </c:pt>
                <c:pt idx="80">
                  <c:v>22.63</c:v>
                </c:pt>
                <c:pt idx="81">
                  <c:v>#N/A</c:v>
                </c:pt>
                <c:pt idx="82">
                  <c:v>#N/A</c:v>
                </c:pt>
                <c:pt idx="83">
                  <c:v>#N/A</c:v>
                </c:pt>
                <c:pt idx="84">
                  <c:v>#N/A</c:v>
                </c:pt>
                <c:pt idx="85">
                  <c:v>#N/A</c:v>
                </c:pt>
                <c:pt idx="86">
                  <c:v>#N/A</c:v>
                </c:pt>
                <c:pt idx="87">
                  <c:v>21.51</c:v>
                </c:pt>
                <c:pt idx="88">
                  <c:v>#N/A</c:v>
                </c:pt>
                <c:pt idx="89">
                  <c:v>#N/A</c:v>
                </c:pt>
                <c:pt idx="90">
                  <c:v>#N/A</c:v>
                </c:pt>
                <c:pt idx="91">
                  <c:v>#N/A</c:v>
                </c:pt>
                <c:pt idx="92">
                  <c:v>#N/A</c:v>
                </c:pt>
                <c:pt idx="93">
                  <c:v>#N/A</c:v>
                </c:pt>
                <c:pt idx="94">
                  <c:v>28.34</c:v>
                </c:pt>
                <c:pt idx="95">
                  <c:v>#N/A</c:v>
                </c:pt>
                <c:pt idx="96">
                  <c:v>#N/A</c:v>
                </c:pt>
                <c:pt idx="97">
                  <c:v>#N/A</c:v>
                </c:pt>
                <c:pt idx="98">
                  <c:v>#N/A</c:v>
                </c:pt>
                <c:pt idx="99">
                  <c:v>#N/A</c:v>
                </c:pt>
                <c:pt idx="100">
                  <c:v>#N/A</c:v>
                </c:pt>
                <c:pt idx="101">
                  <c:v>22.76</c:v>
                </c:pt>
                <c:pt idx="102">
                  <c:v>#N/A</c:v>
                </c:pt>
                <c:pt idx="103">
                  <c:v>#N/A</c:v>
                </c:pt>
                <c:pt idx="104">
                  <c:v>#N/A</c:v>
                </c:pt>
                <c:pt idx="105">
                  <c:v>#N/A</c:v>
                </c:pt>
                <c:pt idx="106">
                  <c:v>#N/A</c:v>
                </c:pt>
                <c:pt idx="107">
                  <c:v>#N/A</c:v>
                </c:pt>
                <c:pt idx="108">
                  <c:v>25.03</c:v>
                </c:pt>
                <c:pt idx="109">
                  <c:v>#N/A</c:v>
                </c:pt>
                <c:pt idx="110">
                  <c:v>#N/A</c:v>
                </c:pt>
                <c:pt idx="111">
                  <c:v>#N/A</c:v>
                </c:pt>
                <c:pt idx="112">
                  <c:v>#N/A</c:v>
                </c:pt>
                <c:pt idx="113">
                  <c:v>#N/A</c:v>
                </c:pt>
                <c:pt idx="114">
                  <c:v>#N/A</c:v>
                </c:pt>
                <c:pt idx="115">
                  <c:v>16.940000000000001</c:v>
                </c:pt>
                <c:pt idx="116">
                  <c:v>#N/A</c:v>
                </c:pt>
                <c:pt idx="117">
                  <c:v>#N/A</c:v>
                </c:pt>
                <c:pt idx="118">
                  <c:v>#N/A</c:v>
                </c:pt>
                <c:pt idx="119">
                  <c:v>#N/A</c:v>
                </c:pt>
                <c:pt idx="120">
                  <c:v>#N/A</c:v>
                </c:pt>
                <c:pt idx="121">
                  <c:v>#N/A</c:v>
                </c:pt>
                <c:pt idx="122">
                  <c:v>22.29</c:v>
                </c:pt>
                <c:pt idx="123">
                  <c:v>#N/A</c:v>
                </c:pt>
                <c:pt idx="124">
                  <c:v>#N/A</c:v>
                </c:pt>
                <c:pt idx="125">
                  <c:v>#N/A</c:v>
                </c:pt>
                <c:pt idx="126">
                  <c:v>#N/A</c:v>
                </c:pt>
                <c:pt idx="127">
                  <c:v>#N/A</c:v>
                </c:pt>
                <c:pt idx="128">
                  <c:v>#N/A</c:v>
                </c:pt>
                <c:pt idx="129">
                  <c:v>26.17</c:v>
                </c:pt>
                <c:pt idx="130">
                  <c:v>#N/A</c:v>
                </c:pt>
                <c:pt idx="131">
                  <c:v>#N/A</c:v>
                </c:pt>
                <c:pt idx="132">
                  <c:v>#N/A</c:v>
                </c:pt>
                <c:pt idx="133">
                  <c:v>#N/A</c:v>
                </c:pt>
                <c:pt idx="134">
                  <c:v>#N/A</c:v>
                </c:pt>
                <c:pt idx="135">
                  <c:v>#N/A</c:v>
                </c:pt>
                <c:pt idx="136">
                  <c:v>29.52</c:v>
                </c:pt>
                <c:pt idx="137">
                  <c:v>#N/A</c:v>
                </c:pt>
                <c:pt idx="138">
                  <c:v>#N/A</c:v>
                </c:pt>
                <c:pt idx="139">
                  <c:v>#N/A</c:v>
                </c:pt>
                <c:pt idx="140">
                  <c:v>#N/A</c:v>
                </c:pt>
                <c:pt idx="141">
                  <c:v>#N/A</c:v>
                </c:pt>
                <c:pt idx="142">
                  <c:v>#N/A</c:v>
                </c:pt>
                <c:pt idx="143">
                  <c:v>33.25</c:v>
                </c:pt>
                <c:pt idx="144">
                  <c:v>#N/A</c:v>
                </c:pt>
                <c:pt idx="145">
                  <c:v>#N/A</c:v>
                </c:pt>
                <c:pt idx="146">
                  <c:v>#N/A</c:v>
                </c:pt>
                <c:pt idx="147">
                  <c:v>#N/A</c:v>
                </c:pt>
                <c:pt idx="148">
                  <c:v>#N/A</c:v>
                </c:pt>
                <c:pt idx="149">
                  <c:v>#N/A</c:v>
                </c:pt>
                <c:pt idx="150">
                  <c:v>35.49</c:v>
                </c:pt>
                <c:pt idx="151">
                  <c:v>#N/A</c:v>
                </c:pt>
                <c:pt idx="152">
                  <c:v>#N/A</c:v>
                </c:pt>
                <c:pt idx="153">
                  <c:v>#N/A</c:v>
                </c:pt>
                <c:pt idx="154">
                  <c:v>#N/A</c:v>
                </c:pt>
                <c:pt idx="155">
                  <c:v>#N/A</c:v>
                </c:pt>
                <c:pt idx="156">
                  <c:v>#N/A</c:v>
                </c:pt>
                <c:pt idx="157">
                  <c:v>39.549999999999997</c:v>
                </c:pt>
                <c:pt idx="158">
                  <c:v>#N/A</c:v>
                </c:pt>
                <c:pt idx="159">
                  <c:v>#N/A</c:v>
                </c:pt>
                <c:pt idx="160">
                  <c:v>#N/A</c:v>
                </c:pt>
                <c:pt idx="161">
                  <c:v>#N/A</c:v>
                </c:pt>
                <c:pt idx="162">
                  <c:v>#N/A</c:v>
                </c:pt>
                <c:pt idx="163">
                  <c:v>#N/A</c:v>
                </c:pt>
                <c:pt idx="164">
                  <c:v>36.26</c:v>
                </c:pt>
                <c:pt idx="165">
                  <c:v>#N/A</c:v>
                </c:pt>
                <c:pt idx="166">
                  <c:v>#N/A</c:v>
                </c:pt>
                <c:pt idx="167">
                  <c:v>#N/A</c:v>
                </c:pt>
                <c:pt idx="168">
                  <c:v>#N/A</c:v>
                </c:pt>
                <c:pt idx="169">
                  <c:v>#N/A</c:v>
                </c:pt>
                <c:pt idx="170">
                  <c:v>#N/A</c:v>
                </c:pt>
                <c:pt idx="171">
                  <c:v>39.83</c:v>
                </c:pt>
                <c:pt idx="172">
                  <c:v>#N/A</c:v>
                </c:pt>
                <c:pt idx="173">
                  <c:v>#N/A</c:v>
                </c:pt>
                <c:pt idx="174">
                  <c:v>#N/A</c:v>
                </c:pt>
                <c:pt idx="175">
                  <c:v>#N/A</c:v>
                </c:pt>
                <c:pt idx="176">
                  <c:v>#N/A</c:v>
                </c:pt>
                <c:pt idx="177">
                  <c:v>#N/A</c:v>
                </c:pt>
                <c:pt idx="178">
                  <c:v>38.49</c:v>
                </c:pt>
                <c:pt idx="179">
                  <c:v>#N/A</c:v>
                </c:pt>
                <c:pt idx="180">
                  <c:v>#N/A</c:v>
                </c:pt>
                <c:pt idx="181">
                  <c:v>#N/A</c:v>
                </c:pt>
                <c:pt idx="182">
                  <c:v>#N/A</c:v>
                </c:pt>
                <c:pt idx="183">
                  <c:v>#N/A</c:v>
                </c:pt>
                <c:pt idx="184">
                  <c:v>#N/A</c:v>
                </c:pt>
                <c:pt idx="185">
                  <c:v>40.65</c:v>
                </c:pt>
                <c:pt idx="186">
                  <c:v>#N/A</c:v>
                </c:pt>
                <c:pt idx="187">
                  <c:v>#N/A</c:v>
                </c:pt>
                <c:pt idx="188">
                  <c:v>#N/A</c:v>
                </c:pt>
                <c:pt idx="189">
                  <c:v>#N/A</c:v>
                </c:pt>
                <c:pt idx="190">
                  <c:v>#N/A</c:v>
                </c:pt>
                <c:pt idx="191">
                  <c:v>#N/A</c:v>
                </c:pt>
                <c:pt idx="192">
                  <c:v>40.549999999999997</c:v>
                </c:pt>
                <c:pt idx="193">
                  <c:v>#N/A</c:v>
                </c:pt>
                <c:pt idx="194">
                  <c:v>#N/A</c:v>
                </c:pt>
                <c:pt idx="195">
                  <c:v>#N/A</c:v>
                </c:pt>
                <c:pt idx="196">
                  <c:v>#N/A</c:v>
                </c:pt>
                <c:pt idx="197">
                  <c:v>#N/A</c:v>
                </c:pt>
                <c:pt idx="198">
                  <c:v>#N/A</c:v>
                </c:pt>
                <c:pt idx="199">
                  <c:v>40.75</c:v>
                </c:pt>
                <c:pt idx="200">
                  <c:v>#N/A</c:v>
                </c:pt>
                <c:pt idx="201">
                  <c:v>#N/A</c:v>
                </c:pt>
                <c:pt idx="202">
                  <c:v>#N/A</c:v>
                </c:pt>
                <c:pt idx="203">
                  <c:v>#N/A</c:v>
                </c:pt>
                <c:pt idx="204">
                  <c:v>#N/A</c:v>
                </c:pt>
                <c:pt idx="205">
                  <c:v>#N/A</c:v>
                </c:pt>
                <c:pt idx="206">
                  <c:v>41.29</c:v>
                </c:pt>
                <c:pt idx="207">
                  <c:v>#N/A</c:v>
                </c:pt>
                <c:pt idx="208">
                  <c:v>#N/A</c:v>
                </c:pt>
                <c:pt idx="209">
                  <c:v>#N/A</c:v>
                </c:pt>
                <c:pt idx="210">
                  <c:v>#N/A</c:v>
                </c:pt>
                <c:pt idx="211">
                  <c:v>#N/A</c:v>
                </c:pt>
                <c:pt idx="212">
                  <c:v>#N/A</c:v>
                </c:pt>
                <c:pt idx="213">
                  <c:v>40.270000000000003</c:v>
                </c:pt>
                <c:pt idx="214">
                  <c:v>#N/A</c:v>
                </c:pt>
                <c:pt idx="215">
                  <c:v>#N/A</c:v>
                </c:pt>
                <c:pt idx="216">
                  <c:v>#N/A</c:v>
                </c:pt>
                <c:pt idx="217">
                  <c:v>#N/A</c:v>
                </c:pt>
                <c:pt idx="218">
                  <c:v>#N/A</c:v>
                </c:pt>
                <c:pt idx="219">
                  <c:v>#N/A</c:v>
                </c:pt>
                <c:pt idx="220">
                  <c:v>#N/A</c:v>
                </c:pt>
                <c:pt idx="221">
                  <c:v>#N/A</c:v>
                </c:pt>
                <c:pt idx="222">
                  <c:v>#N/A</c:v>
                </c:pt>
                <c:pt idx="223">
                  <c:v>#N/A</c:v>
                </c:pt>
                <c:pt idx="224">
                  <c:v>#N/A</c:v>
                </c:pt>
                <c:pt idx="225">
                  <c:v>#N/A</c:v>
                </c:pt>
                <c:pt idx="226">
                  <c:v>#N/A</c:v>
                </c:pt>
                <c:pt idx="227">
                  <c:v>#N/A</c:v>
                </c:pt>
                <c:pt idx="228">
                  <c:v>#N/A</c:v>
                </c:pt>
                <c:pt idx="229">
                  <c:v>#N/A</c:v>
                </c:pt>
                <c:pt idx="230">
                  <c:v>#N/A</c:v>
                </c:pt>
                <c:pt idx="231">
                  <c:v>#N/A</c:v>
                </c:pt>
                <c:pt idx="232">
                  <c:v>#N/A</c:v>
                </c:pt>
                <c:pt idx="233">
                  <c:v>#N/A</c:v>
                </c:pt>
                <c:pt idx="234">
                  <c:v>#N/A</c:v>
                </c:pt>
                <c:pt idx="235">
                  <c:v>#N/A</c:v>
                </c:pt>
                <c:pt idx="236">
                  <c:v>#N/A</c:v>
                </c:pt>
                <c:pt idx="237">
                  <c:v>#N/A</c:v>
                </c:pt>
                <c:pt idx="238">
                  <c:v>#N/A</c:v>
                </c:pt>
                <c:pt idx="239">
                  <c:v>#N/A</c:v>
                </c:pt>
                <c:pt idx="240">
                  <c:v>#N/A</c:v>
                </c:pt>
                <c:pt idx="241">
                  <c:v>#N/A</c:v>
                </c:pt>
                <c:pt idx="242">
                  <c:v>#N/A</c:v>
                </c:pt>
                <c:pt idx="243">
                  <c:v>#N/A</c:v>
                </c:pt>
                <c:pt idx="244">
                  <c:v>#N/A</c:v>
                </c:pt>
                <c:pt idx="245">
                  <c:v>#N/A</c:v>
                </c:pt>
                <c:pt idx="246">
                  <c:v>#N/A</c:v>
                </c:pt>
                <c:pt idx="247">
                  <c:v>#N/A</c:v>
                </c:pt>
                <c:pt idx="248">
                  <c:v>#N/A</c:v>
                </c:pt>
                <c:pt idx="249">
                  <c:v>#N/A</c:v>
                </c:pt>
                <c:pt idx="250">
                  <c:v>#N/A</c:v>
                </c:pt>
                <c:pt idx="251">
                  <c:v>#N/A</c:v>
                </c:pt>
                <c:pt idx="252">
                  <c:v>#N/A</c:v>
                </c:pt>
                <c:pt idx="253">
                  <c:v>#N/A</c:v>
                </c:pt>
                <c:pt idx="254">
                  <c:v>#N/A</c:v>
                </c:pt>
                <c:pt idx="255">
                  <c:v>#N/A</c:v>
                </c:pt>
                <c:pt idx="256">
                  <c:v>#N/A</c:v>
                </c:pt>
                <c:pt idx="257">
                  <c:v>#N/A</c:v>
                </c:pt>
                <c:pt idx="258">
                  <c:v>#N/A</c:v>
                </c:pt>
                <c:pt idx="259">
                  <c:v>#N/A</c:v>
                </c:pt>
                <c:pt idx="260">
                  <c:v>#N/A</c:v>
                </c:pt>
                <c:pt idx="261">
                  <c:v>#N/A</c:v>
                </c:pt>
                <c:pt idx="262">
                  <c:v>#N/A</c:v>
                </c:pt>
                <c:pt idx="263">
                  <c:v>#N/A</c:v>
                </c:pt>
                <c:pt idx="264">
                  <c:v>#N/A</c:v>
                </c:pt>
                <c:pt idx="265">
                  <c:v>#N/A</c:v>
                </c:pt>
                <c:pt idx="266">
                  <c:v>#N/A</c:v>
                </c:pt>
                <c:pt idx="267">
                  <c:v>#N/A</c:v>
                </c:pt>
                <c:pt idx="268">
                  <c:v>#N/A</c:v>
                </c:pt>
                <c:pt idx="269">
                  <c:v>#N/A</c:v>
                </c:pt>
                <c:pt idx="270">
                  <c:v>#N/A</c:v>
                </c:pt>
                <c:pt idx="271">
                  <c:v>#N/A</c:v>
                </c:pt>
                <c:pt idx="272">
                  <c:v>#N/A</c:v>
                </c:pt>
                <c:pt idx="273">
                  <c:v>#N/A</c:v>
                </c:pt>
                <c:pt idx="274">
                  <c:v>#N/A</c:v>
                </c:pt>
                <c:pt idx="275">
                  <c:v>#N/A</c:v>
                </c:pt>
                <c:pt idx="276">
                  <c:v>#N/A</c:v>
                </c:pt>
                <c:pt idx="277">
                  <c:v>#N/A</c:v>
                </c:pt>
                <c:pt idx="278">
                  <c:v>#N/A</c:v>
                </c:pt>
                <c:pt idx="279">
                  <c:v>#N/A</c:v>
                </c:pt>
                <c:pt idx="280">
                  <c:v>#N/A</c:v>
                </c:pt>
                <c:pt idx="281">
                  <c:v>#N/A</c:v>
                </c:pt>
                <c:pt idx="282">
                  <c:v>#N/A</c:v>
                </c:pt>
                <c:pt idx="283">
                  <c:v>#N/A</c:v>
                </c:pt>
                <c:pt idx="284">
                  <c:v>#N/A</c:v>
                </c:pt>
                <c:pt idx="285">
                  <c:v>#N/A</c:v>
                </c:pt>
                <c:pt idx="286">
                  <c:v>#N/A</c:v>
                </c:pt>
                <c:pt idx="287">
                  <c:v>#N/A</c:v>
                </c:pt>
                <c:pt idx="288">
                  <c:v>#N/A</c:v>
                </c:pt>
                <c:pt idx="289">
                  <c:v>#N/A</c:v>
                </c:pt>
                <c:pt idx="290">
                  <c:v>#N/A</c:v>
                </c:pt>
                <c:pt idx="291">
                  <c:v>#N/A</c:v>
                </c:pt>
                <c:pt idx="292">
                  <c:v>#N/A</c:v>
                </c:pt>
                <c:pt idx="293">
                  <c:v>#N/A</c:v>
                </c:pt>
                <c:pt idx="294">
                  <c:v>#N/A</c:v>
                </c:pt>
                <c:pt idx="295">
                  <c:v>#N/A</c:v>
                </c:pt>
                <c:pt idx="296">
                  <c:v>#N/A</c:v>
                </c:pt>
                <c:pt idx="297">
                  <c:v>#N/A</c:v>
                </c:pt>
                <c:pt idx="298">
                  <c:v>#N/A</c:v>
                </c:pt>
                <c:pt idx="299">
                  <c:v>#N/A</c:v>
                </c:pt>
                <c:pt idx="300">
                  <c:v>#N/A</c:v>
                </c:pt>
                <c:pt idx="301">
                  <c:v>#N/A</c:v>
                </c:pt>
                <c:pt idx="302">
                  <c:v>#N/A</c:v>
                </c:pt>
                <c:pt idx="303">
                  <c:v>#N/A</c:v>
                </c:pt>
                <c:pt idx="304">
                  <c:v>#N/A</c:v>
                </c:pt>
                <c:pt idx="305">
                  <c:v>#N/A</c:v>
                </c:pt>
                <c:pt idx="306">
                  <c:v>#N/A</c:v>
                </c:pt>
                <c:pt idx="307">
                  <c:v>#N/A</c:v>
                </c:pt>
                <c:pt idx="308">
                  <c:v>#N/A</c:v>
                </c:pt>
                <c:pt idx="309">
                  <c:v>#N/A</c:v>
                </c:pt>
                <c:pt idx="310">
                  <c:v>#N/A</c:v>
                </c:pt>
                <c:pt idx="311">
                  <c:v>#N/A</c:v>
                </c:pt>
                <c:pt idx="312">
                  <c:v>#N/A</c:v>
                </c:pt>
                <c:pt idx="313">
                  <c:v>#N/A</c:v>
                </c:pt>
                <c:pt idx="314">
                  <c:v>#N/A</c:v>
                </c:pt>
                <c:pt idx="315">
                  <c:v>#N/A</c:v>
                </c:pt>
                <c:pt idx="316">
                  <c:v>#N/A</c:v>
                </c:pt>
                <c:pt idx="317">
                  <c:v>#N/A</c:v>
                </c:pt>
                <c:pt idx="318">
                  <c:v>#N/A</c:v>
                </c:pt>
                <c:pt idx="319">
                  <c:v>#N/A</c:v>
                </c:pt>
                <c:pt idx="320">
                  <c:v>#N/A</c:v>
                </c:pt>
                <c:pt idx="321">
                  <c:v>#N/A</c:v>
                </c:pt>
                <c:pt idx="322">
                  <c:v>#N/A</c:v>
                </c:pt>
                <c:pt idx="323">
                  <c:v>#N/A</c:v>
                </c:pt>
                <c:pt idx="324">
                  <c:v>#N/A</c:v>
                </c:pt>
                <c:pt idx="325">
                  <c:v>#N/A</c:v>
                </c:pt>
                <c:pt idx="326">
                  <c:v>#N/A</c:v>
                </c:pt>
                <c:pt idx="327">
                  <c:v>#N/A</c:v>
                </c:pt>
                <c:pt idx="328">
                  <c:v>#N/A</c:v>
                </c:pt>
                <c:pt idx="329">
                  <c:v>#N/A</c:v>
                </c:pt>
                <c:pt idx="330">
                  <c:v>#N/A</c:v>
                </c:pt>
                <c:pt idx="331">
                  <c:v>#N/A</c:v>
                </c:pt>
                <c:pt idx="332">
                  <c:v>#N/A</c:v>
                </c:pt>
                <c:pt idx="333">
                  <c:v>#N/A</c:v>
                </c:pt>
                <c:pt idx="334">
                  <c:v>#N/A</c:v>
                </c:pt>
                <c:pt idx="335">
                  <c:v>#N/A</c:v>
                </c:pt>
                <c:pt idx="336">
                  <c:v>#N/A</c:v>
                </c:pt>
                <c:pt idx="337">
                  <c:v>#N/A</c:v>
                </c:pt>
                <c:pt idx="338">
                  <c:v>#N/A</c:v>
                </c:pt>
                <c:pt idx="339">
                  <c:v>#N/A</c:v>
                </c:pt>
                <c:pt idx="340">
                  <c:v>#N/A</c:v>
                </c:pt>
                <c:pt idx="341">
                  <c:v>#N/A</c:v>
                </c:pt>
                <c:pt idx="342">
                  <c:v>#N/A</c:v>
                </c:pt>
                <c:pt idx="343">
                  <c:v>#N/A</c:v>
                </c:pt>
                <c:pt idx="344">
                  <c:v>#N/A</c:v>
                </c:pt>
                <c:pt idx="345">
                  <c:v>#N/A</c:v>
                </c:pt>
                <c:pt idx="346">
                  <c:v>#N/A</c:v>
                </c:pt>
                <c:pt idx="347">
                  <c:v>#N/A</c:v>
                </c:pt>
                <c:pt idx="348">
                  <c:v>#N/A</c:v>
                </c:pt>
                <c:pt idx="349">
                  <c:v>#N/A</c:v>
                </c:pt>
                <c:pt idx="350">
                  <c:v>#N/A</c:v>
                </c:pt>
                <c:pt idx="351">
                  <c:v>#N/A</c:v>
                </c:pt>
                <c:pt idx="352">
                  <c:v>#N/A</c:v>
                </c:pt>
                <c:pt idx="353">
                  <c:v>#N/A</c:v>
                </c:pt>
                <c:pt idx="354">
                  <c:v>#N/A</c:v>
                </c:pt>
                <c:pt idx="355">
                  <c:v>#N/A</c:v>
                </c:pt>
                <c:pt idx="356">
                  <c:v>#N/A</c:v>
                </c:pt>
                <c:pt idx="357">
                  <c:v>#N/A</c:v>
                </c:pt>
                <c:pt idx="358">
                  <c:v>#N/A</c:v>
                </c:pt>
                <c:pt idx="359">
                  <c:v>#N/A</c:v>
                </c:pt>
                <c:pt idx="360">
                  <c:v>#N/A</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1-CB48-4FA9-A7F4-C893556A9C11}"/>
            </c:ext>
          </c:extLst>
        </c:ser>
        <c:dLbls>
          <c:showLegendKey val="0"/>
          <c:showVal val="0"/>
          <c:showCatName val="0"/>
          <c:showSerName val="0"/>
          <c:showPercent val="0"/>
          <c:showBubbleSize val="0"/>
        </c:dLbls>
        <c:marker val="1"/>
        <c:smooth val="0"/>
        <c:axId val="274140160"/>
        <c:axId val="274141952"/>
      </c:lineChart>
      <c:dateAx>
        <c:axId val="274140160"/>
        <c:scaling>
          <c:orientation val="minMax"/>
        </c:scaling>
        <c:delete val="0"/>
        <c:axPos val="b"/>
        <c:numFmt formatCode="m" sourceLinked="0"/>
        <c:majorTickMark val="out"/>
        <c:minorTickMark val="out"/>
        <c:tickLblPos val="low"/>
        <c:spPr>
          <a:ln w="3175">
            <a:solidFill>
              <a:sysClr val="windowText" lastClr="000000"/>
            </a:solidFill>
            <a:prstDash val="solid"/>
          </a:ln>
        </c:spPr>
        <c:txPr>
          <a:bodyPr rot="0" vert="horz"/>
          <a:lstStyle/>
          <a:p>
            <a:pPr>
              <a:defRPr sz="700">
                <a:latin typeface="Arial Narrow" panose="020B0606020202030204" pitchFamily="34" charset="0"/>
              </a:defRPr>
            </a:pPr>
            <a:endParaRPr lang="zh-CN"/>
          </a:p>
        </c:txPr>
        <c:crossAx val="274141952"/>
        <c:crosses val="autoZero"/>
        <c:auto val="0"/>
        <c:lblOffset val="0"/>
        <c:baseTimeUnit val="days"/>
        <c:majorUnit val="1"/>
        <c:majorTimeUnit val="months"/>
      </c:dateAx>
      <c:valAx>
        <c:axId val="274141952"/>
        <c:scaling>
          <c:orientation val="minMax"/>
          <c:min val="15"/>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sz="700">
                <a:solidFill>
                  <a:schemeClr val="tx1"/>
                </a:solidFill>
                <a:latin typeface="Arial Narrow" panose="020B0606020202030204" pitchFamily="34" charset="0"/>
              </a:defRPr>
            </a:pPr>
            <a:endParaRPr lang="zh-CN"/>
          </a:p>
        </c:txPr>
        <c:crossAx val="274140160"/>
        <c:crosses val="autoZero"/>
        <c:crossBetween val="between"/>
      </c:valAx>
    </c:plotArea>
    <c:legend>
      <c:legendPos val="r"/>
      <c:layout>
        <c:manualLayout>
          <c:xMode val="edge"/>
          <c:yMode val="edge"/>
          <c:x val="0.15225"/>
          <c:y val="2.3337707786526686E-3"/>
          <c:w val="0.690571084864392"/>
          <c:h val="5.8071230679498403E-2"/>
        </c:manualLayout>
      </c:layout>
      <c:overlay val="0"/>
      <c:spPr>
        <a:noFill/>
        <a:ln w="3175">
          <a:noFill/>
          <a:prstDash val="solid"/>
        </a:ln>
      </c:spPr>
      <c:txPr>
        <a:bodyPr/>
        <a:lstStyle/>
        <a:p>
          <a:pPr>
            <a:defRPr sz="700" b="0">
              <a:latin typeface="华文楷体" panose="02010600040101010101" pitchFamily="2" charset="-122"/>
              <a:ea typeface="华文楷体" panose="02010600040101010101" pitchFamily="2" charset="-122"/>
            </a:defRPr>
          </a:pPr>
          <a:endParaRPr lang="zh-CN"/>
        </a:p>
      </c:txPr>
    </c:legend>
    <c:plotVisOnly val="1"/>
    <c:dispBlanksAs val="span"/>
    <c:showDLblsOverMax val="0"/>
  </c:chart>
  <c:spPr>
    <a:ln>
      <a:noFill/>
    </a:ln>
  </c:spPr>
  <c:txPr>
    <a:bodyPr/>
    <a:lstStyle/>
    <a:p>
      <a:pPr>
        <a:defRPr sz="10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drawings/drawing1.xml><?xml version="1.0" encoding="utf-8"?>
<c:userShapes xmlns:c="http://schemas.openxmlformats.org/drawingml/2006/chart">
  <cdr:relSizeAnchor xmlns:cdr="http://schemas.openxmlformats.org/drawingml/2006/chartDrawing">
    <cdr:from>
      <cdr:x>0.02904</cdr:x>
      <cdr:y>0</cdr:y>
    </cdr:from>
    <cdr:to>
      <cdr:x>0.08658</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87085" y="-1083129"/>
          <a:ext cx="172569" cy="130646"/>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BP</a:t>
          </a:r>
          <a:endParaRPr lang="zh-CN" altLang="en-US" sz="10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dr:relSizeAnchor xmlns:cdr="http://schemas.openxmlformats.org/drawingml/2006/chartDrawing">
    <cdr:from>
      <cdr:x>0.94246</cdr:x>
      <cdr:y>0</cdr:y>
    </cdr:from>
    <cdr:to>
      <cdr:x>1</cdr:x>
      <cdr:y>0.08333</cdr:y>
    </cdr:to>
    <cdr:sp macro="" textlink="">
      <cdr:nvSpPr>
        <cdr:cNvPr id="7" name="Text Box 1">
          <a:extLst xmlns:a="http://schemas.openxmlformats.org/drawingml/2006/main">
            <a:ext uri="{FF2B5EF4-FFF2-40B4-BE49-F238E27FC236}">
              <a16:creationId xmlns="" xmlns:a16="http://schemas.microsoft.com/office/drawing/2014/main" id="{5B0F0180-5CCA-4817-93EB-22F610D6EE79}"/>
            </a:ext>
          </a:extLst>
        </cdr:cNvPr>
        <cdr:cNvSpPr txBox="1">
          <a:spLocks xmlns:a="http://schemas.openxmlformats.org/drawingml/2006/main" noChangeArrowheads="1"/>
        </cdr:cNvSpPr>
      </cdr:nvSpPr>
      <cdr:spPr bwMode="auto">
        <a:xfrm xmlns:a="http://schemas.openxmlformats.org/drawingml/2006/main">
          <a:off x="4308929"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wrap="square" lIns="0" tIns="0" rIns="0" bIns="0" anchor="t" upright="1"/>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l"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BP</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dr:relSizeAnchor xmlns:cdr="http://schemas.openxmlformats.org/drawingml/2006/chartDrawing">
    <cdr:from>
      <cdr:x>0.94246</cdr:x>
      <cdr:y>0</cdr:y>
    </cdr:from>
    <cdr:to>
      <cdr:x>1</cdr:x>
      <cdr:y>0.08333</cdr:y>
    </cdr:to>
    <cdr:sp macro="" textlink="">
      <cdr:nvSpPr>
        <cdr:cNvPr id="7" name="Text Box 1">
          <a:extLst xmlns:a="http://schemas.openxmlformats.org/drawingml/2006/main">
            <a:ext uri="{FF2B5EF4-FFF2-40B4-BE49-F238E27FC236}">
              <a16:creationId xmlns="" xmlns:a16="http://schemas.microsoft.com/office/drawing/2014/main" id="{5B0F0180-5CCA-4817-93EB-22F610D6EE79}"/>
            </a:ext>
          </a:extLst>
        </cdr:cNvPr>
        <cdr:cNvSpPr txBox="1">
          <a:spLocks xmlns:a="http://schemas.openxmlformats.org/drawingml/2006/main" noChangeArrowheads="1"/>
        </cdr:cNvSpPr>
      </cdr:nvSpPr>
      <cdr:spPr bwMode="auto">
        <a:xfrm xmlns:a="http://schemas.openxmlformats.org/drawingml/2006/main">
          <a:off x="4308929"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wrap="square" lIns="0" tIns="0" rIns="0" bIns="0" anchor="t" upright="1"/>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l"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zh-CN" altLang="en-US" sz="700" b="0" i="0" u="none" strike="noStrike" baseline="0">
              <a:solidFill>
                <a:srgbClr val="000000"/>
              </a:solidFill>
              <a:latin typeface="楷体" panose="02010609060101010101" pitchFamily="49" charset="-122"/>
              <a:ea typeface="楷体" panose="02010609060101010101" pitchFamily="49" charset="-122"/>
            </a:rPr>
            <a:t>万吨</a:t>
          </a:r>
        </a:p>
      </cdr:txBody>
    </cdr:sp>
  </cdr:relSizeAnchor>
</c:userShapes>
</file>

<file path=word/drawings/drawing5.xml><?xml version="1.0" encoding="utf-8"?>
<c:userShapes xmlns:c="http://schemas.openxmlformats.org/drawingml/2006/chart">
  <cdr:relSizeAnchor xmlns:cdr="http://schemas.openxmlformats.org/drawingml/2006/chartDrawing">
    <cdr:from>
      <cdr:x>0</cdr:x>
      <cdr:y>3.64538E-7</cdr:y>
    </cdr:from>
    <cdr:to>
      <cdr:x>0.10119</cdr:x>
      <cdr:y>0.08168</cdr:y>
    </cdr:to>
    <cdr:sp macro="" textlink="">
      <cdr:nvSpPr>
        <cdr:cNvPr id="5" name="Text Box 1"/>
        <cdr:cNvSpPr txBox="1">
          <a:spLocks xmlns:a="http://schemas.openxmlformats.org/drawingml/2006/main" noChangeArrowheads="1"/>
        </cdr:cNvSpPr>
      </cdr:nvSpPr>
      <cdr:spPr bwMode="auto">
        <a:xfrm xmlns:a="http://schemas.openxmlformats.org/drawingml/2006/main">
          <a:off x="0" y="1"/>
          <a:ext cx="462642" cy="224064"/>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zh-CN" altLang="en-US" sz="700" b="0" i="0" u="none" strike="noStrike" baseline="0">
              <a:solidFill>
                <a:srgbClr val="000000"/>
              </a:solidFill>
              <a:latin typeface="楷体" panose="02010609060101010101" pitchFamily="49" charset="-122"/>
              <a:ea typeface="楷体" panose="02010609060101010101" pitchFamily="49" charset="-122"/>
            </a:rPr>
            <a:t>美元</a:t>
          </a:r>
          <a:r>
            <a:rPr lang="en-US" altLang="zh-CN" sz="700" b="0" i="0" u="none" strike="noStrike" baseline="0">
              <a:solidFill>
                <a:srgbClr val="000000"/>
              </a:solidFill>
              <a:latin typeface="楷体" panose="02010609060101010101" pitchFamily="49" charset="-122"/>
              <a:ea typeface="楷体" panose="02010609060101010101" pitchFamily="49" charset="-122"/>
            </a:rPr>
            <a:t>/</a:t>
          </a:r>
          <a:r>
            <a:rPr lang="zh-CN" altLang="en-US" sz="700" b="0" i="0" u="none" strike="noStrike" baseline="0">
              <a:solidFill>
                <a:srgbClr val="000000"/>
              </a:solidFill>
              <a:latin typeface="楷体" panose="02010609060101010101" pitchFamily="49" charset="-122"/>
              <a:ea typeface="楷体" panose="02010609060101010101" pitchFamily="49" charset="-122"/>
            </a:rPr>
            <a:t>桶</a:t>
          </a:r>
        </a:p>
      </cdr:txBody>
    </cdr:sp>
  </cdr:relSizeAnchor>
</c:userShap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5.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6.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7.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8.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9.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110D77F-E8DE-421F-AAAF-3F36D51A9D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7</Pages>
  <Words>772</Words>
  <Characters>4406</Characters>
  <Application>Microsoft Office Word</Application>
  <DocSecurity>0</DocSecurity>
  <Lines>36</Lines>
  <Paragraphs>10</Paragraphs>
  <ScaleCrop>false</ScaleCrop>
  <Company>Microsoft</Company>
  <LinksUpToDate>false</LinksUpToDate>
  <CharactersWithSpaces>5168</CharactersWithSpaces>
  <SharedDoc>false</SharedDoc>
  <HLinks>
    <vt:vector size="6" baseType="variant">
      <vt:variant>
        <vt:i4>5767249</vt:i4>
      </vt:variant>
      <vt:variant>
        <vt:i4>0</vt:i4>
      </vt:variant>
      <vt:variant>
        <vt:i4>0</vt:i4>
      </vt:variant>
      <vt:variant>
        <vt:i4>5</vt:i4>
      </vt:variant>
      <vt:variant>
        <vt:lpwstr>http://180.96.8.44/SmartReaderWeb/SmartReader/?type=1&amp;id=451784584&amp;fav=1</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User</dc:title>
  <dc:subject/>
  <dc:creator>钱伟</dc:creator>
  <cp:keywords/>
  <dc:description/>
  <cp:lastModifiedBy>Administrator</cp:lastModifiedBy>
  <cp:revision>6</cp:revision>
  <cp:lastPrinted>2019-06-26T06:05:00Z</cp:lastPrinted>
  <dcterms:created xsi:type="dcterms:W3CDTF">2020-08-02T07:19:00Z</dcterms:created>
  <dcterms:modified xsi:type="dcterms:W3CDTF">2020-08-03T02:56:00Z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2052-8.1.0.3477</vt:lpwstr>
  </property>
</Properties>
</file>