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54346226" w:rsidR="002C4C07" w:rsidRPr="00EF6393" w:rsidRDefault="002C4C07" w:rsidP="002C4C07">
      <w:pPr>
        <w:jc w:val="center"/>
        <w:rPr>
          <w:b/>
        </w:rPr>
      </w:pPr>
      <w:r w:rsidRPr="00EF6393">
        <w:rPr>
          <w:rFonts w:hint="eastAsia"/>
          <w:b/>
        </w:rPr>
        <w:t>富荣量化周观察——</w:t>
      </w:r>
      <w:r w:rsidR="00306287">
        <w:rPr>
          <w:rFonts w:hint="eastAsia"/>
          <w:b/>
        </w:rPr>
        <w:t>维持震荡</w:t>
      </w:r>
    </w:p>
    <w:p w14:paraId="3B072DAF" w14:textId="77777777" w:rsidR="00900D24" w:rsidRDefault="00900D24" w:rsidP="00900D24"/>
    <w:p w14:paraId="6A6EA97C" w14:textId="77777777" w:rsidR="009A4F5B" w:rsidRDefault="00900D24" w:rsidP="00CA47A2">
      <w:pPr>
        <w:ind w:firstLineChars="200" w:firstLine="480"/>
      </w:pPr>
      <w:r>
        <w:rPr>
          <w:rFonts w:hint="eastAsia"/>
        </w:rPr>
        <w:t>上一周市场大幅回撤后，本周虽然有较多外部因素扰动，但是指数最终震荡上行，给上周五市场大跌带来情绪上的修复。从市场表现来看，创业板指涨幅居</w:t>
      </w:r>
      <w:proofErr w:type="gramStart"/>
      <w:r>
        <w:rPr>
          <w:rFonts w:hint="eastAsia"/>
        </w:rPr>
        <w:t>各宽基指数</w:t>
      </w:r>
      <w:proofErr w:type="gramEnd"/>
      <w:r>
        <w:rPr>
          <w:rFonts w:hint="eastAsia"/>
        </w:rPr>
        <w:t>之首，其中上证综指涨幅3.54%，上证50涨幅2.88%，沪深300涨幅4.2%，中证500指上涨4.71%，创业板指上涨6.38%，</w:t>
      </w:r>
      <w:proofErr w:type="gramStart"/>
      <w:r>
        <w:rPr>
          <w:rFonts w:hint="eastAsia"/>
        </w:rPr>
        <w:t>科创</w:t>
      </w:r>
      <w:proofErr w:type="gramEnd"/>
      <w:r>
        <w:rPr>
          <w:rFonts w:hint="eastAsia"/>
        </w:rPr>
        <w:t>50指数涨幅8.90%</w:t>
      </w:r>
      <w:r w:rsidR="009A4F5B">
        <w:rPr>
          <w:rFonts w:hint="eastAsia"/>
        </w:rPr>
        <w:t>。</w:t>
      </w:r>
    </w:p>
    <w:p w14:paraId="088FBA35" w14:textId="3268D6F6" w:rsidR="009A4F5B" w:rsidRDefault="00900D24" w:rsidP="00CA47A2">
      <w:pPr>
        <w:ind w:firstLineChars="200" w:firstLine="480"/>
      </w:pPr>
      <w:r>
        <w:rPr>
          <w:rFonts w:hint="eastAsia"/>
        </w:rPr>
        <w:t>从多因子表现来看，</w:t>
      </w:r>
      <w:r w:rsidR="00CA47A2">
        <w:rPr>
          <w:rFonts w:hint="eastAsia"/>
        </w:rPr>
        <w:t>全</w:t>
      </w:r>
      <w:r>
        <w:rPr>
          <w:rFonts w:hint="eastAsia"/>
        </w:rPr>
        <w:t>市场表现出小市值效应，</w:t>
      </w:r>
      <w:r w:rsidR="00CA47A2">
        <w:rPr>
          <w:rFonts w:hint="eastAsia"/>
        </w:rPr>
        <w:t>估值因子继续震荡修复，盈利、成长等因子依然是表现最好的因子。</w:t>
      </w:r>
    </w:p>
    <w:p w14:paraId="7B0B6ED6" w14:textId="77777777" w:rsidR="009A4F5B" w:rsidRDefault="00CA47A2" w:rsidP="00CA47A2">
      <w:pPr>
        <w:ind w:firstLineChars="200" w:firstLine="480"/>
      </w:pPr>
      <w:r>
        <w:rPr>
          <w:rFonts w:hint="eastAsia"/>
        </w:rPr>
        <w:t>从期货市场来看，</w:t>
      </w:r>
      <w:r w:rsidRPr="00CA47A2">
        <w:rPr>
          <w:rFonts w:hint="eastAsia"/>
        </w:rPr>
        <w:t>本周IF当月合约上涨4.01%，收于4659.60，</w:t>
      </w:r>
      <w:proofErr w:type="gramStart"/>
      <w:r w:rsidRPr="00CA47A2">
        <w:rPr>
          <w:rFonts w:hint="eastAsia"/>
        </w:rPr>
        <w:t>收盘基差</w:t>
      </w:r>
      <w:proofErr w:type="gramEnd"/>
      <w:r w:rsidRPr="00CA47A2">
        <w:rPr>
          <w:rFonts w:hint="eastAsia"/>
        </w:rPr>
        <w:t>-0.75%；IH当月合约上涨2.54%，收于3233.20，</w:t>
      </w:r>
      <w:proofErr w:type="gramStart"/>
      <w:r w:rsidRPr="00CA47A2">
        <w:rPr>
          <w:rFonts w:hint="eastAsia"/>
        </w:rPr>
        <w:t>收盘基差</w:t>
      </w:r>
      <w:proofErr w:type="gramEnd"/>
      <w:r w:rsidRPr="00CA47A2">
        <w:rPr>
          <w:rFonts w:hint="eastAsia"/>
        </w:rPr>
        <w:t>-0.50%；IC当月合约上涨4.77%，收于6516.00，</w:t>
      </w:r>
      <w:proofErr w:type="gramStart"/>
      <w:r w:rsidRPr="00CA47A2">
        <w:rPr>
          <w:rFonts w:hint="eastAsia"/>
        </w:rPr>
        <w:t>收盘基差</w:t>
      </w:r>
      <w:proofErr w:type="gramEnd"/>
      <w:r w:rsidRPr="00CA47A2">
        <w:rPr>
          <w:rFonts w:hint="eastAsia"/>
        </w:rPr>
        <w:t>-0.97%。</w:t>
      </w:r>
    </w:p>
    <w:p w14:paraId="7FEE5D8C" w14:textId="7DCE481B" w:rsidR="009A4F5B" w:rsidRDefault="00CA47A2" w:rsidP="00CA47A2">
      <w:pPr>
        <w:ind w:firstLineChars="200" w:firstLine="480"/>
      </w:pPr>
      <w:r>
        <w:rPr>
          <w:rFonts w:hint="eastAsia"/>
        </w:rPr>
        <w:t>从期权市场</w:t>
      </w:r>
      <w:r w:rsidR="009A4F5B">
        <w:rPr>
          <w:rFonts w:hint="eastAsia"/>
        </w:rPr>
        <w:t>成交来看，本</w:t>
      </w:r>
      <w:r w:rsidR="009A4F5B" w:rsidRPr="009A4F5B">
        <w:rPr>
          <w:rFonts w:hint="eastAsia"/>
        </w:rPr>
        <w:t>周50ETF期权、上交所300ETF期权、深交所300ETF</w:t>
      </w:r>
      <w:proofErr w:type="gramStart"/>
      <w:r w:rsidR="009A4F5B" w:rsidRPr="009A4F5B">
        <w:rPr>
          <w:rFonts w:hint="eastAsia"/>
        </w:rPr>
        <w:t>期权日均</w:t>
      </w:r>
      <w:proofErr w:type="gramEnd"/>
      <w:r w:rsidR="009A4F5B" w:rsidRPr="009A4F5B">
        <w:rPr>
          <w:rFonts w:hint="eastAsia"/>
        </w:rPr>
        <w:t>成交量分别为187万张、202万张及33</w:t>
      </w:r>
      <w:r w:rsidR="009A4F5B">
        <w:rPr>
          <w:rFonts w:hint="eastAsia"/>
        </w:rPr>
        <w:t>万张，较上</w:t>
      </w:r>
      <w:r w:rsidR="009A4F5B" w:rsidRPr="009A4F5B">
        <w:rPr>
          <w:rFonts w:hint="eastAsia"/>
        </w:rPr>
        <w:t>周分别下降33.9%、25.2%、32.8%。</w:t>
      </w:r>
      <w:proofErr w:type="gramStart"/>
      <w:r w:rsidR="009A4F5B" w:rsidRPr="009A4F5B">
        <w:rPr>
          <w:rFonts w:hint="eastAsia"/>
        </w:rPr>
        <w:t>期权日</w:t>
      </w:r>
      <w:proofErr w:type="gramEnd"/>
      <w:r w:rsidR="009A4F5B" w:rsidRPr="009A4F5B">
        <w:rPr>
          <w:rFonts w:hint="eastAsia"/>
        </w:rPr>
        <w:t>终持仓量</w:t>
      </w:r>
      <w:r w:rsidR="009A4F5B">
        <w:rPr>
          <w:rFonts w:hint="eastAsia"/>
        </w:rPr>
        <w:t>继续</w:t>
      </w:r>
      <w:r w:rsidR="009A4F5B" w:rsidRPr="009A4F5B">
        <w:rPr>
          <w:rFonts w:hint="eastAsia"/>
        </w:rPr>
        <w:t>上升，目前分别为254万张、206万张、52万张。</w:t>
      </w:r>
    </w:p>
    <w:p w14:paraId="5E339164" w14:textId="665A0350" w:rsidR="00900D24" w:rsidRDefault="009A4F5B" w:rsidP="00CA47A2">
      <w:pPr>
        <w:ind w:firstLineChars="200" w:firstLine="480"/>
      </w:pPr>
      <w:r>
        <w:rPr>
          <w:rFonts w:hint="eastAsia"/>
        </w:rPr>
        <w:t>从期权市场</w:t>
      </w:r>
      <w:r w:rsidR="00CA47A2">
        <w:rPr>
          <w:rFonts w:hint="eastAsia"/>
        </w:rPr>
        <w:t>提取的隐含波动率来看，本周隐含波动</w:t>
      </w:r>
      <w:proofErr w:type="gramStart"/>
      <w:r w:rsidR="00CA47A2">
        <w:rPr>
          <w:rFonts w:hint="eastAsia"/>
        </w:rPr>
        <w:t>率整体</w:t>
      </w:r>
      <w:proofErr w:type="gramEnd"/>
      <w:r w:rsidR="00CA47A2">
        <w:rPr>
          <w:rFonts w:hint="eastAsia"/>
        </w:rPr>
        <w:t>变化不大，维持在30%左右。隐含波动率虽然整体变化不大，但是现货市场的已实现波动率较大，同时外环境不确定性较大，期权市场做空波动率的投资者也不敢大幅加仓。如果中美对抗没有超越预期的情况出现，那么市场将会逐渐脱敏，这样未来的市场的波动率可能会逐步下降，那么跨式空头，</w:t>
      </w:r>
      <w:proofErr w:type="gramStart"/>
      <w:r w:rsidR="00CA47A2">
        <w:rPr>
          <w:rFonts w:hint="eastAsia"/>
        </w:rPr>
        <w:t>宽跨式空头等</w:t>
      </w:r>
      <w:proofErr w:type="gramEnd"/>
      <w:r w:rsidR="00CA47A2">
        <w:rPr>
          <w:rFonts w:hint="eastAsia"/>
        </w:rPr>
        <w:t>策略可以暴露负</w:t>
      </w:r>
      <w:proofErr w:type="spellStart"/>
      <w:r w:rsidR="00CA47A2">
        <w:rPr>
          <w:rFonts w:hint="eastAsia"/>
        </w:rPr>
        <w:t>vega</w:t>
      </w:r>
      <w:proofErr w:type="spellEnd"/>
      <w:r w:rsidR="00CA47A2">
        <w:rPr>
          <w:rFonts w:hint="eastAsia"/>
        </w:rPr>
        <w:t>获利。</w:t>
      </w:r>
      <w:r>
        <w:rPr>
          <w:rFonts w:hint="eastAsia"/>
        </w:rPr>
        <w:t>目前市场的波动率依然偏高，如果采用空</w:t>
      </w:r>
      <w:proofErr w:type="spellStart"/>
      <w:r>
        <w:rPr>
          <w:rFonts w:hint="eastAsia"/>
        </w:rPr>
        <w:t>vega</w:t>
      </w:r>
      <w:proofErr w:type="spellEnd"/>
      <w:r>
        <w:rPr>
          <w:rFonts w:hint="eastAsia"/>
        </w:rPr>
        <w:t>的策略，那么一定要控制住</w:t>
      </w:r>
      <w:proofErr w:type="gramStart"/>
      <w:r>
        <w:rPr>
          <w:rFonts w:hint="eastAsia"/>
        </w:rPr>
        <w:t>仓位</w:t>
      </w:r>
      <w:proofErr w:type="gramEnd"/>
      <w:r>
        <w:rPr>
          <w:rFonts w:hint="eastAsia"/>
        </w:rPr>
        <w:t>，如果担心已实现波动率较高带来的风险，那么可以采用价差组合布局，降低波动率偏高带来的成本问题。</w:t>
      </w:r>
    </w:p>
    <w:p w14:paraId="26A7A5C8" w14:textId="300E9495" w:rsidR="009A4F5B" w:rsidRDefault="0012560C" w:rsidP="00CA47A2">
      <w:pPr>
        <w:ind w:firstLineChars="200" w:firstLine="480"/>
        <w:rPr>
          <w:rFonts w:hint="eastAsia"/>
        </w:rPr>
      </w:pPr>
      <w:r>
        <w:rPr>
          <w:rFonts w:hint="eastAsia"/>
        </w:rPr>
        <w:t>根据本周现货市场以及期货、期权市场和各因子收益来看，我们认为市场8月大概率会维持震荡状态，投资者可以保持耐心。</w:t>
      </w:r>
    </w:p>
    <w:p w14:paraId="56CD5F0E" w14:textId="77777777" w:rsidR="008A7B53" w:rsidRDefault="008A7B53" w:rsidP="00CA47A2">
      <w:pPr>
        <w:ind w:firstLineChars="200" w:firstLine="480"/>
        <w:rPr>
          <w:rFonts w:hint="eastAsia"/>
        </w:rPr>
      </w:pPr>
    </w:p>
    <w:p w14:paraId="1FC471E2" w14:textId="215D8243" w:rsidR="008A7B53" w:rsidRPr="008A7B53" w:rsidRDefault="008A7B53" w:rsidP="00CA47A2">
      <w:pPr>
        <w:ind w:firstLineChars="200" w:firstLine="480"/>
      </w:pPr>
      <w:r w:rsidRPr="008A7B53">
        <w:rPr>
          <w:rFonts w:hint="eastAsia"/>
        </w:rPr>
        <w:t>风险提示：</w:t>
      </w:r>
      <w:r w:rsidRPr="008A7B53">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w:t>
      </w:r>
      <w:r w:rsidRPr="008A7B53">
        <w:lastRenderedPageBreak/>
        <w:t>本报告仅反映发布时的资料、观点和预测，可能在随后会</w:t>
      </w:r>
      <w:proofErr w:type="gramStart"/>
      <w:r w:rsidRPr="008A7B53">
        <w:t>作出</w:t>
      </w:r>
      <w:proofErr w:type="gramEnd"/>
      <w:r w:rsidRPr="008A7B53">
        <w:t>调整。2、本报告中的资料、观点和预测等仅供参考，在任何时候均不构成对任何人的个人推荐。市场有风险，投资需谨慎。</w:t>
      </w:r>
      <w:bookmarkStart w:id="0" w:name="_GoBack"/>
      <w:bookmarkEnd w:id="0"/>
    </w:p>
    <w:sectPr w:rsidR="008A7B53" w:rsidRPr="008A7B5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43B594" w14:textId="77777777" w:rsidR="00A20B0A" w:rsidRDefault="00A20B0A" w:rsidP="002C4C07">
      <w:pPr>
        <w:spacing w:line="240" w:lineRule="auto"/>
      </w:pPr>
      <w:r>
        <w:separator/>
      </w:r>
    </w:p>
  </w:endnote>
  <w:endnote w:type="continuationSeparator" w:id="0">
    <w:p w14:paraId="132457CA" w14:textId="77777777" w:rsidR="00A20B0A" w:rsidRDefault="00A20B0A"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4EFE79" w14:textId="77777777" w:rsidR="00A20B0A" w:rsidRDefault="00A20B0A" w:rsidP="002C4C07">
      <w:pPr>
        <w:spacing w:line="240" w:lineRule="auto"/>
      </w:pPr>
      <w:r>
        <w:separator/>
      </w:r>
    </w:p>
  </w:footnote>
  <w:footnote w:type="continuationSeparator" w:id="0">
    <w:p w14:paraId="29654A5A" w14:textId="77777777" w:rsidR="00A20B0A" w:rsidRDefault="00A20B0A"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2560C"/>
    <w:rsid w:val="001867FC"/>
    <w:rsid w:val="001D19B6"/>
    <w:rsid w:val="001D6061"/>
    <w:rsid w:val="0020342A"/>
    <w:rsid w:val="002062DE"/>
    <w:rsid w:val="002129BA"/>
    <w:rsid w:val="002A093A"/>
    <w:rsid w:val="002B15CF"/>
    <w:rsid w:val="002C4C07"/>
    <w:rsid w:val="002C7EF7"/>
    <w:rsid w:val="002D362E"/>
    <w:rsid w:val="002E17CD"/>
    <w:rsid w:val="00306287"/>
    <w:rsid w:val="00374124"/>
    <w:rsid w:val="00386B38"/>
    <w:rsid w:val="00386DFB"/>
    <w:rsid w:val="003D637F"/>
    <w:rsid w:val="003F6050"/>
    <w:rsid w:val="00454A3A"/>
    <w:rsid w:val="004E1AF1"/>
    <w:rsid w:val="004E3614"/>
    <w:rsid w:val="00525A53"/>
    <w:rsid w:val="005A2D48"/>
    <w:rsid w:val="005C4905"/>
    <w:rsid w:val="006965D2"/>
    <w:rsid w:val="006B1D85"/>
    <w:rsid w:val="006C7CF6"/>
    <w:rsid w:val="006E2C43"/>
    <w:rsid w:val="006E639C"/>
    <w:rsid w:val="0073379B"/>
    <w:rsid w:val="00756EC7"/>
    <w:rsid w:val="007D5907"/>
    <w:rsid w:val="007F6A29"/>
    <w:rsid w:val="00830122"/>
    <w:rsid w:val="00830C71"/>
    <w:rsid w:val="008540B7"/>
    <w:rsid w:val="008916E0"/>
    <w:rsid w:val="00893C6A"/>
    <w:rsid w:val="008A74C1"/>
    <w:rsid w:val="008A7B53"/>
    <w:rsid w:val="008B1754"/>
    <w:rsid w:val="008B27E8"/>
    <w:rsid w:val="00900D24"/>
    <w:rsid w:val="00907C93"/>
    <w:rsid w:val="00987C63"/>
    <w:rsid w:val="009953B9"/>
    <w:rsid w:val="009A4F5B"/>
    <w:rsid w:val="009D02A8"/>
    <w:rsid w:val="00A07990"/>
    <w:rsid w:val="00A20B0A"/>
    <w:rsid w:val="00A51293"/>
    <w:rsid w:val="00A61347"/>
    <w:rsid w:val="00A90927"/>
    <w:rsid w:val="00B233B9"/>
    <w:rsid w:val="00B82632"/>
    <w:rsid w:val="00B91093"/>
    <w:rsid w:val="00BA3587"/>
    <w:rsid w:val="00BA72C2"/>
    <w:rsid w:val="00BC61FC"/>
    <w:rsid w:val="00BD6BA1"/>
    <w:rsid w:val="00C24E54"/>
    <w:rsid w:val="00CA47A2"/>
    <w:rsid w:val="00CD5494"/>
    <w:rsid w:val="00CD673E"/>
    <w:rsid w:val="00D055BF"/>
    <w:rsid w:val="00D46833"/>
    <w:rsid w:val="00DD21CB"/>
    <w:rsid w:val="00DD2E6A"/>
    <w:rsid w:val="00DF6F9A"/>
    <w:rsid w:val="00E86C8A"/>
    <w:rsid w:val="00E87750"/>
    <w:rsid w:val="00EF2A7A"/>
    <w:rsid w:val="00F13186"/>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144</Words>
  <Characters>826</Characters>
  <Application>Microsoft Office Word</Application>
  <DocSecurity>0</DocSecurity>
  <Lines>6</Lines>
  <Paragraphs>1</Paragraphs>
  <ScaleCrop>false</ScaleCrop>
  <Company/>
  <LinksUpToDate>false</LinksUpToDate>
  <CharactersWithSpaces>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12</cp:revision>
  <dcterms:created xsi:type="dcterms:W3CDTF">2020-07-06T03:36:00Z</dcterms:created>
  <dcterms:modified xsi:type="dcterms:W3CDTF">2020-08-03T02:57:00Z</dcterms:modified>
</cp:coreProperties>
</file>