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11C93791"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C9534E">
        <w:rPr>
          <w:rFonts w:ascii="楷体" w:eastAsia="楷体" w:hAnsi="楷体" w:hint="eastAsia"/>
          <w:sz w:val="28"/>
          <w:szCs w:val="28"/>
        </w:rPr>
        <w:t>宽松极限已过</w:t>
      </w:r>
      <w:r w:rsidR="00655808">
        <w:rPr>
          <w:rFonts w:ascii="楷体" w:eastAsia="楷体" w:hAnsi="楷体" w:hint="eastAsia"/>
          <w:sz w:val="28"/>
          <w:szCs w:val="28"/>
        </w:rPr>
        <w:t>，</w:t>
      </w:r>
      <w:r w:rsidR="00C9534E">
        <w:rPr>
          <w:rFonts w:ascii="楷体" w:eastAsia="楷体" w:hAnsi="楷体" w:hint="eastAsia"/>
          <w:sz w:val="28"/>
          <w:szCs w:val="28"/>
        </w:rPr>
        <w:t>股市调整债市震荡</w:t>
      </w:r>
    </w:p>
    <w:p w14:paraId="0A7A9383" w14:textId="415FFF56"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C9534E">
        <w:rPr>
          <w:rFonts w:ascii="楷体" w:eastAsia="楷体" w:hAnsi="楷体"/>
          <w:sz w:val="28"/>
          <w:szCs w:val="28"/>
        </w:rPr>
        <w:t>8</w:t>
      </w:r>
      <w:r w:rsidR="009C30E2" w:rsidRPr="00FA6C01">
        <w:rPr>
          <w:rFonts w:ascii="楷体" w:eastAsia="楷体" w:hAnsi="楷体"/>
          <w:sz w:val="28"/>
          <w:szCs w:val="28"/>
        </w:rPr>
        <w:t>月</w:t>
      </w:r>
      <w:r w:rsidR="00C9534E">
        <w:rPr>
          <w:rFonts w:ascii="楷体" w:eastAsia="楷体" w:hAnsi="楷体"/>
          <w:sz w:val="28"/>
          <w:szCs w:val="28"/>
        </w:rPr>
        <w:t>7</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299B7FF1" w14:textId="06D5A887" w:rsidR="00C9534E" w:rsidRDefault="0047318A" w:rsidP="00C9534E">
      <w:pPr>
        <w:pStyle w:val="Body-text"/>
        <w:spacing w:after="240"/>
        <w:ind w:firstLineChars="200" w:firstLine="460"/>
        <w:rPr>
          <w:sz w:val="23"/>
          <w:szCs w:val="23"/>
          <w:lang w:eastAsia="zh-CN"/>
        </w:rPr>
      </w:pPr>
      <w:r>
        <w:rPr>
          <w:rFonts w:hint="eastAsia"/>
          <w:sz w:val="23"/>
          <w:szCs w:val="23"/>
          <w:lang w:eastAsia="zh-CN"/>
        </w:rPr>
        <w:t>本周</w:t>
      </w:r>
      <w:r w:rsidR="00C9534E">
        <w:rPr>
          <w:rFonts w:hint="eastAsia"/>
          <w:sz w:val="23"/>
          <w:szCs w:val="23"/>
          <w:lang w:eastAsia="zh-CN"/>
        </w:rPr>
        <w:t>央行公布二季度货币政策报告</w:t>
      </w:r>
      <w:r>
        <w:rPr>
          <w:sz w:val="23"/>
          <w:szCs w:val="23"/>
          <w:lang w:eastAsia="zh-CN"/>
        </w:rPr>
        <w:t>，</w:t>
      </w:r>
      <w:r w:rsidR="00040E7F">
        <w:rPr>
          <w:rFonts w:hint="eastAsia"/>
          <w:sz w:val="23"/>
          <w:szCs w:val="23"/>
          <w:lang w:eastAsia="zh-CN"/>
        </w:rPr>
        <w:t>我们关注的主要有三个方面：</w:t>
      </w:r>
      <w:r w:rsidR="00C9534E">
        <w:rPr>
          <w:rFonts w:hint="eastAsia"/>
          <w:sz w:val="23"/>
          <w:szCs w:val="23"/>
          <w:lang w:eastAsia="zh-CN"/>
        </w:rPr>
        <w:t>（</w:t>
      </w:r>
      <w:r w:rsidR="00C9534E">
        <w:rPr>
          <w:rFonts w:hint="eastAsia"/>
          <w:sz w:val="23"/>
          <w:szCs w:val="23"/>
          <w:lang w:eastAsia="zh-CN"/>
        </w:rPr>
        <w:t>1</w:t>
      </w:r>
      <w:r w:rsidR="00C9534E">
        <w:rPr>
          <w:rFonts w:hint="eastAsia"/>
          <w:sz w:val="23"/>
          <w:szCs w:val="23"/>
          <w:lang w:eastAsia="zh-CN"/>
        </w:rPr>
        <w:t>）</w:t>
      </w:r>
      <w:r w:rsidR="00C9534E" w:rsidRPr="00C9534E">
        <w:rPr>
          <w:rFonts w:hint="eastAsia"/>
          <w:sz w:val="23"/>
          <w:szCs w:val="23"/>
          <w:lang w:eastAsia="zh-CN"/>
        </w:rPr>
        <w:t>对经济现状的判断</w:t>
      </w:r>
      <w:r w:rsidR="00C9534E">
        <w:rPr>
          <w:rFonts w:hint="eastAsia"/>
          <w:sz w:val="23"/>
          <w:szCs w:val="23"/>
          <w:lang w:eastAsia="zh-CN"/>
        </w:rPr>
        <w:t>上，</w:t>
      </w:r>
      <w:r w:rsidR="00C9534E" w:rsidRPr="00C9534E">
        <w:rPr>
          <w:rFonts w:hint="eastAsia"/>
          <w:sz w:val="23"/>
          <w:szCs w:val="23"/>
          <w:lang w:eastAsia="zh-CN"/>
        </w:rPr>
        <w:t>央行与政治局会议公报内容一脉相承。均认为消费逐步改善，投资修复明显，工业生产恢复较快，基本进入常态。进出口压力不大。通胀暂无压力，</w:t>
      </w:r>
      <w:r w:rsidR="00F165B4">
        <w:rPr>
          <w:rFonts w:hint="eastAsia"/>
          <w:sz w:val="23"/>
          <w:szCs w:val="23"/>
          <w:lang w:eastAsia="zh-CN"/>
        </w:rPr>
        <w:t>CP</w:t>
      </w:r>
      <w:r w:rsidR="00F165B4">
        <w:rPr>
          <w:sz w:val="23"/>
          <w:szCs w:val="23"/>
          <w:lang w:eastAsia="zh-CN"/>
        </w:rPr>
        <w:t>I</w:t>
      </w:r>
      <w:r w:rsidR="00C9534E" w:rsidRPr="00C9534E">
        <w:rPr>
          <w:rFonts w:hint="eastAsia"/>
          <w:sz w:val="23"/>
          <w:szCs w:val="23"/>
          <w:lang w:eastAsia="zh-CN"/>
        </w:rPr>
        <w:t>低位运行短期无法对货币政策形成压力。</w:t>
      </w:r>
      <w:r w:rsidR="00F165B4">
        <w:rPr>
          <w:sz w:val="23"/>
          <w:szCs w:val="23"/>
          <w:lang w:eastAsia="zh-CN"/>
        </w:rPr>
        <w:t>PPI</w:t>
      </w:r>
      <w:r w:rsidR="00C9534E" w:rsidRPr="00C9534E">
        <w:rPr>
          <w:rFonts w:hint="eastAsia"/>
          <w:sz w:val="23"/>
          <w:szCs w:val="23"/>
          <w:lang w:eastAsia="zh-CN"/>
        </w:rPr>
        <w:t>同比增速跌幅逐步收窄，企业盈利预期有一定好转。总体来看，经济从供需冲击进入供给快速恢复，需求逐步好转的阶段。</w:t>
      </w:r>
      <w:r w:rsidR="00C9534E">
        <w:rPr>
          <w:rFonts w:hint="eastAsia"/>
          <w:sz w:val="23"/>
          <w:szCs w:val="23"/>
          <w:lang w:eastAsia="zh-CN"/>
        </w:rPr>
        <w:t>（</w:t>
      </w:r>
      <w:r w:rsidR="00C9534E">
        <w:rPr>
          <w:rFonts w:hint="eastAsia"/>
          <w:sz w:val="23"/>
          <w:szCs w:val="23"/>
          <w:lang w:eastAsia="zh-CN"/>
        </w:rPr>
        <w:t>2</w:t>
      </w:r>
      <w:r w:rsidR="00C9534E">
        <w:rPr>
          <w:rFonts w:hint="eastAsia"/>
          <w:sz w:val="23"/>
          <w:szCs w:val="23"/>
          <w:lang w:eastAsia="zh-CN"/>
        </w:rPr>
        <w:t>）</w:t>
      </w:r>
      <w:r w:rsidR="00C9534E" w:rsidRPr="00C9534E">
        <w:rPr>
          <w:rFonts w:hint="eastAsia"/>
          <w:sz w:val="23"/>
          <w:szCs w:val="23"/>
          <w:lang w:eastAsia="zh-CN"/>
        </w:rPr>
        <w:t>下一步货币政策的思路</w:t>
      </w:r>
      <w:r w:rsidR="00C9534E">
        <w:rPr>
          <w:rFonts w:hint="eastAsia"/>
          <w:sz w:val="23"/>
          <w:szCs w:val="23"/>
          <w:lang w:eastAsia="zh-CN"/>
        </w:rPr>
        <w:t>。</w:t>
      </w:r>
      <w:r w:rsidR="00C9534E" w:rsidRPr="00C9534E">
        <w:rPr>
          <w:rFonts w:hint="eastAsia"/>
          <w:sz w:val="23"/>
          <w:szCs w:val="23"/>
          <w:lang w:eastAsia="zh-CN"/>
        </w:rPr>
        <w:t>在对冲宽松政策出现确实效果之后，货币政策进入观察期。央行暂不会明显收紧，但宽松程度和政策工具的使用上有所调整。纲领上，央行强调货币政策更加灵活适度，精准导向。更加灵活适度意味着在没有大冲击的情况下，货币政策宽松的拐点已至。公开市场操作等工具利率难见进一步下调。但是阶段性货币投放预计仍将持续，目前还未到收紧的阶段。精准导向，意味着央行使用的货币政策工具更趋于结构化工具。</w:t>
      </w:r>
      <w:proofErr w:type="gramStart"/>
      <w:r w:rsidR="00C9534E" w:rsidRPr="00C9534E">
        <w:rPr>
          <w:rFonts w:hint="eastAsia"/>
          <w:sz w:val="23"/>
          <w:szCs w:val="23"/>
          <w:lang w:eastAsia="zh-CN"/>
        </w:rPr>
        <w:t>降准降息</w:t>
      </w:r>
      <w:proofErr w:type="gramEnd"/>
      <w:r w:rsidR="00C9534E" w:rsidRPr="00C9534E">
        <w:rPr>
          <w:rFonts w:hint="eastAsia"/>
          <w:sz w:val="23"/>
          <w:szCs w:val="23"/>
          <w:lang w:eastAsia="zh-CN"/>
        </w:rPr>
        <w:t>的频率和可能性下降。后续预计更多地使用结构性的再贷款等货币政策选项。</w:t>
      </w:r>
      <w:r w:rsidR="00C9534E">
        <w:rPr>
          <w:rFonts w:hint="eastAsia"/>
          <w:sz w:val="23"/>
          <w:szCs w:val="23"/>
          <w:lang w:eastAsia="zh-CN"/>
        </w:rPr>
        <w:t>（</w:t>
      </w:r>
      <w:r w:rsidR="00C9534E">
        <w:rPr>
          <w:rFonts w:hint="eastAsia"/>
          <w:sz w:val="23"/>
          <w:szCs w:val="23"/>
          <w:lang w:eastAsia="zh-CN"/>
        </w:rPr>
        <w:t>3</w:t>
      </w:r>
      <w:r w:rsidR="00C9534E">
        <w:rPr>
          <w:rFonts w:hint="eastAsia"/>
          <w:sz w:val="23"/>
          <w:szCs w:val="23"/>
          <w:lang w:eastAsia="zh-CN"/>
        </w:rPr>
        <w:t>）</w:t>
      </w:r>
      <w:r w:rsidR="00C9534E" w:rsidRPr="00C9534E">
        <w:rPr>
          <w:rFonts w:hint="eastAsia"/>
          <w:sz w:val="23"/>
          <w:szCs w:val="23"/>
          <w:lang w:eastAsia="zh-CN"/>
        </w:rPr>
        <w:t>排斥低利率</w:t>
      </w:r>
      <w:r w:rsidR="00C9534E">
        <w:rPr>
          <w:rFonts w:hint="eastAsia"/>
          <w:sz w:val="23"/>
          <w:szCs w:val="23"/>
          <w:lang w:eastAsia="zh-CN"/>
        </w:rPr>
        <w:t>，打消市场对利率进一步下降的预期。</w:t>
      </w:r>
      <w:r w:rsidR="00C9534E" w:rsidRPr="00C9534E">
        <w:rPr>
          <w:rFonts w:hint="eastAsia"/>
          <w:sz w:val="23"/>
          <w:szCs w:val="23"/>
          <w:lang w:eastAsia="zh-CN"/>
        </w:rPr>
        <w:t>二季度货币政策报告给出了一个专题来说明低利率甚至负利率的坏处。这部分内容央行以往通过讲话新闻等方式</w:t>
      </w:r>
      <w:r w:rsidR="00C9534E">
        <w:rPr>
          <w:rFonts w:hint="eastAsia"/>
          <w:sz w:val="23"/>
          <w:szCs w:val="23"/>
          <w:lang w:eastAsia="zh-CN"/>
        </w:rPr>
        <w:t>已经</w:t>
      </w:r>
      <w:r w:rsidR="00C9534E" w:rsidRPr="00C9534E">
        <w:rPr>
          <w:rFonts w:hint="eastAsia"/>
          <w:sz w:val="23"/>
          <w:szCs w:val="23"/>
          <w:lang w:eastAsia="zh-CN"/>
        </w:rPr>
        <w:t>传递过。低利率和负利率会影响资源配置，带来道德风险逆向选择，增加金融市场波动等风险。我国远未到零利率甚至负利率的情况。央行的这段表述是给市场一个信号。无论是债券市场还是其他大类资产市场，都不能寄希望于</w:t>
      </w:r>
      <w:proofErr w:type="gramStart"/>
      <w:r w:rsidR="00C9534E" w:rsidRPr="00C9534E">
        <w:rPr>
          <w:rFonts w:hint="eastAsia"/>
          <w:sz w:val="23"/>
          <w:szCs w:val="23"/>
          <w:lang w:eastAsia="zh-CN"/>
        </w:rPr>
        <w:t>央行再</w:t>
      </w:r>
      <w:proofErr w:type="gramEnd"/>
      <w:r w:rsidR="00C9534E" w:rsidRPr="00C9534E">
        <w:rPr>
          <w:rFonts w:hint="eastAsia"/>
          <w:sz w:val="23"/>
          <w:szCs w:val="23"/>
          <w:lang w:eastAsia="zh-CN"/>
        </w:rPr>
        <w:t>大幅下调利率</w:t>
      </w:r>
      <w:r w:rsidR="000117D9" w:rsidRPr="000117D9">
        <w:rPr>
          <w:rFonts w:hint="eastAsia"/>
          <w:sz w:val="23"/>
          <w:szCs w:val="23"/>
          <w:lang w:eastAsia="zh-CN"/>
        </w:rPr>
        <w:t>。</w:t>
      </w:r>
    </w:p>
    <w:p w14:paraId="2927E249" w14:textId="664B4699" w:rsidR="00B17EC7" w:rsidRDefault="00C9534E" w:rsidP="00EF0F1A">
      <w:pPr>
        <w:pStyle w:val="Body-text"/>
        <w:spacing w:after="240"/>
        <w:ind w:firstLineChars="200" w:firstLine="460"/>
        <w:rPr>
          <w:sz w:val="23"/>
          <w:szCs w:val="23"/>
          <w:lang w:eastAsia="zh-CN"/>
        </w:rPr>
      </w:pPr>
      <w:r w:rsidRPr="00C9534E">
        <w:rPr>
          <w:rFonts w:hint="eastAsia"/>
          <w:sz w:val="23"/>
          <w:szCs w:val="23"/>
          <w:lang w:eastAsia="zh-CN"/>
        </w:rPr>
        <w:t>央行再三表态确定货币政策最宽松阶段已过，货币政策的观察</w:t>
      </w:r>
      <w:proofErr w:type="gramStart"/>
      <w:r w:rsidRPr="00C9534E">
        <w:rPr>
          <w:rFonts w:hint="eastAsia"/>
          <w:sz w:val="23"/>
          <w:szCs w:val="23"/>
          <w:lang w:eastAsia="zh-CN"/>
        </w:rPr>
        <w:t>期正式</w:t>
      </w:r>
      <w:proofErr w:type="gramEnd"/>
      <w:r w:rsidRPr="00C9534E">
        <w:rPr>
          <w:rFonts w:hint="eastAsia"/>
          <w:sz w:val="23"/>
          <w:szCs w:val="23"/>
          <w:lang w:eastAsia="zh-CN"/>
        </w:rPr>
        <w:t>确认。当下需要关注：（</w:t>
      </w:r>
      <w:r w:rsidRPr="00C9534E">
        <w:rPr>
          <w:rFonts w:hint="eastAsia"/>
          <w:sz w:val="23"/>
          <w:szCs w:val="23"/>
          <w:lang w:eastAsia="zh-CN"/>
        </w:rPr>
        <w:t>1</w:t>
      </w:r>
      <w:r w:rsidRPr="00C9534E">
        <w:rPr>
          <w:rFonts w:hint="eastAsia"/>
          <w:sz w:val="23"/>
          <w:szCs w:val="23"/>
          <w:lang w:eastAsia="zh-CN"/>
        </w:rPr>
        <w:t>）市场对货币政策边际调整充分定价之后的资金价格波动，短</w:t>
      </w:r>
      <w:proofErr w:type="gramStart"/>
      <w:r w:rsidRPr="00C9534E">
        <w:rPr>
          <w:rFonts w:hint="eastAsia"/>
          <w:sz w:val="23"/>
          <w:szCs w:val="23"/>
          <w:lang w:eastAsia="zh-CN"/>
        </w:rPr>
        <w:t>端利率</w:t>
      </w:r>
      <w:proofErr w:type="gramEnd"/>
      <w:r w:rsidRPr="00C9534E">
        <w:rPr>
          <w:rFonts w:hint="eastAsia"/>
          <w:sz w:val="23"/>
          <w:szCs w:val="23"/>
          <w:lang w:eastAsia="zh-CN"/>
        </w:rPr>
        <w:t>是相对平稳还是波动增加甚至走高；（</w:t>
      </w:r>
      <w:r w:rsidRPr="00C9534E">
        <w:rPr>
          <w:rFonts w:hint="eastAsia"/>
          <w:sz w:val="23"/>
          <w:szCs w:val="23"/>
          <w:lang w:eastAsia="zh-CN"/>
        </w:rPr>
        <w:t>2</w:t>
      </w:r>
      <w:r w:rsidRPr="00C9534E">
        <w:rPr>
          <w:rFonts w:hint="eastAsia"/>
          <w:sz w:val="23"/>
          <w:szCs w:val="23"/>
          <w:lang w:eastAsia="zh-CN"/>
        </w:rPr>
        <w:t>）中高频经济数据，观察经济修复速度和边际变化；（</w:t>
      </w:r>
      <w:r w:rsidRPr="00C9534E">
        <w:rPr>
          <w:rFonts w:hint="eastAsia"/>
          <w:sz w:val="23"/>
          <w:szCs w:val="23"/>
          <w:lang w:eastAsia="zh-CN"/>
        </w:rPr>
        <w:t>3</w:t>
      </w:r>
      <w:r w:rsidRPr="00C9534E">
        <w:rPr>
          <w:rFonts w:hint="eastAsia"/>
          <w:sz w:val="23"/>
          <w:szCs w:val="23"/>
          <w:lang w:eastAsia="zh-CN"/>
        </w:rPr>
        <w:t>）权益市场的调整，是强势横盘还是出现幅度偏大的下跌；（</w:t>
      </w:r>
      <w:r w:rsidRPr="00C9534E">
        <w:rPr>
          <w:rFonts w:hint="eastAsia"/>
          <w:sz w:val="23"/>
          <w:szCs w:val="23"/>
          <w:lang w:eastAsia="zh-CN"/>
        </w:rPr>
        <w:t>4</w:t>
      </w:r>
      <w:r w:rsidRPr="00C9534E">
        <w:rPr>
          <w:rFonts w:hint="eastAsia"/>
          <w:sz w:val="23"/>
          <w:szCs w:val="23"/>
          <w:lang w:eastAsia="zh-CN"/>
        </w:rPr>
        <w:t>）商品市场部分品种的涨势是否延续；（</w:t>
      </w:r>
      <w:r w:rsidRPr="00C9534E">
        <w:rPr>
          <w:rFonts w:hint="eastAsia"/>
          <w:sz w:val="23"/>
          <w:szCs w:val="23"/>
          <w:lang w:eastAsia="zh-CN"/>
        </w:rPr>
        <w:t>5</w:t>
      </w:r>
      <w:r w:rsidRPr="00C9534E">
        <w:rPr>
          <w:rFonts w:hint="eastAsia"/>
          <w:sz w:val="23"/>
          <w:szCs w:val="23"/>
          <w:lang w:eastAsia="zh-CN"/>
        </w:rPr>
        <w:t>）中美摩擦是否进一步加剧和蔓延。整体来看，市场短期仍然偏向震荡。交易机会需要关注市场共识之外的预期差。如果资金利率稍显平稳，央行基本维持投放力度，权益市场和商品市场出现明显调整，</w:t>
      </w:r>
      <w:r w:rsidR="00F165B4">
        <w:rPr>
          <w:rFonts w:hint="eastAsia"/>
          <w:sz w:val="23"/>
          <w:szCs w:val="23"/>
          <w:lang w:eastAsia="zh-CN"/>
        </w:rPr>
        <w:t>中美摩擦进一步加深，</w:t>
      </w:r>
      <w:r w:rsidRPr="00C9534E">
        <w:rPr>
          <w:rFonts w:hint="eastAsia"/>
          <w:sz w:val="23"/>
          <w:szCs w:val="23"/>
          <w:lang w:eastAsia="zh-CN"/>
        </w:rPr>
        <w:t>债券市场仍有交易机会</w:t>
      </w:r>
      <w:r>
        <w:rPr>
          <w:rFonts w:hint="eastAsia"/>
          <w:sz w:val="23"/>
          <w:szCs w:val="23"/>
          <w:lang w:eastAsia="zh-CN"/>
        </w:rPr>
        <w:t>，</w:t>
      </w:r>
      <w:r w:rsidRPr="00C9534E">
        <w:rPr>
          <w:rFonts w:hint="eastAsia"/>
          <w:sz w:val="23"/>
          <w:szCs w:val="23"/>
          <w:lang w:eastAsia="zh-CN"/>
        </w:rPr>
        <w:t>但幅度有限</w:t>
      </w:r>
      <w:r>
        <w:rPr>
          <w:rFonts w:hint="eastAsia"/>
          <w:sz w:val="23"/>
          <w:szCs w:val="23"/>
          <w:lang w:eastAsia="zh-CN"/>
        </w:rPr>
        <w:t>，交易上快进快出为主</w:t>
      </w:r>
      <w:r w:rsidRPr="00C9534E">
        <w:rPr>
          <w:rFonts w:hint="eastAsia"/>
          <w:sz w:val="23"/>
          <w:szCs w:val="23"/>
          <w:lang w:eastAsia="zh-CN"/>
        </w:rPr>
        <w:t>。整体来看，在货币政策已开始调整的背景下，</w:t>
      </w:r>
      <w:r>
        <w:rPr>
          <w:rFonts w:hint="eastAsia"/>
          <w:sz w:val="23"/>
          <w:szCs w:val="23"/>
          <w:lang w:eastAsia="zh-CN"/>
        </w:rPr>
        <w:t>需要更为</w:t>
      </w:r>
      <w:r w:rsidRPr="00C9534E">
        <w:rPr>
          <w:rFonts w:hint="eastAsia"/>
          <w:sz w:val="23"/>
          <w:szCs w:val="23"/>
          <w:lang w:eastAsia="zh-CN"/>
        </w:rPr>
        <w:t>谨慎。</w:t>
      </w:r>
    </w:p>
    <w:p w14:paraId="3DA4DF44" w14:textId="115B9902" w:rsidR="00A56A98" w:rsidRDefault="00A56A98" w:rsidP="005C6C18">
      <w:pPr>
        <w:pStyle w:val="Body-text"/>
        <w:spacing w:after="240"/>
        <w:ind w:firstLine="480"/>
        <w:rPr>
          <w:sz w:val="23"/>
          <w:szCs w:val="23"/>
          <w:lang w:eastAsia="zh-CN"/>
        </w:rPr>
      </w:pP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7DFF476" w:rsidR="00EA1459" w:rsidRPr="0069484C" w:rsidRDefault="008628FA" w:rsidP="00EC3415">
      <w:pPr>
        <w:pStyle w:val="Body-text"/>
        <w:spacing w:after="240"/>
        <w:ind w:firstLineChars="200" w:firstLine="480"/>
        <w:rPr>
          <w:rFonts w:ascii="华文楷体" w:hAnsi="华文楷体"/>
          <w:sz w:val="24"/>
          <w:szCs w:val="24"/>
          <w:lang w:eastAsia="zh-CN"/>
        </w:rPr>
      </w:pPr>
      <w:r w:rsidRPr="0069484C">
        <w:rPr>
          <w:rFonts w:ascii="华文楷体" w:hAnsi="华文楷体" w:hint="eastAsia"/>
          <w:sz w:val="24"/>
          <w:szCs w:val="24"/>
          <w:lang w:eastAsia="zh-CN"/>
        </w:rPr>
        <w:t>本周</w:t>
      </w:r>
      <w:r w:rsidR="00EC3415" w:rsidRPr="0069484C">
        <w:rPr>
          <w:rFonts w:ascii="华文楷体" w:hAnsi="华文楷体" w:hint="eastAsia"/>
          <w:sz w:val="24"/>
          <w:szCs w:val="24"/>
          <w:lang w:eastAsia="zh-CN"/>
        </w:rPr>
        <w:t>央行公开市场</w:t>
      </w:r>
      <w:r w:rsidR="00D9413F" w:rsidRPr="0069484C">
        <w:rPr>
          <w:rFonts w:ascii="华文楷体" w:hAnsi="华文楷体" w:hint="eastAsia"/>
          <w:sz w:val="24"/>
          <w:szCs w:val="24"/>
          <w:lang w:eastAsia="zh-CN"/>
        </w:rPr>
        <w:t>操作</w:t>
      </w:r>
      <w:r w:rsidR="002C4ACD" w:rsidRPr="0069484C">
        <w:rPr>
          <w:rFonts w:ascii="华文楷体" w:hAnsi="华文楷体" w:hint="eastAsia"/>
          <w:sz w:val="24"/>
          <w:szCs w:val="24"/>
          <w:lang w:eastAsia="zh-CN"/>
        </w:rPr>
        <w:t>净</w:t>
      </w:r>
      <w:r w:rsidR="0069484C" w:rsidRPr="0069484C">
        <w:rPr>
          <w:rFonts w:ascii="华文楷体" w:hAnsi="华文楷体" w:hint="eastAsia"/>
          <w:sz w:val="24"/>
          <w:szCs w:val="24"/>
          <w:lang w:eastAsia="zh-CN"/>
        </w:rPr>
        <w:t>回笼2</w:t>
      </w:r>
      <w:r w:rsidR="0069484C" w:rsidRPr="0069484C">
        <w:rPr>
          <w:rFonts w:ascii="华文楷体" w:hAnsi="华文楷体"/>
          <w:sz w:val="24"/>
          <w:szCs w:val="24"/>
          <w:lang w:eastAsia="zh-CN"/>
        </w:rPr>
        <w:t>700</w:t>
      </w:r>
      <w:r w:rsidR="002C4ACD" w:rsidRPr="0069484C">
        <w:rPr>
          <w:rFonts w:ascii="华文楷体" w:hAnsi="华文楷体" w:hint="eastAsia"/>
          <w:sz w:val="24"/>
          <w:szCs w:val="24"/>
          <w:lang w:eastAsia="zh-CN"/>
        </w:rPr>
        <w:t>亿</w:t>
      </w:r>
      <w:r w:rsidR="00200AFA" w:rsidRPr="0069484C">
        <w:rPr>
          <w:rFonts w:ascii="华文楷体" w:hAnsi="华文楷体" w:hint="eastAsia"/>
          <w:sz w:val="24"/>
          <w:szCs w:val="24"/>
          <w:lang w:eastAsia="zh-CN"/>
        </w:rPr>
        <w:t>,其中</w:t>
      </w:r>
      <w:r w:rsidR="003C1F37" w:rsidRPr="0069484C">
        <w:rPr>
          <w:rFonts w:ascii="华文楷体" w:hAnsi="华文楷体" w:hint="eastAsia"/>
          <w:sz w:val="24"/>
          <w:szCs w:val="24"/>
          <w:lang w:eastAsia="zh-CN"/>
        </w:rPr>
        <w:t>逆回购</w:t>
      </w:r>
      <w:r w:rsidR="00292C0B" w:rsidRPr="0069484C">
        <w:rPr>
          <w:rFonts w:ascii="华文楷体" w:hAnsi="华文楷体" w:hint="eastAsia"/>
          <w:sz w:val="24"/>
          <w:szCs w:val="24"/>
          <w:lang w:eastAsia="zh-CN"/>
        </w:rPr>
        <w:t>合计</w:t>
      </w:r>
      <w:r w:rsidR="00054072" w:rsidRPr="0069484C">
        <w:rPr>
          <w:rFonts w:ascii="华文楷体" w:hAnsi="华文楷体" w:hint="eastAsia"/>
          <w:sz w:val="24"/>
          <w:szCs w:val="24"/>
          <w:lang w:eastAsia="zh-CN"/>
        </w:rPr>
        <w:t>到期</w:t>
      </w:r>
      <w:r w:rsidR="0069484C" w:rsidRPr="0069484C">
        <w:rPr>
          <w:rFonts w:ascii="华文楷体" w:hAnsi="华文楷体"/>
          <w:sz w:val="24"/>
          <w:szCs w:val="24"/>
          <w:lang w:eastAsia="zh-CN"/>
        </w:rPr>
        <w:t>2</w:t>
      </w:r>
      <w:r w:rsidR="003C1F37" w:rsidRPr="0069484C">
        <w:rPr>
          <w:rFonts w:ascii="华文楷体" w:hAnsi="华文楷体"/>
          <w:sz w:val="24"/>
          <w:szCs w:val="24"/>
          <w:lang w:eastAsia="zh-CN"/>
        </w:rPr>
        <w:t>600</w:t>
      </w:r>
      <w:r w:rsidR="00054072" w:rsidRPr="0069484C">
        <w:rPr>
          <w:rFonts w:ascii="华文楷体" w:hAnsi="华文楷体" w:hint="eastAsia"/>
          <w:sz w:val="24"/>
          <w:szCs w:val="24"/>
          <w:lang w:eastAsia="zh-CN"/>
        </w:rPr>
        <w:t>亿</w:t>
      </w:r>
      <w:r w:rsidR="003C1F37" w:rsidRPr="0069484C">
        <w:rPr>
          <w:rFonts w:ascii="华文楷体" w:hAnsi="华文楷体" w:hint="eastAsia"/>
          <w:sz w:val="24"/>
          <w:szCs w:val="24"/>
          <w:lang w:eastAsia="zh-CN"/>
        </w:rPr>
        <w:t>，逆回购投放</w:t>
      </w:r>
      <w:r w:rsidR="0069484C" w:rsidRPr="0069484C">
        <w:rPr>
          <w:rFonts w:ascii="华文楷体" w:hAnsi="华文楷体"/>
          <w:sz w:val="24"/>
          <w:szCs w:val="24"/>
          <w:lang w:eastAsia="zh-CN"/>
        </w:rPr>
        <w:t>1</w:t>
      </w:r>
      <w:r w:rsidR="003C1F37" w:rsidRPr="0069484C">
        <w:rPr>
          <w:rFonts w:ascii="华文楷体" w:hAnsi="华文楷体"/>
          <w:sz w:val="24"/>
          <w:szCs w:val="24"/>
          <w:lang w:eastAsia="zh-CN"/>
        </w:rPr>
        <w:t>00</w:t>
      </w:r>
      <w:r w:rsidR="003C1F37" w:rsidRPr="0069484C">
        <w:rPr>
          <w:rFonts w:ascii="华文楷体" w:hAnsi="华文楷体" w:hint="eastAsia"/>
          <w:sz w:val="24"/>
          <w:szCs w:val="24"/>
          <w:lang w:eastAsia="zh-CN"/>
        </w:rPr>
        <w:t>亿</w:t>
      </w:r>
      <w:r w:rsidR="00054072" w:rsidRPr="0069484C">
        <w:rPr>
          <w:rFonts w:ascii="华文楷体" w:hAnsi="华文楷体" w:hint="eastAsia"/>
          <w:sz w:val="24"/>
          <w:szCs w:val="24"/>
          <w:lang w:eastAsia="zh-CN"/>
        </w:rPr>
        <w:t>。</w:t>
      </w:r>
      <w:r w:rsidR="00854190" w:rsidRPr="0069484C">
        <w:rPr>
          <w:rFonts w:ascii="华文楷体" w:hAnsi="华文楷体" w:hint="eastAsia"/>
          <w:sz w:val="24"/>
          <w:szCs w:val="24"/>
          <w:lang w:eastAsia="zh-CN"/>
        </w:rPr>
        <w:t>本周</w:t>
      </w:r>
      <w:r w:rsidR="00DC4A12" w:rsidRPr="0069484C">
        <w:rPr>
          <w:rFonts w:ascii="华文楷体" w:hAnsi="华文楷体" w:hint="eastAsia"/>
          <w:sz w:val="24"/>
          <w:szCs w:val="24"/>
          <w:lang w:eastAsia="zh-CN"/>
        </w:rPr>
        <w:t>资金</w:t>
      </w:r>
      <w:r w:rsidR="00B30DBF" w:rsidRPr="0069484C">
        <w:rPr>
          <w:rFonts w:ascii="华文楷体" w:hAnsi="华文楷体" w:hint="eastAsia"/>
          <w:sz w:val="24"/>
          <w:szCs w:val="24"/>
          <w:lang w:eastAsia="zh-CN"/>
        </w:rPr>
        <w:t>利率</w:t>
      </w:r>
      <w:r w:rsidR="00292C0B" w:rsidRPr="0069484C">
        <w:rPr>
          <w:rFonts w:ascii="华文楷体" w:hAnsi="华文楷体" w:hint="eastAsia"/>
          <w:sz w:val="24"/>
          <w:szCs w:val="24"/>
          <w:lang w:eastAsia="zh-CN"/>
        </w:rPr>
        <w:t>震荡</w:t>
      </w:r>
      <w:r w:rsidR="00D9413F" w:rsidRPr="0069484C">
        <w:rPr>
          <w:rFonts w:ascii="华文楷体" w:hAnsi="华文楷体" w:hint="eastAsia"/>
          <w:sz w:val="24"/>
          <w:szCs w:val="24"/>
          <w:lang w:eastAsia="zh-CN"/>
        </w:rPr>
        <w:t>。</w:t>
      </w:r>
      <w:r w:rsidR="00200AFA" w:rsidRPr="0069484C">
        <w:rPr>
          <w:rFonts w:ascii="华文楷体" w:hAnsi="华文楷体" w:hint="eastAsia"/>
          <w:sz w:val="24"/>
          <w:szCs w:val="24"/>
          <w:lang w:eastAsia="zh-CN"/>
        </w:rPr>
        <w:t>周</w:t>
      </w:r>
      <w:r w:rsidR="00EC3415" w:rsidRPr="0069484C">
        <w:rPr>
          <w:rFonts w:ascii="华文楷体" w:hAnsi="华文楷体" w:hint="eastAsia"/>
          <w:sz w:val="24"/>
          <w:szCs w:val="24"/>
          <w:lang w:eastAsia="zh-CN"/>
        </w:rPr>
        <w:t>隔夜</w:t>
      </w:r>
      <w:r w:rsidR="00200AFA" w:rsidRPr="0069484C">
        <w:rPr>
          <w:rFonts w:ascii="华文楷体" w:hAnsi="华文楷体" w:hint="eastAsia"/>
          <w:sz w:val="24"/>
          <w:szCs w:val="24"/>
          <w:lang w:eastAsia="zh-CN"/>
        </w:rPr>
        <w:t>加权</w:t>
      </w:r>
      <w:r w:rsidR="00D9413F" w:rsidRPr="0069484C">
        <w:rPr>
          <w:rFonts w:ascii="华文楷体" w:hAnsi="华文楷体" w:hint="eastAsia"/>
          <w:sz w:val="24"/>
          <w:szCs w:val="24"/>
          <w:lang w:eastAsia="zh-CN"/>
        </w:rPr>
        <w:t>较上周</w:t>
      </w:r>
      <w:r w:rsidR="0069484C" w:rsidRPr="0069484C">
        <w:rPr>
          <w:rFonts w:ascii="华文楷体" w:hAnsi="华文楷体" w:hint="eastAsia"/>
          <w:sz w:val="24"/>
          <w:szCs w:val="24"/>
          <w:lang w:eastAsia="zh-CN"/>
        </w:rPr>
        <w:t>上行1</w:t>
      </w:r>
      <w:r w:rsidR="0069484C" w:rsidRPr="0069484C">
        <w:rPr>
          <w:rFonts w:ascii="华文楷体" w:hAnsi="华文楷体"/>
          <w:sz w:val="24"/>
          <w:szCs w:val="24"/>
          <w:lang w:eastAsia="zh-CN"/>
        </w:rPr>
        <w:t>0</w:t>
      </w:r>
      <w:r w:rsidR="0069484C" w:rsidRPr="0069484C">
        <w:rPr>
          <w:rFonts w:ascii="华文楷体" w:hAnsi="华文楷体" w:hint="eastAsia"/>
          <w:sz w:val="24"/>
          <w:szCs w:val="24"/>
          <w:lang w:eastAsia="zh-CN"/>
        </w:rPr>
        <w:t>bp</w:t>
      </w:r>
      <w:r w:rsidR="00D9413F" w:rsidRPr="0069484C">
        <w:rPr>
          <w:rFonts w:ascii="华文楷体" w:hAnsi="华文楷体" w:hint="eastAsia"/>
          <w:sz w:val="24"/>
          <w:szCs w:val="24"/>
          <w:lang w:eastAsia="zh-CN"/>
        </w:rPr>
        <w:t>至</w:t>
      </w:r>
      <w:r w:rsidR="00292C0B" w:rsidRPr="0069484C">
        <w:rPr>
          <w:rFonts w:ascii="华文楷体" w:hAnsi="华文楷体" w:hint="eastAsia"/>
          <w:sz w:val="24"/>
          <w:szCs w:val="24"/>
          <w:lang w:eastAsia="zh-CN"/>
        </w:rPr>
        <w:t>1.</w:t>
      </w:r>
      <w:r w:rsidR="0069484C" w:rsidRPr="0069484C">
        <w:rPr>
          <w:rFonts w:ascii="华文楷体" w:hAnsi="华文楷体"/>
          <w:sz w:val="24"/>
          <w:szCs w:val="24"/>
          <w:lang w:eastAsia="zh-CN"/>
        </w:rPr>
        <w:t>8</w:t>
      </w:r>
      <w:r w:rsidR="003C1F37" w:rsidRPr="0069484C">
        <w:rPr>
          <w:rFonts w:ascii="华文楷体" w:hAnsi="华文楷体"/>
          <w:sz w:val="24"/>
          <w:szCs w:val="24"/>
          <w:lang w:eastAsia="zh-CN"/>
        </w:rPr>
        <w:t>2</w:t>
      </w:r>
      <w:r w:rsidR="00D9413F" w:rsidRPr="0069484C">
        <w:rPr>
          <w:rFonts w:ascii="华文楷体" w:hAnsi="华文楷体" w:hint="eastAsia"/>
          <w:sz w:val="24"/>
          <w:szCs w:val="24"/>
          <w:lang w:eastAsia="zh-CN"/>
        </w:rPr>
        <w:t>%，</w:t>
      </w:r>
      <w:r w:rsidR="00EC3415" w:rsidRPr="0069484C">
        <w:rPr>
          <w:rFonts w:ascii="华文楷体" w:hAnsi="华文楷体" w:hint="eastAsia"/>
          <w:sz w:val="24"/>
          <w:szCs w:val="24"/>
          <w:lang w:eastAsia="zh-CN"/>
        </w:rPr>
        <w:t>7天</w:t>
      </w:r>
      <w:r w:rsidR="00D9413F" w:rsidRPr="0069484C">
        <w:rPr>
          <w:rFonts w:ascii="华文楷体" w:hAnsi="华文楷体" w:hint="eastAsia"/>
          <w:sz w:val="24"/>
          <w:szCs w:val="24"/>
          <w:lang w:eastAsia="zh-CN"/>
        </w:rPr>
        <w:t>较上周</w:t>
      </w:r>
      <w:r w:rsidR="0069484C" w:rsidRPr="0069484C">
        <w:rPr>
          <w:rFonts w:ascii="华文楷体" w:hAnsi="华文楷体" w:hint="eastAsia"/>
          <w:sz w:val="24"/>
          <w:szCs w:val="24"/>
          <w:lang w:eastAsia="zh-CN"/>
        </w:rPr>
        <w:t>下行2</w:t>
      </w:r>
      <w:r w:rsidR="0069484C" w:rsidRPr="0069484C">
        <w:rPr>
          <w:rFonts w:ascii="华文楷体" w:hAnsi="华文楷体"/>
          <w:sz w:val="24"/>
          <w:szCs w:val="24"/>
          <w:lang w:eastAsia="zh-CN"/>
        </w:rPr>
        <w:t>1</w:t>
      </w:r>
      <w:r w:rsidR="0069484C" w:rsidRPr="0069484C">
        <w:rPr>
          <w:rFonts w:ascii="华文楷体" w:hAnsi="华文楷体" w:hint="eastAsia"/>
          <w:sz w:val="24"/>
          <w:szCs w:val="24"/>
          <w:lang w:eastAsia="zh-CN"/>
        </w:rPr>
        <w:t>bp</w:t>
      </w:r>
      <w:r w:rsidR="00D9413F" w:rsidRPr="0069484C">
        <w:rPr>
          <w:rFonts w:ascii="华文楷体" w:hAnsi="华文楷体" w:hint="eastAsia"/>
          <w:sz w:val="24"/>
          <w:szCs w:val="24"/>
          <w:lang w:eastAsia="zh-CN"/>
        </w:rPr>
        <w:t>至</w:t>
      </w:r>
      <w:r w:rsidR="00292C0B" w:rsidRPr="0069484C">
        <w:rPr>
          <w:rFonts w:ascii="华文楷体" w:hAnsi="华文楷体" w:hint="eastAsia"/>
          <w:sz w:val="24"/>
          <w:szCs w:val="24"/>
          <w:lang w:eastAsia="zh-CN"/>
        </w:rPr>
        <w:t>2.</w:t>
      </w:r>
      <w:r w:rsidR="0069484C" w:rsidRPr="0069484C">
        <w:rPr>
          <w:rFonts w:ascii="华文楷体" w:hAnsi="华文楷体"/>
          <w:sz w:val="24"/>
          <w:szCs w:val="24"/>
          <w:lang w:eastAsia="zh-CN"/>
        </w:rPr>
        <w:t>15</w:t>
      </w:r>
      <w:r w:rsidR="00EC3415" w:rsidRPr="0069484C">
        <w:rPr>
          <w:rFonts w:ascii="华文楷体" w:hAnsi="华文楷体" w:hint="eastAsia"/>
          <w:sz w:val="24"/>
          <w:szCs w:val="24"/>
          <w:lang w:eastAsia="zh-CN"/>
        </w:rPr>
        <w:t>%</w:t>
      </w:r>
      <w:r w:rsidR="0037137A" w:rsidRPr="0069484C">
        <w:rPr>
          <w:rFonts w:ascii="华文楷体" w:hAnsi="华文楷体" w:hint="eastAsia"/>
          <w:sz w:val="24"/>
          <w:szCs w:val="24"/>
          <w:lang w:eastAsia="zh-CN"/>
        </w:rPr>
        <w:t>，</w:t>
      </w:r>
      <w:r w:rsidR="005671F6" w:rsidRPr="0069484C">
        <w:rPr>
          <w:rFonts w:ascii="华文楷体" w:hAnsi="华文楷体" w:hint="eastAsia"/>
          <w:sz w:val="24"/>
          <w:szCs w:val="24"/>
          <w:lang w:eastAsia="zh-CN"/>
        </w:rPr>
        <w:t>下周</w:t>
      </w:r>
      <w:r w:rsidR="003C1F37" w:rsidRPr="0069484C">
        <w:rPr>
          <w:rFonts w:ascii="华文楷体" w:hAnsi="华文楷体" w:hint="eastAsia"/>
          <w:sz w:val="24"/>
          <w:szCs w:val="24"/>
          <w:lang w:eastAsia="zh-CN"/>
        </w:rPr>
        <w:t>逆回购到期</w:t>
      </w:r>
      <w:r w:rsidR="0069484C" w:rsidRPr="0069484C">
        <w:rPr>
          <w:rFonts w:ascii="华文楷体" w:hAnsi="华文楷体"/>
          <w:sz w:val="24"/>
          <w:szCs w:val="24"/>
          <w:lang w:eastAsia="zh-CN"/>
        </w:rPr>
        <w:t>1</w:t>
      </w:r>
      <w:r w:rsidR="00E46B36" w:rsidRPr="0069484C">
        <w:rPr>
          <w:rFonts w:ascii="华文楷体" w:hAnsi="华文楷体"/>
          <w:sz w:val="24"/>
          <w:szCs w:val="24"/>
          <w:lang w:eastAsia="zh-CN"/>
        </w:rPr>
        <w:t>00</w:t>
      </w:r>
      <w:r w:rsidR="00E46B36" w:rsidRPr="0069484C">
        <w:rPr>
          <w:rFonts w:ascii="华文楷体" w:hAnsi="华文楷体" w:hint="eastAsia"/>
          <w:sz w:val="24"/>
          <w:szCs w:val="24"/>
          <w:lang w:eastAsia="zh-CN"/>
        </w:rPr>
        <w:t>亿。</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lastRenderedPageBreak/>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0A7503">
        <w:tblPrEx>
          <w:tblCellMar>
            <w:left w:w="108" w:type="dxa"/>
            <w:right w:w="108" w:type="dxa"/>
          </w:tblCellMar>
        </w:tblPrEx>
        <w:trPr>
          <w:jc w:val="center"/>
        </w:trPr>
        <w:tc>
          <w:tcPr>
            <w:tcW w:w="4939" w:type="dxa"/>
            <w:vAlign w:val="center"/>
          </w:tcPr>
          <w:p w14:paraId="60AEAEDC" w14:textId="373A17E6" w:rsidR="00E0626C" w:rsidRPr="003C1F37" w:rsidRDefault="000A7503" w:rsidP="009A2BA0">
            <w:pPr>
              <w:jc w:val="center"/>
              <w:rPr>
                <w:noProof/>
                <w:sz w:val="14"/>
                <w:szCs w:val="14"/>
              </w:rPr>
            </w:pPr>
            <w:r>
              <w:rPr>
                <w:noProof/>
              </w:rPr>
              <w:drawing>
                <wp:inline distT="0" distB="0" distL="0" distR="0" wp14:anchorId="4AB3A9B2" wp14:editId="639C6E1C">
                  <wp:extent cx="2999105" cy="1737360"/>
                  <wp:effectExtent l="0" t="0" r="0" b="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28813DCB" w:rsidR="00E0626C" w:rsidRPr="003C1F37" w:rsidRDefault="000A7503" w:rsidP="009A2BA0">
            <w:pPr>
              <w:jc w:val="center"/>
              <w:rPr>
                <w:noProof/>
                <w:sz w:val="18"/>
                <w:szCs w:val="15"/>
              </w:rPr>
            </w:pPr>
            <w:r>
              <w:rPr>
                <w:noProof/>
              </w:rPr>
              <w:drawing>
                <wp:inline distT="0" distB="0" distL="0" distR="0" wp14:anchorId="012C6539" wp14:editId="033907B6">
                  <wp:extent cx="2998470" cy="1788795"/>
                  <wp:effectExtent l="0" t="0" r="0" b="1905"/>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1611ACAF" w:rsidR="00D948D7" w:rsidRPr="0069484C" w:rsidRDefault="00882FA5" w:rsidP="0069484C">
      <w:pPr>
        <w:pStyle w:val="Body-text"/>
        <w:spacing w:after="240"/>
        <w:ind w:firstLineChars="200" w:firstLine="480"/>
        <w:rPr>
          <w:rFonts w:ascii="华文楷体" w:hAnsi="华文楷体"/>
          <w:sz w:val="24"/>
          <w:szCs w:val="24"/>
          <w:lang w:eastAsia="zh-CN"/>
        </w:rPr>
      </w:pPr>
      <w:r w:rsidRPr="0069484C">
        <w:rPr>
          <w:rFonts w:ascii="华文楷体" w:hAnsi="华文楷体" w:hint="eastAsia"/>
          <w:sz w:val="24"/>
          <w:szCs w:val="24"/>
          <w:lang w:eastAsia="zh-CN"/>
        </w:rPr>
        <w:t>本周债市</w:t>
      </w:r>
      <w:r w:rsidR="005A2EBC" w:rsidRPr="0069484C">
        <w:rPr>
          <w:rFonts w:ascii="华文楷体" w:hAnsi="华文楷体" w:hint="eastAsia"/>
          <w:sz w:val="24"/>
          <w:szCs w:val="24"/>
          <w:lang w:eastAsia="zh-CN"/>
        </w:rPr>
        <w:t>利率</w:t>
      </w:r>
      <w:r w:rsidR="005A2EBC" w:rsidRPr="0069484C">
        <w:rPr>
          <w:rFonts w:ascii="华文楷体" w:hAnsi="华文楷体"/>
          <w:sz w:val="24"/>
          <w:szCs w:val="24"/>
          <w:lang w:eastAsia="zh-CN"/>
        </w:rPr>
        <w:t>债</w:t>
      </w:r>
      <w:r w:rsidR="00880460" w:rsidRPr="0069484C">
        <w:rPr>
          <w:rFonts w:ascii="华文楷体" w:hAnsi="华文楷体" w:hint="eastAsia"/>
          <w:sz w:val="24"/>
          <w:szCs w:val="24"/>
          <w:lang w:eastAsia="zh-CN"/>
        </w:rPr>
        <w:t>曲线</w:t>
      </w:r>
      <w:r w:rsidR="0069484C" w:rsidRPr="0069484C">
        <w:rPr>
          <w:rFonts w:ascii="华文楷体" w:hAnsi="华文楷体" w:hint="eastAsia"/>
          <w:sz w:val="24"/>
          <w:szCs w:val="24"/>
          <w:lang w:eastAsia="zh-CN"/>
        </w:rPr>
        <w:t>整体走平，国债表现弱于国开。</w:t>
      </w:r>
      <w:r w:rsidR="006E06F9" w:rsidRPr="0069484C">
        <w:rPr>
          <w:rFonts w:ascii="华文楷体" w:hAnsi="华文楷体" w:hint="eastAsia"/>
          <w:sz w:val="24"/>
          <w:szCs w:val="24"/>
          <w:lang w:eastAsia="zh-CN"/>
        </w:rPr>
        <w:t>1y内</w:t>
      </w:r>
      <w:r w:rsidR="001F276D" w:rsidRPr="0069484C">
        <w:rPr>
          <w:rFonts w:ascii="华文楷体" w:hAnsi="华文楷体" w:hint="eastAsia"/>
          <w:sz w:val="24"/>
          <w:szCs w:val="24"/>
          <w:lang w:eastAsia="zh-CN"/>
        </w:rPr>
        <w:t>国债</w:t>
      </w:r>
      <w:r w:rsidR="00EF0226" w:rsidRPr="0069484C">
        <w:rPr>
          <w:rFonts w:ascii="华文楷体" w:hAnsi="华文楷体" w:hint="eastAsia"/>
          <w:sz w:val="24"/>
          <w:szCs w:val="24"/>
          <w:lang w:eastAsia="zh-CN"/>
        </w:rPr>
        <w:t>、国开</w:t>
      </w:r>
      <w:proofErr w:type="gramStart"/>
      <w:r w:rsidR="00EF0226" w:rsidRPr="0069484C">
        <w:rPr>
          <w:rFonts w:ascii="华文楷体" w:hAnsi="华文楷体" w:hint="eastAsia"/>
          <w:sz w:val="24"/>
          <w:szCs w:val="24"/>
          <w:lang w:eastAsia="zh-CN"/>
        </w:rPr>
        <w:t>债</w:t>
      </w:r>
      <w:r w:rsidR="008406BB" w:rsidRPr="0069484C">
        <w:rPr>
          <w:rFonts w:ascii="华文楷体" w:hAnsi="华文楷体" w:hint="eastAsia"/>
          <w:sz w:val="24"/>
          <w:szCs w:val="24"/>
          <w:lang w:eastAsia="zh-CN"/>
        </w:rPr>
        <w:t>整体</w:t>
      </w:r>
      <w:proofErr w:type="gramEnd"/>
      <w:r w:rsidR="00EF0226" w:rsidRPr="0069484C">
        <w:rPr>
          <w:rFonts w:ascii="华文楷体" w:hAnsi="华文楷体"/>
          <w:sz w:val="24"/>
          <w:szCs w:val="24"/>
          <w:lang w:eastAsia="zh-CN"/>
        </w:rPr>
        <w:t>走势类似</w:t>
      </w:r>
      <w:r w:rsidR="006E06F9" w:rsidRPr="0069484C">
        <w:rPr>
          <w:rFonts w:ascii="华文楷体" w:hAnsi="华文楷体" w:hint="eastAsia"/>
          <w:sz w:val="24"/>
          <w:szCs w:val="24"/>
          <w:lang w:eastAsia="zh-CN"/>
        </w:rPr>
        <w:t>，</w:t>
      </w:r>
      <w:r w:rsidR="008406BB" w:rsidRPr="0069484C">
        <w:rPr>
          <w:rFonts w:ascii="华文楷体" w:hAnsi="华文楷体" w:hint="eastAsia"/>
          <w:sz w:val="24"/>
          <w:szCs w:val="24"/>
          <w:lang w:eastAsia="zh-CN"/>
        </w:rPr>
        <w:t>受周内</w:t>
      </w:r>
      <w:r w:rsidR="008406BB" w:rsidRPr="0069484C">
        <w:rPr>
          <w:rFonts w:ascii="华文楷体" w:hAnsi="华文楷体"/>
          <w:sz w:val="24"/>
          <w:szCs w:val="24"/>
          <w:lang w:eastAsia="zh-CN"/>
        </w:rPr>
        <w:t>资金扰动，伴随资金</w:t>
      </w:r>
      <w:r w:rsidR="006E06F9" w:rsidRPr="0069484C">
        <w:rPr>
          <w:rFonts w:ascii="华文楷体" w:hAnsi="华文楷体" w:hint="eastAsia"/>
          <w:sz w:val="24"/>
          <w:szCs w:val="24"/>
          <w:lang w:eastAsia="zh-CN"/>
        </w:rPr>
        <w:t>利率震荡</w:t>
      </w:r>
      <w:r w:rsidR="0069484C" w:rsidRPr="0069484C">
        <w:rPr>
          <w:rFonts w:ascii="华文楷体" w:hAnsi="华文楷体" w:hint="eastAsia"/>
          <w:sz w:val="24"/>
          <w:szCs w:val="24"/>
          <w:lang w:eastAsia="zh-CN"/>
        </w:rPr>
        <w:t>上行</w:t>
      </w:r>
      <w:r w:rsidR="008406BB" w:rsidRPr="0069484C">
        <w:rPr>
          <w:rFonts w:ascii="华文楷体" w:hAnsi="华文楷体" w:hint="eastAsia"/>
          <w:sz w:val="24"/>
          <w:szCs w:val="24"/>
          <w:lang w:eastAsia="zh-CN"/>
        </w:rPr>
        <w:t>。</w:t>
      </w:r>
      <w:r w:rsidR="006E06F9" w:rsidRPr="0069484C">
        <w:rPr>
          <w:rFonts w:ascii="华文楷体" w:hAnsi="华文楷体" w:hint="eastAsia"/>
          <w:sz w:val="24"/>
          <w:szCs w:val="24"/>
          <w:lang w:eastAsia="zh-CN"/>
        </w:rPr>
        <w:t>1y以上期限国债各品种利率明显走高，</w:t>
      </w:r>
      <w:r w:rsidR="0069484C" w:rsidRPr="0069484C">
        <w:rPr>
          <w:rFonts w:ascii="华文楷体" w:hAnsi="华文楷体" w:hint="eastAsia"/>
          <w:sz w:val="24"/>
          <w:szCs w:val="24"/>
          <w:lang w:eastAsia="zh-CN"/>
        </w:rPr>
        <w:t>3y和5y品种</w:t>
      </w:r>
      <w:r w:rsidR="006E06F9" w:rsidRPr="0069484C">
        <w:rPr>
          <w:rFonts w:ascii="华文楷体" w:hAnsi="华文楷体" w:hint="eastAsia"/>
          <w:sz w:val="24"/>
          <w:szCs w:val="24"/>
          <w:lang w:eastAsia="zh-CN"/>
        </w:rPr>
        <w:t>上行幅度超过1</w:t>
      </w:r>
      <w:r w:rsidR="0069484C" w:rsidRPr="0069484C">
        <w:rPr>
          <w:rFonts w:ascii="华文楷体" w:hAnsi="华文楷体"/>
          <w:sz w:val="24"/>
          <w:szCs w:val="24"/>
          <w:lang w:eastAsia="zh-CN"/>
        </w:rPr>
        <w:t>2</w:t>
      </w:r>
      <w:r w:rsidR="006E06F9" w:rsidRPr="0069484C">
        <w:rPr>
          <w:rFonts w:ascii="华文楷体" w:hAnsi="华文楷体" w:hint="eastAsia"/>
          <w:sz w:val="24"/>
          <w:szCs w:val="24"/>
          <w:lang w:eastAsia="zh-CN"/>
        </w:rPr>
        <w:t>bp；国开债</w:t>
      </w:r>
      <w:r w:rsidR="0069484C" w:rsidRPr="0069484C">
        <w:rPr>
          <w:rFonts w:ascii="华文楷体" w:hAnsi="华文楷体"/>
          <w:sz w:val="24"/>
          <w:szCs w:val="24"/>
          <w:lang w:eastAsia="zh-CN"/>
        </w:rPr>
        <w:t>10</w:t>
      </w:r>
      <w:r w:rsidR="006E06F9" w:rsidRPr="0069484C">
        <w:rPr>
          <w:rFonts w:ascii="华文楷体" w:hAnsi="华文楷体" w:hint="eastAsia"/>
          <w:sz w:val="24"/>
          <w:szCs w:val="24"/>
          <w:lang w:eastAsia="zh-CN"/>
        </w:rPr>
        <w:t>品种上行幅度最大</w:t>
      </w:r>
      <w:r w:rsidR="003C4D9D">
        <w:rPr>
          <w:rFonts w:ascii="华文楷体" w:hAnsi="华文楷体" w:hint="eastAsia"/>
          <w:sz w:val="24"/>
          <w:szCs w:val="24"/>
          <w:lang w:eastAsia="zh-CN"/>
        </w:rPr>
        <w:t>，</w:t>
      </w:r>
      <w:r w:rsidR="0069484C" w:rsidRPr="0069484C">
        <w:rPr>
          <w:rFonts w:ascii="华文楷体" w:hAnsi="华文楷体" w:hint="eastAsia"/>
          <w:sz w:val="24"/>
          <w:szCs w:val="24"/>
          <w:lang w:eastAsia="zh-CN"/>
        </w:rPr>
        <w:t>达到3</w:t>
      </w:r>
      <w:r w:rsidR="0069484C" w:rsidRPr="0069484C">
        <w:rPr>
          <w:rFonts w:ascii="华文楷体" w:hAnsi="华文楷体"/>
          <w:sz w:val="24"/>
          <w:szCs w:val="24"/>
          <w:lang w:eastAsia="zh-CN"/>
        </w:rPr>
        <w:t>.5</w:t>
      </w:r>
      <w:r w:rsidR="006E06F9" w:rsidRPr="0069484C">
        <w:rPr>
          <w:rFonts w:ascii="华文楷体" w:hAnsi="华文楷体" w:hint="eastAsia"/>
          <w:sz w:val="24"/>
          <w:szCs w:val="24"/>
          <w:lang w:eastAsia="zh-CN"/>
        </w:rPr>
        <w:t>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940458">
        <w:tblPrEx>
          <w:tblCellMar>
            <w:left w:w="108" w:type="dxa"/>
            <w:right w:w="108" w:type="dxa"/>
          </w:tblCellMar>
        </w:tblPrEx>
        <w:trPr>
          <w:jc w:val="center"/>
        </w:trPr>
        <w:tc>
          <w:tcPr>
            <w:tcW w:w="4939" w:type="dxa"/>
            <w:vAlign w:val="center"/>
          </w:tcPr>
          <w:p w14:paraId="678C97B0" w14:textId="02338D9B" w:rsidR="00E0626C" w:rsidRPr="007E0340" w:rsidRDefault="00940458" w:rsidP="002104B2">
            <w:pPr>
              <w:rPr>
                <w:noProof/>
              </w:rPr>
            </w:pPr>
            <w:r>
              <w:rPr>
                <w:noProof/>
              </w:rPr>
              <w:drawing>
                <wp:inline distT="0" distB="0" distL="0" distR="0" wp14:anchorId="0ECC16D4" wp14:editId="3DE974EF">
                  <wp:extent cx="2999105" cy="1717040"/>
                  <wp:effectExtent l="0" t="0" r="10795" b="0"/>
                  <wp:docPr id="7" name="图表 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03030EBF" w:rsidR="00E0626C" w:rsidRPr="00E46B36" w:rsidRDefault="00940458" w:rsidP="009A2BA0">
            <w:pPr>
              <w:jc w:val="center"/>
              <w:rPr>
                <w:noProof/>
                <w:sz w:val="14"/>
                <w:szCs w:val="14"/>
              </w:rPr>
            </w:pPr>
            <w:r>
              <w:rPr>
                <w:noProof/>
              </w:rPr>
              <w:drawing>
                <wp:inline distT="0" distB="0" distL="0" distR="0" wp14:anchorId="27596E69" wp14:editId="4037C7EC">
                  <wp:extent cx="2998470" cy="1818640"/>
                  <wp:effectExtent l="0" t="0" r="11430" b="0"/>
                  <wp:docPr id="10" name="图表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4BE4AC15" w:rsidR="007A3F0D" w:rsidRPr="00E359DD" w:rsidRDefault="004C6CBF" w:rsidP="00305223">
      <w:pPr>
        <w:pStyle w:val="Body-text"/>
        <w:spacing w:after="240"/>
        <w:ind w:firstLineChars="200" w:firstLine="480"/>
        <w:rPr>
          <w:rFonts w:ascii="华文楷体" w:hAnsi="华文楷体"/>
          <w:sz w:val="24"/>
          <w:szCs w:val="24"/>
          <w:lang w:eastAsia="zh-CN"/>
        </w:rPr>
      </w:pPr>
      <w:r w:rsidRPr="00E359DD">
        <w:rPr>
          <w:rFonts w:ascii="华文楷体" w:hAnsi="华文楷体" w:hint="eastAsia"/>
          <w:sz w:val="24"/>
          <w:szCs w:val="24"/>
          <w:lang w:eastAsia="zh-CN"/>
        </w:rPr>
        <w:t>本周</w:t>
      </w:r>
      <w:r w:rsidR="00305223" w:rsidRPr="00E359DD">
        <w:rPr>
          <w:rFonts w:ascii="华文楷体" w:hAnsi="华文楷体" w:hint="eastAsia"/>
          <w:sz w:val="24"/>
          <w:szCs w:val="24"/>
          <w:lang w:eastAsia="zh-CN"/>
        </w:rPr>
        <w:t>信用债</w:t>
      </w:r>
      <w:r w:rsidRPr="00E359DD">
        <w:rPr>
          <w:rFonts w:ascii="华文楷体" w:hAnsi="华文楷体" w:hint="eastAsia"/>
          <w:sz w:val="24"/>
          <w:szCs w:val="24"/>
          <w:lang w:eastAsia="zh-CN"/>
        </w:rPr>
        <w:t>表现</w:t>
      </w:r>
      <w:r w:rsidR="00305223" w:rsidRPr="00E359DD">
        <w:rPr>
          <w:rFonts w:ascii="华文楷体" w:hAnsi="华文楷体" w:hint="eastAsia"/>
          <w:sz w:val="24"/>
          <w:szCs w:val="24"/>
          <w:lang w:eastAsia="zh-CN"/>
        </w:rPr>
        <w:t>，</w:t>
      </w:r>
      <w:r w:rsidR="00807490" w:rsidRPr="00E359DD">
        <w:rPr>
          <w:rFonts w:ascii="华文楷体" w:hAnsi="华文楷体" w:hint="eastAsia"/>
          <w:sz w:val="24"/>
          <w:szCs w:val="24"/>
          <w:lang w:eastAsia="zh-CN"/>
        </w:rPr>
        <w:t>信用品种</w:t>
      </w:r>
      <w:r w:rsidR="0083308F" w:rsidRPr="00E359DD">
        <w:rPr>
          <w:rFonts w:ascii="华文楷体" w:hAnsi="华文楷体" w:hint="eastAsia"/>
          <w:sz w:val="24"/>
          <w:szCs w:val="24"/>
          <w:lang w:eastAsia="zh-CN"/>
        </w:rPr>
        <w:t>整体</w:t>
      </w:r>
      <w:r w:rsidR="00AF3C15" w:rsidRPr="00E359DD">
        <w:rPr>
          <w:rFonts w:ascii="华文楷体" w:hAnsi="华文楷体" w:hint="eastAsia"/>
          <w:sz w:val="24"/>
          <w:szCs w:val="24"/>
          <w:lang w:eastAsia="zh-CN"/>
        </w:rPr>
        <w:t>利率跟随利率品种上行</w:t>
      </w:r>
      <w:r w:rsidR="004D1342" w:rsidRPr="00E359DD">
        <w:rPr>
          <w:rFonts w:ascii="华文楷体" w:hAnsi="华文楷体" w:hint="eastAsia"/>
          <w:sz w:val="24"/>
          <w:szCs w:val="24"/>
          <w:lang w:eastAsia="zh-CN"/>
        </w:rPr>
        <w:t>，</w:t>
      </w:r>
      <w:r w:rsidR="00E359DD" w:rsidRPr="00E359DD">
        <w:rPr>
          <w:rFonts w:ascii="华文楷体" w:hAnsi="华文楷体" w:hint="eastAsia"/>
          <w:sz w:val="24"/>
          <w:szCs w:val="24"/>
          <w:lang w:eastAsia="zh-CN"/>
        </w:rPr>
        <w:t>信用方面，除</w:t>
      </w:r>
      <w:proofErr w:type="spellStart"/>
      <w:r w:rsidR="00E359DD" w:rsidRPr="00E359DD">
        <w:rPr>
          <w:rFonts w:ascii="华文楷体" w:hAnsi="华文楷体" w:hint="eastAsia"/>
          <w:sz w:val="24"/>
          <w:szCs w:val="24"/>
          <w:lang w:eastAsia="zh-CN"/>
        </w:rPr>
        <w:t>cp</w:t>
      </w:r>
      <w:proofErr w:type="spellEnd"/>
      <w:r w:rsidR="00E359DD" w:rsidRPr="00E359DD">
        <w:rPr>
          <w:rFonts w:ascii="华文楷体" w:hAnsi="华文楷体" w:hint="eastAsia"/>
          <w:sz w:val="24"/>
          <w:szCs w:val="24"/>
          <w:lang w:eastAsia="zh-CN"/>
        </w:rPr>
        <w:t>外，其他品种大部分期限利率均有上行，其中5y企业债</w:t>
      </w:r>
      <w:proofErr w:type="gramStart"/>
      <w:r w:rsidR="00E359DD" w:rsidRPr="00E359DD">
        <w:rPr>
          <w:rFonts w:ascii="华文楷体" w:hAnsi="华文楷体" w:hint="eastAsia"/>
          <w:sz w:val="24"/>
          <w:szCs w:val="24"/>
          <w:lang w:eastAsia="zh-CN"/>
        </w:rPr>
        <w:t>和中票受</w:t>
      </w:r>
      <w:proofErr w:type="gramEnd"/>
      <w:r w:rsidR="003C4D9D">
        <w:rPr>
          <w:rFonts w:ascii="华文楷体" w:hAnsi="华文楷体" w:hint="eastAsia"/>
          <w:sz w:val="24"/>
          <w:szCs w:val="24"/>
          <w:lang w:eastAsia="zh-CN"/>
        </w:rPr>
        <w:t>5y</w:t>
      </w:r>
      <w:r w:rsidR="00E359DD" w:rsidRPr="00E359DD">
        <w:rPr>
          <w:rFonts w:ascii="华文楷体" w:hAnsi="华文楷体" w:hint="eastAsia"/>
          <w:sz w:val="24"/>
          <w:szCs w:val="24"/>
          <w:lang w:eastAsia="zh-CN"/>
        </w:rPr>
        <w:t>国债发行结果不理想影响利率上行最多，超过10bp。城投方面，本周除3y中低评级品种外，其他品种利率小幅上行，幅度均在5bp以内</w:t>
      </w:r>
      <w:r w:rsidR="004D1342" w:rsidRPr="00E359DD">
        <w:rPr>
          <w:rFonts w:ascii="华文楷体" w:hAnsi="华文楷体" w:hint="eastAsia"/>
          <w:sz w:val="24"/>
          <w:szCs w:val="24"/>
          <w:lang w:eastAsia="zh-CN"/>
        </w:rPr>
        <w:t>。</w:t>
      </w:r>
      <w:r w:rsidR="007275B2" w:rsidRPr="00E359DD">
        <w:rPr>
          <w:rFonts w:ascii="华文楷体" w:hAnsi="华文楷体" w:hint="eastAsia"/>
          <w:sz w:val="24"/>
          <w:szCs w:val="24"/>
          <w:lang w:eastAsia="zh-CN"/>
        </w:rPr>
        <w:t>收益率绝对水平来看，</w:t>
      </w:r>
      <w:r w:rsidR="00AF3C15" w:rsidRPr="00E359DD">
        <w:rPr>
          <w:rFonts w:ascii="华文楷体" w:hAnsi="华文楷体" w:hint="eastAsia"/>
          <w:sz w:val="24"/>
          <w:szCs w:val="24"/>
          <w:lang w:eastAsia="zh-CN"/>
        </w:rPr>
        <w:t>大部分</w:t>
      </w:r>
      <w:r w:rsidR="007275B2" w:rsidRPr="00E359DD">
        <w:rPr>
          <w:rFonts w:ascii="华文楷体" w:hAnsi="华文楷体" w:hint="eastAsia"/>
          <w:sz w:val="24"/>
          <w:szCs w:val="24"/>
          <w:lang w:eastAsia="zh-CN"/>
        </w:rPr>
        <w:t>期限品种</w:t>
      </w:r>
      <w:r w:rsidR="00DC322E" w:rsidRPr="00E359DD">
        <w:rPr>
          <w:rFonts w:ascii="华文楷体" w:hAnsi="华文楷体" w:hint="eastAsia"/>
          <w:sz w:val="24"/>
          <w:szCs w:val="24"/>
          <w:lang w:eastAsia="zh-CN"/>
        </w:rPr>
        <w:t>小幅</w:t>
      </w:r>
      <w:r w:rsidR="00AF3C15" w:rsidRPr="00E359DD">
        <w:rPr>
          <w:rFonts w:ascii="华文楷体" w:hAnsi="华文楷体" w:hint="eastAsia"/>
          <w:sz w:val="24"/>
          <w:szCs w:val="24"/>
          <w:lang w:eastAsia="zh-CN"/>
        </w:rPr>
        <w:t>在</w:t>
      </w:r>
      <w:r w:rsidR="00DC322E" w:rsidRPr="00E359DD">
        <w:rPr>
          <w:rFonts w:ascii="华文楷体" w:hAnsi="华文楷体" w:hint="eastAsia"/>
          <w:sz w:val="24"/>
          <w:szCs w:val="24"/>
          <w:lang w:eastAsia="zh-CN"/>
        </w:rPr>
        <w:t>10</w:t>
      </w:r>
      <w:r w:rsidR="00DC322E" w:rsidRPr="00E359DD">
        <w:rPr>
          <w:rFonts w:ascii="华文楷体" w:hAnsi="华文楷体"/>
          <w:sz w:val="24"/>
          <w:szCs w:val="24"/>
          <w:lang w:eastAsia="zh-CN"/>
        </w:rPr>
        <w:t>-2</w:t>
      </w:r>
      <w:r w:rsidR="00E359DD" w:rsidRPr="00E359DD">
        <w:rPr>
          <w:rFonts w:ascii="华文楷体" w:hAnsi="华文楷体"/>
          <w:sz w:val="24"/>
          <w:szCs w:val="24"/>
          <w:lang w:eastAsia="zh-CN"/>
        </w:rPr>
        <w:t>5</w:t>
      </w:r>
      <w:r w:rsidR="007275B2" w:rsidRPr="00E359DD">
        <w:rPr>
          <w:rFonts w:ascii="华文楷体" w:hAnsi="华文楷体" w:hint="eastAsia"/>
          <w:sz w:val="24"/>
          <w:szCs w:val="24"/>
          <w:lang w:eastAsia="zh-CN"/>
        </w:rPr>
        <w:t>%分位</w:t>
      </w:r>
      <w:r w:rsidR="00C02867" w:rsidRPr="00E359DD">
        <w:rPr>
          <w:rFonts w:ascii="华文楷体" w:hAnsi="华文楷体" w:hint="eastAsia"/>
          <w:sz w:val="24"/>
          <w:szCs w:val="24"/>
          <w:lang w:eastAsia="zh-CN"/>
        </w:rPr>
        <w:t>区间</w:t>
      </w:r>
      <w:r w:rsidR="008D33AB" w:rsidRPr="00E359DD">
        <w:rPr>
          <w:rFonts w:ascii="华文楷体" w:hAnsi="华文楷体" w:hint="eastAsia"/>
          <w:sz w:val="24"/>
          <w:szCs w:val="24"/>
          <w:lang w:eastAsia="zh-CN"/>
        </w:rPr>
        <w:t>，息</w:t>
      </w:r>
      <w:proofErr w:type="gramStart"/>
      <w:r w:rsidR="008D33AB" w:rsidRPr="00E359DD">
        <w:rPr>
          <w:rFonts w:ascii="华文楷体" w:hAnsi="华文楷体" w:hint="eastAsia"/>
          <w:sz w:val="24"/>
          <w:szCs w:val="24"/>
          <w:lang w:eastAsia="zh-CN"/>
        </w:rPr>
        <w:t>差</w:t>
      </w:r>
      <w:r w:rsidR="00157A02" w:rsidRPr="00E359DD">
        <w:rPr>
          <w:rFonts w:ascii="华文楷体" w:hAnsi="华文楷体" w:hint="eastAsia"/>
          <w:sz w:val="24"/>
          <w:szCs w:val="24"/>
          <w:lang w:eastAsia="zh-CN"/>
        </w:rPr>
        <w:t>水平</w:t>
      </w:r>
      <w:proofErr w:type="gramEnd"/>
      <w:r w:rsidR="00E359DD" w:rsidRPr="00E359DD">
        <w:rPr>
          <w:rFonts w:ascii="华文楷体" w:hAnsi="华文楷体" w:hint="eastAsia"/>
          <w:sz w:val="24"/>
          <w:szCs w:val="24"/>
          <w:lang w:eastAsia="zh-CN"/>
        </w:rPr>
        <w:t>上</w:t>
      </w:r>
      <w:r w:rsidR="003C4D9D">
        <w:rPr>
          <w:rFonts w:ascii="华文楷体" w:hAnsi="华文楷体" w:hint="eastAsia"/>
          <w:sz w:val="24"/>
          <w:szCs w:val="24"/>
          <w:lang w:eastAsia="zh-CN"/>
        </w:rPr>
        <w:t>，</w:t>
      </w:r>
      <w:r w:rsidR="00E359DD" w:rsidRPr="00E359DD">
        <w:rPr>
          <w:rFonts w:ascii="华文楷体" w:hAnsi="华文楷体" w:hint="eastAsia"/>
          <w:sz w:val="24"/>
          <w:szCs w:val="24"/>
          <w:lang w:eastAsia="zh-CN"/>
        </w:rPr>
        <w:t>低评级明显走阔</w:t>
      </w:r>
      <w:r w:rsidR="00E13BCF" w:rsidRPr="00E359DD">
        <w:rPr>
          <w:rFonts w:ascii="华文楷体" w:hAnsi="华文楷体" w:hint="eastAsia"/>
          <w:sz w:val="24"/>
          <w:szCs w:val="24"/>
          <w:lang w:eastAsia="zh-CN"/>
        </w:rPr>
        <w:t>。</w:t>
      </w:r>
    </w:p>
    <w:tbl>
      <w:tblPr>
        <w:tblW w:w="9881" w:type="dxa"/>
        <w:jc w:val="center"/>
        <w:tblCellMar>
          <w:left w:w="0" w:type="dxa"/>
          <w:right w:w="0" w:type="dxa"/>
        </w:tblCellMar>
        <w:tblLook w:val="01E0" w:firstRow="1" w:lastRow="1" w:firstColumn="1" w:lastColumn="1" w:noHBand="0" w:noVBand="0"/>
      </w:tblPr>
      <w:tblGrid>
        <w:gridCol w:w="9881"/>
      </w:tblGrid>
      <w:tr w:rsidR="00E0626C" w:rsidRPr="00F966B6" w14:paraId="5602CC82" w14:textId="77777777" w:rsidTr="00E46B36">
        <w:trPr>
          <w:trHeight w:val="269"/>
          <w:jc w:val="center"/>
        </w:trPr>
        <w:tc>
          <w:tcPr>
            <w:tcW w:w="9881"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E46B36">
        <w:tblPrEx>
          <w:tblCellMar>
            <w:left w:w="108" w:type="dxa"/>
            <w:right w:w="108" w:type="dxa"/>
          </w:tblCellMar>
        </w:tblPrEx>
        <w:trPr>
          <w:trHeight w:val="391"/>
          <w:jc w:val="center"/>
        </w:trPr>
        <w:tc>
          <w:tcPr>
            <w:tcW w:w="9881" w:type="dxa"/>
            <w:vAlign w:val="center"/>
          </w:tcPr>
          <w:tbl>
            <w:tblPr>
              <w:tblW w:w="9628" w:type="dxa"/>
              <w:tblLook w:val="04A0" w:firstRow="1" w:lastRow="0" w:firstColumn="1" w:lastColumn="0" w:noHBand="0" w:noVBand="1"/>
            </w:tblPr>
            <w:tblGrid>
              <w:gridCol w:w="1168"/>
              <w:gridCol w:w="940"/>
              <w:gridCol w:w="940"/>
              <w:gridCol w:w="940"/>
              <w:gridCol w:w="940"/>
              <w:gridCol w:w="940"/>
              <w:gridCol w:w="940"/>
              <w:gridCol w:w="940"/>
              <w:gridCol w:w="940"/>
              <w:gridCol w:w="940"/>
            </w:tblGrid>
            <w:tr w:rsidR="0069484C" w:rsidRPr="0069484C" w14:paraId="795332C9" w14:textId="77777777" w:rsidTr="0069484C">
              <w:trPr>
                <w:trHeight w:val="288"/>
              </w:trPr>
              <w:tc>
                <w:tcPr>
                  <w:tcW w:w="1168" w:type="dxa"/>
                  <w:tcBorders>
                    <w:top w:val="nil"/>
                    <w:left w:val="nil"/>
                    <w:bottom w:val="single" w:sz="12" w:space="0" w:color="FFFFFF"/>
                    <w:right w:val="single" w:sz="8" w:space="0" w:color="FFFFFF"/>
                  </w:tcBorders>
                  <w:shd w:val="clear" w:color="000000" w:fill="F79646"/>
                  <w:noWrap/>
                  <w:vAlign w:val="center"/>
                  <w:hideMark/>
                </w:tcPr>
                <w:p w14:paraId="76C82ADF"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收益率(%)</w:t>
                  </w:r>
                </w:p>
              </w:tc>
              <w:tc>
                <w:tcPr>
                  <w:tcW w:w="940" w:type="dxa"/>
                  <w:tcBorders>
                    <w:top w:val="nil"/>
                    <w:left w:val="nil"/>
                    <w:bottom w:val="single" w:sz="12" w:space="0" w:color="FFFFFF"/>
                    <w:right w:val="single" w:sz="8" w:space="0" w:color="FFFFFF"/>
                  </w:tcBorders>
                  <w:shd w:val="clear" w:color="000000" w:fill="F79646"/>
                  <w:noWrap/>
                  <w:vAlign w:val="center"/>
                  <w:hideMark/>
                </w:tcPr>
                <w:p w14:paraId="7821ACA6"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AAA</w:t>
                  </w:r>
                </w:p>
              </w:tc>
              <w:tc>
                <w:tcPr>
                  <w:tcW w:w="940" w:type="dxa"/>
                  <w:tcBorders>
                    <w:top w:val="nil"/>
                    <w:left w:val="nil"/>
                    <w:bottom w:val="single" w:sz="12" w:space="0" w:color="FFFFFF"/>
                    <w:right w:val="single" w:sz="8" w:space="0" w:color="FFFFFF"/>
                  </w:tcBorders>
                  <w:shd w:val="clear" w:color="000000" w:fill="F79646"/>
                  <w:noWrap/>
                  <w:vAlign w:val="center"/>
                  <w:hideMark/>
                </w:tcPr>
                <w:p w14:paraId="3EE959A9"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19217DE4"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34E750F8"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291A1C54"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息差</w:t>
                  </w:r>
                </w:p>
              </w:tc>
              <w:tc>
                <w:tcPr>
                  <w:tcW w:w="940" w:type="dxa"/>
                  <w:tcBorders>
                    <w:top w:val="nil"/>
                    <w:left w:val="nil"/>
                    <w:bottom w:val="single" w:sz="12" w:space="0" w:color="FFFFFF"/>
                    <w:right w:val="single" w:sz="8" w:space="0" w:color="FFFFFF"/>
                  </w:tcBorders>
                  <w:shd w:val="clear" w:color="000000" w:fill="F79646"/>
                  <w:noWrap/>
                  <w:vAlign w:val="center"/>
                  <w:hideMark/>
                </w:tcPr>
                <w:p w14:paraId="69BD7B02"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AAA</w:t>
                  </w:r>
                </w:p>
              </w:tc>
              <w:tc>
                <w:tcPr>
                  <w:tcW w:w="940" w:type="dxa"/>
                  <w:tcBorders>
                    <w:top w:val="nil"/>
                    <w:left w:val="nil"/>
                    <w:bottom w:val="single" w:sz="12" w:space="0" w:color="FFFFFF"/>
                    <w:right w:val="single" w:sz="8" w:space="0" w:color="FFFFFF"/>
                  </w:tcBorders>
                  <w:shd w:val="clear" w:color="000000" w:fill="F79646"/>
                  <w:noWrap/>
                  <w:vAlign w:val="center"/>
                  <w:hideMark/>
                </w:tcPr>
                <w:p w14:paraId="2524FA48"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16A26DFB"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7061F725"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r>
            <w:tr w:rsidR="0069484C" w:rsidRPr="0069484C" w14:paraId="2FF909B0" w14:textId="77777777" w:rsidTr="0069484C">
              <w:trPr>
                <w:trHeight w:val="312"/>
              </w:trPr>
              <w:tc>
                <w:tcPr>
                  <w:tcW w:w="1168" w:type="dxa"/>
                  <w:tcBorders>
                    <w:top w:val="nil"/>
                    <w:left w:val="nil"/>
                    <w:bottom w:val="single" w:sz="8" w:space="0" w:color="FFFFFF"/>
                    <w:right w:val="single" w:sz="8" w:space="0" w:color="FFFFFF"/>
                  </w:tcBorders>
                  <w:shd w:val="clear" w:color="000000" w:fill="FCD5B4"/>
                  <w:noWrap/>
                  <w:vAlign w:val="center"/>
                  <w:hideMark/>
                </w:tcPr>
                <w:p w14:paraId="07D03C0A"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CP</w:t>
                  </w:r>
                </w:p>
              </w:tc>
              <w:tc>
                <w:tcPr>
                  <w:tcW w:w="940" w:type="dxa"/>
                  <w:tcBorders>
                    <w:top w:val="nil"/>
                    <w:left w:val="nil"/>
                    <w:bottom w:val="single" w:sz="8" w:space="0" w:color="FFFFFF"/>
                    <w:right w:val="single" w:sz="8" w:space="0" w:color="FFFFFF"/>
                  </w:tcBorders>
                  <w:shd w:val="clear" w:color="000000" w:fill="FCD5B4"/>
                  <w:noWrap/>
                  <w:vAlign w:val="center"/>
                  <w:hideMark/>
                </w:tcPr>
                <w:p w14:paraId="5A9BF83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2.89 </w:t>
                  </w:r>
                </w:p>
              </w:tc>
              <w:tc>
                <w:tcPr>
                  <w:tcW w:w="940" w:type="dxa"/>
                  <w:tcBorders>
                    <w:top w:val="nil"/>
                    <w:left w:val="nil"/>
                    <w:bottom w:val="single" w:sz="8" w:space="0" w:color="FFFFFF"/>
                    <w:right w:val="single" w:sz="8" w:space="0" w:color="FFFFFF"/>
                  </w:tcBorders>
                  <w:shd w:val="clear" w:color="000000" w:fill="FCD5B4"/>
                  <w:noWrap/>
                  <w:vAlign w:val="center"/>
                  <w:hideMark/>
                </w:tcPr>
                <w:p w14:paraId="2C8E32B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3.04 </w:t>
                  </w:r>
                </w:p>
              </w:tc>
              <w:tc>
                <w:tcPr>
                  <w:tcW w:w="940" w:type="dxa"/>
                  <w:tcBorders>
                    <w:top w:val="nil"/>
                    <w:left w:val="nil"/>
                    <w:bottom w:val="single" w:sz="8" w:space="0" w:color="FFFFFF"/>
                    <w:right w:val="single" w:sz="8" w:space="0" w:color="FFFFFF"/>
                  </w:tcBorders>
                  <w:shd w:val="clear" w:color="000000" w:fill="FCD5B4"/>
                  <w:noWrap/>
                  <w:vAlign w:val="center"/>
                  <w:hideMark/>
                </w:tcPr>
                <w:p w14:paraId="663D77E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3.23 </w:t>
                  </w:r>
                </w:p>
              </w:tc>
              <w:tc>
                <w:tcPr>
                  <w:tcW w:w="940" w:type="dxa"/>
                  <w:tcBorders>
                    <w:top w:val="nil"/>
                    <w:left w:val="nil"/>
                    <w:bottom w:val="single" w:sz="8" w:space="0" w:color="FFFFFF"/>
                    <w:right w:val="single" w:sz="8" w:space="0" w:color="FFFFFF"/>
                  </w:tcBorders>
                  <w:shd w:val="clear" w:color="000000" w:fill="FCD5B4"/>
                  <w:noWrap/>
                  <w:vAlign w:val="center"/>
                  <w:hideMark/>
                </w:tcPr>
                <w:p w14:paraId="5F2E447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5.32 </w:t>
                  </w:r>
                </w:p>
              </w:tc>
              <w:tc>
                <w:tcPr>
                  <w:tcW w:w="940" w:type="dxa"/>
                  <w:tcBorders>
                    <w:top w:val="nil"/>
                    <w:left w:val="nil"/>
                    <w:bottom w:val="single" w:sz="8" w:space="0" w:color="FFFFFF"/>
                    <w:right w:val="single" w:sz="8" w:space="0" w:color="FFFFFF"/>
                  </w:tcBorders>
                  <w:shd w:val="clear" w:color="000000" w:fill="FCD5B4"/>
                  <w:noWrap/>
                  <w:vAlign w:val="center"/>
                  <w:hideMark/>
                </w:tcPr>
                <w:p w14:paraId="0D06729D"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CP</w:t>
                  </w:r>
                </w:p>
              </w:tc>
              <w:tc>
                <w:tcPr>
                  <w:tcW w:w="940" w:type="dxa"/>
                  <w:tcBorders>
                    <w:top w:val="nil"/>
                    <w:left w:val="nil"/>
                    <w:bottom w:val="single" w:sz="8" w:space="0" w:color="FFFFFF"/>
                    <w:right w:val="single" w:sz="8" w:space="0" w:color="FFFFFF"/>
                  </w:tcBorders>
                  <w:shd w:val="clear" w:color="000000" w:fill="FCD5B4"/>
                  <w:noWrap/>
                  <w:vAlign w:val="center"/>
                  <w:hideMark/>
                </w:tcPr>
                <w:p w14:paraId="4B67A68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0.67 </w:t>
                  </w:r>
                </w:p>
              </w:tc>
              <w:tc>
                <w:tcPr>
                  <w:tcW w:w="940" w:type="dxa"/>
                  <w:tcBorders>
                    <w:top w:val="nil"/>
                    <w:left w:val="nil"/>
                    <w:bottom w:val="single" w:sz="8" w:space="0" w:color="FFFFFF"/>
                    <w:right w:val="single" w:sz="8" w:space="0" w:color="FFFFFF"/>
                  </w:tcBorders>
                  <w:shd w:val="clear" w:color="000000" w:fill="FCD5B4"/>
                  <w:noWrap/>
                  <w:vAlign w:val="center"/>
                  <w:hideMark/>
                </w:tcPr>
                <w:p w14:paraId="626CA3C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0.82 </w:t>
                  </w:r>
                </w:p>
              </w:tc>
              <w:tc>
                <w:tcPr>
                  <w:tcW w:w="940" w:type="dxa"/>
                  <w:tcBorders>
                    <w:top w:val="nil"/>
                    <w:left w:val="nil"/>
                    <w:bottom w:val="single" w:sz="8" w:space="0" w:color="FFFFFF"/>
                    <w:right w:val="single" w:sz="8" w:space="0" w:color="FFFFFF"/>
                  </w:tcBorders>
                  <w:shd w:val="clear" w:color="000000" w:fill="FCD5B4"/>
                  <w:noWrap/>
                  <w:vAlign w:val="center"/>
                  <w:hideMark/>
                </w:tcPr>
                <w:p w14:paraId="7CD399C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1.01 </w:t>
                  </w:r>
                </w:p>
              </w:tc>
              <w:tc>
                <w:tcPr>
                  <w:tcW w:w="940" w:type="dxa"/>
                  <w:tcBorders>
                    <w:top w:val="nil"/>
                    <w:left w:val="nil"/>
                    <w:bottom w:val="single" w:sz="8" w:space="0" w:color="FFFFFF"/>
                    <w:right w:val="single" w:sz="8" w:space="0" w:color="FFFFFF"/>
                  </w:tcBorders>
                  <w:shd w:val="clear" w:color="000000" w:fill="FCD5B4"/>
                  <w:noWrap/>
                  <w:vAlign w:val="center"/>
                  <w:hideMark/>
                </w:tcPr>
                <w:p w14:paraId="5CBF3FA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3.10 </w:t>
                  </w:r>
                </w:p>
              </w:tc>
            </w:tr>
            <w:tr w:rsidR="0069484C" w:rsidRPr="0069484C" w14:paraId="56960118"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7FF5649F"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MTN3Y</w:t>
                  </w:r>
                </w:p>
              </w:tc>
              <w:tc>
                <w:tcPr>
                  <w:tcW w:w="940" w:type="dxa"/>
                  <w:tcBorders>
                    <w:top w:val="nil"/>
                    <w:left w:val="nil"/>
                    <w:bottom w:val="single" w:sz="8" w:space="0" w:color="FFFFFF"/>
                    <w:right w:val="single" w:sz="8" w:space="0" w:color="FFFFFF"/>
                  </w:tcBorders>
                  <w:shd w:val="clear" w:color="000000" w:fill="FDE9D9"/>
                  <w:noWrap/>
                  <w:vAlign w:val="center"/>
                  <w:hideMark/>
                </w:tcPr>
                <w:p w14:paraId="0422371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3.55 </w:t>
                  </w:r>
                </w:p>
              </w:tc>
              <w:tc>
                <w:tcPr>
                  <w:tcW w:w="940" w:type="dxa"/>
                  <w:tcBorders>
                    <w:top w:val="nil"/>
                    <w:left w:val="nil"/>
                    <w:bottom w:val="single" w:sz="8" w:space="0" w:color="FFFFFF"/>
                    <w:right w:val="single" w:sz="8" w:space="0" w:color="FFFFFF"/>
                  </w:tcBorders>
                  <w:shd w:val="clear" w:color="000000" w:fill="FDE9D9"/>
                  <w:noWrap/>
                  <w:vAlign w:val="center"/>
                  <w:hideMark/>
                </w:tcPr>
                <w:p w14:paraId="2FA8A65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3.73 </w:t>
                  </w:r>
                </w:p>
              </w:tc>
              <w:tc>
                <w:tcPr>
                  <w:tcW w:w="940" w:type="dxa"/>
                  <w:tcBorders>
                    <w:top w:val="nil"/>
                    <w:left w:val="nil"/>
                    <w:bottom w:val="single" w:sz="8" w:space="0" w:color="FFFFFF"/>
                    <w:right w:val="single" w:sz="8" w:space="0" w:color="FFFFFF"/>
                  </w:tcBorders>
                  <w:shd w:val="clear" w:color="000000" w:fill="FDE9D9"/>
                  <w:noWrap/>
                  <w:vAlign w:val="center"/>
                  <w:hideMark/>
                </w:tcPr>
                <w:p w14:paraId="7402B69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3.97 </w:t>
                  </w:r>
                </w:p>
              </w:tc>
              <w:tc>
                <w:tcPr>
                  <w:tcW w:w="940" w:type="dxa"/>
                  <w:tcBorders>
                    <w:top w:val="nil"/>
                    <w:left w:val="nil"/>
                    <w:bottom w:val="single" w:sz="8" w:space="0" w:color="FFFFFF"/>
                    <w:right w:val="single" w:sz="8" w:space="0" w:color="FFFFFF"/>
                  </w:tcBorders>
                  <w:shd w:val="clear" w:color="000000" w:fill="FDE9D9"/>
                  <w:noWrap/>
                  <w:vAlign w:val="center"/>
                  <w:hideMark/>
                </w:tcPr>
                <w:p w14:paraId="2723AE4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6.06 </w:t>
                  </w:r>
                </w:p>
              </w:tc>
              <w:tc>
                <w:tcPr>
                  <w:tcW w:w="940" w:type="dxa"/>
                  <w:tcBorders>
                    <w:top w:val="nil"/>
                    <w:left w:val="nil"/>
                    <w:bottom w:val="single" w:sz="8" w:space="0" w:color="FFFFFF"/>
                    <w:right w:val="single" w:sz="8" w:space="0" w:color="FFFFFF"/>
                  </w:tcBorders>
                  <w:shd w:val="clear" w:color="000000" w:fill="FDE9D9"/>
                  <w:noWrap/>
                  <w:vAlign w:val="center"/>
                  <w:hideMark/>
                </w:tcPr>
                <w:p w14:paraId="1EE1912B"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MTN3Y</w:t>
                  </w:r>
                </w:p>
              </w:tc>
              <w:tc>
                <w:tcPr>
                  <w:tcW w:w="940" w:type="dxa"/>
                  <w:tcBorders>
                    <w:top w:val="nil"/>
                    <w:left w:val="nil"/>
                    <w:bottom w:val="single" w:sz="8" w:space="0" w:color="FFFFFF"/>
                    <w:right w:val="single" w:sz="8" w:space="0" w:color="FFFFFF"/>
                  </w:tcBorders>
                  <w:shd w:val="clear" w:color="000000" w:fill="FDE9D9"/>
                  <w:noWrap/>
                  <w:vAlign w:val="center"/>
                  <w:hideMark/>
                </w:tcPr>
                <w:p w14:paraId="4E8ADB0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0.86 </w:t>
                  </w:r>
                </w:p>
              </w:tc>
              <w:tc>
                <w:tcPr>
                  <w:tcW w:w="940" w:type="dxa"/>
                  <w:tcBorders>
                    <w:top w:val="nil"/>
                    <w:left w:val="nil"/>
                    <w:bottom w:val="single" w:sz="8" w:space="0" w:color="FFFFFF"/>
                    <w:right w:val="single" w:sz="8" w:space="0" w:color="FFFFFF"/>
                  </w:tcBorders>
                  <w:shd w:val="clear" w:color="000000" w:fill="FDE9D9"/>
                  <w:noWrap/>
                  <w:vAlign w:val="center"/>
                  <w:hideMark/>
                </w:tcPr>
                <w:p w14:paraId="4000EB5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1.04 </w:t>
                  </w:r>
                </w:p>
              </w:tc>
              <w:tc>
                <w:tcPr>
                  <w:tcW w:w="940" w:type="dxa"/>
                  <w:tcBorders>
                    <w:top w:val="nil"/>
                    <w:left w:val="nil"/>
                    <w:bottom w:val="single" w:sz="8" w:space="0" w:color="FFFFFF"/>
                    <w:right w:val="single" w:sz="8" w:space="0" w:color="FFFFFF"/>
                  </w:tcBorders>
                  <w:shd w:val="clear" w:color="000000" w:fill="FDE9D9"/>
                  <w:noWrap/>
                  <w:vAlign w:val="center"/>
                  <w:hideMark/>
                </w:tcPr>
                <w:p w14:paraId="7E52307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1.28 </w:t>
                  </w:r>
                </w:p>
              </w:tc>
              <w:tc>
                <w:tcPr>
                  <w:tcW w:w="940" w:type="dxa"/>
                  <w:tcBorders>
                    <w:top w:val="nil"/>
                    <w:left w:val="nil"/>
                    <w:bottom w:val="single" w:sz="8" w:space="0" w:color="FFFFFF"/>
                    <w:right w:val="single" w:sz="8" w:space="0" w:color="FFFFFF"/>
                  </w:tcBorders>
                  <w:shd w:val="clear" w:color="000000" w:fill="FDE9D9"/>
                  <w:noWrap/>
                  <w:vAlign w:val="center"/>
                  <w:hideMark/>
                </w:tcPr>
                <w:p w14:paraId="321B263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3.37 </w:t>
                  </w:r>
                </w:p>
              </w:tc>
            </w:tr>
            <w:tr w:rsidR="0069484C" w:rsidRPr="0069484C" w14:paraId="362B8A3B"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53B4CBE3"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MTN5Y</w:t>
                  </w:r>
                </w:p>
              </w:tc>
              <w:tc>
                <w:tcPr>
                  <w:tcW w:w="940" w:type="dxa"/>
                  <w:tcBorders>
                    <w:top w:val="nil"/>
                    <w:left w:val="nil"/>
                    <w:bottom w:val="single" w:sz="8" w:space="0" w:color="FFFFFF"/>
                    <w:right w:val="single" w:sz="8" w:space="0" w:color="FFFFFF"/>
                  </w:tcBorders>
                  <w:shd w:val="clear" w:color="000000" w:fill="FCD5B4"/>
                  <w:noWrap/>
                  <w:vAlign w:val="center"/>
                  <w:hideMark/>
                </w:tcPr>
                <w:p w14:paraId="59FE98F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3.88 </w:t>
                  </w:r>
                </w:p>
              </w:tc>
              <w:tc>
                <w:tcPr>
                  <w:tcW w:w="940" w:type="dxa"/>
                  <w:tcBorders>
                    <w:top w:val="nil"/>
                    <w:left w:val="nil"/>
                    <w:bottom w:val="single" w:sz="8" w:space="0" w:color="FFFFFF"/>
                    <w:right w:val="single" w:sz="8" w:space="0" w:color="FFFFFF"/>
                  </w:tcBorders>
                  <w:shd w:val="clear" w:color="000000" w:fill="FCD5B4"/>
                  <w:noWrap/>
                  <w:vAlign w:val="center"/>
                  <w:hideMark/>
                </w:tcPr>
                <w:p w14:paraId="173ED28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4.14 </w:t>
                  </w:r>
                </w:p>
              </w:tc>
              <w:tc>
                <w:tcPr>
                  <w:tcW w:w="940" w:type="dxa"/>
                  <w:tcBorders>
                    <w:top w:val="nil"/>
                    <w:left w:val="nil"/>
                    <w:bottom w:val="single" w:sz="8" w:space="0" w:color="FFFFFF"/>
                    <w:right w:val="single" w:sz="8" w:space="0" w:color="FFFFFF"/>
                  </w:tcBorders>
                  <w:shd w:val="clear" w:color="000000" w:fill="FCD5B4"/>
                  <w:noWrap/>
                  <w:vAlign w:val="center"/>
                  <w:hideMark/>
                </w:tcPr>
                <w:p w14:paraId="601EA77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4.50 </w:t>
                  </w:r>
                </w:p>
              </w:tc>
              <w:tc>
                <w:tcPr>
                  <w:tcW w:w="940" w:type="dxa"/>
                  <w:tcBorders>
                    <w:top w:val="nil"/>
                    <w:left w:val="nil"/>
                    <w:bottom w:val="single" w:sz="8" w:space="0" w:color="FFFFFF"/>
                    <w:right w:val="single" w:sz="8" w:space="0" w:color="FFFFFF"/>
                  </w:tcBorders>
                  <w:shd w:val="clear" w:color="000000" w:fill="FCD5B4"/>
                  <w:noWrap/>
                  <w:vAlign w:val="center"/>
                  <w:hideMark/>
                </w:tcPr>
                <w:p w14:paraId="130B125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6.67 </w:t>
                  </w:r>
                </w:p>
              </w:tc>
              <w:tc>
                <w:tcPr>
                  <w:tcW w:w="940" w:type="dxa"/>
                  <w:tcBorders>
                    <w:top w:val="nil"/>
                    <w:left w:val="nil"/>
                    <w:bottom w:val="single" w:sz="8" w:space="0" w:color="FFFFFF"/>
                    <w:right w:val="single" w:sz="8" w:space="0" w:color="FFFFFF"/>
                  </w:tcBorders>
                  <w:shd w:val="clear" w:color="000000" w:fill="FCD5B4"/>
                  <w:noWrap/>
                  <w:vAlign w:val="center"/>
                  <w:hideMark/>
                </w:tcPr>
                <w:p w14:paraId="2ACC51FA"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MTN5Y</w:t>
                  </w:r>
                </w:p>
              </w:tc>
              <w:tc>
                <w:tcPr>
                  <w:tcW w:w="940" w:type="dxa"/>
                  <w:tcBorders>
                    <w:top w:val="nil"/>
                    <w:left w:val="nil"/>
                    <w:bottom w:val="single" w:sz="8" w:space="0" w:color="FFFFFF"/>
                    <w:right w:val="single" w:sz="8" w:space="0" w:color="FFFFFF"/>
                  </w:tcBorders>
                  <w:shd w:val="clear" w:color="000000" w:fill="FCD5B4"/>
                  <w:noWrap/>
                  <w:vAlign w:val="center"/>
                  <w:hideMark/>
                </w:tcPr>
                <w:p w14:paraId="7B71B5A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1.05 </w:t>
                  </w:r>
                </w:p>
              </w:tc>
              <w:tc>
                <w:tcPr>
                  <w:tcW w:w="940" w:type="dxa"/>
                  <w:tcBorders>
                    <w:top w:val="nil"/>
                    <w:left w:val="nil"/>
                    <w:bottom w:val="single" w:sz="8" w:space="0" w:color="FFFFFF"/>
                    <w:right w:val="single" w:sz="8" w:space="0" w:color="FFFFFF"/>
                  </w:tcBorders>
                  <w:shd w:val="clear" w:color="000000" w:fill="FCD5B4"/>
                  <w:noWrap/>
                  <w:vAlign w:val="center"/>
                  <w:hideMark/>
                </w:tcPr>
                <w:p w14:paraId="54523BE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1.31 </w:t>
                  </w:r>
                </w:p>
              </w:tc>
              <w:tc>
                <w:tcPr>
                  <w:tcW w:w="940" w:type="dxa"/>
                  <w:tcBorders>
                    <w:top w:val="nil"/>
                    <w:left w:val="nil"/>
                    <w:bottom w:val="single" w:sz="8" w:space="0" w:color="FFFFFF"/>
                    <w:right w:val="single" w:sz="8" w:space="0" w:color="FFFFFF"/>
                  </w:tcBorders>
                  <w:shd w:val="clear" w:color="000000" w:fill="FCD5B4"/>
                  <w:noWrap/>
                  <w:vAlign w:val="center"/>
                  <w:hideMark/>
                </w:tcPr>
                <w:p w14:paraId="71D0F95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1.67 </w:t>
                  </w:r>
                </w:p>
              </w:tc>
              <w:tc>
                <w:tcPr>
                  <w:tcW w:w="940" w:type="dxa"/>
                  <w:tcBorders>
                    <w:top w:val="nil"/>
                    <w:left w:val="nil"/>
                    <w:bottom w:val="single" w:sz="8" w:space="0" w:color="FFFFFF"/>
                    <w:right w:val="single" w:sz="8" w:space="0" w:color="FFFFFF"/>
                  </w:tcBorders>
                  <w:shd w:val="clear" w:color="000000" w:fill="FCD5B4"/>
                  <w:noWrap/>
                  <w:vAlign w:val="center"/>
                  <w:hideMark/>
                </w:tcPr>
                <w:p w14:paraId="78FA521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3.84 </w:t>
                  </w:r>
                </w:p>
              </w:tc>
            </w:tr>
            <w:tr w:rsidR="0069484C" w:rsidRPr="0069484C" w14:paraId="39567ADF"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3F62BF7E"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企业债3Y</w:t>
                  </w:r>
                </w:p>
              </w:tc>
              <w:tc>
                <w:tcPr>
                  <w:tcW w:w="940" w:type="dxa"/>
                  <w:tcBorders>
                    <w:top w:val="nil"/>
                    <w:left w:val="nil"/>
                    <w:bottom w:val="single" w:sz="8" w:space="0" w:color="FFFFFF"/>
                    <w:right w:val="single" w:sz="8" w:space="0" w:color="FFFFFF"/>
                  </w:tcBorders>
                  <w:shd w:val="clear" w:color="000000" w:fill="FDE9D9"/>
                  <w:noWrap/>
                  <w:vAlign w:val="center"/>
                  <w:hideMark/>
                </w:tcPr>
                <w:p w14:paraId="4A59183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3.55 </w:t>
                  </w:r>
                </w:p>
              </w:tc>
              <w:tc>
                <w:tcPr>
                  <w:tcW w:w="940" w:type="dxa"/>
                  <w:tcBorders>
                    <w:top w:val="nil"/>
                    <w:left w:val="nil"/>
                    <w:bottom w:val="single" w:sz="8" w:space="0" w:color="FFFFFF"/>
                    <w:right w:val="single" w:sz="8" w:space="0" w:color="FFFFFF"/>
                  </w:tcBorders>
                  <w:shd w:val="clear" w:color="000000" w:fill="FDE9D9"/>
                  <w:noWrap/>
                  <w:vAlign w:val="center"/>
                  <w:hideMark/>
                </w:tcPr>
                <w:p w14:paraId="5703E9B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3.73 </w:t>
                  </w:r>
                </w:p>
              </w:tc>
              <w:tc>
                <w:tcPr>
                  <w:tcW w:w="940" w:type="dxa"/>
                  <w:tcBorders>
                    <w:top w:val="nil"/>
                    <w:left w:val="nil"/>
                    <w:bottom w:val="single" w:sz="8" w:space="0" w:color="FFFFFF"/>
                    <w:right w:val="single" w:sz="8" w:space="0" w:color="FFFFFF"/>
                  </w:tcBorders>
                  <w:shd w:val="clear" w:color="000000" w:fill="FDE9D9"/>
                  <w:noWrap/>
                  <w:vAlign w:val="center"/>
                  <w:hideMark/>
                </w:tcPr>
                <w:p w14:paraId="4C29567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3.95 </w:t>
                  </w:r>
                </w:p>
              </w:tc>
              <w:tc>
                <w:tcPr>
                  <w:tcW w:w="940" w:type="dxa"/>
                  <w:tcBorders>
                    <w:top w:val="nil"/>
                    <w:left w:val="nil"/>
                    <w:bottom w:val="single" w:sz="8" w:space="0" w:color="FFFFFF"/>
                    <w:right w:val="single" w:sz="8" w:space="0" w:color="FFFFFF"/>
                  </w:tcBorders>
                  <w:shd w:val="clear" w:color="000000" w:fill="FDE9D9"/>
                  <w:noWrap/>
                  <w:vAlign w:val="center"/>
                  <w:hideMark/>
                </w:tcPr>
                <w:p w14:paraId="68E5DB6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6.06 </w:t>
                  </w:r>
                </w:p>
              </w:tc>
              <w:tc>
                <w:tcPr>
                  <w:tcW w:w="940" w:type="dxa"/>
                  <w:tcBorders>
                    <w:top w:val="nil"/>
                    <w:left w:val="nil"/>
                    <w:bottom w:val="single" w:sz="8" w:space="0" w:color="FFFFFF"/>
                    <w:right w:val="single" w:sz="8" w:space="0" w:color="FFFFFF"/>
                  </w:tcBorders>
                  <w:shd w:val="clear" w:color="000000" w:fill="FDE9D9"/>
                  <w:noWrap/>
                  <w:vAlign w:val="center"/>
                  <w:hideMark/>
                </w:tcPr>
                <w:p w14:paraId="551FF582"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企业债3Y</w:t>
                  </w:r>
                </w:p>
              </w:tc>
              <w:tc>
                <w:tcPr>
                  <w:tcW w:w="940" w:type="dxa"/>
                  <w:tcBorders>
                    <w:top w:val="nil"/>
                    <w:left w:val="nil"/>
                    <w:bottom w:val="single" w:sz="8" w:space="0" w:color="FFFFFF"/>
                    <w:right w:val="single" w:sz="8" w:space="0" w:color="FFFFFF"/>
                  </w:tcBorders>
                  <w:shd w:val="clear" w:color="000000" w:fill="FDE9D9"/>
                  <w:noWrap/>
                  <w:vAlign w:val="center"/>
                  <w:hideMark/>
                </w:tcPr>
                <w:p w14:paraId="461A614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0.86 </w:t>
                  </w:r>
                </w:p>
              </w:tc>
              <w:tc>
                <w:tcPr>
                  <w:tcW w:w="940" w:type="dxa"/>
                  <w:tcBorders>
                    <w:top w:val="nil"/>
                    <w:left w:val="nil"/>
                    <w:bottom w:val="single" w:sz="8" w:space="0" w:color="FFFFFF"/>
                    <w:right w:val="single" w:sz="8" w:space="0" w:color="FFFFFF"/>
                  </w:tcBorders>
                  <w:shd w:val="clear" w:color="000000" w:fill="FDE9D9"/>
                  <w:noWrap/>
                  <w:vAlign w:val="center"/>
                  <w:hideMark/>
                </w:tcPr>
                <w:p w14:paraId="7D13C87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1.04 </w:t>
                  </w:r>
                </w:p>
              </w:tc>
              <w:tc>
                <w:tcPr>
                  <w:tcW w:w="940" w:type="dxa"/>
                  <w:tcBorders>
                    <w:top w:val="nil"/>
                    <w:left w:val="nil"/>
                    <w:bottom w:val="single" w:sz="8" w:space="0" w:color="FFFFFF"/>
                    <w:right w:val="single" w:sz="8" w:space="0" w:color="FFFFFF"/>
                  </w:tcBorders>
                  <w:shd w:val="clear" w:color="000000" w:fill="FDE9D9"/>
                  <w:noWrap/>
                  <w:vAlign w:val="center"/>
                  <w:hideMark/>
                </w:tcPr>
                <w:p w14:paraId="7AFDB8D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1.26 </w:t>
                  </w:r>
                </w:p>
              </w:tc>
              <w:tc>
                <w:tcPr>
                  <w:tcW w:w="940" w:type="dxa"/>
                  <w:tcBorders>
                    <w:top w:val="nil"/>
                    <w:left w:val="nil"/>
                    <w:bottom w:val="single" w:sz="8" w:space="0" w:color="FFFFFF"/>
                    <w:right w:val="single" w:sz="8" w:space="0" w:color="FFFFFF"/>
                  </w:tcBorders>
                  <w:shd w:val="clear" w:color="000000" w:fill="FDE9D9"/>
                  <w:noWrap/>
                  <w:vAlign w:val="center"/>
                  <w:hideMark/>
                </w:tcPr>
                <w:p w14:paraId="72A8306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3.37 </w:t>
                  </w:r>
                </w:p>
              </w:tc>
            </w:tr>
            <w:tr w:rsidR="0069484C" w:rsidRPr="0069484C" w14:paraId="69976496"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45B49C8C"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企业债5Y</w:t>
                  </w:r>
                </w:p>
              </w:tc>
              <w:tc>
                <w:tcPr>
                  <w:tcW w:w="940" w:type="dxa"/>
                  <w:tcBorders>
                    <w:top w:val="nil"/>
                    <w:left w:val="nil"/>
                    <w:bottom w:val="single" w:sz="8" w:space="0" w:color="FFFFFF"/>
                    <w:right w:val="single" w:sz="8" w:space="0" w:color="FFFFFF"/>
                  </w:tcBorders>
                  <w:shd w:val="clear" w:color="000000" w:fill="FCD5B4"/>
                  <w:noWrap/>
                  <w:vAlign w:val="center"/>
                  <w:hideMark/>
                </w:tcPr>
                <w:p w14:paraId="3CE6710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3.88 </w:t>
                  </w:r>
                </w:p>
              </w:tc>
              <w:tc>
                <w:tcPr>
                  <w:tcW w:w="940" w:type="dxa"/>
                  <w:tcBorders>
                    <w:top w:val="nil"/>
                    <w:left w:val="nil"/>
                    <w:bottom w:val="single" w:sz="8" w:space="0" w:color="FFFFFF"/>
                    <w:right w:val="single" w:sz="8" w:space="0" w:color="FFFFFF"/>
                  </w:tcBorders>
                  <w:shd w:val="clear" w:color="000000" w:fill="FCD5B4"/>
                  <w:noWrap/>
                  <w:vAlign w:val="center"/>
                  <w:hideMark/>
                </w:tcPr>
                <w:p w14:paraId="6F8B5FB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4.14 </w:t>
                  </w:r>
                </w:p>
              </w:tc>
              <w:tc>
                <w:tcPr>
                  <w:tcW w:w="940" w:type="dxa"/>
                  <w:tcBorders>
                    <w:top w:val="nil"/>
                    <w:left w:val="nil"/>
                    <w:bottom w:val="single" w:sz="8" w:space="0" w:color="FFFFFF"/>
                    <w:right w:val="single" w:sz="8" w:space="0" w:color="FFFFFF"/>
                  </w:tcBorders>
                  <w:shd w:val="clear" w:color="000000" w:fill="FCD5B4"/>
                  <w:noWrap/>
                  <w:vAlign w:val="center"/>
                  <w:hideMark/>
                </w:tcPr>
                <w:p w14:paraId="50E44D4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4.50 </w:t>
                  </w:r>
                </w:p>
              </w:tc>
              <w:tc>
                <w:tcPr>
                  <w:tcW w:w="940" w:type="dxa"/>
                  <w:tcBorders>
                    <w:top w:val="nil"/>
                    <w:left w:val="nil"/>
                    <w:bottom w:val="single" w:sz="8" w:space="0" w:color="FFFFFF"/>
                    <w:right w:val="single" w:sz="8" w:space="0" w:color="FFFFFF"/>
                  </w:tcBorders>
                  <w:shd w:val="clear" w:color="000000" w:fill="FCD5B4"/>
                  <w:noWrap/>
                  <w:vAlign w:val="center"/>
                  <w:hideMark/>
                </w:tcPr>
                <w:p w14:paraId="61751CB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6.67 </w:t>
                  </w:r>
                </w:p>
              </w:tc>
              <w:tc>
                <w:tcPr>
                  <w:tcW w:w="940" w:type="dxa"/>
                  <w:tcBorders>
                    <w:top w:val="nil"/>
                    <w:left w:val="nil"/>
                    <w:bottom w:val="single" w:sz="8" w:space="0" w:color="FFFFFF"/>
                    <w:right w:val="single" w:sz="8" w:space="0" w:color="FFFFFF"/>
                  </w:tcBorders>
                  <w:shd w:val="clear" w:color="000000" w:fill="FCD5B4"/>
                  <w:noWrap/>
                  <w:vAlign w:val="center"/>
                  <w:hideMark/>
                </w:tcPr>
                <w:p w14:paraId="64DB91B6"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企业债5Y</w:t>
                  </w:r>
                </w:p>
              </w:tc>
              <w:tc>
                <w:tcPr>
                  <w:tcW w:w="940" w:type="dxa"/>
                  <w:tcBorders>
                    <w:top w:val="nil"/>
                    <w:left w:val="nil"/>
                    <w:bottom w:val="single" w:sz="8" w:space="0" w:color="FFFFFF"/>
                    <w:right w:val="single" w:sz="8" w:space="0" w:color="FFFFFF"/>
                  </w:tcBorders>
                  <w:shd w:val="clear" w:color="000000" w:fill="FCD5B4"/>
                  <w:noWrap/>
                  <w:vAlign w:val="center"/>
                  <w:hideMark/>
                </w:tcPr>
                <w:p w14:paraId="5671EF4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1.05 </w:t>
                  </w:r>
                </w:p>
              </w:tc>
              <w:tc>
                <w:tcPr>
                  <w:tcW w:w="940" w:type="dxa"/>
                  <w:tcBorders>
                    <w:top w:val="nil"/>
                    <w:left w:val="nil"/>
                    <w:bottom w:val="single" w:sz="8" w:space="0" w:color="FFFFFF"/>
                    <w:right w:val="single" w:sz="8" w:space="0" w:color="FFFFFF"/>
                  </w:tcBorders>
                  <w:shd w:val="clear" w:color="000000" w:fill="FCD5B4"/>
                  <w:noWrap/>
                  <w:vAlign w:val="center"/>
                  <w:hideMark/>
                </w:tcPr>
                <w:p w14:paraId="6BF5297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1.31 </w:t>
                  </w:r>
                </w:p>
              </w:tc>
              <w:tc>
                <w:tcPr>
                  <w:tcW w:w="940" w:type="dxa"/>
                  <w:tcBorders>
                    <w:top w:val="nil"/>
                    <w:left w:val="nil"/>
                    <w:bottom w:val="single" w:sz="8" w:space="0" w:color="FFFFFF"/>
                    <w:right w:val="single" w:sz="8" w:space="0" w:color="FFFFFF"/>
                  </w:tcBorders>
                  <w:shd w:val="clear" w:color="000000" w:fill="FCD5B4"/>
                  <w:noWrap/>
                  <w:vAlign w:val="center"/>
                  <w:hideMark/>
                </w:tcPr>
                <w:p w14:paraId="3743CC2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1.67 </w:t>
                  </w:r>
                </w:p>
              </w:tc>
              <w:tc>
                <w:tcPr>
                  <w:tcW w:w="940" w:type="dxa"/>
                  <w:tcBorders>
                    <w:top w:val="nil"/>
                    <w:left w:val="nil"/>
                    <w:bottom w:val="single" w:sz="8" w:space="0" w:color="FFFFFF"/>
                    <w:right w:val="single" w:sz="8" w:space="0" w:color="FFFFFF"/>
                  </w:tcBorders>
                  <w:shd w:val="clear" w:color="000000" w:fill="FCD5B4"/>
                  <w:noWrap/>
                  <w:vAlign w:val="center"/>
                  <w:hideMark/>
                </w:tcPr>
                <w:p w14:paraId="3EFC215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3.84 </w:t>
                  </w:r>
                </w:p>
              </w:tc>
            </w:tr>
            <w:tr w:rsidR="0069484C" w:rsidRPr="0069484C" w14:paraId="78764B25"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6FFABCDC"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lastRenderedPageBreak/>
                    <w:t>企业债7Y</w:t>
                  </w:r>
                </w:p>
              </w:tc>
              <w:tc>
                <w:tcPr>
                  <w:tcW w:w="940" w:type="dxa"/>
                  <w:tcBorders>
                    <w:top w:val="nil"/>
                    <w:left w:val="nil"/>
                    <w:bottom w:val="single" w:sz="8" w:space="0" w:color="FFFFFF"/>
                    <w:right w:val="single" w:sz="8" w:space="0" w:color="FFFFFF"/>
                  </w:tcBorders>
                  <w:shd w:val="clear" w:color="000000" w:fill="FDE9D9"/>
                  <w:noWrap/>
                  <w:vAlign w:val="center"/>
                  <w:hideMark/>
                </w:tcPr>
                <w:p w14:paraId="012C331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3.93 </w:t>
                  </w:r>
                </w:p>
              </w:tc>
              <w:tc>
                <w:tcPr>
                  <w:tcW w:w="940" w:type="dxa"/>
                  <w:tcBorders>
                    <w:top w:val="nil"/>
                    <w:left w:val="nil"/>
                    <w:bottom w:val="single" w:sz="8" w:space="0" w:color="FFFFFF"/>
                    <w:right w:val="single" w:sz="8" w:space="0" w:color="FFFFFF"/>
                  </w:tcBorders>
                  <w:shd w:val="clear" w:color="000000" w:fill="FDE9D9"/>
                  <w:noWrap/>
                  <w:vAlign w:val="center"/>
                  <w:hideMark/>
                </w:tcPr>
                <w:p w14:paraId="17B1CEA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4.27 </w:t>
                  </w:r>
                </w:p>
              </w:tc>
              <w:tc>
                <w:tcPr>
                  <w:tcW w:w="940" w:type="dxa"/>
                  <w:tcBorders>
                    <w:top w:val="nil"/>
                    <w:left w:val="nil"/>
                    <w:bottom w:val="single" w:sz="8" w:space="0" w:color="FFFFFF"/>
                    <w:right w:val="single" w:sz="8" w:space="0" w:color="FFFFFF"/>
                  </w:tcBorders>
                  <w:shd w:val="clear" w:color="000000" w:fill="FDE9D9"/>
                  <w:noWrap/>
                  <w:vAlign w:val="center"/>
                  <w:hideMark/>
                </w:tcPr>
                <w:p w14:paraId="1B51C4D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4.66 </w:t>
                  </w:r>
                </w:p>
              </w:tc>
              <w:tc>
                <w:tcPr>
                  <w:tcW w:w="940" w:type="dxa"/>
                  <w:tcBorders>
                    <w:top w:val="nil"/>
                    <w:left w:val="nil"/>
                    <w:bottom w:val="single" w:sz="8" w:space="0" w:color="FFFFFF"/>
                    <w:right w:val="single" w:sz="8" w:space="0" w:color="FFFFFF"/>
                  </w:tcBorders>
                  <w:shd w:val="clear" w:color="000000" w:fill="FDE9D9"/>
                  <w:noWrap/>
                  <w:vAlign w:val="center"/>
                  <w:hideMark/>
                </w:tcPr>
                <w:p w14:paraId="2AF87DB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6.83 </w:t>
                  </w:r>
                </w:p>
              </w:tc>
              <w:tc>
                <w:tcPr>
                  <w:tcW w:w="940" w:type="dxa"/>
                  <w:tcBorders>
                    <w:top w:val="nil"/>
                    <w:left w:val="nil"/>
                    <w:bottom w:val="single" w:sz="8" w:space="0" w:color="FFFFFF"/>
                    <w:right w:val="single" w:sz="8" w:space="0" w:color="FFFFFF"/>
                  </w:tcBorders>
                  <w:shd w:val="clear" w:color="000000" w:fill="FDE9D9"/>
                  <w:noWrap/>
                  <w:vAlign w:val="center"/>
                  <w:hideMark/>
                </w:tcPr>
                <w:p w14:paraId="19FB1036"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企业债7Y</w:t>
                  </w:r>
                </w:p>
              </w:tc>
              <w:tc>
                <w:tcPr>
                  <w:tcW w:w="940" w:type="dxa"/>
                  <w:tcBorders>
                    <w:top w:val="nil"/>
                    <w:left w:val="nil"/>
                    <w:bottom w:val="single" w:sz="8" w:space="0" w:color="FFFFFF"/>
                    <w:right w:val="single" w:sz="8" w:space="0" w:color="FFFFFF"/>
                  </w:tcBorders>
                  <w:shd w:val="clear" w:color="000000" w:fill="FDE9D9"/>
                  <w:noWrap/>
                  <w:vAlign w:val="center"/>
                  <w:hideMark/>
                </w:tcPr>
                <w:p w14:paraId="4FA9B11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0.89 </w:t>
                  </w:r>
                </w:p>
              </w:tc>
              <w:tc>
                <w:tcPr>
                  <w:tcW w:w="940" w:type="dxa"/>
                  <w:tcBorders>
                    <w:top w:val="nil"/>
                    <w:left w:val="nil"/>
                    <w:bottom w:val="single" w:sz="8" w:space="0" w:color="FFFFFF"/>
                    <w:right w:val="single" w:sz="8" w:space="0" w:color="FFFFFF"/>
                  </w:tcBorders>
                  <w:shd w:val="clear" w:color="000000" w:fill="FDE9D9"/>
                  <w:noWrap/>
                  <w:vAlign w:val="center"/>
                  <w:hideMark/>
                </w:tcPr>
                <w:p w14:paraId="3BFB636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1.23 </w:t>
                  </w:r>
                </w:p>
              </w:tc>
              <w:tc>
                <w:tcPr>
                  <w:tcW w:w="940" w:type="dxa"/>
                  <w:tcBorders>
                    <w:top w:val="nil"/>
                    <w:left w:val="nil"/>
                    <w:bottom w:val="single" w:sz="8" w:space="0" w:color="FFFFFF"/>
                    <w:right w:val="single" w:sz="8" w:space="0" w:color="FFFFFF"/>
                  </w:tcBorders>
                  <w:shd w:val="clear" w:color="000000" w:fill="FDE9D9"/>
                  <w:noWrap/>
                  <w:vAlign w:val="center"/>
                  <w:hideMark/>
                </w:tcPr>
                <w:p w14:paraId="3622719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1.62 </w:t>
                  </w:r>
                </w:p>
              </w:tc>
              <w:tc>
                <w:tcPr>
                  <w:tcW w:w="940" w:type="dxa"/>
                  <w:tcBorders>
                    <w:top w:val="nil"/>
                    <w:left w:val="nil"/>
                    <w:bottom w:val="single" w:sz="8" w:space="0" w:color="FFFFFF"/>
                    <w:right w:val="single" w:sz="8" w:space="0" w:color="FFFFFF"/>
                  </w:tcBorders>
                  <w:shd w:val="clear" w:color="000000" w:fill="FDE9D9"/>
                  <w:noWrap/>
                  <w:vAlign w:val="center"/>
                  <w:hideMark/>
                </w:tcPr>
                <w:p w14:paraId="626C86A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3.79 </w:t>
                  </w:r>
                </w:p>
              </w:tc>
            </w:tr>
            <w:tr w:rsidR="0069484C" w:rsidRPr="0069484C" w14:paraId="4CD05430"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6D2DB729"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3Y</w:t>
                  </w:r>
                </w:p>
              </w:tc>
              <w:tc>
                <w:tcPr>
                  <w:tcW w:w="940" w:type="dxa"/>
                  <w:tcBorders>
                    <w:top w:val="nil"/>
                    <w:left w:val="nil"/>
                    <w:bottom w:val="single" w:sz="8" w:space="0" w:color="FFFFFF"/>
                    <w:right w:val="single" w:sz="8" w:space="0" w:color="FFFFFF"/>
                  </w:tcBorders>
                  <w:shd w:val="clear" w:color="000000" w:fill="FCD5B4"/>
                  <w:noWrap/>
                  <w:vAlign w:val="center"/>
                  <w:hideMark/>
                </w:tcPr>
                <w:p w14:paraId="0DD88F5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3.58 </w:t>
                  </w:r>
                </w:p>
              </w:tc>
              <w:tc>
                <w:tcPr>
                  <w:tcW w:w="940" w:type="dxa"/>
                  <w:tcBorders>
                    <w:top w:val="nil"/>
                    <w:left w:val="nil"/>
                    <w:bottom w:val="single" w:sz="8" w:space="0" w:color="FFFFFF"/>
                    <w:right w:val="single" w:sz="8" w:space="0" w:color="FFFFFF"/>
                  </w:tcBorders>
                  <w:shd w:val="clear" w:color="000000" w:fill="FCD5B4"/>
                  <w:noWrap/>
                  <w:vAlign w:val="center"/>
                  <w:hideMark/>
                </w:tcPr>
                <w:p w14:paraId="47FECDC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3.70 </w:t>
                  </w:r>
                </w:p>
              </w:tc>
              <w:tc>
                <w:tcPr>
                  <w:tcW w:w="940" w:type="dxa"/>
                  <w:tcBorders>
                    <w:top w:val="nil"/>
                    <w:left w:val="nil"/>
                    <w:bottom w:val="single" w:sz="8" w:space="0" w:color="FFFFFF"/>
                    <w:right w:val="single" w:sz="8" w:space="0" w:color="FFFFFF"/>
                  </w:tcBorders>
                  <w:shd w:val="clear" w:color="000000" w:fill="FCD5B4"/>
                  <w:noWrap/>
                  <w:vAlign w:val="center"/>
                  <w:hideMark/>
                </w:tcPr>
                <w:p w14:paraId="1529EDD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3.87 </w:t>
                  </w:r>
                </w:p>
              </w:tc>
              <w:tc>
                <w:tcPr>
                  <w:tcW w:w="940" w:type="dxa"/>
                  <w:tcBorders>
                    <w:top w:val="nil"/>
                    <w:left w:val="nil"/>
                    <w:bottom w:val="single" w:sz="8" w:space="0" w:color="FFFFFF"/>
                    <w:right w:val="single" w:sz="8" w:space="0" w:color="FFFFFF"/>
                  </w:tcBorders>
                  <w:shd w:val="clear" w:color="000000" w:fill="FCD5B4"/>
                  <w:noWrap/>
                  <w:vAlign w:val="center"/>
                  <w:hideMark/>
                </w:tcPr>
                <w:p w14:paraId="0497209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5.66 </w:t>
                  </w:r>
                </w:p>
              </w:tc>
              <w:tc>
                <w:tcPr>
                  <w:tcW w:w="940" w:type="dxa"/>
                  <w:tcBorders>
                    <w:top w:val="nil"/>
                    <w:left w:val="nil"/>
                    <w:bottom w:val="single" w:sz="8" w:space="0" w:color="FFFFFF"/>
                    <w:right w:val="single" w:sz="8" w:space="0" w:color="FFFFFF"/>
                  </w:tcBorders>
                  <w:shd w:val="clear" w:color="000000" w:fill="FCD5B4"/>
                  <w:noWrap/>
                  <w:vAlign w:val="center"/>
                  <w:hideMark/>
                </w:tcPr>
                <w:p w14:paraId="34C8EFA8"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3Y</w:t>
                  </w:r>
                </w:p>
              </w:tc>
              <w:tc>
                <w:tcPr>
                  <w:tcW w:w="940" w:type="dxa"/>
                  <w:tcBorders>
                    <w:top w:val="nil"/>
                    <w:left w:val="nil"/>
                    <w:bottom w:val="single" w:sz="8" w:space="0" w:color="FFFFFF"/>
                    <w:right w:val="single" w:sz="8" w:space="0" w:color="FFFFFF"/>
                  </w:tcBorders>
                  <w:shd w:val="clear" w:color="000000" w:fill="FCD5B4"/>
                  <w:noWrap/>
                  <w:vAlign w:val="center"/>
                  <w:hideMark/>
                </w:tcPr>
                <w:p w14:paraId="1B9ED47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0.89 </w:t>
                  </w:r>
                </w:p>
              </w:tc>
              <w:tc>
                <w:tcPr>
                  <w:tcW w:w="940" w:type="dxa"/>
                  <w:tcBorders>
                    <w:top w:val="nil"/>
                    <w:left w:val="nil"/>
                    <w:bottom w:val="single" w:sz="8" w:space="0" w:color="FFFFFF"/>
                    <w:right w:val="single" w:sz="8" w:space="0" w:color="FFFFFF"/>
                  </w:tcBorders>
                  <w:shd w:val="clear" w:color="000000" w:fill="FCD5B4"/>
                  <w:noWrap/>
                  <w:vAlign w:val="center"/>
                  <w:hideMark/>
                </w:tcPr>
                <w:p w14:paraId="374A1AF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1.01 </w:t>
                  </w:r>
                </w:p>
              </w:tc>
              <w:tc>
                <w:tcPr>
                  <w:tcW w:w="940" w:type="dxa"/>
                  <w:tcBorders>
                    <w:top w:val="nil"/>
                    <w:left w:val="nil"/>
                    <w:bottom w:val="single" w:sz="8" w:space="0" w:color="FFFFFF"/>
                    <w:right w:val="single" w:sz="8" w:space="0" w:color="FFFFFF"/>
                  </w:tcBorders>
                  <w:shd w:val="clear" w:color="000000" w:fill="FCD5B4"/>
                  <w:noWrap/>
                  <w:vAlign w:val="center"/>
                  <w:hideMark/>
                </w:tcPr>
                <w:p w14:paraId="30FA77D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1.18 </w:t>
                  </w:r>
                </w:p>
              </w:tc>
              <w:tc>
                <w:tcPr>
                  <w:tcW w:w="940" w:type="dxa"/>
                  <w:tcBorders>
                    <w:top w:val="nil"/>
                    <w:left w:val="nil"/>
                    <w:bottom w:val="single" w:sz="8" w:space="0" w:color="FFFFFF"/>
                    <w:right w:val="single" w:sz="8" w:space="0" w:color="FFFFFF"/>
                  </w:tcBorders>
                  <w:shd w:val="clear" w:color="000000" w:fill="FCD5B4"/>
                  <w:noWrap/>
                  <w:vAlign w:val="center"/>
                  <w:hideMark/>
                </w:tcPr>
                <w:p w14:paraId="13D4265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2.97 </w:t>
                  </w:r>
                </w:p>
              </w:tc>
            </w:tr>
            <w:tr w:rsidR="0069484C" w:rsidRPr="0069484C" w14:paraId="5614819A"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6F3A9B30"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5Y</w:t>
                  </w:r>
                </w:p>
              </w:tc>
              <w:tc>
                <w:tcPr>
                  <w:tcW w:w="940" w:type="dxa"/>
                  <w:tcBorders>
                    <w:top w:val="nil"/>
                    <w:left w:val="nil"/>
                    <w:bottom w:val="single" w:sz="8" w:space="0" w:color="FFFFFF"/>
                    <w:right w:val="single" w:sz="8" w:space="0" w:color="FFFFFF"/>
                  </w:tcBorders>
                  <w:shd w:val="clear" w:color="000000" w:fill="FDE9D9"/>
                  <w:noWrap/>
                  <w:vAlign w:val="center"/>
                  <w:hideMark/>
                </w:tcPr>
                <w:p w14:paraId="366073E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3.89 </w:t>
                  </w:r>
                </w:p>
              </w:tc>
              <w:tc>
                <w:tcPr>
                  <w:tcW w:w="940" w:type="dxa"/>
                  <w:tcBorders>
                    <w:top w:val="nil"/>
                    <w:left w:val="nil"/>
                    <w:bottom w:val="single" w:sz="8" w:space="0" w:color="FFFFFF"/>
                    <w:right w:val="single" w:sz="8" w:space="0" w:color="FFFFFF"/>
                  </w:tcBorders>
                  <w:shd w:val="clear" w:color="000000" w:fill="FDE9D9"/>
                  <w:noWrap/>
                  <w:vAlign w:val="center"/>
                  <w:hideMark/>
                </w:tcPr>
                <w:p w14:paraId="2D4B3B5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4.06 </w:t>
                  </w:r>
                </w:p>
              </w:tc>
              <w:tc>
                <w:tcPr>
                  <w:tcW w:w="940" w:type="dxa"/>
                  <w:tcBorders>
                    <w:top w:val="nil"/>
                    <w:left w:val="nil"/>
                    <w:bottom w:val="single" w:sz="8" w:space="0" w:color="FFFFFF"/>
                    <w:right w:val="single" w:sz="8" w:space="0" w:color="FFFFFF"/>
                  </w:tcBorders>
                  <w:shd w:val="clear" w:color="000000" w:fill="FDE9D9"/>
                  <w:noWrap/>
                  <w:vAlign w:val="center"/>
                  <w:hideMark/>
                </w:tcPr>
                <w:p w14:paraId="3A2F301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4.30 </w:t>
                  </w:r>
                </w:p>
              </w:tc>
              <w:tc>
                <w:tcPr>
                  <w:tcW w:w="940" w:type="dxa"/>
                  <w:tcBorders>
                    <w:top w:val="nil"/>
                    <w:left w:val="nil"/>
                    <w:bottom w:val="single" w:sz="8" w:space="0" w:color="FFFFFF"/>
                    <w:right w:val="single" w:sz="8" w:space="0" w:color="FFFFFF"/>
                  </w:tcBorders>
                  <w:shd w:val="clear" w:color="000000" w:fill="FDE9D9"/>
                  <w:noWrap/>
                  <w:vAlign w:val="center"/>
                  <w:hideMark/>
                </w:tcPr>
                <w:p w14:paraId="3F55063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6.58 </w:t>
                  </w:r>
                </w:p>
              </w:tc>
              <w:tc>
                <w:tcPr>
                  <w:tcW w:w="940" w:type="dxa"/>
                  <w:tcBorders>
                    <w:top w:val="nil"/>
                    <w:left w:val="nil"/>
                    <w:bottom w:val="single" w:sz="8" w:space="0" w:color="FFFFFF"/>
                    <w:right w:val="single" w:sz="8" w:space="0" w:color="FFFFFF"/>
                  </w:tcBorders>
                  <w:shd w:val="clear" w:color="000000" w:fill="FDE9D9"/>
                  <w:noWrap/>
                  <w:vAlign w:val="center"/>
                  <w:hideMark/>
                </w:tcPr>
                <w:p w14:paraId="3BDC9C10"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5Y</w:t>
                  </w:r>
                </w:p>
              </w:tc>
              <w:tc>
                <w:tcPr>
                  <w:tcW w:w="940" w:type="dxa"/>
                  <w:tcBorders>
                    <w:top w:val="nil"/>
                    <w:left w:val="nil"/>
                    <w:bottom w:val="single" w:sz="8" w:space="0" w:color="FFFFFF"/>
                    <w:right w:val="single" w:sz="8" w:space="0" w:color="FFFFFF"/>
                  </w:tcBorders>
                  <w:shd w:val="clear" w:color="000000" w:fill="FDE9D9"/>
                  <w:noWrap/>
                  <w:vAlign w:val="center"/>
                  <w:hideMark/>
                </w:tcPr>
                <w:p w14:paraId="195BE61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1.06 </w:t>
                  </w:r>
                </w:p>
              </w:tc>
              <w:tc>
                <w:tcPr>
                  <w:tcW w:w="940" w:type="dxa"/>
                  <w:tcBorders>
                    <w:top w:val="nil"/>
                    <w:left w:val="nil"/>
                    <w:bottom w:val="single" w:sz="8" w:space="0" w:color="FFFFFF"/>
                    <w:right w:val="single" w:sz="8" w:space="0" w:color="FFFFFF"/>
                  </w:tcBorders>
                  <w:shd w:val="clear" w:color="000000" w:fill="FDE9D9"/>
                  <w:noWrap/>
                  <w:vAlign w:val="center"/>
                  <w:hideMark/>
                </w:tcPr>
                <w:p w14:paraId="759780E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1.23 </w:t>
                  </w:r>
                </w:p>
              </w:tc>
              <w:tc>
                <w:tcPr>
                  <w:tcW w:w="940" w:type="dxa"/>
                  <w:tcBorders>
                    <w:top w:val="nil"/>
                    <w:left w:val="nil"/>
                    <w:bottom w:val="single" w:sz="8" w:space="0" w:color="FFFFFF"/>
                    <w:right w:val="single" w:sz="8" w:space="0" w:color="FFFFFF"/>
                  </w:tcBorders>
                  <w:shd w:val="clear" w:color="000000" w:fill="FDE9D9"/>
                  <w:noWrap/>
                  <w:vAlign w:val="center"/>
                  <w:hideMark/>
                </w:tcPr>
                <w:p w14:paraId="5039421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1.47 </w:t>
                  </w:r>
                </w:p>
              </w:tc>
              <w:tc>
                <w:tcPr>
                  <w:tcW w:w="940" w:type="dxa"/>
                  <w:tcBorders>
                    <w:top w:val="nil"/>
                    <w:left w:val="nil"/>
                    <w:bottom w:val="single" w:sz="8" w:space="0" w:color="FFFFFF"/>
                    <w:right w:val="single" w:sz="8" w:space="0" w:color="FFFFFF"/>
                  </w:tcBorders>
                  <w:shd w:val="clear" w:color="000000" w:fill="FDE9D9"/>
                  <w:noWrap/>
                  <w:vAlign w:val="center"/>
                  <w:hideMark/>
                </w:tcPr>
                <w:p w14:paraId="3FA91EE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3.75 </w:t>
                  </w:r>
                </w:p>
              </w:tc>
            </w:tr>
            <w:tr w:rsidR="0069484C" w:rsidRPr="0069484C" w14:paraId="1662A127" w14:textId="77777777" w:rsidTr="0069484C">
              <w:trPr>
                <w:trHeight w:val="300"/>
              </w:trPr>
              <w:tc>
                <w:tcPr>
                  <w:tcW w:w="1168" w:type="dxa"/>
                  <w:tcBorders>
                    <w:top w:val="nil"/>
                    <w:left w:val="nil"/>
                    <w:bottom w:val="nil"/>
                    <w:right w:val="nil"/>
                  </w:tcBorders>
                  <w:shd w:val="clear" w:color="000000" w:fill="FCD5B4"/>
                  <w:noWrap/>
                  <w:vAlign w:val="center"/>
                  <w:hideMark/>
                </w:tcPr>
                <w:p w14:paraId="6BBCD56C"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7Y</w:t>
                  </w:r>
                </w:p>
              </w:tc>
              <w:tc>
                <w:tcPr>
                  <w:tcW w:w="940" w:type="dxa"/>
                  <w:tcBorders>
                    <w:top w:val="nil"/>
                    <w:left w:val="nil"/>
                    <w:bottom w:val="single" w:sz="8" w:space="0" w:color="FFFFFF"/>
                    <w:right w:val="single" w:sz="8" w:space="0" w:color="FFFFFF"/>
                  </w:tcBorders>
                  <w:shd w:val="clear" w:color="000000" w:fill="FCD5B4"/>
                  <w:noWrap/>
                  <w:vAlign w:val="center"/>
                  <w:hideMark/>
                </w:tcPr>
                <w:p w14:paraId="4654805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3.99 </w:t>
                  </w:r>
                </w:p>
              </w:tc>
              <w:tc>
                <w:tcPr>
                  <w:tcW w:w="940" w:type="dxa"/>
                  <w:tcBorders>
                    <w:top w:val="nil"/>
                    <w:left w:val="nil"/>
                    <w:bottom w:val="single" w:sz="8" w:space="0" w:color="FFFFFF"/>
                    <w:right w:val="single" w:sz="8" w:space="0" w:color="FFFFFF"/>
                  </w:tcBorders>
                  <w:shd w:val="clear" w:color="000000" w:fill="FCD5B4"/>
                  <w:noWrap/>
                  <w:vAlign w:val="center"/>
                  <w:hideMark/>
                </w:tcPr>
                <w:p w14:paraId="32CBE62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4.19 </w:t>
                  </w:r>
                </w:p>
              </w:tc>
              <w:tc>
                <w:tcPr>
                  <w:tcW w:w="940" w:type="dxa"/>
                  <w:tcBorders>
                    <w:top w:val="nil"/>
                    <w:left w:val="nil"/>
                    <w:bottom w:val="single" w:sz="8" w:space="0" w:color="FFFFFF"/>
                    <w:right w:val="single" w:sz="8" w:space="0" w:color="FFFFFF"/>
                  </w:tcBorders>
                  <w:shd w:val="clear" w:color="000000" w:fill="FCD5B4"/>
                  <w:noWrap/>
                  <w:vAlign w:val="center"/>
                  <w:hideMark/>
                </w:tcPr>
                <w:p w14:paraId="5349B65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4.51 </w:t>
                  </w:r>
                </w:p>
              </w:tc>
              <w:tc>
                <w:tcPr>
                  <w:tcW w:w="940" w:type="dxa"/>
                  <w:tcBorders>
                    <w:top w:val="nil"/>
                    <w:left w:val="nil"/>
                    <w:bottom w:val="single" w:sz="8" w:space="0" w:color="FFFFFF"/>
                    <w:right w:val="single" w:sz="8" w:space="0" w:color="FFFFFF"/>
                  </w:tcBorders>
                  <w:shd w:val="clear" w:color="000000" w:fill="FCD5B4"/>
                  <w:noWrap/>
                  <w:vAlign w:val="center"/>
                  <w:hideMark/>
                </w:tcPr>
                <w:p w14:paraId="4DE4323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6.91 </w:t>
                  </w:r>
                </w:p>
              </w:tc>
              <w:tc>
                <w:tcPr>
                  <w:tcW w:w="940" w:type="dxa"/>
                  <w:tcBorders>
                    <w:top w:val="nil"/>
                    <w:left w:val="nil"/>
                    <w:bottom w:val="nil"/>
                    <w:right w:val="nil"/>
                  </w:tcBorders>
                  <w:shd w:val="clear" w:color="000000" w:fill="FCD5B4"/>
                  <w:noWrap/>
                  <w:vAlign w:val="center"/>
                  <w:hideMark/>
                </w:tcPr>
                <w:p w14:paraId="466669CD"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7Y</w:t>
                  </w:r>
                </w:p>
              </w:tc>
              <w:tc>
                <w:tcPr>
                  <w:tcW w:w="940" w:type="dxa"/>
                  <w:tcBorders>
                    <w:top w:val="nil"/>
                    <w:left w:val="nil"/>
                    <w:bottom w:val="single" w:sz="8" w:space="0" w:color="FFFFFF"/>
                    <w:right w:val="single" w:sz="8" w:space="0" w:color="FFFFFF"/>
                  </w:tcBorders>
                  <w:shd w:val="clear" w:color="000000" w:fill="FCD5B4"/>
                  <w:noWrap/>
                  <w:vAlign w:val="center"/>
                  <w:hideMark/>
                </w:tcPr>
                <w:p w14:paraId="61F5BBC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0.95 </w:t>
                  </w:r>
                </w:p>
              </w:tc>
              <w:tc>
                <w:tcPr>
                  <w:tcW w:w="940" w:type="dxa"/>
                  <w:tcBorders>
                    <w:top w:val="nil"/>
                    <w:left w:val="nil"/>
                    <w:bottom w:val="single" w:sz="8" w:space="0" w:color="FFFFFF"/>
                    <w:right w:val="single" w:sz="8" w:space="0" w:color="FFFFFF"/>
                  </w:tcBorders>
                  <w:shd w:val="clear" w:color="000000" w:fill="FCD5B4"/>
                  <w:noWrap/>
                  <w:vAlign w:val="center"/>
                  <w:hideMark/>
                </w:tcPr>
                <w:p w14:paraId="2B32C1F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1.15 </w:t>
                  </w:r>
                </w:p>
              </w:tc>
              <w:tc>
                <w:tcPr>
                  <w:tcW w:w="940" w:type="dxa"/>
                  <w:tcBorders>
                    <w:top w:val="nil"/>
                    <w:left w:val="nil"/>
                    <w:bottom w:val="single" w:sz="8" w:space="0" w:color="FFFFFF"/>
                    <w:right w:val="single" w:sz="8" w:space="0" w:color="FFFFFF"/>
                  </w:tcBorders>
                  <w:shd w:val="clear" w:color="000000" w:fill="FCD5B4"/>
                  <w:noWrap/>
                  <w:vAlign w:val="center"/>
                  <w:hideMark/>
                </w:tcPr>
                <w:p w14:paraId="55485C2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1.47 </w:t>
                  </w:r>
                </w:p>
              </w:tc>
              <w:tc>
                <w:tcPr>
                  <w:tcW w:w="940" w:type="dxa"/>
                  <w:tcBorders>
                    <w:top w:val="nil"/>
                    <w:left w:val="nil"/>
                    <w:bottom w:val="single" w:sz="8" w:space="0" w:color="FFFFFF"/>
                    <w:right w:val="single" w:sz="8" w:space="0" w:color="FFFFFF"/>
                  </w:tcBorders>
                  <w:shd w:val="clear" w:color="000000" w:fill="FCD5B4"/>
                  <w:noWrap/>
                  <w:vAlign w:val="center"/>
                  <w:hideMark/>
                </w:tcPr>
                <w:p w14:paraId="54031C5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3.87 </w:t>
                  </w:r>
                </w:p>
              </w:tc>
            </w:tr>
            <w:tr w:rsidR="0069484C" w:rsidRPr="0069484C" w14:paraId="2EF47F32" w14:textId="77777777" w:rsidTr="0069484C">
              <w:trPr>
                <w:trHeight w:val="150"/>
              </w:trPr>
              <w:tc>
                <w:tcPr>
                  <w:tcW w:w="1168" w:type="dxa"/>
                  <w:tcBorders>
                    <w:top w:val="nil"/>
                    <w:left w:val="nil"/>
                    <w:bottom w:val="nil"/>
                    <w:right w:val="nil"/>
                  </w:tcBorders>
                  <w:shd w:val="clear" w:color="auto" w:fill="auto"/>
                  <w:noWrap/>
                  <w:vAlign w:val="center"/>
                  <w:hideMark/>
                </w:tcPr>
                <w:p w14:paraId="60CD1874" w14:textId="77777777" w:rsidR="0069484C" w:rsidRPr="0069484C" w:rsidRDefault="0069484C" w:rsidP="0069484C">
                  <w:pPr>
                    <w:widowControl/>
                    <w:jc w:val="center"/>
                    <w:rPr>
                      <w:rFonts w:eastAsia="等线" w:cs="Calibri"/>
                      <w:color w:val="000000"/>
                      <w:kern w:val="0"/>
                      <w:sz w:val="15"/>
                      <w:szCs w:val="15"/>
                    </w:rPr>
                  </w:pPr>
                </w:p>
              </w:tc>
              <w:tc>
                <w:tcPr>
                  <w:tcW w:w="940" w:type="dxa"/>
                  <w:tcBorders>
                    <w:top w:val="nil"/>
                    <w:left w:val="nil"/>
                    <w:bottom w:val="nil"/>
                    <w:right w:val="nil"/>
                  </w:tcBorders>
                  <w:shd w:val="clear" w:color="auto" w:fill="auto"/>
                  <w:noWrap/>
                  <w:vAlign w:val="center"/>
                  <w:hideMark/>
                </w:tcPr>
                <w:p w14:paraId="372FF854"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46566E5B"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7CD4699A"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7BE44342"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7EF5472A"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22B810C5"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0A680872"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5418BDB4"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54327662" w14:textId="77777777" w:rsidR="0069484C" w:rsidRPr="0069484C" w:rsidRDefault="0069484C" w:rsidP="0069484C">
                  <w:pPr>
                    <w:widowControl/>
                    <w:jc w:val="center"/>
                    <w:rPr>
                      <w:rFonts w:ascii="Times New Roman" w:eastAsia="Times New Roman" w:hAnsi="Times New Roman"/>
                      <w:kern w:val="0"/>
                      <w:sz w:val="15"/>
                      <w:szCs w:val="15"/>
                    </w:rPr>
                  </w:pPr>
                </w:p>
              </w:tc>
            </w:tr>
            <w:tr w:rsidR="0069484C" w:rsidRPr="0069484C" w14:paraId="2439AAA3" w14:textId="77777777" w:rsidTr="0069484C">
              <w:trPr>
                <w:trHeight w:val="300"/>
              </w:trPr>
              <w:tc>
                <w:tcPr>
                  <w:tcW w:w="1168" w:type="dxa"/>
                  <w:tcBorders>
                    <w:top w:val="nil"/>
                    <w:left w:val="nil"/>
                    <w:bottom w:val="single" w:sz="12" w:space="0" w:color="FFFFFF"/>
                    <w:right w:val="single" w:sz="8" w:space="0" w:color="FFFFFF"/>
                  </w:tcBorders>
                  <w:shd w:val="clear" w:color="000000" w:fill="F79646"/>
                  <w:noWrap/>
                  <w:vAlign w:val="center"/>
                  <w:hideMark/>
                </w:tcPr>
                <w:p w14:paraId="74C062B9" w14:textId="77777777" w:rsidR="0069484C" w:rsidRPr="0069484C" w:rsidRDefault="0069484C" w:rsidP="0069484C">
                  <w:pPr>
                    <w:widowControl/>
                    <w:jc w:val="center"/>
                    <w:rPr>
                      <w:rFonts w:ascii="楷体" w:eastAsia="楷体" w:hAnsi="楷体" w:cs="宋体"/>
                      <w:b/>
                      <w:bCs/>
                      <w:color w:val="FFFFFF"/>
                      <w:kern w:val="0"/>
                      <w:sz w:val="15"/>
                      <w:szCs w:val="15"/>
                    </w:rPr>
                  </w:pPr>
                  <w:proofErr w:type="gramStart"/>
                  <w:r w:rsidRPr="0069484C">
                    <w:rPr>
                      <w:rFonts w:ascii="楷体" w:eastAsia="楷体" w:hAnsi="楷体" w:cs="宋体" w:hint="eastAsia"/>
                      <w:b/>
                      <w:bCs/>
                      <w:color w:val="FFFFFF"/>
                      <w:kern w:val="0"/>
                      <w:sz w:val="15"/>
                      <w:szCs w:val="15"/>
                    </w:rPr>
                    <w:t>周变化</w:t>
                  </w:r>
                  <w:proofErr w:type="gramEnd"/>
                  <w:r w:rsidRPr="0069484C">
                    <w:rPr>
                      <w:rFonts w:ascii="楷体" w:eastAsia="楷体" w:hAnsi="楷体" w:cs="宋体" w:hint="eastAsia"/>
                      <w:b/>
                      <w:bCs/>
                      <w:color w:val="FFFFFF"/>
                      <w:kern w:val="0"/>
                      <w:sz w:val="15"/>
                      <w:szCs w:val="15"/>
                    </w:rPr>
                    <w:t>(BP)</w:t>
                  </w:r>
                </w:p>
              </w:tc>
              <w:tc>
                <w:tcPr>
                  <w:tcW w:w="940" w:type="dxa"/>
                  <w:tcBorders>
                    <w:top w:val="nil"/>
                    <w:left w:val="nil"/>
                    <w:bottom w:val="single" w:sz="12" w:space="0" w:color="FFFFFF"/>
                    <w:right w:val="single" w:sz="8" w:space="0" w:color="FFFFFF"/>
                  </w:tcBorders>
                  <w:shd w:val="clear" w:color="000000" w:fill="F79646"/>
                  <w:noWrap/>
                  <w:vAlign w:val="center"/>
                  <w:hideMark/>
                </w:tcPr>
                <w:p w14:paraId="139850F1"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AAA</w:t>
                  </w:r>
                </w:p>
              </w:tc>
              <w:tc>
                <w:tcPr>
                  <w:tcW w:w="940" w:type="dxa"/>
                  <w:tcBorders>
                    <w:top w:val="nil"/>
                    <w:left w:val="nil"/>
                    <w:bottom w:val="single" w:sz="12" w:space="0" w:color="FFFFFF"/>
                    <w:right w:val="single" w:sz="8" w:space="0" w:color="FFFFFF"/>
                  </w:tcBorders>
                  <w:shd w:val="clear" w:color="000000" w:fill="F79646"/>
                  <w:noWrap/>
                  <w:vAlign w:val="center"/>
                  <w:hideMark/>
                </w:tcPr>
                <w:p w14:paraId="5565D93C"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3F4BA8AA"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549261BD"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0EBC83A7"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息差</w:t>
                  </w:r>
                </w:p>
              </w:tc>
              <w:tc>
                <w:tcPr>
                  <w:tcW w:w="940" w:type="dxa"/>
                  <w:tcBorders>
                    <w:top w:val="nil"/>
                    <w:left w:val="nil"/>
                    <w:bottom w:val="single" w:sz="12" w:space="0" w:color="FFFFFF"/>
                    <w:right w:val="single" w:sz="8" w:space="0" w:color="FFFFFF"/>
                  </w:tcBorders>
                  <w:shd w:val="clear" w:color="000000" w:fill="F79646"/>
                  <w:noWrap/>
                  <w:vAlign w:val="center"/>
                  <w:hideMark/>
                </w:tcPr>
                <w:p w14:paraId="71135809"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AAA</w:t>
                  </w:r>
                </w:p>
              </w:tc>
              <w:tc>
                <w:tcPr>
                  <w:tcW w:w="940" w:type="dxa"/>
                  <w:tcBorders>
                    <w:top w:val="nil"/>
                    <w:left w:val="nil"/>
                    <w:bottom w:val="single" w:sz="12" w:space="0" w:color="FFFFFF"/>
                    <w:right w:val="single" w:sz="8" w:space="0" w:color="FFFFFF"/>
                  </w:tcBorders>
                  <w:shd w:val="clear" w:color="000000" w:fill="F79646"/>
                  <w:noWrap/>
                  <w:vAlign w:val="center"/>
                  <w:hideMark/>
                </w:tcPr>
                <w:p w14:paraId="0E253E38"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45D0A204"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6FE44BB7"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r>
            <w:tr w:rsidR="0069484C" w:rsidRPr="0069484C" w14:paraId="15971736" w14:textId="77777777" w:rsidTr="0069484C">
              <w:trPr>
                <w:trHeight w:val="312"/>
              </w:trPr>
              <w:tc>
                <w:tcPr>
                  <w:tcW w:w="1168" w:type="dxa"/>
                  <w:tcBorders>
                    <w:top w:val="nil"/>
                    <w:left w:val="nil"/>
                    <w:bottom w:val="single" w:sz="8" w:space="0" w:color="FFFFFF"/>
                    <w:right w:val="single" w:sz="8" w:space="0" w:color="FFFFFF"/>
                  </w:tcBorders>
                  <w:shd w:val="clear" w:color="000000" w:fill="FCD5B4"/>
                  <w:noWrap/>
                  <w:vAlign w:val="center"/>
                  <w:hideMark/>
                </w:tcPr>
                <w:p w14:paraId="5353EC21"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CP</w:t>
                  </w:r>
                </w:p>
              </w:tc>
              <w:tc>
                <w:tcPr>
                  <w:tcW w:w="940" w:type="dxa"/>
                  <w:tcBorders>
                    <w:top w:val="nil"/>
                    <w:left w:val="nil"/>
                    <w:bottom w:val="single" w:sz="8" w:space="0" w:color="FFFFFF"/>
                    <w:right w:val="single" w:sz="8" w:space="0" w:color="FFFFFF"/>
                  </w:tcBorders>
                  <w:shd w:val="clear" w:color="000000" w:fill="FCD5B4"/>
                  <w:noWrap/>
                  <w:vAlign w:val="center"/>
                  <w:hideMark/>
                </w:tcPr>
                <w:p w14:paraId="5596A1A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-2.3 </w:t>
                  </w:r>
                </w:p>
              </w:tc>
              <w:tc>
                <w:tcPr>
                  <w:tcW w:w="940" w:type="dxa"/>
                  <w:tcBorders>
                    <w:top w:val="nil"/>
                    <w:left w:val="nil"/>
                    <w:bottom w:val="single" w:sz="8" w:space="0" w:color="FFFFFF"/>
                    <w:right w:val="single" w:sz="8" w:space="0" w:color="FFFFFF"/>
                  </w:tcBorders>
                  <w:shd w:val="clear" w:color="000000" w:fill="FCD5B4"/>
                  <w:noWrap/>
                  <w:vAlign w:val="center"/>
                  <w:hideMark/>
                </w:tcPr>
                <w:p w14:paraId="0EC5551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-2.3 </w:t>
                  </w:r>
                </w:p>
              </w:tc>
              <w:tc>
                <w:tcPr>
                  <w:tcW w:w="940" w:type="dxa"/>
                  <w:tcBorders>
                    <w:top w:val="nil"/>
                    <w:left w:val="nil"/>
                    <w:bottom w:val="single" w:sz="8" w:space="0" w:color="FFFFFF"/>
                    <w:right w:val="single" w:sz="8" w:space="0" w:color="FFFFFF"/>
                  </w:tcBorders>
                  <w:shd w:val="clear" w:color="000000" w:fill="FCD5B4"/>
                  <w:noWrap/>
                  <w:vAlign w:val="center"/>
                  <w:hideMark/>
                </w:tcPr>
                <w:p w14:paraId="435D6A9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-5.3 </w:t>
                  </w:r>
                </w:p>
              </w:tc>
              <w:tc>
                <w:tcPr>
                  <w:tcW w:w="940" w:type="dxa"/>
                  <w:tcBorders>
                    <w:top w:val="nil"/>
                    <w:left w:val="nil"/>
                    <w:bottom w:val="single" w:sz="8" w:space="0" w:color="FFFFFF"/>
                    <w:right w:val="single" w:sz="8" w:space="0" w:color="FFFFFF"/>
                  </w:tcBorders>
                  <w:shd w:val="clear" w:color="000000" w:fill="FCD5B4"/>
                  <w:noWrap/>
                  <w:vAlign w:val="center"/>
                  <w:hideMark/>
                </w:tcPr>
                <w:p w14:paraId="71CF98B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-9.3 </w:t>
                  </w:r>
                </w:p>
              </w:tc>
              <w:tc>
                <w:tcPr>
                  <w:tcW w:w="940" w:type="dxa"/>
                  <w:tcBorders>
                    <w:top w:val="nil"/>
                    <w:left w:val="nil"/>
                    <w:bottom w:val="single" w:sz="8" w:space="0" w:color="FFFFFF"/>
                    <w:right w:val="single" w:sz="8" w:space="0" w:color="FFFFFF"/>
                  </w:tcBorders>
                  <w:shd w:val="clear" w:color="000000" w:fill="FCD5B4"/>
                  <w:noWrap/>
                  <w:vAlign w:val="center"/>
                  <w:hideMark/>
                </w:tcPr>
                <w:p w14:paraId="4421BD14"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CP</w:t>
                  </w:r>
                </w:p>
              </w:tc>
              <w:tc>
                <w:tcPr>
                  <w:tcW w:w="940" w:type="dxa"/>
                  <w:tcBorders>
                    <w:top w:val="nil"/>
                    <w:left w:val="nil"/>
                    <w:bottom w:val="single" w:sz="8" w:space="0" w:color="FFFFFF"/>
                    <w:right w:val="single" w:sz="8" w:space="0" w:color="FFFFFF"/>
                  </w:tcBorders>
                  <w:shd w:val="clear" w:color="000000" w:fill="FCD5B4"/>
                  <w:noWrap/>
                  <w:vAlign w:val="center"/>
                  <w:hideMark/>
                </w:tcPr>
                <w:p w14:paraId="5D5F8EF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-0.2 </w:t>
                  </w:r>
                </w:p>
              </w:tc>
              <w:tc>
                <w:tcPr>
                  <w:tcW w:w="940" w:type="dxa"/>
                  <w:tcBorders>
                    <w:top w:val="nil"/>
                    <w:left w:val="nil"/>
                    <w:bottom w:val="single" w:sz="8" w:space="0" w:color="FFFFFF"/>
                    <w:right w:val="single" w:sz="8" w:space="0" w:color="FFFFFF"/>
                  </w:tcBorders>
                  <w:shd w:val="clear" w:color="000000" w:fill="FCD5B4"/>
                  <w:noWrap/>
                  <w:vAlign w:val="center"/>
                  <w:hideMark/>
                </w:tcPr>
                <w:p w14:paraId="35FD813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-0.2 </w:t>
                  </w:r>
                </w:p>
              </w:tc>
              <w:tc>
                <w:tcPr>
                  <w:tcW w:w="940" w:type="dxa"/>
                  <w:tcBorders>
                    <w:top w:val="nil"/>
                    <w:left w:val="nil"/>
                    <w:bottom w:val="single" w:sz="8" w:space="0" w:color="FFFFFF"/>
                    <w:right w:val="single" w:sz="8" w:space="0" w:color="FFFFFF"/>
                  </w:tcBorders>
                  <w:shd w:val="clear" w:color="000000" w:fill="FCD5B4"/>
                  <w:noWrap/>
                  <w:vAlign w:val="center"/>
                  <w:hideMark/>
                </w:tcPr>
                <w:p w14:paraId="5953C84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-3.2 </w:t>
                  </w:r>
                </w:p>
              </w:tc>
              <w:tc>
                <w:tcPr>
                  <w:tcW w:w="940" w:type="dxa"/>
                  <w:tcBorders>
                    <w:top w:val="nil"/>
                    <w:left w:val="nil"/>
                    <w:bottom w:val="single" w:sz="8" w:space="0" w:color="FFFFFF"/>
                    <w:right w:val="single" w:sz="8" w:space="0" w:color="FFFFFF"/>
                  </w:tcBorders>
                  <w:shd w:val="clear" w:color="000000" w:fill="FCD5B4"/>
                  <w:noWrap/>
                  <w:vAlign w:val="center"/>
                  <w:hideMark/>
                </w:tcPr>
                <w:p w14:paraId="7E36C10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-7.2 </w:t>
                  </w:r>
                </w:p>
              </w:tc>
            </w:tr>
            <w:tr w:rsidR="0069484C" w:rsidRPr="0069484C" w14:paraId="0F13E7B2"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60622FFB"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MTN3Y</w:t>
                  </w:r>
                </w:p>
              </w:tc>
              <w:tc>
                <w:tcPr>
                  <w:tcW w:w="940" w:type="dxa"/>
                  <w:tcBorders>
                    <w:top w:val="nil"/>
                    <w:left w:val="nil"/>
                    <w:bottom w:val="single" w:sz="8" w:space="0" w:color="FFFFFF"/>
                    <w:right w:val="single" w:sz="8" w:space="0" w:color="FFFFFF"/>
                  </w:tcBorders>
                  <w:shd w:val="clear" w:color="000000" w:fill="FDE9D9"/>
                  <w:noWrap/>
                  <w:vAlign w:val="center"/>
                  <w:hideMark/>
                </w:tcPr>
                <w:p w14:paraId="31D7A75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3.1 </w:t>
                  </w:r>
                </w:p>
              </w:tc>
              <w:tc>
                <w:tcPr>
                  <w:tcW w:w="940" w:type="dxa"/>
                  <w:tcBorders>
                    <w:top w:val="nil"/>
                    <w:left w:val="nil"/>
                    <w:bottom w:val="single" w:sz="8" w:space="0" w:color="FFFFFF"/>
                    <w:right w:val="single" w:sz="8" w:space="0" w:color="FFFFFF"/>
                  </w:tcBorders>
                  <w:shd w:val="clear" w:color="000000" w:fill="FDE9D9"/>
                  <w:noWrap/>
                  <w:vAlign w:val="center"/>
                  <w:hideMark/>
                </w:tcPr>
                <w:p w14:paraId="393AC74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3.1 </w:t>
                  </w:r>
                </w:p>
              </w:tc>
              <w:tc>
                <w:tcPr>
                  <w:tcW w:w="940" w:type="dxa"/>
                  <w:tcBorders>
                    <w:top w:val="nil"/>
                    <w:left w:val="nil"/>
                    <w:bottom w:val="single" w:sz="8" w:space="0" w:color="FFFFFF"/>
                    <w:right w:val="single" w:sz="8" w:space="0" w:color="FFFFFF"/>
                  </w:tcBorders>
                  <w:shd w:val="clear" w:color="000000" w:fill="FDE9D9"/>
                  <w:noWrap/>
                  <w:vAlign w:val="center"/>
                  <w:hideMark/>
                </w:tcPr>
                <w:p w14:paraId="1EFC14D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-0.9 </w:t>
                  </w:r>
                </w:p>
              </w:tc>
              <w:tc>
                <w:tcPr>
                  <w:tcW w:w="940" w:type="dxa"/>
                  <w:tcBorders>
                    <w:top w:val="nil"/>
                    <w:left w:val="nil"/>
                    <w:bottom w:val="single" w:sz="8" w:space="0" w:color="FFFFFF"/>
                    <w:right w:val="single" w:sz="8" w:space="0" w:color="FFFFFF"/>
                  </w:tcBorders>
                  <w:shd w:val="clear" w:color="000000" w:fill="FDE9D9"/>
                  <w:noWrap/>
                  <w:vAlign w:val="center"/>
                  <w:hideMark/>
                </w:tcPr>
                <w:p w14:paraId="47B81D0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-4.9 </w:t>
                  </w:r>
                </w:p>
              </w:tc>
              <w:tc>
                <w:tcPr>
                  <w:tcW w:w="940" w:type="dxa"/>
                  <w:tcBorders>
                    <w:top w:val="nil"/>
                    <w:left w:val="nil"/>
                    <w:bottom w:val="single" w:sz="8" w:space="0" w:color="FFFFFF"/>
                    <w:right w:val="single" w:sz="8" w:space="0" w:color="FFFFFF"/>
                  </w:tcBorders>
                  <w:shd w:val="clear" w:color="000000" w:fill="FDE9D9"/>
                  <w:noWrap/>
                  <w:vAlign w:val="center"/>
                  <w:hideMark/>
                </w:tcPr>
                <w:p w14:paraId="7D3D58DF"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MTN3Y</w:t>
                  </w:r>
                </w:p>
              </w:tc>
              <w:tc>
                <w:tcPr>
                  <w:tcW w:w="940" w:type="dxa"/>
                  <w:tcBorders>
                    <w:top w:val="nil"/>
                    <w:left w:val="nil"/>
                    <w:bottom w:val="single" w:sz="8" w:space="0" w:color="FFFFFF"/>
                    <w:right w:val="single" w:sz="8" w:space="0" w:color="FFFFFF"/>
                  </w:tcBorders>
                  <w:shd w:val="clear" w:color="000000" w:fill="FDE9D9"/>
                  <w:noWrap/>
                  <w:vAlign w:val="center"/>
                  <w:hideMark/>
                </w:tcPr>
                <w:p w14:paraId="358754F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-14.0 </w:t>
                  </w:r>
                </w:p>
              </w:tc>
              <w:tc>
                <w:tcPr>
                  <w:tcW w:w="940" w:type="dxa"/>
                  <w:tcBorders>
                    <w:top w:val="nil"/>
                    <w:left w:val="nil"/>
                    <w:bottom w:val="single" w:sz="8" w:space="0" w:color="FFFFFF"/>
                    <w:right w:val="single" w:sz="8" w:space="0" w:color="FFFFFF"/>
                  </w:tcBorders>
                  <w:shd w:val="clear" w:color="000000" w:fill="FDE9D9"/>
                  <w:noWrap/>
                  <w:vAlign w:val="center"/>
                  <w:hideMark/>
                </w:tcPr>
                <w:p w14:paraId="23D3DF4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-14.1 </w:t>
                  </w:r>
                </w:p>
              </w:tc>
              <w:tc>
                <w:tcPr>
                  <w:tcW w:w="940" w:type="dxa"/>
                  <w:tcBorders>
                    <w:top w:val="nil"/>
                    <w:left w:val="nil"/>
                    <w:bottom w:val="single" w:sz="8" w:space="0" w:color="FFFFFF"/>
                    <w:right w:val="single" w:sz="8" w:space="0" w:color="FFFFFF"/>
                  </w:tcBorders>
                  <w:shd w:val="clear" w:color="000000" w:fill="FDE9D9"/>
                  <w:noWrap/>
                  <w:vAlign w:val="center"/>
                  <w:hideMark/>
                </w:tcPr>
                <w:p w14:paraId="122A56B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-18.0 </w:t>
                  </w:r>
                </w:p>
              </w:tc>
              <w:tc>
                <w:tcPr>
                  <w:tcW w:w="940" w:type="dxa"/>
                  <w:tcBorders>
                    <w:top w:val="nil"/>
                    <w:left w:val="nil"/>
                    <w:bottom w:val="single" w:sz="8" w:space="0" w:color="FFFFFF"/>
                    <w:right w:val="single" w:sz="8" w:space="0" w:color="FFFFFF"/>
                  </w:tcBorders>
                  <w:shd w:val="clear" w:color="000000" w:fill="FDE9D9"/>
                  <w:noWrap/>
                  <w:vAlign w:val="center"/>
                  <w:hideMark/>
                </w:tcPr>
                <w:p w14:paraId="7D4D070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-22.0 </w:t>
                  </w:r>
                </w:p>
              </w:tc>
            </w:tr>
            <w:tr w:rsidR="0069484C" w:rsidRPr="0069484C" w14:paraId="62CB3E5D"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09AC6239"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MTN5Y</w:t>
                  </w:r>
                </w:p>
              </w:tc>
              <w:tc>
                <w:tcPr>
                  <w:tcW w:w="940" w:type="dxa"/>
                  <w:tcBorders>
                    <w:top w:val="nil"/>
                    <w:left w:val="nil"/>
                    <w:bottom w:val="single" w:sz="8" w:space="0" w:color="FFFFFF"/>
                    <w:right w:val="single" w:sz="8" w:space="0" w:color="FFFFFF"/>
                  </w:tcBorders>
                  <w:shd w:val="clear" w:color="000000" w:fill="FCD5B4"/>
                  <w:noWrap/>
                  <w:vAlign w:val="center"/>
                  <w:hideMark/>
                </w:tcPr>
                <w:p w14:paraId="3540CDE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10.4 </w:t>
                  </w:r>
                </w:p>
              </w:tc>
              <w:tc>
                <w:tcPr>
                  <w:tcW w:w="940" w:type="dxa"/>
                  <w:tcBorders>
                    <w:top w:val="nil"/>
                    <w:left w:val="nil"/>
                    <w:bottom w:val="single" w:sz="8" w:space="0" w:color="FFFFFF"/>
                    <w:right w:val="single" w:sz="8" w:space="0" w:color="FFFFFF"/>
                  </w:tcBorders>
                  <w:shd w:val="clear" w:color="000000" w:fill="FCD5B4"/>
                  <w:noWrap/>
                  <w:vAlign w:val="center"/>
                  <w:hideMark/>
                </w:tcPr>
                <w:p w14:paraId="1228867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9.4 </w:t>
                  </w:r>
                </w:p>
              </w:tc>
              <w:tc>
                <w:tcPr>
                  <w:tcW w:w="940" w:type="dxa"/>
                  <w:tcBorders>
                    <w:top w:val="nil"/>
                    <w:left w:val="nil"/>
                    <w:bottom w:val="single" w:sz="8" w:space="0" w:color="FFFFFF"/>
                    <w:right w:val="single" w:sz="8" w:space="0" w:color="FFFFFF"/>
                  </w:tcBorders>
                  <w:shd w:val="clear" w:color="000000" w:fill="FCD5B4"/>
                  <w:noWrap/>
                  <w:vAlign w:val="center"/>
                  <w:hideMark/>
                </w:tcPr>
                <w:p w14:paraId="37BB51C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7.4 </w:t>
                  </w:r>
                </w:p>
              </w:tc>
              <w:tc>
                <w:tcPr>
                  <w:tcW w:w="940" w:type="dxa"/>
                  <w:tcBorders>
                    <w:top w:val="nil"/>
                    <w:left w:val="nil"/>
                    <w:bottom w:val="single" w:sz="8" w:space="0" w:color="FFFFFF"/>
                    <w:right w:val="single" w:sz="8" w:space="0" w:color="FFFFFF"/>
                  </w:tcBorders>
                  <w:shd w:val="clear" w:color="000000" w:fill="FCD5B4"/>
                  <w:noWrap/>
                  <w:vAlign w:val="center"/>
                  <w:hideMark/>
                </w:tcPr>
                <w:p w14:paraId="283C40B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7.4 </w:t>
                  </w:r>
                </w:p>
              </w:tc>
              <w:tc>
                <w:tcPr>
                  <w:tcW w:w="940" w:type="dxa"/>
                  <w:tcBorders>
                    <w:top w:val="nil"/>
                    <w:left w:val="nil"/>
                    <w:bottom w:val="single" w:sz="8" w:space="0" w:color="FFFFFF"/>
                    <w:right w:val="single" w:sz="8" w:space="0" w:color="FFFFFF"/>
                  </w:tcBorders>
                  <w:shd w:val="clear" w:color="000000" w:fill="FCD5B4"/>
                  <w:noWrap/>
                  <w:vAlign w:val="center"/>
                  <w:hideMark/>
                </w:tcPr>
                <w:p w14:paraId="2A8C7485"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MTN5Y</w:t>
                  </w:r>
                </w:p>
              </w:tc>
              <w:tc>
                <w:tcPr>
                  <w:tcW w:w="940" w:type="dxa"/>
                  <w:tcBorders>
                    <w:top w:val="nil"/>
                    <w:left w:val="nil"/>
                    <w:bottom w:val="single" w:sz="8" w:space="0" w:color="FFFFFF"/>
                    <w:right w:val="single" w:sz="8" w:space="0" w:color="FFFFFF"/>
                  </w:tcBorders>
                  <w:shd w:val="clear" w:color="000000" w:fill="FCD5B4"/>
                  <w:noWrap/>
                  <w:vAlign w:val="center"/>
                  <w:hideMark/>
                </w:tcPr>
                <w:p w14:paraId="695ECE5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-2.5 </w:t>
                  </w:r>
                </w:p>
              </w:tc>
              <w:tc>
                <w:tcPr>
                  <w:tcW w:w="940" w:type="dxa"/>
                  <w:tcBorders>
                    <w:top w:val="nil"/>
                    <w:left w:val="nil"/>
                    <w:bottom w:val="single" w:sz="8" w:space="0" w:color="FFFFFF"/>
                    <w:right w:val="single" w:sz="8" w:space="0" w:color="FFFFFF"/>
                  </w:tcBorders>
                  <w:shd w:val="clear" w:color="000000" w:fill="FCD5B4"/>
                  <w:noWrap/>
                  <w:vAlign w:val="center"/>
                  <w:hideMark/>
                </w:tcPr>
                <w:p w14:paraId="751E7FA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-3.5 </w:t>
                  </w:r>
                </w:p>
              </w:tc>
              <w:tc>
                <w:tcPr>
                  <w:tcW w:w="940" w:type="dxa"/>
                  <w:tcBorders>
                    <w:top w:val="nil"/>
                    <w:left w:val="nil"/>
                    <w:bottom w:val="single" w:sz="8" w:space="0" w:color="FFFFFF"/>
                    <w:right w:val="single" w:sz="8" w:space="0" w:color="FFFFFF"/>
                  </w:tcBorders>
                  <w:shd w:val="clear" w:color="000000" w:fill="FCD5B4"/>
                  <w:noWrap/>
                  <w:vAlign w:val="center"/>
                  <w:hideMark/>
                </w:tcPr>
                <w:p w14:paraId="2E14DFC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-5.5 </w:t>
                  </w:r>
                </w:p>
              </w:tc>
              <w:tc>
                <w:tcPr>
                  <w:tcW w:w="940" w:type="dxa"/>
                  <w:tcBorders>
                    <w:top w:val="nil"/>
                    <w:left w:val="nil"/>
                    <w:bottom w:val="single" w:sz="8" w:space="0" w:color="FFFFFF"/>
                    <w:right w:val="single" w:sz="8" w:space="0" w:color="FFFFFF"/>
                  </w:tcBorders>
                  <w:shd w:val="clear" w:color="000000" w:fill="FCD5B4"/>
                  <w:noWrap/>
                  <w:vAlign w:val="center"/>
                  <w:hideMark/>
                </w:tcPr>
                <w:p w14:paraId="71DA67C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-5.5 </w:t>
                  </w:r>
                </w:p>
              </w:tc>
            </w:tr>
            <w:tr w:rsidR="0069484C" w:rsidRPr="0069484C" w14:paraId="34A8BF29"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2A245B51"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企业债3Y</w:t>
                  </w:r>
                </w:p>
              </w:tc>
              <w:tc>
                <w:tcPr>
                  <w:tcW w:w="940" w:type="dxa"/>
                  <w:tcBorders>
                    <w:top w:val="nil"/>
                    <w:left w:val="nil"/>
                    <w:bottom w:val="single" w:sz="8" w:space="0" w:color="FFFFFF"/>
                    <w:right w:val="single" w:sz="8" w:space="0" w:color="FFFFFF"/>
                  </w:tcBorders>
                  <w:shd w:val="clear" w:color="000000" w:fill="FDE9D9"/>
                  <w:noWrap/>
                  <w:vAlign w:val="center"/>
                  <w:hideMark/>
                </w:tcPr>
                <w:p w14:paraId="4FCFEA9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3.1 </w:t>
                  </w:r>
                </w:p>
              </w:tc>
              <w:tc>
                <w:tcPr>
                  <w:tcW w:w="940" w:type="dxa"/>
                  <w:tcBorders>
                    <w:top w:val="nil"/>
                    <w:left w:val="nil"/>
                    <w:bottom w:val="single" w:sz="8" w:space="0" w:color="FFFFFF"/>
                    <w:right w:val="single" w:sz="8" w:space="0" w:color="FFFFFF"/>
                  </w:tcBorders>
                  <w:shd w:val="clear" w:color="000000" w:fill="FDE9D9"/>
                  <w:noWrap/>
                  <w:vAlign w:val="center"/>
                  <w:hideMark/>
                </w:tcPr>
                <w:p w14:paraId="7668B87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3.1 </w:t>
                  </w:r>
                </w:p>
              </w:tc>
              <w:tc>
                <w:tcPr>
                  <w:tcW w:w="940" w:type="dxa"/>
                  <w:tcBorders>
                    <w:top w:val="nil"/>
                    <w:left w:val="nil"/>
                    <w:bottom w:val="single" w:sz="8" w:space="0" w:color="FFFFFF"/>
                    <w:right w:val="single" w:sz="8" w:space="0" w:color="FFFFFF"/>
                  </w:tcBorders>
                  <w:shd w:val="clear" w:color="000000" w:fill="FDE9D9"/>
                  <w:noWrap/>
                  <w:vAlign w:val="center"/>
                  <w:hideMark/>
                </w:tcPr>
                <w:p w14:paraId="2A78A95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-2.9 </w:t>
                  </w:r>
                </w:p>
              </w:tc>
              <w:tc>
                <w:tcPr>
                  <w:tcW w:w="940" w:type="dxa"/>
                  <w:tcBorders>
                    <w:top w:val="nil"/>
                    <w:left w:val="nil"/>
                    <w:bottom w:val="single" w:sz="8" w:space="0" w:color="FFFFFF"/>
                    <w:right w:val="single" w:sz="8" w:space="0" w:color="FFFFFF"/>
                  </w:tcBorders>
                  <w:shd w:val="clear" w:color="000000" w:fill="FDE9D9"/>
                  <w:noWrap/>
                  <w:vAlign w:val="center"/>
                  <w:hideMark/>
                </w:tcPr>
                <w:p w14:paraId="7205EDE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-4.9 </w:t>
                  </w:r>
                </w:p>
              </w:tc>
              <w:tc>
                <w:tcPr>
                  <w:tcW w:w="940" w:type="dxa"/>
                  <w:tcBorders>
                    <w:top w:val="nil"/>
                    <w:left w:val="nil"/>
                    <w:bottom w:val="single" w:sz="8" w:space="0" w:color="FFFFFF"/>
                    <w:right w:val="single" w:sz="8" w:space="0" w:color="FFFFFF"/>
                  </w:tcBorders>
                  <w:shd w:val="clear" w:color="000000" w:fill="FDE9D9"/>
                  <w:noWrap/>
                  <w:vAlign w:val="center"/>
                  <w:hideMark/>
                </w:tcPr>
                <w:p w14:paraId="6883F188"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企业债3Y</w:t>
                  </w:r>
                </w:p>
              </w:tc>
              <w:tc>
                <w:tcPr>
                  <w:tcW w:w="940" w:type="dxa"/>
                  <w:tcBorders>
                    <w:top w:val="nil"/>
                    <w:left w:val="nil"/>
                    <w:bottom w:val="single" w:sz="8" w:space="0" w:color="FFFFFF"/>
                    <w:right w:val="single" w:sz="8" w:space="0" w:color="FFFFFF"/>
                  </w:tcBorders>
                  <w:shd w:val="clear" w:color="000000" w:fill="FDE9D9"/>
                  <w:noWrap/>
                  <w:vAlign w:val="center"/>
                  <w:hideMark/>
                </w:tcPr>
                <w:p w14:paraId="28D5E71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-14.1 </w:t>
                  </w:r>
                </w:p>
              </w:tc>
              <w:tc>
                <w:tcPr>
                  <w:tcW w:w="940" w:type="dxa"/>
                  <w:tcBorders>
                    <w:top w:val="nil"/>
                    <w:left w:val="nil"/>
                    <w:bottom w:val="single" w:sz="8" w:space="0" w:color="FFFFFF"/>
                    <w:right w:val="single" w:sz="8" w:space="0" w:color="FFFFFF"/>
                  </w:tcBorders>
                  <w:shd w:val="clear" w:color="000000" w:fill="FDE9D9"/>
                  <w:noWrap/>
                  <w:vAlign w:val="center"/>
                  <w:hideMark/>
                </w:tcPr>
                <w:p w14:paraId="3110354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-14.1 </w:t>
                  </w:r>
                </w:p>
              </w:tc>
              <w:tc>
                <w:tcPr>
                  <w:tcW w:w="940" w:type="dxa"/>
                  <w:tcBorders>
                    <w:top w:val="nil"/>
                    <w:left w:val="nil"/>
                    <w:bottom w:val="single" w:sz="8" w:space="0" w:color="FFFFFF"/>
                    <w:right w:val="single" w:sz="8" w:space="0" w:color="FFFFFF"/>
                  </w:tcBorders>
                  <w:shd w:val="clear" w:color="000000" w:fill="FDE9D9"/>
                  <w:noWrap/>
                  <w:vAlign w:val="center"/>
                  <w:hideMark/>
                </w:tcPr>
                <w:p w14:paraId="55D8B44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-20.1 </w:t>
                  </w:r>
                </w:p>
              </w:tc>
              <w:tc>
                <w:tcPr>
                  <w:tcW w:w="940" w:type="dxa"/>
                  <w:tcBorders>
                    <w:top w:val="nil"/>
                    <w:left w:val="nil"/>
                    <w:bottom w:val="single" w:sz="8" w:space="0" w:color="FFFFFF"/>
                    <w:right w:val="single" w:sz="8" w:space="0" w:color="FFFFFF"/>
                  </w:tcBorders>
                  <w:shd w:val="clear" w:color="000000" w:fill="FDE9D9"/>
                  <w:noWrap/>
                  <w:vAlign w:val="center"/>
                  <w:hideMark/>
                </w:tcPr>
                <w:p w14:paraId="7589705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-22.1 </w:t>
                  </w:r>
                </w:p>
              </w:tc>
            </w:tr>
            <w:tr w:rsidR="0069484C" w:rsidRPr="0069484C" w14:paraId="7949A9CF"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48BA48DB"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企业债5Y</w:t>
                  </w:r>
                </w:p>
              </w:tc>
              <w:tc>
                <w:tcPr>
                  <w:tcW w:w="940" w:type="dxa"/>
                  <w:tcBorders>
                    <w:top w:val="nil"/>
                    <w:left w:val="nil"/>
                    <w:bottom w:val="single" w:sz="8" w:space="0" w:color="FFFFFF"/>
                    <w:right w:val="single" w:sz="8" w:space="0" w:color="FFFFFF"/>
                  </w:tcBorders>
                  <w:shd w:val="clear" w:color="000000" w:fill="FCD5B4"/>
                  <w:noWrap/>
                  <w:vAlign w:val="center"/>
                  <w:hideMark/>
                </w:tcPr>
                <w:p w14:paraId="2D89E5E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10.4 </w:t>
                  </w:r>
                </w:p>
              </w:tc>
              <w:tc>
                <w:tcPr>
                  <w:tcW w:w="940" w:type="dxa"/>
                  <w:tcBorders>
                    <w:top w:val="nil"/>
                    <w:left w:val="nil"/>
                    <w:bottom w:val="single" w:sz="8" w:space="0" w:color="FFFFFF"/>
                    <w:right w:val="single" w:sz="8" w:space="0" w:color="FFFFFF"/>
                  </w:tcBorders>
                  <w:shd w:val="clear" w:color="000000" w:fill="FCD5B4"/>
                  <w:noWrap/>
                  <w:vAlign w:val="center"/>
                  <w:hideMark/>
                </w:tcPr>
                <w:p w14:paraId="1E45C1C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9.4 </w:t>
                  </w:r>
                </w:p>
              </w:tc>
              <w:tc>
                <w:tcPr>
                  <w:tcW w:w="940" w:type="dxa"/>
                  <w:tcBorders>
                    <w:top w:val="nil"/>
                    <w:left w:val="nil"/>
                    <w:bottom w:val="single" w:sz="8" w:space="0" w:color="FFFFFF"/>
                    <w:right w:val="single" w:sz="8" w:space="0" w:color="FFFFFF"/>
                  </w:tcBorders>
                  <w:shd w:val="clear" w:color="000000" w:fill="FCD5B4"/>
                  <w:noWrap/>
                  <w:vAlign w:val="center"/>
                  <w:hideMark/>
                </w:tcPr>
                <w:p w14:paraId="752800F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7.4 </w:t>
                  </w:r>
                </w:p>
              </w:tc>
              <w:tc>
                <w:tcPr>
                  <w:tcW w:w="940" w:type="dxa"/>
                  <w:tcBorders>
                    <w:top w:val="nil"/>
                    <w:left w:val="nil"/>
                    <w:bottom w:val="single" w:sz="8" w:space="0" w:color="FFFFFF"/>
                    <w:right w:val="single" w:sz="8" w:space="0" w:color="FFFFFF"/>
                  </w:tcBorders>
                  <w:shd w:val="clear" w:color="000000" w:fill="FCD5B4"/>
                  <w:noWrap/>
                  <w:vAlign w:val="center"/>
                  <w:hideMark/>
                </w:tcPr>
                <w:p w14:paraId="1AB96EA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7.4 </w:t>
                  </w:r>
                </w:p>
              </w:tc>
              <w:tc>
                <w:tcPr>
                  <w:tcW w:w="940" w:type="dxa"/>
                  <w:tcBorders>
                    <w:top w:val="nil"/>
                    <w:left w:val="nil"/>
                    <w:bottom w:val="single" w:sz="8" w:space="0" w:color="FFFFFF"/>
                    <w:right w:val="single" w:sz="8" w:space="0" w:color="FFFFFF"/>
                  </w:tcBorders>
                  <w:shd w:val="clear" w:color="000000" w:fill="FCD5B4"/>
                  <w:noWrap/>
                  <w:vAlign w:val="center"/>
                  <w:hideMark/>
                </w:tcPr>
                <w:p w14:paraId="56D7BB30"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企业债5Y</w:t>
                  </w:r>
                </w:p>
              </w:tc>
              <w:tc>
                <w:tcPr>
                  <w:tcW w:w="940" w:type="dxa"/>
                  <w:tcBorders>
                    <w:top w:val="nil"/>
                    <w:left w:val="nil"/>
                    <w:bottom w:val="single" w:sz="8" w:space="0" w:color="FFFFFF"/>
                    <w:right w:val="single" w:sz="8" w:space="0" w:color="FFFFFF"/>
                  </w:tcBorders>
                  <w:shd w:val="clear" w:color="000000" w:fill="FCD5B4"/>
                  <w:noWrap/>
                  <w:vAlign w:val="center"/>
                  <w:hideMark/>
                </w:tcPr>
                <w:p w14:paraId="2D35003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-2.5 </w:t>
                  </w:r>
                </w:p>
              </w:tc>
              <w:tc>
                <w:tcPr>
                  <w:tcW w:w="940" w:type="dxa"/>
                  <w:tcBorders>
                    <w:top w:val="nil"/>
                    <w:left w:val="nil"/>
                    <w:bottom w:val="single" w:sz="8" w:space="0" w:color="FFFFFF"/>
                    <w:right w:val="single" w:sz="8" w:space="0" w:color="FFFFFF"/>
                  </w:tcBorders>
                  <w:shd w:val="clear" w:color="000000" w:fill="FCD5B4"/>
                  <w:noWrap/>
                  <w:vAlign w:val="center"/>
                  <w:hideMark/>
                </w:tcPr>
                <w:p w14:paraId="65555D3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-3.5 </w:t>
                  </w:r>
                </w:p>
              </w:tc>
              <w:tc>
                <w:tcPr>
                  <w:tcW w:w="940" w:type="dxa"/>
                  <w:tcBorders>
                    <w:top w:val="nil"/>
                    <w:left w:val="nil"/>
                    <w:bottom w:val="single" w:sz="8" w:space="0" w:color="FFFFFF"/>
                    <w:right w:val="single" w:sz="8" w:space="0" w:color="FFFFFF"/>
                  </w:tcBorders>
                  <w:shd w:val="clear" w:color="000000" w:fill="FCD5B4"/>
                  <w:noWrap/>
                  <w:vAlign w:val="center"/>
                  <w:hideMark/>
                </w:tcPr>
                <w:p w14:paraId="16E726F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-5.5 </w:t>
                  </w:r>
                </w:p>
              </w:tc>
              <w:tc>
                <w:tcPr>
                  <w:tcW w:w="940" w:type="dxa"/>
                  <w:tcBorders>
                    <w:top w:val="nil"/>
                    <w:left w:val="nil"/>
                    <w:bottom w:val="single" w:sz="8" w:space="0" w:color="FFFFFF"/>
                    <w:right w:val="single" w:sz="8" w:space="0" w:color="FFFFFF"/>
                  </w:tcBorders>
                  <w:shd w:val="clear" w:color="000000" w:fill="FCD5B4"/>
                  <w:noWrap/>
                  <w:vAlign w:val="center"/>
                  <w:hideMark/>
                </w:tcPr>
                <w:p w14:paraId="3CCF570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-5.5 </w:t>
                  </w:r>
                </w:p>
              </w:tc>
            </w:tr>
            <w:tr w:rsidR="0069484C" w:rsidRPr="0069484C" w14:paraId="66B95B35"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1A047259"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企业债7Y</w:t>
                  </w:r>
                </w:p>
              </w:tc>
              <w:tc>
                <w:tcPr>
                  <w:tcW w:w="940" w:type="dxa"/>
                  <w:tcBorders>
                    <w:top w:val="nil"/>
                    <w:left w:val="nil"/>
                    <w:bottom w:val="single" w:sz="8" w:space="0" w:color="FFFFFF"/>
                    <w:right w:val="single" w:sz="8" w:space="0" w:color="FFFFFF"/>
                  </w:tcBorders>
                  <w:shd w:val="clear" w:color="000000" w:fill="FDE9D9"/>
                  <w:noWrap/>
                  <w:vAlign w:val="center"/>
                  <w:hideMark/>
                </w:tcPr>
                <w:p w14:paraId="37A3757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1.6 </w:t>
                  </w:r>
                </w:p>
              </w:tc>
              <w:tc>
                <w:tcPr>
                  <w:tcW w:w="940" w:type="dxa"/>
                  <w:tcBorders>
                    <w:top w:val="nil"/>
                    <w:left w:val="nil"/>
                    <w:bottom w:val="single" w:sz="8" w:space="0" w:color="FFFFFF"/>
                    <w:right w:val="single" w:sz="8" w:space="0" w:color="FFFFFF"/>
                  </w:tcBorders>
                  <w:shd w:val="clear" w:color="000000" w:fill="FDE9D9"/>
                  <w:noWrap/>
                  <w:vAlign w:val="center"/>
                  <w:hideMark/>
                </w:tcPr>
                <w:p w14:paraId="14DDDB0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1.6 </w:t>
                  </w:r>
                </w:p>
              </w:tc>
              <w:tc>
                <w:tcPr>
                  <w:tcW w:w="940" w:type="dxa"/>
                  <w:tcBorders>
                    <w:top w:val="nil"/>
                    <w:left w:val="nil"/>
                    <w:bottom w:val="single" w:sz="8" w:space="0" w:color="FFFFFF"/>
                    <w:right w:val="single" w:sz="8" w:space="0" w:color="FFFFFF"/>
                  </w:tcBorders>
                  <w:shd w:val="clear" w:color="000000" w:fill="FDE9D9"/>
                  <w:noWrap/>
                  <w:vAlign w:val="center"/>
                  <w:hideMark/>
                </w:tcPr>
                <w:p w14:paraId="1E28670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-0.4 </w:t>
                  </w:r>
                </w:p>
              </w:tc>
              <w:tc>
                <w:tcPr>
                  <w:tcW w:w="940" w:type="dxa"/>
                  <w:tcBorders>
                    <w:top w:val="nil"/>
                    <w:left w:val="nil"/>
                    <w:bottom w:val="single" w:sz="8" w:space="0" w:color="FFFFFF"/>
                    <w:right w:val="single" w:sz="8" w:space="0" w:color="FFFFFF"/>
                  </w:tcBorders>
                  <w:shd w:val="clear" w:color="000000" w:fill="FDE9D9"/>
                  <w:noWrap/>
                  <w:vAlign w:val="center"/>
                  <w:hideMark/>
                </w:tcPr>
                <w:p w14:paraId="0F041B1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-0.4 </w:t>
                  </w:r>
                </w:p>
              </w:tc>
              <w:tc>
                <w:tcPr>
                  <w:tcW w:w="940" w:type="dxa"/>
                  <w:tcBorders>
                    <w:top w:val="nil"/>
                    <w:left w:val="nil"/>
                    <w:bottom w:val="single" w:sz="8" w:space="0" w:color="FFFFFF"/>
                    <w:right w:val="single" w:sz="8" w:space="0" w:color="FFFFFF"/>
                  </w:tcBorders>
                  <w:shd w:val="clear" w:color="000000" w:fill="FDE9D9"/>
                  <w:noWrap/>
                  <w:vAlign w:val="center"/>
                  <w:hideMark/>
                </w:tcPr>
                <w:p w14:paraId="2B90A5D0"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企业债7Y</w:t>
                  </w:r>
                </w:p>
              </w:tc>
              <w:tc>
                <w:tcPr>
                  <w:tcW w:w="940" w:type="dxa"/>
                  <w:tcBorders>
                    <w:top w:val="nil"/>
                    <w:left w:val="nil"/>
                    <w:bottom w:val="single" w:sz="8" w:space="0" w:color="FFFFFF"/>
                    <w:right w:val="single" w:sz="8" w:space="0" w:color="FFFFFF"/>
                  </w:tcBorders>
                  <w:shd w:val="clear" w:color="000000" w:fill="FDE9D9"/>
                  <w:noWrap/>
                  <w:vAlign w:val="center"/>
                  <w:hideMark/>
                </w:tcPr>
                <w:p w14:paraId="6735EF9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-5.4 </w:t>
                  </w:r>
                </w:p>
              </w:tc>
              <w:tc>
                <w:tcPr>
                  <w:tcW w:w="940" w:type="dxa"/>
                  <w:tcBorders>
                    <w:top w:val="nil"/>
                    <w:left w:val="nil"/>
                    <w:bottom w:val="single" w:sz="8" w:space="0" w:color="FFFFFF"/>
                    <w:right w:val="single" w:sz="8" w:space="0" w:color="FFFFFF"/>
                  </w:tcBorders>
                  <w:shd w:val="clear" w:color="000000" w:fill="FDE9D9"/>
                  <w:noWrap/>
                  <w:vAlign w:val="center"/>
                  <w:hideMark/>
                </w:tcPr>
                <w:p w14:paraId="1B350AD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-5.4 </w:t>
                  </w:r>
                </w:p>
              </w:tc>
              <w:tc>
                <w:tcPr>
                  <w:tcW w:w="940" w:type="dxa"/>
                  <w:tcBorders>
                    <w:top w:val="nil"/>
                    <w:left w:val="nil"/>
                    <w:bottom w:val="single" w:sz="8" w:space="0" w:color="FFFFFF"/>
                    <w:right w:val="single" w:sz="8" w:space="0" w:color="FFFFFF"/>
                  </w:tcBorders>
                  <w:shd w:val="clear" w:color="000000" w:fill="FDE9D9"/>
                  <w:noWrap/>
                  <w:vAlign w:val="center"/>
                  <w:hideMark/>
                </w:tcPr>
                <w:p w14:paraId="5CEE6AB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-7.4 </w:t>
                  </w:r>
                </w:p>
              </w:tc>
              <w:tc>
                <w:tcPr>
                  <w:tcW w:w="940" w:type="dxa"/>
                  <w:tcBorders>
                    <w:top w:val="nil"/>
                    <w:left w:val="nil"/>
                    <w:bottom w:val="single" w:sz="8" w:space="0" w:color="FFFFFF"/>
                    <w:right w:val="single" w:sz="8" w:space="0" w:color="FFFFFF"/>
                  </w:tcBorders>
                  <w:shd w:val="clear" w:color="000000" w:fill="FDE9D9"/>
                  <w:noWrap/>
                  <w:vAlign w:val="center"/>
                  <w:hideMark/>
                </w:tcPr>
                <w:p w14:paraId="4180012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-7.4 </w:t>
                  </w:r>
                </w:p>
              </w:tc>
            </w:tr>
            <w:tr w:rsidR="0069484C" w:rsidRPr="0069484C" w14:paraId="21DF88FA"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6FECEDDF"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3Y</w:t>
                  </w:r>
                </w:p>
              </w:tc>
              <w:tc>
                <w:tcPr>
                  <w:tcW w:w="940" w:type="dxa"/>
                  <w:tcBorders>
                    <w:top w:val="nil"/>
                    <w:left w:val="nil"/>
                    <w:bottom w:val="single" w:sz="8" w:space="0" w:color="FFFFFF"/>
                    <w:right w:val="single" w:sz="8" w:space="0" w:color="FFFFFF"/>
                  </w:tcBorders>
                  <w:shd w:val="clear" w:color="000000" w:fill="FCD5B4"/>
                  <w:noWrap/>
                  <w:vAlign w:val="center"/>
                  <w:hideMark/>
                </w:tcPr>
                <w:p w14:paraId="6F6E7A3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1.8 </w:t>
                  </w:r>
                </w:p>
              </w:tc>
              <w:tc>
                <w:tcPr>
                  <w:tcW w:w="940" w:type="dxa"/>
                  <w:tcBorders>
                    <w:top w:val="nil"/>
                    <w:left w:val="nil"/>
                    <w:bottom w:val="single" w:sz="8" w:space="0" w:color="FFFFFF"/>
                    <w:right w:val="single" w:sz="8" w:space="0" w:color="FFFFFF"/>
                  </w:tcBorders>
                  <w:shd w:val="clear" w:color="000000" w:fill="FCD5B4"/>
                  <w:noWrap/>
                  <w:vAlign w:val="center"/>
                  <w:hideMark/>
                </w:tcPr>
                <w:p w14:paraId="7C54B50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0.8 </w:t>
                  </w:r>
                </w:p>
              </w:tc>
              <w:tc>
                <w:tcPr>
                  <w:tcW w:w="940" w:type="dxa"/>
                  <w:tcBorders>
                    <w:top w:val="nil"/>
                    <w:left w:val="nil"/>
                    <w:bottom w:val="single" w:sz="8" w:space="0" w:color="FFFFFF"/>
                    <w:right w:val="single" w:sz="8" w:space="0" w:color="FFFFFF"/>
                  </w:tcBorders>
                  <w:shd w:val="clear" w:color="000000" w:fill="FCD5B4"/>
                  <w:noWrap/>
                  <w:vAlign w:val="center"/>
                  <w:hideMark/>
                </w:tcPr>
                <w:p w14:paraId="58B0B36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-0.2 </w:t>
                  </w:r>
                </w:p>
              </w:tc>
              <w:tc>
                <w:tcPr>
                  <w:tcW w:w="940" w:type="dxa"/>
                  <w:tcBorders>
                    <w:top w:val="nil"/>
                    <w:left w:val="nil"/>
                    <w:bottom w:val="single" w:sz="8" w:space="0" w:color="FFFFFF"/>
                    <w:right w:val="single" w:sz="8" w:space="0" w:color="FFFFFF"/>
                  </w:tcBorders>
                  <w:shd w:val="clear" w:color="000000" w:fill="FCD5B4"/>
                  <w:noWrap/>
                  <w:vAlign w:val="center"/>
                  <w:hideMark/>
                </w:tcPr>
                <w:p w14:paraId="0DDFD17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-2.2 </w:t>
                  </w:r>
                </w:p>
              </w:tc>
              <w:tc>
                <w:tcPr>
                  <w:tcW w:w="940" w:type="dxa"/>
                  <w:tcBorders>
                    <w:top w:val="nil"/>
                    <w:left w:val="nil"/>
                    <w:bottom w:val="single" w:sz="8" w:space="0" w:color="FFFFFF"/>
                    <w:right w:val="single" w:sz="8" w:space="0" w:color="FFFFFF"/>
                  </w:tcBorders>
                  <w:shd w:val="clear" w:color="000000" w:fill="FCD5B4"/>
                  <w:noWrap/>
                  <w:vAlign w:val="center"/>
                  <w:hideMark/>
                </w:tcPr>
                <w:p w14:paraId="5E7266B0"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3Y</w:t>
                  </w:r>
                </w:p>
              </w:tc>
              <w:tc>
                <w:tcPr>
                  <w:tcW w:w="940" w:type="dxa"/>
                  <w:tcBorders>
                    <w:top w:val="nil"/>
                    <w:left w:val="nil"/>
                    <w:bottom w:val="single" w:sz="8" w:space="0" w:color="FFFFFF"/>
                    <w:right w:val="single" w:sz="8" w:space="0" w:color="FFFFFF"/>
                  </w:tcBorders>
                  <w:shd w:val="clear" w:color="000000" w:fill="FCD5B4"/>
                  <w:noWrap/>
                  <w:vAlign w:val="center"/>
                  <w:hideMark/>
                </w:tcPr>
                <w:p w14:paraId="65DA663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-15.4 </w:t>
                  </w:r>
                </w:p>
              </w:tc>
              <w:tc>
                <w:tcPr>
                  <w:tcW w:w="940" w:type="dxa"/>
                  <w:tcBorders>
                    <w:top w:val="nil"/>
                    <w:left w:val="nil"/>
                    <w:bottom w:val="single" w:sz="8" w:space="0" w:color="FFFFFF"/>
                    <w:right w:val="single" w:sz="8" w:space="0" w:color="FFFFFF"/>
                  </w:tcBorders>
                  <w:shd w:val="clear" w:color="000000" w:fill="FCD5B4"/>
                  <w:noWrap/>
                  <w:vAlign w:val="center"/>
                  <w:hideMark/>
                </w:tcPr>
                <w:p w14:paraId="068F7A7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-16.4 </w:t>
                  </w:r>
                </w:p>
              </w:tc>
              <w:tc>
                <w:tcPr>
                  <w:tcW w:w="940" w:type="dxa"/>
                  <w:tcBorders>
                    <w:top w:val="nil"/>
                    <w:left w:val="nil"/>
                    <w:bottom w:val="single" w:sz="8" w:space="0" w:color="FFFFFF"/>
                    <w:right w:val="single" w:sz="8" w:space="0" w:color="FFFFFF"/>
                  </w:tcBorders>
                  <w:shd w:val="clear" w:color="000000" w:fill="FCD5B4"/>
                  <w:noWrap/>
                  <w:vAlign w:val="center"/>
                  <w:hideMark/>
                </w:tcPr>
                <w:p w14:paraId="4959C2B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-17.4 </w:t>
                  </w:r>
                </w:p>
              </w:tc>
              <w:tc>
                <w:tcPr>
                  <w:tcW w:w="940" w:type="dxa"/>
                  <w:tcBorders>
                    <w:top w:val="nil"/>
                    <w:left w:val="nil"/>
                    <w:bottom w:val="single" w:sz="8" w:space="0" w:color="FFFFFF"/>
                    <w:right w:val="single" w:sz="8" w:space="0" w:color="FFFFFF"/>
                  </w:tcBorders>
                  <w:shd w:val="clear" w:color="000000" w:fill="FCD5B4"/>
                  <w:noWrap/>
                  <w:vAlign w:val="center"/>
                  <w:hideMark/>
                </w:tcPr>
                <w:p w14:paraId="13904CD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-19.4 </w:t>
                  </w:r>
                </w:p>
              </w:tc>
            </w:tr>
            <w:tr w:rsidR="0069484C" w:rsidRPr="0069484C" w14:paraId="05284ED0"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1796A841"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5Y</w:t>
                  </w:r>
                </w:p>
              </w:tc>
              <w:tc>
                <w:tcPr>
                  <w:tcW w:w="940" w:type="dxa"/>
                  <w:tcBorders>
                    <w:top w:val="nil"/>
                    <w:left w:val="nil"/>
                    <w:bottom w:val="single" w:sz="8" w:space="0" w:color="FFFFFF"/>
                    <w:right w:val="single" w:sz="8" w:space="0" w:color="FFFFFF"/>
                  </w:tcBorders>
                  <w:shd w:val="clear" w:color="000000" w:fill="FDE9D9"/>
                  <w:noWrap/>
                  <w:vAlign w:val="center"/>
                  <w:hideMark/>
                </w:tcPr>
                <w:p w14:paraId="09C1796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3.3 </w:t>
                  </w:r>
                </w:p>
              </w:tc>
              <w:tc>
                <w:tcPr>
                  <w:tcW w:w="940" w:type="dxa"/>
                  <w:tcBorders>
                    <w:top w:val="nil"/>
                    <w:left w:val="nil"/>
                    <w:bottom w:val="single" w:sz="8" w:space="0" w:color="FFFFFF"/>
                    <w:right w:val="single" w:sz="8" w:space="0" w:color="FFFFFF"/>
                  </w:tcBorders>
                  <w:shd w:val="clear" w:color="000000" w:fill="FDE9D9"/>
                  <w:noWrap/>
                  <w:vAlign w:val="center"/>
                  <w:hideMark/>
                </w:tcPr>
                <w:p w14:paraId="5E5AB88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2.3 </w:t>
                  </w:r>
                </w:p>
              </w:tc>
              <w:tc>
                <w:tcPr>
                  <w:tcW w:w="940" w:type="dxa"/>
                  <w:tcBorders>
                    <w:top w:val="nil"/>
                    <w:left w:val="nil"/>
                    <w:bottom w:val="single" w:sz="8" w:space="0" w:color="FFFFFF"/>
                    <w:right w:val="single" w:sz="8" w:space="0" w:color="FFFFFF"/>
                  </w:tcBorders>
                  <w:shd w:val="clear" w:color="000000" w:fill="FDE9D9"/>
                  <w:noWrap/>
                  <w:vAlign w:val="center"/>
                  <w:hideMark/>
                </w:tcPr>
                <w:p w14:paraId="5965427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3.3 </w:t>
                  </w:r>
                </w:p>
              </w:tc>
              <w:tc>
                <w:tcPr>
                  <w:tcW w:w="940" w:type="dxa"/>
                  <w:tcBorders>
                    <w:top w:val="nil"/>
                    <w:left w:val="nil"/>
                    <w:bottom w:val="single" w:sz="8" w:space="0" w:color="FFFFFF"/>
                    <w:right w:val="single" w:sz="8" w:space="0" w:color="FFFFFF"/>
                  </w:tcBorders>
                  <w:shd w:val="clear" w:color="000000" w:fill="FDE9D9"/>
                  <w:noWrap/>
                  <w:vAlign w:val="center"/>
                  <w:hideMark/>
                </w:tcPr>
                <w:p w14:paraId="1CB4D1D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2.3 </w:t>
                  </w:r>
                </w:p>
              </w:tc>
              <w:tc>
                <w:tcPr>
                  <w:tcW w:w="940" w:type="dxa"/>
                  <w:tcBorders>
                    <w:top w:val="nil"/>
                    <w:left w:val="nil"/>
                    <w:bottom w:val="single" w:sz="8" w:space="0" w:color="FFFFFF"/>
                    <w:right w:val="single" w:sz="8" w:space="0" w:color="FFFFFF"/>
                  </w:tcBorders>
                  <w:shd w:val="clear" w:color="000000" w:fill="FDE9D9"/>
                  <w:noWrap/>
                  <w:vAlign w:val="center"/>
                  <w:hideMark/>
                </w:tcPr>
                <w:p w14:paraId="5FE3C8F3"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5Y</w:t>
                  </w:r>
                </w:p>
              </w:tc>
              <w:tc>
                <w:tcPr>
                  <w:tcW w:w="940" w:type="dxa"/>
                  <w:tcBorders>
                    <w:top w:val="nil"/>
                    <w:left w:val="nil"/>
                    <w:bottom w:val="single" w:sz="8" w:space="0" w:color="FFFFFF"/>
                    <w:right w:val="single" w:sz="8" w:space="0" w:color="FFFFFF"/>
                  </w:tcBorders>
                  <w:shd w:val="clear" w:color="000000" w:fill="FDE9D9"/>
                  <w:noWrap/>
                  <w:vAlign w:val="center"/>
                  <w:hideMark/>
                </w:tcPr>
                <w:p w14:paraId="40A0FEE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-9.5 </w:t>
                  </w:r>
                </w:p>
              </w:tc>
              <w:tc>
                <w:tcPr>
                  <w:tcW w:w="940" w:type="dxa"/>
                  <w:tcBorders>
                    <w:top w:val="nil"/>
                    <w:left w:val="nil"/>
                    <w:bottom w:val="single" w:sz="8" w:space="0" w:color="FFFFFF"/>
                    <w:right w:val="single" w:sz="8" w:space="0" w:color="FFFFFF"/>
                  </w:tcBorders>
                  <w:shd w:val="clear" w:color="000000" w:fill="FDE9D9"/>
                  <w:noWrap/>
                  <w:vAlign w:val="center"/>
                  <w:hideMark/>
                </w:tcPr>
                <w:p w14:paraId="7B608C1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-10.6 </w:t>
                  </w:r>
                </w:p>
              </w:tc>
              <w:tc>
                <w:tcPr>
                  <w:tcW w:w="940" w:type="dxa"/>
                  <w:tcBorders>
                    <w:top w:val="nil"/>
                    <w:left w:val="nil"/>
                    <w:bottom w:val="single" w:sz="8" w:space="0" w:color="FFFFFF"/>
                    <w:right w:val="single" w:sz="8" w:space="0" w:color="FFFFFF"/>
                  </w:tcBorders>
                  <w:shd w:val="clear" w:color="000000" w:fill="FDE9D9"/>
                  <w:noWrap/>
                  <w:vAlign w:val="center"/>
                  <w:hideMark/>
                </w:tcPr>
                <w:p w14:paraId="41EBE8F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-9.6 </w:t>
                  </w:r>
                </w:p>
              </w:tc>
              <w:tc>
                <w:tcPr>
                  <w:tcW w:w="940" w:type="dxa"/>
                  <w:tcBorders>
                    <w:top w:val="nil"/>
                    <w:left w:val="nil"/>
                    <w:bottom w:val="single" w:sz="8" w:space="0" w:color="FFFFFF"/>
                    <w:right w:val="single" w:sz="8" w:space="0" w:color="FFFFFF"/>
                  </w:tcBorders>
                  <w:shd w:val="clear" w:color="000000" w:fill="FDE9D9"/>
                  <w:noWrap/>
                  <w:vAlign w:val="center"/>
                  <w:hideMark/>
                </w:tcPr>
                <w:p w14:paraId="1255EB1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-10.6 </w:t>
                  </w:r>
                </w:p>
              </w:tc>
            </w:tr>
            <w:tr w:rsidR="0069484C" w:rsidRPr="0069484C" w14:paraId="301ADC03" w14:textId="77777777" w:rsidTr="0069484C">
              <w:trPr>
                <w:trHeight w:val="300"/>
              </w:trPr>
              <w:tc>
                <w:tcPr>
                  <w:tcW w:w="1168" w:type="dxa"/>
                  <w:tcBorders>
                    <w:top w:val="nil"/>
                    <w:left w:val="nil"/>
                    <w:bottom w:val="nil"/>
                    <w:right w:val="nil"/>
                  </w:tcBorders>
                  <w:shd w:val="clear" w:color="000000" w:fill="FCD5B4"/>
                  <w:noWrap/>
                  <w:vAlign w:val="center"/>
                  <w:hideMark/>
                </w:tcPr>
                <w:p w14:paraId="76642E4B"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7Y</w:t>
                  </w:r>
                </w:p>
              </w:tc>
              <w:tc>
                <w:tcPr>
                  <w:tcW w:w="940" w:type="dxa"/>
                  <w:tcBorders>
                    <w:top w:val="nil"/>
                    <w:left w:val="nil"/>
                    <w:bottom w:val="single" w:sz="8" w:space="0" w:color="FFFFFF"/>
                    <w:right w:val="single" w:sz="8" w:space="0" w:color="FFFFFF"/>
                  </w:tcBorders>
                  <w:shd w:val="clear" w:color="000000" w:fill="FCD5B4"/>
                  <w:noWrap/>
                  <w:vAlign w:val="center"/>
                  <w:hideMark/>
                </w:tcPr>
                <w:p w14:paraId="7C50DDF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3.6 </w:t>
                  </w:r>
                </w:p>
              </w:tc>
              <w:tc>
                <w:tcPr>
                  <w:tcW w:w="940" w:type="dxa"/>
                  <w:tcBorders>
                    <w:top w:val="nil"/>
                    <w:left w:val="nil"/>
                    <w:bottom w:val="single" w:sz="8" w:space="0" w:color="FFFFFF"/>
                    <w:right w:val="single" w:sz="8" w:space="0" w:color="FFFFFF"/>
                  </w:tcBorders>
                  <w:shd w:val="clear" w:color="000000" w:fill="FCD5B4"/>
                  <w:noWrap/>
                  <w:vAlign w:val="center"/>
                  <w:hideMark/>
                </w:tcPr>
                <w:p w14:paraId="455F599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3.6 </w:t>
                  </w:r>
                </w:p>
              </w:tc>
              <w:tc>
                <w:tcPr>
                  <w:tcW w:w="940" w:type="dxa"/>
                  <w:tcBorders>
                    <w:top w:val="nil"/>
                    <w:left w:val="nil"/>
                    <w:bottom w:val="single" w:sz="8" w:space="0" w:color="FFFFFF"/>
                    <w:right w:val="single" w:sz="8" w:space="0" w:color="FFFFFF"/>
                  </w:tcBorders>
                  <w:shd w:val="clear" w:color="000000" w:fill="FCD5B4"/>
                  <w:noWrap/>
                  <w:vAlign w:val="center"/>
                  <w:hideMark/>
                </w:tcPr>
                <w:p w14:paraId="75FBE29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3.6 </w:t>
                  </w:r>
                </w:p>
              </w:tc>
              <w:tc>
                <w:tcPr>
                  <w:tcW w:w="940" w:type="dxa"/>
                  <w:tcBorders>
                    <w:top w:val="nil"/>
                    <w:left w:val="nil"/>
                    <w:bottom w:val="single" w:sz="8" w:space="0" w:color="FFFFFF"/>
                    <w:right w:val="single" w:sz="8" w:space="0" w:color="FFFFFF"/>
                  </w:tcBorders>
                  <w:shd w:val="clear" w:color="000000" w:fill="FCD5B4"/>
                  <w:noWrap/>
                  <w:vAlign w:val="center"/>
                  <w:hideMark/>
                </w:tcPr>
                <w:p w14:paraId="5B31CA8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 xml:space="preserve">3.6 </w:t>
                  </w:r>
                </w:p>
              </w:tc>
              <w:tc>
                <w:tcPr>
                  <w:tcW w:w="940" w:type="dxa"/>
                  <w:tcBorders>
                    <w:top w:val="nil"/>
                    <w:left w:val="nil"/>
                    <w:bottom w:val="nil"/>
                    <w:right w:val="nil"/>
                  </w:tcBorders>
                  <w:shd w:val="clear" w:color="000000" w:fill="FCD5B4"/>
                  <w:noWrap/>
                  <w:vAlign w:val="center"/>
                  <w:hideMark/>
                </w:tcPr>
                <w:p w14:paraId="20334BBA"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7Y</w:t>
                  </w:r>
                </w:p>
              </w:tc>
              <w:tc>
                <w:tcPr>
                  <w:tcW w:w="940" w:type="dxa"/>
                  <w:tcBorders>
                    <w:top w:val="nil"/>
                    <w:left w:val="nil"/>
                    <w:bottom w:val="single" w:sz="8" w:space="0" w:color="FFFFFF"/>
                    <w:right w:val="single" w:sz="8" w:space="0" w:color="FFFFFF"/>
                  </w:tcBorders>
                  <w:shd w:val="clear" w:color="000000" w:fill="FCD5B4"/>
                  <w:noWrap/>
                  <w:vAlign w:val="center"/>
                  <w:hideMark/>
                </w:tcPr>
                <w:p w14:paraId="6AECD84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-3.3 </w:t>
                  </w:r>
                </w:p>
              </w:tc>
              <w:tc>
                <w:tcPr>
                  <w:tcW w:w="940" w:type="dxa"/>
                  <w:tcBorders>
                    <w:top w:val="nil"/>
                    <w:left w:val="nil"/>
                    <w:bottom w:val="single" w:sz="8" w:space="0" w:color="FFFFFF"/>
                    <w:right w:val="single" w:sz="8" w:space="0" w:color="FFFFFF"/>
                  </w:tcBorders>
                  <w:shd w:val="clear" w:color="000000" w:fill="FCD5B4"/>
                  <w:noWrap/>
                  <w:vAlign w:val="center"/>
                  <w:hideMark/>
                </w:tcPr>
                <w:p w14:paraId="1B317D4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-3.3 </w:t>
                  </w:r>
                </w:p>
              </w:tc>
              <w:tc>
                <w:tcPr>
                  <w:tcW w:w="940" w:type="dxa"/>
                  <w:tcBorders>
                    <w:top w:val="nil"/>
                    <w:left w:val="nil"/>
                    <w:bottom w:val="single" w:sz="8" w:space="0" w:color="FFFFFF"/>
                    <w:right w:val="single" w:sz="8" w:space="0" w:color="FFFFFF"/>
                  </w:tcBorders>
                  <w:shd w:val="clear" w:color="000000" w:fill="FCD5B4"/>
                  <w:noWrap/>
                  <w:vAlign w:val="center"/>
                  <w:hideMark/>
                </w:tcPr>
                <w:p w14:paraId="54A0A94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-3.3 </w:t>
                  </w:r>
                </w:p>
              </w:tc>
              <w:tc>
                <w:tcPr>
                  <w:tcW w:w="940" w:type="dxa"/>
                  <w:tcBorders>
                    <w:top w:val="nil"/>
                    <w:left w:val="nil"/>
                    <w:bottom w:val="single" w:sz="8" w:space="0" w:color="FFFFFF"/>
                    <w:right w:val="single" w:sz="8" w:space="0" w:color="FFFFFF"/>
                  </w:tcBorders>
                  <w:shd w:val="clear" w:color="000000" w:fill="FCD5B4"/>
                  <w:noWrap/>
                  <w:vAlign w:val="center"/>
                  <w:hideMark/>
                </w:tcPr>
                <w:p w14:paraId="328B968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FF0000"/>
                      <w:kern w:val="0"/>
                      <w:sz w:val="15"/>
                      <w:szCs w:val="15"/>
                    </w:rPr>
                    <w:t xml:space="preserve">-3.3 </w:t>
                  </w:r>
                </w:p>
              </w:tc>
            </w:tr>
            <w:tr w:rsidR="0069484C" w:rsidRPr="0069484C" w14:paraId="7CEE797B" w14:textId="77777777" w:rsidTr="0069484C">
              <w:trPr>
                <w:trHeight w:val="150"/>
              </w:trPr>
              <w:tc>
                <w:tcPr>
                  <w:tcW w:w="1168" w:type="dxa"/>
                  <w:tcBorders>
                    <w:top w:val="nil"/>
                    <w:left w:val="nil"/>
                    <w:bottom w:val="nil"/>
                    <w:right w:val="nil"/>
                  </w:tcBorders>
                  <w:shd w:val="clear" w:color="auto" w:fill="auto"/>
                  <w:noWrap/>
                  <w:vAlign w:val="center"/>
                  <w:hideMark/>
                </w:tcPr>
                <w:p w14:paraId="11773B8E" w14:textId="77777777" w:rsidR="0069484C" w:rsidRPr="0069484C" w:rsidRDefault="0069484C" w:rsidP="0069484C">
                  <w:pPr>
                    <w:widowControl/>
                    <w:jc w:val="center"/>
                    <w:rPr>
                      <w:rFonts w:eastAsia="等线" w:cs="Calibri"/>
                      <w:color w:val="000000"/>
                      <w:kern w:val="0"/>
                      <w:sz w:val="15"/>
                      <w:szCs w:val="15"/>
                    </w:rPr>
                  </w:pPr>
                </w:p>
              </w:tc>
              <w:tc>
                <w:tcPr>
                  <w:tcW w:w="940" w:type="dxa"/>
                  <w:tcBorders>
                    <w:top w:val="nil"/>
                    <w:left w:val="nil"/>
                    <w:bottom w:val="nil"/>
                    <w:right w:val="nil"/>
                  </w:tcBorders>
                  <w:shd w:val="clear" w:color="auto" w:fill="auto"/>
                  <w:noWrap/>
                  <w:vAlign w:val="center"/>
                  <w:hideMark/>
                </w:tcPr>
                <w:p w14:paraId="26346F9C"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44AA6FEA"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59943F58"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274EFCEB"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1C499712"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4E353CE5"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6B6DEF3C"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737FCD06" w14:textId="77777777" w:rsidR="0069484C" w:rsidRPr="0069484C" w:rsidRDefault="0069484C" w:rsidP="0069484C">
                  <w:pPr>
                    <w:widowControl/>
                    <w:jc w:val="center"/>
                    <w:rPr>
                      <w:rFonts w:ascii="Times New Roman" w:eastAsia="Times New Roman" w:hAnsi="Times New Roman"/>
                      <w:kern w:val="0"/>
                      <w:sz w:val="15"/>
                      <w:szCs w:val="15"/>
                    </w:rPr>
                  </w:pPr>
                </w:p>
              </w:tc>
              <w:tc>
                <w:tcPr>
                  <w:tcW w:w="940" w:type="dxa"/>
                  <w:tcBorders>
                    <w:top w:val="nil"/>
                    <w:left w:val="nil"/>
                    <w:bottom w:val="nil"/>
                    <w:right w:val="nil"/>
                  </w:tcBorders>
                  <w:shd w:val="clear" w:color="auto" w:fill="auto"/>
                  <w:noWrap/>
                  <w:vAlign w:val="center"/>
                  <w:hideMark/>
                </w:tcPr>
                <w:p w14:paraId="08E965AE" w14:textId="77777777" w:rsidR="0069484C" w:rsidRPr="0069484C" w:rsidRDefault="0069484C" w:rsidP="0069484C">
                  <w:pPr>
                    <w:widowControl/>
                    <w:jc w:val="center"/>
                    <w:rPr>
                      <w:rFonts w:ascii="Times New Roman" w:eastAsia="Times New Roman" w:hAnsi="Times New Roman"/>
                      <w:kern w:val="0"/>
                      <w:sz w:val="15"/>
                      <w:szCs w:val="15"/>
                    </w:rPr>
                  </w:pPr>
                </w:p>
              </w:tc>
            </w:tr>
            <w:tr w:rsidR="0069484C" w:rsidRPr="0069484C" w14:paraId="34D73FB9" w14:textId="77777777" w:rsidTr="0069484C">
              <w:trPr>
                <w:trHeight w:val="300"/>
              </w:trPr>
              <w:tc>
                <w:tcPr>
                  <w:tcW w:w="1168" w:type="dxa"/>
                  <w:tcBorders>
                    <w:top w:val="nil"/>
                    <w:left w:val="nil"/>
                    <w:bottom w:val="single" w:sz="12" w:space="0" w:color="FFFFFF"/>
                    <w:right w:val="single" w:sz="8" w:space="0" w:color="FFFFFF"/>
                  </w:tcBorders>
                  <w:shd w:val="clear" w:color="000000" w:fill="F79646"/>
                  <w:noWrap/>
                  <w:vAlign w:val="center"/>
                  <w:hideMark/>
                </w:tcPr>
                <w:p w14:paraId="63B76981"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收益率分位</w:t>
                  </w:r>
                </w:p>
              </w:tc>
              <w:tc>
                <w:tcPr>
                  <w:tcW w:w="940" w:type="dxa"/>
                  <w:tcBorders>
                    <w:top w:val="nil"/>
                    <w:left w:val="nil"/>
                    <w:bottom w:val="single" w:sz="12" w:space="0" w:color="FFFFFF"/>
                    <w:right w:val="single" w:sz="8" w:space="0" w:color="FFFFFF"/>
                  </w:tcBorders>
                  <w:shd w:val="clear" w:color="000000" w:fill="F79646"/>
                  <w:noWrap/>
                  <w:vAlign w:val="center"/>
                  <w:hideMark/>
                </w:tcPr>
                <w:p w14:paraId="0E576397"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AAA</w:t>
                  </w:r>
                </w:p>
              </w:tc>
              <w:tc>
                <w:tcPr>
                  <w:tcW w:w="940" w:type="dxa"/>
                  <w:tcBorders>
                    <w:top w:val="nil"/>
                    <w:left w:val="nil"/>
                    <w:bottom w:val="single" w:sz="12" w:space="0" w:color="FFFFFF"/>
                    <w:right w:val="single" w:sz="8" w:space="0" w:color="FFFFFF"/>
                  </w:tcBorders>
                  <w:shd w:val="clear" w:color="000000" w:fill="F79646"/>
                  <w:noWrap/>
                  <w:vAlign w:val="center"/>
                  <w:hideMark/>
                </w:tcPr>
                <w:p w14:paraId="499456A5"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5ACCDA05"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7FD4E919"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25FF6AE1"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息差</w:t>
                  </w:r>
                </w:p>
              </w:tc>
              <w:tc>
                <w:tcPr>
                  <w:tcW w:w="940" w:type="dxa"/>
                  <w:tcBorders>
                    <w:top w:val="nil"/>
                    <w:left w:val="nil"/>
                    <w:bottom w:val="single" w:sz="12" w:space="0" w:color="FFFFFF"/>
                    <w:right w:val="single" w:sz="8" w:space="0" w:color="FFFFFF"/>
                  </w:tcBorders>
                  <w:shd w:val="clear" w:color="000000" w:fill="F79646"/>
                  <w:noWrap/>
                  <w:vAlign w:val="center"/>
                  <w:hideMark/>
                </w:tcPr>
                <w:p w14:paraId="52B40AE3"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AAA</w:t>
                  </w:r>
                </w:p>
              </w:tc>
              <w:tc>
                <w:tcPr>
                  <w:tcW w:w="940" w:type="dxa"/>
                  <w:tcBorders>
                    <w:top w:val="nil"/>
                    <w:left w:val="nil"/>
                    <w:bottom w:val="single" w:sz="12" w:space="0" w:color="FFFFFF"/>
                    <w:right w:val="single" w:sz="8" w:space="0" w:color="FFFFFF"/>
                  </w:tcBorders>
                  <w:shd w:val="clear" w:color="000000" w:fill="F79646"/>
                  <w:noWrap/>
                  <w:vAlign w:val="center"/>
                  <w:hideMark/>
                </w:tcPr>
                <w:p w14:paraId="60127570"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3F3034C3"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c>
                <w:tcPr>
                  <w:tcW w:w="940" w:type="dxa"/>
                  <w:tcBorders>
                    <w:top w:val="nil"/>
                    <w:left w:val="nil"/>
                    <w:bottom w:val="single" w:sz="12" w:space="0" w:color="FFFFFF"/>
                    <w:right w:val="single" w:sz="8" w:space="0" w:color="FFFFFF"/>
                  </w:tcBorders>
                  <w:shd w:val="clear" w:color="000000" w:fill="F79646"/>
                  <w:noWrap/>
                  <w:vAlign w:val="center"/>
                  <w:hideMark/>
                </w:tcPr>
                <w:p w14:paraId="3764E5F9" w14:textId="77777777" w:rsidR="0069484C" w:rsidRPr="0069484C" w:rsidRDefault="0069484C" w:rsidP="0069484C">
                  <w:pPr>
                    <w:widowControl/>
                    <w:jc w:val="center"/>
                    <w:rPr>
                      <w:rFonts w:ascii="楷体" w:eastAsia="楷体" w:hAnsi="楷体" w:cs="宋体"/>
                      <w:b/>
                      <w:bCs/>
                      <w:color w:val="FFFFFF"/>
                      <w:kern w:val="0"/>
                      <w:sz w:val="15"/>
                      <w:szCs w:val="15"/>
                    </w:rPr>
                  </w:pPr>
                  <w:r w:rsidRPr="0069484C">
                    <w:rPr>
                      <w:rFonts w:ascii="楷体" w:eastAsia="楷体" w:hAnsi="楷体" w:cs="宋体" w:hint="eastAsia"/>
                      <w:b/>
                      <w:bCs/>
                      <w:color w:val="FFFFFF"/>
                      <w:kern w:val="0"/>
                      <w:sz w:val="15"/>
                      <w:szCs w:val="15"/>
                    </w:rPr>
                    <w:t>AA-</w:t>
                  </w:r>
                </w:p>
              </w:tc>
            </w:tr>
            <w:tr w:rsidR="0069484C" w:rsidRPr="0069484C" w14:paraId="6D040494" w14:textId="77777777" w:rsidTr="0069484C">
              <w:trPr>
                <w:trHeight w:val="312"/>
              </w:trPr>
              <w:tc>
                <w:tcPr>
                  <w:tcW w:w="1168" w:type="dxa"/>
                  <w:tcBorders>
                    <w:top w:val="nil"/>
                    <w:left w:val="nil"/>
                    <w:bottom w:val="single" w:sz="8" w:space="0" w:color="FFFFFF"/>
                    <w:right w:val="single" w:sz="8" w:space="0" w:color="FFFFFF"/>
                  </w:tcBorders>
                  <w:shd w:val="clear" w:color="000000" w:fill="FCD5B4"/>
                  <w:noWrap/>
                  <w:vAlign w:val="center"/>
                  <w:hideMark/>
                </w:tcPr>
                <w:p w14:paraId="40B473E0"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CP</w:t>
                  </w:r>
                </w:p>
              </w:tc>
              <w:tc>
                <w:tcPr>
                  <w:tcW w:w="940" w:type="dxa"/>
                  <w:tcBorders>
                    <w:top w:val="nil"/>
                    <w:left w:val="nil"/>
                    <w:bottom w:val="single" w:sz="8" w:space="0" w:color="FFFFFF"/>
                    <w:right w:val="single" w:sz="8" w:space="0" w:color="FFFFFF"/>
                  </w:tcBorders>
                  <w:shd w:val="clear" w:color="000000" w:fill="FCD5B4"/>
                  <w:noWrap/>
                  <w:vAlign w:val="center"/>
                  <w:hideMark/>
                </w:tcPr>
                <w:p w14:paraId="65CE1FC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22%</w:t>
                  </w:r>
                </w:p>
              </w:tc>
              <w:tc>
                <w:tcPr>
                  <w:tcW w:w="940" w:type="dxa"/>
                  <w:tcBorders>
                    <w:top w:val="nil"/>
                    <w:left w:val="nil"/>
                    <w:bottom w:val="single" w:sz="8" w:space="0" w:color="FFFFFF"/>
                    <w:right w:val="single" w:sz="8" w:space="0" w:color="FFFFFF"/>
                  </w:tcBorders>
                  <w:shd w:val="clear" w:color="000000" w:fill="FCD5B4"/>
                  <w:noWrap/>
                  <w:vAlign w:val="center"/>
                  <w:hideMark/>
                </w:tcPr>
                <w:p w14:paraId="2FA6197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20%</w:t>
                  </w:r>
                </w:p>
              </w:tc>
              <w:tc>
                <w:tcPr>
                  <w:tcW w:w="940" w:type="dxa"/>
                  <w:tcBorders>
                    <w:top w:val="nil"/>
                    <w:left w:val="nil"/>
                    <w:bottom w:val="single" w:sz="8" w:space="0" w:color="FFFFFF"/>
                    <w:right w:val="single" w:sz="8" w:space="0" w:color="FFFFFF"/>
                  </w:tcBorders>
                  <w:shd w:val="clear" w:color="000000" w:fill="FCD5B4"/>
                  <w:noWrap/>
                  <w:vAlign w:val="center"/>
                  <w:hideMark/>
                </w:tcPr>
                <w:p w14:paraId="122BD3F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19%</w:t>
                  </w:r>
                </w:p>
              </w:tc>
              <w:tc>
                <w:tcPr>
                  <w:tcW w:w="940" w:type="dxa"/>
                  <w:tcBorders>
                    <w:top w:val="nil"/>
                    <w:left w:val="nil"/>
                    <w:bottom w:val="single" w:sz="8" w:space="0" w:color="FFFFFF"/>
                    <w:right w:val="single" w:sz="8" w:space="0" w:color="FFFFFF"/>
                  </w:tcBorders>
                  <w:shd w:val="clear" w:color="000000" w:fill="FCD5B4"/>
                  <w:noWrap/>
                  <w:vAlign w:val="center"/>
                  <w:hideMark/>
                </w:tcPr>
                <w:p w14:paraId="366F1CC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47%</w:t>
                  </w:r>
                </w:p>
              </w:tc>
              <w:tc>
                <w:tcPr>
                  <w:tcW w:w="940" w:type="dxa"/>
                  <w:tcBorders>
                    <w:top w:val="nil"/>
                    <w:left w:val="nil"/>
                    <w:bottom w:val="single" w:sz="8" w:space="0" w:color="FFFFFF"/>
                    <w:right w:val="single" w:sz="8" w:space="0" w:color="FFFFFF"/>
                  </w:tcBorders>
                  <w:shd w:val="clear" w:color="000000" w:fill="FCD5B4"/>
                  <w:noWrap/>
                  <w:vAlign w:val="center"/>
                  <w:hideMark/>
                </w:tcPr>
                <w:p w14:paraId="5FB079D3"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CP</w:t>
                  </w:r>
                </w:p>
              </w:tc>
              <w:tc>
                <w:tcPr>
                  <w:tcW w:w="940" w:type="dxa"/>
                  <w:tcBorders>
                    <w:top w:val="nil"/>
                    <w:left w:val="nil"/>
                    <w:bottom w:val="single" w:sz="8" w:space="0" w:color="FFFFFF"/>
                    <w:right w:val="single" w:sz="8" w:space="0" w:color="FFFFFF"/>
                  </w:tcBorders>
                  <w:shd w:val="clear" w:color="000000" w:fill="FCD5B4"/>
                  <w:noWrap/>
                  <w:vAlign w:val="center"/>
                  <w:hideMark/>
                </w:tcPr>
                <w:p w14:paraId="103E8AF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15%</w:t>
                  </w:r>
                </w:p>
              </w:tc>
              <w:tc>
                <w:tcPr>
                  <w:tcW w:w="940" w:type="dxa"/>
                  <w:tcBorders>
                    <w:top w:val="nil"/>
                    <w:left w:val="nil"/>
                    <w:bottom w:val="single" w:sz="8" w:space="0" w:color="FFFFFF"/>
                    <w:right w:val="single" w:sz="8" w:space="0" w:color="FFFFFF"/>
                  </w:tcBorders>
                  <w:shd w:val="clear" w:color="000000" w:fill="FCD5B4"/>
                  <w:noWrap/>
                  <w:vAlign w:val="center"/>
                  <w:hideMark/>
                </w:tcPr>
                <w:p w14:paraId="4A64F99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11%</w:t>
                  </w:r>
                </w:p>
              </w:tc>
              <w:tc>
                <w:tcPr>
                  <w:tcW w:w="940" w:type="dxa"/>
                  <w:tcBorders>
                    <w:top w:val="nil"/>
                    <w:left w:val="nil"/>
                    <w:bottom w:val="single" w:sz="8" w:space="0" w:color="FFFFFF"/>
                    <w:right w:val="single" w:sz="8" w:space="0" w:color="FFFFFF"/>
                  </w:tcBorders>
                  <w:shd w:val="clear" w:color="000000" w:fill="FCD5B4"/>
                  <w:noWrap/>
                  <w:vAlign w:val="center"/>
                  <w:hideMark/>
                </w:tcPr>
                <w:p w14:paraId="1EC919D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10%</w:t>
                  </w:r>
                </w:p>
              </w:tc>
              <w:tc>
                <w:tcPr>
                  <w:tcW w:w="940" w:type="dxa"/>
                  <w:tcBorders>
                    <w:top w:val="nil"/>
                    <w:left w:val="nil"/>
                    <w:bottom w:val="single" w:sz="8" w:space="0" w:color="FFFFFF"/>
                    <w:right w:val="single" w:sz="8" w:space="0" w:color="FFFFFF"/>
                  </w:tcBorders>
                  <w:shd w:val="clear" w:color="000000" w:fill="FCD5B4"/>
                  <w:noWrap/>
                  <w:vAlign w:val="center"/>
                  <w:hideMark/>
                </w:tcPr>
                <w:p w14:paraId="23F0EEC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70%</w:t>
                  </w:r>
                </w:p>
              </w:tc>
            </w:tr>
            <w:tr w:rsidR="0069484C" w:rsidRPr="0069484C" w14:paraId="45B4A8A1"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4E3090E2"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MTN3Y</w:t>
                  </w:r>
                </w:p>
              </w:tc>
              <w:tc>
                <w:tcPr>
                  <w:tcW w:w="940" w:type="dxa"/>
                  <w:tcBorders>
                    <w:top w:val="nil"/>
                    <w:left w:val="nil"/>
                    <w:bottom w:val="single" w:sz="8" w:space="0" w:color="FFFFFF"/>
                    <w:right w:val="single" w:sz="8" w:space="0" w:color="FFFFFF"/>
                  </w:tcBorders>
                  <w:shd w:val="clear" w:color="000000" w:fill="FDE9D9"/>
                  <w:noWrap/>
                  <w:vAlign w:val="center"/>
                  <w:hideMark/>
                </w:tcPr>
                <w:p w14:paraId="3833165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27%</w:t>
                  </w:r>
                </w:p>
              </w:tc>
              <w:tc>
                <w:tcPr>
                  <w:tcW w:w="940" w:type="dxa"/>
                  <w:tcBorders>
                    <w:top w:val="nil"/>
                    <w:left w:val="nil"/>
                    <w:bottom w:val="single" w:sz="8" w:space="0" w:color="FFFFFF"/>
                    <w:right w:val="single" w:sz="8" w:space="0" w:color="FFFFFF"/>
                  </w:tcBorders>
                  <w:shd w:val="clear" w:color="000000" w:fill="FDE9D9"/>
                  <w:noWrap/>
                  <w:vAlign w:val="center"/>
                  <w:hideMark/>
                </w:tcPr>
                <w:p w14:paraId="1AEC616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21%</w:t>
                  </w:r>
                </w:p>
              </w:tc>
              <w:tc>
                <w:tcPr>
                  <w:tcW w:w="940" w:type="dxa"/>
                  <w:tcBorders>
                    <w:top w:val="nil"/>
                    <w:left w:val="nil"/>
                    <w:bottom w:val="single" w:sz="8" w:space="0" w:color="FFFFFF"/>
                    <w:right w:val="single" w:sz="8" w:space="0" w:color="FFFFFF"/>
                  </w:tcBorders>
                  <w:shd w:val="clear" w:color="000000" w:fill="FDE9D9"/>
                  <w:noWrap/>
                  <w:vAlign w:val="center"/>
                  <w:hideMark/>
                </w:tcPr>
                <w:p w14:paraId="7961211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17%</w:t>
                  </w:r>
                </w:p>
              </w:tc>
              <w:tc>
                <w:tcPr>
                  <w:tcW w:w="940" w:type="dxa"/>
                  <w:tcBorders>
                    <w:top w:val="nil"/>
                    <w:left w:val="nil"/>
                    <w:bottom w:val="single" w:sz="8" w:space="0" w:color="FFFFFF"/>
                    <w:right w:val="single" w:sz="8" w:space="0" w:color="FFFFFF"/>
                  </w:tcBorders>
                  <w:shd w:val="clear" w:color="000000" w:fill="FDE9D9"/>
                  <w:noWrap/>
                  <w:vAlign w:val="center"/>
                  <w:hideMark/>
                </w:tcPr>
                <w:p w14:paraId="1E3FD23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50%</w:t>
                  </w:r>
                </w:p>
              </w:tc>
              <w:tc>
                <w:tcPr>
                  <w:tcW w:w="940" w:type="dxa"/>
                  <w:tcBorders>
                    <w:top w:val="nil"/>
                    <w:left w:val="nil"/>
                    <w:bottom w:val="single" w:sz="8" w:space="0" w:color="FFFFFF"/>
                    <w:right w:val="single" w:sz="8" w:space="0" w:color="FFFFFF"/>
                  </w:tcBorders>
                  <w:shd w:val="clear" w:color="000000" w:fill="FDE9D9"/>
                  <w:noWrap/>
                  <w:vAlign w:val="center"/>
                  <w:hideMark/>
                </w:tcPr>
                <w:p w14:paraId="1171484D"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MTN3Y</w:t>
                  </w:r>
                </w:p>
              </w:tc>
              <w:tc>
                <w:tcPr>
                  <w:tcW w:w="940" w:type="dxa"/>
                  <w:tcBorders>
                    <w:top w:val="nil"/>
                    <w:left w:val="nil"/>
                    <w:bottom w:val="single" w:sz="8" w:space="0" w:color="FFFFFF"/>
                    <w:right w:val="single" w:sz="8" w:space="0" w:color="FFFFFF"/>
                  </w:tcBorders>
                  <w:shd w:val="clear" w:color="000000" w:fill="FDE9D9"/>
                  <w:noWrap/>
                  <w:vAlign w:val="center"/>
                  <w:hideMark/>
                </w:tcPr>
                <w:p w14:paraId="41EF792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23%</w:t>
                  </w:r>
                </w:p>
              </w:tc>
              <w:tc>
                <w:tcPr>
                  <w:tcW w:w="940" w:type="dxa"/>
                  <w:tcBorders>
                    <w:top w:val="nil"/>
                    <w:left w:val="nil"/>
                    <w:bottom w:val="single" w:sz="8" w:space="0" w:color="FFFFFF"/>
                    <w:right w:val="single" w:sz="8" w:space="0" w:color="FFFFFF"/>
                  </w:tcBorders>
                  <w:shd w:val="clear" w:color="000000" w:fill="FDE9D9"/>
                  <w:noWrap/>
                  <w:vAlign w:val="center"/>
                  <w:hideMark/>
                </w:tcPr>
                <w:p w14:paraId="1B07BC7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18%</w:t>
                  </w:r>
                </w:p>
              </w:tc>
              <w:tc>
                <w:tcPr>
                  <w:tcW w:w="940" w:type="dxa"/>
                  <w:tcBorders>
                    <w:top w:val="nil"/>
                    <w:left w:val="nil"/>
                    <w:bottom w:val="single" w:sz="8" w:space="0" w:color="FFFFFF"/>
                    <w:right w:val="single" w:sz="8" w:space="0" w:color="FFFFFF"/>
                  </w:tcBorders>
                  <w:shd w:val="clear" w:color="000000" w:fill="FDE9D9"/>
                  <w:noWrap/>
                  <w:vAlign w:val="center"/>
                  <w:hideMark/>
                </w:tcPr>
                <w:p w14:paraId="12D4E46A"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12%</w:t>
                  </w:r>
                </w:p>
              </w:tc>
              <w:tc>
                <w:tcPr>
                  <w:tcW w:w="940" w:type="dxa"/>
                  <w:tcBorders>
                    <w:top w:val="nil"/>
                    <w:left w:val="nil"/>
                    <w:bottom w:val="single" w:sz="8" w:space="0" w:color="FFFFFF"/>
                    <w:right w:val="single" w:sz="8" w:space="0" w:color="FFFFFF"/>
                  </w:tcBorders>
                  <w:shd w:val="clear" w:color="000000" w:fill="FDE9D9"/>
                  <w:noWrap/>
                  <w:vAlign w:val="center"/>
                  <w:hideMark/>
                </w:tcPr>
                <w:p w14:paraId="0C4B742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66%</w:t>
                  </w:r>
                </w:p>
              </w:tc>
            </w:tr>
            <w:tr w:rsidR="0069484C" w:rsidRPr="0069484C" w14:paraId="7C496E7A"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3EB610DD"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MTN5Y</w:t>
                  </w:r>
                </w:p>
              </w:tc>
              <w:tc>
                <w:tcPr>
                  <w:tcW w:w="940" w:type="dxa"/>
                  <w:tcBorders>
                    <w:top w:val="nil"/>
                    <w:left w:val="nil"/>
                    <w:bottom w:val="single" w:sz="8" w:space="0" w:color="FFFFFF"/>
                    <w:right w:val="single" w:sz="8" w:space="0" w:color="FFFFFF"/>
                  </w:tcBorders>
                  <w:shd w:val="clear" w:color="000000" w:fill="FCD5B4"/>
                  <w:noWrap/>
                  <w:vAlign w:val="center"/>
                  <w:hideMark/>
                </w:tcPr>
                <w:p w14:paraId="69B1C91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24%</w:t>
                  </w:r>
                </w:p>
              </w:tc>
              <w:tc>
                <w:tcPr>
                  <w:tcW w:w="940" w:type="dxa"/>
                  <w:tcBorders>
                    <w:top w:val="nil"/>
                    <w:left w:val="nil"/>
                    <w:bottom w:val="single" w:sz="8" w:space="0" w:color="FFFFFF"/>
                    <w:right w:val="single" w:sz="8" w:space="0" w:color="FFFFFF"/>
                  </w:tcBorders>
                  <w:shd w:val="clear" w:color="000000" w:fill="FCD5B4"/>
                  <w:noWrap/>
                  <w:vAlign w:val="center"/>
                  <w:hideMark/>
                </w:tcPr>
                <w:p w14:paraId="647CA39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21%</w:t>
                  </w:r>
                </w:p>
              </w:tc>
              <w:tc>
                <w:tcPr>
                  <w:tcW w:w="940" w:type="dxa"/>
                  <w:tcBorders>
                    <w:top w:val="nil"/>
                    <w:left w:val="nil"/>
                    <w:bottom w:val="single" w:sz="8" w:space="0" w:color="FFFFFF"/>
                    <w:right w:val="single" w:sz="8" w:space="0" w:color="FFFFFF"/>
                  </w:tcBorders>
                  <w:shd w:val="clear" w:color="000000" w:fill="FCD5B4"/>
                  <w:noWrap/>
                  <w:vAlign w:val="center"/>
                  <w:hideMark/>
                </w:tcPr>
                <w:p w14:paraId="1C9DAE9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17%</w:t>
                  </w:r>
                </w:p>
              </w:tc>
              <w:tc>
                <w:tcPr>
                  <w:tcW w:w="940" w:type="dxa"/>
                  <w:tcBorders>
                    <w:top w:val="nil"/>
                    <w:left w:val="nil"/>
                    <w:bottom w:val="single" w:sz="8" w:space="0" w:color="FFFFFF"/>
                    <w:right w:val="single" w:sz="8" w:space="0" w:color="FFFFFF"/>
                  </w:tcBorders>
                  <w:shd w:val="clear" w:color="000000" w:fill="FCD5B4"/>
                  <w:noWrap/>
                  <w:vAlign w:val="center"/>
                  <w:hideMark/>
                </w:tcPr>
                <w:p w14:paraId="683F36D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56%</w:t>
                  </w:r>
                </w:p>
              </w:tc>
              <w:tc>
                <w:tcPr>
                  <w:tcW w:w="940" w:type="dxa"/>
                  <w:tcBorders>
                    <w:top w:val="nil"/>
                    <w:left w:val="nil"/>
                    <w:bottom w:val="single" w:sz="8" w:space="0" w:color="FFFFFF"/>
                    <w:right w:val="single" w:sz="8" w:space="0" w:color="FFFFFF"/>
                  </w:tcBorders>
                  <w:shd w:val="clear" w:color="000000" w:fill="FCD5B4"/>
                  <w:noWrap/>
                  <w:vAlign w:val="center"/>
                  <w:hideMark/>
                </w:tcPr>
                <w:p w14:paraId="5C28809E"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MTN5Y</w:t>
                  </w:r>
                </w:p>
              </w:tc>
              <w:tc>
                <w:tcPr>
                  <w:tcW w:w="940" w:type="dxa"/>
                  <w:tcBorders>
                    <w:top w:val="nil"/>
                    <w:left w:val="nil"/>
                    <w:bottom w:val="single" w:sz="8" w:space="0" w:color="FFFFFF"/>
                    <w:right w:val="single" w:sz="8" w:space="0" w:color="FFFFFF"/>
                  </w:tcBorders>
                  <w:shd w:val="clear" w:color="000000" w:fill="FCD5B4"/>
                  <w:noWrap/>
                  <w:vAlign w:val="center"/>
                  <w:hideMark/>
                </w:tcPr>
                <w:p w14:paraId="18DB206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30%</w:t>
                  </w:r>
                </w:p>
              </w:tc>
              <w:tc>
                <w:tcPr>
                  <w:tcW w:w="940" w:type="dxa"/>
                  <w:tcBorders>
                    <w:top w:val="nil"/>
                    <w:left w:val="nil"/>
                    <w:bottom w:val="single" w:sz="8" w:space="0" w:color="FFFFFF"/>
                    <w:right w:val="single" w:sz="8" w:space="0" w:color="FFFFFF"/>
                  </w:tcBorders>
                  <w:shd w:val="clear" w:color="000000" w:fill="FCD5B4"/>
                  <w:noWrap/>
                  <w:vAlign w:val="center"/>
                  <w:hideMark/>
                </w:tcPr>
                <w:p w14:paraId="2977556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22%</w:t>
                  </w:r>
                </w:p>
              </w:tc>
              <w:tc>
                <w:tcPr>
                  <w:tcW w:w="940" w:type="dxa"/>
                  <w:tcBorders>
                    <w:top w:val="nil"/>
                    <w:left w:val="nil"/>
                    <w:bottom w:val="single" w:sz="8" w:space="0" w:color="FFFFFF"/>
                    <w:right w:val="single" w:sz="8" w:space="0" w:color="FFFFFF"/>
                  </w:tcBorders>
                  <w:shd w:val="clear" w:color="000000" w:fill="FCD5B4"/>
                  <w:noWrap/>
                  <w:vAlign w:val="center"/>
                  <w:hideMark/>
                </w:tcPr>
                <w:p w14:paraId="6213400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16%</w:t>
                  </w:r>
                </w:p>
              </w:tc>
              <w:tc>
                <w:tcPr>
                  <w:tcW w:w="940" w:type="dxa"/>
                  <w:tcBorders>
                    <w:top w:val="nil"/>
                    <w:left w:val="nil"/>
                    <w:bottom w:val="single" w:sz="8" w:space="0" w:color="FFFFFF"/>
                    <w:right w:val="single" w:sz="8" w:space="0" w:color="FFFFFF"/>
                  </w:tcBorders>
                  <w:shd w:val="clear" w:color="000000" w:fill="FCD5B4"/>
                  <w:noWrap/>
                  <w:vAlign w:val="center"/>
                  <w:hideMark/>
                </w:tcPr>
                <w:p w14:paraId="178C4BE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73%</w:t>
                  </w:r>
                </w:p>
              </w:tc>
            </w:tr>
            <w:tr w:rsidR="0069484C" w:rsidRPr="0069484C" w14:paraId="7556BE04"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2820450B"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企业债3Y</w:t>
                  </w:r>
                </w:p>
              </w:tc>
              <w:tc>
                <w:tcPr>
                  <w:tcW w:w="940" w:type="dxa"/>
                  <w:tcBorders>
                    <w:top w:val="nil"/>
                    <w:left w:val="nil"/>
                    <w:bottom w:val="single" w:sz="8" w:space="0" w:color="FFFFFF"/>
                    <w:right w:val="single" w:sz="8" w:space="0" w:color="FFFFFF"/>
                  </w:tcBorders>
                  <w:shd w:val="clear" w:color="000000" w:fill="FDE9D9"/>
                  <w:noWrap/>
                  <w:vAlign w:val="center"/>
                  <w:hideMark/>
                </w:tcPr>
                <w:p w14:paraId="7905813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28%</w:t>
                  </w:r>
                </w:p>
              </w:tc>
              <w:tc>
                <w:tcPr>
                  <w:tcW w:w="940" w:type="dxa"/>
                  <w:tcBorders>
                    <w:top w:val="nil"/>
                    <w:left w:val="nil"/>
                    <w:bottom w:val="single" w:sz="8" w:space="0" w:color="FFFFFF"/>
                    <w:right w:val="single" w:sz="8" w:space="0" w:color="FFFFFF"/>
                  </w:tcBorders>
                  <w:shd w:val="clear" w:color="000000" w:fill="FDE9D9"/>
                  <w:noWrap/>
                  <w:vAlign w:val="center"/>
                  <w:hideMark/>
                </w:tcPr>
                <w:p w14:paraId="633C4E5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22%</w:t>
                  </w:r>
                </w:p>
              </w:tc>
              <w:tc>
                <w:tcPr>
                  <w:tcW w:w="940" w:type="dxa"/>
                  <w:tcBorders>
                    <w:top w:val="nil"/>
                    <w:left w:val="nil"/>
                    <w:bottom w:val="single" w:sz="8" w:space="0" w:color="FFFFFF"/>
                    <w:right w:val="single" w:sz="8" w:space="0" w:color="FFFFFF"/>
                  </w:tcBorders>
                  <w:shd w:val="clear" w:color="000000" w:fill="FDE9D9"/>
                  <w:noWrap/>
                  <w:vAlign w:val="center"/>
                  <w:hideMark/>
                </w:tcPr>
                <w:p w14:paraId="1B9539C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15%</w:t>
                  </w:r>
                </w:p>
              </w:tc>
              <w:tc>
                <w:tcPr>
                  <w:tcW w:w="940" w:type="dxa"/>
                  <w:tcBorders>
                    <w:top w:val="nil"/>
                    <w:left w:val="nil"/>
                    <w:bottom w:val="single" w:sz="8" w:space="0" w:color="FFFFFF"/>
                    <w:right w:val="single" w:sz="8" w:space="0" w:color="FFFFFF"/>
                  </w:tcBorders>
                  <w:shd w:val="clear" w:color="000000" w:fill="FDE9D9"/>
                  <w:noWrap/>
                  <w:vAlign w:val="center"/>
                  <w:hideMark/>
                </w:tcPr>
                <w:p w14:paraId="46D6D55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46%</w:t>
                  </w:r>
                </w:p>
              </w:tc>
              <w:tc>
                <w:tcPr>
                  <w:tcW w:w="940" w:type="dxa"/>
                  <w:tcBorders>
                    <w:top w:val="nil"/>
                    <w:left w:val="nil"/>
                    <w:bottom w:val="single" w:sz="8" w:space="0" w:color="FFFFFF"/>
                    <w:right w:val="single" w:sz="8" w:space="0" w:color="FFFFFF"/>
                  </w:tcBorders>
                  <w:shd w:val="clear" w:color="000000" w:fill="FDE9D9"/>
                  <w:noWrap/>
                  <w:vAlign w:val="center"/>
                  <w:hideMark/>
                </w:tcPr>
                <w:p w14:paraId="3AC37E71"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企业债3Y</w:t>
                  </w:r>
                </w:p>
              </w:tc>
              <w:tc>
                <w:tcPr>
                  <w:tcW w:w="940" w:type="dxa"/>
                  <w:tcBorders>
                    <w:top w:val="nil"/>
                    <w:left w:val="nil"/>
                    <w:bottom w:val="single" w:sz="8" w:space="0" w:color="FFFFFF"/>
                    <w:right w:val="single" w:sz="8" w:space="0" w:color="FFFFFF"/>
                  </w:tcBorders>
                  <w:shd w:val="clear" w:color="000000" w:fill="FDE9D9"/>
                  <w:noWrap/>
                  <w:vAlign w:val="center"/>
                  <w:hideMark/>
                </w:tcPr>
                <w:p w14:paraId="78D676F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25%</w:t>
                  </w:r>
                </w:p>
              </w:tc>
              <w:tc>
                <w:tcPr>
                  <w:tcW w:w="940" w:type="dxa"/>
                  <w:tcBorders>
                    <w:top w:val="nil"/>
                    <w:left w:val="nil"/>
                    <w:bottom w:val="single" w:sz="8" w:space="0" w:color="FFFFFF"/>
                    <w:right w:val="single" w:sz="8" w:space="0" w:color="FFFFFF"/>
                  </w:tcBorders>
                  <w:shd w:val="clear" w:color="000000" w:fill="FDE9D9"/>
                  <w:noWrap/>
                  <w:vAlign w:val="center"/>
                  <w:hideMark/>
                </w:tcPr>
                <w:p w14:paraId="569F9BC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19%</w:t>
                  </w:r>
                </w:p>
              </w:tc>
              <w:tc>
                <w:tcPr>
                  <w:tcW w:w="940" w:type="dxa"/>
                  <w:tcBorders>
                    <w:top w:val="nil"/>
                    <w:left w:val="nil"/>
                    <w:bottom w:val="single" w:sz="8" w:space="0" w:color="FFFFFF"/>
                    <w:right w:val="single" w:sz="8" w:space="0" w:color="FFFFFF"/>
                  </w:tcBorders>
                  <w:shd w:val="clear" w:color="000000" w:fill="FDE9D9"/>
                  <w:noWrap/>
                  <w:vAlign w:val="center"/>
                  <w:hideMark/>
                </w:tcPr>
                <w:p w14:paraId="44271ED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11%</w:t>
                  </w:r>
                </w:p>
              </w:tc>
              <w:tc>
                <w:tcPr>
                  <w:tcW w:w="940" w:type="dxa"/>
                  <w:tcBorders>
                    <w:top w:val="nil"/>
                    <w:left w:val="nil"/>
                    <w:bottom w:val="single" w:sz="8" w:space="0" w:color="FFFFFF"/>
                    <w:right w:val="single" w:sz="8" w:space="0" w:color="FFFFFF"/>
                  </w:tcBorders>
                  <w:shd w:val="clear" w:color="000000" w:fill="FDE9D9"/>
                  <w:noWrap/>
                  <w:vAlign w:val="center"/>
                  <w:hideMark/>
                </w:tcPr>
                <w:p w14:paraId="2BD7153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66%</w:t>
                  </w:r>
                </w:p>
              </w:tc>
            </w:tr>
            <w:tr w:rsidR="0069484C" w:rsidRPr="0069484C" w14:paraId="352DCFC7"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1BC49F22"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企业债5Y</w:t>
                  </w:r>
                </w:p>
              </w:tc>
              <w:tc>
                <w:tcPr>
                  <w:tcW w:w="940" w:type="dxa"/>
                  <w:tcBorders>
                    <w:top w:val="nil"/>
                    <w:left w:val="nil"/>
                    <w:bottom w:val="single" w:sz="8" w:space="0" w:color="FFFFFF"/>
                    <w:right w:val="single" w:sz="8" w:space="0" w:color="FFFFFF"/>
                  </w:tcBorders>
                  <w:shd w:val="clear" w:color="000000" w:fill="FCD5B4"/>
                  <w:noWrap/>
                  <w:vAlign w:val="center"/>
                  <w:hideMark/>
                </w:tcPr>
                <w:p w14:paraId="6119A29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25%</w:t>
                  </w:r>
                </w:p>
              </w:tc>
              <w:tc>
                <w:tcPr>
                  <w:tcW w:w="940" w:type="dxa"/>
                  <w:tcBorders>
                    <w:top w:val="nil"/>
                    <w:left w:val="nil"/>
                    <w:bottom w:val="single" w:sz="8" w:space="0" w:color="FFFFFF"/>
                    <w:right w:val="single" w:sz="8" w:space="0" w:color="FFFFFF"/>
                  </w:tcBorders>
                  <w:shd w:val="clear" w:color="000000" w:fill="FCD5B4"/>
                  <w:noWrap/>
                  <w:vAlign w:val="center"/>
                  <w:hideMark/>
                </w:tcPr>
                <w:p w14:paraId="2F800A8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21%</w:t>
                  </w:r>
                </w:p>
              </w:tc>
              <w:tc>
                <w:tcPr>
                  <w:tcW w:w="940" w:type="dxa"/>
                  <w:tcBorders>
                    <w:top w:val="nil"/>
                    <w:left w:val="nil"/>
                    <w:bottom w:val="single" w:sz="8" w:space="0" w:color="FFFFFF"/>
                    <w:right w:val="single" w:sz="8" w:space="0" w:color="FFFFFF"/>
                  </w:tcBorders>
                  <w:shd w:val="clear" w:color="000000" w:fill="FCD5B4"/>
                  <w:noWrap/>
                  <w:vAlign w:val="center"/>
                  <w:hideMark/>
                </w:tcPr>
                <w:p w14:paraId="5E21687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17%</w:t>
                  </w:r>
                </w:p>
              </w:tc>
              <w:tc>
                <w:tcPr>
                  <w:tcW w:w="940" w:type="dxa"/>
                  <w:tcBorders>
                    <w:top w:val="nil"/>
                    <w:left w:val="nil"/>
                    <w:bottom w:val="single" w:sz="8" w:space="0" w:color="FFFFFF"/>
                    <w:right w:val="single" w:sz="8" w:space="0" w:color="FFFFFF"/>
                  </w:tcBorders>
                  <w:shd w:val="clear" w:color="000000" w:fill="FCD5B4"/>
                  <w:noWrap/>
                  <w:vAlign w:val="center"/>
                  <w:hideMark/>
                </w:tcPr>
                <w:p w14:paraId="42B15B4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53%</w:t>
                  </w:r>
                </w:p>
              </w:tc>
              <w:tc>
                <w:tcPr>
                  <w:tcW w:w="940" w:type="dxa"/>
                  <w:tcBorders>
                    <w:top w:val="nil"/>
                    <w:left w:val="nil"/>
                    <w:bottom w:val="single" w:sz="8" w:space="0" w:color="FFFFFF"/>
                    <w:right w:val="single" w:sz="8" w:space="0" w:color="FFFFFF"/>
                  </w:tcBorders>
                  <w:shd w:val="clear" w:color="000000" w:fill="FCD5B4"/>
                  <w:noWrap/>
                  <w:vAlign w:val="center"/>
                  <w:hideMark/>
                </w:tcPr>
                <w:p w14:paraId="29074F31"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企业债5Y</w:t>
                  </w:r>
                </w:p>
              </w:tc>
              <w:tc>
                <w:tcPr>
                  <w:tcW w:w="940" w:type="dxa"/>
                  <w:tcBorders>
                    <w:top w:val="nil"/>
                    <w:left w:val="nil"/>
                    <w:bottom w:val="single" w:sz="8" w:space="0" w:color="FFFFFF"/>
                    <w:right w:val="single" w:sz="8" w:space="0" w:color="FFFFFF"/>
                  </w:tcBorders>
                  <w:shd w:val="clear" w:color="000000" w:fill="FCD5B4"/>
                  <w:noWrap/>
                  <w:vAlign w:val="center"/>
                  <w:hideMark/>
                </w:tcPr>
                <w:p w14:paraId="1875DE9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31%</w:t>
                  </w:r>
                </w:p>
              </w:tc>
              <w:tc>
                <w:tcPr>
                  <w:tcW w:w="940" w:type="dxa"/>
                  <w:tcBorders>
                    <w:top w:val="nil"/>
                    <w:left w:val="nil"/>
                    <w:bottom w:val="single" w:sz="8" w:space="0" w:color="FFFFFF"/>
                    <w:right w:val="single" w:sz="8" w:space="0" w:color="FFFFFF"/>
                  </w:tcBorders>
                  <w:shd w:val="clear" w:color="000000" w:fill="FCD5B4"/>
                  <w:noWrap/>
                  <w:vAlign w:val="center"/>
                  <w:hideMark/>
                </w:tcPr>
                <w:p w14:paraId="7CE863B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22%</w:t>
                  </w:r>
                </w:p>
              </w:tc>
              <w:tc>
                <w:tcPr>
                  <w:tcW w:w="940" w:type="dxa"/>
                  <w:tcBorders>
                    <w:top w:val="nil"/>
                    <w:left w:val="nil"/>
                    <w:bottom w:val="single" w:sz="8" w:space="0" w:color="FFFFFF"/>
                    <w:right w:val="single" w:sz="8" w:space="0" w:color="FFFFFF"/>
                  </w:tcBorders>
                  <w:shd w:val="clear" w:color="000000" w:fill="FCD5B4"/>
                  <w:noWrap/>
                  <w:vAlign w:val="center"/>
                  <w:hideMark/>
                </w:tcPr>
                <w:p w14:paraId="7A46A47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14%</w:t>
                  </w:r>
                </w:p>
              </w:tc>
              <w:tc>
                <w:tcPr>
                  <w:tcW w:w="940" w:type="dxa"/>
                  <w:tcBorders>
                    <w:top w:val="nil"/>
                    <w:left w:val="nil"/>
                    <w:bottom w:val="single" w:sz="8" w:space="0" w:color="FFFFFF"/>
                    <w:right w:val="single" w:sz="8" w:space="0" w:color="FFFFFF"/>
                  </w:tcBorders>
                  <w:shd w:val="clear" w:color="000000" w:fill="FCD5B4"/>
                  <w:noWrap/>
                  <w:vAlign w:val="center"/>
                  <w:hideMark/>
                </w:tcPr>
                <w:p w14:paraId="0321726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72%</w:t>
                  </w:r>
                </w:p>
              </w:tc>
            </w:tr>
            <w:tr w:rsidR="0069484C" w:rsidRPr="0069484C" w14:paraId="34B42C8C"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3988C549"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企业债7Y</w:t>
                  </w:r>
                </w:p>
              </w:tc>
              <w:tc>
                <w:tcPr>
                  <w:tcW w:w="940" w:type="dxa"/>
                  <w:tcBorders>
                    <w:top w:val="nil"/>
                    <w:left w:val="nil"/>
                    <w:bottom w:val="single" w:sz="8" w:space="0" w:color="FFFFFF"/>
                    <w:right w:val="single" w:sz="8" w:space="0" w:color="FFFFFF"/>
                  </w:tcBorders>
                  <w:shd w:val="clear" w:color="000000" w:fill="FDE9D9"/>
                  <w:noWrap/>
                  <w:vAlign w:val="center"/>
                  <w:hideMark/>
                </w:tcPr>
                <w:p w14:paraId="4F0550A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16%</w:t>
                  </w:r>
                </w:p>
              </w:tc>
              <w:tc>
                <w:tcPr>
                  <w:tcW w:w="940" w:type="dxa"/>
                  <w:tcBorders>
                    <w:top w:val="nil"/>
                    <w:left w:val="nil"/>
                    <w:bottom w:val="single" w:sz="8" w:space="0" w:color="FFFFFF"/>
                    <w:right w:val="single" w:sz="8" w:space="0" w:color="FFFFFF"/>
                  </w:tcBorders>
                  <w:shd w:val="clear" w:color="000000" w:fill="FDE9D9"/>
                  <w:noWrap/>
                  <w:vAlign w:val="center"/>
                  <w:hideMark/>
                </w:tcPr>
                <w:p w14:paraId="19F39C9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11%</w:t>
                  </w:r>
                </w:p>
              </w:tc>
              <w:tc>
                <w:tcPr>
                  <w:tcW w:w="940" w:type="dxa"/>
                  <w:tcBorders>
                    <w:top w:val="nil"/>
                    <w:left w:val="nil"/>
                    <w:bottom w:val="single" w:sz="8" w:space="0" w:color="FFFFFF"/>
                    <w:right w:val="single" w:sz="8" w:space="0" w:color="FFFFFF"/>
                  </w:tcBorders>
                  <w:shd w:val="clear" w:color="000000" w:fill="FDE9D9"/>
                  <w:noWrap/>
                  <w:vAlign w:val="center"/>
                  <w:hideMark/>
                </w:tcPr>
                <w:p w14:paraId="31CB0DB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8%</w:t>
                  </w:r>
                </w:p>
              </w:tc>
              <w:tc>
                <w:tcPr>
                  <w:tcW w:w="940" w:type="dxa"/>
                  <w:tcBorders>
                    <w:top w:val="nil"/>
                    <w:left w:val="nil"/>
                    <w:bottom w:val="single" w:sz="8" w:space="0" w:color="FFFFFF"/>
                    <w:right w:val="single" w:sz="8" w:space="0" w:color="FFFFFF"/>
                  </w:tcBorders>
                  <w:shd w:val="clear" w:color="000000" w:fill="FDE9D9"/>
                  <w:noWrap/>
                  <w:vAlign w:val="center"/>
                  <w:hideMark/>
                </w:tcPr>
                <w:p w14:paraId="55DB176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39%</w:t>
                  </w:r>
                </w:p>
              </w:tc>
              <w:tc>
                <w:tcPr>
                  <w:tcW w:w="940" w:type="dxa"/>
                  <w:tcBorders>
                    <w:top w:val="nil"/>
                    <w:left w:val="nil"/>
                    <w:bottom w:val="single" w:sz="8" w:space="0" w:color="FFFFFF"/>
                    <w:right w:val="single" w:sz="8" w:space="0" w:color="FFFFFF"/>
                  </w:tcBorders>
                  <w:shd w:val="clear" w:color="000000" w:fill="FDE9D9"/>
                  <w:noWrap/>
                  <w:vAlign w:val="center"/>
                  <w:hideMark/>
                </w:tcPr>
                <w:p w14:paraId="511D9B0A" w14:textId="77777777" w:rsidR="0069484C" w:rsidRPr="0069484C" w:rsidRDefault="0069484C" w:rsidP="0069484C">
                  <w:pPr>
                    <w:widowControl/>
                    <w:jc w:val="center"/>
                    <w:rPr>
                      <w:rFonts w:ascii="楷体" w:eastAsia="楷体" w:hAnsi="楷体" w:cs="宋体"/>
                      <w:color w:val="000000"/>
                      <w:kern w:val="0"/>
                      <w:sz w:val="15"/>
                      <w:szCs w:val="15"/>
                    </w:rPr>
                  </w:pPr>
                  <w:r w:rsidRPr="0069484C">
                    <w:rPr>
                      <w:rFonts w:ascii="楷体" w:eastAsia="楷体" w:hAnsi="楷体" w:cs="宋体" w:hint="eastAsia"/>
                      <w:color w:val="000000"/>
                      <w:kern w:val="0"/>
                      <w:sz w:val="15"/>
                      <w:szCs w:val="15"/>
                    </w:rPr>
                    <w:t>企业债7Y</w:t>
                  </w:r>
                </w:p>
              </w:tc>
              <w:tc>
                <w:tcPr>
                  <w:tcW w:w="940" w:type="dxa"/>
                  <w:tcBorders>
                    <w:top w:val="nil"/>
                    <w:left w:val="nil"/>
                    <w:bottom w:val="single" w:sz="8" w:space="0" w:color="FFFFFF"/>
                    <w:right w:val="single" w:sz="8" w:space="0" w:color="FFFFFF"/>
                  </w:tcBorders>
                  <w:shd w:val="clear" w:color="000000" w:fill="FDE9D9"/>
                  <w:noWrap/>
                  <w:vAlign w:val="center"/>
                  <w:hideMark/>
                </w:tcPr>
                <w:p w14:paraId="77D1B98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15%</w:t>
                  </w:r>
                </w:p>
              </w:tc>
              <w:tc>
                <w:tcPr>
                  <w:tcW w:w="940" w:type="dxa"/>
                  <w:tcBorders>
                    <w:top w:val="nil"/>
                    <w:left w:val="nil"/>
                    <w:bottom w:val="single" w:sz="8" w:space="0" w:color="FFFFFF"/>
                    <w:right w:val="single" w:sz="8" w:space="0" w:color="FFFFFF"/>
                  </w:tcBorders>
                  <w:shd w:val="clear" w:color="000000" w:fill="FDE9D9"/>
                  <w:noWrap/>
                  <w:vAlign w:val="center"/>
                  <w:hideMark/>
                </w:tcPr>
                <w:p w14:paraId="43C85E25"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7%</w:t>
                  </w:r>
                </w:p>
              </w:tc>
              <w:tc>
                <w:tcPr>
                  <w:tcW w:w="940" w:type="dxa"/>
                  <w:tcBorders>
                    <w:top w:val="nil"/>
                    <w:left w:val="nil"/>
                    <w:bottom w:val="single" w:sz="8" w:space="0" w:color="FFFFFF"/>
                    <w:right w:val="single" w:sz="8" w:space="0" w:color="FFFFFF"/>
                  </w:tcBorders>
                  <w:shd w:val="clear" w:color="000000" w:fill="FDE9D9"/>
                  <w:noWrap/>
                  <w:vAlign w:val="center"/>
                  <w:hideMark/>
                </w:tcPr>
                <w:p w14:paraId="78D0781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4%</w:t>
                  </w:r>
                </w:p>
              </w:tc>
              <w:tc>
                <w:tcPr>
                  <w:tcW w:w="940" w:type="dxa"/>
                  <w:tcBorders>
                    <w:top w:val="nil"/>
                    <w:left w:val="nil"/>
                    <w:bottom w:val="single" w:sz="8" w:space="0" w:color="FFFFFF"/>
                    <w:right w:val="single" w:sz="8" w:space="0" w:color="FFFFFF"/>
                  </w:tcBorders>
                  <w:shd w:val="clear" w:color="000000" w:fill="FDE9D9"/>
                  <w:noWrap/>
                  <w:vAlign w:val="center"/>
                  <w:hideMark/>
                </w:tcPr>
                <w:p w14:paraId="709C3BEF"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56%</w:t>
                  </w:r>
                </w:p>
              </w:tc>
            </w:tr>
            <w:tr w:rsidR="0069484C" w:rsidRPr="0069484C" w14:paraId="135807AE" w14:textId="77777777" w:rsidTr="0069484C">
              <w:trPr>
                <w:trHeight w:val="300"/>
              </w:trPr>
              <w:tc>
                <w:tcPr>
                  <w:tcW w:w="1168" w:type="dxa"/>
                  <w:tcBorders>
                    <w:top w:val="nil"/>
                    <w:left w:val="nil"/>
                    <w:bottom w:val="single" w:sz="8" w:space="0" w:color="FFFFFF"/>
                    <w:right w:val="single" w:sz="8" w:space="0" w:color="FFFFFF"/>
                  </w:tcBorders>
                  <w:shd w:val="clear" w:color="000000" w:fill="FCD5B4"/>
                  <w:noWrap/>
                  <w:vAlign w:val="center"/>
                  <w:hideMark/>
                </w:tcPr>
                <w:p w14:paraId="7F1DBFE9"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3Y</w:t>
                  </w:r>
                </w:p>
              </w:tc>
              <w:tc>
                <w:tcPr>
                  <w:tcW w:w="940" w:type="dxa"/>
                  <w:tcBorders>
                    <w:top w:val="nil"/>
                    <w:left w:val="nil"/>
                    <w:bottom w:val="single" w:sz="8" w:space="0" w:color="FFFFFF"/>
                    <w:right w:val="single" w:sz="8" w:space="0" w:color="FFFFFF"/>
                  </w:tcBorders>
                  <w:shd w:val="clear" w:color="000000" w:fill="FCD5B4"/>
                  <w:noWrap/>
                  <w:vAlign w:val="center"/>
                  <w:hideMark/>
                </w:tcPr>
                <w:p w14:paraId="335851A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22%</w:t>
                  </w:r>
                </w:p>
              </w:tc>
              <w:tc>
                <w:tcPr>
                  <w:tcW w:w="940" w:type="dxa"/>
                  <w:tcBorders>
                    <w:top w:val="nil"/>
                    <w:left w:val="nil"/>
                    <w:bottom w:val="single" w:sz="8" w:space="0" w:color="FFFFFF"/>
                    <w:right w:val="single" w:sz="8" w:space="0" w:color="FFFFFF"/>
                  </w:tcBorders>
                  <w:shd w:val="clear" w:color="000000" w:fill="FCD5B4"/>
                  <w:noWrap/>
                  <w:vAlign w:val="center"/>
                  <w:hideMark/>
                </w:tcPr>
                <w:p w14:paraId="5E41E90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19%</w:t>
                  </w:r>
                </w:p>
              </w:tc>
              <w:tc>
                <w:tcPr>
                  <w:tcW w:w="940" w:type="dxa"/>
                  <w:tcBorders>
                    <w:top w:val="nil"/>
                    <w:left w:val="nil"/>
                    <w:bottom w:val="single" w:sz="8" w:space="0" w:color="FFFFFF"/>
                    <w:right w:val="single" w:sz="8" w:space="0" w:color="FFFFFF"/>
                  </w:tcBorders>
                  <w:shd w:val="clear" w:color="000000" w:fill="FCD5B4"/>
                  <w:noWrap/>
                  <w:vAlign w:val="center"/>
                  <w:hideMark/>
                </w:tcPr>
                <w:p w14:paraId="2196B96C"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15%</w:t>
                  </w:r>
                </w:p>
              </w:tc>
              <w:tc>
                <w:tcPr>
                  <w:tcW w:w="940" w:type="dxa"/>
                  <w:tcBorders>
                    <w:top w:val="nil"/>
                    <w:left w:val="nil"/>
                    <w:bottom w:val="single" w:sz="8" w:space="0" w:color="FFFFFF"/>
                    <w:right w:val="single" w:sz="8" w:space="0" w:color="FFFFFF"/>
                  </w:tcBorders>
                  <w:shd w:val="clear" w:color="000000" w:fill="FCD5B4"/>
                  <w:noWrap/>
                  <w:vAlign w:val="center"/>
                  <w:hideMark/>
                </w:tcPr>
                <w:p w14:paraId="2E5416F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37%</w:t>
                  </w:r>
                </w:p>
              </w:tc>
              <w:tc>
                <w:tcPr>
                  <w:tcW w:w="940" w:type="dxa"/>
                  <w:tcBorders>
                    <w:top w:val="nil"/>
                    <w:left w:val="nil"/>
                    <w:bottom w:val="single" w:sz="8" w:space="0" w:color="FFFFFF"/>
                    <w:right w:val="single" w:sz="8" w:space="0" w:color="FFFFFF"/>
                  </w:tcBorders>
                  <w:shd w:val="clear" w:color="000000" w:fill="FCD5B4"/>
                  <w:noWrap/>
                  <w:vAlign w:val="center"/>
                  <w:hideMark/>
                </w:tcPr>
                <w:p w14:paraId="6B01B414"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3Y</w:t>
                  </w:r>
                </w:p>
              </w:tc>
              <w:tc>
                <w:tcPr>
                  <w:tcW w:w="940" w:type="dxa"/>
                  <w:tcBorders>
                    <w:top w:val="nil"/>
                    <w:left w:val="nil"/>
                    <w:bottom w:val="single" w:sz="8" w:space="0" w:color="FFFFFF"/>
                    <w:right w:val="single" w:sz="8" w:space="0" w:color="FFFFFF"/>
                  </w:tcBorders>
                  <w:shd w:val="clear" w:color="000000" w:fill="FCD5B4"/>
                  <w:noWrap/>
                  <w:vAlign w:val="center"/>
                  <w:hideMark/>
                </w:tcPr>
                <w:p w14:paraId="3B6665DE"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19%</w:t>
                  </w:r>
                </w:p>
              </w:tc>
              <w:tc>
                <w:tcPr>
                  <w:tcW w:w="940" w:type="dxa"/>
                  <w:tcBorders>
                    <w:top w:val="nil"/>
                    <w:left w:val="nil"/>
                    <w:bottom w:val="single" w:sz="8" w:space="0" w:color="FFFFFF"/>
                    <w:right w:val="single" w:sz="8" w:space="0" w:color="FFFFFF"/>
                  </w:tcBorders>
                  <w:shd w:val="clear" w:color="000000" w:fill="FCD5B4"/>
                  <w:noWrap/>
                  <w:vAlign w:val="center"/>
                  <w:hideMark/>
                </w:tcPr>
                <w:p w14:paraId="625EC033"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20%</w:t>
                  </w:r>
                </w:p>
              </w:tc>
              <w:tc>
                <w:tcPr>
                  <w:tcW w:w="940" w:type="dxa"/>
                  <w:tcBorders>
                    <w:top w:val="nil"/>
                    <w:left w:val="nil"/>
                    <w:bottom w:val="single" w:sz="8" w:space="0" w:color="FFFFFF"/>
                    <w:right w:val="single" w:sz="8" w:space="0" w:color="FFFFFF"/>
                  </w:tcBorders>
                  <w:shd w:val="clear" w:color="000000" w:fill="FCD5B4"/>
                  <w:noWrap/>
                  <w:vAlign w:val="center"/>
                  <w:hideMark/>
                </w:tcPr>
                <w:p w14:paraId="68005A76"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16%</w:t>
                  </w:r>
                </w:p>
              </w:tc>
              <w:tc>
                <w:tcPr>
                  <w:tcW w:w="940" w:type="dxa"/>
                  <w:tcBorders>
                    <w:top w:val="nil"/>
                    <w:left w:val="nil"/>
                    <w:bottom w:val="single" w:sz="8" w:space="0" w:color="FFFFFF"/>
                    <w:right w:val="single" w:sz="8" w:space="0" w:color="FFFFFF"/>
                  </w:tcBorders>
                  <w:shd w:val="clear" w:color="000000" w:fill="FCD5B4"/>
                  <w:noWrap/>
                  <w:vAlign w:val="center"/>
                  <w:hideMark/>
                </w:tcPr>
                <w:p w14:paraId="709B5D5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47%</w:t>
                  </w:r>
                </w:p>
              </w:tc>
            </w:tr>
            <w:tr w:rsidR="0069484C" w:rsidRPr="0069484C" w14:paraId="7559D527" w14:textId="77777777" w:rsidTr="0069484C">
              <w:trPr>
                <w:trHeight w:val="300"/>
              </w:trPr>
              <w:tc>
                <w:tcPr>
                  <w:tcW w:w="1168" w:type="dxa"/>
                  <w:tcBorders>
                    <w:top w:val="nil"/>
                    <w:left w:val="nil"/>
                    <w:bottom w:val="single" w:sz="8" w:space="0" w:color="FFFFFF"/>
                    <w:right w:val="single" w:sz="8" w:space="0" w:color="FFFFFF"/>
                  </w:tcBorders>
                  <w:shd w:val="clear" w:color="000000" w:fill="FDE9D9"/>
                  <w:noWrap/>
                  <w:vAlign w:val="center"/>
                  <w:hideMark/>
                </w:tcPr>
                <w:p w14:paraId="332B5F79"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5Y</w:t>
                  </w:r>
                </w:p>
              </w:tc>
              <w:tc>
                <w:tcPr>
                  <w:tcW w:w="940" w:type="dxa"/>
                  <w:tcBorders>
                    <w:top w:val="nil"/>
                    <w:left w:val="nil"/>
                    <w:bottom w:val="single" w:sz="8" w:space="0" w:color="FFFFFF"/>
                    <w:right w:val="single" w:sz="8" w:space="0" w:color="FFFFFF"/>
                  </w:tcBorders>
                  <w:shd w:val="clear" w:color="000000" w:fill="FDE9D9"/>
                  <w:noWrap/>
                  <w:vAlign w:val="center"/>
                  <w:hideMark/>
                </w:tcPr>
                <w:p w14:paraId="21FA86D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17%</w:t>
                  </w:r>
                </w:p>
              </w:tc>
              <w:tc>
                <w:tcPr>
                  <w:tcW w:w="940" w:type="dxa"/>
                  <w:tcBorders>
                    <w:top w:val="nil"/>
                    <w:left w:val="nil"/>
                    <w:bottom w:val="single" w:sz="8" w:space="0" w:color="FFFFFF"/>
                    <w:right w:val="single" w:sz="8" w:space="0" w:color="FFFFFF"/>
                  </w:tcBorders>
                  <w:shd w:val="clear" w:color="000000" w:fill="FDE9D9"/>
                  <w:noWrap/>
                  <w:vAlign w:val="center"/>
                  <w:hideMark/>
                </w:tcPr>
                <w:p w14:paraId="2312BBF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17%</w:t>
                  </w:r>
                </w:p>
              </w:tc>
              <w:tc>
                <w:tcPr>
                  <w:tcW w:w="940" w:type="dxa"/>
                  <w:tcBorders>
                    <w:top w:val="nil"/>
                    <w:left w:val="nil"/>
                    <w:bottom w:val="single" w:sz="8" w:space="0" w:color="FFFFFF"/>
                    <w:right w:val="single" w:sz="8" w:space="0" w:color="FFFFFF"/>
                  </w:tcBorders>
                  <w:shd w:val="clear" w:color="000000" w:fill="FDE9D9"/>
                  <w:noWrap/>
                  <w:vAlign w:val="center"/>
                  <w:hideMark/>
                </w:tcPr>
                <w:p w14:paraId="20C0F95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16%</w:t>
                  </w:r>
                </w:p>
              </w:tc>
              <w:tc>
                <w:tcPr>
                  <w:tcW w:w="940" w:type="dxa"/>
                  <w:tcBorders>
                    <w:top w:val="nil"/>
                    <w:left w:val="nil"/>
                    <w:bottom w:val="single" w:sz="8" w:space="0" w:color="FFFFFF"/>
                    <w:right w:val="single" w:sz="8" w:space="0" w:color="FFFFFF"/>
                  </w:tcBorders>
                  <w:shd w:val="clear" w:color="000000" w:fill="FDE9D9"/>
                  <w:noWrap/>
                  <w:vAlign w:val="center"/>
                  <w:hideMark/>
                </w:tcPr>
                <w:p w14:paraId="262A9B48"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47%</w:t>
                  </w:r>
                </w:p>
              </w:tc>
              <w:tc>
                <w:tcPr>
                  <w:tcW w:w="940" w:type="dxa"/>
                  <w:tcBorders>
                    <w:top w:val="nil"/>
                    <w:left w:val="nil"/>
                    <w:bottom w:val="single" w:sz="8" w:space="0" w:color="FFFFFF"/>
                    <w:right w:val="single" w:sz="8" w:space="0" w:color="FFFFFF"/>
                  </w:tcBorders>
                  <w:shd w:val="clear" w:color="000000" w:fill="FDE9D9"/>
                  <w:noWrap/>
                  <w:vAlign w:val="center"/>
                  <w:hideMark/>
                </w:tcPr>
                <w:p w14:paraId="4B93EBBA"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5Y</w:t>
                  </w:r>
                </w:p>
              </w:tc>
              <w:tc>
                <w:tcPr>
                  <w:tcW w:w="940" w:type="dxa"/>
                  <w:tcBorders>
                    <w:top w:val="nil"/>
                    <w:left w:val="nil"/>
                    <w:bottom w:val="single" w:sz="8" w:space="0" w:color="FFFFFF"/>
                    <w:right w:val="single" w:sz="8" w:space="0" w:color="FFFFFF"/>
                  </w:tcBorders>
                  <w:shd w:val="clear" w:color="000000" w:fill="FDE9D9"/>
                  <w:noWrap/>
                  <w:vAlign w:val="center"/>
                  <w:hideMark/>
                </w:tcPr>
                <w:p w14:paraId="04C71EDB"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23%</w:t>
                  </w:r>
                </w:p>
              </w:tc>
              <w:tc>
                <w:tcPr>
                  <w:tcW w:w="940" w:type="dxa"/>
                  <w:tcBorders>
                    <w:top w:val="nil"/>
                    <w:left w:val="nil"/>
                    <w:bottom w:val="single" w:sz="8" w:space="0" w:color="FFFFFF"/>
                    <w:right w:val="single" w:sz="8" w:space="0" w:color="FFFFFF"/>
                  </w:tcBorders>
                  <w:shd w:val="clear" w:color="000000" w:fill="FDE9D9"/>
                  <w:noWrap/>
                  <w:vAlign w:val="center"/>
                  <w:hideMark/>
                </w:tcPr>
                <w:p w14:paraId="65F77AB1"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21%</w:t>
                  </w:r>
                </w:p>
              </w:tc>
              <w:tc>
                <w:tcPr>
                  <w:tcW w:w="940" w:type="dxa"/>
                  <w:tcBorders>
                    <w:top w:val="nil"/>
                    <w:left w:val="nil"/>
                    <w:bottom w:val="single" w:sz="8" w:space="0" w:color="FFFFFF"/>
                    <w:right w:val="single" w:sz="8" w:space="0" w:color="FFFFFF"/>
                  </w:tcBorders>
                  <w:shd w:val="clear" w:color="000000" w:fill="FDE9D9"/>
                  <w:noWrap/>
                  <w:vAlign w:val="center"/>
                  <w:hideMark/>
                </w:tcPr>
                <w:p w14:paraId="622ACEE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17%</w:t>
                  </w:r>
                </w:p>
              </w:tc>
              <w:tc>
                <w:tcPr>
                  <w:tcW w:w="940" w:type="dxa"/>
                  <w:tcBorders>
                    <w:top w:val="nil"/>
                    <w:left w:val="nil"/>
                    <w:bottom w:val="single" w:sz="8" w:space="0" w:color="FFFFFF"/>
                    <w:right w:val="single" w:sz="8" w:space="0" w:color="FFFFFF"/>
                  </w:tcBorders>
                  <w:shd w:val="clear" w:color="000000" w:fill="FDE9D9"/>
                  <w:noWrap/>
                  <w:vAlign w:val="center"/>
                  <w:hideMark/>
                </w:tcPr>
                <w:p w14:paraId="1F50AF1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71%</w:t>
                  </w:r>
                </w:p>
              </w:tc>
            </w:tr>
            <w:tr w:rsidR="0069484C" w:rsidRPr="0069484C" w14:paraId="67FDE17E" w14:textId="77777777" w:rsidTr="0069484C">
              <w:trPr>
                <w:trHeight w:val="300"/>
              </w:trPr>
              <w:tc>
                <w:tcPr>
                  <w:tcW w:w="1168" w:type="dxa"/>
                  <w:tcBorders>
                    <w:top w:val="nil"/>
                    <w:left w:val="nil"/>
                    <w:bottom w:val="nil"/>
                    <w:right w:val="nil"/>
                  </w:tcBorders>
                  <w:shd w:val="clear" w:color="000000" w:fill="FCD5B4"/>
                  <w:noWrap/>
                  <w:vAlign w:val="center"/>
                  <w:hideMark/>
                </w:tcPr>
                <w:p w14:paraId="1253242B"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7Y</w:t>
                  </w:r>
                </w:p>
              </w:tc>
              <w:tc>
                <w:tcPr>
                  <w:tcW w:w="940" w:type="dxa"/>
                  <w:tcBorders>
                    <w:top w:val="nil"/>
                    <w:left w:val="nil"/>
                    <w:bottom w:val="single" w:sz="8" w:space="0" w:color="FFFFFF"/>
                    <w:right w:val="single" w:sz="8" w:space="0" w:color="FFFFFF"/>
                  </w:tcBorders>
                  <w:shd w:val="clear" w:color="000000" w:fill="FCD5B4"/>
                  <w:noWrap/>
                  <w:vAlign w:val="center"/>
                  <w:hideMark/>
                </w:tcPr>
                <w:p w14:paraId="1A9F47C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13%</w:t>
                  </w:r>
                </w:p>
              </w:tc>
              <w:tc>
                <w:tcPr>
                  <w:tcW w:w="940" w:type="dxa"/>
                  <w:tcBorders>
                    <w:top w:val="nil"/>
                    <w:left w:val="nil"/>
                    <w:bottom w:val="single" w:sz="8" w:space="0" w:color="FFFFFF"/>
                    <w:right w:val="single" w:sz="8" w:space="0" w:color="FFFFFF"/>
                  </w:tcBorders>
                  <w:shd w:val="clear" w:color="000000" w:fill="FCD5B4"/>
                  <w:noWrap/>
                  <w:vAlign w:val="center"/>
                  <w:hideMark/>
                </w:tcPr>
                <w:p w14:paraId="6B91AC6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12%</w:t>
                  </w:r>
                </w:p>
              </w:tc>
              <w:tc>
                <w:tcPr>
                  <w:tcW w:w="940" w:type="dxa"/>
                  <w:tcBorders>
                    <w:top w:val="nil"/>
                    <w:left w:val="nil"/>
                    <w:bottom w:val="single" w:sz="8" w:space="0" w:color="FFFFFF"/>
                    <w:right w:val="single" w:sz="8" w:space="0" w:color="FFFFFF"/>
                  </w:tcBorders>
                  <w:shd w:val="clear" w:color="000000" w:fill="FCD5B4"/>
                  <w:noWrap/>
                  <w:vAlign w:val="center"/>
                  <w:hideMark/>
                </w:tcPr>
                <w:p w14:paraId="4E8FE912"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11%</w:t>
                  </w:r>
                </w:p>
              </w:tc>
              <w:tc>
                <w:tcPr>
                  <w:tcW w:w="940" w:type="dxa"/>
                  <w:tcBorders>
                    <w:top w:val="nil"/>
                    <w:left w:val="nil"/>
                    <w:bottom w:val="single" w:sz="8" w:space="0" w:color="FFFFFF"/>
                    <w:right w:val="single" w:sz="8" w:space="0" w:color="FFFFFF"/>
                  </w:tcBorders>
                  <w:shd w:val="clear" w:color="000000" w:fill="FCD5B4"/>
                  <w:noWrap/>
                  <w:vAlign w:val="center"/>
                  <w:hideMark/>
                </w:tcPr>
                <w:p w14:paraId="01ED48E9"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42%</w:t>
                  </w:r>
                </w:p>
              </w:tc>
              <w:tc>
                <w:tcPr>
                  <w:tcW w:w="940" w:type="dxa"/>
                  <w:tcBorders>
                    <w:top w:val="nil"/>
                    <w:left w:val="nil"/>
                    <w:bottom w:val="nil"/>
                    <w:right w:val="nil"/>
                  </w:tcBorders>
                  <w:shd w:val="clear" w:color="000000" w:fill="FCD5B4"/>
                  <w:noWrap/>
                  <w:vAlign w:val="center"/>
                  <w:hideMark/>
                </w:tcPr>
                <w:p w14:paraId="0712BF4E" w14:textId="77777777" w:rsidR="0069484C" w:rsidRPr="0069484C" w:rsidRDefault="0069484C" w:rsidP="0069484C">
                  <w:pPr>
                    <w:widowControl/>
                    <w:jc w:val="center"/>
                    <w:rPr>
                      <w:rFonts w:ascii="楷体" w:eastAsia="楷体" w:hAnsi="楷体" w:cs="宋体"/>
                      <w:color w:val="000000"/>
                      <w:kern w:val="0"/>
                      <w:sz w:val="15"/>
                      <w:szCs w:val="15"/>
                    </w:rPr>
                  </w:pPr>
                  <w:proofErr w:type="gramStart"/>
                  <w:r w:rsidRPr="0069484C">
                    <w:rPr>
                      <w:rFonts w:ascii="楷体" w:eastAsia="楷体" w:hAnsi="楷体" w:cs="宋体" w:hint="eastAsia"/>
                      <w:color w:val="000000"/>
                      <w:kern w:val="0"/>
                      <w:sz w:val="15"/>
                      <w:szCs w:val="15"/>
                    </w:rPr>
                    <w:t>城投债</w:t>
                  </w:r>
                  <w:proofErr w:type="gramEnd"/>
                  <w:r w:rsidRPr="0069484C">
                    <w:rPr>
                      <w:rFonts w:ascii="楷体" w:eastAsia="楷体" w:hAnsi="楷体" w:cs="宋体" w:hint="eastAsia"/>
                      <w:color w:val="000000"/>
                      <w:kern w:val="0"/>
                      <w:sz w:val="15"/>
                      <w:szCs w:val="15"/>
                    </w:rPr>
                    <w:t>7Y</w:t>
                  </w:r>
                </w:p>
              </w:tc>
              <w:tc>
                <w:tcPr>
                  <w:tcW w:w="940" w:type="dxa"/>
                  <w:tcBorders>
                    <w:top w:val="nil"/>
                    <w:left w:val="nil"/>
                    <w:bottom w:val="single" w:sz="8" w:space="0" w:color="FFFFFF"/>
                    <w:right w:val="single" w:sz="8" w:space="0" w:color="FFFFFF"/>
                  </w:tcBorders>
                  <w:shd w:val="clear" w:color="000000" w:fill="FCD5B4"/>
                  <w:noWrap/>
                  <w:vAlign w:val="center"/>
                  <w:hideMark/>
                </w:tcPr>
                <w:p w14:paraId="7541D0B4"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12%</w:t>
                  </w:r>
                </w:p>
              </w:tc>
              <w:tc>
                <w:tcPr>
                  <w:tcW w:w="940" w:type="dxa"/>
                  <w:tcBorders>
                    <w:top w:val="nil"/>
                    <w:left w:val="nil"/>
                    <w:bottom w:val="single" w:sz="8" w:space="0" w:color="FFFFFF"/>
                    <w:right w:val="single" w:sz="8" w:space="0" w:color="FFFFFF"/>
                  </w:tcBorders>
                  <w:shd w:val="clear" w:color="000000" w:fill="FCD5B4"/>
                  <w:noWrap/>
                  <w:vAlign w:val="center"/>
                  <w:hideMark/>
                </w:tcPr>
                <w:p w14:paraId="78F07127"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9%</w:t>
                  </w:r>
                </w:p>
              </w:tc>
              <w:tc>
                <w:tcPr>
                  <w:tcW w:w="940" w:type="dxa"/>
                  <w:tcBorders>
                    <w:top w:val="nil"/>
                    <w:left w:val="nil"/>
                    <w:bottom w:val="single" w:sz="8" w:space="0" w:color="FFFFFF"/>
                    <w:right w:val="single" w:sz="8" w:space="0" w:color="FFFFFF"/>
                  </w:tcBorders>
                  <w:shd w:val="clear" w:color="000000" w:fill="FCD5B4"/>
                  <w:noWrap/>
                  <w:vAlign w:val="center"/>
                  <w:hideMark/>
                </w:tcPr>
                <w:p w14:paraId="3B31EC1D"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6%</w:t>
                  </w:r>
                </w:p>
              </w:tc>
              <w:tc>
                <w:tcPr>
                  <w:tcW w:w="940" w:type="dxa"/>
                  <w:tcBorders>
                    <w:top w:val="nil"/>
                    <w:left w:val="nil"/>
                    <w:bottom w:val="single" w:sz="8" w:space="0" w:color="FFFFFF"/>
                    <w:right w:val="single" w:sz="8" w:space="0" w:color="FFFFFF"/>
                  </w:tcBorders>
                  <w:shd w:val="clear" w:color="000000" w:fill="FCD5B4"/>
                  <w:noWrap/>
                  <w:vAlign w:val="center"/>
                  <w:hideMark/>
                </w:tcPr>
                <w:p w14:paraId="053BF3A0" w14:textId="77777777" w:rsidR="0069484C" w:rsidRPr="0069484C" w:rsidRDefault="0069484C" w:rsidP="0069484C">
                  <w:pPr>
                    <w:widowControl/>
                    <w:jc w:val="center"/>
                    <w:rPr>
                      <w:rFonts w:eastAsia="等线" w:cs="Calibri"/>
                      <w:color w:val="000000"/>
                      <w:kern w:val="0"/>
                      <w:sz w:val="15"/>
                      <w:szCs w:val="15"/>
                    </w:rPr>
                  </w:pPr>
                  <w:r w:rsidRPr="0069484C">
                    <w:rPr>
                      <w:rFonts w:eastAsia="等线" w:cs="Calibri"/>
                      <w:color w:val="000000"/>
                      <w:kern w:val="0"/>
                      <w:sz w:val="15"/>
                      <w:szCs w:val="15"/>
                    </w:rPr>
                    <w:t>64%</w:t>
                  </w:r>
                </w:p>
              </w:tc>
            </w:tr>
          </w:tbl>
          <w:p w14:paraId="446C7D6E" w14:textId="294F6511" w:rsidR="00E0626C" w:rsidRPr="0069484C" w:rsidRDefault="00E0626C" w:rsidP="0092340D">
            <w:pPr>
              <w:rPr>
                <w:noProof/>
                <w:sz w:val="20"/>
                <w:szCs w:val="16"/>
              </w:rPr>
            </w:pPr>
          </w:p>
        </w:tc>
      </w:tr>
      <w:tr w:rsidR="00E0626C" w:rsidRPr="006A5F34" w14:paraId="01D36A65" w14:textId="77777777" w:rsidTr="00E46B36">
        <w:trPr>
          <w:trHeight w:val="43"/>
          <w:jc w:val="center"/>
        </w:trPr>
        <w:tc>
          <w:tcPr>
            <w:tcW w:w="9881"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50CB09B"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Pr>
          <w:rFonts w:ascii="华文楷体" w:hAnsi="华文楷体"/>
          <w:sz w:val="24"/>
          <w:szCs w:val="24"/>
          <w:lang w:eastAsia="zh-CN"/>
        </w:rPr>
        <w:t>，</w:t>
      </w:r>
      <w:r w:rsidR="003931FA"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E359DD">
        <w:rPr>
          <w:rFonts w:ascii="华文楷体" w:hAnsi="华文楷体" w:hint="eastAsia"/>
          <w:sz w:val="24"/>
          <w:szCs w:val="24"/>
          <w:lang w:eastAsia="zh-CN"/>
        </w:rPr>
        <w:t>波动增大，整体震荡。</w:t>
      </w:r>
      <w:r w:rsidR="00591DD3">
        <w:rPr>
          <w:rFonts w:ascii="华文楷体" w:hAnsi="华文楷体" w:hint="eastAsia"/>
          <w:sz w:val="24"/>
          <w:szCs w:val="24"/>
          <w:lang w:eastAsia="zh-CN"/>
        </w:rPr>
        <w:t>转</w:t>
      </w:r>
      <w:proofErr w:type="gramStart"/>
      <w:r w:rsidR="00591DD3">
        <w:rPr>
          <w:rFonts w:ascii="华文楷体" w:hAnsi="华文楷体" w:hint="eastAsia"/>
          <w:sz w:val="24"/>
          <w:szCs w:val="24"/>
          <w:lang w:eastAsia="zh-CN"/>
        </w:rPr>
        <w:t>债指数</w:t>
      </w:r>
      <w:proofErr w:type="gramEnd"/>
      <w:r w:rsidR="00AF3C15">
        <w:rPr>
          <w:rFonts w:ascii="华文楷体" w:hAnsi="华文楷体" w:hint="eastAsia"/>
          <w:sz w:val="24"/>
          <w:szCs w:val="24"/>
          <w:lang w:eastAsia="zh-CN"/>
        </w:rPr>
        <w:t>较上周上涨</w:t>
      </w:r>
      <w:r w:rsidR="00E359DD">
        <w:rPr>
          <w:rFonts w:ascii="华文楷体" w:hAnsi="华文楷体"/>
          <w:sz w:val="24"/>
          <w:szCs w:val="24"/>
          <w:lang w:eastAsia="zh-CN"/>
        </w:rPr>
        <w:t>1.1</w:t>
      </w:r>
      <w:r w:rsidR="00AF3C15">
        <w:rPr>
          <w:rFonts w:ascii="华文楷体" w:hAnsi="华文楷体" w:hint="eastAsia"/>
          <w:sz w:val="24"/>
          <w:szCs w:val="24"/>
          <w:lang w:eastAsia="zh-CN"/>
        </w:rPr>
        <w:t>%</w:t>
      </w:r>
      <w:r w:rsidR="00591DD3">
        <w:rPr>
          <w:rFonts w:ascii="华文楷体" w:hAnsi="华文楷体" w:hint="eastAsia"/>
          <w:sz w:val="24"/>
          <w:szCs w:val="24"/>
          <w:lang w:eastAsia="zh-CN"/>
        </w:rPr>
        <w:t>。</w:t>
      </w:r>
      <w:r w:rsidR="00591011">
        <w:rPr>
          <w:rFonts w:ascii="华文楷体" w:hAnsi="华文楷体" w:hint="eastAsia"/>
          <w:sz w:val="24"/>
          <w:szCs w:val="24"/>
          <w:lang w:eastAsia="zh-CN"/>
        </w:rPr>
        <w:t>市场</w:t>
      </w:r>
      <w:r w:rsidR="00F20D5F">
        <w:rPr>
          <w:rFonts w:ascii="华文楷体" w:hAnsi="华文楷体" w:hint="eastAsia"/>
          <w:sz w:val="24"/>
          <w:szCs w:val="24"/>
          <w:lang w:eastAsia="zh-CN"/>
        </w:rPr>
        <w:t>各主要板块</w:t>
      </w:r>
      <w:r w:rsidR="00E359DD">
        <w:rPr>
          <w:rFonts w:ascii="华文楷体" w:hAnsi="华文楷体" w:hint="eastAsia"/>
          <w:sz w:val="24"/>
          <w:szCs w:val="24"/>
          <w:lang w:eastAsia="zh-CN"/>
        </w:rPr>
        <w:t>调整明显</w:t>
      </w:r>
      <w:r w:rsidR="007C2CEA">
        <w:rPr>
          <w:rFonts w:ascii="华文楷体" w:hAnsi="华文楷体" w:hint="eastAsia"/>
          <w:sz w:val="24"/>
          <w:szCs w:val="24"/>
          <w:lang w:eastAsia="zh-CN"/>
        </w:rPr>
        <w:t>，成交量较上周</w:t>
      </w:r>
      <w:r w:rsidR="00E04BBE">
        <w:rPr>
          <w:rFonts w:ascii="华文楷体" w:hAnsi="华文楷体" w:hint="eastAsia"/>
          <w:sz w:val="24"/>
          <w:szCs w:val="24"/>
          <w:lang w:eastAsia="zh-CN"/>
        </w:rPr>
        <w:t>缩减</w:t>
      </w:r>
      <w:r w:rsidR="00DC05C7">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w:t>
      </w:r>
      <w:r w:rsidR="00AC28BB">
        <w:rPr>
          <w:rFonts w:ascii="华文楷体" w:hAnsi="华文楷体"/>
          <w:sz w:val="24"/>
          <w:szCs w:val="24"/>
          <w:lang w:eastAsia="zh-CN"/>
        </w:rPr>
        <w:t>分别</w:t>
      </w:r>
      <w:r w:rsidR="007C2CEA">
        <w:rPr>
          <w:rFonts w:ascii="华文楷体" w:hAnsi="华文楷体" w:hint="eastAsia"/>
          <w:sz w:val="24"/>
          <w:szCs w:val="24"/>
          <w:lang w:eastAsia="zh-CN"/>
        </w:rPr>
        <w:t>上涨</w:t>
      </w:r>
      <w:r w:rsidR="00257267">
        <w:rPr>
          <w:rFonts w:ascii="华文楷体" w:hAnsi="华文楷体"/>
          <w:sz w:val="24"/>
          <w:szCs w:val="24"/>
          <w:lang w:eastAsia="zh-CN"/>
        </w:rPr>
        <w:t>1.3</w:t>
      </w:r>
      <w:r w:rsidR="00AC28BB">
        <w:rPr>
          <w:rFonts w:ascii="华文楷体" w:hAnsi="华文楷体"/>
          <w:sz w:val="24"/>
          <w:szCs w:val="24"/>
          <w:lang w:eastAsia="zh-CN"/>
        </w:rPr>
        <w:t>%、</w:t>
      </w:r>
      <w:r w:rsidR="00257267">
        <w:rPr>
          <w:rFonts w:ascii="华文楷体" w:hAnsi="华文楷体"/>
          <w:sz w:val="24"/>
          <w:szCs w:val="24"/>
          <w:lang w:eastAsia="zh-CN"/>
        </w:rPr>
        <w:t>-1.6</w:t>
      </w:r>
      <w:r w:rsidR="00AC28BB">
        <w:rPr>
          <w:rFonts w:ascii="华文楷体" w:hAnsi="华文楷体"/>
          <w:sz w:val="24"/>
          <w:szCs w:val="24"/>
          <w:lang w:eastAsia="zh-CN"/>
        </w:rPr>
        <w:t>%、</w:t>
      </w:r>
      <w:r w:rsidR="00257267">
        <w:rPr>
          <w:rFonts w:ascii="华文楷体" w:hAnsi="华文楷体"/>
          <w:sz w:val="24"/>
          <w:szCs w:val="24"/>
          <w:lang w:eastAsia="zh-CN"/>
        </w:rPr>
        <w:t>2.9</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257267">
        <w:rPr>
          <w:rFonts w:ascii="华文楷体" w:hAnsi="华文楷体"/>
          <w:sz w:val="24"/>
          <w:szCs w:val="24"/>
          <w:lang w:eastAsia="zh-CN"/>
        </w:rPr>
        <w:t>0.3</w:t>
      </w:r>
      <w:r w:rsidR="00AC28BB">
        <w:rPr>
          <w:rFonts w:ascii="华文楷体" w:hAnsi="华文楷体"/>
          <w:sz w:val="24"/>
          <w:szCs w:val="24"/>
          <w:lang w:eastAsia="zh-CN"/>
        </w:rPr>
        <w:t>%</w:t>
      </w:r>
      <w:r w:rsidR="00AC28BB">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E97AC4">
        <w:tblPrEx>
          <w:tblCellMar>
            <w:left w:w="108" w:type="dxa"/>
            <w:right w:w="108" w:type="dxa"/>
          </w:tblCellMar>
        </w:tblPrEx>
        <w:trPr>
          <w:jc w:val="center"/>
        </w:trPr>
        <w:tc>
          <w:tcPr>
            <w:tcW w:w="4939" w:type="dxa"/>
            <w:vAlign w:val="center"/>
          </w:tcPr>
          <w:p w14:paraId="5C83721A" w14:textId="18F84BC2" w:rsidR="00E0626C" w:rsidRPr="007E0340" w:rsidRDefault="00E359DD" w:rsidP="009A2BA0">
            <w:pPr>
              <w:jc w:val="center"/>
              <w:rPr>
                <w:noProof/>
              </w:rPr>
            </w:pPr>
            <w:r>
              <w:rPr>
                <w:noProof/>
              </w:rPr>
              <w:drawing>
                <wp:inline distT="0" distB="0" distL="0" distR="0" wp14:anchorId="087F0FE5" wp14:editId="0D91836F">
                  <wp:extent cx="2999105" cy="20224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99105" cy="2022475"/>
                          </a:xfrm>
                          <a:prstGeom prst="rect">
                            <a:avLst/>
                          </a:prstGeom>
                        </pic:spPr>
                      </pic:pic>
                    </a:graphicData>
                  </a:graphic>
                </wp:inline>
              </w:drawing>
            </w:r>
          </w:p>
        </w:tc>
        <w:tc>
          <w:tcPr>
            <w:tcW w:w="4938" w:type="dxa"/>
            <w:vAlign w:val="center"/>
          </w:tcPr>
          <w:p w14:paraId="39BD4383" w14:textId="3E2D1859" w:rsidR="00E0626C" w:rsidRPr="007E0340" w:rsidRDefault="00E97AC4" w:rsidP="009A2BA0">
            <w:pPr>
              <w:jc w:val="center"/>
              <w:rPr>
                <w:noProof/>
                <w:szCs w:val="18"/>
              </w:rPr>
            </w:pPr>
            <w:r>
              <w:rPr>
                <w:noProof/>
              </w:rPr>
              <w:drawing>
                <wp:inline distT="0" distB="0" distL="0" distR="0" wp14:anchorId="630BF6C8" wp14:editId="08296C6A">
                  <wp:extent cx="2998470" cy="1837804"/>
                  <wp:effectExtent l="0" t="0" r="0" b="0"/>
                  <wp:docPr id="21" name="图表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13C7191A" w:rsidR="00882FA5" w:rsidRPr="003E42BE"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257267" w:rsidRPr="00257267">
        <w:rPr>
          <w:rFonts w:ascii="华文楷体" w:hAnsi="华文楷体" w:hint="eastAsia"/>
          <w:bCs/>
          <w:sz w:val="24"/>
          <w:szCs w:val="24"/>
          <w:lang w:eastAsia="zh-CN"/>
        </w:rPr>
        <w:t>煤炭价格涨跌</w:t>
      </w:r>
      <w:r w:rsidR="0030711F">
        <w:rPr>
          <w:rFonts w:ascii="华文楷体" w:hAnsi="华文楷体" w:hint="eastAsia"/>
          <w:bCs/>
          <w:sz w:val="24"/>
          <w:szCs w:val="24"/>
          <w:lang w:eastAsia="zh-CN"/>
        </w:rPr>
        <w:t>不一</w:t>
      </w:r>
      <w:r w:rsidR="00257267" w:rsidRPr="00257267">
        <w:rPr>
          <w:rFonts w:ascii="华文楷体" w:hAnsi="华文楷体" w:hint="eastAsia"/>
          <w:bCs/>
          <w:sz w:val="24"/>
          <w:szCs w:val="24"/>
          <w:lang w:eastAsia="zh-CN"/>
        </w:rPr>
        <w:t>，动力煤和焦煤价格均有回落</w:t>
      </w:r>
      <w:r w:rsidR="00430EC8" w:rsidRPr="00430EC8">
        <w:rPr>
          <w:rFonts w:ascii="华文楷体" w:hAnsi="华文楷体" w:hint="eastAsia"/>
          <w:bCs/>
          <w:sz w:val="24"/>
          <w:szCs w:val="24"/>
          <w:lang w:eastAsia="zh-CN"/>
        </w:rPr>
        <w:t>。本周</w:t>
      </w:r>
      <w:proofErr w:type="spellStart"/>
      <w:r w:rsidR="00430EC8" w:rsidRPr="00430EC8">
        <w:rPr>
          <w:rFonts w:ascii="华文楷体" w:hAnsi="华文楷体" w:hint="eastAsia"/>
          <w:bCs/>
          <w:sz w:val="24"/>
          <w:szCs w:val="24"/>
          <w:lang w:eastAsia="zh-CN"/>
        </w:rPr>
        <w:t>Myspic</w:t>
      </w:r>
      <w:proofErr w:type="spellEnd"/>
      <w:r w:rsidR="00430EC8" w:rsidRPr="00430EC8">
        <w:rPr>
          <w:rFonts w:ascii="华文楷体" w:hAnsi="华文楷体" w:hint="eastAsia"/>
          <w:bCs/>
          <w:sz w:val="24"/>
          <w:szCs w:val="24"/>
          <w:lang w:eastAsia="zh-CN"/>
        </w:rPr>
        <w:t>综合全国钢铁价格指数</w:t>
      </w:r>
      <w:r w:rsidR="00D724AF">
        <w:rPr>
          <w:rFonts w:ascii="华文楷体" w:hAnsi="华文楷体" w:hint="eastAsia"/>
          <w:bCs/>
          <w:sz w:val="24"/>
          <w:szCs w:val="24"/>
          <w:lang w:eastAsia="zh-CN"/>
        </w:rPr>
        <w:t>上涨1</w:t>
      </w:r>
      <w:r w:rsidR="00D724AF">
        <w:rPr>
          <w:rFonts w:ascii="华文楷体" w:hAnsi="华文楷体"/>
          <w:bCs/>
          <w:sz w:val="24"/>
          <w:szCs w:val="24"/>
          <w:lang w:eastAsia="zh-CN"/>
        </w:rPr>
        <w:t>.48</w:t>
      </w:r>
      <w:r w:rsidR="00430EC8" w:rsidRPr="00430EC8">
        <w:rPr>
          <w:rFonts w:ascii="华文楷体" w:hAnsi="华文楷体" w:hint="eastAsia"/>
          <w:bCs/>
          <w:sz w:val="24"/>
          <w:szCs w:val="24"/>
          <w:lang w:eastAsia="zh-CN"/>
        </w:rPr>
        <w:t>%。主要品种中，螺纹钢、</w:t>
      </w:r>
      <w:proofErr w:type="gramStart"/>
      <w:r w:rsidR="00430EC8" w:rsidRPr="00430EC8">
        <w:rPr>
          <w:rFonts w:ascii="华文楷体" w:hAnsi="华文楷体" w:hint="eastAsia"/>
          <w:bCs/>
          <w:sz w:val="24"/>
          <w:szCs w:val="24"/>
          <w:lang w:eastAsia="zh-CN"/>
        </w:rPr>
        <w:t>热卷价格</w:t>
      </w:r>
      <w:proofErr w:type="gramEnd"/>
      <w:r w:rsidR="0030711F">
        <w:rPr>
          <w:rFonts w:ascii="华文楷体" w:hAnsi="华文楷体" w:hint="eastAsia"/>
          <w:bCs/>
          <w:sz w:val="24"/>
          <w:szCs w:val="24"/>
          <w:lang w:eastAsia="zh-CN"/>
        </w:rPr>
        <w:t>继续上涨</w:t>
      </w:r>
      <w:r w:rsidR="00430EC8" w:rsidRPr="00430EC8">
        <w:rPr>
          <w:rFonts w:ascii="华文楷体" w:hAnsi="华文楷体" w:hint="eastAsia"/>
          <w:bCs/>
          <w:sz w:val="24"/>
          <w:szCs w:val="24"/>
          <w:lang w:eastAsia="zh-CN"/>
        </w:rPr>
        <w:t>，分别变动</w:t>
      </w:r>
      <w:r w:rsidR="0030711F">
        <w:rPr>
          <w:rFonts w:ascii="华文楷体" w:hAnsi="华文楷体"/>
          <w:bCs/>
          <w:sz w:val="24"/>
          <w:szCs w:val="24"/>
          <w:lang w:eastAsia="zh-CN"/>
        </w:rPr>
        <w:t>1.26</w:t>
      </w:r>
      <w:r w:rsidR="00430EC8" w:rsidRPr="00430EC8">
        <w:rPr>
          <w:rFonts w:ascii="华文楷体" w:hAnsi="华文楷体" w:hint="eastAsia"/>
          <w:bCs/>
          <w:sz w:val="24"/>
          <w:szCs w:val="24"/>
          <w:lang w:eastAsia="zh-CN"/>
        </w:rPr>
        <w:t>%、</w:t>
      </w:r>
      <w:r w:rsidR="0001480A">
        <w:rPr>
          <w:rFonts w:ascii="华文楷体" w:hAnsi="华文楷体"/>
          <w:bCs/>
          <w:sz w:val="24"/>
          <w:szCs w:val="24"/>
          <w:lang w:eastAsia="zh-CN"/>
        </w:rPr>
        <w:t>1.</w:t>
      </w:r>
      <w:r w:rsidR="0030711F">
        <w:rPr>
          <w:rFonts w:ascii="华文楷体" w:hAnsi="华文楷体"/>
          <w:bCs/>
          <w:sz w:val="24"/>
          <w:szCs w:val="24"/>
          <w:lang w:eastAsia="zh-CN"/>
        </w:rPr>
        <w:t>88</w:t>
      </w:r>
      <w:r w:rsidR="00430EC8" w:rsidRPr="00430EC8">
        <w:rPr>
          <w:rFonts w:ascii="华文楷体" w:hAnsi="华文楷体" w:hint="eastAsia"/>
          <w:bCs/>
          <w:sz w:val="24"/>
          <w:szCs w:val="24"/>
          <w:lang w:eastAsia="zh-CN"/>
        </w:rPr>
        <w:t>%；从库存来看，螺纹钢社会库存</w:t>
      </w:r>
      <w:r w:rsidR="0030711F">
        <w:rPr>
          <w:rFonts w:ascii="华文楷体" w:hAnsi="华文楷体" w:hint="eastAsia"/>
          <w:bCs/>
          <w:sz w:val="24"/>
          <w:szCs w:val="24"/>
          <w:lang w:eastAsia="zh-CN"/>
        </w:rPr>
        <w:t>略有去化</w:t>
      </w:r>
      <w:r w:rsidR="00430EC8" w:rsidRPr="00430EC8">
        <w:rPr>
          <w:rFonts w:ascii="华文楷体" w:hAnsi="华文楷体" w:hint="eastAsia"/>
          <w:bCs/>
          <w:sz w:val="24"/>
          <w:szCs w:val="24"/>
          <w:lang w:eastAsia="zh-CN"/>
        </w:rPr>
        <w:t>。本周</w:t>
      </w:r>
      <w:r w:rsidR="005F3962">
        <w:rPr>
          <w:rFonts w:ascii="华文楷体" w:hAnsi="华文楷体" w:hint="eastAsia"/>
          <w:bCs/>
          <w:sz w:val="24"/>
          <w:szCs w:val="24"/>
          <w:lang w:eastAsia="zh-CN"/>
        </w:rPr>
        <w:t>LME</w:t>
      </w:r>
      <w:r w:rsidR="00430EC8" w:rsidRPr="00430EC8">
        <w:rPr>
          <w:rFonts w:ascii="华文楷体" w:hAnsi="华文楷体" w:hint="eastAsia"/>
          <w:bCs/>
          <w:sz w:val="24"/>
          <w:szCs w:val="24"/>
          <w:lang w:eastAsia="zh-CN"/>
        </w:rPr>
        <w:t>有色品种</w:t>
      </w:r>
      <w:r w:rsidR="005F3962">
        <w:rPr>
          <w:rFonts w:ascii="华文楷体" w:hAnsi="华文楷体" w:hint="eastAsia"/>
          <w:bCs/>
          <w:sz w:val="24"/>
          <w:szCs w:val="24"/>
          <w:lang w:eastAsia="zh-CN"/>
        </w:rPr>
        <w:t>铜和铝</w:t>
      </w:r>
      <w:r w:rsidR="00430EC8" w:rsidRPr="00430EC8">
        <w:rPr>
          <w:rFonts w:ascii="华文楷体" w:hAnsi="华文楷体" w:hint="eastAsia"/>
          <w:bCs/>
          <w:sz w:val="24"/>
          <w:szCs w:val="24"/>
          <w:lang w:eastAsia="zh-CN"/>
        </w:rPr>
        <w:t>价格</w:t>
      </w:r>
      <w:r w:rsidR="0030711F">
        <w:rPr>
          <w:rFonts w:ascii="华文楷体" w:hAnsi="华文楷体" w:hint="eastAsia"/>
          <w:bCs/>
          <w:sz w:val="24"/>
          <w:szCs w:val="24"/>
          <w:lang w:eastAsia="zh-CN"/>
        </w:rPr>
        <w:t>稳定</w:t>
      </w:r>
      <w:r w:rsidR="005F3962">
        <w:rPr>
          <w:rFonts w:ascii="华文楷体" w:hAnsi="华文楷体" w:hint="eastAsia"/>
          <w:bCs/>
          <w:sz w:val="24"/>
          <w:szCs w:val="24"/>
          <w:lang w:eastAsia="zh-CN"/>
        </w:rPr>
        <w:t>，主要受海外供给因素</w:t>
      </w:r>
      <w:r w:rsidR="0030711F">
        <w:rPr>
          <w:rFonts w:ascii="华文楷体" w:hAnsi="华文楷体" w:hint="eastAsia"/>
          <w:bCs/>
          <w:sz w:val="24"/>
          <w:szCs w:val="24"/>
          <w:lang w:eastAsia="zh-CN"/>
        </w:rPr>
        <w:t>改善</w:t>
      </w:r>
      <w:r w:rsidR="005F3962">
        <w:rPr>
          <w:rFonts w:ascii="华文楷体" w:hAnsi="华文楷体" w:hint="eastAsia"/>
          <w:bCs/>
          <w:sz w:val="24"/>
          <w:szCs w:val="24"/>
          <w:lang w:eastAsia="zh-CN"/>
        </w:rPr>
        <w:t>影响。</w:t>
      </w:r>
    </w:p>
    <w:p w14:paraId="184D73D0" w14:textId="319B4B75" w:rsidR="00257267"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430EC8" w:rsidRPr="00430EC8">
        <w:rPr>
          <w:rFonts w:ascii="华文楷体" w:hAnsi="华文楷体" w:hint="eastAsia"/>
          <w:bCs/>
          <w:sz w:val="24"/>
          <w:szCs w:val="24"/>
          <w:lang w:eastAsia="zh-CN"/>
        </w:rPr>
        <w:t>本周30大中城市商品房成交面积较上周继续回落，或与近期部分城市地产政策有所</w:t>
      </w:r>
      <w:r w:rsidR="00A61947">
        <w:rPr>
          <w:rFonts w:ascii="华文楷体" w:hAnsi="华文楷体" w:hint="eastAsia"/>
          <w:bCs/>
          <w:sz w:val="24"/>
          <w:szCs w:val="24"/>
          <w:lang w:eastAsia="zh-CN"/>
        </w:rPr>
        <w:t>收紧有关。</w:t>
      </w:r>
      <w:r w:rsidR="00430EC8" w:rsidRPr="00430EC8">
        <w:rPr>
          <w:rFonts w:ascii="华文楷体" w:hAnsi="华文楷体" w:hint="eastAsia"/>
          <w:bCs/>
          <w:sz w:val="24"/>
          <w:szCs w:val="24"/>
          <w:lang w:eastAsia="zh-CN"/>
        </w:rPr>
        <w:t>拿地方面，100大中城市土地成交面积继续回落。</w:t>
      </w:r>
      <w:r w:rsidR="00257267" w:rsidRPr="00257267">
        <w:rPr>
          <w:rFonts w:ascii="华文楷体" w:hAnsi="华文楷体" w:hint="eastAsia"/>
          <w:bCs/>
          <w:sz w:val="24"/>
          <w:szCs w:val="24"/>
          <w:lang w:eastAsia="zh-CN"/>
        </w:rPr>
        <w:t>7月乘联会乘用车零售销量增速</w:t>
      </w:r>
      <w:r w:rsidR="00257267">
        <w:rPr>
          <w:rFonts w:ascii="华文楷体" w:hAnsi="华文楷体" w:hint="eastAsia"/>
          <w:bCs/>
          <w:sz w:val="24"/>
          <w:szCs w:val="24"/>
          <w:lang w:eastAsia="zh-CN"/>
        </w:rPr>
        <w:t>上升</w:t>
      </w:r>
      <w:r w:rsidR="00257267" w:rsidRPr="00257267">
        <w:rPr>
          <w:rFonts w:ascii="华文楷体" w:hAnsi="华文楷体" w:hint="eastAsia"/>
          <w:bCs/>
          <w:sz w:val="24"/>
          <w:szCs w:val="24"/>
          <w:lang w:eastAsia="zh-CN"/>
        </w:rPr>
        <w:t>至6%，批发销量增速也同步上行至4%</w:t>
      </w:r>
      <w:r w:rsidR="00257267">
        <w:rPr>
          <w:rFonts w:ascii="华文楷体" w:hAnsi="华文楷体" w:hint="eastAsia"/>
          <w:bCs/>
          <w:sz w:val="24"/>
          <w:szCs w:val="24"/>
          <w:lang w:eastAsia="zh-CN"/>
        </w:rPr>
        <w:t>。</w:t>
      </w:r>
    </w:p>
    <w:p w14:paraId="3BDE386D" w14:textId="304C1407"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D60F71">
        <w:rPr>
          <w:rFonts w:ascii="华文楷体" w:hAnsi="华文楷体" w:hint="eastAsia"/>
          <w:bCs/>
          <w:sz w:val="24"/>
          <w:szCs w:val="24"/>
          <w:lang w:eastAsia="zh-CN"/>
        </w:rPr>
        <w:t>出口方面，</w:t>
      </w:r>
      <w:r w:rsidR="00A61947" w:rsidRPr="00A61947">
        <w:rPr>
          <w:rFonts w:ascii="华文楷体" w:hAnsi="华文楷体" w:hint="eastAsia"/>
          <w:bCs/>
          <w:sz w:val="24"/>
          <w:szCs w:val="24"/>
          <w:lang w:eastAsia="zh-CN"/>
        </w:rPr>
        <w:t>上海出口集装箱指数（SCFI）本周</w:t>
      </w:r>
      <w:r w:rsidR="005135E2">
        <w:rPr>
          <w:rFonts w:ascii="华文楷体" w:hAnsi="华文楷体" w:hint="eastAsia"/>
          <w:bCs/>
          <w:sz w:val="24"/>
          <w:szCs w:val="24"/>
          <w:lang w:eastAsia="zh-CN"/>
        </w:rPr>
        <w:t>上升</w:t>
      </w:r>
      <w:r w:rsidR="0030711F">
        <w:rPr>
          <w:rFonts w:ascii="华文楷体" w:hAnsi="华文楷体"/>
          <w:bCs/>
          <w:sz w:val="24"/>
          <w:szCs w:val="24"/>
          <w:lang w:eastAsia="zh-CN"/>
        </w:rPr>
        <w:t>3.92</w:t>
      </w:r>
      <w:r w:rsidR="00A61947" w:rsidRPr="00A61947">
        <w:rPr>
          <w:rFonts w:ascii="华文楷体" w:hAnsi="华文楷体" w:hint="eastAsia"/>
          <w:bCs/>
          <w:sz w:val="24"/>
          <w:szCs w:val="24"/>
          <w:lang w:eastAsia="zh-CN"/>
        </w:rPr>
        <w:t>%，中国出口集装箱运价指数（CCFI）</w:t>
      </w:r>
      <w:r w:rsidR="0060189A">
        <w:rPr>
          <w:rFonts w:ascii="华文楷体" w:hAnsi="华文楷体" w:hint="eastAsia"/>
          <w:bCs/>
          <w:sz w:val="24"/>
          <w:szCs w:val="24"/>
          <w:lang w:eastAsia="zh-CN"/>
        </w:rPr>
        <w:t>小幅回落</w:t>
      </w:r>
      <w:r w:rsidR="0030711F">
        <w:rPr>
          <w:rFonts w:ascii="华文楷体" w:hAnsi="华文楷体"/>
          <w:bCs/>
          <w:sz w:val="24"/>
          <w:szCs w:val="24"/>
          <w:lang w:eastAsia="zh-CN"/>
        </w:rPr>
        <w:t>0.1</w:t>
      </w:r>
      <w:r w:rsidR="0060189A">
        <w:rPr>
          <w:rFonts w:ascii="华文楷体" w:hAnsi="华文楷体" w:hint="eastAsia"/>
          <w:bCs/>
          <w:sz w:val="24"/>
          <w:szCs w:val="24"/>
          <w:lang w:eastAsia="zh-CN"/>
        </w:rPr>
        <w:t>%</w:t>
      </w:r>
      <w:r w:rsidR="00797153">
        <w:rPr>
          <w:rFonts w:ascii="华文楷体" w:hAnsi="华文楷体" w:hint="eastAsia"/>
          <w:bCs/>
          <w:sz w:val="24"/>
          <w:szCs w:val="24"/>
          <w:lang w:eastAsia="zh-CN"/>
        </w:rPr>
        <w:t>。进口方面，</w:t>
      </w:r>
      <w:r w:rsidR="00A61947" w:rsidRPr="00A61947">
        <w:rPr>
          <w:rFonts w:ascii="华文楷体" w:hAnsi="华文楷体" w:hint="eastAsia"/>
          <w:bCs/>
          <w:sz w:val="24"/>
          <w:szCs w:val="24"/>
          <w:lang w:eastAsia="zh-CN"/>
        </w:rPr>
        <w:t>波罗的海干散货指数较上周</w:t>
      </w:r>
      <w:r w:rsidR="0060189A">
        <w:rPr>
          <w:rFonts w:ascii="华文楷体" w:hAnsi="华文楷体" w:hint="eastAsia"/>
          <w:bCs/>
          <w:sz w:val="24"/>
          <w:szCs w:val="24"/>
          <w:lang w:eastAsia="zh-CN"/>
        </w:rPr>
        <w:t>上涨</w:t>
      </w:r>
      <w:r w:rsidR="0030711F">
        <w:rPr>
          <w:rFonts w:ascii="华文楷体" w:hAnsi="华文楷体"/>
          <w:bCs/>
          <w:sz w:val="24"/>
          <w:szCs w:val="24"/>
          <w:lang w:eastAsia="zh-CN"/>
        </w:rPr>
        <w:t>11.18</w:t>
      </w:r>
      <w:r w:rsidR="00A61947" w:rsidRPr="00A61947">
        <w:rPr>
          <w:rFonts w:ascii="华文楷体" w:hAnsi="华文楷体" w:hint="eastAsia"/>
          <w:bCs/>
          <w:sz w:val="24"/>
          <w:szCs w:val="24"/>
          <w:lang w:eastAsia="zh-CN"/>
        </w:rPr>
        <w:t>%。</w:t>
      </w:r>
    </w:p>
    <w:p w14:paraId="0542DAC4" w14:textId="55F1CF3D"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25885" w:rsidRPr="00A25885">
        <w:rPr>
          <w:rFonts w:ascii="华文楷体" w:hAnsi="华文楷体" w:hint="eastAsia"/>
          <w:bCs/>
          <w:sz w:val="24"/>
          <w:szCs w:val="24"/>
          <w:lang w:eastAsia="zh-CN"/>
        </w:rPr>
        <w:t>猪肉价格本周</w:t>
      </w:r>
      <w:r w:rsidR="00EC46E1">
        <w:rPr>
          <w:rFonts w:ascii="华文楷体" w:hAnsi="华文楷体" w:hint="eastAsia"/>
          <w:bCs/>
          <w:sz w:val="24"/>
          <w:szCs w:val="24"/>
          <w:lang w:eastAsia="zh-CN"/>
        </w:rPr>
        <w:t>略有回落</w:t>
      </w:r>
      <w:r w:rsidR="00A25885" w:rsidRPr="00A25885">
        <w:rPr>
          <w:rFonts w:ascii="华文楷体" w:hAnsi="华文楷体" w:hint="eastAsia"/>
          <w:bCs/>
          <w:sz w:val="24"/>
          <w:szCs w:val="24"/>
          <w:lang w:eastAsia="zh-CN"/>
        </w:rPr>
        <w:t>，农业部公布的全国平均批发价较上周末</w:t>
      </w:r>
      <w:r w:rsidR="0030711F">
        <w:rPr>
          <w:rFonts w:ascii="华文楷体" w:hAnsi="华文楷体" w:hint="eastAsia"/>
          <w:bCs/>
          <w:sz w:val="24"/>
          <w:szCs w:val="24"/>
          <w:lang w:eastAsia="zh-CN"/>
        </w:rPr>
        <w:t>略有上升，至4</w:t>
      </w:r>
      <w:r w:rsidR="0030711F">
        <w:rPr>
          <w:rFonts w:ascii="华文楷体" w:hAnsi="华文楷体"/>
          <w:bCs/>
          <w:sz w:val="24"/>
          <w:szCs w:val="24"/>
          <w:lang w:eastAsia="zh-CN"/>
        </w:rPr>
        <w:t>8.47</w:t>
      </w:r>
      <w:r w:rsidR="00A25885" w:rsidRPr="00A25885">
        <w:rPr>
          <w:rFonts w:ascii="华文楷体" w:hAnsi="华文楷体" w:hint="eastAsia"/>
          <w:bCs/>
          <w:sz w:val="24"/>
          <w:szCs w:val="24"/>
          <w:lang w:eastAsia="zh-CN"/>
        </w:rPr>
        <w:t>元/公斤左右，环比</w:t>
      </w:r>
      <w:r w:rsidR="0030711F">
        <w:rPr>
          <w:rFonts w:ascii="华文楷体" w:hAnsi="华文楷体" w:hint="eastAsia"/>
          <w:bCs/>
          <w:sz w:val="24"/>
          <w:szCs w:val="24"/>
          <w:lang w:eastAsia="zh-CN"/>
        </w:rPr>
        <w:t>上涨0</w:t>
      </w:r>
      <w:r w:rsidR="0030711F">
        <w:rPr>
          <w:rFonts w:ascii="华文楷体" w:hAnsi="华文楷体"/>
          <w:bCs/>
          <w:sz w:val="24"/>
          <w:szCs w:val="24"/>
          <w:lang w:eastAsia="zh-CN"/>
        </w:rPr>
        <w:t>.27</w:t>
      </w:r>
      <w:r w:rsidR="00A25885" w:rsidRPr="00A25885">
        <w:rPr>
          <w:rFonts w:ascii="华文楷体" w:hAnsi="华文楷体" w:hint="eastAsia"/>
          <w:bCs/>
          <w:sz w:val="24"/>
          <w:szCs w:val="24"/>
          <w:lang w:eastAsia="zh-CN"/>
        </w:rPr>
        <w:t>%</w:t>
      </w:r>
      <w:r w:rsidR="00A25885">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蔬菜方面，价格</w:t>
      </w:r>
      <w:r w:rsidR="00EC46E1">
        <w:rPr>
          <w:rFonts w:ascii="华文楷体" w:hAnsi="华文楷体" w:hint="eastAsia"/>
          <w:bCs/>
          <w:sz w:val="24"/>
          <w:szCs w:val="24"/>
          <w:lang w:eastAsia="zh-CN"/>
        </w:rPr>
        <w:t>继续</w:t>
      </w:r>
      <w:r w:rsidR="0030711F">
        <w:rPr>
          <w:rFonts w:ascii="华文楷体" w:hAnsi="华文楷体" w:hint="eastAsia"/>
          <w:bCs/>
          <w:sz w:val="24"/>
          <w:szCs w:val="24"/>
          <w:lang w:eastAsia="zh-CN"/>
        </w:rPr>
        <w:t>走平</w:t>
      </w:r>
      <w:r w:rsidR="00A25885" w:rsidRPr="00A25885">
        <w:rPr>
          <w:rFonts w:ascii="华文楷体" w:hAnsi="华文楷体" w:hint="eastAsia"/>
          <w:bCs/>
          <w:sz w:val="24"/>
          <w:szCs w:val="24"/>
          <w:lang w:eastAsia="zh-CN"/>
        </w:rPr>
        <w:t>；水果价格则较上周</w:t>
      </w:r>
      <w:r w:rsidR="00616BC1">
        <w:rPr>
          <w:rFonts w:ascii="华文楷体" w:hAnsi="华文楷体" w:hint="eastAsia"/>
          <w:bCs/>
          <w:sz w:val="24"/>
          <w:szCs w:val="24"/>
          <w:lang w:eastAsia="zh-CN"/>
        </w:rPr>
        <w:t>有</w:t>
      </w:r>
      <w:bookmarkStart w:id="1" w:name="_GoBack"/>
      <w:bookmarkEnd w:id="1"/>
      <w:r w:rsidR="0030711F">
        <w:rPr>
          <w:rFonts w:ascii="华文楷体" w:hAnsi="华文楷体" w:hint="eastAsia"/>
          <w:bCs/>
          <w:sz w:val="24"/>
          <w:szCs w:val="24"/>
          <w:lang w:eastAsia="zh-CN"/>
        </w:rPr>
        <w:t>小幅下跌，跌幅为</w:t>
      </w:r>
      <w:r w:rsidR="00C9534E">
        <w:rPr>
          <w:rFonts w:ascii="华文楷体" w:hAnsi="华文楷体" w:hint="eastAsia"/>
          <w:bCs/>
          <w:sz w:val="24"/>
          <w:szCs w:val="24"/>
          <w:lang w:eastAsia="zh-CN"/>
        </w:rPr>
        <w:t>0</w:t>
      </w:r>
      <w:r w:rsidR="00C9534E">
        <w:rPr>
          <w:rFonts w:ascii="华文楷体" w:hAnsi="华文楷体"/>
          <w:bCs/>
          <w:sz w:val="24"/>
          <w:szCs w:val="24"/>
          <w:lang w:eastAsia="zh-CN"/>
        </w:rPr>
        <w:t>.12</w:t>
      </w:r>
      <w:r w:rsidR="00A25885" w:rsidRPr="00A25885">
        <w:rPr>
          <w:rFonts w:ascii="华文楷体" w:hAnsi="华文楷体" w:hint="eastAsia"/>
          <w:bCs/>
          <w:sz w:val="24"/>
          <w:szCs w:val="24"/>
          <w:lang w:eastAsia="zh-CN"/>
        </w:rPr>
        <w:t>%。</w:t>
      </w:r>
    </w:p>
    <w:p w14:paraId="5DF662A7" w14:textId="19F2D214" w:rsidR="0015400F" w:rsidRDefault="00DC2C5F" w:rsidP="00F07541">
      <w:pPr>
        <w:pStyle w:val="Body-text"/>
        <w:ind w:firstLineChars="200" w:firstLine="480"/>
        <w:rPr>
          <w:rFonts w:ascii="华文楷体" w:hAnsi="华文楷体"/>
          <w:bCs/>
          <w:sz w:val="24"/>
          <w:szCs w:val="24"/>
          <w:lang w:eastAsia="zh-CN"/>
        </w:rPr>
      </w:pPr>
      <w:bookmarkStart w:id="2" w:name="_Hlk21205334"/>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本周国际油价</w:t>
      </w:r>
      <w:r w:rsidR="0001480A">
        <w:rPr>
          <w:rFonts w:ascii="华文楷体" w:hAnsi="华文楷体" w:hint="eastAsia"/>
          <w:bCs/>
          <w:sz w:val="24"/>
          <w:szCs w:val="24"/>
          <w:lang w:eastAsia="zh-CN"/>
        </w:rPr>
        <w:t>下跌</w:t>
      </w:r>
      <w:r w:rsidR="00A25885" w:rsidRPr="00A25885">
        <w:rPr>
          <w:rFonts w:ascii="华文楷体" w:hAnsi="华文楷体" w:hint="eastAsia"/>
          <w:bCs/>
          <w:sz w:val="24"/>
          <w:szCs w:val="24"/>
          <w:lang w:eastAsia="zh-CN"/>
        </w:rPr>
        <w:t>，WTI原油价格</w:t>
      </w:r>
      <w:r w:rsidR="0001480A">
        <w:rPr>
          <w:rFonts w:ascii="华文楷体" w:hAnsi="华文楷体" w:hint="eastAsia"/>
          <w:bCs/>
          <w:sz w:val="24"/>
          <w:szCs w:val="24"/>
          <w:lang w:eastAsia="zh-CN"/>
        </w:rPr>
        <w:t>环比</w:t>
      </w:r>
      <w:r w:rsidR="0030711F">
        <w:rPr>
          <w:rFonts w:ascii="华文楷体" w:hAnsi="华文楷体" w:hint="eastAsia"/>
          <w:bCs/>
          <w:sz w:val="24"/>
          <w:szCs w:val="24"/>
          <w:lang w:eastAsia="zh-CN"/>
        </w:rPr>
        <w:t>上涨2</w:t>
      </w:r>
      <w:r w:rsidR="0030711F">
        <w:rPr>
          <w:rFonts w:ascii="华文楷体" w:hAnsi="华文楷体"/>
          <w:bCs/>
          <w:sz w:val="24"/>
          <w:szCs w:val="24"/>
          <w:lang w:eastAsia="zh-CN"/>
        </w:rPr>
        <w:t>.89</w:t>
      </w:r>
      <w:r w:rsidR="0001480A">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；布伦</w:t>
      </w:r>
      <w:proofErr w:type="gramStart"/>
      <w:r w:rsidR="00A25885" w:rsidRPr="00A25885">
        <w:rPr>
          <w:rFonts w:ascii="华文楷体" w:hAnsi="华文楷体" w:hint="eastAsia"/>
          <w:bCs/>
          <w:sz w:val="24"/>
          <w:szCs w:val="24"/>
          <w:lang w:eastAsia="zh-CN"/>
        </w:rPr>
        <w:t>特</w:t>
      </w:r>
      <w:proofErr w:type="gramEnd"/>
      <w:r w:rsidR="00A25885" w:rsidRPr="00A25885">
        <w:rPr>
          <w:rFonts w:ascii="华文楷体" w:hAnsi="华文楷体" w:hint="eastAsia"/>
          <w:bCs/>
          <w:sz w:val="24"/>
          <w:szCs w:val="24"/>
          <w:lang w:eastAsia="zh-CN"/>
        </w:rPr>
        <w:t>原油价格</w:t>
      </w:r>
      <w:r w:rsidR="0001480A">
        <w:rPr>
          <w:rFonts w:ascii="华文楷体" w:hAnsi="华文楷体" w:hint="eastAsia"/>
          <w:bCs/>
          <w:sz w:val="24"/>
          <w:szCs w:val="24"/>
          <w:lang w:eastAsia="zh-CN"/>
        </w:rPr>
        <w:t>环比</w:t>
      </w:r>
      <w:r w:rsidR="0030711F">
        <w:rPr>
          <w:rFonts w:ascii="华文楷体" w:hAnsi="华文楷体" w:hint="eastAsia"/>
          <w:bCs/>
          <w:sz w:val="24"/>
          <w:szCs w:val="24"/>
          <w:lang w:eastAsia="zh-CN"/>
        </w:rPr>
        <w:t>上涨3</w:t>
      </w:r>
      <w:r w:rsidR="0030711F">
        <w:rPr>
          <w:rFonts w:ascii="华文楷体" w:hAnsi="华文楷体"/>
          <w:bCs/>
          <w:sz w:val="24"/>
          <w:szCs w:val="24"/>
          <w:lang w:eastAsia="zh-CN"/>
        </w:rPr>
        <w:t>.16</w:t>
      </w:r>
      <w:r w:rsidR="0001480A">
        <w:rPr>
          <w:rFonts w:ascii="华文楷体" w:hAnsi="华文楷体" w:hint="eastAsia"/>
          <w:bCs/>
          <w:sz w:val="24"/>
          <w:szCs w:val="24"/>
          <w:lang w:eastAsia="zh-CN"/>
        </w:rPr>
        <w:t>%。本周美元指数</w:t>
      </w:r>
      <w:r w:rsidR="0030711F">
        <w:rPr>
          <w:rFonts w:ascii="华文楷体" w:hAnsi="华文楷体" w:hint="eastAsia"/>
          <w:bCs/>
          <w:sz w:val="24"/>
          <w:szCs w:val="24"/>
          <w:lang w:eastAsia="zh-CN"/>
        </w:rPr>
        <w:t>小幅下跌0</w:t>
      </w:r>
      <w:r w:rsidR="0030711F">
        <w:rPr>
          <w:rFonts w:ascii="华文楷体" w:hAnsi="华文楷体"/>
          <w:bCs/>
          <w:sz w:val="24"/>
          <w:szCs w:val="24"/>
          <w:lang w:eastAsia="zh-CN"/>
        </w:rPr>
        <w:t>.08</w:t>
      </w:r>
      <w:r w:rsidR="0030711F">
        <w:rPr>
          <w:rFonts w:ascii="华文楷体" w:hAnsi="华文楷体" w:hint="eastAsia"/>
          <w:bCs/>
          <w:sz w:val="24"/>
          <w:szCs w:val="24"/>
          <w:lang w:eastAsia="zh-CN"/>
        </w:rPr>
        <w:t>%</w:t>
      </w:r>
      <w:r w:rsidR="00A25885">
        <w:rPr>
          <w:rFonts w:ascii="华文楷体" w:hAnsi="华文楷体" w:hint="eastAsia"/>
          <w:bCs/>
          <w:sz w:val="24"/>
          <w:szCs w:val="24"/>
          <w:lang w:eastAsia="zh-CN"/>
        </w:rPr>
        <w:t>。</w:t>
      </w:r>
    </w:p>
    <w:p w14:paraId="6197476A" w14:textId="16A61379" w:rsidR="00A058AB" w:rsidRDefault="00A058AB" w:rsidP="00F07541">
      <w:pPr>
        <w:pStyle w:val="Body-text"/>
        <w:ind w:firstLineChars="200" w:firstLine="480"/>
        <w:rPr>
          <w:rFonts w:ascii="华文楷体"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257267" w:rsidRPr="00257267">
        <w:rPr>
          <w:rFonts w:ascii="华文楷体" w:hAnsi="华文楷体" w:hint="eastAsia"/>
          <w:bCs/>
          <w:sz w:val="24"/>
          <w:szCs w:val="24"/>
          <w:lang w:eastAsia="zh-CN"/>
        </w:rPr>
        <w:t>7月CPI、PPI；7月固定资产投资、社会消费品零售总额同比增速和失业率；美国CPI、PPI；美国非农就业及周度失业数据；美国消费者信心指数；中美摩擦。</w:t>
      </w:r>
    </w:p>
    <w:p w14:paraId="7C45D262" w14:textId="77777777" w:rsidR="00257267" w:rsidRPr="00CC505E" w:rsidRDefault="00257267" w:rsidP="00F07541">
      <w:pPr>
        <w:pStyle w:val="Body-text"/>
        <w:ind w:firstLineChars="200" w:firstLine="480"/>
        <w:rPr>
          <w:rFonts w:ascii="华文楷体" w:eastAsia="PMingLiU"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7A2C6CD5" w14:textId="43006488" w:rsidR="00324996" w:rsidRPr="005135E2" w:rsidRDefault="006B204A" w:rsidP="00CD3C43">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利率债：</w:t>
      </w:r>
      <w:r w:rsidR="00257267" w:rsidRPr="00257267">
        <w:rPr>
          <w:rFonts w:ascii="华文楷体" w:hAnsi="华文楷体" w:hint="eastAsia"/>
          <w:bCs/>
          <w:sz w:val="24"/>
          <w:szCs w:val="24"/>
          <w:lang w:eastAsia="zh-CN"/>
        </w:rPr>
        <w:t>7月进出口数据超出市场预期，出口同比为7.2%，外部经济重</w:t>
      </w:r>
      <w:proofErr w:type="gramStart"/>
      <w:r w:rsidR="00257267" w:rsidRPr="00257267">
        <w:rPr>
          <w:rFonts w:ascii="华文楷体" w:hAnsi="华文楷体" w:hint="eastAsia"/>
          <w:bCs/>
          <w:sz w:val="24"/>
          <w:szCs w:val="24"/>
          <w:lang w:eastAsia="zh-CN"/>
        </w:rPr>
        <w:t>启带来</w:t>
      </w:r>
      <w:proofErr w:type="gramEnd"/>
      <w:r w:rsidR="00257267" w:rsidRPr="00257267">
        <w:rPr>
          <w:rFonts w:ascii="华文楷体" w:hAnsi="华文楷体" w:hint="eastAsia"/>
          <w:bCs/>
          <w:sz w:val="24"/>
          <w:szCs w:val="24"/>
          <w:lang w:eastAsia="zh-CN"/>
        </w:rPr>
        <w:t>外部需求改善，主要经济体的PMI改善亦侧面印证；进口同比增速下滑至-1.4%，显示国内需求修复略有放缓。观察经济高频数据，地产销售显示韧性，乘用车销量同比增速改善。继政治局会议公报对经济现状及未来政策定调后，央行多次发声，释放对经济复苏的乐观判断和货币政策边际调整信号，流动性的投放节奏放缓似已成为市场共识。商品市场波动增加，权益市场本周出现调整，但对债券市场利好有限。周三5y国债发行意外对市场情绪影响明显，各期限各品种利率随之震荡上行。中美摩擦虽有加剧，但市场关注不多。整体来看，10y国债利率上行2.5bp，10y国开债利率上行3.5bp。</w:t>
      </w:r>
      <w:r w:rsidR="00257267">
        <w:rPr>
          <w:rFonts w:ascii="华文楷体" w:hAnsi="华文楷体" w:hint="eastAsia"/>
          <w:bCs/>
          <w:sz w:val="24"/>
          <w:szCs w:val="24"/>
          <w:lang w:eastAsia="zh-CN"/>
        </w:rPr>
        <w:t>收</w:t>
      </w:r>
      <w:r w:rsidR="00257267" w:rsidRPr="00257267">
        <w:rPr>
          <w:rFonts w:ascii="华文楷体" w:hAnsi="华文楷体" w:hint="eastAsia"/>
          <w:bCs/>
          <w:sz w:val="24"/>
          <w:szCs w:val="24"/>
          <w:lang w:eastAsia="zh-CN"/>
        </w:rPr>
        <w:t>益率曲线来看，10y-3y国债利差下行15bp，10y-5y国债利差下行10bp。短</w:t>
      </w:r>
      <w:proofErr w:type="gramStart"/>
      <w:r w:rsidR="00257267" w:rsidRPr="00257267">
        <w:rPr>
          <w:rFonts w:ascii="华文楷体" w:hAnsi="华文楷体" w:hint="eastAsia"/>
          <w:bCs/>
          <w:sz w:val="24"/>
          <w:szCs w:val="24"/>
          <w:lang w:eastAsia="zh-CN"/>
        </w:rPr>
        <w:t>端品种</w:t>
      </w:r>
      <w:proofErr w:type="gramEnd"/>
      <w:r w:rsidR="00257267" w:rsidRPr="00257267">
        <w:rPr>
          <w:rFonts w:ascii="华文楷体" w:hAnsi="华文楷体" w:hint="eastAsia"/>
          <w:bCs/>
          <w:sz w:val="24"/>
          <w:szCs w:val="24"/>
          <w:lang w:eastAsia="zh-CN"/>
        </w:rPr>
        <w:t>收益率上行，收益率曲线10y以内趋平。10y国开债与10y国债利差上行1bp继续维持高位。</w:t>
      </w:r>
    </w:p>
    <w:p w14:paraId="4BCFA02F" w14:textId="51683D22" w:rsidR="005135E2" w:rsidRPr="005135E2" w:rsidRDefault="00257267" w:rsidP="00CD3C43">
      <w:pPr>
        <w:pStyle w:val="Body-text"/>
        <w:spacing w:after="240"/>
        <w:ind w:firstLineChars="200" w:firstLine="480"/>
        <w:rPr>
          <w:rFonts w:ascii="华文楷体" w:hAnsi="华文楷体"/>
          <w:bCs/>
          <w:sz w:val="24"/>
          <w:szCs w:val="24"/>
          <w:lang w:eastAsia="zh-CN"/>
        </w:rPr>
      </w:pPr>
      <w:r w:rsidRPr="00257267">
        <w:rPr>
          <w:rFonts w:ascii="华文楷体" w:hAnsi="华文楷体" w:hint="eastAsia"/>
          <w:bCs/>
          <w:sz w:val="24"/>
          <w:szCs w:val="24"/>
          <w:lang w:eastAsia="zh-CN"/>
        </w:rPr>
        <w:t>央行再三表态确定货币政策最宽松阶段已过，货币政策的观察</w:t>
      </w:r>
      <w:proofErr w:type="gramStart"/>
      <w:r w:rsidRPr="00257267">
        <w:rPr>
          <w:rFonts w:ascii="华文楷体" w:hAnsi="华文楷体" w:hint="eastAsia"/>
          <w:bCs/>
          <w:sz w:val="24"/>
          <w:szCs w:val="24"/>
          <w:lang w:eastAsia="zh-CN"/>
        </w:rPr>
        <w:t>期正式</w:t>
      </w:r>
      <w:proofErr w:type="gramEnd"/>
      <w:r w:rsidRPr="00257267">
        <w:rPr>
          <w:rFonts w:ascii="华文楷体" w:hAnsi="华文楷体" w:hint="eastAsia"/>
          <w:bCs/>
          <w:sz w:val="24"/>
          <w:szCs w:val="24"/>
          <w:lang w:eastAsia="zh-CN"/>
        </w:rPr>
        <w:t>确认。当下需要关注：（1）市场对货币政策边际调整充分定价之后的资金价格波动，短</w:t>
      </w:r>
      <w:proofErr w:type="gramStart"/>
      <w:r w:rsidRPr="00257267">
        <w:rPr>
          <w:rFonts w:ascii="华文楷体" w:hAnsi="华文楷体" w:hint="eastAsia"/>
          <w:bCs/>
          <w:sz w:val="24"/>
          <w:szCs w:val="24"/>
          <w:lang w:eastAsia="zh-CN"/>
        </w:rPr>
        <w:t>端利率</w:t>
      </w:r>
      <w:proofErr w:type="gramEnd"/>
      <w:r w:rsidRPr="00257267">
        <w:rPr>
          <w:rFonts w:ascii="华文楷体" w:hAnsi="华文楷体" w:hint="eastAsia"/>
          <w:bCs/>
          <w:sz w:val="24"/>
          <w:szCs w:val="24"/>
          <w:lang w:eastAsia="zh-CN"/>
        </w:rPr>
        <w:t>是相对平稳还是波动增加甚至走高；（2）中高频经济数据，观察经济修复速度和边际变化；（3）权益市场的调整，是强势横盘还是出现幅度偏大的下跌；（4）商品市场部分品种的涨势是否延续；（5）中美摩</w:t>
      </w:r>
      <w:r w:rsidRPr="00257267">
        <w:rPr>
          <w:rFonts w:ascii="华文楷体" w:hAnsi="华文楷体" w:hint="eastAsia"/>
          <w:bCs/>
          <w:sz w:val="24"/>
          <w:szCs w:val="24"/>
          <w:lang w:eastAsia="zh-CN"/>
        </w:rPr>
        <w:lastRenderedPageBreak/>
        <w:t>擦是否进一步加剧和蔓延。整体来看，市场短期仍然偏向震荡。交易机会需要关注市场共识之外的预期差。如果资金利率稍显平稳，央行基本维持投放力度，权益市场和商品市场出现明显调整，债券市场仍有交易机会但幅度有限。</w:t>
      </w:r>
    </w:p>
    <w:p w14:paraId="431A849C" w14:textId="581AB75C" w:rsidR="006B0B01" w:rsidRPr="005135E2"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sidRPr="005135E2">
        <w:rPr>
          <w:rFonts w:ascii="华文楷体" w:eastAsia="华文楷体" w:hAnsi="华文楷体" w:cs="Times New Roman" w:hint="eastAsia"/>
          <w:bCs/>
        </w:rPr>
        <w:t>信用债：</w:t>
      </w:r>
      <w:r w:rsidR="006B0B01" w:rsidRPr="005135E2">
        <w:rPr>
          <w:rFonts w:ascii="华文楷体" w:eastAsia="华文楷体" w:hAnsi="华文楷体" w:cs="Times New Roman" w:hint="eastAsia"/>
          <w:bCs/>
        </w:rPr>
        <w:t>本周各</w:t>
      </w:r>
      <w:r w:rsidR="00314603" w:rsidRPr="005135E2">
        <w:rPr>
          <w:rFonts w:ascii="华文楷体" w:eastAsia="华文楷体" w:hAnsi="华文楷体" w:cs="Times New Roman" w:hint="eastAsia"/>
          <w:bCs/>
        </w:rPr>
        <w:t>期限品种</w:t>
      </w:r>
      <w:r w:rsidR="005135E2" w:rsidRPr="005135E2">
        <w:rPr>
          <w:rFonts w:ascii="华文楷体" w:eastAsia="华文楷体" w:hAnsi="华文楷体" w:cs="Times New Roman" w:hint="eastAsia"/>
          <w:bCs/>
        </w:rPr>
        <w:t>利率上行</w:t>
      </w:r>
      <w:r w:rsidR="00314603" w:rsidRPr="005135E2">
        <w:rPr>
          <w:rFonts w:ascii="华文楷体" w:eastAsia="华文楷体" w:hAnsi="华文楷体" w:cs="Times New Roman" w:hint="eastAsia"/>
          <w:bCs/>
        </w:rPr>
        <w:t>，</w:t>
      </w:r>
      <w:r w:rsidR="005135E2" w:rsidRPr="005135E2">
        <w:rPr>
          <w:rFonts w:ascii="华文楷体" w:eastAsia="华文楷体" w:hAnsi="华文楷体" w:cs="Times New Roman" w:hint="eastAsia"/>
          <w:bCs/>
        </w:rPr>
        <w:t>主要</w:t>
      </w:r>
      <w:r w:rsidR="00F063A3" w:rsidRPr="005135E2">
        <w:rPr>
          <w:rFonts w:ascii="华文楷体" w:eastAsia="华文楷体" w:hAnsi="华文楷体" w:cs="Times New Roman" w:hint="eastAsia"/>
          <w:bCs/>
        </w:rPr>
        <w:t>受到</w:t>
      </w:r>
      <w:r w:rsidR="00F063A3" w:rsidRPr="005135E2">
        <w:rPr>
          <w:rFonts w:ascii="华文楷体" w:eastAsia="华文楷体" w:hAnsi="华文楷体" w:cs="Times New Roman"/>
          <w:bCs/>
        </w:rPr>
        <w:t>利率</w:t>
      </w:r>
      <w:proofErr w:type="gramStart"/>
      <w:r w:rsidR="00F063A3" w:rsidRPr="005135E2">
        <w:rPr>
          <w:rFonts w:ascii="华文楷体" w:eastAsia="华文楷体" w:hAnsi="华文楷体" w:cs="Times New Roman" w:hint="eastAsia"/>
          <w:bCs/>
        </w:rPr>
        <w:t>债</w:t>
      </w:r>
      <w:r w:rsidR="005135E2" w:rsidRPr="005135E2">
        <w:rPr>
          <w:rFonts w:ascii="华文楷体" w:eastAsia="华文楷体" w:hAnsi="华文楷体" w:cs="Times New Roman" w:hint="eastAsia"/>
          <w:bCs/>
        </w:rPr>
        <w:t>调整</w:t>
      </w:r>
      <w:proofErr w:type="gramEnd"/>
      <w:r w:rsidR="005135E2" w:rsidRPr="005135E2">
        <w:rPr>
          <w:rFonts w:ascii="华文楷体" w:eastAsia="华文楷体" w:hAnsi="华文楷体" w:cs="Times New Roman" w:hint="eastAsia"/>
          <w:bCs/>
        </w:rPr>
        <w:t>的</w:t>
      </w:r>
      <w:r w:rsidR="00F063A3" w:rsidRPr="005135E2">
        <w:rPr>
          <w:rFonts w:ascii="华文楷体" w:eastAsia="华文楷体" w:hAnsi="华文楷体" w:cs="Times New Roman"/>
          <w:bCs/>
        </w:rPr>
        <w:t>影响。</w:t>
      </w:r>
      <w:r w:rsidR="00314603" w:rsidRPr="005135E2">
        <w:rPr>
          <w:rFonts w:ascii="华文楷体" w:eastAsia="华文楷体" w:hAnsi="华文楷体" w:cs="Times New Roman" w:hint="eastAsia"/>
          <w:bCs/>
        </w:rPr>
        <w:t>整体来看，</w:t>
      </w:r>
      <w:r w:rsidR="00A060AA" w:rsidRPr="005135E2">
        <w:rPr>
          <w:rFonts w:ascii="华文楷体" w:eastAsia="华文楷体" w:hAnsi="华文楷体" w:cs="Times New Roman" w:hint="eastAsia"/>
          <w:bCs/>
        </w:rPr>
        <w:t>当前利率的绝对水平有一定基本面支撑，配置盘的绝对收益有</w:t>
      </w:r>
      <w:r w:rsidR="00F063A3" w:rsidRPr="005135E2">
        <w:rPr>
          <w:rFonts w:ascii="华文楷体" w:eastAsia="华文楷体" w:hAnsi="华文楷体" w:cs="Times New Roman" w:hint="eastAsia"/>
          <w:bCs/>
        </w:rPr>
        <w:t>一定</w:t>
      </w:r>
      <w:r w:rsidR="00A060AA" w:rsidRPr="005135E2">
        <w:rPr>
          <w:rFonts w:ascii="华文楷体" w:eastAsia="华文楷体" w:hAnsi="华文楷体" w:cs="Times New Roman" w:hint="eastAsia"/>
          <w:bCs/>
        </w:rPr>
        <w:t>保障，但后续经济边际改善</w:t>
      </w:r>
      <w:r w:rsidR="00257267">
        <w:rPr>
          <w:rFonts w:ascii="华文楷体" w:eastAsia="华文楷体" w:hAnsi="华文楷体" w:cs="Times New Roman" w:hint="eastAsia"/>
          <w:bCs/>
        </w:rPr>
        <w:t>叠加</w:t>
      </w:r>
      <w:r w:rsidR="00A060AA" w:rsidRPr="005135E2">
        <w:rPr>
          <w:rFonts w:ascii="华文楷体" w:eastAsia="华文楷体" w:hAnsi="华文楷体" w:cs="Times New Roman" w:hint="eastAsia"/>
          <w:bCs/>
        </w:rPr>
        <w:t>货币政策</w:t>
      </w:r>
      <w:r w:rsidR="00257267">
        <w:rPr>
          <w:rFonts w:ascii="华文楷体" w:eastAsia="华文楷体" w:hAnsi="华文楷体" w:cs="Times New Roman" w:hint="eastAsia"/>
          <w:bCs/>
        </w:rPr>
        <w:t>边际调整</w:t>
      </w:r>
      <w:r w:rsidR="00A060AA" w:rsidRPr="005135E2">
        <w:rPr>
          <w:rFonts w:ascii="华文楷体" w:eastAsia="华文楷体" w:hAnsi="华文楷体" w:cs="Times New Roman" w:hint="eastAsia"/>
          <w:bCs/>
        </w:rPr>
        <w:t>，票息策略</w:t>
      </w:r>
      <w:r w:rsidR="005135E2" w:rsidRPr="005135E2">
        <w:rPr>
          <w:rFonts w:ascii="华文楷体" w:eastAsia="华文楷体" w:hAnsi="华文楷体" w:cs="Times New Roman" w:hint="eastAsia"/>
          <w:bCs/>
        </w:rPr>
        <w:t>仍然</w:t>
      </w:r>
      <w:r w:rsidR="00A060AA" w:rsidRPr="005135E2">
        <w:rPr>
          <w:rFonts w:ascii="华文楷体" w:eastAsia="华文楷体" w:hAnsi="华文楷体" w:cs="Times New Roman" w:hint="eastAsia"/>
          <w:bCs/>
        </w:rPr>
        <w:t>占优</w:t>
      </w:r>
      <w:r w:rsidR="00F063A3" w:rsidRPr="005135E2">
        <w:rPr>
          <w:rFonts w:ascii="华文楷体" w:eastAsia="华文楷体" w:hAnsi="华文楷体" w:cs="Times New Roman" w:hint="eastAsia"/>
          <w:bCs/>
        </w:rPr>
        <w:t>，</w:t>
      </w:r>
      <w:r w:rsidR="00257267">
        <w:rPr>
          <w:rFonts w:ascii="华文楷体" w:eastAsia="华文楷体" w:hAnsi="华文楷体" w:cs="Times New Roman" w:hint="eastAsia"/>
          <w:bCs/>
        </w:rPr>
        <w:t>低等级信用利差拉大，</w:t>
      </w:r>
      <w:r w:rsidR="00F063A3" w:rsidRPr="005135E2">
        <w:rPr>
          <w:rFonts w:ascii="华文楷体" w:eastAsia="华文楷体" w:hAnsi="华文楷体" w:cs="Times New Roman"/>
          <w:bCs/>
        </w:rPr>
        <w:t>关注信用风险暴露</w:t>
      </w:r>
      <w:r w:rsidR="00A060AA" w:rsidRPr="005135E2">
        <w:rPr>
          <w:rFonts w:ascii="华文楷体" w:eastAsia="华文楷体" w:hAnsi="华文楷体" w:cs="Times New Roman" w:hint="eastAsia"/>
          <w:bCs/>
        </w:rPr>
        <w:t>。</w:t>
      </w:r>
    </w:p>
    <w:p w14:paraId="086F144B" w14:textId="13F9381D" w:rsidR="00257267" w:rsidRDefault="00C505BD" w:rsidP="00491B29">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可转债：</w:t>
      </w:r>
      <w:r w:rsidR="00654624" w:rsidRPr="005135E2">
        <w:rPr>
          <w:rFonts w:ascii="华文楷体" w:hAnsi="华文楷体" w:hint="eastAsia"/>
          <w:bCs/>
          <w:sz w:val="24"/>
          <w:szCs w:val="24"/>
          <w:lang w:eastAsia="zh-CN"/>
        </w:rPr>
        <w:t>本周权益市场</w:t>
      </w:r>
      <w:r w:rsidR="00257267">
        <w:rPr>
          <w:rFonts w:ascii="华文楷体" w:hAnsi="华文楷体" w:hint="eastAsia"/>
          <w:bCs/>
          <w:sz w:val="24"/>
          <w:szCs w:val="24"/>
          <w:lang w:eastAsia="zh-CN"/>
        </w:rPr>
        <w:t>震荡，板块调整明显，转债波动增加。</w:t>
      </w:r>
      <w:r w:rsidR="00D724AF">
        <w:rPr>
          <w:rFonts w:ascii="华文楷体" w:hAnsi="华文楷体" w:hint="eastAsia"/>
          <w:bCs/>
          <w:sz w:val="24"/>
          <w:szCs w:val="24"/>
          <w:lang w:eastAsia="zh-CN"/>
        </w:rPr>
        <w:t>上周</w:t>
      </w:r>
      <w:proofErr w:type="gramStart"/>
      <w:r w:rsidR="00257267">
        <w:rPr>
          <w:rFonts w:ascii="华文楷体" w:hAnsi="华文楷体" w:hint="eastAsia"/>
          <w:bCs/>
          <w:sz w:val="24"/>
          <w:szCs w:val="24"/>
          <w:lang w:eastAsia="zh-CN"/>
        </w:rPr>
        <w:t>止盈后需</w:t>
      </w:r>
      <w:proofErr w:type="gramEnd"/>
      <w:r w:rsidR="00257267">
        <w:rPr>
          <w:rFonts w:ascii="华文楷体" w:hAnsi="华文楷体" w:hint="eastAsia"/>
          <w:bCs/>
          <w:sz w:val="24"/>
          <w:szCs w:val="24"/>
          <w:lang w:eastAsia="zh-CN"/>
        </w:rPr>
        <w:t>耐心等待再次介入转债的机会。</w:t>
      </w:r>
      <w:r w:rsidR="00257267" w:rsidRPr="005135E2">
        <w:rPr>
          <w:rFonts w:ascii="华文楷体" w:hAnsi="华文楷体" w:hint="eastAsia"/>
          <w:bCs/>
          <w:sz w:val="24"/>
          <w:szCs w:val="24"/>
          <w:lang w:eastAsia="zh-CN"/>
        </w:rPr>
        <w:t>接下来建议继续关注半年报绩优、正股弹性和逻辑较强品种</w:t>
      </w:r>
      <w:r w:rsidR="00257267">
        <w:rPr>
          <w:rFonts w:ascii="华文楷体" w:hAnsi="华文楷体" w:hint="eastAsia"/>
          <w:bCs/>
          <w:sz w:val="24"/>
          <w:szCs w:val="24"/>
          <w:lang w:eastAsia="zh-CN"/>
        </w:rPr>
        <w:t>。</w:t>
      </w:r>
    </w:p>
    <w:p w14:paraId="4C893BAE" w14:textId="6B72F191" w:rsidR="00983C71" w:rsidRPr="005135E2" w:rsidRDefault="00983C71" w:rsidP="00491B29">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EFE0AE9" w:rsidR="001D35B3" w:rsidRPr="006A5F34" w:rsidRDefault="001D35B3" w:rsidP="006E5744">
            <w:pPr>
              <w:pStyle w:val="ChartHeading"/>
              <w:jc w:val="both"/>
            </w:pPr>
            <w:r w:rsidRPr="006A5F34">
              <w:rPr>
                <w:rFonts w:hint="eastAsia"/>
              </w:rPr>
              <w:t>图表</w:t>
            </w:r>
            <w:r w:rsidRPr="006A5F34">
              <w:t>.</w:t>
            </w:r>
            <w:r w:rsidR="003E314A">
              <w:rPr>
                <w:rFonts w:hint="eastAsia"/>
              </w:rPr>
              <w:t>主要钢材库存</w:t>
            </w:r>
            <w:r w:rsidR="0069484C">
              <w:rPr>
                <w:rFonts w:hint="eastAsia"/>
              </w:rPr>
              <w:t>略有去化</w:t>
            </w:r>
          </w:p>
        </w:tc>
        <w:tc>
          <w:tcPr>
            <w:tcW w:w="4938" w:type="dxa"/>
            <w:vAlign w:val="center"/>
          </w:tcPr>
          <w:p w14:paraId="02A10F26" w14:textId="432330D0"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69484C">
              <w:rPr>
                <w:rFonts w:hint="eastAsia"/>
              </w:rPr>
              <w:t>恢复上涨</w:t>
            </w:r>
          </w:p>
        </w:tc>
      </w:tr>
      <w:tr w:rsidR="001D35B3" w:rsidRPr="006A5F34" w14:paraId="205667F1" w14:textId="77777777" w:rsidTr="0069484C">
        <w:tblPrEx>
          <w:tblCellMar>
            <w:left w:w="108" w:type="dxa"/>
            <w:right w:w="108" w:type="dxa"/>
          </w:tblCellMar>
        </w:tblPrEx>
        <w:trPr>
          <w:jc w:val="center"/>
        </w:trPr>
        <w:tc>
          <w:tcPr>
            <w:tcW w:w="4939" w:type="dxa"/>
            <w:vAlign w:val="center"/>
          </w:tcPr>
          <w:p w14:paraId="56C782C2" w14:textId="4490FAD7" w:rsidR="001D35B3" w:rsidRPr="007E0340" w:rsidRDefault="0069484C" w:rsidP="009A2BA0">
            <w:pPr>
              <w:jc w:val="center"/>
              <w:rPr>
                <w:noProof/>
              </w:rPr>
            </w:pPr>
            <w:r>
              <w:rPr>
                <w:noProof/>
              </w:rPr>
              <w:drawing>
                <wp:inline distT="0" distB="0" distL="0" distR="0" wp14:anchorId="08F3EC44" wp14:editId="36FD8413">
                  <wp:extent cx="2999105" cy="1818005"/>
                  <wp:effectExtent l="0" t="0" r="0" b="0"/>
                  <wp:docPr id="12" name="图表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054EE6A9" w:rsidR="001D35B3" w:rsidRPr="007E0340" w:rsidRDefault="0069484C" w:rsidP="009A2BA0">
            <w:pPr>
              <w:jc w:val="center"/>
              <w:rPr>
                <w:noProof/>
                <w:szCs w:val="18"/>
              </w:rPr>
            </w:pPr>
            <w:r>
              <w:rPr>
                <w:noProof/>
              </w:rPr>
              <w:drawing>
                <wp:inline distT="0" distB="0" distL="0" distR="0" wp14:anchorId="3EF38669" wp14:editId="36C0907D">
                  <wp:extent cx="2998470" cy="1778000"/>
                  <wp:effectExtent l="0" t="0" r="0" b="0"/>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D230FA6"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763150">
              <w:rPr>
                <w:rFonts w:hint="eastAsia"/>
              </w:rPr>
              <w:t>持续向好</w:t>
            </w:r>
          </w:p>
        </w:tc>
        <w:tc>
          <w:tcPr>
            <w:tcW w:w="4938" w:type="dxa"/>
            <w:vAlign w:val="center"/>
          </w:tcPr>
          <w:p w14:paraId="07575C0F" w14:textId="0A8321D0"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54686C">
              <w:rPr>
                <w:rFonts w:hint="eastAsia"/>
              </w:rPr>
              <w:t>相对平稳</w:t>
            </w:r>
          </w:p>
        </w:tc>
      </w:tr>
      <w:tr w:rsidR="001D35B3" w:rsidRPr="006A5F34" w14:paraId="49BBD33E" w14:textId="77777777" w:rsidTr="0069484C">
        <w:tblPrEx>
          <w:tblCellMar>
            <w:left w:w="108" w:type="dxa"/>
            <w:right w:w="108" w:type="dxa"/>
          </w:tblCellMar>
        </w:tblPrEx>
        <w:trPr>
          <w:jc w:val="center"/>
        </w:trPr>
        <w:tc>
          <w:tcPr>
            <w:tcW w:w="4939" w:type="dxa"/>
            <w:vAlign w:val="center"/>
          </w:tcPr>
          <w:p w14:paraId="0BAC1731" w14:textId="2E15FE96" w:rsidR="001D35B3" w:rsidRPr="007E0340" w:rsidRDefault="0069484C" w:rsidP="009A2BA0">
            <w:pPr>
              <w:jc w:val="center"/>
              <w:rPr>
                <w:noProof/>
              </w:rPr>
            </w:pPr>
            <w:r>
              <w:rPr>
                <w:noProof/>
              </w:rPr>
              <w:drawing>
                <wp:inline distT="0" distB="0" distL="0" distR="0" wp14:anchorId="1CD481C2" wp14:editId="1473DF1C">
                  <wp:extent cx="2999105" cy="1748155"/>
                  <wp:effectExtent l="0" t="0" r="0" b="4445"/>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196A9E1C" w:rsidR="001D35B3" w:rsidRPr="007E0340" w:rsidRDefault="0069484C" w:rsidP="009A2BA0">
            <w:pPr>
              <w:jc w:val="center"/>
              <w:rPr>
                <w:noProof/>
                <w:szCs w:val="18"/>
              </w:rPr>
            </w:pPr>
            <w:r>
              <w:rPr>
                <w:noProof/>
              </w:rPr>
              <w:drawing>
                <wp:inline distT="0" distB="0" distL="0" distR="0" wp14:anchorId="2A405F48" wp14:editId="3C42E487">
                  <wp:extent cx="2998470" cy="1899285"/>
                  <wp:effectExtent l="0" t="0" r="0" b="5715"/>
                  <wp:docPr id="15" name="图表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1EF1A1F1" w14:textId="6A3BCF82" w:rsidR="0028459A" w:rsidRPr="001A1299" w:rsidRDefault="00C90B66" w:rsidP="00C90B66">
      <w:pPr>
        <w:pStyle w:val="Body-text"/>
        <w:ind w:firstLineChars="200" w:firstLine="440"/>
        <w:rPr>
          <w:rFonts w:ascii="华文楷体" w:hAnsi="华文楷体"/>
          <w:sz w:val="24"/>
          <w:szCs w:val="24"/>
          <w:lang w:eastAsia="zh-CN"/>
        </w:rPr>
      </w:pPr>
      <w:r w:rsidRPr="006D68B6">
        <w:rPr>
          <w:rFonts w:ascii="Times New Roman" w:hAnsi="Times New Roman" w:hint="eastAsia"/>
          <w:sz w:val="22"/>
        </w:rPr>
        <w:t>风险提示：</w:t>
      </w:r>
      <w:r w:rsidRPr="006D68B6">
        <w:rPr>
          <w:rFonts w:ascii="Times New Roman" w:hAnsi="Times New Roman" w:hint="eastAsia"/>
          <w:sz w:val="22"/>
        </w:rPr>
        <w:t>1</w:t>
      </w:r>
      <w:r w:rsidRPr="006D68B6">
        <w:rPr>
          <w:rFonts w:ascii="Times New Roman" w:hAnsi="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6D68B6">
        <w:rPr>
          <w:rFonts w:ascii="Times New Roman" w:hAnsi="Times New Roman" w:hint="eastAsia"/>
          <w:sz w:val="22"/>
        </w:rPr>
        <w:t>2</w:t>
      </w:r>
      <w:r w:rsidRPr="006D68B6">
        <w:rPr>
          <w:rFonts w:ascii="Times New Roman" w:hAnsi="Times New Roman" w:hint="eastAsia"/>
          <w:sz w:val="22"/>
        </w:rPr>
        <w:t>、本报告中的资料、观点和预测等仅供参考，在任何时候均不构成对任何人的个人推荐。市场有风险，投资需谨慎。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945062" w14:textId="77777777" w:rsidR="009256A2" w:rsidRDefault="009256A2">
      <w:r>
        <w:separator/>
      </w:r>
    </w:p>
  </w:endnote>
  <w:endnote w:type="continuationSeparator" w:id="0">
    <w:p w14:paraId="362AE7E3" w14:textId="77777777" w:rsidR="009256A2" w:rsidRDefault="00925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3C4D9D" w:rsidRDefault="003C4D9D">
        <w:pPr>
          <w:pStyle w:val="a4"/>
          <w:jc w:val="right"/>
        </w:pPr>
        <w:r>
          <w:fldChar w:fldCharType="begin"/>
        </w:r>
        <w:r>
          <w:instrText>PAGE   \* MERGEFORMAT</w:instrText>
        </w:r>
        <w:r>
          <w:fldChar w:fldCharType="separate"/>
        </w:r>
        <w:r w:rsidR="00616BC1" w:rsidRPr="00616BC1">
          <w:rPr>
            <w:noProof/>
            <w:lang w:val="zh-CN"/>
          </w:rPr>
          <w:t>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6995CD" w14:textId="77777777" w:rsidR="009256A2" w:rsidRDefault="009256A2">
      <w:r>
        <w:separator/>
      </w:r>
    </w:p>
  </w:footnote>
  <w:footnote w:type="continuationSeparator" w:id="0">
    <w:p w14:paraId="32F60774" w14:textId="77777777" w:rsidR="009256A2" w:rsidRDefault="009256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3C4D9D" w:rsidRDefault="003C4D9D"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2AA4"/>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C46"/>
    <w:rsid w:val="00365F8E"/>
    <w:rsid w:val="00366556"/>
    <w:rsid w:val="00366CEA"/>
    <w:rsid w:val="003673CA"/>
    <w:rsid w:val="00367DA6"/>
    <w:rsid w:val="00367DC8"/>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D49"/>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BC1"/>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6A2"/>
    <w:rsid w:val="009259CD"/>
    <w:rsid w:val="00926C3D"/>
    <w:rsid w:val="00927011"/>
    <w:rsid w:val="009271C8"/>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0B6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0842504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91359552">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09941786">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5281813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46382348">
      <w:bodyDiv w:val="1"/>
      <w:marLeft w:val="0"/>
      <w:marRight w:val="0"/>
      <w:marTop w:val="0"/>
      <w:marBottom w:val="0"/>
      <w:divBdr>
        <w:top w:val="none" w:sz="0" w:space="0" w:color="auto"/>
        <w:left w:val="none" w:sz="0" w:space="0" w:color="auto"/>
        <w:bottom w:val="none" w:sz="0" w:space="0" w:color="auto"/>
        <w:right w:val="none" w:sz="0" w:space="0" w:color="auto"/>
      </w:divBdr>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7449491">
      <w:bodyDiv w:val="1"/>
      <w:marLeft w:val="0"/>
      <w:marRight w:val="0"/>
      <w:marTop w:val="0"/>
      <w:marBottom w:val="0"/>
      <w:divBdr>
        <w:top w:val="none" w:sz="0" w:space="0" w:color="auto"/>
        <w:left w:val="none" w:sz="0" w:space="0" w:color="auto"/>
        <w:bottom w:val="none" w:sz="0" w:space="0" w:color="auto"/>
        <w:right w:val="none" w:sz="0" w:space="0" w:color="auto"/>
      </w:divBdr>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43896</c:v>
                </c:pt>
                <c:pt idx="1">
                  <c:v>43903</c:v>
                </c:pt>
                <c:pt idx="2">
                  <c:v>43910</c:v>
                </c:pt>
                <c:pt idx="3">
                  <c:v>43917</c:v>
                </c:pt>
                <c:pt idx="4">
                  <c:v>43924</c:v>
                </c:pt>
                <c:pt idx="5">
                  <c:v>43931</c:v>
                </c:pt>
                <c:pt idx="6">
                  <c:v>43938</c:v>
                </c:pt>
                <c:pt idx="7">
                  <c:v>43945</c:v>
                </c:pt>
                <c:pt idx="8">
                  <c:v>43952</c:v>
                </c:pt>
                <c:pt idx="9">
                  <c:v>43959</c:v>
                </c:pt>
                <c:pt idx="10">
                  <c:v>43966</c:v>
                </c:pt>
                <c:pt idx="11">
                  <c:v>43973</c:v>
                </c:pt>
                <c:pt idx="12">
                  <c:v>43980</c:v>
                </c:pt>
                <c:pt idx="13">
                  <c:v>43987</c:v>
                </c:pt>
                <c:pt idx="14">
                  <c:v>43994</c:v>
                </c:pt>
                <c:pt idx="15">
                  <c:v>44001</c:v>
                </c:pt>
                <c:pt idx="16">
                  <c:v>44008</c:v>
                </c:pt>
                <c:pt idx="17">
                  <c:v>44015</c:v>
                </c:pt>
                <c:pt idx="18">
                  <c:v>44022</c:v>
                </c:pt>
                <c:pt idx="19">
                  <c:v>44029</c:v>
                </c:pt>
                <c:pt idx="20">
                  <c:v>44036</c:v>
                </c:pt>
                <c:pt idx="21">
                  <c:v>44043</c:v>
                </c:pt>
                <c:pt idx="22">
                  <c:v>44050</c:v>
                </c:pt>
              </c:numCache>
            </c:numRef>
          </c:cat>
          <c:val>
            <c:numRef>
              <c:f>央行!$B$5:$B$27</c:f>
              <c:numCache>
                <c:formatCode>###,###,###,###,##0.00</c:formatCode>
                <c:ptCount val="23"/>
                <c:pt idx="0">
                  <c:v>0</c:v>
                </c:pt>
                <c:pt idx="1">
                  <c:v>0</c:v>
                </c:pt>
                <c:pt idx="2">
                  <c:v>0</c:v>
                </c:pt>
                <c:pt idx="3">
                  <c:v>60</c:v>
                </c:pt>
                <c:pt idx="4">
                  <c:v>700</c:v>
                </c:pt>
                <c:pt idx="5">
                  <c:v>0</c:v>
                </c:pt>
                <c:pt idx="6">
                  <c:v>0</c:v>
                </c:pt>
                <c:pt idx="7">
                  <c:v>60</c:v>
                </c:pt>
                <c:pt idx="8">
                  <c:v>0</c:v>
                </c:pt>
                <c:pt idx="9">
                  <c:v>0</c:v>
                </c:pt>
                <c:pt idx="10">
                  <c:v>0</c:v>
                </c:pt>
                <c:pt idx="11">
                  <c:v>0</c:v>
                </c:pt>
                <c:pt idx="12">
                  <c:v>6750</c:v>
                </c:pt>
                <c:pt idx="13">
                  <c:v>2200</c:v>
                </c:pt>
                <c:pt idx="14">
                  <c:v>4200</c:v>
                </c:pt>
                <c:pt idx="15">
                  <c:v>3000</c:v>
                </c:pt>
                <c:pt idx="16">
                  <c:v>5050</c:v>
                </c:pt>
                <c:pt idx="17">
                  <c:v>1025</c:v>
                </c:pt>
                <c:pt idx="18">
                  <c:v>0</c:v>
                </c:pt>
                <c:pt idx="19">
                  <c:v>3300</c:v>
                </c:pt>
                <c:pt idx="20">
                  <c:v>1650</c:v>
                </c:pt>
                <c:pt idx="21">
                  <c:v>2800</c:v>
                </c:pt>
                <c:pt idx="22">
                  <c:v>100</c:v>
                </c:pt>
              </c:numCache>
            </c:numRef>
          </c:val>
          <c:extLst xmlns:c16r2="http://schemas.microsoft.com/office/drawing/2015/06/chart">
            <c:ext xmlns:c16="http://schemas.microsoft.com/office/drawing/2014/chart" uri="{C3380CC4-5D6E-409C-BE32-E72D297353CC}">
              <c16:uniqueId val="{00000000-9F20-486C-A564-222C5A973AF7}"/>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43896</c:v>
                </c:pt>
                <c:pt idx="1">
                  <c:v>43903</c:v>
                </c:pt>
                <c:pt idx="2">
                  <c:v>43910</c:v>
                </c:pt>
                <c:pt idx="3">
                  <c:v>43917</c:v>
                </c:pt>
                <c:pt idx="4">
                  <c:v>43924</c:v>
                </c:pt>
                <c:pt idx="5">
                  <c:v>43931</c:v>
                </c:pt>
                <c:pt idx="6">
                  <c:v>43938</c:v>
                </c:pt>
                <c:pt idx="7">
                  <c:v>43945</c:v>
                </c:pt>
                <c:pt idx="8">
                  <c:v>43952</c:v>
                </c:pt>
                <c:pt idx="9">
                  <c:v>43959</c:v>
                </c:pt>
                <c:pt idx="10">
                  <c:v>43966</c:v>
                </c:pt>
                <c:pt idx="11">
                  <c:v>43973</c:v>
                </c:pt>
                <c:pt idx="12">
                  <c:v>43980</c:v>
                </c:pt>
                <c:pt idx="13">
                  <c:v>43987</c:v>
                </c:pt>
                <c:pt idx="14">
                  <c:v>43994</c:v>
                </c:pt>
                <c:pt idx="15">
                  <c:v>44001</c:v>
                </c:pt>
                <c:pt idx="16">
                  <c:v>44008</c:v>
                </c:pt>
                <c:pt idx="17">
                  <c:v>44015</c:v>
                </c:pt>
                <c:pt idx="18">
                  <c:v>44022</c:v>
                </c:pt>
                <c:pt idx="19">
                  <c:v>44029</c:v>
                </c:pt>
                <c:pt idx="20">
                  <c:v>44036</c:v>
                </c:pt>
                <c:pt idx="21">
                  <c:v>44043</c:v>
                </c:pt>
                <c:pt idx="22">
                  <c:v>44050</c:v>
                </c:pt>
              </c:numCache>
            </c:numRef>
          </c:cat>
          <c:val>
            <c:numRef>
              <c:f>央行!$C$5:$C$27</c:f>
              <c:numCache>
                <c:formatCode>###,###,###,###,##0.00</c:formatCode>
                <c:ptCount val="23"/>
                <c:pt idx="0">
                  <c:v>0</c:v>
                </c:pt>
                <c:pt idx="1">
                  <c:v>0</c:v>
                </c:pt>
                <c:pt idx="2">
                  <c:v>0</c:v>
                </c:pt>
                <c:pt idx="3">
                  <c:v>-50</c:v>
                </c:pt>
                <c:pt idx="4">
                  <c:v>0</c:v>
                </c:pt>
                <c:pt idx="5">
                  <c:v>-700</c:v>
                </c:pt>
                <c:pt idx="6">
                  <c:v>0</c:v>
                </c:pt>
                <c:pt idx="7">
                  <c:v>-50</c:v>
                </c:pt>
                <c:pt idx="8">
                  <c:v>0</c:v>
                </c:pt>
                <c:pt idx="9">
                  <c:v>0</c:v>
                </c:pt>
                <c:pt idx="10">
                  <c:v>0</c:v>
                </c:pt>
                <c:pt idx="11">
                  <c:v>0</c:v>
                </c:pt>
                <c:pt idx="12">
                  <c:v>-50</c:v>
                </c:pt>
                <c:pt idx="13">
                  <c:v>-6700</c:v>
                </c:pt>
                <c:pt idx="14">
                  <c:v>-2200</c:v>
                </c:pt>
                <c:pt idx="15">
                  <c:v>-4200</c:v>
                </c:pt>
                <c:pt idx="16">
                  <c:v>-1200</c:v>
                </c:pt>
                <c:pt idx="17">
                  <c:v>-4950</c:v>
                </c:pt>
                <c:pt idx="18">
                  <c:v>-2900</c:v>
                </c:pt>
                <c:pt idx="19">
                  <c:v>0</c:v>
                </c:pt>
                <c:pt idx="20">
                  <c:v>-3300</c:v>
                </c:pt>
                <c:pt idx="21">
                  <c:v>-1650</c:v>
                </c:pt>
                <c:pt idx="22">
                  <c:v>-2800</c:v>
                </c:pt>
              </c:numCache>
            </c:numRef>
          </c:val>
          <c:extLst xmlns:c16r2="http://schemas.microsoft.com/office/drawing/2015/06/chart">
            <c:ext xmlns:c16="http://schemas.microsoft.com/office/drawing/2014/chart" uri="{C3380CC4-5D6E-409C-BE32-E72D297353CC}">
              <c16:uniqueId val="{00000001-9F20-486C-A564-222C5A973AF7}"/>
            </c:ext>
          </c:extLst>
        </c:ser>
        <c:dLbls>
          <c:showLegendKey val="0"/>
          <c:showVal val="0"/>
          <c:showCatName val="0"/>
          <c:showSerName val="0"/>
          <c:showPercent val="0"/>
          <c:showBubbleSize val="0"/>
        </c:dLbls>
        <c:gapWidth val="150"/>
        <c:overlap val="100"/>
        <c:axId val="492409216"/>
        <c:axId val="49241152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43896</c:v>
                </c:pt>
                <c:pt idx="1">
                  <c:v>43903</c:v>
                </c:pt>
                <c:pt idx="2">
                  <c:v>43910</c:v>
                </c:pt>
                <c:pt idx="3">
                  <c:v>43917</c:v>
                </c:pt>
                <c:pt idx="4">
                  <c:v>43924</c:v>
                </c:pt>
                <c:pt idx="5">
                  <c:v>43931</c:v>
                </c:pt>
                <c:pt idx="6">
                  <c:v>43938</c:v>
                </c:pt>
                <c:pt idx="7">
                  <c:v>43945</c:v>
                </c:pt>
                <c:pt idx="8">
                  <c:v>43952</c:v>
                </c:pt>
                <c:pt idx="9">
                  <c:v>43959</c:v>
                </c:pt>
                <c:pt idx="10">
                  <c:v>43966</c:v>
                </c:pt>
                <c:pt idx="11">
                  <c:v>43973</c:v>
                </c:pt>
                <c:pt idx="12">
                  <c:v>43980</c:v>
                </c:pt>
                <c:pt idx="13">
                  <c:v>43987</c:v>
                </c:pt>
                <c:pt idx="14">
                  <c:v>43994</c:v>
                </c:pt>
                <c:pt idx="15">
                  <c:v>44001</c:v>
                </c:pt>
                <c:pt idx="16">
                  <c:v>44008</c:v>
                </c:pt>
                <c:pt idx="17">
                  <c:v>44015</c:v>
                </c:pt>
                <c:pt idx="18">
                  <c:v>44022</c:v>
                </c:pt>
                <c:pt idx="19">
                  <c:v>44029</c:v>
                </c:pt>
                <c:pt idx="20">
                  <c:v>44036</c:v>
                </c:pt>
                <c:pt idx="21">
                  <c:v>44043</c:v>
                </c:pt>
                <c:pt idx="22">
                  <c:v>44050</c:v>
                </c:pt>
              </c:numCache>
            </c:numRef>
          </c:cat>
          <c:val>
            <c:numRef>
              <c:f>央行!$D$5:$D$27</c:f>
              <c:numCache>
                <c:formatCode>###,###,###,###,##0.00</c:formatCode>
                <c:ptCount val="23"/>
                <c:pt idx="0">
                  <c:v>0</c:v>
                </c:pt>
                <c:pt idx="1">
                  <c:v>0</c:v>
                </c:pt>
                <c:pt idx="2">
                  <c:v>0</c:v>
                </c:pt>
                <c:pt idx="3">
                  <c:v>10</c:v>
                </c:pt>
                <c:pt idx="4">
                  <c:v>700</c:v>
                </c:pt>
                <c:pt idx="5">
                  <c:v>-700</c:v>
                </c:pt>
                <c:pt idx="6">
                  <c:v>0</c:v>
                </c:pt>
                <c:pt idx="7">
                  <c:v>10</c:v>
                </c:pt>
                <c:pt idx="8">
                  <c:v>0</c:v>
                </c:pt>
                <c:pt idx="9">
                  <c:v>0</c:v>
                </c:pt>
                <c:pt idx="10">
                  <c:v>0</c:v>
                </c:pt>
                <c:pt idx="11">
                  <c:v>0</c:v>
                </c:pt>
                <c:pt idx="12">
                  <c:v>6700</c:v>
                </c:pt>
                <c:pt idx="13">
                  <c:v>-4500</c:v>
                </c:pt>
                <c:pt idx="14">
                  <c:v>2000</c:v>
                </c:pt>
                <c:pt idx="15">
                  <c:v>-1200</c:v>
                </c:pt>
                <c:pt idx="16">
                  <c:v>3850</c:v>
                </c:pt>
                <c:pt idx="17">
                  <c:v>-3925</c:v>
                </c:pt>
                <c:pt idx="18">
                  <c:v>-2900</c:v>
                </c:pt>
                <c:pt idx="19">
                  <c:v>3300</c:v>
                </c:pt>
                <c:pt idx="20">
                  <c:v>-1650</c:v>
                </c:pt>
                <c:pt idx="21">
                  <c:v>1150</c:v>
                </c:pt>
                <c:pt idx="22">
                  <c:v>-2700</c:v>
                </c:pt>
              </c:numCache>
            </c:numRef>
          </c:val>
          <c:smooth val="0"/>
          <c:extLst xmlns:c16r2="http://schemas.microsoft.com/office/drawing/2015/06/chart">
            <c:ext xmlns:c16="http://schemas.microsoft.com/office/drawing/2014/chart" uri="{C3380CC4-5D6E-409C-BE32-E72D297353CC}">
              <c16:uniqueId val="{00000002-9F20-486C-A564-222C5A973AF7}"/>
            </c:ext>
          </c:extLst>
        </c:ser>
        <c:dLbls>
          <c:showLegendKey val="0"/>
          <c:showVal val="0"/>
          <c:showCatName val="0"/>
          <c:showSerName val="0"/>
          <c:showPercent val="0"/>
          <c:showBubbleSize val="0"/>
        </c:dLbls>
        <c:marker val="1"/>
        <c:smooth val="0"/>
        <c:axId val="492409216"/>
        <c:axId val="492411520"/>
      </c:lineChart>
      <c:catAx>
        <c:axId val="49240921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92411520"/>
        <c:crosses val="autoZero"/>
        <c:auto val="0"/>
        <c:lblAlgn val="ctr"/>
        <c:lblOffset val="0"/>
        <c:tickMarkSkip val="2"/>
        <c:noMultiLvlLbl val="0"/>
      </c:catAx>
      <c:valAx>
        <c:axId val="4924115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92409216"/>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44050</c:v>
                </c:pt>
                <c:pt idx="1">
                  <c:v>44049</c:v>
                </c:pt>
                <c:pt idx="2">
                  <c:v>44048</c:v>
                </c:pt>
                <c:pt idx="3">
                  <c:v>44047</c:v>
                </c:pt>
                <c:pt idx="4">
                  <c:v>44046</c:v>
                </c:pt>
                <c:pt idx="5">
                  <c:v>44043</c:v>
                </c:pt>
                <c:pt idx="6">
                  <c:v>44042</c:v>
                </c:pt>
                <c:pt idx="7">
                  <c:v>44041</c:v>
                </c:pt>
                <c:pt idx="8">
                  <c:v>44040</c:v>
                </c:pt>
                <c:pt idx="9">
                  <c:v>44039</c:v>
                </c:pt>
                <c:pt idx="10">
                  <c:v>44036</c:v>
                </c:pt>
                <c:pt idx="11">
                  <c:v>44035</c:v>
                </c:pt>
                <c:pt idx="12">
                  <c:v>44034</c:v>
                </c:pt>
                <c:pt idx="13">
                  <c:v>44033</c:v>
                </c:pt>
                <c:pt idx="14">
                  <c:v>44032</c:v>
                </c:pt>
                <c:pt idx="15">
                  <c:v>44029</c:v>
                </c:pt>
                <c:pt idx="16">
                  <c:v>44028</c:v>
                </c:pt>
                <c:pt idx="17">
                  <c:v>44027</c:v>
                </c:pt>
                <c:pt idx="18">
                  <c:v>44026</c:v>
                </c:pt>
                <c:pt idx="19">
                  <c:v>44025</c:v>
                </c:pt>
                <c:pt idx="20">
                  <c:v>44022</c:v>
                </c:pt>
                <c:pt idx="21">
                  <c:v>44021</c:v>
                </c:pt>
                <c:pt idx="22">
                  <c:v>44020</c:v>
                </c:pt>
                <c:pt idx="23">
                  <c:v>44019</c:v>
                </c:pt>
                <c:pt idx="24">
                  <c:v>44018</c:v>
                </c:pt>
                <c:pt idx="25">
                  <c:v>44015</c:v>
                </c:pt>
                <c:pt idx="26">
                  <c:v>44014</c:v>
                </c:pt>
                <c:pt idx="27">
                  <c:v>44013</c:v>
                </c:pt>
                <c:pt idx="28">
                  <c:v>44012</c:v>
                </c:pt>
                <c:pt idx="29">
                  <c:v>44011</c:v>
                </c:pt>
                <c:pt idx="30">
                  <c:v>44010</c:v>
                </c:pt>
                <c:pt idx="31">
                  <c:v>44006</c:v>
                </c:pt>
                <c:pt idx="32">
                  <c:v>44005</c:v>
                </c:pt>
                <c:pt idx="33">
                  <c:v>44004</c:v>
                </c:pt>
                <c:pt idx="34">
                  <c:v>44001</c:v>
                </c:pt>
                <c:pt idx="35">
                  <c:v>44000</c:v>
                </c:pt>
                <c:pt idx="36">
                  <c:v>43999</c:v>
                </c:pt>
                <c:pt idx="37">
                  <c:v>43998</c:v>
                </c:pt>
                <c:pt idx="38">
                  <c:v>43997</c:v>
                </c:pt>
                <c:pt idx="39">
                  <c:v>43994</c:v>
                </c:pt>
                <c:pt idx="40">
                  <c:v>43993</c:v>
                </c:pt>
                <c:pt idx="41">
                  <c:v>43992</c:v>
                </c:pt>
                <c:pt idx="42">
                  <c:v>43991</c:v>
                </c:pt>
                <c:pt idx="43">
                  <c:v>43990</c:v>
                </c:pt>
                <c:pt idx="44">
                  <c:v>43987</c:v>
                </c:pt>
                <c:pt idx="45">
                  <c:v>43986</c:v>
                </c:pt>
                <c:pt idx="46">
                  <c:v>43985</c:v>
                </c:pt>
                <c:pt idx="47">
                  <c:v>43984</c:v>
                </c:pt>
                <c:pt idx="48">
                  <c:v>43983</c:v>
                </c:pt>
                <c:pt idx="49">
                  <c:v>43980</c:v>
                </c:pt>
                <c:pt idx="50">
                  <c:v>43979</c:v>
                </c:pt>
                <c:pt idx="51">
                  <c:v>43978</c:v>
                </c:pt>
                <c:pt idx="52">
                  <c:v>43977</c:v>
                </c:pt>
                <c:pt idx="53">
                  <c:v>43976</c:v>
                </c:pt>
                <c:pt idx="54">
                  <c:v>43973</c:v>
                </c:pt>
                <c:pt idx="55">
                  <c:v>43972</c:v>
                </c:pt>
                <c:pt idx="56">
                  <c:v>43971</c:v>
                </c:pt>
                <c:pt idx="57">
                  <c:v>43970</c:v>
                </c:pt>
                <c:pt idx="58">
                  <c:v>43969</c:v>
                </c:pt>
              </c:numCache>
            </c:numRef>
          </c:cat>
          <c:val>
            <c:numRef>
              <c:f>资金!$B$3:$B$61</c:f>
              <c:numCache>
                <c:formatCode>###,###,###,###,##0.0000</c:formatCode>
                <c:ptCount val="59"/>
                <c:pt idx="0">
                  <c:v>2.1122000000000001</c:v>
                </c:pt>
                <c:pt idx="1">
                  <c:v>1.7108000000000001</c:v>
                </c:pt>
                <c:pt idx="2">
                  <c:v>1.7210000000000001</c:v>
                </c:pt>
                <c:pt idx="3">
                  <c:v>1.96</c:v>
                </c:pt>
                <c:pt idx="4">
                  <c:v>1.6277999999999999</c:v>
                </c:pt>
                <c:pt idx="5">
                  <c:v>1.921</c:v>
                </c:pt>
                <c:pt idx="6">
                  <c:v>1.4155</c:v>
                </c:pt>
                <c:pt idx="7">
                  <c:v>1.4807999999999999</c:v>
                </c:pt>
                <c:pt idx="8">
                  <c:v>1.7774000000000001</c:v>
                </c:pt>
                <c:pt idx="9">
                  <c:v>2.0301999999999998</c:v>
                </c:pt>
                <c:pt idx="10">
                  <c:v>1.8781000000000001</c:v>
                </c:pt>
                <c:pt idx="11">
                  <c:v>1.9132</c:v>
                </c:pt>
                <c:pt idx="12">
                  <c:v>1.3838999999999999</c:v>
                </c:pt>
                <c:pt idx="13">
                  <c:v>1.5924</c:v>
                </c:pt>
                <c:pt idx="14">
                  <c:v>1.9733000000000001</c:v>
                </c:pt>
                <c:pt idx="15">
                  <c:v>2.3995000000000002</c:v>
                </c:pt>
                <c:pt idx="16">
                  <c:v>2.3612000000000002</c:v>
                </c:pt>
                <c:pt idx="17">
                  <c:v>2.0855999999999999</c:v>
                </c:pt>
                <c:pt idx="18">
                  <c:v>1.7021999999999999</c:v>
                </c:pt>
                <c:pt idx="19">
                  <c:v>2.1414</c:v>
                </c:pt>
                <c:pt idx="20">
                  <c:v>2.2174</c:v>
                </c:pt>
                <c:pt idx="21">
                  <c:v>2.2547999999999999</c:v>
                </c:pt>
                <c:pt idx="22">
                  <c:v>2.1366000000000001</c:v>
                </c:pt>
                <c:pt idx="23">
                  <c:v>1.7793000000000001</c:v>
                </c:pt>
                <c:pt idx="24">
                  <c:v>1.4025000000000001</c:v>
                </c:pt>
                <c:pt idx="25">
                  <c:v>1.4065000000000001</c:v>
                </c:pt>
                <c:pt idx="26">
                  <c:v>1.7667999999999999</c:v>
                </c:pt>
                <c:pt idx="27">
                  <c:v>2.0270999999999999</c:v>
                </c:pt>
                <c:pt idx="28">
                  <c:v>2.2993999999999999</c:v>
                </c:pt>
                <c:pt idx="29">
                  <c:v>1.0634999999999999</c:v>
                </c:pt>
                <c:pt idx="30">
                  <c:v>1.0626</c:v>
                </c:pt>
                <c:pt idx="31">
                  <c:v>1.4907999999999999</c:v>
                </c:pt>
                <c:pt idx="32">
                  <c:v>1.9904999999999999</c:v>
                </c:pt>
                <c:pt idx="33">
                  <c:v>2.1852999999999998</c:v>
                </c:pt>
                <c:pt idx="34">
                  <c:v>2.1818</c:v>
                </c:pt>
                <c:pt idx="35">
                  <c:v>2.1688999999999998</c:v>
                </c:pt>
                <c:pt idx="36">
                  <c:v>2.1088</c:v>
                </c:pt>
                <c:pt idx="37">
                  <c:v>1.8025</c:v>
                </c:pt>
                <c:pt idx="38">
                  <c:v>1.5213000000000001</c:v>
                </c:pt>
                <c:pt idx="39">
                  <c:v>1.5598000000000001</c:v>
                </c:pt>
                <c:pt idx="40">
                  <c:v>1.7955000000000001</c:v>
                </c:pt>
                <c:pt idx="41">
                  <c:v>1.8873</c:v>
                </c:pt>
                <c:pt idx="42">
                  <c:v>1.883</c:v>
                </c:pt>
                <c:pt idx="43">
                  <c:v>1.9269000000000001</c:v>
                </c:pt>
                <c:pt idx="44">
                  <c:v>1.6131</c:v>
                </c:pt>
                <c:pt idx="45">
                  <c:v>1.9869000000000001</c:v>
                </c:pt>
                <c:pt idx="46">
                  <c:v>1.9258999999999999</c:v>
                </c:pt>
                <c:pt idx="47">
                  <c:v>1.5313000000000001</c:v>
                </c:pt>
                <c:pt idx="48">
                  <c:v>1.6446000000000001</c:v>
                </c:pt>
                <c:pt idx="49">
                  <c:v>2.1263999999999998</c:v>
                </c:pt>
                <c:pt idx="50">
                  <c:v>2.1741999999999999</c:v>
                </c:pt>
                <c:pt idx="51">
                  <c:v>2.1711</c:v>
                </c:pt>
                <c:pt idx="52">
                  <c:v>1.9621</c:v>
                </c:pt>
                <c:pt idx="53">
                  <c:v>1.5498000000000001</c:v>
                </c:pt>
                <c:pt idx="54">
                  <c:v>1.1511</c:v>
                </c:pt>
                <c:pt idx="55">
                  <c:v>1.1535</c:v>
                </c:pt>
                <c:pt idx="56">
                  <c:v>1.2717000000000001</c:v>
                </c:pt>
                <c:pt idx="57">
                  <c:v>1.4426000000000001</c:v>
                </c:pt>
                <c:pt idx="58">
                  <c:v>0.97460000000000002</c:v>
                </c:pt>
              </c:numCache>
            </c:numRef>
          </c:val>
          <c:smooth val="1"/>
          <c:extLst xmlns:c16r2="http://schemas.microsoft.com/office/drawing/2015/06/chart">
            <c:ext xmlns:c16="http://schemas.microsoft.com/office/drawing/2014/chart" uri="{C3380CC4-5D6E-409C-BE32-E72D297353CC}">
              <c16:uniqueId val="{00000000-5095-48FB-8A07-E18659245F0B}"/>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44050</c:v>
                </c:pt>
                <c:pt idx="1">
                  <c:v>44049</c:v>
                </c:pt>
                <c:pt idx="2">
                  <c:v>44048</c:v>
                </c:pt>
                <c:pt idx="3">
                  <c:v>44047</c:v>
                </c:pt>
                <c:pt idx="4">
                  <c:v>44046</c:v>
                </c:pt>
                <c:pt idx="5">
                  <c:v>44043</c:v>
                </c:pt>
                <c:pt idx="6">
                  <c:v>44042</c:v>
                </c:pt>
                <c:pt idx="7">
                  <c:v>44041</c:v>
                </c:pt>
                <c:pt idx="8">
                  <c:v>44040</c:v>
                </c:pt>
                <c:pt idx="9">
                  <c:v>44039</c:v>
                </c:pt>
                <c:pt idx="10">
                  <c:v>44036</c:v>
                </c:pt>
                <c:pt idx="11">
                  <c:v>44035</c:v>
                </c:pt>
                <c:pt idx="12">
                  <c:v>44034</c:v>
                </c:pt>
                <c:pt idx="13">
                  <c:v>44033</c:v>
                </c:pt>
                <c:pt idx="14">
                  <c:v>44032</c:v>
                </c:pt>
                <c:pt idx="15">
                  <c:v>44029</c:v>
                </c:pt>
                <c:pt idx="16">
                  <c:v>44028</c:v>
                </c:pt>
                <c:pt idx="17">
                  <c:v>44027</c:v>
                </c:pt>
                <c:pt idx="18">
                  <c:v>44026</c:v>
                </c:pt>
                <c:pt idx="19">
                  <c:v>44025</c:v>
                </c:pt>
                <c:pt idx="20">
                  <c:v>44022</c:v>
                </c:pt>
                <c:pt idx="21">
                  <c:v>44021</c:v>
                </c:pt>
                <c:pt idx="22">
                  <c:v>44020</c:v>
                </c:pt>
                <c:pt idx="23">
                  <c:v>44019</c:v>
                </c:pt>
                <c:pt idx="24">
                  <c:v>44018</c:v>
                </c:pt>
                <c:pt idx="25">
                  <c:v>44015</c:v>
                </c:pt>
                <c:pt idx="26">
                  <c:v>44014</c:v>
                </c:pt>
                <c:pt idx="27">
                  <c:v>44013</c:v>
                </c:pt>
                <c:pt idx="28">
                  <c:v>44012</c:v>
                </c:pt>
                <c:pt idx="29">
                  <c:v>44011</c:v>
                </c:pt>
                <c:pt idx="30">
                  <c:v>44010</c:v>
                </c:pt>
                <c:pt idx="31">
                  <c:v>44006</c:v>
                </c:pt>
                <c:pt idx="32">
                  <c:v>44005</c:v>
                </c:pt>
                <c:pt idx="33">
                  <c:v>44004</c:v>
                </c:pt>
                <c:pt idx="34">
                  <c:v>44001</c:v>
                </c:pt>
                <c:pt idx="35">
                  <c:v>44000</c:v>
                </c:pt>
                <c:pt idx="36">
                  <c:v>43999</c:v>
                </c:pt>
                <c:pt idx="37">
                  <c:v>43998</c:v>
                </c:pt>
                <c:pt idx="38">
                  <c:v>43997</c:v>
                </c:pt>
                <c:pt idx="39">
                  <c:v>43994</c:v>
                </c:pt>
                <c:pt idx="40">
                  <c:v>43993</c:v>
                </c:pt>
                <c:pt idx="41">
                  <c:v>43992</c:v>
                </c:pt>
                <c:pt idx="42">
                  <c:v>43991</c:v>
                </c:pt>
                <c:pt idx="43">
                  <c:v>43990</c:v>
                </c:pt>
                <c:pt idx="44">
                  <c:v>43987</c:v>
                </c:pt>
                <c:pt idx="45">
                  <c:v>43986</c:v>
                </c:pt>
                <c:pt idx="46">
                  <c:v>43985</c:v>
                </c:pt>
                <c:pt idx="47">
                  <c:v>43984</c:v>
                </c:pt>
                <c:pt idx="48">
                  <c:v>43983</c:v>
                </c:pt>
                <c:pt idx="49">
                  <c:v>43980</c:v>
                </c:pt>
                <c:pt idx="50">
                  <c:v>43979</c:v>
                </c:pt>
                <c:pt idx="51">
                  <c:v>43978</c:v>
                </c:pt>
                <c:pt idx="52">
                  <c:v>43977</c:v>
                </c:pt>
                <c:pt idx="53">
                  <c:v>43976</c:v>
                </c:pt>
                <c:pt idx="54">
                  <c:v>43973</c:v>
                </c:pt>
                <c:pt idx="55">
                  <c:v>43972</c:v>
                </c:pt>
                <c:pt idx="56">
                  <c:v>43971</c:v>
                </c:pt>
                <c:pt idx="57">
                  <c:v>43970</c:v>
                </c:pt>
                <c:pt idx="58">
                  <c:v>43969</c:v>
                </c:pt>
              </c:numCache>
            </c:numRef>
          </c:cat>
          <c:val>
            <c:numRef>
              <c:f>资金!$C$3:$C$61</c:f>
              <c:numCache>
                <c:formatCode>###,###,###,###,##0.0000</c:formatCode>
                <c:ptCount val="59"/>
                <c:pt idx="0">
                  <c:v>2.2219000000000002</c:v>
                </c:pt>
                <c:pt idx="1">
                  <c:v>2.1051000000000002</c:v>
                </c:pt>
                <c:pt idx="2">
                  <c:v>2.1356000000000002</c:v>
                </c:pt>
                <c:pt idx="3">
                  <c:v>2.1785000000000001</c:v>
                </c:pt>
                <c:pt idx="4">
                  <c:v>2.1398000000000001</c:v>
                </c:pt>
                <c:pt idx="5">
                  <c:v>2.3254000000000001</c:v>
                </c:pt>
                <c:pt idx="6">
                  <c:v>2.3382999999999998</c:v>
                </c:pt>
                <c:pt idx="7">
                  <c:v>2.3513000000000002</c:v>
                </c:pt>
                <c:pt idx="8">
                  <c:v>2.4123999999999999</c:v>
                </c:pt>
                <c:pt idx="9">
                  <c:v>2.4384000000000001</c:v>
                </c:pt>
                <c:pt idx="10">
                  <c:v>2.0954000000000002</c:v>
                </c:pt>
                <c:pt idx="11">
                  <c:v>2.2709000000000001</c:v>
                </c:pt>
                <c:pt idx="12">
                  <c:v>2.0026000000000002</c:v>
                </c:pt>
                <c:pt idx="13">
                  <c:v>2.1061999999999999</c:v>
                </c:pt>
                <c:pt idx="14">
                  <c:v>2.2656999999999998</c:v>
                </c:pt>
                <c:pt idx="15">
                  <c:v>2.4668999999999999</c:v>
                </c:pt>
                <c:pt idx="16">
                  <c:v>2.3656000000000001</c:v>
                </c:pt>
                <c:pt idx="17">
                  <c:v>2.2551000000000001</c:v>
                </c:pt>
                <c:pt idx="18">
                  <c:v>2.2277</c:v>
                </c:pt>
                <c:pt idx="19">
                  <c:v>2.3549000000000002</c:v>
                </c:pt>
                <c:pt idx="20">
                  <c:v>2.3384999999999998</c:v>
                </c:pt>
                <c:pt idx="21">
                  <c:v>2.2734999999999999</c:v>
                </c:pt>
                <c:pt idx="22">
                  <c:v>2.2345999999999999</c:v>
                </c:pt>
                <c:pt idx="23">
                  <c:v>2.1484999999999999</c:v>
                </c:pt>
                <c:pt idx="24">
                  <c:v>1.8398000000000001</c:v>
                </c:pt>
                <c:pt idx="25">
                  <c:v>1.857</c:v>
                </c:pt>
                <c:pt idx="26">
                  <c:v>2.0632999999999999</c:v>
                </c:pt>
                <c:pt idx="27">
                  <c:v>2.2721</c:v>
                </c:pt>
                <c:pt idx="28">
                  <c:v>3.0518999999999998</c:v>
                </c:pt>
                <c:pt idx="29">
                  <c:v>2.7978999999999998</c:v>
                </c:pt>
                <c:pt idx="30">
                  <c:v>2.2408999999999999</c:v>
                </c:pt>
                <c:pt idx="31">
                  <c:v>2.3866999999999998</c:v>
                </c:pt>
                <c:pt idx="32">
                  <c:v>2.3123</c:v>
                </c:pt>
                <c:pt idx="33">
                  <c:v>2.2494999999999998</c:v>
                </c:pt>
                <c:pt idx="34">
                  <c:v>2.1716000000000002</c:v>
                </c:pt>
                <c:pt idx="35">
                  <c:v>2.1389</c:v>
                </c:pt>
                <c:pt idx="36">
                  <c:v>2.0489999999999999</c:v>
                </c:pt>
                <c:pt idx="37">
                  <c:v>1.9447000000000001</c:v>
                </c:pt>
                <c:pt idx="38">
                  <c:v>1.8593999999999999</c:v>
                </c:pt>
                <c:pt idx="39">
                  <c:v>1.9265000000000001</c:v>
                </c:pt>
                <c:pt idx="40">
                  <c:v>2.0001000000000002</c:v>
                </c:pt>
                <c:pt idx="41">
                  <c:v>1.9938</c:v>
                </c:pt>
                <c:pt idx="42">
                  <c:v>1.9323999999999999</c:v>
                </c:pt>
                <c:pt idx="43">
                  <c:v>1.88</c:v>
                </c:pt>
                <c:pt idx="44">
                  <c:v>1.8634999999999999</c:v>
                </c:pt>
                <c:pt idx="45">
                  <c:v>1.8980999999999999</c:v>
                </c:pt>
                <c:pt idx="46">
                  <c:v>1.9643999999999999</c:v>
                </c:pt>
                <c:pt idx="47">
                  <c:v>1.5506</c:v>
                </c:pt>
                <c:pt idx="48">
                  <c:v>1.6257999999999999</c:v>
                </c:pt>
                <c:pt idx="49">
                  <c:v>2.2210999999999999</c:v>
                </c:pt>
                <c:pt idx="50">
                  <c:v>2.246</c:v>
                </c:pt>
                <c:pt idx="51">
                  <c:v>2.0767000000000002</c:v>
                </c:pt>
                <c:pt idx="52">
                  <c:v>1.9472</c:v>
                </c:pt>
                <c:pt idx="53">
                  <c:v>1.7498</c:v>
                </c:pt>
                <c:pt idx="54">
                  <c:v>1.4472</c:v>
                </c:pt>
                <c:pt idx="55">
                  <c:v>1.4988999999999999</c:v>
                </c:pt>
                <c:pt idx="56">
                  <c:v>1.5571999999999999</c:v>
                </c:pt>
                <c:pt idx="57">
                  <c:v>1.5296000000000001</c:v>
                </c:pt>
                <c:pt idx="58">
                  <c:v>1.3913</c:v>
                </c:pt>
              </c:numCache>
            </c:numRef>
          </c:val>
          <c:smooth val="1"/>
          <c:extLst xmlns:c16r2="http://schemas.microsoft.com/office/drawing/2015/06/chart">
            <c:ext xmlns:c16="http://schemas.microsoft.com/office/drawing/2014/chart" uri="{C3380CC4-5D6E-409C-BE32-E72D297353CC}">
              <c16:uniqueId val="{00000001-5095-48FB-8A07-E18659245F0B}"/>
            </c:ext>
          </c:extLst>
        </c:ser>
        <c:dLbls>
          <c:showLegendKey val="0"/>
          <c:showVal val="0"/>
          <c:showCatName val="0"/>
          <c:showSerName val="0"/>
          <c:showPercent val="0"/>
          <c:showBubbleSize val="0"/>
        </c:dLbls>
        <c:marker val="1"/>
        <c:smooth val="0"/>
        <c:axId val="485566336"/>
        <c:axId val="485567872"/>
      </c:lineChart>
      <c:dateAx>
        <c:axId val="48556633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5567872"/>
        <c:crosses val="autoZero"/>
        <c:auto val="0"/>
        <c:lblOffset val="0"/>
        <c:baseTimeUnit val="days"/>
        <c:majorUnit val="14"/>
        <c:majorTimeUnit val="days"/>
        <c:minorUnit val="7"/>
        <c:minorTimeUnit val="days"/>
      </c:dateAx>
      <c:valAx>
        <c:axId val="48556787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556633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2.6799999999999935</c:v>
                </c:pt>
                <c:pt idx="1">
                  <c:v>8.1600000000000108</c:v>
                </c:pt>
                <c:pt idx="2">
                  <c:v>-2.0299999999999763</c:v>
                </c:pt>
                <c:pt idx="3">
                  <c:v>17.179999999999971</c:v>
                </c:pt>
                <c:pt idx="4">
                  <c:v>12.890000000000024</c:v>
                </c:pt>
                <c:pt idx="5">
                  <c:v>6.9299999999999695</c:v>
                </c:pt>
                <c:pt idx="6">
                  <c:v>2.5399999999999867</c:v>
                </c:pt>
              </c:numCache>
            </c:numRef>
          </c:val>
          <c:extLst xmlns:c16r2="http://schemas.microsoft.com/office/drawing/2015/06/chart">
            <c:ext xmlns:c16="http://schemas.microsoft.com/office/drawing/2014/chart" uri="{C3380CC4-5D6E-409C-BE32-E72D297353CC}">
              <c16:uniqueId val="{00000000-8AE0-429F-BE22-CBB616A5E81E}"/>
            </c:ext>
          </c:extLst>
        </c:ser>
        <c:dLbls>
          <c:showLegendKey val="0"/>
          <c:showVal val="0"/>
          <c:showCatName val="0"/>
          <c:showSerName val="0"/>
          <c:showPercent val="0"/>
          <c:showBubbleSize val="0"/>
        </c:dLbls>
        <c:gapWidth val="150"/>
        <c:axId val="485615872"/>
        <c:axId val="48576140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AE0-429F-BE22-CBB616A5E81E}"/>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AE0-429F-BE22-CBB616A5E81E}"/>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8AE0-429F-BE22-CBB616A5E81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8AE0-429F-BE22-CBB616A5E81E}"/>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8AE0-429F-BE22-CBB616A5E81E}"/>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8AE0-429F-BE22-CBB616A5E81E}"/>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1.6956</c:v>
                </c:pt>
                <c:pt idx="1">
                  <c:v>2.0615000000000001</c:v>
                </c:pt>
                <c:pt idx="2">
                  <c:v>2.2225000000000001</c:v>
                </c:pt>
                <c:pt idx="3">
                  <c:v>2.6869999999999998</c:v>
                </c:pt>
                <c:pt idx="4">
                  <c:v>2.8311000000000002</c:v>
                </c:pt>
                <c:pt idx="5">
                  <c:v>3.0392999999999999</c:v>
                </c:pt>
                <c:pt idx="6">
                  <c:v>2.9918</c:v>
                </c:pt>
              </c:numCache>
            </c:numRef>
          </c:val>
          <c:smooth val="0"/>
          <c:extLst xmlns:c16r2="http://schemas.microsoft.com/office/drawing/2015/06/chart">
            <c:ext xmlns:c16="http://schemas.microsoft.com/office/drawing/2014/chart" uri="{C3380CC4-5D6E-409C-BE32-E72D297353CC}">
              <c16:uniqueId val="{00000007-8AE0-429F-BE22-CBB616A5E81E}"/>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1.6688000000000001</c:v>
                </c:pt>
                <c:pt idx="1">
                  <c:v>1.9799</c:v>
                </c:pt>
                <c:pt idx="2">
                  <c:v>2.2427999999999999</c:v>
                </c:pt>
                <c:pt idx="3">
                  <c:v>2.5152000000000001</c:v>
                </c:pt>
                <c:pt idx="4">
                  <c:v>2.7021999999999999</c:v>
                </c:pt>
                <c:pt idx="5">
                  <c:v>2.97</c:v>
                </c:pt>
                <c:pt idx="6">
                  <c:v>2.9664000000000001</c:v>
                </c:pt>
              </c:numCache>
            </c:numRef>
          </c:val>
          <c:smooth val="0"/>
          <c:extLst xmlns:c16r2="http://schemas.microsoft.com/office/drawing/2015/06/chart">
            <c:ext xmlns:c16="http://schemas.microsoft.com/office/drawing/2014/chart" uri="{C3380CC4-5D6E-409C-BE32-E72D297353CC}">
              <c16:uniqueId val="{00000008-8AE0-429F-BE22-CBB616A5E81E}"/>
            </c:ext>
          </c:extLst>
        </c:ser>
        <c:dLbls>
          <c:showLegendKey val="0"/>
          <c:showVal val="0"/>
          <c:showCatName val="0"/>
          <c:showSerName val="0"/>
          <c:showPercent val="0"/>
          <c:showBubbleSize val="0"/>
        </c:dLbls>
        <c:marker val="1"/>
        <c:smooth val="0"/>
        <c:axId val="485764480"/>
        <c:axId val="485762944"/>
      </c:lineChart>
      <c:dateAx>
        <c:axId val="4856158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5761408"/>
        <c:crosses val="autoZero"/>
        <c:auto val="0"/>
        <c:lblOffset val="0"/>
        <c:baseTimeUnit val="days"/>
      </c:dateAx>
      <c:valAx>
        <c:axId val="48576140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5615872"/>
        <c:crosses val="autoZero"/>
        <c:crossBetween val="between"/>
      </c:valAx>
      <c:valAx>
        <c:axId val="485762944"/>
        <c:scaling>
          <c:orientation val="minMax"/>
        </c:scaling>
        <c:delete val="0"/>
        <c:axPos val="r"/>
        <c:numFmt formatCode="#,##0.0_);[Red]\(#,##0.0\)" sourceLinked="0"/>
        <c:majorTickMark val="out"/>
        <c:minorTickMark val="none"/>
        <c:tickLblPos val="nextTo"/>
        <c:spPr>
          <a:ln w="3175">
            <a:solidFill>
              <a:sysClr val="windowText" lastClr="000000"/>
            </a:solidFill>
          </a:ln>
        </c:spPr>
        <c:crossAx val="485764480"/>
        <c:crosses val="max"/>
        <c:crossBetween val="between"/>
      </c:valAx>
      <c:dateAx>
        <c:axId val="485764480"/>
        <c:scaling>
          <c:orientation val="minMax"/>
        </c:scaling>
        <c:delete val="1"/>
        <c:axPos val="b"/>
        <c:numFmt formatCode="General" sourceLinked="1"/>
        <c:majorTickMark val="out"/>
        <c:minorTickMark val="none"/>
        <c:tickLblPos val="nextTo"/>
        <c:crossAx val="48576294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7.140000000000013</c:v>
                </c:pt>
                <c:pt idx="1">
                  <c:v>7.790000000000008</c:v>
                </c:pt>
                <c:pt idx="2">
                  <c:v>-1.1400000000000077</c:v>
                </c:pt>
                <c:pt idx="3">
                  <c:v>0.37000000000002586</c:v>
                </c:pt>
                <c:pt idx="4">
                  <c:v>6.9999999999970086E-2</c:v>
                </c:pt>
                <c:pt idx="5">
                  <c:v>-3.9800000000000058</c:v>
                </c:pt>
                <c:pt idx="6">
                  <c:v>3.5000000000000142</c:v>
                </c:pt>
              </c:numCache>
            </c:numRef>
          </c:val>
          <c:extLst xmlns:c16r2="http://schemas.microsoft.com/office/drawing/2015/06/chart">
            <c:ext xmlns:c16="http://schemas.microsoft.com/office/drawing/2014/chart" uri="{C3380CC4-5D6E-409C-BE32-E72D297353CC}">
              <c16:uniqueId val="{00000000-3E69-40C8-9A96-74EFC1AC9FB0}"/>
            </c:ext>
          </c:extLst>
        </c:ser>
        <c:dLbls>
          <c:showLegendKey val="0"/>
          <c:showVal val="0"/>
          <c:showCatName val="0"/>
          <c:showSerName val="0"/>
          <c:showPercent val="0"/>
          <c:showBubbleSize val="0"/>
        </c:dLbls>
        <c:gapWidth val="150"/>
        <c:axId val="488508032"/>
        <c:axId val="48851840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3E69-40C8-9A96-74EFC1AC9FB0}"/>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3E69-40C8-9A96-74EFC1AC9FB0}"/>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3E69-40C8-9A96-74EFC1AC9FB0}"/>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3E69-40C8-9A96-74EFC1AC9FB0}"/>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3E69-40C8-9A96-74EFC1AC9FB0}"/>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3E69-40C8-9A96-74EFC1AC9FB0}"/>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1.7636000000000001</c:v>
                </c:pt>
                <c:pt idx="1">
                  <c:v>2.4388000000000001</c:v>
                </c:pt>
                <c:pt idx="2">
                  <c:v>2.6614</c:v>
                </c:pt>
                <c:pt idx="3">
                  <c:v>3.1038000000000001</c:v>
                </c:pt>
                <c:pt idx="4">
                  <c:v>3.2917999999999998</c:v>
                </c:pt>
                <c:pt idx="5">
                  <c:v>3.4413</c:v>
                </c:pt>
                <c:pt idx="6">
                  <c:v>3.5127000000000002</c:v>
                </c:pt>
              </c:numCache>
            </c:numRef>
          </c:val>
          <c:smooth val="0"/>
          <c:extLst xmlns:c16r2="http://schemas.microsoft.com/office/drawing/2015/06/chart">
            <c:ext xmlns:c16="http://schemas.microsoft.com/office/drawing/2014/chart" uri="{C3380CC4-5D6E-409C-BE32-E72D297353CC}">
              <c16:uniqueId val="{00000007-3E69-40C8-9A96-74EFC1AC9FB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1.6921999999999999</c:v>
                </c:pt>
                <c:pt idx="1">
                  <c:v>2.3609</c:v>
                </c:pt>
                <c:pt idx="2">
                  <c:v>2.6728000000000001</c:v>
                </c:pt>
                <c:pt idx="3">
                  <c:v>3.1000999999999999</c:v>
                </c:pt>
                <c:pt idx="4">
                  <c:v>3.2911000000000001</c:v>
                </c:pt>
                <c:pt idx="5">
                  <c:v>3.4811000000000001</c:v>
                </c:pt>
                <c:pt idx="6">
                  <c:v>3.4777</c:v>
                </c:pt>
              </c:numCache>
            </c:numRef>
          </c:val>
          <c:smooth val="0"/>
          <c:extLst xmlns:c16r2="http://schemas.microsoft.com/office/drawing/2015/06/chart">
            <c:ext xmlns:c16="http://schemas.microsoft.com/office/drawing/2014/chart" uri="{C3380CC4-5D6E-409C-BE32-E72D297353CC}">
              <c16:uniqueId val="{00000008-3E69-40C8-9A96-74EFC1AC9FB0}"/>
            </c:ext>
          </c:extLst>
        </c:ser>
        <c:dLbls>
          <c:showLegendKey val="0"/>
          <c:showVal val="0"/>
          <c:showCatName val="0"/>
          <c:showSerName val="0"/>
          <c:showPercent val="0"/>
          <c:showBubbleSize val="0"/>
        </c:dLbls>
        <c:marker val="1"/>
        <c:smooth val="0"/>
        <c:axId val="488534016"/>
        <c:axId val="488519936"/>
      </c:lineChart>
      <c:dateAx>
        <c:axId val="48850803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8518400"/>
        <c:crosses val="autoZero"/>
        <c:auto val="0"/>
        <c:lblOffset val="0"/>
        <c:baseTimeUnit val="days"/>
      </c:dateAx>
      <c:valAx>
        <c:axId val="48851840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8508032"/>
        <c:crosses val="autoZero"/>
        <c:crossBetween val="between"/>
      </c:valAx>
      <c:valAx>
        <c:axId val="488519936"/>
        <c:scaling>
          <c:orientation val="minMax"/>
        </c:scaling>
        <c:delete val="0"/>
        <c:axPos val="r"/>
        <c:numFmt formatCode="#,##0.0_);[Red]\(#,##0.0\)" sourceLinked="0"/>
        <c:majorTickMark val="out"/>
        <c:minorTickMark val="none"/>
        <c:tickLblPos val="nextTo"/>
        <c:spPr>
          <a:ln w="3175">
            <a:solidFill>
              <a:sysClr val="windowText" lastClr="000000"/>
            </a:solidFill>
          </a:ln>
        </c:spPr>
        <c:crossAx val="488534016"/>
        <c:crosses val="max"/>
        <c:crossBetween val="between"/>
      </c:valAx>
      <c:dateAx>
        <c:axId val="488534016"/>
        <c:scaling>
          <c:orientation val="minMax"/>
        </c:scaling>
        <c:delete val="1"/>
        <c:axPos val="b"/>
        <c:numFmt formatCode="General" sourceLinked="1"/>
        <c:majorTickMark val="out"/>
        <c:minorTickMark val="none"/>
        <c:tickLblPos val="nextTo"/>
        <c:crossAx val="48851993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44050</c:v>
                </c:pt>
                <c:pt idx="1">
                  <c:v>44043</c:v>
                </c:pt>
                <c:pt idx="2">
                  <c:v>44036</c:v>
                </c:pt>
                <c:pt idx="3">
                  <c:v>44029</c:v>
                </c:pt>
                <c:pt idx="4">
                  <c:v>44022</c:v>
                </c:pt>
                <c:pt idx="5">
                  <c:v>44015</c:v>
                </c:pt>
                <c:pt idx="6">
                  <c:v>44006</c:v>
                </c:pt>
                <c:pt idx="7">
                  <c:v>44001</c:v>
                </c:pt>
                <c:pt idx="8">
                  <c:v>43994</c:v>
                </c:pt>
                <c:pt idx="9">
                  <c:v>43987</c:v>
                </c:pt>
                <c:pt idx="10">
                  <c:v>43980</c:v>
                </c:pt>
                <c:pt idx="11">
                  <c:v>43973</c:v>
                </c:pt>
                <c:pt idx="12">
                  <c:v>43966</c:v>
                </c:pt>
                <c:pt idx="13">
                  <c:v>43959</c:v>
                </c:pt>
                <c:pt idx="14">
                  <c:v>43951</c:v>
                </c:pt>
                <c:pt idx="15">
                  <c:v>43945</c:v>
                </c:pt>
                <c:pt idx="16">
                  <c:v>43938</c:v>
                </c:pt>
                <c:pt idx="17">
                  <c:v>43931</c:v>
                </c:pt>
                <c:pt idx="18">
                  <c:v>43924</c:v>
                </c:pt>
                <c:pt idx="19">
                  <c:v>43917</c:v>
                </c:pt>
                <c:pt idx="20">
                  <c:v>43910</c:v>
                </c:pt>
                <c:pt idx="21">
                  <c:v>43903</c:v>
                </c:pt>
                <c:pt idx="22">
                  <c:v>43896</c:v>
                </c:pt>
                <c:pt idx="23">
                  <c:v>43889</c:v>
                </c:pt>
              </c:numCache>
            </c:numRef>
          </c:cat>
          <c:val>
            <c:numRef>
              <c:f>转债!$H$5:$H$28</c:f>
              <c:numCache>
                <c:formatCode>General</c:formatCode>
                <c:ptCount val="24"/>
                <c:pt idx="0">
                  <c:v>4.4000041402851853</c:v>
                </c:pt>
                <c:pt idx="1">
                  <c:v>3.2626566139796642</c:v>
                </c:pt>
                <c:pt idx="2">
                  <c:v>0.96714823591681487</c:v>
                </c:pt>
                <c:pt idx="3">
                  <c:v>0.51837489331072462</c:v>
                </c:pt>
                <c:pt idx="4">
                  <c:v>4.1478663683796269</c:v>
                </c:pt>
                <c:pt idx="5">
                  <c:v>0.14944191473642565</c:v>
                </c:pt>
                <c:pt idx="6">
                  <c:v>-3.9491606550938307</c:v>
                </c:pt>
                <c:pt idx="7">
                  <c:v>-3.4541727780166509</c:v>
                </c:pt>
                <c:pt idx="8">
                  <c:v>-4.288692013977391</c:v>
                </c:pt>
                <c:pt idx="9">
                  <c:v>-3.9569376772384812</c:v>
                </c:pt>
                <c:pt idx="10">
                  <c:v>-4.3530902333190564</c:v>
                </c:pt>
                <c:pt idx="11">
                  <c:v>-5.1037127447768782</c:v>
                </c:pt>
                <c:pt idx="12">
                  <c:v>-2.7069352294347482</c:v>
                </c:pt>
                <c:pt idx="13">
                  <c:v>-1.1846530818688361</c:v>
                </c:pt>
                <c:pt idx="14">
                  <c:v>-1.1424389580692584</c:v>
                </c:pt>
                <c:pt idx="15">
                  <c:v>-2.0474269666284628</c:v>
                </c:pt>
                <c:pt idx="16">
                  <c:v>-1.8550156057978606</c:v>
                </c:pt>
                <c:pt idx="17">
                  <c:v>-1.9329816515429643</c:v>
                </c:pt>
                <c:pt idx="18">
                  <c:v>-2.2592529079209056</c:v>
                </c:pt>
                <c:pt idx="19">
                  <c:v>-1.6696818946168701</c:v>
                </c:pt>
                <c:pt idx="20">
                  <c:v>-1.2203210791149832</c:v>
                </c:pt>
                <c:pt idx="21">
                  <c:v>-0.29717736058498812</c:v>
                </c:pt>
                <c:pt idx="22">
                  <c:v>2.243754813431198</c:v>
                </c:pt>
                <c:pt idx="23">
                  <c:v>0</c:v>
                </c:pt>
              </c:numCache>
            </c:numRef>
          </c:val>
          <c:smooth val="1"/>
          <c:extLst xmlns:c16r2="http://schemas.microsoft.com/office/drawing/2015/06/chart">
            <c:ext xmlns:c16="http://schemas.microsoft.com/office/drawing/2014/chart" uri="{C3380CC4-5D6E-409C-BE32-E72D297353CC}">
              <c16:uniqueId val="{00000000-26D4-4894-A232-B9FC108F07A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44050</c:v>
                </c:pt>
                <c:pt idx="1">
                  <c:v>44043</c:v>
                </c:pt>
                <c:pt idx="2">
                  <c:v>44036</c:v>
                </c:pt>
                <c:pt idx="3">
                  <c:v>44029</c:v>
                </c:pt>
                <c:pt idx="4">
                  <c:v>44022</c:v>
                </c:pt>
                <c:pt idx="5">
                  <c:v>44015</c:v>
                </c:pt>
                <c:pt idx="6">
                  <c:v>44006</c:v>
                </c:pt>
                <c:pt idx="7">
                  <c:v>44001</c:v>
                </c:pt>
                <c:pt idx="8">
                  <c:v>43994</c:v>
                </c:pt>
                <c:pt idx="9">
                  <c:v>43987</c:v>
                </c:pt>
                <c:pt idx="10">
                  <c:v>43980</c:v>
                </c:pt>
                <c:pt idx="11">
                  <c:v>43973</c:v>
                </c:pt>
                <c:pt idx="12">
                  <c:v>43966</c:v>
                </c:pt>
                <c:pt idx="13">
                  <c:v>43959</c:v>
                </c:pt>
                <c:pt idx="14">
                  <c:v>43951</c:v>
                </c:pt>
                <c:pt idx="15">
                  <c:v>43945</c:v>
                </c:pt>
                <c:pt idx="16">
                  <c:v>43938</c:v>
                </c:pt>
                <c:pt idx="17">
                  <c:v>43931</c:v>
                </c:pt>
                <c:pt idx="18">
                  <c:v>43924</c:v>
                </c:pt>
                <c:pt idx="19">
                  <c:v>43917</c:v>
                </c:pt>
                <c:pt idx="20">
                  <c:v>43910</c:v>
                </c:pt>
                <c:pt idx="21">
                  <c:v>43903</c:v>
                </c:pt>
                <c:pt idx="22">
                  <c:v>43896</c:v>
                </c:pt>
                <c:pt idx="23">
                  <c:v>43889</c:v>
                </c:pt>
              </c:numCache>
            </c:numRef>
          </c:cat>
          <c:val>
            <c:numRef>
              <c:f>转债!$I$5:$I$28</c:f>
              <c:numCache>
                <c:formatCode>General</c:formatCode>
                <c:ptCount val="24"/>
                <c:pt idx="0">
                  <c:v>-2.108801854490272</c:v>
                </c:pt>
                <c:pt idx="1">
                  <c:v>-1.9009023370429867</c:v>
                </c:pt>
                <c:pt idx="2">
                  <c:v>-1.3638839349467191</c:v>
                </c:pt>
                <c:pt idx="3">
                  <c:v>-2.0045199879112796</c:v>
                </c:pt>
                <c:pt idx="4">
                  <c:v>-2.2315157070410208</c:v>
                </c:pt>
                <c:pt idx="5">
                  <c:v>-1.0089436645445038</c:v>
                </c:pt>
                <c:pt idx="6">
                  <c:v>-1.0495438498606791</c:v>
                </c:pt>
                <c:pt idx="7">
                  <c:v>-0.99175708303028687</c:v>
                </c:pt>
                <c:pt idx="8">
                  <c:v>-0.47566147582088769</c:v>
                </c:pt>
                <c:pt idx="9">
                  <c:v>-0.93936706884928389</c:v>
                </c:pt>
                <c:pt idx="10">
                  <c:v>0.29889706981238717</c:v>
                </c:pt>
                <c:pt idx="11">
                  <c:v>1.0556048182207567</c:v>
                </c:pt>
                <c:pt idx="12">
                  <c:v>1.1059191583058459</c:v>
                </c:pt>
                <c:pt idx="13">
                  <c:v>1.5297718086925816</c:v>
                </c:pt>
                <c:pt idx="14">
                  <c:v>2.1341250784604693</c:v>
                </c:pt>
                <c:pt idx="15">
                  <c:v>2.1699927268379549</c:v>
                </c:pt>
                <c:pt idx="16">
                  <c:v>1.8566489653179641</c:v>
                </c:pt>
                <c:pt idx="17">
                  <c:v>1.7453928337767044</c:v>
                </c:pt>
                <c:pt idx="18">
                  <c:v>0.90956038883187595</c:v>
                </c:pt>
                <c:pt idx="19">
                  <c:v>0.64570069775859995</c:v>
                </c:pt>
                <c:pt idx="20">
                  <c:v>0.17626624422546477</c:v>
                </c:pt>
                <c:pt idx="21">
                  <c:v>0.32820558804675937</c:v>
                </c:pt>
                <c:pt idx="22">
                  <c:v>0.36673009926704303</c:v>
                </c:pt>
                <c:pt idx="23">
                  <c:v>0</c:v>
                </c:pt>
              </c:numCache>
            </c:numRef>
          </c:val>
          <c:smooth val="1"/>
          <c:extLst xmlns:c16r2="http://schemas.microsoft.com/office/drawing/2015/06/chart">
            <c:ext xmlns:c16="http://schemas.microsoft.com/office/drawing/2014/chart" uri="{C3380CC4-5D6E-409C-BE32-E72D297353CC}">
              <c16:uniqueId val="{00000001-26D4-4894-A232-B9FC108F07A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44050</c:v>
                </c:pt>
                <c:pt idx="1">
                  <c:v>44043</c:v>
                </c:pt>
                <c:pt idx="2">
                  <c:v>44036</c:v>
                </c:pt>
                <c:pt idx="3">
                  <c:v>44029</c:v>
                </c:pt>
                <c:pt idx="4">
                  <c:v>44022</c:v>
                </c:pt>
                <c:pt idx="5">
                  <c:v>44015</c:v>
                </c:pt>
                <c:pt idx="6">
                  <c:v>44006</c:v>
                </c:pt>
                <c:pt idx="7">
                  <c:v>44001</c:v>
                </c:pt>
                <c:pt idx="8">
                  <c:v>43994</c:v>
                </c:pt>
                <c:pt idx="9">
                  <c:v>43987</c:v>
                </c:pt>
                <c:pt idx="10">
                  <c:v>43980</c:v>
                </c:pt>
                <c:pt idx="11">
                  <c:v>43973</c:v>
                </c:pt>
                <c:pt idx="12">
                  <c:v>43966</c:v>
                </c:pt>
                <c:pt idx="13">
                  <c:v>43959</c:v>
                </c:pt>
                <c:pt idx="14">
                  <c:v>43951</c:v>
                </c:pt>
                <c:pt idx="15">
                  <c:v>43945</c:v>
                </c:pt>
                <c:pt idx="16">
                  <c:v>43938</c:v>
                </c:pt>
                <c:pt idx="17">
                  <c:v>43931</c:v>
                </c:pt>
                <c:pt idx="18">
                  <c:v>43924</c:v>
                </c:pt>
                <c:pt idx="19">
                  <c:v>43917</c:v>
                </c:pt>
                <c:pt idx="20">
                  <c:v>43910</c:v>
                </c:pt>
                <c:pt idx="21">
                  <c:v>43903</c:v>
                </c:pt>
                <c:pt idx="22">
                  <c:v>43896</c:v>
                </c:pt>
                <c:pt idx="23">
                  <c:v>43889</c:v>
                </c:pt>
              </c:numCache>
            </c:numRef>
          </c:cat>
          <c:val>
            <c:numRef>
              <c:f>转债!$J$5:$J$28</c:f>
              <c:numCache>
                <c:formatCode>General</c:formatCode>
                <c:ptCount val="24"/>
                <c:pt idx="0">
                  <c:v>19.489032724670817</c:v>
                </c:pt>
                <c:pt idx="1">
                  <c:v>19.162133220278889</c:v>
                </c:pt>
                <c:pt idx="2">
                  <c:v>14.353675010319677</c:v>
                </c:pt>
                <c:pt idx="3">
                  <c:v>15.346304847797843</c:v>
                </c:pt>
                <c:pt idx="4">
                  <c:v>20.636406838412768</c:v>
                </c:pt>
                <c:pt idx="5">
                  <c:v>12.171085292141569</c:v>
                </c:pt>
                <c:pt idx="6">
                  <c:v>5.0491938069396447</c:v>
                </c:pt>
                <c:pt idx="7">
                  <c:v>4.0268714438257636</c:v>
                </c:pt>
                <c:pt idx="8">
                  <c:v>1.5998304386483753</c:v>
                </c:pt>
                <c:pt idx="9">
                  <c:v>1.553333552619951</c:v>
                </c:pt>
                <c:pt idx="10">
                  <c:v>-1.8534186683169973</c:v>
                </c:pt>
                <c:pt idx="11">
                  <c:v>-2.9437401892078108</c:v>
                </c:pt>
                <c:pt idx="12">
                  <c:v>-0.69118179449959571</c:v>
                </c:pt>
                <c:pt idx="13">
                  <c:v>0.59828954402798562</c:v>
                </c:pt>
                <c:pt idx="14">
                  <c:v>-0.69724009509729568</c:v>
                </c:pt>
                <c:pt idx="15">
                  <c:v>-3.6313433478285861</c:v>
                </c:pt>
                <c:pt idx="16">
                  <c:v>-2.552295798975901</c:v>
                </c:pt>
                <c:pt idx="17">
                  <c:v>-4.336763544654576</c:v>
                </c:pt>
                <c:pt idx="18">
                  <c:v>-5.7570479837711686</c:v>
                </c:pt>
                <c:pt idx="19">
                  <c:v>-5.8371941992190539</c:v>
                </c:pt>
                <c:pt idx="20">
                  <c:v>-7.2797296317751226</c:v>
                </c:pt>
                <c:pt idx="21">
                  <c:v>-1.1354174090432601</c:v>
                </c:pt>
                <c:pt idx="22">
                  <c:v>5.0369528418023668</c:v>
                </c:pt>
                <c:pt idx="23">
                  <c:v>0</c:v>
                </c:pt>
              </c:numCache>
            </c:numRef>
          </c:val>
          <c:smooth val="1"/>
          <c:extLst xmlns:c16r2="http://schemas.microsoft.com/office/drawing/2015/06/chart">
            <c:ext xmlns:c16="http://schemas.microsoft.com/office/drawing/2014/chart" uri="{C3380CC4-5D6E-409C-BE32-E72D297353CC}">
              <c16:uniqueId val="{00000002-26D4-4894-A232-B9FC108F07A6}"/>
            </c:ext>
          </c:extLst>
        </c:ser>
        <c:dLbls>
          <c:showLegendKey val="0"/>
          <c:showVal val="0"/>
          <c:showCatName val="0"/>
          <c:showSerName val="0"/>
          <c:showPercent val="0"/>
          <c:showBubbleSize val="0"/>
        </c:dLbls>
        <c:marker val="1"/>
        <c:smooth val="0"/>
        <c:axId val="488560128"/>
        <c:axId val="488561664"/>
      </c:lineChart>
      <c:dateAx>
        <c:axId val="4885601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8561664"/>
        <c:crosses val="autoZero"/>
        <c:auto val="0"/>
        <c:lblOffset val="0"/>
        <c:baseTimeUnit val="days"/>
        <c:majorUnit val="14"/>
        <c:majorTimeUnit val="days"/>
      </c:dateAx>
      <c:valAx>
        <c:axId val="48856166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8560128"/>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6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AC0D-4557-857E-1018E4D540BA}"/>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AC0D-4557-857E-1018E4D540BA}"/>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AC0D-4557-857E-1018E4D540BA}"/>
            </c:ext>
          </c:extLst>
        </c:ser>
        <c:dLbls>
          <c:showLegendKey val="0"/>
          <c:showVal val="0"/>
          <c:showCatName val="0"/>
          <c:showSerName val="0"/>
          <c:showPercent val="0"/>
          <c:showBubbleSize val="0"/>
        </c:dLbls>
        <c:marker val="1"/>
        <c:smooth val="0"/>
        <c:axId val="489246080"/>
        <c:axId val="489247872"/>
      </c:lineChart>
      <c:dateAx>
        <c:axId val="4892460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9247872"/>
        <c:crosses val="autoZero"/>
        <c:auto val="0"/>
        <c:lblOffset val="0"/>
        <c:baseTimeUnit val="days"/>
        <c:majorUnit val="1"/>
        <c:majorTimeUnit val="months"/>
      </c:dateAx>
      <c:valAx>
        <c:axId val="489247872"/>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92460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9BA7-4340-886E-D288A3E110F8}"/>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9BA7-4340-886E-D288A3E110F8}"/>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BA7-4340-886E-D288A3E110F8}"/>
            </c:ext>
          </c:extLst>
        </c:ser>
        <c:dLbls>
          <c:showLegendKey val="0"/>
          <c:showVal val="0"/>
          <c:showCatName val="0"/>
          <c:showSerName val="0"/>
          <c:showPercent val="0"/>
          <c:showBubbleSize val="0"/>
        </c:dLbls>
        <c:marker val="1"/>
        <c:smooth val="0"/>
        <c:axId val="489099264"/>
        <c:axId val="489100800"/>
      </c:lineChart>
      <c:dateAx>
        <c:axId val="48909926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9100800"/>
        <c:crosses val="autoZero"/>
        <c:auto val="0"/>
        <c:lblOffset val="0"/>
        <c:baseTimeUnit val="days"/>
        <c:majorUnit val="1"/>
        <c:majorTimeUnit val="months"/>
      </c:dateAx>
      <c:valAx>
        <c:axId val="48910080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909926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86B5-44B8-958B-C29A63814C42}"/>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86B5-44B8-958B-C29A63814C42}"/>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86B5-44B8-958B-C29A63814C42}"/>
            </c:ext>
          </c:extLst>
        </c:ser>
        <c:dLbls>
          <c:showLegendKey val="0"/>
          <c:showVal val="0"/>
          <c:showCatName val="0"/>
          <c:showSerName val="0"/>
          <c:showPercent val="0"/>
          <c:showBubbleSize val="0"/>
        </c:dLbls>
        <c:marker val="1"/>
        <c:smooth val="0"/>
        <c:axId val="489148416"/>
        <c:axId val="489149952"/>
      </c:lineChart>
      <c:dateAx>
        <c:axId val="4891484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9149952"/>
        <c:crosses val="autoZero"/>
        <c:auto val="0"/>
        <c:lblOffset val="0"/>
        <c:baseTimeUnit val="days"/>
        <c:majorUnit val="1"/>
        <c:majorTimeUnit val="months"/>
      </c:dateAx>
      <c:valAx>
        <c:axId val="48914995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914841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7DAF-4071-9FBF-7E643C76B143}"/>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7DAF-4071-9FBF-7E643C76B143}"/>
            </c:ext>
          </c:extLst>
        </c:ser>
        <c:dLbls>
          <c:showLegendKey val="0"/>
          <c:showVal val="0"/>
          <c:showCatName val="0"/>
          <c:showSerName val="0"/>
          <c:showPercent val="0"/>
          <c:showBubbleSize val="0"/>
        </c:dLbls>
        <c:marker val="1"/>
        <c:smooth val="0"/>
        <c:axId val="489368192"/>
        <c:axId val="489369984"/>
      </c:lineChart>
      <c:dateAx>
        <c:axId val="4893681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89369984"/>
        <c:crosses val="autoZero"/>
        <c:auto val="0"/>
        <c:lblOffset val="0"/>
        <c:baseTimeUnit val="days"/>
        <c:majorUnit val="1"/>
        <c:majorTimeUnit val="months"/>
      </c:dateAx>
      <c:valAx>
        <c:axId val="489369984"/>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93681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A7CE92-CCB3-4E01-93BE-A7F142087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6</Pages>
  <Words>767</Words>
  <Characters>4373</Characters>
  <Application>Microsoft Office Word</Application>
  <DocSecurity>0</DocSecurity>
  <Lines>36</Lines>
  <Paragraphs>10</Paragraphs>
  <ScaleCrop>false</ScaleCrop>
  <Company>Microsoft</Company>
  <LinksUpToDate>false</LinksUpToDate>
  <CharactersWithSpaces>5130</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4</cp:revision>
  <cp:lastPrinted>2019-06-26T06:05:00Z</cp:lastPrinted>
  <dcterms:created xsi:type="dcterms:W3CDTF">2020-08-10T02:40:00Z</dcterms:created>
  <dcterms:modified xsi:type="dcterms:W3CDTF">2020-08-10T06:08:00Z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