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2.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6.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1652BF30"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C9534E">
        <w:rPr>
          <w:rFonts w:ascii="楷体" w:eastAsia="楷体" w:hAnsi="楷体" w:hint="eastAsia"/>
          <w:sz w:val="28"/>
          <w:szCs w:val="28"/>
        </w:rPr>
        <w:t>股市</w:t>
      </w:r>
      <w:r w:rsidR="0008527D">
        <w:rPr>
          <w:rFonts w:ascii="楷体" w:eastAsia="楷体" w:hAnsi="楷体" w:hint="eastAsia"/>
          <w:sz w:val="28"/>
          <w:szCs w:val="28"/>
        </w:rPr>
        <w:t>继续</w:t>
      </w:r>
      <w:r w:rsidR="00C9534E">
        <w:rPr>
          <w:rFonts w:ascii="楷体" w:eastAsia="楷体" w:hAnsi="楷体" w:hint="eastAsia"/>
          <w:sz w:val="28"/>
          <w:szCs w:val="28"/>
        </w:rPr>
        <w:t>调整</w:t>
      </w:r>
      <w:r w:rsidR="0008527D">
        <w:rPr>
          <w:rFonts w:ascii="楷体" w:eastAsia="楷体" w:hAnsi="楷体" w:hint="eastAsia"/>
          <w:sz w:val="28"/>
          <w:szCs w:val="28"/>
        </w:rPr>
        <w:t>，</w:t>
      </w:r>
      <w:r w:rsidR="00C9534E">
        <w:rPr>
          <w:rFonts w:ascii="楷体" w:eastAsia="楷体" w:hAnsi="楷体" w:hint="eastAsia"/>
          <w:sz w:val="28"/>
          <w:szCs w:val="28"/>
        </w:rPr>
        <w:t>债市</w:t>
      </w:r>
      <w:r w:rsidR="0008527D">
        <w:rPr>
          <w:rFonts w:ascii="楷体" w:eastAsia="楷体" w:hAnsi="楷体" w:hint="eastAsia"/>
          <w:sz w:val="28"/>
          <w:szCs w:val="28"/>
        </w:rPr>
        <w:t>小幅回暖</w:t>
      </w:r>
    </w:p>
    <w:p w14:paraId="0A7A9383" w14:textId="6126356B"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C9534E">
        <w:rPr>
          <w:rFonts w:ascii="楷体" w:eastAsia="楷体" w:hAnsi="楷体"/>
          <w:sz w:val="28"/>
          <w:szCs w:val="28"/>
        </w:rPr>
        <w:t>8</w:t>
      </w:r>
      <w:r w:rsidR="009C30E2" w:rsidRPr="00FA6C01">
        <w:rPr>
          <w:rFonts w:ascii="楷体" w:eastAsia="楷体" w:hAnsi="楷体"/>
          <w:sz w:val="28"/>
          <w:szCs w:val="28"/>
        </w:rPr>
        <w:t>月</w:t>
      </w:r>
      <w:r w:rsidR="0008527D">
        <w:rPr>
          <w:rFonts w:ascii="楷体" w:eastAsia="楷体" w:hAnsi="楷体"/>
          <w:sz w:val="28"/>
          <w:szCs w:val="28"/>
        </w:rPr>
        <w:t>14</w:t>
      </w:r>
      <w:r w:rsidR="00F82A54">
        <w:rPr>
          <w:rFonts w:ascii="楷体" w:eastAsia="楷体" w:hAnsi="楷体" w:hint="eastAsia"/>
          <w:sz w:val="28"/>
          <w:szCs w:val="28"/>
        </w:rPr>
        <w:t>日</w:t>
      </w:r>
    </w:p>
    <w:p w14:paraId="1B2C4A22" w14:textId="0BA85F85" w:rsidR="005E5CB1" w:rsidRPr="00B778AC" w:rsidRDefault="005E5CB1" w:rsidP="005E5CB1">
      <w:pPr>
        <w:pStyle w:val="Header1"/>
        <w:spacing w:before="240"/>
        <w:rPr>
          <w:rFonts w:ascii="Arial Narrow" w:hAnsi="Arial Narrow"/>
          <w:b w:val="0"/>
          <w:smallCaps w:val="0"/>
          <w:color w:val="auto"/>
          <w:sz w:val="23"/>
          <w:szCs w:val="23"/>
          <w:lang w:eastAsia="zh-TW"/>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7F10C7D6" w14:textId="222F8E4F" w:rsidR="006058CF" w:rsidRDefault="006058CF" w:rsidP="006058CF">
      <w:pPr>
        <w:pStyle w:val="Body-text"/>
        <w:spacing w:after="240"/>
        <w:ind w:firstLineChars="200" w:firstLine="460"/>
        <w:rPr>
          <w:sz w:val="23"/>
          <w:szCs w:val="23"/>
          <w:lang w:eastAsia="zh-CN"/>
        </w:rPr>
      </w:pPr>
      <w:r w:rsidRPr="006058CF">
        <w:rPr>
          <w:rFonts w:hint="eastAsia"/>
          <w:sz w:val="23"/>
          <w:szCs w:val="23"/>
          <w:lang w:eastAsia="zh-CN"/>
        </w:rPr>
        <w:t>本周公布了</w:t>
      </w:r>
      <w:r w:rsidRPr="006058CF">
        <w:rPr>
          <w:rFonts w:hint="eastAsia"/>
          <w:sz w:val="23"/>
          <w:szCs w:val="23"/>
          <w:lang w:eastAsia="zh-CN"/>
        </w:rPr>
        <w:t>7</w:t>
      </w:r>
      <w:r w:rsidRPr="006058CF">
        <w:rPr>
          <w:rFonts w:hint="eastAsia"/>
          <w:sz w:val="23"/>
          <w:szCs w:val="23"/>
          <w:lang w:eastAsia="zh-CN"/>
        </w:rPr>
        <w:t>月金融数据及经济数据，其中金融数据表明：（</w:t>
      </w:r>
      <w:r w:rsidRPr="006058CF">
        <w:rPr>
          <w:rFonts w:hint="eastAsia"/>
          <w:sz w:val="23"/>
          <w:szCs w:val="23"/>
          <w:lang w:eastAsia="zh-CN"/>
        </w:rPr>
        <w:t>1</w:t>
      </w:r>
      <w:r w:rsidRPr="006058CF">
        <w:rPr>
          <w:rFonts w:hint="eastAsia"/>
          <w:sz w:val="23"/>
          <w:szCs w:val="23"/>
          <w:lang w:eastAsia="zh-CN"/>
        </w:rPr>
        <w:t>）信用扩张放缓，总量数据阶段回落与央行既定目标相符。之前央行提及防风险走在曲线之前，这次也是印证。另外，这也是为未来的冲击留子弹的防御性措施。三季度是否出现疫情再次重来，外部中美摩擦是否加深都需要应对。（</w:t>
      </w:r>
      <w:r w:rsidRPr="006058CF">
        <w:rPr>
          <w:rFonts w:hint="eastAsia"/>
          <w:sz w:val="23"/>
          <w:szCs w:val="23"/>
          <w:lang w:eastAsia="zh-CN"/>
        </w:rPr>
        <w:t>2</w:t>
      </w:r>
      <w:r w:rsidRPr="006058CF">
        <w:rPr>
          <w:rFonts w:hint="eastAsia"/>
          <w:sz w:val="23"/>
          <w:szCs w:val="23"/>
          <w:lang w:eastAsia="zh-CN"/>
        </w:rPr>
        <w:t>）结构上，中长</w:t>
      </w:r>
      <w:proofErr w:type="gramStart"/>
      <w:r w:rsidRPr="006058CF">
        <w:rPr>
          <w:rFonts w:hint="eastAsia"/>
          <w:sz w:val="23"/>
          <w:szCs w:val="23"/>
          <w:lang w:eastAsia="zh-CN"/>
        </w:rPr>
        <w:t>贷表现</w:t>
      </w:r>
      <w:proofErr w:type="gramEnd"/>
      <w:r w:rsidRPr="006058CF">
        <w:rPr>
          <w:rFonts w:hint="eastAsia"/>
          <w:sz w:val="23"/>
          <w:szCs w:val="23"/>
          <w:lang w:eastAsia="zh-CN"/>
        </w:rPr>
        <w:t>较好。地产实际上还是支撑经济的中坚力量，政策当局对地产的前期容忍持续。后续需要观察防风险思路下地产调控是否收紧。企业中长贷中制造业贷款</w:t>
      </w:r>
      <w:proofErr w:type="gramStart"/>
      <w:r w:rsidRPr="006058CF">
        <w:rPr>
          <w:rFonts w:hint="eastAsia"/>
          <w:sz w:val="23"/>
          <w:szCs w:val="23"/>
          <w:lang w:eastAsia="zh-CN"/>
        </w:rPr>
        <w:t>占比较</w:t>
      </w:r>
      <w:proofErr w:type="gramEnd"/>
      <w:r w:rsidRPr="006058CF">
        <w:rPr>
          <w:rFonts w:hint="eastAsia"/>
          <w:sz w:val="23"/>
          <w:szCs w:val="23"/>
          <w:lang w:eastAsia="zh-CN"/>
        </w:rPr>
        <w:t>高，数据的好转也与</w:t>
      </w:r>
      <w:r w:rsidRPr="006058CF">
        <w:rPr>
          <w:rFonts w:hint="eastAsia"/>
          <w:sz w:val="23"/>
          <w:szCs w:val="23"/>
          <w:lang w:eastAsia="zh-CN"/>
        </w:rPr>
        <w:t>PMI</w:t>
      </w:r>
      <w:r w:rsidRPr="006058CF">
        <w:rPr>
          <w:rFonts w:hint="eastAsia"/>
          <w:sz w:val="23"/>
          <w:szCs w:val="23"/>
          <w:lang w:eastAsia="zh-CN"/>
        </w:rPr>
        <w:t>制造业改善印证。短期经济仍将平稳。（</w:t>
      </w:r>
      <w:r w:rsidRPr="006058CF">
        <w:rPr>
          <w:rFonts w:hint="eastAsia"/>
          <w:sz w:val="23"/>
          <w:szCs w:val="23"/>
          <w:lang w:eastAsia="zh-CN"/>
        </w:rPr>
        <w:t>3</w:t>
      </w:r>
      <w:r w:rsidRPr="006058CF">
        <w:rPr>
          <w:rFonts w:hint="eastAsia"/>
          <w:sz w:val="23"/>
          <w:szCs w:val="23"/>
          <w:lang w:eastAsia="zh-CN"/>
        </w:rPr>
        <w:t>）</w:t>
      </w:r>
      <w:r w:rsidRPr="006058CF">
        <w:rPr>
          <w:rFonts w:hint="eastAsia"/>
          <w:sz w:val="23"/>
          <w:szCs w:val="23"/>
          <w:lang w:eastAsia="zh-CN"/>
        </w:rPr>
        <w:t>M1</w:t>
      </w:r>
      <w:r w:rsidRPr="006058CF">
        <w:rPr>
          <w:rFonts w:hint="eastAsia"/>
          <w:sz w:val="23"/>
          <w:szCs w:val="23"/>
          <w:lang w:eastAsia="zh-CN"/>
        </w:rPr>
        <w:t>同比增速回升。</w:t>
      </w:r>
      <w:r w:rsidRPr="006058CF">
        <w:rPr>
          <w:rFonts w:hint="eastAsia"/>
          <w:sz w:val="23"/>
          <w:szCs w:val="23"/>
          <w:lang w:eastAsia="zh-CN"/>
        </w:rPr>
        <w:t>M1</w:t>
      </w:r>
      <w:r w:rsidRPr="006058CF">
        <w:rPr>
          <w:rFonts w:hint="eastAsia"/>
          <w:sz w:val="23"/>
          <w:szCs w:val="23"/>
          <w:lang w:eastAsia="zh-CN"/>
        </w:rPr>
        <w:t>与债券市场的相关性较高，背后就是企业部门经营情况改善带来的类现金需求上升。这也印证短期经济情况仍将维持。</w:t>
      </w:r>
    </w:p>
    <w:tbl>
      <w:tblPr>
        <w:tblW w:w="9877" w:type="dxa"/>
        <w:jc w:val="center"/>
        <w:tblLayout w:type="fixed"/>
        <w:tblCellMar>
          <w:left w:w="0" w:type="dxa"/>
          <w:right w:w="0" w:type="dxa"/>
        </w:tblCellMar>
        <w:tblLook w:val="01E0" w:firstRow="1" w:lastRow="1" w:firstColumn="1" w:lastColumn="1" w:noHBand="0" w:noVBand="0"/>
      </w:tblPr>
      <w:tblGrid>
        <w:gridCol w:w="9877"/>
      </w:tblGrid>
      <w:tr w:rsidR="006058CF" w:rsidRPr="006A5F34" w14:paraId="1CD62100" w14:textId="77777777" w:rsidTr="007E5012">
        <w:trPr>
          <w:jc w:val="center"/>
        </w:trPr>
        <w:tc>
          <w:tcPr>
            <w:tcW w:w="9877" w:type="dxa"/>
            <w:vAlign w:val="center"/>
          </w:tcPr>
          <w:p w14:paraId="55544489" w14:textId="15051892" w:rsidR="006058CF" w:rsidRPr="006A5F34" w:rsidRDefault="006058CF" w:rsidP="00C13DD0">
            <w:pPr>
              <w:pStyle w:val="ChartHeading"/>
              <w:jc w:val="both"/>
            </w:pPr>
            <w:r w:rsidRPr="006A5F34">
              <w:rPr>
                <w:rFonts w:hint="eastAsia"/>
              </w:rPr>
              <w:t>图表</w:t>
            </w:r>
            <w:r w:rsidRPr="006A5F34">
              <w:t xml:space="preserve">. </w:t>
            </w:r>
            <w:r>
              <w:rPr>
                <w:rFonts w:hint="eastAsia"/>
              </w:rPr>
              <w:t>M1</w:t>
            </w:r>
            <w:r>
              <w:rPr>
                <w:rFonts w:hint="eastAsia"/>
              </w:rPr>
              <w:t>同比、固定资产投资同比增速等</w:t>
            </w:r>
          </w:p>
        </w:tc>
      </w:tr>
      <w:tr w:rsidR="006058CF" w:rsidRPr="006A5F34" w14:paraId="3C212678" w14:textId="77777777" w:rsidTr="00F30B6E">
        <w:tblPrEx>
          <w:tblCellMar>
            <w:left w:w="108" w:type="dxa"/>
            <w:right w:w="108" w:type="dxa"/>
          </w:tblCellMar>
        </w:tblPrEx>
        <w:trPr>
          <w:jc w:val="center"/>
        </w:trPr>
        <w:tc>
          <w:tcPr>
            <w:tcW w:w="9877" w:type="dxa"/>
            <w:vAlign w:val="center"/>
          </w:tcPr>
          <w:p w14:paraId="2D128FBE" w14:textId="2944D5CD" w:rsidR="006058CF" w:rsidRPr="003C1F37" w:rsidRDefault="006058CF" w:rsidP="00C13DD0">
            <w:pPr>
              <w:jc w:val="center"/>
              <w:rPr>
                <w:noProof/>
                <w:sz w:val="18"/>
                <w:szCs w:val="15"/>
              </w:rPr>
            </w:pPr>
            <w:r>
              <w:rPr>
                <w:noProof/>
              </w:rPr>
              <w:drawing>
                <wp:inline distT="0" distB="0" distL="0" distR="0" wp14:anchorId="50CAEDB1" wp14:editId="140D7F70">
                  <wp:extent cx="6263640" cy="3175635"/>
                  <wp:effectExtent l="0" t="0" r="3810" b="571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263640" cy="3175635"/>
                          </a:xfrm>
                          <a:prstGeom prst="rect">
                            <a:avLst/>
                          </a:prstGeom>
                        </pic:spPr>
                      </pic:pic>
                    </a:graphicData>
                  </a:graphic>
                </wp:inline>
              </w:drawing>
            </w:r>
          </w:p>
        </w:tc>
      </w:tr>
      <w:tr w:rsidR="006058CF" w:rsidRPr="006A5F34" w14:paraId="0CA7FBF6" w14:textId="77777777" w:rsidTr="00C13DA0">
        <w:trPr>
          <w:trHeight w:val="64"/>
          <w:jc w:val="center"/>
        </w:trPr>
        <w:tc>
          <w:tcPr>
            <w:tcW w:w="9877" w:type="dxa"/>
            <w:vAlign w:val="center"/>
          </w:tcPr>
          <w:p w14:paraId="102C4035" w14:textId="6739D291" w:rsidR="006058CF" w:rsidRPr="006A5F34" w:rsidRDefault="006058CF" w:rsidP="00C13DD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02C9FCB0" w14:textId="7F8C6281" w:rsidR="006058CF" w:rsidRPr="006058CF" w:rsidRDefault="006058CF" w:rsidP="006058CF">
      <w:pPr>
        <w:pStyle w:val="Body-text"/>
        <w:spacing w:after="240"/>
        <w:rPr>
          <w:sz w:val="23"/>
          <w:szCs w:val="23"/>
          <w:lang w:eastAsia="zh-CN"/>
        </w:rPr>
      </w:pPr>
    </w:p>
    <w:p w14:paraId="41CF5EE5" w14:textId="77777777" w:rsidR="006058CF" w:rsidRPr="006058CF" w:rsidRDefault="006058CF" w:rsidP="006058CF">
      <w:pPr>
        <w:pStyle w:val="Body-text"/>
        <w:spacing w:after="240"/>
        <w:ind w:firstLineChars="200" w:firstLine="460"/>
        <w:rPr>
          <w:sz w:val="23"/>
          <w:szCs w:val="23"/>
          <w:lang w:eastAsia="zh-CN"/>
        </w:rPr>
      </w:pPr>
      <w:r w:rsidRPr="006058CF">
        <w:rPr>
          <w:rFonts w:hint="eastAsia"/>
          <w:sz w:val="23"/>
          <w:szCs w:val="23"/>
          <w:lang w:eastAsia="zh-CN"/>
        </w:rPr>
        <w:t>7</w:t>
      </w:r>
      <w:r w:rsidRPr="006058CF">
        <w:rPr>
          <w:rFonts w:hint="eastAsia"/>
          <w:sz w:val="23"/>
          <w:szCs w:val="23"/>
          <w:lang w:eastAsia="zh-CN"/>
        </w:rPr>
        <w:t>月经济数据整体上看经济仍然平稳，但是修复速率趋缓。</w:t>
      </w:r>
      <w:proofErr w:type="gramStart"/>
      <w:r w:rsidRPr="006058CF">
        <w:rPr>
          <w:rFonts w:hint="eastAsia"/>
          <w:sz w:val="23"/>
          <w:szCs w:val="23"/>
          <w:lang w:eastAsia="zh-CN"/>
        </w:rPr>
        <w:t>社消数据</w:t>
      </w:r>
      <w:proofErr w:type="gramEnd"/>
      <w:r w:rsidRPr="006058CF">
        <w:rPr>
          <w:rFonts w:hint="eastAsia"/>
          <w:sz w:val="23"/>
          <w:szCs w:val="23"/>
          <w:lang w:eastAsia="zh-CN"/>
        </w:rPr>
        <w:t>弱于市场预期。经济修复的过程，整体处于地产好转但是制造业仍未完全修复的过程。按照典型库存周期中的修复过程，三产投资</w:t>
      </w:r>
      <w:r w:rsidRPr="006058CF">
        <w:rPr>
          <w:rFonts w:hint="eastAsia"/>
          <w:sz w:val="23"/>
          <w:szCs w:val="23"/>
          <w:lang w:eastAsia="zh-CN"/>
        </w:rPr>
        <w:t>-</w:t>
      </w:r>
      <w:r w:rsidRPr="006058CF">
        <w:rPr>
          <w:rFonts w:hint="eastAsia"/>
          <w:sz w:val="23"/>
          <w:szCs w:val="23"/>
          <w:lang w:eastAsia="zh-CN"/>
        </w:rPr>
        <w:t>地产投资及销售</w:t>
      </w:r>
      <w:r w:rsidRPr="006058CF">
        <w:rPr>
          <w:rFonts w:hint="eastAsia"/>
          <w:sz w:val="23"/>
          <w:szCs w:val="23"/>
          <w:lang w:eastAsia="zh-CN"/>
        </w:rPr>
        <w:t>-M1</w:t>
      </w:r>
      <w:r w:rsidRPr="006058CF">
        <w:rPr>
          <w:rFonts w:hint="eastAsia"/>
          <w:sz w:val="23"/>
          <w:szCs w:val="23"/>
          <w:lang w:eastAsia="zh-CN"/>
        </w:rPr>
        <w:t>同比</w:t>
      </w:r>
      <w:r w:rsidRPr="006058CF">
        <w:rPr>
          <w:rFonts w:hint="eastAsia"/>
          <w:sz w:val="23"/>
          <w:szCs w:val="23"/>
          <w:lang w:eastAsia="zh-CN"/>
        </w:rPr>
        <w:t>-</w:t>
      </w:r>
      <w:r w:rsidRPr="006058CF">
        <w:rPr>
          <w:rFonts w:hint="eastAsia"/>
          <w:sz w:val="23"/>
          <w:szCs w:val="23"/>
          <w:lang w:eastAsia="zh-CN"/>
        </w:rPr>
        <w:t>制造业投资的轮动和循环没有走完，短期经济仍然稳定。市场对经济数据的反应比较明显，在金融数据边际略有放缓的情况下，经济修复速率下降，给予市场一定想象空间。但是，整体上经济只有边际的变化，总量数据的放缓很难看到。后续经济持续修复仍然是</w:t>
      </w:r>
      <w:r w:rsidRPr="006058CF">
        <w:rPr>
          <w:rFonts w:hint="eastAsia"/>
          <w:sz w:val="23"/>
          <w:szCs w:val="23"/>
          <w:lang w:eastAsia="zh-CN"/>
        </w:rPr>
        <w:lastRenderedPageBreak/>
        <w:t>较为确定的事件。</w:t>
      </w:r>
    </w:p>
    <w:p w14:paraId="2927E249" w14:textId="27E19A17" w:rsidR="00B17EC7" w:rsidRPr="006058CF" w:rsidRDefault="006058CF" w:rsidP="006058CF">
      <w:pPr>
        <w:pStyle w:val="Body-text"/>
        <w:spacing w:after="240"/>
        <w:ind w:firstLineChars="200" w:firstLine="460"/>
        <w:rPr>
          <w:sz w:val="23"/>
          <w:szCs w:val="23"/>
          <w:lang w:eastAsia="zh-CN"/>
        </w:rPr>
      </w:pPr>
      <w:r>
        <w:rPr>
          <w:rFonts w:hint="eastAsia"/>
          <w:sz w:val="23"/>
          <w:szCs w:val="23"/>
          <w:lang w:eastAsia="zh-CN"/>
        </w:rPr>
        <w:t>整体来看，债券</w:t>
      </w:r>
      <w:r w:rsidRPr="006058CF">
        <w:rPr>
          <w:rFonts w:hint="eastAsia"/>
          <w:sz w:val="23"/>
          <w:szCs w:val="23"/>
          <w:lang w:eastAsia="zh-CN"/>
        </w:rPr>
        <w:t>市场交易盘比较克制，长债下行幅度有限。期货多头止盈离场不多，下周或仍有交易机会</w:t>
      </w:r>
      <w:r w:rsidR="00C9534E" w:rsidRPr="006058CF">
        <w:rPr>
          <w:rFonts w:hint="eastAsia"/>
          <w:sz w:val="23"/>
          <w:szCs w:val="23"/>
          <w:lang w:eastAsia="zh-CN"/>
        </w:rPr>
        <w:t>。</w:t>
      </w:r>
      <w:r>
        <w:rPr>
          <w:rFonts w:hint="eastAsia"/>
          <w:sz w:val="23"/>
          <w:szCs w:val="23"/>
          <w:lang w:eastAsia="zh-CN"/>
        </w:rPr>
        <w:t>后续仍需关注权益市场的反弹，中美会议的进度及海外大类资产波动对债券市场的影响。</w:t>
      </w:r>
    </w:p>
    <w:p w14:paraId="3DA4DF44" w14:textId="115B9902" w:rsidR="00A56A98" w:rsidRPr="006058CF" w:rsidRDefault="00A56A98" w:rsidP="005C6C18">
      <w:pPr>
        <w:pStyle w:val="Body-text"/>
        <w:spacing w:after="240"/>
        <w:ind w:firstLine="480"/>
        <w:rPr>
          <w:sz w:val="23"/>
          <w:szCs w:val="23"/>
          <w:lang w:eastAsia="zh-CN"/>
        </w:rPr>
      </w:pPr>
    </w:p>
    <w:p w14:paraId="7EEDEF05" w14:textId="34184DA3"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35756008" w:rsidR="00EA1459" w:rsidRPr="005F2EA2" w:rsidRDefault="005F2EA2" w:rsidP="00EC3415">
      <w:pPr>
        <w:pStyle w:val="Body-text"/>
        <w:spacing w:after="240"/>
        <w:ind w:firstLineChars="200" w:firstLine="480"/>
        <w:rPr>
          <w:rFonts w:ascii="华文楷体" w:hAnsi="华文楷体"/>
          <w:sz w:val="24"/>
          <w:szCs w:val="24"/>
          <w:lang w:eastAsia="zh-CN"/>
        </w:rPr>
      </w:pPr>
      <w:r w:rsidRPr="005F2EA2">
        <w:rPr>
          <w:rFonts w:ascii="华文楷体" w:hAnsi="华文楷体" w:hint="eastAsia"/>
          <w:sz w:val="24"/>
          <w:szCs w:val="24"/>
          <w:lang w:eastAsia="zh-CN"/>
        </w:rPr>
        <w:t>不计MLF到期4</w:t>
      </w:r>
      <w:r w:rsidRPr="005F2EA2">
        <w:rPr>
          <w:rFonts w:ascii="华文楷体" w:hAnsi="华文楷体"/>
          <w:sz w:val="24"/>
          <w:szCs w:val="24"/>
          <w:lang w:eastAsia="zh-CN"/>
        </w:rPr>
        <w:t>000</w:t>
      </w:r>
      <w:r w:rsidRPr="005F2EA2">
        <w:rPr>
          <w:rFonts w:ascii="华文楷体" w:hAnsi="华文楷体" w:hint="eastAsia"/>
          <w:sz w:val="24"/>
          <w:szCs w:val="24"/>
          <w:lang w:eastAsia="zh-CN"/>
        </w:rPr>
        <w:t>亿，</w:t>
      </w:r>
      <w:r w:rsidR="008628FA" w:rsidRPr="005F2EA2">
        <w:rPr>
          <w:rFonts w:ascii="华文楷体" w:hAnsi="华文楷体" w:hint="eastAsia"/>
          <w:sz w:val="24"/>
          <w:szCs w:val="24"/>
          <w:lang w:eastAsia="zh-CN"/>
        </w:rPr>
        <w:t>本周</w:t>
      </w:r>
      <w:r w:rsidR="00EC3415" w:rsidRPr="005F2EA2">
        <w:rPr>
          <w:rFonts w:ascii="华文楷体" w:hAnsi="华文楷体" w:hint="eastAsia"/>
          <w:sz w:val="24"/>
          <w:szCs w:val="24"/>
          <w:lang w:eastAsia="zh-CN"/>
        </w:rPr>
        <w:t>央行公开市场</w:t>
      </w:r>
      <w:r w:rsidR="00D9413F" w:rsidRPr="005F2EA2">
        <w:rPr>
          <w:rFonts w:ascii="华文楷体" w:hAnsi="华文楷体" w:hint="eastAsia"/>
          <w:sz w:val="24"/>
          <w:szCs w:val="24"/>
          <w:lang w:eastAsia="zh-CN"/>
        </w:rPr>
        <w:t>操作</w:t>
      </w:r>
      <w:r w:rsidR="002C4ACD" w:rsidRPr="005F2EA2">
        <w:rPr>
          <w:rFonts w:ascii="华文楷体" w:hAnsi="华文楷体" w:hint="eastAsia"/>
          <w:sz w:val="24"/>
          <w:szCs w:val="24"/>
          <w:lang w:eastAsia="zh-CN"/>
        </w:rPr>
        <w:t>净</w:t>
      </w:r>
      <w:r w:rsidRPr="005F2EA2">
        <w:rPr>
          <w:rFonts w:ascii="华文楷体" w:hAnsi="华文楷体" w:hint="eastAsia"/>
          <w:sz w:val="24"/>
          <w:szCs w:val="24"/>
          <w:lang w:eastAsia="zh-CN"/>
        </w:rPr>
        <w:t>投放</w:t>
      </w:r>
      <w:r w:rsidRPr="005F2EA2">
        <w:rPr>
          <w:rFonts w:ascii="华文楷体" w:hAnsi="华文楷体"/>
          <w:sz w:val="24"/>
          <w:szCs w:val="24"/>
          <w:lang w:eastAsia="zh-CN"/>
        </w:rPr>
        <w:t>49</w:t>
      </w:r>
      <w:r w:rsidR="0069484C" w:rsidRPr="005F2EA2">
        <w:rPr>
          <w:rFonts w:ascii="华文楷体" w:hAnsi="华文楷体"/>
          <w:sz w:val="24"/>
          <w:szCs w:val="24"/>
          <w:lang w:eastAsia="zh-CN"/>
        </w:rPr>
        <w:t>00</w:t>
      </w:r>
      <w:r w:rsidR="002C4ACD" w:rsidRPr="005F2EA2">
        <w:rPr>
          <w:rFonts w:ascii="华文楷体" w:hAnsi="华文楷体" w:hint="eastAsia"/>
          <w:sz w:val="24"/>
          <w:szCs w:val="24"/>
          <w:lang w:eastAsia="zh-CN"/>
        </w:rPr>
        <w:t>亿</w:t>
      </w:r>
      <w:r w:rsidR="00200AFA" w:rsidRPr="005F2EA2">
        <w:rPr>
          <w:rFonts w:ascii="华文楷体" w:hAnsi="华文楷体" w:hint="eastAsia"/>
          <w:sz w:val="24"/>
          <w:szCs w:val="24"/>
          <w:lang w:eastAsia="zh-CN"/>
        </w:rPr>
        <w:t>,其中</w:t>
      </w:r>
      <w:r w:rsidR="003C1F37" w:rsidRPr="005F2EA2">
        <w:rPr>
          <w:rFonts w:ascii="华文楷体" w:hAnsi="华文楷体" w:hint="eastAsia"/>
          <w:sz w:val="24"/>
          <w:szCs w:val="24"/>
          <w:lang w:eastAsia="zh-CN"/>
        </w:rPr>
        <w:t>逆回购</w:t>
      </w:r>
      <w:r w:rsidR="00292C0B" w:rsidRPr="005F2EA2">
        <w:rPr>
          <w:rFonts w:ascii="华文楷体" w:hAnsi="华文楷体" w:hint="eastAsia"/>
          <w:sz w:val="24"/>
          <w:szCs w:val="24"/>
          <w:lang w:eastAsia="zh-CN"/>
        </w:rPr>
        <w:t>合计</w:t>
      </w:r>
      <w:r w:rsidR="00054072" w:rsidRPr="005F2EA2">
        <w:rPr>
          <w:rFonts w:ascii="华文楷体" w:hAnsi="华文楷体" w:hint="eastAsia"/>
          <w:sz w:val="24"/>
          <w:szCs w:val="24"/>
          <w:lang w:eastAsia="zh-CN"/>
        </w:rPr>
        <w:t>到期</w:t>
      </w:r>
      <w:r w:rsidRPr="005F2EA2">
        <w:rPr>
          <w:rFonts w:ascii="华文楷体" w:hAnsi="华文楷体"/>
          <w:sz w:val="24"/>
          <w:szCs w:val="24"/>
          <w:lang w:eastAsia="zh-CN"/>
        </w:rPr>
        <w:t>1</w:t>
      </w:r>
      <w:r w:rsidR="003C1F37" w:rsidRPr="005F2EA2">
        <w:rPr>
          <w:rFonts w:ascii="华文楷体" w:hAnsi="华文楷体"/>
          <w:sz w:val="24"/>
          <w:szCs w:val="24"/>
          <w:lang w:eastAsia="zh-CN"/>
        </w:rPr>
        <w:t>00</w:t>
      </w:r>
      <w:r w:rsidR="00054072" w:rsidRPr="005F2EA2">
        <w:rPr>
          <w:rFonts w:ascii="华文楷体" w:hAnsi="华文楷体" w:hint="eastAsia"/>
          <w:sz w:val="24"/>
          <w:szCs w:val="24"/>
          <w:lang w:eastAsia="zh-CN"/>
        </w:rPr>
        <w:t>亿</w:t>
      </w:r>
      <w:r w:rsidR="003C1F37" w:rsidRPr="005F2EA2">
        <w:rPr>
          <w:rFonts w:ascii="华文楷体" w:hAnsi="华文楷体" w:hint="eastAsia"/>
          <w:sz w:val="24"/>
          <w:szCs w:val="24"/>
          <w:lang w:eastAsia="zh-CN"/>
        </w:rPr>
        <w:t>，逆回购投放</w:t>
      </w:r>
      <w:r w:rsidRPr="005F2EA2">
        <w:rPr>
          <w:rFonts w:ascii="华文楷体" w:hAnsi="华文楷体"/>
          <w:sz w:val="24"/>
          <w:szCs w:val="24"/>
          <w:lang w:eastAsia="zh-CN"/>
        </w:rPr>
        <w:t>50</w:t>
      </w:r>
      <w:r w:rsidR="003C1F37" w:rsidRPr="005F2EA2">
        <w:rPr>
          <w:rFonts w:ascii="华文楷体" w:hAnsi="华文楷体"/>
          <w:sz w:val="24"/>
          <w:szCs w:val="24"/>
          <w:lang w:eastAsia="zh-CN"/>
        </w:rPr>
        <w:t>00</w:t>
      </w:r>
      <w:r w:rsidR="003C1F37" w:rsidRPr="005F2EA2">
        <w:rPr>
          <w:rFonts w:ascii="华文楷体" w:hAnsi="华文楷体" w:hint="eastAsia"/>
          <w:sz w:val="24"/>
          <w:szCs w:val="24"/>
          <w:lang w:eastAsia="zh-CN"/>
        </w:rPr>
        <w:t>亿</w:t>
      </w:r>
      <w:r w:rsidR="00054072" w:rsidRPr="005F2EA2">
        <w:rPr>
          <w:rFonts w:ascii="华文楷体" w:hAnsi="华文楷体" w:hint="eastAsia"/>
          <w:sz w:val="24"/>
          <w:szCs w:val="24"/>
          <w:lang w:eastAsia="zh-CN"/>
        </w:rPr>
        <w:t>。</w:t>
      </w:r>
      <w:r w:rsidR="00854190" w:rsidRPr="005F2EA2">
        <w:rPr>
          <w:rFonts w:ascii="华文楷体" w:hAnsi="华文楷体" w:hint="eastAsia"/>
          <w:sz w:val="24"/>
          <w:szCs w:val="24"/>
          <w:lang w:eastAsia="zh-CN"/>
        </w:rPr>
        <w:t>本周</w:t>
      </w:r>
      <w:r w:rsidR="00DC4A12" w:rsidRPr="005F2EA2">
        <w:rPr>
          <w:rFonts w:ascii="华文楷体" w:hAnsi="华文楷体" w:hint="eastAsia"/>
          <w:sz w:val="24"/>
          <w:szCs w:val="24"/>
          <w:lang w:eastAsia="zh-CN"/>
        </w:rPr>
        <w:t>资金</w:t>
      </w:r>
      <w:r w:rsidR="00B30DBF" w:rsidRPr="005F2EA2">
        <w:rPr>
          <w:rFonts w:ascii="华文楷体" w:hAnsi="华文楷体" w:hint="eastAsia"/>
          <w:sz w:val="24"/>
          <w:szCs w:val="24"/>
          <w:lang w:eastAsia="zh-CN"/>
        </w:rPr>
        <w:t>利率</w:t>
      </w:r>
      <w:r w:rsidR="00292C0B" w:rsidRPr="005F2EA2">
        <w:rPr>
          <w:rFonts w:ascii="华文楷体" w:hAnsi="华文楷体" w:hint="eastAsia"/>
          <w:sz w:val="24"/>
          <w:szCs w:val="24"/>
          <w:lang w:eastAsia="zh-CN"/>
        </w:rPr>
        <w:t>震荡</w:t>
      </w:r>
      <w:r w:rsidRPr="005F2EA2">
        <w:rPr>
          <w:rFonts w:ascii="华文楷体" w:hAnsi="华文楷体" w:hint="eastAsia"/>
          <w:sz w:val="24"/>
          <w:szCs w:val="24"/>
          <w:lang w:eastAsia="zh-CN"/>
        </w:rPr>
        <w:t>上行</w:t>
      </w:r>
      <w:r w:rsidR="00065392">
        <w:rPr>
          <w:rFonts w:ascii="华文楷体" w:hAnsi="华文楷体" w:hint="eastAsia"/>
          <w:sz w:val="24"/>
          <w:szCs w:val="24"/>
          <w:lang w:eastAsia="zh-CN"/>
        </w:rPr>
        <w:t>，</w:t>
      </w:r>
      <w:r w:rsidR="00200AFA" w:rsidRPr="005F2EA2">
        <w:rPr>
          <w:rFonts w:ascii="华文楷体" w:hAnsi="华文楷体" w:hint="eastAsia"/>
          <w:sz w:val="24"/>
          <w:szCs w:val="24"/>
          <w:lang w:eastAsia="zh-CN"/>
        </w:rPr>
        <w:t>周</w:t>
      </w:r>
      <w:r w:rsidR="00EC3415" w:rsidRPr="005F2EA2">
        <w:rPr>
          <w:rFonts w:ascii="华文楷体" w:hAnsi="华文楷体" w:hint="eastAsia"/>
          <w:sz w:val="24"/>
          <w:szCs w:val="24"/>
          <w:lang w:eastAsia="zh-CN"/>
        </w:rPr>
        <w:t>隔夜</w:t>
      </w:r>
      <w:r w:rsidR="00200AFA" w:rsidRPr="005F2EA2">
        <w:rPr>
          <w:rFonts w:ascii="华文楷体" w:hAnsi="华文楷体" w:hint="eastAsia"/>
          <w:sz w:val="24"/>
          <w:szCs w:val="24"/>
          <w:lang w:eastAsia="zh-CN"/>
        </w:rPr>
        <w:t>加权</w:t>
      </w:r>
      <w:r w:rsidR="00D9413F" w:rsidRPr="005F2EA2">
        <w:rPr>
          <w:rFonts w:ascii="华文楷体" w:hAnsi="华文楷体" w:hint="eastAsia"/>
          <w:sz w:val="24"/>
          <w:szCs w:val="24"/>
          <w:lang w:eastAsia="zh-CN"/>
        </w:rPr>
        <w:t>较上周</w:t>
      </w:r>
      <w:r w:rsidR="0069484C" w:rsidRPr="005F2EA2">
        <w:rPr>
          <w:rFonts w:ascii="华文楷体" w:hAnsi="华文楷体" w:hint="eastAsia"/>
          <w:sz w:val="24"/>
          <w:szCs w:val="24"/>
          <w:lang w:eastAsia="zh-CN"/>
        </w:rPr>
        <w:t>上行</w:t>
      </w:r>
      <w:r w:rsidRPr="005F2EA2">
        <w:rPr>
          <w:rFonts w:ascii="华文楷体" w:hAnsi="华文楷体"/>
          <w:sz w:val="24"/>
          <w:szCs w:val="24"/>
          <w:lang w:eastAsia="zh-CN"/>
        </w:rPr>
        <w:t>39</w:t>
      </w:r>
      <w:r w:rsidR="0069484C" w:rsidRPr="005F2EA2">
        <w:rPr>
          <w:rFonts w:ascii="华文楷体" w:hAnsi="华文楷体" w:hint="eastAsia"/>
          <w:sz w:val="24"/>
          <w:szCs w:val="24"/>
          <w:lang w:eastAsia="zh-CN"/>
        </w:rPr>
        <w:t>bp</w:t>
      </w:r>
      <w:r w:rsidR="00D9413F" w:rsidRPr="005F2EA2">
        <w:rPr>
          <w:rFonts w:ascii="华文楷体" w:hAnsi="华文楷体" w:hint="eastAsia"/>
          <w:sz w:val="24"/>
          <w:szCs w:val="24"/>
          <w:lang w:eastAsia="zh-CN"/>
        </w:rPr>
        <w:t>至</w:t>
      </w:r>
      <w:r w:rsidRPr="005F2EA2">
        <w:rPr>
          <w:rFonts w:ascii="华文楷体" w:hAnsi="华文楷体"/>
          <w:sz w:val="24"/>
          <w:szCs w:val="24"/>
          <w:lang w:eastAsia="zh-CN"/>
        </w:rPr>
        <w:t>2.22</w:t>
      </w:r>
      <w:r w:rsidR="00D9413F" w:rsidRPr="005F2EA2">
        <w:rPr>
          <w:rFonts w:ascii="华文楷体" w:hAnsi="华文楷体" w:hint="eastAsia"/>
          <w:sz w:val="24"/>
          <w:szCs w:val="24"/>
          <w:lang w:eastAsia="zh-CN"/>
        </w:rPr>
        <w:t>%，</w:t>
      </w:r>
      <w:r w:rsidR="00EC3415" w:rsidRPr="005F2EA2">
        <w:rPr>
          <w:rFonts w:ascii="华文楷体" w:hAnsi="华文楷体" w:hint="eastAsia"/>
          <w:sz w:val="24"/>
          <w:szCs w:val="24"/>
          <w:lang w:eastAsia="zh-CN"/>
        </w:rPr>
        <w:t>7天</w:t>
      </w:r>
      <w:r w:rsidR="00D9413F" w:rsidRPr="005F2EA2">
        <w:rPr>
          <w:rFonts w:ascii="华文楷体" w:hAnsi="华文楷体" w:hint="eastAsia"/>
          <w:sz w:val="24"/>
          <w:szCs w:val="24"/>
          <w:lang w:eastAsia="zh-CN"/>
        </w:rPr>
        <w:t>较上周</w:t>
      </w:r>
      <w:r w:rsidR="0069484C" w:rsidRPr="005F2EA2">
        <w:rPr>
          <w:rFonts w:ascii="华文楷体" w:hAnsi="华文楷体" w:hint="eastAsia"/>
          <w:sz w:val="24"/>
          <w:szCs w:val="24"/>
          <w:lang w:eastAsia="zh-CN"/>
        </w:rPr>
        <w:t>下行</w:t>
      </w:r>
      <w:r w:rsidRPr="005F2EA2">
        <w:rPr>
          <w:rFonts w:ascii="华文楷体" w:hAnsi="华文楷体"/>
          <w:sz w:val="24"/>
          <w:szCs w:val="24"/>
          <w:lang w:eastAsia="zh-CN"/>
        </w:rPr>
        <w:t>20</w:t>
      </w:r>
      <w:r w:rsidR="0069484C" w:rsidRPr="005F2EA2">
        <w:rPr>
          <w:rFonts w:ascii="华文楷体" w:hAnsi="华文楷体" w:hint="eastAsia"/>
          <w:sz w:val="24"/>
          <w:szCs w:val="24"/>
          <w:lang w:eastAsia="zh-CN"/>
        </w:rPr>
        <w:t>bp</w:t>
      </w:r>
      <w:r w:rsidR="00D9413F" w:rsidRPr="005F2EA2">
        <w:rPr>
          <w:rFonts w:ascii="华文楷体" w:hAnsi="华文楷体" w:hint="eastAsia"/>
          <w:sz w:val="24"/>
          <w:szCs w:val="24"/>
          <w:lang w:eastAsia="zh-CN"/>
        </w:rPr>
        <w:t>至</w:t>
      </w:r>
      <w:r w:rsidR="00292C0B" w:rsidRPr="005F2EA2">
        <w:rPr>
          <w:rFonts w:ascii="华文楷体" w:hAnsi="华文楷体" w:hint="eastAsia"/>
          <w:sz w:val="24"/>
          <w:szCs w:val="24"/>
          <w:lang w:eastAsia="zh-CN"/>
        </w:rPr>
        <w:t>2.</w:t>
      </w:r>
      <w:r w:rsidRPr="005F2EA2">
        <w:rPr>
          <w:rFonts w:ascii="华文楷体" w:hAnsi="华文楷体"/>
          <w:sz w:val="24"/>
          <w:szCs w:val="24"/>
          <w:lang w:eastAsia="zh-CN"/>
        </w:rPr>
        <w:t>3</w:t>
      </w:r>
      <w:r w:rsidR="0069484C" w:rsidRPr="005F2EA2">
        <w:rPr>
          <w:rFonts w:ascii="华文楷体" w:hAnsi="华文楷体"/>
          <w:sz w:val="24"/>
          <w:szCs w:val="24"/>
          <w:lang w:eastAsia="zh-CN"/>
        </w:rPr>
        <w:t>5</w:t>
      </w:r>
      <w:r w:rsidR="00EC3415" w:rsidRPr="005F2EA2">
        <w:rPr>
          <w:rFonts w:ascii="华文楷体" w:hAnsi="华文楷体" w:hint="eastAsia"/>
          <w:sz w:val="24"/>
          <w:szCs w:val="24"/>
          <w:lang w:eastAsia="zh-CN"/>
        </w:rPr>
        <w:t>%</w:t>
      </w:r>
      <w:r w:rsidRPr="005F2EA2">
        <w:rPr>
          <w:rFonts w:ascii="华文楷体" w:hAnsi="华文楷体" w:hint="eastAsia"/>
          <w:sz w:val="24"/>
          <w:szCs w:val="24"/>
          <w:lang w:eastAsia="zh-CN"/>
        </w:rPr>
        <w:t>。</w:t>
      </w:r>
      <w:r w:rsidR="005671F6" w:rsidRPr="005F2EA2">
        <w:rPr>
          <w:rFonts w:ascii="华文楷体" w:hAnsi="华文楷体" w:hint="eastAsia"/>
          <w:sz w:val="24"/>
          <w:szCs w:val="24"/>
          <w:lang w:eastAsia="zh-CN"/>
        </w:rPr>
        <w:t>下周</w:t>
      </w:r>
      <w:r w:rsidR="003C1F37" w:rsidRPr="005F2EA2">
        <w:rPr>
          <w:rFonts w:ascii="华文楷体" w:hAnsi="华文楷体" w:hint="eastAsia"/>
          <w:sz w:val="24"/>
          <w:szCs w:val="24"/>
          <w:lang w:eastAsia="zh-CN"/>
        </w:rPr>
        <w:t>逆回购到期</w:t>
      </w:r>
      <w:r w:rsidRPr="005F2EA2">
        <w:rPr>
          <w:rFonts w:ascii="华文楷体" w:hAnsi="华文楷体"/>
          <w:sz w:val="24"/>
          <w:szCs w:val="24"/>
          <w:lang w:eastAsia="zh-CN"/>
        </w:rPr>
        <w:t>50</w:t>
      </w:r>
      <w:r w:rsidR="00E46B36" w:rsidRPr="005F2EA2">
        <w:rPr>
          <w:rFonts w:ascii="华文楷体" w:hAnsi="华文楷体"/>
          <w:sz w:val="24"/>
          <w:szCs w:val="24"/>
          <w:lang w:eastAsia="zh-CN"/>
        </w:rPr>
        <w:t>00</w:t>
      </w:r>
      <w:r w:rsidR="00E46B36" w:rsidRPr="005F2EA2">
        <w:rPr>
          <w:rFonts w:ascii="华文楷体" w:hAnsi="华文楷体" w:hint="eastAsia"/>
          <w:sz w:val="24"/>
          <w:szCs w:val="24"/>
          <w:lang w:eastAsia="zh-CN"/>
        </w:rPr>
        <w:t>亿</w:t>
      </w:r>
      <w:r w:rsidRPr="005F2EA2">
        <w:rPr>
          <w:rFonts w:ascii="华文楷体" w:hAnsi="华文楷体" w:hint="eastAsia"/>
          <w:sz w:val="24"/>
          <w:szCs w:val="24"/>
          <w:lang w:eastAsia="zh-CN"/>
        </w:rPr>
        <w:t>，央行表态于8</w:t>
      </w:r>
      <w:r w:rsidRPr="005F2EA2">
        <w:rPr>
          <w:rFonts w:ascii="华文楷体" w:hAnsi="华文楷体"/>
          <w:sz w:val="24"/>
          <w:szCs w:val="24"/>
          <w:lang w:eastAsia="zh-CN"/>
        </w:rPr>
        <w:t>/17</w:t>
      </w:r>
      <w:proofErr w:type="gramStart"/>
      <w:r w:rsidRPr="005F2EA2">
        <w:rPr>
          <w:rFonts w:ascii="华文楷体" w:hAnsi="华文楷体" w:hint="eastAsia"/>
          <w:sz w:val="24"/>
          <w:szCs w:val="24"/>
          <w:lang w:eastAsia="zh-CN"/>
        </w:rPr>
        <w:t>一</w:t>
      </w:r>
      <w:proofErr w:type="gramEnd"/>
      <w:r w:rsidRPr="005F2EA2">
        <w:rPr>
          <w:rFonts w:ascii="华文楷体" w:hAnsi="华文楷体" w:hint="eastAsia"/>
          <w:sz w:val="24"/>
          <w:szCs w:val="24"/>
          <w:lang w:eastAsia="zh-CN"/>
        </w:rPr>
        <w:t>次做MLF，需关注投放数量</w:t>
      </w:r>
      <w:r w:rsidR="00E46B36" w:rsidRPr="005F2EA2">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365BBD">
        <w:tblPrEx>
          <w:tblCellMar>
            <w:left w:w="108" w:type="dxa"/>
            <w:right w:w="108" w:type="dxa"/>
          </w:tblCellMar>
        </w:tblPrEx>
        <w:trPr>
          <w:jc w:val="center"/>
        </w:trPr>
        <w:tc>
          <w:tcPr>
            <w:tcW w:w="4939" w:type="dxa"/>
            <w:vAlign w:val="center"/>
          </w:tcPr>
          <w:p w14:paraId="60AEAEDC" w14:textId="0BFC99D5" w:rsidR="00E0626C" w:rsidRPr="003C1F37" w:rsidRDefault="00365BBD" w:rsidP="009A2BA0">
            <w:pPr>
              <w:jc w:val="center"/>
              <w:rPr>
                <w:noProof/>
                <w:sz w:val="14"/>
                <w:szCs w:val="14"/>
              </w:rPr>
            </w:pPr>
            <w:r>
              <w:rPr>
                <w:noProof/>
              </w:rPr>
              <w:drawing>
                <wp:inline distT="0" distB="0" distL="0" distR="0" wp14:anchorId="74A63487" wp14:editId="74956D3A">
                  <wp:extent cx="2999105" cy="1820658"/>
                  <wp:effectExtent l="0" t="0" r="0" b="8255"/>
                  <wp:docPr id="1" name="图表 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c>
          <w:tcPr>
            <w:tcW w:w="4938" w:type="dxa"/>
            <w:vAlign w:val="center"/>
          </w:tcPr>
          <w:p w14:paraId="287706CA" w14:textId="3CB9B9D6" w:rsidR="00E0626C" w:rsidRPr="003C1F37" w:rsidRDefault="00365BBD" w:rsidP="009A2BA0">
            <w:pPr>
              <w:jc w:val="center"/>
              <w:rPr>
                <w:noProof/>
                <w:sz w:val="18"/>
                <w:szCs w:val="15"/>
              </w:rPr>
            </w:pPr>
            <w:r>
              <w:rPr>
                <w:noProof/>
              </w:rPr>
              <w:drawing>
                <wp:inline distT="0" distB="0" distL="0" distR="0" wp14:anchorId="3C1B1D49" wp14:editId="54151F26">
                  <wp:extent cx="2999105" cy="1863336"/>
                  <wp:effectExtent l="0" t="0" r="0" b="3810"/>
                  <wp:docPr id="4" name="图表 4">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3E6B668C" w:rsidR="00D948D7" w:rsidRPr="005F2EA2" w:rsidRDefault="00882FA5" w:rsidP="0069484C">
      <w:pPr>
        <w:pStyle w:val="Body-text"/>
        <w:spacing w:after="240"/>
        <w:ind w:firstLineChars="200" w:firstLine="480"/>
        <w:rPr>
          <w:rFonts w:ascii="华文楷体" w:hAnsi="华文楷体"/>
          <w:sz w:val="24"/>
          <w:szCs w:val="24"/>
          <w:lang w:eastAsia="zh-CN"/>
        </w:rPr>
      </w:pPr>
      <w:r w:rsidRPr="005F2EA2">
        <w:rPr>
          <w:rFonts w:ascii="华文楷体" w:hAnsi="华文楷体" w:hint="eastAsia"/>
          <w:sz w:val="24"/>
          <w:szCs w:val="24"/>
          <w:lang w:eastAsia="zh-CN"/>
        </w:rPr>
        <w:t>本周债市</w:t>
      </w:r>
      <w:r w:rsidR="005A2EBC" w:rsidRPr="005F2EA2">
        <w:rPr>
          <w:rFonts w:ascii="华文楷体" w:hAnsi="华文楷体" w:hint="eastAsia"/>
          <w:sz w:val="24"/>
          <w:szCs w:val="24"/>
          <w:lang w:eastAsia="zh-CN"/>
        </w:rPr>
        <w:t>利率</w:t>
      </w:r>
      <w:r w:rsidR="005A2EBC" w:rsidRPr="005F2EA2">
        <w:rPr>
          <w:rFonts w:ascii="华文楷体" w:hAnsi="华文楷体"/>
          <w:sz w:val="24"/>
          <w:szCs w:val="24"/>
          <w:lang w:eastAsia="zh-CN"/>
        </w:rPr>
        <w:t>债</w:t>
      </w:r>
      <w:r w:rsidR="00880460" w:rsidRPr="005F2EA2">
        <w:rPr>
          <w:rFonts w:ascii="华文楷体" w:hAnsi="华文楷体" w:hint="eastAsia"/>
          <w:sz w:val="24"/>
          <w:szCs w:val="24"/>
          <w:lang w:eastAsia="zh-CN"/>
        </w:rPr>
        <w:t>曲线</w:t>
      </w:r>
      <w:r w:rsidR="0069484C" w:rsidRPr="005F2EA2">
        <w:rPr>
          <w:rFonts w:ascii="华文楷体" w:hAnsi="华文楷体" w:hint="eastAsia"/>
          <w:sz w:val="24"/>
          <w:szCs w:val="24"/>
          <w:lang w:eastAsia="zh-CN"/>
        </w:rPr>
        <w:t>整体</w:t>
      </w:r>
      <w:r w:rsidR="005F2EA2" w:rsidRPr="005F2EA2">
        <w:rPr>
          <w:rFonts w:ascii="华文楷体" w:hAnsi="华文楷体" w:hint="eastAsia"/>
          <w:sz w:val="24"/>
          <w:szCs w:val="24"/>
          <w:lang w:eastAsia="zh-CN"/>
        </w:rPr>
        <w:t>下移趋平</w:t>
      </w:r>
      <w:r w:rsidR="0069484C" w:rsidRPr="005F2EA2">
        <w:rPr>
          <w:rFonts w:ascii="华文楷体" w:hAnsi="华文楷体" w:hint="eastAsia"/>
          <w:sz w:val="24"/>
          <w:szCs w:val="24"/>
          <w:lang w:eastAsia="zh-CN"/>
        </w:rPr>
        <w:t>，国债表现弱于国开。</w:t>
      </w:r>
      <w:r w:rsidR="006E06F9" w:rsidRPr="005F2EA2">
        <w:rPr>
          <w:rFonts w:ascii="华文楷体" w:hAnsi="华文楷体" w:hint="eastAsia"/>
          <w:sz w:val="24"/>
          <w:szCs w:val="24"/>
          <w:lang w:eastAsia="zh-CN"/>
        </w:rPr>
        <w:t>1y内</w:t>
      </w:r>
      <w:r w:rsidR="001F276D" w:rsidRPr="005F2EA2">
        <w:rPr>
          <w:rFonts w:ascii="华文楷体" w:hAnsi="华文楷体" w:hint="eastAsia"/>
          <w:sz w:val="24"/>
          <w:szCs w:val="24"/>
          <w:lang w:eastAsia="zh-CN"/>
        </w:rPr>
        <w:t>国债</w:t>
      </w:r>
      <w:r w:rsidR="00EF0226" w:rsidRPr="005F2EA2">
        <w:rPr>
          <w:rFonts w:ascii="华文楷体" w:hAnsi="华文楷体" w:hint="eastAsia"/>
          <w:sz w:val="24"/>
          <w:szCs w:val="24"/>
          <w:lang w:eastAsia="zh-CN"/>
        </w:rPr>
        <w:t>、国开</w:t>
      </w:r>
      <w:proofErr w:type="gramStart"/>
      <w:r w:rsidR="00EF0226" w:rsidRPr="005F2EA2">
        <w:rPr>
          <w:rFonts w:ascii="华文楷体" w:hAnsi="华文楷体" w:hint="eastAsia"/>
          <w:sz w:val="24"/>
          <w:szCs w:val="24"/>
          <w:lang w:eastAsia="zh-CN"/>
        </w:rPr>
        <w:t>债</w:t>
      </w:r>
      <w:r w:rsidR="008406BB" w:rsidRPr="005F2EA2">
        <w:rPr>
          <w:rFonts w:ascii="华文楷体" w:hAnsi="华文楷体" w:hint="eastAsia"/>
          <w:sz w:val="24"/>
          <w:szCs w:val="24"/>
          <w:lang w:eastAsia="zh-CN"/>
        </w:rPr>
        <w:t>整体</w:t>
      </w:r>
      <w:proofErr w:type="gramEnd"/>
      <w:r w:rsidR="00EF0226" w:rsidRPr="005F2EA2">
        <w:rPr>
          <w:rFonts w:ascii="华文楷体" w:hAnsi="华文楷体"/>
          <w:sz w:val="24"/>
          <w:szCs w:val="24"/>
          <w:lang w:eastAsia="zh-CN"/>
        </w:rPr>
        <w:t>走势</w:t>
      </w:r>
      <w:r w:rsidR="005F2EA2" w:rsidRPr="005F2EA2">
        <w:rPr>
          <w:rFonts w:ascii="华文楷体" w:hAnsi="华文楷体" w:hint="eastAsia"/>
          <w:sz w:val="24"/>
          <w:szCs w:val="24"/>
          <w:lang w:eastAsia="zh-CN"/>
        </w:rPr>
        <w:t>分化</w:t>
      </w:r>
      <w:r w:rsidR="006E06F9" w:rsidRPr="005F2EA2">
        <w:rPr>
          <w:rFonts w:ascii="华文楷体" w:hAnsi="华文楷体" w:hint="eastAsia"/>
          <w:sz w:val="24"/>
          <w:szCs w:val="24"/>
          <w:lang w:eastAsia="zh-CN"/>
        </w:rPr>
        <w:t>，</w:t>
      </w:r>
      <w:r w:rsidR="005F2EA2" w:rsidRPr="005F2EA2">
        <w:rPr>
          <w:rFonts w:ascii="华文楷体" w:hAnsi="华文楷体" w:hint="eastAsia"/>
          <w:sz w:val="24"/>
          <w:szCs w:val="24"/>
          <w:lang w:eastAsia="zh-CN"/>
        </w:rPr>
        <w:t>国开债利率小幅下行，而国债受资金及贴现国债投标影响仍维持上行</w:t>
      </w:r>
      <w:r w:rsidR="008406BB" w:rsidRPr="005F2EA2">
        <w:rPr>
          <w:rFonts w:ascii="华文楷体" w:hAnsi="华文楷体" w:hint="eastAsia"/>
          <w:sz w:val="24"/>
          <w:szCs w:val="24"/>
          <w:lang w:eastAsia="zh-CN"/>
        </w:rPr>
        <w:t>。</w:t>
      </w:r>
      <w:r w:rsidR="006E06F9" w:rsidRPr="005F2EA2">
        <w:rPr>
          <w:rFonts w:ascii="华文楷体" w:hAnsi="华文楷体" w:hint="eastAsia"/>
          <w:sz w:val="24"/>
          <w:szCs w:val="24"/>
          <w:lang w:eastAsia="zh-CN"/>
        </w:rPr>
        <w:t>1y以上期限</w:t>
      </w:r>
      <w:r w:rsidR="005F2EA2" w:rsidRPr="005F2EA2">
        <w:rPr>
          <w:rFonts w:ascii="华文楷体" w:hAnsi="华文楷体" w:hint="eastAsia"/>
          <w:sz w:val="24"/>
          <w:szCs w:val="24"/>
          <w:lang w:eastAsia="zh-CN"/>
        </w:rPr>
        <w:t>国债和国开债利率均有明显下行，长端受金融及经济数据影响下行幅度更大</w:t>
      </w:r>
      <w:r w:rsidR="006E06F9" w:rsidRPr="005F2EA2">
        <w:rPr>
          <w:rFonts w:ascii="华文楷体" w:hAnsi="华文楷体" w:hint="eastAsia"/>
          <w:sz w:val="24"/>
          <w:szCs w:val="24"/>
          <w:lang w:eastAsia="zh-CN"/>
        </w:rPr>
        <w:t>。</w:t>
      </w:r>
      <w:r w:rsidR="005F2EA2" w:rsidRPr="005F2EA2">
        <w:rPr>
          <w:rFonts w:ascii="华文楷体" w:hAnsi="华文楷体" w:hint="eastAsia"/>
          <w:sz w:val="24"/>
          <w:szCs w:val="24"/>
          <w:lang w:eastAsia="zh-CN"/>
        </w:rPr>
        <w:t>其中，1</w:t>
      </w:r>
      <w:r w:rsidR="005F2EA2" w:rsidRPr="005F2EA2">
        <w:rPr>
          <w:rFonts w:ascii="华文楷体" w:hAnsi="华文楷体"/>
          <w:sz w:val="24"/>
          <w:szCs w:val="24"/>
          <w:lang w:eastAsia="zh-CN"/>
        </w:rPr>
        <w:t>0</w:t>
      </w:r>
      <w:r w:rsidR="005F2EA2" w:rsidRPr="005F2EA2">
        <w:rPr>
          <w:rFonts w:ascii="华文楷体" w:hAnsi="华文楷体" w:hint="eastAsia"/>
          <w:sz w:val="24"/>
          <w:szCs w:val="24"/>
          <w:lang w:eastAsia="zh-CN"/>
        </w:rPr>
        <w:t>y国债下行5</w:t>
      </w:r>
      <w:r w:rsidR="005F2EA2" w:rsidRPr="005F2EA2">
        <w:rPr>
          <w:rFonts w:ascii="华文楷体" w:hAnsi="华文楷体"/>
          <w:sz w:val="24"/>
          <w:szCs w:val="24"/>
          <w:lang w:eastAsia="zh-CN"/>
        </w:rPr>
        <w:t>.5</w:t>
      </w:r>
      <w:r w:rsidR="005F2EA2" w:rsidRPr="005F2EA2">
        <w:rPr>
          <w:rFonts w:ascii="华文楷体" w:hAnsi="华文楷体" w:hint="eastAsia"/>
          <w:sz w:val="24"/>
          <w:szCs w:val="24"/>
          <w:lang w:eastAsia="zh-CN"/>
        </w:rPr>
        <w:t>bp，1</w:t>
      </w:r>
      <w:r w:rsidR="005F2EA2" w:rsidRPr="005F2EA2">
        <w:rPr>
          <w:rFonts w:ascii="华文楷体" w:hAnsi="华文楷体"/>
          <w:sz w:val="24"/>
          <w:szCs w:val="24"/>
          <w:lang w:eastAsia="zh-CN"/>
        </w:rPr>
        <w:t>0</w:t>
      </w:r>
      <w:r w:rsidR="005F2EA2" w:rsidRPr="005F2EA2">
        <w:rPr>
          <w:rFonts w:ascii="华文楷体" w:hAnsi="华文楷体" w:hint="eastAsia"/>
          <w:sz w:val="24"/>
          <w:szCs w:val="24"/>
          <w:lang w:eastAsia="zh-CN"/>
        </w:rPr>
        <w:t>y国开债利率下行6</w:t>
      </w:r>
      <w:r w:rsidR="005F2EA2" w:rsidRPr="005F2EA2">
        <w:rPr>
          <w:rFonts w:ascii="华文楷体" w:hAnsi="华文楷体"/>
          <w:sz w:val="24"/>
          <w:szCs w:val="24"/>
          <w:lang w:eastAsia="zh-CN"/>
        </w:rPr>
        <w:t>.5</w:t>
      </w:r>
      <w:r w:rsidR="005F2EA2" w:rsidRPr="005F2EA2">
        <w:rPr>
          <w:rFonts w:ascii="华文楷体" w:hAnsi="华文楷体" w:hint="eastAsia"/>
          <w:sz w:val="24"/>
          <w:szCs w:val="24"/>
          <w:lang w:eastAsia="zh-CN"/>
        </w:rPr>
        <w:t>bp；3y国开债下行3</w:t>
      </w:r>
      <w:r w:rsidR="005F2EA2" w:rsidRPr="005F2EA2">
        <w:rPr>
          <w:rFonts w:ascii="华文楷体" w:hAnsi="华文楷体"/>
          <w:sz w:val="24"/>
          <w:szCs w:val="24"/>
          <w:lang w:eastAsia="zh-CN"/>
        </w:rPr>
        <w:t>.4</w:t>
      </w:r>
      <w:r w:rsidR="005F2EA2" w:rsidRPr="005F2EA2">
        <w:rPr>
          <w:rFonts w:ascii="华文楷体" w:hAnsi="华文楷体" w:hint="eastAsia"/>
          <w:sz w:val="24"/>
          <w:szCs w:val="24"/>
          <w:lang w:eastAsia="zh-CN"/>
        </w:rPr>
        <w:t>bp。</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lastRenderedPageBreak/>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r>
              <w:rPr>
                <w:rFonts w:hint="eastAsia"/>
              </w:rPr>
              <w:t>国开债收益率曲线和变化</w:t>
            </w:r>
          </w:p>
        </w:tc>
      </w:tr>
      <w:tr w:rsidR="00E0626C" w:rsidRPr="006A5F34" w14:paraId="1094FBBD" w14:textId="77777777" w:rsidTr="00B01EC0">
        <w:tblPrEx>
          <w:tblCellMar>
            <w:left w:w="108" w:type="dxa"/>
            <w:right w:w="108" w:type="dxa"/>
          </w:tblCellMar>
        </w:tblPrEx>
        <w:trPr>
          <w:jc w:val="center"/>
        </w:trPr>
        <w:tc>
          <w:tcPr>
            <w:tcW w:w="4939" w:type="dxa"/>
            <w:vAlign w:val="center"/>
          </w:tcPr>
          <w:p w14:paraId="678C97B0" w14:textId="1B46CDA3" w:rsidR="00E0626C" w:rsidRPr="007E0340" w:rsidRDefault="00365BBD" w:rsidP="002104B2">
            <w:pPr>
              <w:rPr>
                <w:noProof/>
              </w:rPr>
            </w:pPr>
            <w:r>
              <w:rPr>
                <w:noProof/>
              </w:rPr>
              <w:drawing>
                <wp:inline distT="0" distB="0" distL="0" distR="0" wp14:anchorId="064BAE4D" wp14:editId="25452F2C">
                  <wp:extent cx="2999105" cy="1753178"/>
                  <wp:effectExtent l="0" t="0" r="10795" b="0"/>
                  <wp:docPr id="6" name="图表 6">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c>
          <w:tcPr>
            <w:tcW w:w="4938" w:type="dxa"/>
            <w:vAlign w:val="center"/>
          </w:tcPr>
          <w:p w14:paraId="17A42E68" w14:textId="6B4F0801" w:rsidR="00E0626C" w:rsidRPr="00E46B36" w:rsidRDefault="00B01EC0" w:rsidP="009A2BA0">
            <w:pPr>
              <w:jc w:val="center"/>
              <w:rPr>
                <w:noProof/>
                <w:sz w:val="14"/>
                <w:szCs w:val="14"/>
              </w:rPr>
            </w:pPr>
            <w:r>
              <w:rPr>
                <w:noProof/>
              </w:rPr>
              <w:drawing>
                <wp:inline distT="0" distB="0" distL="0" distR="0" wp14:anchorId="51F3081F" wp14:editId="1356A363">
                  <wp:extent cx="2998470" cy="1684655"/>
                  <wp:effectExtent l="0" t="0" r="11430" b="0"/>
                  <wp:docPr id="8" name="图表 8">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63B7E22F" w14:textId="035E0AFA" w:rsidR="007A3F0D" w:rsidRPr="00D914AF" w:rsidRDefault="004C6CBF" w:rsidP="00305223">
      <w:pPr>
        <w:pStyle w:val="Body-text"/>
        <w:spacing w:after="240"/>
        <w:ind w:firstLineChars="200" w:firstLine="480"/>
        <w:rPr>
          <w:rFonts w:ascii="华文楷体" w:hAnsi="华文楷体"/>
          <w:sz w:val="24"/>
          <w:szCs w:val="24"/>
          <w:lang w:eastAsia="zh-CN"/>
        </w:rPr>
      </w:pPr>
      <w:r w:rsidRPr="00D914AF">
        <w:rPr>
          <w:rFonts w:ascii="华文楷体" w:hAnsi="华文楷体" w:hint="eastAsia"/>
          <w:sz w:val="24"/>
          <w:szCs w:val="24"/>
          <w:lang w:eastAsia="zh-CN"/>
        </w:rPr>
        <w:t>本周</w:t>
      </w:r>
      <w:r w:rsidR="00305223" w:rsidRPr="00D914AF">
        <w:rPr>
          <w:rFonts w:ascii="华文楷体" w:hAnsi="华文楷体" w:hint="eastAsia"/>
          <w:sz w:val="24"/>
          <w:szCs w:val="24"/>
          <w:lang w:eastAsia="zh-CN"/>
        </w:rPr>
        <w:t>信用债</w:t>
      </w:r>
      <w:r w:rsidRPr="00D914AF">
        <w:rPr>
          <w:rFonts w:ascii="华文楷体" w:hAnsi="华文楷体" w:hint="eastAsia"/>
          <w:sz w:val="24"/>
          <w:szCs w:val="24"/>
          <w:lang w:eastAsia="zh-CN"/>
        </w:rPr>
        <w:t>表现</w:t>
      </w:r>
      <w:r w:rsidR="00305223" w:rsidRPr="00D914AF">
        <w:rPr>
          <w:rFonts w:ascii="华文楷体" w:hAnsi="华文楷体" w:hint="eastAsia"/>
          <w:sz w:val="24"/>
          <w:szCs w:val="24"/>
          <w:lang w:eastAsia="zh-CN"/>
        </w:rPr>
        <w:t>，</w:t>
      </w:r>
      <w:r w:rsidR="00D914AF" w:rsidRPr="00D914AF">
        <w:rPr>
          <w:rFonts w:ascii="华文楷体" w:hAnsi="华文楷体" w:hint="eastAsia"/>
          <w:sz w:val="24"/>
          <w:szCs w:val="24"/>
          <w:lang w:eastAsia="zh-CN"/>
        </w:rPr>
        <w:t>除cp外，</w:t>
      </w:r>
      <w:r w:rsidR="00807490" w:rsidRPr="00D914AF">
        <w:rPr>
          <w:rFonts w:ascii="华文楷体" w:hAnsi="华文楷体" w:hint="eastAsia"/>
          <w:sz w:val="24"/>
          <w:szCs w:val="24"/>
          <w:lang w:eastAsia="zh-CN"/>
        </w:rPr>
        <w:t>信用品种</w:t>
      </w:r>
      <w:r w:rsidR="0083308F" w:rsidRPr="00D914AF">
        <w:rPr>
          <w:rFonts w:ascii="华文楷体" w:hAnsi="华文楷体" w:hint="eastAsia"/>
          <w:sz w:val="24"/>
          <w:szCs w:val="24"/>
          <w:lang w:eastAsia="zh-CN"/>
        </w:rPr>
        <w:t>整体</w:t>
      </w:r>
      <w:r w:rsidR="00AF3C15" w:rsidRPr="00D914AF">
        <w:rPr>
          <w:rFonts w:ascii="华文楷体" w:hAnsi="华文楷体" w:hint="eastAsia"/>
          <w:sz w:val="24"/>
          <w:szCs w:val="24"/>
          <w:lang w:eastAsia="zh-CN"/>
        </w:rPr>
        <w:t>利率跟随利率品种</w:t>
      </w:r>
      <w:r w:rsidR="00D914AF" w:rsidRPr="00D914AF">
        <w:rPr>
          <w:rFonts w:ascii="华文楷体" w:hAnsi="华文楷体" w:hint="eastAsia"/>
          <w:sz w:val="24"/>
          <w:szCs w:val="24"/>
          <w:lang w:eastAsia="zh-CN"/>
        </w:rPr>
        <w:t>回落。企业债中，3y品种利率下行最为明显，AA+的3y企业债利率下降5</w:t>
      </w:r>
      <w:r w:rsidR="00D914AF" w:rsidRPr="00D914AF">
        <w:rPr>
          <w:rFonts w:ascii="华文楷体" w:hAnsi="华文楷体"/>
          <w:sz w:val="24"/>
          <w:szCs w:val="24"/>
          <w:lang w:eastAsia="zh-CN"/>
        </w:rPr>
        <w:t>.7</w:t>
      </w:r>
      <w:r w:rsidR="00D914AF" w:rsidRPr="00D914AF">
        <w:rPr>
          <w:rFonts w:ascii="华文楷体" w:hAnsi="华文楷体" w:hint="eastAsia"/>
          <w:sz w:val="24"/>
          <w:szCs w:val="24"/>
          <w:lang w:eastAsia="zh-CN"/>
        </w:rPr>
        <w:t>bp。</w:t>
      </w:r>
      <w:r w:rsidR="00E359DD" w:rsidRPr="00D914AF">
        <w:rPr>
          <w:rFonts w:ascii="华文楷体" w:hAnsi="华文楷体" w:hint="eastAsia"/>
          <w:sz w:val="24"/>
          <w:szCs w:val="24"/>
          <w:lang w:eastAsia="zh-CN"/>
        </w:rPr>
        <w:t>城投方面，</w:t>
      </w:r>
      <w:r w:rsidR="00D914AF" w:rsidRPr="00D914AF">
        <w:rPr>
          <w:rFonts w:ascii="华文楷体" w:hAnsi="华文楷体" w:hint="eastAsia"/>
          <w:sz w:val="24"/>
          <w:szCs w:val="24"/>
          <w:lang w:eastAsia="zh-CN"/>
        </w:rPr>
        <w:t>各期限品种利率全线回落，其中3y品种亦降幅最大</w:t>
      </w:r>
      <w:r w:rsidR="004D1342" w:rsidRPr="00D914AF">
        <w:rPr>
          <w:rFonts w:ascii="华文楷体" w:hAnsi="华文楷体" w:hint="eastAsia"/>
          <w:sz w:val="24"/>
          <w:szCs w:val="24"/>
          <w:lang w:eastAsia="zh-CN"/>
        </w:rPr>
        <w:t>。</w:t>
      </w:r>
      <w:r w:rsidR="007275B2" w:rsidRPr="00D914AF">
        <w:rPr>
          <w:rFonts w:ascii="华文楷体" w:hAnsi="华文楷体" w:hint="eastAsia"/>
          <w:sz w:val="24"/>
          <w:szCs w:val="24"/>
          <w:lang w:eastAsia="zh-CN"/>
        </w:rPr>
        <w:t>收益率绝对水平来看，</w:t>
      </w:r>
      <w:r w:rsidR="00AF3C15" w:rsidRPr="00D914AF">
        <w:rPr>
          <w:rFonts w:ascii="华文楷体" w:hAnsi="华文楷体" w:hint="eastAsia"/>
          <w:sz w:val="24"/>
          <w:szCs w:val="24"/>
          <w:lang w:eastAsia="zh-CN"/>
        </w:rPr>
        <w:t>大部分</w:t>
      </w:r>
      <w:r w:rsidR="007275B2" w:rsidRPr="00D914AF">
        <w:rPr>
          <w:rFonts w:ascii="华文楷体" w:hAnsi="华文楷体" w:hint="eastAsia"/>
          <w:sz w:val="24"/>
          <w:szCs w:val="24"/>
          <w:lang w:eastAsia="zh-CN"/>
        </w:rPr>
        <w:t>期限品种</w:t>
      </w:r>
      <w:r w:rsidR="00DC322E" w:rsidRPr="00D914AF">
        <w:rPr>
          <w:rFonts w:ascii="华文楷体" w:hAnsi="华文楷体" w:hint="eastAsia"/>
          <w:sz w:val="24"/>
          <w:szCs w:val="24"/>
          <w:lang w:eastAsia="zh-CN"/>
        </w:rPr>
        <w:t>小幅</w:t>
      </w:r>
      <w:r w:rsidR="00AF3C15" w:rsidRPr="00D914AF">
        <w:rPr>
          <w:rFonts w:ascii="华文楷体" w:hAnsi="华文楷体" w:hint="eastAsia"/>
          <w:sz w:val="24"/>
          <w:szCs w:val="24"/>
          <w:lang w:eastAsia="zh-CN"/>
        </w:rPr>
        <w:t>在</w:t>
      </w:r>
      <w:r w:rsidR="00DC322E" w:rsidRPr="00D914AF">
        <w:rPr>
          <w:rFonts w:ascii="华文楷体" w:hAnsi="华文楷体" w:hint="eastAsia"/>
          <w:sz w:val="24"/>
          <w:szCs w:val="24"/>
          <w:lang w:eastAsia="zh-CN"/>
        </w:rPr>
        <w:t>10</w:t>
      </w:r>
      <w:r w:rsidR="00DC322E" w:rsidRPr="00D914AF">
        <w:rPr>
          <w:rFonts w:ascii="华文楷体" w:hAnsi="华文楷体"/>
          <w:sz w:val="24"/>
          <w:szCs w:val="24"/>
          <w:lang w:eastAsia="zh-CN"/>
        </w:rPr>
        <w:t>-2</w:t>
      </w:r>
      <w:r w:rsidR="00E359DD" w:rsidRPr="00D914AF">
        <w:rPr>
          <w:rFonts w:ascii="华文楷体" w:hAnsi="华文楷体"/>
          <w:sz w:val="24"/>
          <w:szCs w:val="24"/>
          <w:lang w:eastAsia="zh-CN"/>
        </w:rPr>
        <w:t>5</w:t>
      </w:r>
      <w:r w:rsidR="007275B2" w:rsidRPr="00D914AF">
        <w:rPr>
          <w:rFonts w:ascii="华文楷体" w:hAnsi="华文楷体" w:hint="eastAsia"/>
          <w:sz w:val="24"/>
          <w:szCs w:val="24"/>
          <w:lang w:eastAsia="zh-CN"/>
        </w:rPr>
        <w:t>%分位</w:t>
      </w:r>
      <w:r w:rsidR="00C02867" w:rsidRPr="00D914AF">
        <w:rPr>
          <w:rFonts w:ascii="华文楷体" w:hAnsi="华文楷体" w:hint="eastAsia"/>
          <w:sz w:val="24"/>
          <w:szCs w:val="24"/>
          <w:lang w:eastAsia="zh-CN"/>
        </w:rPr>
        <w:t>区间</w:t>
      </w:r>
      <w:r w:rsidR="008D33AB" w:rsidRPr="00D914AF">
        <w:rPr>
          <w:rFonts w:ascii="华文楷体" w:hAnsi="华文楷体" w:hint="eastAsia"/>
          <w:sz w:val="24"/>
          <w:szCs w:val="24"/>
          <w:lang w:eastAsia="zh-CN"/>
        </w:rPr>
        <w:t>，息</w:t>
      </w:r>
      <w:proofErr w:type="gramStart"/>
      <w:r w:rsidR="008D33AB" w:rsidRPr="00D914AF">
        <w:rPr>
          <w:rFonts w:ascii="华文楷体" w:hAnsi="华文楷体" w:hint="eastAsia"/>
          <w:sz w:val="24"/>
          <w:szCs w:val="24"/>
          <w:lang w:eastAsia="zh-CN"/>
        </w:rPr>
        <w:t>差</w:t>
      </w:r>
      <w:r w:rsidR="00157A02" w:rsidRPr="00D914AF">
        <w:rPr>
          <w:rFonts w:ascii="华文楷体" w:hAnsi="华文楷体" w:hint="eastAsia"/>
          <w:sz w:val="24"/>
          <w:szCs w:val="24"/>
          <w:lang w:eastAsia="zh-CN"/>
        </w:rPr>
        <w:t>水平</w:t>
      </w:r>
      <w:proofErr w:type="gramEnd"/>
      <w:r w:rsidR="00E359DD" w:rsidRPr="00D914AF">
        <w:rPr>
          <w:rFonts w:ascii="华文楷体" w:hAnsi="华文楷体" w:hint="eastAsia"/>
          <w:sz w:val="24"/>
          <w:szCs w:val="24"/>
          <w:lang w:eastAsia="zh-CN"/>
        </w:rPr>
        <w:t>上</w:t>
      </w:r>
      <w:r w:rsidR="003C4D9D" w:rsidRPr="00D914AF">
        <w:rPr>
          <w:rFonts w:ascii="华文楷体" w:hAnsi="华文楷体" w:hint="eastAsia"/>
          <w:sz w:val="24"/>
          <w:szCs w:val="24"/>
          <w:lang w:eastAsia="zh-CN"/>
        </w:rPr>
        <w:t>，</w:t>
      </w:r>
      <w:r w:rsidR="00E359DD" w:rsidRPr="00D914AF">
        <w:rPr>
          <w:rFonts w:ascii="华文楷体" w:hAnsi="华文楷体" w:hint="eastAsia"/>
          <w:sz w:val="24"/>
          <w:szCs w:val="24"/>
          <w:lang w:eastAsia="zh-CN"/>
        </w:rPr>
        <w:t>低评级</w:t>
      </w:r>
      <w:r w:rsidR="00D914AF" w:rsidRPr="00D914AF">
        <w:rPr>
          <w:rFonts w:ascii="华文楷体" w:hAnsi="华文楷体" w:hint="eastAsia"/>
          <w:sz w:val="24"/>
          <w:szCs w:val="24"/>
          <w:lang w:eastAsia="zh-CN"/>
        </w:rPr>
        <w:t>继续</w:t>
      </w:r>
      <w:r w:rsidR="00E359DD" w:rsidRPr="00D914AF">
        <w:rPr>
          <w:rFonts w:ascii="华文楷体" w:hAnsi="华文楷体" w:hint="eastAsia"/>
          <w:sz w:val="24"/>
          <w:szCs w:val="24"/>
          <w:lang w:eastAsia="zh-CN"/>
        </w:rPr>
        <w:t>走阔</w:t>
      </w:r>
      <w:r w:rsidR="00E13BCF" w:rsidRPr="00D914AF">
        <w:rPr>
          <w:rFonts w:ascii="华文楷体" w:hAnsi="华文楷体" w:hint="eastAsia"/>
          <w:sz w:val="24"/>
          <w:szCs w:val="24"/>
          <w:lang w:eastAsia="zh-CN"/>
        </w:rPr>
        <w:t>。</w:t>
      </w:r>
    </w:p>
    <w:tbl>
      <w:tblPr>
        <w:tblW w:w="9881" w:type="dxa"/>
        <w:jc w:val="center"/>
        <w:tblCellMar>
          <w:left w:w="0" w:type="dxa"/>
          <w:right w:w="0" w:type="dxa"/>
        </w:tblCellMar>
        <w:tblLook w:val="01E0" w:firstRow="1" w:lastRow="1" w:firstColumn="1" w:lastColumn="1" w:noHBand="0" w:noVBand="0"/>
      </w:tblPr>
      <w:tblGrid>
        <w:gridCol w:w="10874"/>
      </w:tblGrid>
      <w:tr w:rsidR="00E0626C" w:rsidRPr="00F966B6" w14:paraId="5602CC82" w14:textId="77777777" w:rsidTr="00E46B36">
        <w:trPr>
          <w:trHeight w:val="269"/>
          <w:jc w:val="center"/>
        </w:trPr>
        <w:tc>
          <w:tcPr>
            <w:tcW w:w="9881"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E46B36">
        <w:tblPrEx>
          <w:tblCellMar>
            <w:left w:w="108" w:type="dxa"/>
            <w:right w:w="108" w:type="dxa"/>
          </w:tblCellMar>
        </w:tblPrEx>
        <w:trPr>
          <w:trHeight w:val="391"/>
          <w:jc w:val="center"/>
        </w:trPr>
        <w:tc>
          <w:tcPr>
            <w:tcW w:w="9881" w:type="dxa"/>
            <w:vAlign w:val="center"/>
          </w:tcPr>
          <w:tbl>
            <w:tblPr>
              <w:tblW w:w="10648" w:type="dxa"/>
              <w:tblLook w:val="04A0" w:firstRow="1" w:lastRow="0" w:firstColumn="1" w:lastColumn="0" w:noHBand="0" w:noVBand="1"/>
            </w:tblPr>
            <w:tblGrid>
              <w:gridCol w:w="1288"/>
              <w:gridCol w:w="1040"/>
              <w:gridCol w:w="1040"/>
              <w:gridCol w:w="1040"/>
              <w:gridCol w:w="1040"/>
              <w:gridCol w:w="1040"/>
              <w:gridCol w:w="1040"/>
              <w:gridCol w:w="1040"/>
              <w:gridCol w:w="1040"/>
              <w:gridCol w:w="1040"/>
            </w:tblGrid>
            <w:tr w:rsidR="00B01EC0" w:rsidRPr="00B01EC0" w14:paraId="50670FE8" w14:textId="77777777" w:rsidTr="00B01EC0">
              <w:trPr>
                <w:trHeight w:val="300"/>
              </w:trPr>
              <w:tc>
                <w:tcPr>
                  <w:tcW w:w="1288" w:type="dxa"/>
                  <w:tcBorders>
                    <w:top w:val="nil"/>
                    <w:left w:val="nil"/>
                    <w:bottom w:val="single" w:sz="12" w:space="0" w:color="FFFFFF"/>
                    <w:right w:val="single" w:sz="8" w:space="0" w:color="FFFFFF"/>
                  </w:tcBorders>
                  <w:shd w:val="clear" w:color="000000" w:fill="F79646"/>
                  <w:noWrap/>
                  <w:vAlign w:val="center"/>
                  <w:hideMark/>
                </w:tcPr>
                <w:p w14:paraId="0DB5D89E"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收益率(%)</w:t>
                  </w:r>
                </w:p>
              </w:tc>
              <w:tc>
                <w:tcPr>
                  <w:tcW w:w="1040" w:type="dxa"/>
                  <w:tcBorders>
                    <w:top w:val="nil"/>
                    <w:left w:val="nil"/>
                    <w:bottom w:val="single" w:sz="12" w:space="0" w:color="FFFFFF"/>
                    <w:right w:val="single" w:sz="8" w:space="0" w:color="FFFFFF"/>
                  </w:tcBorders>
                  <w:shd w:val="clear" w:color="000000" w:fill="F79646"/>
                  <w:noWrap/>
                  <w:vAlign w:val="center"/>
                  <w:hideMark/>
                </w:tcPr>
                <w:p w14:paraId="1443D37B"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0914E45D"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01896CA0"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1018E961"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26BDEB02"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息差</w:t>
                  </w:r>
                </w:p>
              </w:tc>
              <w:tc>
                <w:tcPr>
                  <w:tcW w:w="1040" w:type="dxa"/>
                  <w:tcBorders>
                    <w:top w:val="nil"/>
                    <w:left w:val="nil"/>
                    <w:bottom w:val="single" w:sz="12" w:space="0" w:color="FFFFFF"/>
                    <w:right w:val="single" w:sz="8" w:space="0" w:color="FFFFFF"/>
                  </w:tcBorders>
                  <w:shd w:val="clear" w:color="000000" w:fill="F79646"/>
                  <w:noWrap/>
                  <w:vAlign w:val="center"/>
                  <w:hideMark/>
                </w:tcPr>
                <w:p w14:paraId="5EED769E"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56EC6726"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463DF392"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51B60EEA"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r>
            <w:tr w:rsidR="00B01EC0" w:rsidRPr="00B01EC0" w14:paraId="1BEA1AC8" w14:textId="77777777" w:rsidTr="00B01EC0">
              <w:trPr>
                <w:trHeight w:val="315"/>
              </w:trPr>
              <w:tc>
                <w:tcPr>
                  <w:tcW w:w="1288" w:type="dxa"/>
                  <w:tcBorders>
                    <w:top w:val="nil"/>
                    <w:left w:val="nil"/>
                    <w:bottom w:val="single" w:sz="8" w:space="0" w:color="FFFFFF"/>
                    <w:right w:val="single" w:sz="8" w:space="0" w:color="FFFFFF"/>
                  </w:tcBorders>
                  <w:shd w:val="clear" w:color="000000" w:fill="FCD5B4"/>
                  <w:noWrap/>
                  <w:vAlign w:val="center"/>
                  <w:hideMark/>
                </w:tcPr>
                <w:p w14:paraId="1CDA1C83"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76849046"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2.91 </w:t>
                  </w:r>
                </w:p>
              </w:tc>
              <w:tc>
                <w:tcPr>
                  <w:tcW w:w="1040" w:type="dxa"/>
                  <w:tcBorders>
                    <w:top w:val="nil"/>
                    <w:left w:val="nil"/>
                    <w:bottom w:val="single" w:sz="8" w:space="0" w:color="FFFFFF"/>
                    <w:right w:val="single" w:sz="8" w:space="0" w:color="FFFFFF"/>
                  </w:tcBorders>
                  <w:shd w:val="clear" w:color="000000" w:fill="FCD5B4"/>
                  <w:noWrap/>
                  <w:vAlign w:val="center"/>
                  <w:hideMark/>
                </w:tcPr>
                <w:p w14:paraId="569FC098"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3.06 </w:t>
                  </w:r>
                </w:p>
              </w:tc>
              <w:tc>
                <w:tcPr>
                  <w:tcW w:w="1040" w:type="dxa"/>
                  <w:tcBorders>
                    <w:top w:val="nil"/>
                    <w:left w:val="nil"/>
                    <w:bottom w:val="single" w:sz="8" w:space="0" w:color="FFFFFF"/>
                    <w:right w:val="single" w:sz="8" w:space="0" w:color="FFFFFF"/>
                  </w:tcBorders>
                  <w:shd w:val="clear" w:color="000000" w:fill="FCD5B4"/>
                  <w:noWrap/>
                  <w:vAlign w:val="center"/>
                  <w:hideMark/>
                </w:tcPr>
                <w:p w14:paraId="49AC681A"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3.23 </w:t>
                  </w:r>
                </w:p>
              </w:tc>
              <w:tc>
                <w:tcPr>
                  <w:tcW w:w="1040" w:type="dxa"/>
                  <w:tcBorders>
                    <w:top w:val="nil"/>
                    <w:left w:val="nil"/>
                    <w:bottom w:val="single" w:sz="8" w:space="0" w:color="FFFFFF"/>
                    <w:right w:val="single" w:sz="8" w:space="0" w:color="FFFFFF"/>
                  </w:tcBorders>
                  <w:shd w:val="clear" w:color="000000" w:fill="FCD5B4"/>
                  <w:noWrap/>
                  <w:vAlign w:val="center"/>
                  <w:hideMark/>
                </w:tcPr>
                <w:p w14:paraId="762281F6"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5.30 </w:t>
                  </w:r>
                </w:p>
              </w:tc>
              <w:tc>
                <w:tcPr>
                  <w:tcW w:w="1040" w:type="dxa"/>
                  <w:tcBorders>
                    <w:top w:val="nil"/>
                    <w:left w:val="nil"/>
                    <w:bottom w:val="single" w:sz="8" w:space="0" w:color="FFFFFF"/>
                    <w:right w:val="single" w:sz="8" w:space="0" w:color="FFFFFF"/>
                  </w:tcBorders>
                  <w:shd w:val="clear" w:color="000000" w:fill="FCD5B4"/>
                  <w:noWrap/>
                  <w:vAlign w:val="center"/>
                  <w:hideMark/>
                </w:tcPr>
                <w:p w14:paraId="24E0B660"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5BC14C07"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0.63 </w:t>
                  </w:r>
                </w:p>
              </w:tc>
              <w:tc>
                <w:tcPr>
                  <w:tcW w:w="1040" w:type="dxa"/>
                  <w:tcBorders>
                    <w:top w:val="nil"/>
                    <w:left w:val="nil"/>
                    <w:bottom w:val="single" w:sz="8" w:space="0" w:color="FFFFFF"/>
                    <w:right w:val="single" w:sz="8" w:space="0" w:color="FFFFFF"/>
                  </w:tcBorders>
                  <w:shd w:val="clear" w:color="000000" w:fill="FCD5B4"/>
                  <w:noWrap/>
                  <w:vAlign w:val="center"/>
                  <w:hideMark/>
                </w:tcPr>
                <w:p w14:paraId="218E8981"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0.78 </w:t>
                  </w:r>
                </w:p>
              </w:tc>
              <w:tc>
                <w:tcPr>
                  <w:tcW w:w="1040" w:type="dxa"/>
                  <w:tcBorders>
                    <w:top w:val="nil"/>
                    <w:left w:val="nil"/>
                    <w:bottom w:val="single" w:sz="8" w:space="0" w:color="FFFFFF"/>
                    <w:right w:val="single" w:sz="8" w:space="0" w:color="FFFFFF"/>
                  </w:tcBorders>
                  <w:shd w:val="clear" w:color="000000" w:fill="FCD5B4"/>
                  <w:noWrap/>
                  <w:vAlign w:val="center"/>
                  <w:hideMark/>
                </w:tcPr>
                <w:p w14:paraId="743DCEFC"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0.95 </w:t>
                  </w:r>
                </w:p>
              </w:tc>
              <w:tc>
                <w:tcPr>
                  <w:tcW w:w="1040" w:type="dxa"/>
                  <w:tcBorders>
                    <w:top w:val="nil"/>
                    <w:left w:val="nil"/>
                    <w:bottom w:val="single" w:sz="8" w:space="0" w:color="FFFFFF"/>
                    <w:right w:val="single" w:sz="8" w:space="0" w:color="FFFFFF"/>
                  </w:tcBorders>
                  <w:shd w:val="clear" w:color="000000" w:fill="FCD5B4"/>
                  <w:noWrap/>
                  <w:vAlign w:val="center"/>
                  <w:hideMark/>
                </w:tcPr>
                <w:p w14:paraId="023A9170"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3.02 </w:t>
                  </w:r>
                </w:p>
              </w:tc>
            </w:tr>
            <w:tr w:rsidR="00B01EC0" w:rsidRPr="00B01EC0" w14:paraId="4E1C01C0" w14:textId="77777777" w:rsidTr="00B01EC0">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7F121AC2"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74998CD8"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3.52 </w:t>
                  </w:r>
                </w:p>
              </w:tc>
              <w:tc>
                <w:tcPr>
                  <w:tcW w:w="1040" w:type="dxa"/>
                  <w:tcBorders>
                    <w:top w:val="nil"/>
                    <w:left w:val="nil"/>
                    <w:bottom w:val="single" w:sz="8" w:space="0" w:color="FFFFFF"/>
                    <w:right w:val="single" w:sz="8" w:space="0" w:color="FFFFFF"/>
                  </w:tcBorders>
                  <w:shd w:val="clear" w:color="000000" w:fill="FDE9D9"/>
                  <w:noWrap/>
                  <w:vAlign w:val="center"/>
                  <w:hideMark/>
                </w:tcPr>
                <w:p w14:paraId="41BD2AC9"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3.68 </w:t>
                  </w:r>
                </w:p>
              </w:tc>
              <w:tc>
                <w:tcPr>
                  <w:tcW w:w="1040" w:type="dxa"/>
                  <w:tcBorders>
                    <w:top w:val="nil"/>
                    <w:left w:val="nil"/>
                    <w:bottom w:val="single" w:sz="8" w:space="0" w:color="FFFFFF"/>
                    <w:right w:val="single" w:sz="8" w:space="0" w:color="FFFFFF"/>
                  </w:tcBorders>
                  <w:shd w:val="clear" w:color="000000" w:fill="FDE9D9"/>
                  <w:noWrap/>
                  <w:vAlign w:val="center"/>
                  <w:hideMark/>
                </w:tcPr>
                <w:p w14:paraId="111F45A7"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3.92 </w:t>
                  </w:r>
                </w:p>
              </w:tc>
              <w:tc>
                <w:tcPr>
                  <w:tcW w:w="1040" w:type="dxa"/>
                  <w:tcBorders>
                    <w:top w:val="nil"/>
                    <w:left w:val="nil"/>
                    <w:bottom w:val="single" w:sz="8" w:space="0" w:color="FFFFFF"/>
                    <w:right w:val="single" w:sz="8" w:space="0" w:color="FFFFFF"/>
                  </w:tcBorders>
                  <w:shd w:val="clear" w:color="000000" w:fill="FDE9D9"/>
                  <w:noWrap/>
                  <w:vAlign w:val="center"/>
                  <w:hideMark/>
                </w:tcPr>
                <w:p w14:paraId="77BFC8F8"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5.99 </w:t>
                  </w:r>
                </w:p>
              </w:tc>
              <w:tc>
                <w:tcPr>
                  <w:tcW w:w="1040" w:type="dxa"/>
                  <w:tcBorders>
                    <w:top w:val="nil"/>
                    <w:left w:val="nil"/>
                    <w:bottom w:val="single" w:sz="8" w:space="0" w:color="FFFFFF"/>
                    <w:right w:val="single" w:sz="8" w:space="0" w:color="FFFFFF"/>
                  </w:tcBorders>
                  <w:shd w:val="clear" w:color="000000" w:fill="FDE9D9"/>
                  <w:noWrap/>
                  <w:vAlign w:val="center"/>
                  <w:hideMark/>
                </w:tcPr>
                <w:p w14:paraId="138DBFDE"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40065F2C"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0.85 </w:t>
                  </w:r>
                </w:p>
              </w:tc>
              <w:tc>
                <w:tcPr>
                  <w:tcW w:w="1040" w:type="dxa"/>
                  <w:tcBorders>
                    <w:top w:val="nil"/>
                    <w:left w:val="nil"/>
                    <w:bottom w:val="single" w:sz="8" w:space="0" w:color="FFFFFF"/>
                    <w:right w:val="single" w:sz="8" w:space="0" w:color="FFFFFF"/>
                  </w:tcBorders>
                  <w:shd w:val="clear" w:color="000000" w:fill="FDE9D9"/>
                  <w:noWrap/>
                  <w:vAlign w:val="center"/>
                  <w:hideMark/>
                </w:tcPr>
                <w:p w14:paraId="4F7DE550"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1.01 </w:t>
                  </w:r>
                </w:p>
              </w:tc>
              <w:tc>
                <w:tcPr>
                  <w:tcW w:w="1040" w:type="dxa"/>
                  <w:tcBorders>
                    <w:top w:val="nil"/>
                    <w:left w:val="nil"/>
                    <w:bottom w:val="single" w:sz="8" w:space="0" w:color="FFFFFF"/>
                    <w:right w:val="single" w:sz="8" w:space="0" w:color="FFFFFF"/>
                  </w:tcBorders>
                  <w:shd w:val="clear" w:color="000000" w:fill="FDE9D9"/>
                  <w:noWrap/>
                  <w:vAlign w:val="center"/>
                  <w:hideMark/>
                </w:tcPr>
                <w:p w14:paraId="2BD30F19"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1.25 </w:t>
                  </w:r>
                </w:p>
              </w:tc>
              <w:tc>
                <w:tcPr>
                  <w:tcW w:w="1040" w:type="dxa"/>
                  <w:tcBorders>
                    <w:top w:val="nil"/>
                    <w:left w:val="nil"/>
                    <w:bottom w:val="single" w:sz="8" w:space="0" w:color="FFFFFF"/>
                    <w:right w:val="single" w:sz="8" w:space="0" w:color="FFFFFF"/>
                  </w:tcBorders>
                  <w:shd w:val="clear" w:color="000000" w:fill="FDE9D9"/>
                  <w:noWrap/>
                  <w:vAlign w:val="center"/>
                  <w:hideMark/>
                </w:tcPr>
                <w:p w14:paraId="5AF6EE2C"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3.32 </w:t>
                  </w:r>
                </w:p>
              </w:tc>
            </w:tr>
            <w:tr w:rsidR="00B01EC0" w:rsidRPr="00B01EC0" w14:paraId="6367359F" w14:textId="77777777" w:rsidTr="00B01EC0">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237BEE94"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647C76B6"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3.86 </w:t>
                  </w:r>
                </w:p>
              </w:tc>
              <w:tc>
                <w:tcPr>
                  <w:tcW w:w="1040" w:type="dxa"/>
                  <w:tcBorders>
                    <w:top w:val="nil"/>
                    <w:left w:val="nil"/>
                    <w:bottom w:val="single" w:sz="8" w:space="0" w:color="FFFFFF"/>
                    <w:right w:val="single" w:sz="8" w:space="0" w:color="FFFFFF"/>
                  </w:tcBorders>
                  <w:shd w:val="clear" w:color="000000" w:fill="FCD5B4"/>
                  <w:noWrap/>
                  <w:vAlign w:val="center"/>
                  <w:hideMark/>
                </w:tcPr>
                <w:p w14:paraId="15E300E2"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4.13 </w:t>
                  </w:r>
                </w:p>
              </w:tc>
              <w:tc>
                <w:tcPr>
                  <w:tcW w:w="1040" w:type="dxa"/>
                  <w:tcBorders>
                    <w:top w:val="nil"/>
                    <w:left w:val="nil"/>
                    <w:bottom w:val="single" w:sz="8" w:space="0" w:color="FFFFFF"/>
                    <w:right w:val="single" w:sz="8" w:space="0" w:color="FFFFFF"/>
                  </w:tcBorders>
                  <w:shd w:val="clear" w:color="000000" w:fill="FCD5B4"/>
                  <w:noWrap/>
                  <w:vAlign w:val="center"/>
                  <w:hideMark/>
                </w:tcPr>
                <w:p w14:paraId="40A58CA2"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4.50 </w:t>
                  </w:r>
                </w:p>
              </w:tc>
              <w:tc>
                <w:tcPr>
                  <w:tcW w:w="1040" w:type="dxa"/>
                  <w:tcBorders>
                    <w:top w:val="nil"/>
                    <w:left w:val="nil"/>
                    <w:bottom w:val="single" w:sz="8" w:space="0" w:color="FFFFFF"/>
                    <w:right w:val="single" w:sz="8" w:space="0" w:color="FFFFFF"/>
                  </w:tcBorders>
                  <w:shd w:val="clear" w:color="000000" w:fill="FCD5B4"/>
                  <w:noWrap/>
                  <w:vAlign w:val="center"/>
                  <w:hideMark/>
                </w:tcPr>
                <w:p w14:paraId="2A10F4FA"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6.67 </w:t>
                  </w:r>
                </w:p>
              </w:tc>
              <w:tc>
                <w:tcPr>
                  <w:tcW w:w="1040" w:type="dxa"/>
                  <w:tcBorders>
                    <w:top w:val="nil"/>
                    <w:left w:val="nil"/>
                    <w:bottom w:val="single" w:sz="8" w:space="0" w:color="FFFFFF"/>
                    <w:right w:val="single" w:sz="8" w:space="0" w:color="FFFFFF"/>
                  </w:tcBorders>
                  <w:shd w:val="clear" w:color="000000" w:fill="FCD5B4"/>
                  <w:noWrap/>
                  <w:vAlign w:val="center"/>
                  <w:hideMark/>
                </w:tcPr>
                <w:p w14:paraId="6792D14B"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0674061D"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1.04 </w:t>
                  </w:r>
                </w:p>
              </w:tc>
              <w:tc>
                <w:tcPr>
                  <w:tcW w:w="1040" w:type="dxa"/>
                  <w:tcBorders>
                    <w:top w:val="nil"/>
                    <w:left w:val="nil"/>
                    <w:bottom w:val="single" w:sz="8" w:space="0" w:color="FFFFFF"/>
                    <w:right w:val="single" w:sz="8" w:space="0" w:color="FFFFFF"/>
                  </w:tcBorders>
                  <w:shd w:val="clear" w:color="000000" w:fill="FCD5B4"/>
                  <w:noWrap/>
                  <w:vAlign w:val="center"/>
                  <w:hideMark/>
                </w:tcPr>
                <w:p w14:paraId="2C1B2E2C"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1.31 </w:t>
                  </w:r>
                </w:p>
              </w:tc>
              <w:tc>
                <w:tcPr>
                  <w:tcW w:w="1040" w:type="dxa"/>
                  <w:tcBorders>
                    <w:top w:val="nil"/>
                    <w:left w:val="nil"/>
                    <w:bottom w:val="single" w:sz="8" w:space="0" w:color="FFFFFF"/>
                    <w:right w:val="single" w:sz="8" w:space="0" w:color="FFFFFF"/>
                  </w:tcBorders>
                  <w:shd w:val="clear" w:color="000000" w:fill="FCD5B4"/>
                  <w:noWrap/>
                  <w:vAlign w:val="center"/>
                  <w:hideMark/>
                </w:tcPr>
                <w:p w14:paraId="29C72B32"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1.68 </w:t>
                  </w:r>
                </w:p>
              </w:tc>
              <w:tc>
                <w:tcPr>
                  <w:tcW w:w="1040" w:type="dxa"/>
                  <w:tcBorders>
                    <w:top w:val="nil"/>
                    <w:left w:val="nil"/>
                    <w:bottom w:val="single" w:sz="8" w:space="0" w:color="FFFFFF"/>
                    <w:right w:val="single" w:sz="8" w:space="0" w:color="FFFFFF"/>
                  </w:tcBorders>
                  <w:shd w:val="clear" w:color="000000" w:fill="FCD5B4"/>
                  <w:noWrap/>
                  <w:vAlign w:val="center"/>
                  <w:hideMark/>
                </w:tcPr>
                <w:p w14:paraId="58D0F581"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3.85 </w:t>
                  </w:r>
                </w:p>
              </w:tc>
            </w:tr>
            <w:tr w:rsidR="00B01EC0" w:rsidRPr="00B01EC0" w14:paraId="21C7FCB6" w14:textId="77777777" w:rsidTr="00B01EC0">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0980F3D9"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33179291"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3.50 </w:t>
                  </w:r>
                </w:p>
              </w:tc>
              <w:tc>
                <w:tcPr>
                  <w:tcW w:w="1040" w:type="dxa"/>
                  <w:tcBorders>
                    <w:top w:val="nil"/>
                    <w:left w:val="nil"/>
                    <w:bottom w:val="single" w:sz="8" w:space="0" w:color="FFFFFF"/>
                    <w:right w:val="single" w:sz="8" w:space="0" w:color="FFFFFF"/>
                  </w:tcBorders>
                  <w:shd w:val="clear" w:color="000000" w:fill="FDE9D9"/>
                  <w:noWrap/>
                  <w:vAlign w:val="center"/>
                  <w:hideMark/>
                </w:tcPr>
                <w:p w14:paraId="2A5E8A23"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3.67 </w:t>
                  </w:r>
                </w:p>
              </w:tc>
              <w:tc>
                <w:tcPr>
                  <w:tcW w:w="1040" w:type="dxa"/>
                  <w:tcBorders>
                    <w:top w:val="nil"/>
                    <w:left w:val="nil"/>
                    <w:bottom w:val="single" w:sz="8" w:space="0" w:color="FFFFFF"/>
                    <w:right w:val="single" w:sz="8" w:space="0" w:color="FFFFFF"/>
                  </w:tcBorders>
                  <w:shd w:val="clear" w:color="000000" w:fill="FDE9D9"/>
                  <w:noWrap/>
                  <w:vAlign w:val="center"/>
                  <w:hideMark/>
                </w:tcPr>
                <w:p w14:paraId="07E622C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3.92 </w:t>
                  </w:r>
                </w:p>
              </w:tc>
              <w:tc>
                <w:tcPr>
                  <w:tcW w:w="1040" w:type="dxa"/>
                  <w:tcBorders>
                    <w:top w:val="nil"/>
                    <w:left w:val="nil"/>
                    <w:bottom w:val="single" w:sz="8" w:space="0" w:color="FFFFFF"/>
                    <w:right w:val="single" w:sz="8" w:space="0" w:color="FFFFFF"/>
                  </w:tcBorders>
                  <w:shd w:val="clear" w:color="000000" w:fill="FDE9D9"/>
                  <w:noWrap/>
                  <w:vAlign w:val="center"/>
                  <w:hideMark/>
                </w:tcPr>
                <w:p w14:paraId="22D1F442"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5.99 </w:t>
                  </w:r>
                </w:p>
              </w:tc>
              <w:tc>
                <w:tcPr>
                  <w:tcW w:w="1040" w:type="dxa"/>
                  <w:tcBorders>
                    <w:top w:val="nil"/>
                    <w:left w:val="nil"/>
                    <w:bottom w:val="single" w:sz="8" w:space="0" w:color="FFFFFF"/>
                    <w:right w:val="single" w:sz="8" w:space="0" w:color="FFFFFF"/>
                  </w:tcBorders>
                  <w:shd w:val="clear" w:color="000000" w:fill="FDE9D9"/>
                  <w:noWrap/>
                  <w:vAlign w:val="center"/>
                  <w:hideMark/>
                </w:tcPr>
                <w:p w14:paraId="6B943D06"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30F60019"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0.83 </w:t>
                  </w:r>
                </w:p>
              </w:tc>
              <w:tc>
                <w:tcPr>
                  <w:tcW w:w="1040" w:type="dxa"/>
                  <w:tcBorders>
                    <w:top w:val="nil"/>
                    <w:left w:val="nil"/>
                    <w:bottom w:val="single" w:sz="8" w:space="0" w:color="FFFFFF"/>
                    <w:right w:val="single" w:sz="8" w:space="0" w:color="FFFFFF"/>
                  </w:tcBorders>
                  <w:shd w:val="clear" w:color="000000" w:fill="FDE9D9"/>
                  <w:noWrap/>
                  <w:vAlign w:val="center"/>
                  <w:hideMark/>
                </w:tcPr>
                <w:p w14:paraId="686E8EB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1.00 </w:t>
                  </w:r>
                </w:p>
              </w:tc>
              <w:tc>
                <w:tcPr>
                  <w:tcW w:w="1040" w:type="dxa"/>
                  <w:tcBorders>
                    <w:top w:val="nil"/>
                    <w:left w:val="nil"/>
                    <w:bottom w:val="single" w:sz="8" w:space="0" w:color="FFFFFF"/>
                    <w:right w:val="single" w:sz="8" w:space="0" w:color="FFFFFF"/>
                  </w:tcBorders>
                  <w:shd w:val="clear" w:color="000000" w:fill="FDE9D9"/>
                  <w:noWrap/>
                  <w:vAlign w:val="center"/>
                  <w:hideMark/>
                </w:tcPr>
                <w:p w14:paraId="746678F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1.25 </w:t>
                  </w:r>
                </w:p>
              </w:tc>
              <w:tc>
                <w:tcPr>
                  <w:tcW w:w="1040" w:type="dxa"/>
                  <w:tcBorders>
                    <w:top w:val="nil"/>
                    <w:left w:val="nil"/>
                    <w:bottom w:val="single" w:sz="8" w:space="0" w:color="FFFFFF"/>
                    <w:right w:val="single" w:sz="8" w:space="0" w:color="FFFFFF"/>
                  </w:tcBorders>
                  <w:shd w:val="clear" w:color="000000" w:fill="FDE9D9"/>
                  <w:noWrap/>
                  <w:vAlign w:val="center"/>
                  <w:hideMark/>
                </w:tcPr>
                <w:p w14:paraId="1A3C990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3.32 </w:t>
                  </w:r>
                </w:p>
              </w:tc>
            </w:tr>
            <w:tr w:rsidR="00B01EC0" w:rsidRPr="00B01EC0" w14:paraId="2043D560" w14:textId="77777777" w:rsidTr="00B01EC0">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1036910F"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1867B61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3.86 </w:t>
                  </w:r>
                </w:p>
              </w:tc>
              <w:tc>
                <w:tcPr>
                  <w:tcW w:w="1040" w:type="dxa"/>
                  <w:tcBorders>
                    <w:top w:val="nil"/>
                    <w:left w:val="nil"/>
                    <w:bottom w:val="single" w:sz="8" w:space="0" w:color="FFFFFF"/>
                    <w:right w:val="single" w:sz="8" w:space="0" w:color="FFFFFF"/>
                  </w:tcBorders>
                  <w:shd w:val="clear" w:color="000000" w:fill="FCD5B4"/>
                  <w:noWrap/>
                  <w:vAlign w:val="center"/>
                  <w:hideMark/>
                </w:tcPr>
                <w:p w14:paraId="5DC1F27D"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4.13 </w:t>
                  </w:r>
                </w:p>
              </w:tc>
              <w:tc>
                <w:tcPr>
                  <w:tcW w:w="1040" w:type="dxa"/>
                  <w:tcBorders>
                    <w:top w:val="nil"/>
                    <w:left w:val="nil"/>
                    <w:bottom w:val="single" w:sz="8" w:space="0" w:color="FFFFFF"/>
                    <w:right w:val="single" w:sz="8" w:space="0" w:color="FFFFFF"/>
                  </w:tcBorders>
                  <w:shd w:val="clear" w:color="000000" w:fill="FCD5B4"/>
                  <w:noWrap/>
                  <w:vAlign w:val="center"/>
                  <w:hideMark/>
                </w:tcPr>
                <w:p w14:paraId="74808697"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4.50 </w:t>
                  </w:r>
                </w:p>
              </w:tc>
              <w:tc>
                <w:tcPr>
                  <w:tcW w:w="1040" w:type="dxa"/>
                  <w:tcBorders>
                    <w:top w:val="nil"/>
                    <w:left w:val="nil"/>
                    <w:bottom w:val="single" w:sz="8" w:space="0" w:color="FFFFFF"/>
                    <w:right w:val="single" w:sz="8" w:space="0" w:color="FFFFFF"/>
                  </w:tcBorders>
                  <w:shd w:val="clear" w:color="000000" w:fill="FCD5B4"/>
                  <w:noWrap/>
                  <w:vAlign w:val="center"/>
                  <w:hideMark/>
                </w:tcPr>
                <w:p w14:paraId="01B83F41"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6.67 </w:t>
                  </w:r>
                </w:p>
              </w:tc>
              <w:tc>
                <w:tcPr>
                  <w:tcW w:w="1040" w:type="dxa"/>
                  <w:tcBorders>
                    <w:top w:val="nil"/>
                    <w:left w:val="nil"/>
                    <w:bottom w:val="single" w:sz="8" w:space="0" w:color="FFFFFF"/>
                    <w:right w:val="single" w:sz="8" w:space="0" w:color="FFFFFF"/>
                  </w:tcBorders>
                  <w:shd w:val="clear" w:color="000000" w:fill="FCD5B4"/>
                  <w:noWrap/>
                  <w:vAlign w:val="center"/>
                  <w:hideMark/>
                </w:tcPr>
                <w:p w14:paraId="145F3F69"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25106BBA"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1.04 </w:t>
                  </w:r>
                </w:p>
              </w:tc>
              <w:tc>
                <w:tcPr>
                  <w:tcW w:w="1040" w:type="dxa"/>
                  <w:tcBorders>
                    <w:top w:val="nil"/>
                    <w:left w:val="nil"/>
                    <w:bottom w:val="single" w:sz="8" w:space="0" w:color="FFFFFF"/>
                    <w:right w:val="single" w:sz="8" w:space="0" w:color="FFFFFF"/>
                  </w:tcBorders>
                  <w:shd w:val="clear" w:color="000000" w:fill="FCD5B4"/>
                  <w:noWrap/>
                  <w:vAlign w:val="center"/>
                  <w:hideMark/>
                </w:tcPr>
                <w:p w14:paraId="02017B1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1.31 </w:t>
                  </w:r>
                </w:p>
              </w:tc>
              <w:tc>
                <w:tcPr>
                  <w:tcW w:w="1040" w:type="dxa"/>
                  <w:tcBorders>
                    <w:top w:val="nil"/>
                    <w:left w:val="nil"/>
                    <w:bottom w:val="single" w:sz="8" w:space="0" w:color="FFFFFF"/>
                    <w:right w:val="single" w:sz="8" w:space="0" w:color="FFFFFF"/>
                  </w:tcBorders>
                  <w:shd w:val="clear" w:color="000000" w:fill="FCD5B4"/>
                  <w:noWrap/>
                  <w:vAlign w:val="center"/>
                  <w:hideMark/>
                </w:tcPr>
                <w:p w14:paraId="0DDCD863"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1.68 </w:t>
                  </w:r>
                </w:p>
              </w:tc>
              <w:tc>
                <w:tcPr>
                  <w:tcW w:w="1040" w:type="dxa"/>
                  <w:tcBorders>
                    <w:top w:val="nil"/>
                    <w:left w:val="nil"/>
                    <w:bottom w:val="single" w:sz="8" w:space="0" w:color="FFFFFF"/>
                    <w:right w:val="single" w:sz="8" w:space="0" w:color="FFFFFF"/>
                  </w:tcBorders>
                  <w:shd w:val="clear" w:color="000000" w:fill="FCD5B4"/>
                  <w:noWrap/>
                  <w:vAlign w:val="center"/>
                  <w:hideMark/>
                </w:tcPr>
                <w:p w14:paraId="6C660111"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3.85 </w:t>
                  </w:r>
                </w:p>
              </w:tc>
            </w:tr>
            <w:tr w:rsidR="00B01EC0" w:rsidRPr="00B01EC0" w14:paraId="05660189" w14:textId="77777777" w:rsidTr="00B01EC0">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655D8270"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4F61F63A"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3.92 </w:t>
                  </w:r>
                </w:p>
              </w:tc>
              <w:tc>
                <w:tcPr>
                  <w:tcW w:w="1040" w:type="dxa"/>
                  <w:tcBorders>
                    <w:top w:val="nil"/>
                    <w:left w:val="nil"/>
                    <w:bottom w:val="single" w:sz="8" w:space="0" w:color="FFFFFF"/>
                    <w:right w:val="single" w:sz="8" w:space="0" w:color="FFFFFF"/>
                  </w:tcBorders>
                  <w:shd w:val="clear" w:color="000000" w:fill="FDE9D9"/>
                  <w:noWrap/>
                  <w:vAlign w:val="center"/>
                  <w:hideMark/>
                </w:tcPr>
                <w:p w14:paraId="7C2FEC5A"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4.26 </w:t>
                  </w:r>
                </w:p>
              </w:tc>
              <w:tc>
                <w:tcPr>
                  <w:tcW w:w="1040" w:type="dxa"/>
                  <w:tcBorders>
                    <w:top w:val="nil"/>
                    <w:left w:val="nil"/>
                    <w:bottom w:val="single" w:sz="8" w:space="0" w:color="FFFFFF"/>
                    <w:right w:val="single" w:sz="8" w:space="0" w:color="FFFFFF"/>
                  </w:tcBorders>
                  <w:shd w:val="clear" w:color="000000" w:fill="FDE9D9"/>
                  <w:noWrap/>
                  <w:vAlign w:val="center"/>
                  <w:hideMark/>
                </w:tcPr>
                <w:p w14:paraId="558B3E5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4.65 </w:t>
                  </w:r>
                </w:p>
              </w:tc>
              <w:tc>
                <w:tcPr>
                  <w:tcW w:w="1040" w:type="dxa"/>
                  <w:tcBorders>
                    <w:top w:val="nil"/>
                    <w:left w:val="nil"/>
                    <w:bottom w:val="single" w:sz="8" w:space="0" w:color="FFFFFF"/>
                    <w:right w:val="single" w:sz="8" w:space="0" w:color="FFFFFF"/>
                  </w:tcBorders>
                  <w:shd w:val="clear" w:color="000000" w:fill="FDE9D9"/>
                  <w:noWrap/>
                  <w:vAlign w:val="center"/>
                  <w:hideMark/>
                </w:tcPr>
                <w:p w14:paraId="59E477C9"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6.82 </w:t>
                  </w:r>
                </w:p>
              </w:tc>
              <w:tc>
                <w:tcPr>
                  <w:tcW w:w="1040" w:type="dxa"/>
                  <w:tcBorders>
                    <w:top w:val="nil"/>
                    <w:left w:val="nil"/>
                    <w:bottom w:val="single" w:sz="8" w:space="0" w:color="FFFFFF"/>
                    <w:right w:val="single" w:sz="8" w:space="0" w:color="FFFFFF"/>
                  </w:tcBorders>
                  <w:shd w:val="clear" w:color="000000" w:fill="FDE9D9"/>
                  <w:noWrap/>
                  <w:vAlign w:val="center"/>
                  <w:hideMark/>
                </w:tcPr>
                <w:p w14:paraId="2CD4397B"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64ADE6E4"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0.92 </w:t>
                  </w:r>
                </w:p>
              </w:tc>
              <w:tc>
                <w:tcPr>
                  <w:tcW w:w="1040" w:type="dxa"/>
                  <w:tcBorders>
                    <w:top w:val="nil"/>
                    <w:left w:val="nil"/>
                    <w:bottom w:val="single" w:sz="8" w:space="0" w:color="FFFFFF"/>
                    <w:right w:val="single" w:sz="8" w:space="0" w:color="FFFFFF"/>
                  </w:tcBorders>
                  <w:shd w:val="clear" w:color="000000" w:fill="FDE9D9"/>
                  <w:noWrap/>
                  <w:vAlign w:val="center"/>
                  <w:hideMark/>
                </w:tcPr>
                <w:p w14:paraId="7E7FB668"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1.26 </w:t>
                  </w:r>
                </w:p>
              </w:tc>
              <w:tc>
                <w:tcPr>
                  <w:tcW w:w="1040" w:type="dxa"/>
                  <w:tcBorders>
                    <w:top w:val="nil"/>
                    <w:left w:val="nil"/>
                    <w:bottom w:val="single" w:sz="8" w:space="0" w:color="FFFFFF"/>
                    <w:right w:val="single" w:sz="8" w:space="0" w:color="FFFFFF"/>
                  </w:tcBorders>
                  <w:shd w:val="clear" w:color="000000" w:fill="FDE9D9"/>
                  <w:noWrap/>
                  <w:vAlign w:val="center"/>
                  <w:hideMark/>
                </w:tcPr>
                <w:p w14:paraId="04859E1C"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1.65 </w:t>
                  </w:r>
                </w:p>
              </w:tc>
              <w:tc>
                <w:tcPr>
                  <w:tcW w:w="1040" w:type="dxa"/>
                  <w:tcBorders>
                    <w:top w:val="nil"/>
                    <w:left w:val="nil"/>
                    <w:bottom w:val="single" w:sz="8" w:space="0" w:color="FFFFFF"/>
                    <w:right w:val="single" w:sz="8" w:space="0" w:color="FFFFFF"/>
                  </w:tcBorders>
                  <w:shd w:val="clear" w:color="000000" w:fill="FDE9D9"/>
                  <w:noWrap/>
                  <w:vAlign w:val="center"/>
                  <w:hideMark/>
                </w:tcPr>
                <w:p w14:paraId="150F420F"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3.82 </w:t>
                  </w:r>
                </w:p>
              </w:tc>
            </w:tr>
            <w:tr w:rsidR="00B01EC0" w:rsidRPr="00B01EC0" w14:paraId="3BB4756D" w14:textId="77777777" w:rsidTr="00B01EC0">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35558E35"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2E3D4BE4"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3.52 </w:t>
                  </w:r>
                </w:p>
              </w:tc>
              <w:tc>
                <w:tcPr>
                  <w:tcW w:w="1040" w:type="dxa"/>
                  <w:tcBorders>
                    <w:top w:val="nil"/>
                    <w:left w:val="nil"/>
                    <w:bottom w:val="single" w:sz="8" w:space="0" w:color="FFFFFF"/>
                    <w:right w:val="single" w:sz="8" w:space="0" w:color="FFFFFF"/>
                  </w:tcBorders>
                  <w:shd w:val="clear" w:color="000000" w:fill="FCD5B4"/>
                  <w:noWrap/>
                  <w:vAlign w:val="center"/>
                  <w:hideMark/>
                </w:tcPr>
                <w:p w14:paraId="00952BF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3.64 </w:t>
                  </w:r>
                </w:p>
              </w:tc>
              <w:tc>
                <w:tcPr>
                  <w:tcW w:w="1040" w:type="dxa"/>
                  <w:tcBorders>
                    <w:top w:val="nil"/>
                    <w:left w:val="nil"/>
                    <w:bottom w:val="single" w:sz="8" w:space="0" w:color="FFFFFF"/>
                    <w:right w:val="single" w:sz="8" w:space="0" w:color="FFFFFF"/>
                  </w:tcBorders>
                  <w:shd w:val="clear" w:color="000000" w:fill="FCD5B4"/>
                  <w:noWrap/>
                  <w:vAlign w:val="center"/>
                  <w:hideMark/>
                </w:tcPr>
                <w:p w14:paraId="75C571A8"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3.82 </w:t>
                  </w:r>
                </w:p>
              </w:tc>
              <w:tc>
                <w:tcPr>
                  <w:tcW w:w="1040" w:type="dxa"/>
                  <w:tcBorders>
                    <w:top w:val="nil"/>
                    <w:left w:val="nil"/>
                    <w:bottom w:val="single" w:sz="8" w:space="0" w:color="FFFFFF"/>
                    <w:right w:val="single" w:sz="8" w:space="0" w:color="FFFFFF"/>
                  </w:tcBorders>
                  <w:shd w:val="clear" w:color="000000" w:fill="FCD5B4"/>
                  <w:noWrap/>
                  <w:vAlign w:val="center"/>
                  <w:hideMark/>
                </w:tcPr>
                <w:p w14:paraId="32A637B0"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5.59 </w:t>
                  </w:r>
                </w:p>
              </w:tc>
              <w:tc>
                <w:tcPr>
                  <w:tcW w:w="1040" w:type="dxa"/>
                  <w:tcBorders>
                    <w:top w:val="nil"/>
                    <w:left w:val="nil"/>
                    <w:bottom w:val="single" w:sz="8" w:space="0" w:color="FFFFFF"/>
                    <w:right w:val="single" w:sz="8" w:space="0" w:color="FFFFFF"/>
                  </w:tcBorders>
                  <w:shd w:val="clear" w:color="000000" w:fill="FCD5B4"/>
                  <w:noWrap/>
                  <w:vAlign w:val="center"/>
                  <w:hideMark/>
                </w:tcPr>
                <w:p w14:paraId="2DB3317B"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4E7E0DA8"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0.85 </w:t>
                  </w:r>
                </w:p>
              </w:tc>
              <w:tc>
                <w:tcPr>
                  <w:tcW w:w="1040" w:type="dxa"/>
                  <w:tcBorders>
                    <w:top w:val="nil"/>
                    <w:left w:val="nil"/>
                    <w:bottom w:val="single" w:sz="8" w:space="0" w:color="FFFFFF"/>
                    <w:right w:val="single" w:sz="8" w:space="0" w:color="FFFFFF"/>
                  </w:tcBorders>
                  <w:shd w:val="clear" w:color="000000" w:fill="FCD5B4"/>
                  <w:noWrap/>
                  <w:vAlign w:val="center"/>
                  <w:hideMark/>
                </w:tcPr>
                <w:p w14:paraId="54DEB4E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0.97 </w:t>
                  </w:r>
                </w:p>
              </w:tc>
              <w:tc>
                <w:tcPr>
                  <w:tcW w:w="1040" w:type="dxa"/>
                  <w:tcBorders>
                    <w:top w:val="nil"/>
                    <w:left w:val="nil"/>
                    <w:bottom w:val="single" w:sz="8" w:space="0" w:color="FFFFFF"/>
                    <w:right w:val="single" w:sz="8" w:space="0" w:color="FFFFFF"/>
                  </w:tcBorders>
                  <w:shd w:val="clear" w:color="000000" w:fill="FCD5B4"/>
                  <w:noWrap/>
                  <w:vAlign w:val="center"/>
                  <w:hideMark/>
                </w:tcPr>
                <w:p w14:paraId="7ECFF290"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1.15 </w:t>
                  </w:r>
                </w:p>
              </w:tc>
              <w:tc>
                <w:tcPr>
                  <w:tcW w:w="1040" w:type="dxa"/>
                  <w:tcBorders>
                    <w:top w:val="nil"/>
                    <w:left w:val="nil"/>
                    <w:bottom w:val="single" w:sz="8" w:space="0" w:color="FFFFFF"/>
                    <w:right w:val="single" w:sz="8" w:space="0" w:color="FFFFFF"/>
                  </w:tcBorders>
                  <w:shd w:val="clear" w:color="000000" w:fill="FCD5B4"/>
                  <w:noWrap/>
                  <w:vAlign w:val="center"/>
                  <w:hideMark/>
                </w:tcPr>
                <w:p w14:paraId="0A9971E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2.92 </w:t>
                  </w:r>
                </w:p>
              </w:tc>
            </w:tr>
            <w:tr w:rsidR="00B01EC0" w:rsidRPr="00B01EC0" w14:paraId="12A71646" w14:textId="77777777" w:rsidTr="00B01EC0">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1509B8C2"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31019C01"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3.87 </w:t>
                  </w:r>
                </w:p>
              </w:tc>
              <w:tc>
                <w:tcPr>
                  <w:tcW w:w="1040" w:type="dxa"/>
                  <w:tcBorders>
                    <w:top w:val="nil"/>
                    <w:left w:val="nil"/>
                    <w:bottom w:val="single" w:sz="8" w:space="0" w:color="FFFFFF"/>
                    <w:right w:val="single" w:sz="8" w:space="0" w:color="FFFFFF"/>
                  </w:tcBorders>
                  <w:shd w:val="clear" w:color="000000" w:fill="FDE9D9"/>
                  <w:noWrap/>
                  <w:vAlign w:val="center"/>
                  <w:hideMark/>
                </w:tcPr>
                <w:p w14:paraId="25CAAEAD"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4.03 </w:t>
                  </w:r>
                </w:p>
              </w:tc>
              <w:tc>
                <w:tcPr>
                  <w:tcW w:w="1040" w:type="dxa"/>
                  <w:tcBorders>
                    <w:top w:val="nil"/>
                    <w:left w:val="nil"/>
                    <w:bottom w:val="single" w:sz="8" w:space="0" w:color="FFFFFF"/>
                    <w:right w:val="single" w:sz="8" w:space="0" w:color="FFFFFF"/>
                  </w:tcBorders>
                  <w:shd w:val="clear" w:color="000000" w:fill="FDE9D9"/>
                  <w:noWrap/>
                  <w:vAlign w:val="center"/>
                  <w:hideMark/>
                </w:tcPr>
                <w:p w14:paraId="6B9BF44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4.25 </w:t>
                  </w:r>
                </w:p>
              </w:tc>
              <w:tc>
                <w:tcPr>
                  <w:tcW w:w="1040" w:type="dxa"/>
                  <w:tcBorders>
                    <w:top w:val="nil"/>
                    <w:left w:val="nil"/>
                    <w:bottom w:val="single" w:sz="8" w:space="0" w:color="FFFFFF"/>
                    <w:right w:val="single" w:sz="8" w:space="0" w:color="FFFFFF"/>
                  </w:tcBorders>
                  <w:shd w:val="clear" w:color="000000" w:fill="FDE9D9"/>
                  <w:noWrap/>
                  <w:vAlign w:val="center"/>
                  <w:hideMark/>
                </w:tcPr>
                <w:p w14:paraId="58F7CC18"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6.55 </w:t>
                  </w:r>
                </w:p>
              </w:tc>
              <w:tc>
                <w:tcPr>
                  <w:tcW w:w="1040" w:type="dxa"/>
                  <w:tcBorders>
                    <w:top w:val="nil"/>
                    <w:left w:val="nil"/>
                    <w:bottom w:val="single" w:sz="8" w:space="0" w:color="FFFFFF"/>
                    <w:right w:val="single" w:sz="8" w:space="0" w:color="FFFFFF"/>
                  </w:tcBorders>
                  <w:shd w:val="clear" w:color="000000" w:fill="FDE9D9"/>
                  <w:noWrap/>
                  <w:vAlign w:val="center"/>
                  <w:hideMark/>
                </w:tcPr>
                <w:p w14:paraId="355D8F75"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61555411"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1.05 </w:t>
                  </w:r>
                </w:p>
              </w:tc>
              <w:tc>
                <w:tcPr>
                  <w:tcW w:w="1040" w:type="dxa"/>
                  <w:tcBorders>
                    <w:top w:val="nil"/>
                    <w:left w:val="nil"/>
                    <w:bottom w:val="single" w:sz="8" w:space="0" w:color="FFFFFF"/>
                    <w:right w:val="single" w:sz="8" w:space="0" w:color="FFFFFF"/>
                  </w:tcBorders>
                  <w:shd w:val="clear" w:color="000000" w:fill="FDE9D9"/>
                  <w:noWrap/>
                  <w:vAlign w:val="center"/>
                  <w:hideMark/>
                </w:tcPr>
                <w:p w14:paraId="218704D7"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1.21 </w:t>
                  </w:r>
                </w:p>
              </w:tc>
              <w:tc>
                <w:tcPr>
                  <w:tcW w:w="1040" w:type="dxa"/>
                  <w:tcBorders>
                    <w:top w:val="nil"/>
                    <w:left w:val="nil"/>
                    <w:bottom w:val="single" w:sz="8" w:space="0" w:color="FFFFFF"/>
                    <w:right w:val="single" w:sz="8" w:space="0" w:color="FFFFFF"/>
                  </w:tcBorders>
                  <w:shd w:val="clear" w:color="000000" w:fill="FDE9D9"/>
                  <w:noWrap/>
                  <w:vAlign w:val="center"/>
                  <w:hideMark/>
                </w:tcPr>
                <w:p w14:paraId="53D17ED3"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1.43 </w:t>
                  </w:r>
                </w:p>
              </w:tc>
              <w:tc>
                <w:tcPr>
                  <w:tcW w:w="1040" w:type="dxa"/>
                  <w:tcBorders>
                    <w:top w:val="nil"/>
                    <w:left w:val="nil"/>
                    <w:bottom w:val="single" w:sz="8" w:space="0" w:color="FFFFFF"/>
                    <w:right w:val="single" w:sz="8" w:space="0" w:color="FFFFFF"/>
                  </w:tcBorders>
                  <w:shd w:val="clear" w:color="000000" w:fill="FDE9D9"/>
                  <w:noWrap/>
                  <w:vAlign w:val="center"/>
                  <w:hideMark/>
                </w:tcPr>
                <w:p w14:paraId="26FB52E0"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3.73 </w:t>
                  </w:r>
                </w:p>
              </w:tc>
            </w:tr>
            <w:tr w:rsidR="00B01EC0" w:rsidRPr="00B01EC0" w14:paraId="36393994" w14:textId="77777777" w:rsidTr="00B01EC0">
              <w:trPr>
                <w:trHeight w:val="300"/>
              </w:trPr>
              <w:tc>
                <w:tcPr>
                  <w:tcW w:w="1288" w:type="dxa"/>
                  <w:tcBorders>
                    <w:top w:val="nil"/>
                    <w:left w:val="nil"/>
                    <w:bottom w:val="nil"/>
                    <w:right w:val="nil"/>
                  </w:tcBorders>
                  <w:shd w:val="clear" w:color="000000" w:fill="FCD5B4"/>
                  <w:noWrap/>
                  <w:vAlign w:val="center"/>
                  <w:hideMark/>
                </w:tcPr>
                <w:p w14:paraId="2F0E2611"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4CD71B37"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3.98 </w:t>
                  </w:r>
                </w:p>
              </w:tc>
              <w:tc>
                <w:tcPr>
                  <w:tcW w:w="1040" w:type="dxa"/>
                  <w:tcBorders>
                    <w:top w:val="nil"/>
                    <w:left w:val="nil"/>
                    <w:bottom w:val="single" w:sz="8" w:space="0" w:color="FFFFFF"/>
                    <w:right w:val="single" w:sz="8" w:space="0" w:color="FFFFFF"/>
                  </w:tcBorders>
                  <w:shd w:val="clear" w:color="000000" w:fill="FCD5B4"/>
                  <w:noWrap/>
                  <w:vAlign w:val="center"/>
                  <w:hideMark/>
                </w:tcPr>
                <w:p w14:paraId="733BD9E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4.18 </w:t>
                  </w:r>
                </w:p>
              </w:tc>
              <w:tc>
                <w:tcPr>
                  <w:tcW w:w="1040" w:type="dxa"/>
                  <w:tcBorders>
                    <w:top w:val="nil"/>
                    <w:left w:val="nil"/>
                    <w:bottom w:val="single" w:sz="8" w:space="0" w:color="FFFFFF"/>
                    <w:right w:val="single" w:sz="8" w:space="0" w:color="FFFFFF"/>
                  </w:tcBorders>
                  <w:shd w:val="clear" w:color="000000" w:fill="FCD5B4"/>
                  <w:noWrap/>
                  <w:vAlign w:val="center"/>
                  <w:hideMark/>
                </w:tcPr>
                <w:p w14:paraId="5A246E34"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4.50 </w:t>
                  </w:r>
                </w:p>
              </w:tc>
              <w:tc>
                <w:tcPr>
                  <w:tcW w:w="1040" w:type="dxa"/>
                  <w:tcBorders>
                    <w:top w:val="nil"/>
                    <w:left w:val="nil"/>
                    <w:bottom w:val="single" w:sz="8" w:space="0" w:color="FFFFFF"/>
                    <w:right w:val="single" w:sz="8" w:space="0" w:color="FFFFFF"/>
                  </w:tcBorders>
                  <w:shd w:val="clear" w:color="000000" w:fill="FCD5B4"/>
                  <w:noWrap/>
                  <w:vAlign w:val="center"/>
                  <w:hideMark/>
                </w:tcPr>
                <w:p w14:paraId="42A4ACB6"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6.90 </w:t>
                  </w:r>
                </w:p>
              </w:tc>
              <w:tc>
                <w:tcPr>
                  <w:tcW w:w="1040" w:type="dxa"/>
                  <w:tcBorders>
                    <w:top w:val="nil"/>
                    <w:left w:val="nil"/>
                    <w:bottom w:val="nil"/>
                    <w:right w:val="nil"/>
                  </w:tcBorders>
                  <w:shd w:val="clear" w:color="000000" w:fill="FCD5B4"/>
                  <w:noWrap/>
                  <w:vAlign w:val="center"/>
                  <w:hideMark/>
                </w:tcPr>
                <w:p w14:paraId="4282AA91"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29D65E75"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0.99 </w:t>
                  </w:r>
                </w:p>
              </w:tc>
              <w:tc>
                <w:tcPr>
                  <w:tcW w:w="1040" w:type="dxa"/>
                  <w:tcBorders>
                    <w:top w:val="nil"/>
                    <w:left w:val="nil"/>
                    <w:bottom w:val="single" w:sz="8" w:space="0" w:color="FFFFFF"/>
                    <w:right w:val="single" w:sz="8" w:space="0" w:color="FFFFFF"/>
                  </w:tcBorders>
                  <w:shd w:val="clear" w:color="000000" w:fill="FCD5B4"/>
                  <w:noWrap/>
                  <w:vAlign w:val="center"/>
                  <w:hideMark/>
                </w:tcPr>
                <w:p w14:paraId="1FF289E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1.19 </w:t>
                  </w:r>
                </w:p>
              </w:tc>
              <w:tc>
                <w:tcPr>
                  <w:tcW w:w="1040" w:type="dxa"/>
                  <w:tcBorders>
                    <w:top w:val="nil"/>
                    <w:left w:val="nil"/>
                    <w:bottom w:val="single" w:sz="8" w:space="0" w:color="FFFFFF"/>
                    <w:right w:val="single" w:sz="8" w:space="0" w:color="FFFFFF"/>
                  </w:tcBorders>
                  <w:shd w:val="clear" w:color="000000" w:fill="FCD5B4"/>
                  <w:noWrap/>
                  <w:vAlign w:val="center"/>
                  <w:hideMark/>
                </w:tcPr>
                <w:p w14:paraId="36A1C6ED"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1.51 </w:t>
                  </w:r>
                </w:p>
              </w:tc>
              <w:tc>
                <w:tcPr>
                  <w:tcW w:w="1040" w:type="dxa"/>
                  <w:tcBorders>
                    <w:top w:val="nil"/>
                    <w:left w:val="nil"/>
                    <w:bottom w:val="single" w:sz="8" w:space="0" w:color="FFFFFF"/>
                    <w:right w:val="single" w:sz="8" w:space="0" w:color="FFFFFF"/>
                  </w:tcBorders>
                  <w:shd w:val="clear" w:color="000000" w:fill="FCD5B4"/>
                  <w:noWrap/>
                  <w:vAlign w:val="center"/>
                  <w:hideMark/>
                </w:tcPr>
                <w:p w14:paraId="775941A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3.91 </w:t>
                  </w:r>
                </w:p>
              </w:tc>
            </w:tr>
            <w:tr w:rsidR="00B01EC0" w:rsidRPr="00B01EC0" w14:paraId="4A82781F" w14:textId="77777777" w:rsidTr="00B01EC0">
              <w:trPr>
                <w:trHeight w:val="150"/>
              </w:trPr>
              <w:tc>
                <w:tcPr>
                  <w:tcW w:w="1288" w:type="dxa"/>
                  <w:tcBorders>
                    <w:top w:val="nil"/>
                    <w:left w:val="nil"/>
                    <w:bottom w:val="nil"/>
                    <w:right w:val="nil"/>
                  </w:tcBorders>
                  <w:shd w:val="clear" w:color="auto" w:fill="auto"/>
                  <w:noWrap/>
                  <w:vAlign w:val="center"/>
                  <w:hideMark/>
                </w:tcPr>
                <w:p w14:paraId="4C62B15D" w14:textId="77777777" w:rsidR="00B01EC0" w:rsidRPr="00B01EC0" w:rsidRDefault="00B01EC0" w:rsidP="00B01EC0">
                  <w:pPr>
                    <w:widowControl/>
                    <w:jc w:val="center"/>
                    <w:rPr>
                      <w:rFonts w:eastAsia="等线" w:cs="Calibri"/>
                      <w:color w:val="000000"/>
                      <w:kern w:val="0"/>
                      <w:sz w:val="18"/>
                      <w:szCs w:val="18"/>
                    </w:rPr>
                  </w:pPr>
                </w:p>
              </w:tc>
              <w:tc>
                <w:tcPr>
                  <w:tcW w:w="1040" w:type="dxa"/>
                  <w:tcBorders>
                    <w:top w:val="nil"/>
                    <w:left w:val="nil"/>
                    <w:bottom w:val="nil"/>
                    <w:right w:val="nil"/>
                  </w:tcBorders>
                  <w:shd w:val="clear" w:color="auto" w:fill="auto"/>
                  <w:noWrap/>
                  <w:vAlign w:val="center"/>
                  <w:hideMark/>
                </w:tcPr>
                <w:p w14:paraId="013B2B62" w14:textId="77777777" w:rsidR="00B01EC0" w:rsidRPr="00B01EC0" w:rsidRDefault="00B01EC0" w:rsidP="00B01EC0">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hideMark/>
                </w:tcPr>
                <w:p w14:paraId="55FC05F9" w14:textId="77777777" w:rsidR="00B01EC0" w:rsidRPr="00B01EC0" w:rsidRDefault="00B01EC0" w:rsidP="00B01EC0">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hideMark/>
                </w:tcPr>
                <w:p w14:paraId="407E0437" w14:textId="77777777" w:rsidR="00B01EC0" w:rsidRPr="00B01EC0" w:rsidRDefault="00B01EC0" w:rsidP="00B01EC0">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hideMark/>
                </w:tcPr>
                <w:p w14:paraId="3D74805B" w14:textId="77777777" w:rsidR="00B01EC0" w:rsidRPr="00B01EC0" w:rsidRDefault="00B01EC0" w:rsidP="00B01EC0">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hideMark/>
                </w:tcPr>
                <w:p w14:paraId="396CFCC0" w14:textId="77777777" w:rsidR="00B01EC0" w:rsidRPr="00B01EC0" w:rsidRDefault="00B01EC0" w:rsidP="00B01EC0">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hideMark/>
                </w:tcPr>
                <w:p w14:paraId="2529157D" w14:textId="77777777" w:rsidR="00B01EC0" w:rsidRPr="00B01EC0" w:rsidRDefault="00B01EC0" w:rsidP="00B01EC0">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hideMark/>
                </w:tcPr>
                <w:p w14:paraId="342A17AE" w14:textId="77777777" w:rsidR="00B01EC0" w:rsidRPr="00B01EC0" w:rsidRDefault="00B01EC0" w:rsidP="00B01EC0">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hideMark/>
                </w:tcPr>
                <w:p w14:paraId="4DDB3BB0" w14:textId="77777777" w:rsidR="00B01EC0" w:rsidRPr="00B01EC0" w:rsidRDefault="00B01EC0" w:rsidP="00B01EC0">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hideMark/>
                </w:tcPr>
                <w:p w14:paraId="6E8DA1BB" w14:textId="77777777" w:rsidR="00B01EC0" w:rsidRPr="00B01EC0" w:rsidRDefault="00B01EC0" w:rsidP="00B01EC0">
                  <w:pPr>
                    <w:widowControl/>
                    <w:jc w:val="center"/>
                    <w:rPr>
                      <w:rFonts w:ascii="Times New Roman" w:eastAsia="Times New Roman" w:hAnsi="Times New Roman"/>
                      <w:kern w:val="0"/>
                      <w:sz w:val="18"/>
                      <w:szCs w:val="18"/>
                    </w:rPr>
                  </w:pPr>
                </w:p>
              </w:tc>
            </w:tr>
            <w:tr w:rsidR="00B01EC0" w:rsidRPr="00B01EC0" w14:paraId="18FCBEC6" w14:textId="77777777" w:rsidTr="00B01EC0">
              <w:trPr>
                <w:trHeight w:val="300"/>
              </w:trPr>
              <w:tc>
                <w:tcPr>
                  <w:tcW w:w="1288" w:type="dxa"/>
                  <w:tcBorders>
                    <w:top w:val="nil"/>
                    <w:left w:val="nil"/>
                    <w:bottom w:val="single" w:sz="12" w:space="0" w:color="FFFFFF"/>
                    <w:right w:val="single" w:sz="8" w:space="0" w:color="FFFFFF"/>
                  </w:tcBorders>
                  <w:shd w:val="clear" w:color="000000" w:fill="F79646"/>
                  <w:noWrap/>
                  <w:vAlign w:val="center"/>
                  <w:hideMark/>
                </w:tcPr>
                <w:p w14:paraId="0A471A67" w14:textId="77777777" w:rsidR="00B01EC0" w:rsidRPr="00B01EC0" w:rsidRDefault="00B01EC0" w:rsidP="00B01EC0">
                  <w:pPr>
                    <w:widowControl/>
                    <w:jc w:val="center"/>
                    <w:rPr>
                      <w:rFonts w:ascii="楷体" w:eastAsia="楷体" w:hAnsi="楷体" w:cs="宋体"/>
                      <w:b/>
                      <w:bCs/>
                      <w:color w:val="FFFFFF"/>
                      <w:kern w:val="0"/>
                      <w:sz w:val="18"/>
                      <w:szCs w:val="18"/>
                    </w:rPr>
                  </w:pPr>
                  <w:proofErr w:type="gramStart"/>
                  <w:r w:rsidRPr="00B01EC0">
                    <w:rPr>
                      <w:rFonts w:ascii="楷体" w:eastAsia="楷体" w:hAnsi="楷体" w:cs="宋体" w:hint="eastAsia"/>
                      <w:b/>
                      <w:bCs/>
                      <w:color w:val="FFFFFF"/>
                      <w:kern w:val="0"/>
                      <w:sz w:val="18"/>
                      <w:szCs w:val="18"/>
                    </w:rPr>
                    <w:t>周变化</w:t>
                  </w:r>
                  <w:proofErr w:type="gramEnd"/>
                  <w:r w:rsidRPr="00B01EC0">
                    <w:rPr>
                      <w:rFonts w:ascii="楷体" w:eastAsia="楷体" w:hAnsi="楷体" w:cs="宋体" w:hint="eastAsia"/>
                      <w:b/>
                      <w:bCs/>
                      <w:color w:val="FFFFFF"/>
                      <w:kern w:val="0"/>
                      <w:sz w:val="18"/>
                      <w:szCs w:val="18"/>
                    </w:rPr>
                    <w:t>(BP)</w:t>
                  </w:r>
                </w:p>
              </w:tc>
              <w:tc>
                <w:tcPr>
                  <w:tcW w:w="1040" w:type="dxa"/>
                  <w:tcBorders>
                    <w:top w:val="nil"/>
                    <w:left w:val="nil"/>
                    <w:bottom w:val="single" w:sz="12" w:space="0" w:color="FFFFFF"/>
                    <w:right w:val="single" w:sz="8" w:space="0" w:color="FFFFFF"/>
                  </w:tcBorders>
                  <w:shd w:val="clear" w:color="000000" w:fill="F79646"/>
                  <w:noWrap/>
                  <w:vAlign w:val="center"/>
                  <w:hideMark/>
                </w:tcPr>
                <w:p w14:paraId="64CC8C6D"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1634157B"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6728C807"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228EA52A"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5562EFF5"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息差</w:t>
                  </w:r>
                </w:p>
              </w:tc>
              <w:tc>
                <w:tcPr>
                  <w:tcW w:w="1040" w:type="dxa"/>
                  <w:tcBorders>
                    <w:top w:val="nil"/>
                    <w:left w:val="nil"/>
                    <w:bottom w:val="single" w:sz="12" w:space="0" w:color="FFFFFF"/>
                    <w:right w:val="single" w:sz="8" w:space="0" w:color="FFFFFF"/>
                  </w:tcBorders>
                  <w:shd w:val="clear" w:color="000000" w:fill="F79646"/>
                  <w:noWrap/>
                  <w:vAlign w:val="center"/>
                  <w:hideMark/>
                </w:tcPr>
                <w:p w14:paraId="4F9C7095"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3F97D128"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3E3FBAE1"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2DF1314A"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r>
            <w:tr w:rsidR="00B01EC0" w:rsidRPr="00B01EC0" w14:paraId="5B235370" w14:textId="77777777" w:rsidTr="00B01EC0">
              <w:trPr>
                <w:trHeight w:val="315"/>
              </w:trPr>
              <w:tc>
                <w:tcPr>
                  <w:tcW w:w="1288" w:type="dxa"/>
                  <w:tcBorders>
                    <w:top w:val="nil"/>
                    <w:left w:val="nil"/>
                    <w:bottom w:val="single" w:sz="8" w:space="0" w:color="FFFFFF"/>
                    <w:right w:val="single" w:sz="8" w:space="0" w:color="FFFFFF"/>
                  </w:tcBorders>
                  <w:shd w:val="clear" w:color="000000" w:fill="FCD5B4"/>
                  <w:noWrap/>
                  <w:vAlign w:val="center"/>
                  <w:hideMark/>
                </w:tcPr>
                <w:p w14:paraId="332F7212"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3E37E299"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2.1 </w:t>
                  </w:r>
                </w:p>
              </w:tc>
              <w:tc>
                <w:tcPr>
                  <w:tcW w:w="1040" w:type="dxa"/>
                  <w:tcBorders>
                    <w:top w:val="nil"/>
                    <w:left w:val="nil"/>
                    <w:bottom w:val="single" w:sz="8" w:space="0" w:color="FFFFFF"/>
                    <w:right w:val="single" w:sz="8" w:space="0" w:color="FFFFFF"/>
                  </w:tcBorders>
                  <w:shd w:val="clear" w:color="000000" w:fill="FCD5B4"/>
                  <w:noWrap/>
                  <w:vAlign w:val="center"/>
                  <w:hideMark/>
                </w:tcPr>
                <w:p w14:paraId="00FCDB0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2.1 </w:t>
                  </w:r>
                </w:p>
              </w:tc>
              <w:tc>
                <w:tcPr>
                  <w:tcW w:w="1040" w:type="dxa"/>
                  <w:tcBorders>
                    <w:top w:val="nil"/>
                    <w:left w:val="nil"/>
                    <w:bottom w:val="single" w:sz="8" w:space="0" w:color="FFFFFF"/>
                    <w:right w:val="single" w:sz="8" w:space="0" w:color="FFFFFF"/>
                  </w:tcBorders>
                  <w:shd w:val="clear" w:color="000000" w:fill="FCD5B4"/>
                  <w:noWrap/>
                  <w:vAlign w:val="center"/>
                  <w:hideMark/>
                </w:tcPr>
                <w:p w14:paraId="7F6C68E5"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0.1 </w:t>
                  </w:r>
                </w:p>
              </w:tc>
              <w:tc>
                <w:tcPr>
                  <w:tcW w:w="1040" w:type="dxa"/>
                  <w:tcBorders>
                    <w:top w:val="nil"/>
                    <w:left w:val="nil"/>
                    <w:bottom w:val="single" w:sz="8" w:space="0" w:color="FFFFFF"/>
                    <w:right w:val="single" w:sz="8" w:space="0" w:color="FFFFFF"/>
                  </w:tcBorders>
                  <w:shd w:val="clear" w:color="000000" w:fill="FCD5B4"/>
                  <w:noWrap/>
                  <w:vAlign w:val="center"/>
                  <w:hideMark/>
                </w:tcPr>
                <w:p w14:paraId="7D011DF6"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-1.9 </w:t>
                  </w:r>
                </w:p>
              </w:tc>
              <w:tc>
                <w:tcPr>
                  <w:tcW w:w="1040" w:type="dxa"/>
                  <w:tcBorders>
                    <w:top w:val="nil"/>
                    <w:left w:val="nil"/>
                    <w:bottom w:val="single" w:sz="8" w:space="0" w:color="FFFFFF"/>
                    <w:right w:val="single" w:sz="8" w:space="0" w:color="FFFFFF"/>
                  </w:tcBorders>
                  <w:shd w:val="clear" w:color="000000" w:fill="FCD5B4"/>
                  <w:noWrap/>
                  <w:vAlign w:val="center"/>
                  <w:hideMark/>
                </w:tcPr>
                <w:p w14:paraId="2EE76D04"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7F4DF5A9"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-3.1 </w:t>
                  </w:r>
                </w:p>
              </w:tc>
              <w:tc>
                <w:tcPr>
                  <w:tcW w:w="1040" w:type="dxa"/>
                  <w:tcBorders>
                    <w:top w:val="nil"/>
                    <w:left w:val="nil"/>
                    <w:bottom w:val="single" w:sz="8" w:space="0" w:color="FFFFFF"/>
                    <w:right w:val="single" w:sz="8" w:space="0" w:color="FFFFFF"/>
                  </w:tcBorders>
                  <w:shd w:val="clear" w:color="000000" w:fill="FCD5B4"/>
                  <w:noWrap/>
                  <w:vAlign w:val="center"/>
                  <w:hideMark/>
                </w:tcPr>
                <w:p w14:paraId="6CD651F9"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-3.1 </w:t>
                  </w:r>
                </w:p>
              </w:tc>
              <w:tc>
                <w:tcPr>
                  <w:tcW w:w="1040" w:type="dxa"/>
                  <w:tcBorders>
                    <w:top w:val="nil"/>
                    <w:left w:val="nil"/>
                    <w:bottom w:val="single" w:sz="8" w:space="0" w:color="FFFFFF"/>
                    <w:right w:val="single" w:sz="8" w:space="0" w:color="FFFFFF"/>
                  </w:tcBorders>
                  <w:shd w:val="clear" w:color="000000" w:fill="FCD5B4"/>
                  <w:noWrap/>
                  <w:vAlign w:val="center"/>
                  <w:hideMark/>
                </w:tcPr>
                <w:p w14:paraId="7513A7C7"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-5.1 </w:t>
                  </w:r>
                </w:p>
              </w:tc>
              <w:tc>
                <w:tcPr>
                  <w:tcW w:w="1040" w:type="dxa"/>
                  <w:tcBorders>
                    <w:top w:val="nil"/>
                    <w:left w:val="nil"/>
                    <w:bottom w:val="single" w:sz="8" w:space="0" w:color="FFFFFF"/>
                    <w:right w:val="single" w:sz="8" w:space="0" w:color="FFFFFF"/>
                  </w:tcBorders>
                  <w:shd w:val="clear" w:color="000000" w:fill="FCD5B4"/>
                  <w:noWrap/>
                  <w:vAlign w:val="center"/>
                  <w:hideMark/>
                </w:tcPr>
                <w:p w14:paraId="0E1873E8"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-7.1 </w:t>
                  </w:r>
                </w:p>
              </w:tc>
            </w:tr>
            <w:tr w:rsidR="00B01EC0" w:rsidRPr="00B01EC0" w14:paraId="3B70BCC1" w14:textId="77777777" w:rsidTr="00B01EC0">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7544C674"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6A7E3704"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-2.5 </w:t>
                  </w:r>
                </w:p>
              </w:tc>
              <w:tc>
                <w:tcPr>
                  <w:tcW w:w="1040" w:type="dxa"/>
                  <w:tcBorders>
                    <w:top w:val="nil"/>
                    <w:left w:val="nil"/>
                    <w:bottom w:val="single" w:sz="8" w:space="0" w:color="FFFFFF"/>
                    <w:right w:val="single" w:sz="8" w:space="0" w:color="FFFFFF"/>
                  </w:tcBorders>
                  <w:shd w:val="clear" w:color="000000" w:fill="FDE9D9"/>
                  <w:noWrap/>
                  <w:vAlign w:val="center"/>
                  <w:hideMark/>
                </w:tcPr>
                <w:p w14:paraId="07117D6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-4.5 </w:t>
                  </w:r>
                </w:p>
              </w:tc>
              <w:tc>
                <w:tcPr>
                  <w:tcW w:w="1040" w:type="dxa"/>
                  <w:tcBorders>
                    <w:top w:val="nil"/>
                    <w:left w:val="nil"/>
                    <w:bottom w:val="single" w:sz="8" w:space="0" w:color="FFFFFF"/>
                    <w:right w:val="single" w:sz="8" w:space="0" w:color="FFFFFF"/>
                  </w:tcBorders>
                  <w:shd w:val="clear" w:color="000000" w:fill="FDE9D9"/>
                  <w:noWrap/>
                  <w:vAlign w:val="center"/>
                  <w:hideMark/>
                </w:tcPr>
                <w:p w14:paraId="4505AAC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-4.5 </w:t>
                  </w:r>
                </w:p>
              </w:tc>
              <w:tc>
                <w:tcPr>
                  <w:tcW w:w="1040" w:type="dxa"/>
                  <w:tcBorders>
                    <w:top w:val="nil"/>
                    <w:left w:val="nil"/>
                    <w:bottom w:val="single" w:sz="8" w:space="0" w:color="FFFFFF"/>
                    <w:right w:val="single" w:sz="8" w:space="0" w:color="FFFFFF"/>
                  </w:tcBorders>
                  <w:shd w:val="clear" w:color="000000" w:fill="FDE9D9"/>
                  <w:noWrap/>
                  <w:vAlign w:val="center"/>
                  <w:hideMark/>
                </w:tcPr>
                <w:p w14:paraId="057612A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-6.5 </w:t>
                  </w:r>
                </w:p>
              </w:tc>
              <w:tc>
                <w:tcPr>
                  <w:tcW w:w="1040" w:type="dxa"/>
                  <w:tcBorders>
                    <w:top w:val="nil"/>
                    <w:left w:val="nil"/>
                    <w:bottom w:val="single" w:sz="8" w:space="0" w:color="FFFFFF"/>
                    <w:right w:val="single" w:sz="8" w:space="0" w:color="FFFFFF"/>
                  </w:tcBorders>
                  <w:shd w:val="clear" w:color="000000" w:fill="FDE9D9"/>
                  <w:noWrap/>
                  <w:vAlign w:val="center"/>
                  <w:hideMark/>
                </w:tcPr>
                <w:p w14:paraId="1DB74407"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1AB97778"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-1.3 </w:t>
                  </w:r>
                </w:p>
              </w:tc>
              <w:tc>
                <w:tcPr>
                  <w:tcW w:w="1040" w:type="dxa"/>
                  <w:tcBorders>
                    <w:top w:val="nil"/>
                    <w:left w:val="nil"/>
                    <w:bottom w:val="single" w:sz="8" w:space="0" w:color="FFFFFF"/>
                    <w:right w:val="single" w:sz="8" w:space="0" w:color="FFFFFF"/>
                  </w:tcBorders>
                  <w:shd w:val="clear" w:color="000000" w:fill="FDE9D9"/>
                  <w:noWrap/>
                  <w:vAlign w:val="center"/>
                  <w:hideMark/>
                </w:tcPr>
                <w:p w14:paraId="5828EF8A"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-3.2 </w:t>
                  </w:r>
                </w:p>
              </w:tc>
              <w:tc>
                <w:tcPr>
                  <w:tcW w:w="1040" w:type="dxa"/>
                  <w:tcBorders>
                    <w:top w:val="nil"/>
                    <w:left w:val="nil"/>
                    <w:bottom w:val="single" w:sz="8" w:space="0" w:color="FFFFFF"/>
                    <w:right w:val="single" w:sz="8" w:space="0" w:color="FFFFFF"/>
                  </w:tcBorders>
                  <w:shd w:val="clear" w:color="000000" w:fill="FDE9D9"/>
                  <w:noWrap/>
                  <w:vAlign w:val="center"/>
                  <w:hideMark/>
                </w:tcPr>
                <w:p w14:paraId="357A5CC5"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-3.3 </w:t>
                  </w:r>
                </w:p>
              </w:tc>
              <w:tc>
                <w:tcPr>
                  <w:tcW w:w="1040" w:type="dxa"/>
                  <w:tcBorders>
                    <w:top w:val="nil"/>
                    <w:left w:val="nil"/>
                    <w:bottom w:val="single" w:sz="8" w:space="0" w:color="FFFFFF"/>
                    <w:right w:val="single" w:sz="8" w:space="0" w:color="FFFFFF"/>
                  </w:tcBorders>
                  <w:shd w:val="clear" w:color="000000" w:fill="FDE9D9"/>
                  <w:noWrap/>
                  <w:vAlign w:val="center"/>
                  <w:hideMark/>
                </w:tcPr>
                <w:p w14:paraId="3245D107"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-5.3 </w:t>
                  </w:r>
                </w:p>
              </w:tc>
            </w:tr>
            <w:tr w:rsidR="00B01EC0" w:rsidRPr="00B01EC0" w14:paraId="7A62FE7F" w14:textId="77777777" w:rsidTr="00B01EC0">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6F060F54"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5686F3D6"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-2.4 </w:t>
                  </w:r>
                </w:p>
              </w:tc>
              <w:tc>
                <w:tcPr>
                  <w:tcW w:w="1040" w:type="dxa"/>
                  <w:tcBorders>
                    <w:top w:val="nil"/>
                    <w:left w:val="nil"/>
                    <w:bottom w:val="single" w:sz="8" w:space="0" w:color="FFFFFF"/>
                    <w:right w:val="single" w:sz="8" w:space="0" w:color="FFFFFF"/>
                  </w:tcBorders>
                  <w:shd w:val="clear" w:color="000000" w:fill="FCD5B4"/>
                  <w:noWrap/>
                  <w:vAlign w:val="center"/>
                  <w:hideMark/>
                </w:tcPr>
                <w:p w14:paraId="12454F5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-1.4 </w:t>
                  </w:r>
                </w:p>
              </w:tc>
              <w:tc>
                <w:tcPr>
                  <w:tcW w:w="1040" w:type="dxa"/>
                  <w:tcBorders>
                    <w:top w:val="nil"/>
                    <w:left w:val="nil"/>
                    <w:bottom w:val="single" w:sz="8" w:space="0" w:color="FFFFFF"/>
                    <w:right w:val="single" w:sz="8" w:space="0" w:color="FFFFFF"/>
                  </w:tcBorders>
                  <w:shd w:val="clear" w:color="000000" w:fill="FCD5B4"/>
                  <w:noWrap/>
                  <w:vAlign w:val="center"/>
                  <w:hideMark/>
                </w:tcPr>
                <w:p w14:paraId="08021E25"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-0.4 </w:t>
                  </w:r>
                </w:p>
              </w:tc>
              <w:tc>
                <w:tcPr>
                  <w:tcW w:w="1040" w:type="dxa"/>
                  <w:tcBorders>
                    <w:top w:val="nil"/>
                    <w:left w:val="nil"/>
                    <w:bottom w:val="single" w:sz="8" w:space="0" w:color="FFFFFF"/>
                    <w:right w:val="single" w:sz="8" w:space="0" w:color="FFFFFF"/>
                  </w:tcBorders>
                  <w:shd w:val="clear" w:color="000000" w:fill="FCD5B4"/>
                  <w:noWrap/>
                  <w:vAlign w:val="center"/>
                  <w:hideMark/>
                </w:tcPr>
                <w:p w14:paraId="544B1AE0"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-0.4 </w:t>
                  </w:r>
                </w:p>
              </w:tc>
              <w:tc>
                <w:tcPr>
                  <w:tcW w:w="1040" w:type="dxa"/>
                  <w:tcBorders>
                    <w:top w:val="nil"/>
                    <w:left w:val="nil"/>
                    <w:bottom w:val="single" w:sz="8" w:space="0" w:color="FFFFFF"/>
                    <w:right w:val="single" w:sz="8" w:space="0" w:color="FFFFFF"/>
                  </w:tcBorders>
                  <w:shd w:val="clear" w:color="000000" w:fill="FCD5B4"/>
                  <w:noWrap/>
                  <w:vAlign w:val="center"/>
                  <w:hideMark/>
                </w:tcPr>
                <w:p w14:paraId="6052EE5F"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688F9B09"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-1.4 </w:t>
                  </w:r>
                </w:p>
              </w:tc>
              <w:tc>
                <w:tcPr>
                  <w:tcW w:w="1040" w:type="dxa"/>
                  <w:tcBorders>
                    <w:top w:val="nil"/>
                    <w:left w:val="nil"/>
                    <w:bottom w:val="single" w:sz="8" w:space="0" w:color="FFFFFF"/>
                    <w:right w:val="single" w:sz="8" w:space="0" w:color="FFFFFF"/>
                  </w:tcBorders>
                  <w:shd w:val="clear" w:color="000000" w:fill="FCD5B4"/>
                  <w:noWrap/>
                  <w:vAlign w:val="center"/>
                  <w:hideMark/>
                </w:tcPr>
                <w:p w14:paraId="683B9104"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-0.4 </w:t>
                  </w:r>
                </w:p>
              </w:tc>
              <w:tc>
                <w:tcPr>
                  <w:tcW w:w="1040" w:type="dxa"/>
                  <w:tcBorders>
                    <w:top w:val="nil"/>
                    <w:left w:val="nil"/>
                    <w:bottom w:val="single" w:sz="8" w:space="0" w:color="FFFFFF"/>
                    <w:right w:val="single" w:sz="8" w:space="0" w:color="FFFFFF"/>
                  </w:tcBorders>
                  <w:shd w:val="clear" w:color="000000" w:fill="FCD5B4"/>
                  <w:noWrap/>
                  <w:vAlign w:val="center"/>
                  <w:hideMark/>
                </w:tcPr>
                <w:p w14:paraId="5037441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0.6 </w:t>
                  </w:r>
                </w:p>
              </w:tc>
              <w:tc>
                <w:tcPr>
                  <w:tcW w:w="1040" w:type="dxa"/>
                  <w:tcBorders>
                    <w:top w:val="nil"/>
                    <w:left w:val="nil"/>
                    <w:bottom w:val="single" w:sz="8" w:space="0" w:color="FFFFFF"/>
                    <w:right w:val="single" w:sz="8" w:space="0" w:color="FFFFFF"/>
                  </w:tcBorders>
                  <w:shd w:val="clear" w:color="000000" w:fill="FCD5B4"/>
                  <w:noWrap/>
                  <w:vAlign w:val="center"/>
                  <w:hideMark/>
                </w:tcPr>
                <w:p w14:paraId="733CB119"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0.6 </w:t>
                  </w:r>
                </w:p>
              </w:tc>
            </w:tr>
            <w:tr w:rsidR="00B01EC0" w:rsidRPr="00B01EC0" w14:paraId="0C19C86A" w14:textId="77777777" w:rsidTr="00B01EC0">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42CA3610"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6288DB41"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-4.7 </w:t>
                  </w:r>
                </w:p>
              </w:tc>
              <w:tc>
                <w:tcPr>
                  <w:tcW w:w="1040" w:type="dxa"/>
                  <w:tcBorders>
                    <w:top w:val="nil"/>
                    <w:left w:val="nil"/>
                    <w:bottom w:val="single" w:sz="8" w:space="0" w:color="FFFFFF"/>
                    <w:right w:val="single" w:sz="8" w:space="0" w:color="FFFFFF"/>
                  </w:tcBorders>
                  <w:shd w:val="clear" w:color="000000" w:fill="FDE9D9"/>
                  <w:noWrap/>
                  <w:vAlign w:val="center"/>
                  <w:hideMark/>
                </w:tcPr>
                <w:p w14:paraId="3750257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-5.7 </w:t>
                  </w:r>
                </w:p>
              </w:tc>
              <w:tc>
                <w:tcPr>
                  <w:tcW w:w="1040" w:type="dxa"/>
                  <w:tcBorders>
                    <w:top w:val="nil"/>
                    <w:left w:val="nil"/>
                    <w:bottom w:val="single" w:sz="8" w:space="0" w:color="FFFFFF"/>
                    <w:right w:val="single" w:sz="8" w:space="0" w:color="FFFFFF"/>
                  </w:tcBorders>
                  <w:shd w:val="clear" w:color="000000" w:fill="FDE9D9"/>
                  <w:noWrap/>
                  <w:vAlign w:val="center"/>
                  <w:hideMark/>
                </w:tcPr>
                <w:p w14:paraId="18BAA37F"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-2.7 </w:t>
                  </w:r>
                </w:p>
              </w:tc>
              <w:tc>
                <w:tcPr>
                  <w:tcW w:w="1040" w:type="dxa"/>
                  <w:tcBorders>
                    <w:top w:val="nil"/>
                    <w:left w:val="nil"/>
                    <w:bottom w:val="single" w:sz="8" w:space="0" w:color="FFFFFF"/>
                    <w:right w:val="single" w:sz="8" w:space="0" w:color="FFFFFF"/>
                  </w:tcBorders>
                  <w:shd w:val="clear" w:color="000000" w:fill="FDE9D9"/>
                  <w:noWrap/>
                  <w:vAlign w:val="center"/>
                  <w:hideMark/>
                </w:tcPr>
                <w:p w14:paraId="4B1F015F"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-6.7 </w:t>
                  </w:r>
                </w:p>
              </w:tc>
              <w:tc>
                <w:tcPr>
                  <w:tcW w:w="1040" w:type="dxa"/>
                  <w:tcBorders>
                    <w:top w:val="nil"/>
                    <w:left w:val="nil"/>
                    <w:bottom w:val="single" w:sz="8" w:space="0" w:color="FFFFFF"/>
                    <w:right w:val="single" w:sz="8" w:space="0" w:color="FFFFFF"/>
                  </w:tcBorders>
                  <w:shd w:val="clear" w:color="000000" w:fill="FDE9D9"/>
                  <w:noWrap/>
                  <w:vAlign w:val="center"/>
                  <w:hideMark/>
                </w:tcPr>
                <w:p w14:paraId="7F84893A"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1A916F9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-3.4 </w:t>
                  </w:r>
                </w:p>
              </w:tc>
              <w:tc>
                <w:tcPr>
                  <w:tcW w:w="1040" w:type="dxa"/>
                  <w:tcBorders>
                    <w:top w:val="nil"/>
                    <w:left w:val="nil"/>
                    <w:bottom w:val="single" w:sz="8" w:space="0" w:color="FFFFFF"/>
                    <w:right w:val="single" w:sz="8" w:space="0" w:color="FFFFFF"/>
                  </w:tcBorders>
                  <w:shd w:val="clear" w:color="000000" w:fill="FDE9D9"/>
                  <w:noWrap/>
                  <w:vAlign w:val="center"/>
                  <w:hideMark/>
                </w:tcPr>
                <w:p w14:paraId="587358C3"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-4.4 </w:t>
                  </w:r>
                </w:p>
              </w:tc>
              <w:tc>
                <w:tcPr>
                  <w:tcW w:w="1040" w:type="dxa"/>
                  <w:tcBorders>
                    <w:top w:val="nil"/>
                    <w:left w:val="nil"/>
                    <w:bottom w:val="single" w:sz="8" w:space="0" w:color="FFFFFF"/>
                    <w:right w:val="single" w:sz="8" w:space="0" w:color="FFFFFF"/>
                  </w:tcBorders>
                  <w:shd w:val="clear" w:color="000000" w:fill="FDE9D9"/>
                  <w:noWrap/>
                  <w:vAlign w:val="center"/>
                  <w:hideMark/>
                </w:tcPr>
                <w:p w14:paraId="5C21074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-1.4 </w:t>
                  </w:r>
                </w:p>
              </w:tc>
              <w:tc>
                <w:tcPr>
                  <w:tcW w:w="1040" w:type="dxa"/>
                  <w:tcBorders>
                    <w:top w:val="nil"/>
                    <w:left w:val="nil"/>
                    <w:bottom w:val="single" w:sz="8" w:space="0" w:color="FFFFFF"/>
                    <w:right w:val="single" w:sz="8" w:space="0" w:color="FFFFFF"/>
                  </w:tcBorders>
                  <w:shd w:val="clear" w:color="000000" w:fill="FDE9D9"/>
                  <w:noWrap/>
                  <w:vAlign w:val="center"/>
                  <w:hideMark/>
                </w:tcPr>
                <w:p w14:paraId="7A222CB3"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-5.4 </w:t>
                  </w:r>
                </w:p>
              </w:tc>
            </w:tr>
            <w:tr w:rsidR="00B01EC0" w:rsidRPr="00B01EC0" w14:paraId="6DF67CED" w14:textId="77777777" w:rsidTr="00B01EC0">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542A47E0"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75142D25"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-2.4 </w:t>
                  </w:r>
                </w:p>
              </w:tc>
              <w:tc>
                <w:tcPr>
                  <w:tcW w:w="1040" w:type="dxa"/>
                  <w:tcBorders>
                    <w:top w:val="nil"/>
                    <w:left w:val="nil"/>
                    <w:bottom w:val="single" w:sz="8" w:space="0" w:color="FFFFFF"/>
                    <w:right w:val="single" w:sz="8" w:space="0" w:color="FFFFFF"/>
                  </w:tcBorders>
                  <w:shd w:val="clear" w:color="000000" w:fill="FCD5B4"/>
                  <w:noWrap/>
                  <w:vAlign w:val="center"/>
                  <w:hideMark/>
                </w:tcPr>
                <w:p w14:paraId="2214DD4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-1.4 </w:t>
                  </w:r>
                </w:p>
              </w:tc>
              <w:tc>
                <w:tcPr>
                  <w:tcW w:w="1040" w:type="dxa"/>
                  <w:tcBorders>
                    <w:top w:val="nil"/>
                    <w:left w:val="nil"/>
                    <w:bottom w:val="single" w:sz="8" w:space="0" w:color="FFFFFF"/>
                    <w:right w:val="single" w:sz="8" w:space="0" w:color="FFFFFF"/>
                  </w:tcBorders>
                  <w:shd w:val="clear" w:color="000000" w:fill="FCD5B4"/>
                  <w:noWrap/>
                  <w:vAlign w:val="center"/>
                  <w:hideMark/>
                </w:tcPr>
                <w:p w14:paraId="157AAC5D"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-0.4 </w:t>
                  </w:r>
                </w:p>
              </w:tc>
              <w:tc>
                <w:tcPr>
                  <w:tcW w:w="1040" w:type="dxa"/>
                  <w:tcBorders>
                    <w:top w:val="nil"/>
                    <w:left w:val="nil"/>
                    <w:bottom w:val="single" w:sz="8" w:space="0" w:color="FFFFFF"/>
                    <w:right w:val="single" w:sz="8" w:space="0" w:color="FFFFFF"/>
                  </w:tcBorders>
                  <w:shd w:val="clear" w:color="000000" w:fill="FCD5B4"/>
                  <w:noWrap/>
                  <w:vAlign w:val="center"/>
                  <w:hideMark/>
                </w:tcPr>
                <w:p w14:paraId="1E333A03"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-0.4 </w:t>
                  </w:r>
                </w:p>
              </w:tc>
              <w:tc>
                <w:tcPr>
                  <w:tcW w:w="1040" w:type="dxa"/>
                  <w:tcBorders>
                    <w:top w:val="nil"/>
                    <w:left w:val="nil"/>
                    <w:bottom w:val="single" w:sz="8" w:space="0" w:color="FFFFFF"/>
                    <w:right w:val="single" w:sz="8" w:space="0" w:color="FFFFFF"/>
                  </w:tcBorders>
                  <w:shd w:val="clear" w:color="000000" w:fill="FCD5B4"/>
                  <w:noWrap/>
                  <w:vAlign w:val="center"/>
                  <w:hideMark/>
                </w:tcPr>
                <w:p w14:paraId="2E4550D8"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343B3A72"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-1.4 </w:t>
                  </w:r>
                </w:p>
              </w:tc>
              <w:tc>
                <w:tcPr>
                  <w:tcW w:w="1040" w:type="dxa"/>
                  <w:tcBorders>
                    <w:top w:val="nil"/>
                    <w:left w:val="nil"/>
                    <w:bottom w:val="single" w:sz="8" w:space="0" w:color="FFFFFF"/>
                    <w:right w:val="single" w:sz="8" w:space="0" w:color="FFFFFF"/>
                  </w:tcBorders>
                  <w:shd w:val="clear" w:color="000000" w:fill="FCD5B4"/>
                  <w:noWrap/>
                  <w:vAlign w:val="center"/>
                  <w:hideMark/>
                </w:tcPr>
                <w:p w14:paraId="5F3E084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-0.4 </w:t>
                  </w:r>
                </w:p>
              </w:tc>
              <w:tc>
                <w:tcPr>
                  <w:tcW w:w="1040" w:type="dxa"/>
                  <w:tcBorders>
                    <w:top w:val="nil"/>
                    <w:left w:val="nil"/>
                    <w:bottom w:val="single" w:sz="8" w:space="0" w:color="FFFFFF"/>
                    <w:right w:val="single" w:sz="8" w:space="0" w:color="FFFFFF"/>
                  </w:tcBorders>
                  <w:shd w:val="clear" w:color="000000" w:fill="FCD5B4"/>
                  <w:noWrap/>
                  <w:vAlign w:val="center"/>
                  <w:hideMark/>
                </w:tcPr>
                <w:p w14:paraId="69D12020"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0.6 </w:t>
                  </w:r>
                </w:p>
              </w:tc>
              <w:tc>
                <w:tcPr>
                  <w:tcW w:w="1040" w:type="dxa"/>
                  <w:tcBorders>
                    <w:top w:val="nil"/>
                    <w:left w:val="nil"/>
                    <w:bottom w:val="single" w:sz="8" w:space="0" w:color="FFFFFF"/>
                    <w:right w:val="single" w:sz="8" w:space="0" w:color="FFFFFF"/>
                  </w:tcBorders>
                  <w:shd w:val="clear" w:color="000000" w:fill="FCD5B4"/>
                  <w:noWrap/>
                  <w:vAlign w:val="center"/>
                  <w:hideMark/>
                </w:tcPr>
                <w:p w14:paraId="16CA67A2"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0.6 </w:t>
                  </w:r>
                </w:p>
              </w:tc>
            </w:tr>
            <w:tr w:rsidR="00B01EC0" w:rsidRPr="00B01EC0" w14:paraId="1741D010" w14:textId="77777777" w:rsidTr="00B01EC0">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24239074"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03696B77"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-1.1 </w:t>
                  </w:r>
                </w:p>
              </w:tc>
              <w:tc>
                <w:tcPr>
                  <w:tcW w:w="1040" w:type="dxa"/>
                  <w:tcBorders>
                    <w:top w:val="nil"/>
                    <w:left w:val="nil"/>
                    <w:bottom w:val="single" w:sz="8" w:space="0" w:color="FFFFFF"/>
                    <w:right w:val="single" w:sz="8" w:space="0" w:color="FFFFFF"/>
                  </w:tcBorders>
                  <w:shd w:val="clear" w:color="000000" w:fill="FDE9D9"/>
                  <w:noWrap/>
                  <w:vAlign w:val="center"/>
                  <w:hideMark/>
                </w:tcPr>
                <w:p w14:paraId="7E4C65F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-1.1 </w:t>
                  </w:r>
                </w:p>
              </w:tc>
              <w:tc>
                <w:tcPr>
                  <w:tcW w:w="1040" w:type="dxa"/>
                  <w:tcBorders>
                    <w:top w:val="nil"/>
                    <w:left w:val="nil"/>
                    <w:bottom w:val="single" w:sz="8" w:space="0" w:color="FFFFFF"/>
                    <w:right w:val="single" w:sz="8" w:space="0" w:color="FFFFFF"/>
                  </w:tcBorders>
                  <w:shd w:val="clear" w:color="000000" w:fill="FDE9D9"/>
                  <w:noWrap/>
                  <w:vAlign w:val="center"/>
                  <w:hideMark/>
                </w:tcPr>
                <w:p w14:paraId="53F13F66"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-1.1 </w:t>
                  </w:r>
                </w:p>
              </w:tc>
              <w:tc>
                <w:tcPr>
                  <w:tcW w:w="1040" w:type="dxa"/>
                  <w:tcBorders>
                    <w:top w:val="nil"/>
                    <w:left w:val="nil"/>
                    <w:bottom w:val="single" w:sz="8" w:space="0" w:color="FFFFFF"/>
                    <w:right w:val="single" w:sz="8" w:space="0" w:color="FFFFFF"/>
                  </w:tcBorders>
                  <w:shd w:val="clear" w:color="000000" w:fill="FDE9D9"/>
                  <w:noWrap/>
                  <w:vAlign w:val="center"/>
                  <w:hideMark/>
                </w:tcPr>
                <w:p w14:paraId="691A1793"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-1.1 </w:t>
                  </w:r>
                </w:p>
              </w:tc>
              <w:tc>
                <w:tcPr>
                  <w:tcW w:w="1040" w:type="dxa"/>
                  <w:tcBorders>
                    <w:top w:val="nil"/>
                    <w:left w:val="nil"/>
                    <w:bottom w:val="single" w:sz="8" w:space="0" w:color="FFFFFF"/>
                    <w:right w:val="single" w:sz="8" w:space="0" w:color="FFFFFF"/>
                  </w:tcBorders>
                  <w:shd w:val="clear" w:color="000000" w:fill="FDE9D9"/>
                  <w:noWrap/>
                  <w:vAlign w:val="center"/>
                  <w:hideMark/>
                </w:tcPr>
                <w:p w14:paraId="29075558"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1961DCE0"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3.4 </w:t>
                  </w:r>
                </w:p>
              </w:tc>
              <w:tc>
                <w:tcPr>
                  <w:tcW w:w="1040" w:type="dxa"/>
                  <w:tcBorders>
                    <w:top w:val="nil"/>
                    <w:left w:val="nil"/>
                    <w:bottom w:val="single" w:sz="8" w:space="0" w:color="FFFFFF"/>
                    <w:right w:val="single" w:sz="8" w:space="0" w:color="FFFFFF"/>
                  </w:tcBorders>
                  <w:shd w:val="clear" w:color="000000" w:fill="FDE9D9"/>
                  <w:noWrap/>
                  <w:vAlign w:val="center"/>
                  <w:hideMark/>
                </w:tcPr>
                <w:p w14:paraId="5A6330ED"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3.4 </w:t>
                  </w:r>
                </w:p>
              </w:tc>
              <w:tc>
                <w:tcPr>
                  <w:tcW w:w="1040" w:type="dxa"/>
                  <w:tcBorders>
                    <w:top w:val="nil"/>
                    <w:left w:val="nil"/>
                    <w:bottom w:val="single" w:sz="8" w:space="0" w:color="FFFFFF"/>
                    <w:right w:val="single" w:sz="8" w:space="0" w:color="FFFFFF"/>
                  </w:tcBorders>
                  <w:shd w:val="clear" w:color="000000" w:fill="FDE9D9"/>
                  <w:noWrap/>
                  <w:vAlign w:val="center"/>
                  <w:hideMark/>
                </w:tcPr>
                <w:p w14:paraId="2A58CCBD"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3.4 </w:t>
                  </w:r>
                </w:p>
              </w:tc>
              <w:tc>
                <w:tcPr>
                  <w:tcW w:w="1040" w:type="dxa"/>
                  <w:tcBorders>
                    <w:top w:val="nil"/>
                    <w:left w:val="nil"/>
                    <w:bottom w:val="single" w:sz="8" w:space="0" w:color="FFFFFF"/>
                    <w:right w:val="single" w:sz="8" w:space="0" w:color="FFFFFF"/>
                  </w:tcBorders>
                  <w:shd w:val="clear" w:color="000000" w:fill="FDE9D9"/>
                  <w:noWrap/>
                  <w:vAlign w:val="center"/>
                  <w:hideMark/>
                </w:tcPr>
                <w:p w14:paraId="2BB343E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3.4 </w:t>
                  </w:r>
                </w:p>
              </w:tc>
            </w:tr>
            <w:tr w:rsidR="00B01EC0" w:rsidRPr="00B01EC0" w14:paraId="542D6D0A" w14:textId="77777777" w:rsidTr="00B01EC0">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52D7BE0B"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39A289B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-5.7 </w:t>
                  </w:r>
                </w:p>
              </w:tc>
              <w:tc>
                <w:tcPr>
                  <w:tcW w:w="1040" w:type="dxa"/>
                  <w:tcBorders>
                    <w:top w:val="nil"/>
                    <w:left w:val="nil"/>
                    <w:bottom w:val="single" w:sz="8" w:space="0" w:color="FFFFFF"/>
                    <w:right w:val="single" w:sz="8" w:space="0" w:color="FFFFFF"/>
                  </w:tcBorders>
                  <w:shd w:val="clear" w:color="000000" w:fill="FCD5B4"/>
                  <w:noWrap/>
                  <w:vAlign w:val="center"/>
                  <w:hideMark/>
                </w:tcPr>
                <w:p w14:paraId="2B8AADB1"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-5.7 </w:t>
                  </w:r>
                </w:p>
              </w:tc>
              <w:tc>
                <w:tcPr>
                  <w:tcW w:w="1040" w:type="dxa"/>
                  <w:tcBorders>
                    <w:top w:val="nil"/>
                    <w:left w:val="nil"/>
                    <w:bottom w:val="single" w:sz="8" w:space="0" w:color="FFFFFF"/>
                    <w:right w:val="single" w:sz="8" w:space="0" w:color="FFFFFF"/>
                  </w:tcBorders>
                  <w:shd w:val="clear" w:color="000000" w:fill="FCD5B4"/>
                  <w:noWrap/>
                  <w:vAlign w:val="center"/>
                  <w:hideMark/>
                </w:tcPr>
                <w:p w14:paraId="02362237"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-4.7 </w:t>
                  </w:r>
                </w:p>
              </w:tc>
              <w:tc>
                <w:tcPr>
                  <w:tcW w:w="1040" w:type="dxa"/>
                  <w:tcBorders>
                    <w:top w:val="nil"/>
                    <w:left w:val="nil"/>
                    <w:bottom w:val="single" w:sz="8" w:space="0" w:color="FFFFFF"/>
                    <w:right w:val="single" w:sz="8" w:space="0" w:color="FFFFFF"/>
                  </w:tcBorders>
                  <w:shd w:val="clear" w:color="000000" w:fill="FCD5B4"/>
                  <w:noWrap/>
                  <w:vAlign w:val="center"/>
                  <w:hideMark/>
                </w:tcPr>
                <w:p w14:paraId="71CB5352"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-6.7 </w:t>
                  </w:r>
                </w:p>
              </w:tc>
              <w:tc>
                <w:tcPr>
                  <w:tcW w:w="1040" w:type="dxa"/>
                  <w:tcBorders>
                    <w:top w:val="nil"/>
                    <w:left w:val="nil"/>
                    <w:bottom w:val="single" w:sz="8" w:space="0" w:color="FFFFFF"/>
                    <w:right w:val="single" w:sz="8" w:space="0" w:color="FFFFFF"/>
                  </w:tcBorders>
                  <w:shd w:val="clear" w:color="000000" w:fill="FCD5B4"/>
                  <w:noWrap/>
                  <w:vAlign w:val="center"/>
                  <w:hideMark/>
                </w:tcPr>
                <w:p w14:paraId="20486B9A"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1554B243"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-4.5 </w:t>
                  </w:r>
                </w:p>
              </w:tc>
              <w:tc>
                <w:tcPr>
                  <w:tcW w:w="1040" w:type="dxa"/>
                  <w:tcBorders>
                    <w:top w:val="nil"/>
                    <w:left w:val="nil"/>
                    <w:bottom w:val="single" w:sz="8" w:space="0" w:color="FFFFFF"/>
                    <w:right w:val="single" w:sz="8" w:space="0" w:color="FFFFFF"/>
                  </w:tcBorders>
                  <w:shd w:val="clear" w:color="000000" w:fill="FCD5B4"/>
                  <w:noWrap/>
                  <w:vAlign w:val="center"/>
                  <w:hideMark/>
                </w:tcPr>
                <w:p w14:paraId="6D477A78"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-4.5 </w:t>
                  </w:r>
                </w:p>
              </w:tc>
              <w:tc>
                <w:tcPr>
                  <w:tcW w:w="1040" w:type="dxa"/>
                  <w:tcBorders>
                    <w:top w:val="nil"/>
                    <w:left w:val="nil"/>
                    <w:bottom w:val="single" w:sz="8" w:space="0" w:color="FFFFFF"/>
                    <w:right w:val="single" w:sz="8" w:space="0" w:color="FFFFFF"/>
                  </w:tcBorders>
                  <w:shd w:val="clear" w:color="000000" w:fill="FCD5B4"/>
                  <w:noWrap/>
                  <w:vAlign w:val="center"/>
                  <w:hideMark/>
                </w:tcPr>
                <w:p w14:paraId="6A324E65"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-3.5 </w:t>
                  </w:r>
                </w:p>
              </w:tc>
              <w:tc>
                <w:tcPr>
                  <w:tcW w:w="1040" w:type="dxa"/>
                  <w:tcBorders>
                    <w:top w:val="nil"/>
                    <w:left w:val="nil"/>
                    <w:bottom w:val="single" w:sz="8" w:space="0" w:color="FFFFFF"/>
                    <w:right w:val="single" w:sz="8" w:space="0" w:color="FFFFFF"/>
                  </w:tcBorders>
                  <w:shd w:val="clear" w:color="000000" w:fill="FCD5B4"/>
                  <w:noWrap/>
                  <w:vAlign w:val="center"/>
                  <w:hideMark/>
                </w:tcPr>
                <w:p w14:paraId="26F65BD3"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-5.5 </w:t>
                  </w:r>
                </w:p>
              </w:tc>
            </w:tr>
            <w:tr w:rsidR="00B01EC0" w:rsidRPr="00B01EC0" w14:paraId="1208D1C6" w14:textId="77777777" w:rsidTr="00B01EC0">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6DBD0C18"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0885F167"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-2.0 </w:t>
                  </w:r>
                </w:p>
              </w:tc>
              <w:tc>
                <w:tcPr>
                  <w:tcW w:w="1040" w:type="dxa"/>
                  <w:tcBorders>
                    <w:top w:val="nil"/>
                    <w:left w:val="nil"/>
                    <w:bottom w:val="single" w:sz="8" w:space="0" w:color="FFFFFF"/>
                    <w:right w:val="single" w:sz="8" w:space="0" w:color="FFFFFF"/>
                  </w:tcBorders>
                  <w:shd w:val="clear" w:color="000000" w:fill="FDE9D9"/>
                  <w:noWrap/>
                  <w:vAlign w:val="center"/>
                  <w:hideMark/>
                </w:tcPr>
                <w:p w14:paraId="158AB97D"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-3.0 </w:t>
                  </w:r>
                </w:p>
              </w:tc>
              <w:tc>
                <w:tcPr>
                  <w:tcW w:w="1040" w:type="dxa"/>
                  <w:tcBorders>
                    <w:top w:val="nil"/>
                    <w:left w:val="nil"/>
                    <w:bottom w:val="single" w:sz="8" w:space="0" w:color="FFFFFF"/>
                    <w:right w:val="single" w:sz="8" w:space="0" w:color="FFFFFF"/>
                  </w:tcBorders>
                  <w:shd w:val="clear" w:color="000000" w:fill="FDE9D9"/>
                  <w:noWrap/>
                  <w:vAlign w:val="center"/>
                  <w:hideMark/>
                </w:tcPr>
                <w:p w14:paraId="05FAA550"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-5.0 </w:t>
                  </w:r>
                </w:p>
              </w:tc>
              <w:tc>
                <w:tcPr>
                  <w:tcW w:w="1040" w:type="dxa"/>
                  <w:tcBorders>
                    <w:top w:val="nil"/>
                    <w:left w:val="nil"/>
                    <w:bottom w:val="single" w:sz="8" w:space="0" w:color="FFFFFF"/>
                    <w:right w:val="single" w:sz="8" w:space="0" w:color="FFFFFF"/>
                  </w:tcBorders>
                  <w:shd w:val="clear" w:color="000000" w:fill="FDE9D9"/>
                  <w:noWrap/>
                  <w:vAlign w:val="center"/>
                  <w:hideMark/>
                </w:tcPr>
                <w:p w14:paraId="7BA4AAAD"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-3.0 </w:t>
                  </w:r>
                </w:p>
              </w:tc>
              <w:tc>
                <w:tcPr>
                  <w:tcW w:w="1040" w:type="dxa"/>
                  <w:tcBorders>
                    <w:top w:val="nil"/>
                    <w:left w:val="nil"/>
                    <w:bottom w:val="single" w:sz="8" w:space="0" w:color="FFFFFF"/>
                    <w:right w:val="single" w:sz="8" w:space="0" w:color="FFFFFF"/>
                  </w:tcBorders>
                  <w:shd w:val="clear" w:color="000000" w:fill="FDE9D9"/>
                  <w:noWrap/>
                  <w:vAlign w:val="center"/>
                  <w:hideMark/>
                </w:tcPr>
                <w:p w14:paraId="7734AD06"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3ADEBAE3"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-0.9 </w:t>
                  </w:r>
                </w:p>
              </w:tc>
              <w:tc>
                <w:tcPr>
                  <w:tcW w:w="1040" w:type="dxa"/>
                  <w:tcBorders>
                    <w:top w:val="nil"/>
                    <w:left w:val="nil"/>
                    <w:bottom w:val="single" w:sz="8" w:space="0" w:color="FFFFFF"/>
                    <w:right w:val="single" w:sz="8" w:space="0" w:color="FFFFFF"/>
                  </w:tcBorders>
                  <w:shd w:val="clear" w:color="000000" w:fill="FDE9D9"/>
                  <w:noWrap/>
                  <w:vAlign w:val="center"/>
                  <w:hideMark/>
                </w:tcPr>
                <w:p w14:paraId="0DB46C1C"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-1.9 </w:t>
                  </w:r>
                </w:p>
              </w:tc>
              <w:tc>
                <w:tcPr>
                  <w:tcW w:w="1040" w:type="dxa"/>
                  <w:tcBorders>
                    <w:top w:val="nil"/>
                    <w:left w:val="nil"/>
                    <w:bottom w:val="single" w:sz="8" w:space="0" w:color="FFFFFF"/>
                    <w:right w:val="single" w:sz="8" w:space="0" w:color="FFFFFF"/>
                  </w:tcBorders>
                  <w:shd w:val="clear" w:color="000000" w:fill="FDE9D9"/>
                  <w:noWrap/>
                  <w:vAlign w:val="center"/>
                  <w:hideMark/>
                </w:tcPr>
                <w:p w14:paraId="5DA43940"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-3.9 </w:t>
                  </w:r>
                </w:p>
              </w:tc>
              <w:tc>
                <w:tcPr>
                  <w:tcW w:w="1040" w:type="dxa"/>
                  <w:tcBorders>
                    <w:top w:val="nil"/>
                    <w:left w:val="nil"/>
                    <w:bottom w:val="single" w:sz="8" w:space="0" w:color="FFFFFF"/>
                    <w:right w:val="single" w:sz="8" w:space="0" w:color="FFFFFF"/>
                  </w:tcBorders>
                  <w:shd w:val="clear" w:color="000000" w:fill="FDE9D9"/>
                  <w:noWrap/>
                  <w:vAlign w:val="center"/>
                  <w:hideMark/>
                </w:tcPr>
                <w:p w14:paraId="0035263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-1.9 </w:t>
                  </w:r>
                </w:p>
              </w:tc>
            </w:tr>
            <w:tr w:rsidR="00B01EC0" w:rsidRPr="00B01EC0" w14:paraId="1E85CF19" w14:textId="77777777" w:rsidTr="00B01EC0">
              <w:trPr>
                <w:trHeight w:val="300"/>
              </w:trPr>
              <w:tc>
                <w:tcPr>
                  <w:tcW w:w="1288" w:type="dxa"/>
                  <w:tcBorders>
                    <w:top w:val="nil"/>
                    <w:left w:val="nil"/>
                    <w:bottom w:val="nil"/>
                    <w:right w:val="nil"/>
                  </w:tcBorders>
                  <w:shd w:val="clear" w:color="000000" w:fill="FCD5B4"/>
                  <w:noWrap/>
                  <w:vAlign w:val="center"/>
                  <w:hideMark/>
                </w:tcPr>
                <w:p w14:paraId="776443B6"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5C86A0D2"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-1.1 </w:t>
                  </w:r>
                </w:p>
              </w:tc>
              <w:tc>
                <w:tcPr>
                  <w:tcW w:w="1040" w:type="dxa"/>
                  <w:tcBorders>
                    <w:top w:val="nil"/>
                    <w:left w:val="nil"/>
                    <w:bottom w:val="single" w:sz="8" w:space="0" w:color="FFFFFF"/>
                    <w:right w:val="single" w:sz="8" w:space="0" w:color="FFFFFF"/>
                  </w:tcBorders>
                  <w:shd w:val="clear" w:color="000000" w:fill="FCD5B4"/>
                  <w:noWrap/>
                  <w:vAlign w:val="center"/>
                  <w:hideMark/>
                </w:tcPr>
                <w:p w14:paraId="33D48682"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-1.1 </w:t>
                  </w:r>
                </w:p>
              </w:tc>
              <w:tc>
                <w:tcPr>
                  <w:tcW w:w="1040" w:type="dxa"/>
                  <w:tcBorders>
                    <w:top w:val="nil"/>
                    <w:left w:val="nil"/>
                    <w:bottom w:val="single" w:sz="8" w:space="0" w:color="FFFFFF"/>
                    <w:right w:val="single" w:sz="8" w:space="0" w:color="FFFFFF"/>
                  </w:tcBorders>
                  <w:shd w:val="clear" w:color="000000" w:fill="FCD5B4"/>
                  <w:noWrap/>
                  <w:vAlign w:val="center"/>
                  <w:hideMark/>
                </w:tcPr>
                <w:p w14:paraId="7B390A7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-1.1 </w:t>
                  </w:r>
                </w:p>
              </w:tc>
              <w:tc>
                <w:tcPr>
                  <w:tcW w:w="1040" w:type="dxa"/>
                  <w:tcBorders>
                    <w:top w:val="nil"/>
                    <w:left w:val="nil"/>
                    <w:bottom w:val="single" w:sz="8" w:space="0" w:color="FFFFFF"/>
                    <w:right w:val="single" w:sz="8" w:space="0" w:color="FFFFFF"/>
                  </w:tcBorders>
                  <w:shd w:val="clear" w:color="000000" w:fill="FCD5B4"/>
                  <w:noWrap/>
                  <w:vAlign w:val="center"/>
                  <w:hideMark/>
                </w:tcPr>
                <w:p w14:paraId="5654080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FF0000"/>
                      <w:kern w:val="0"/>
                      <w:sz w:val="18"/>
                      <w:szCs w:val="18"/>
                    </w:rPr>
                    <w:t xml:space="preserve">-1.1 </w:t>
                  </w:r>
                </w:p>
              </w:tc>
              <w:tc>
                <w:tcPr>
                  <w:tcW w:w="1040" w:type="dxa"/>
                  <w:tcBorders>
                    <w:top w:val="nil"/>
                    <w:left w:val="nil"/>
                    <w:bottom w:val="nil"/>
                    <w:right w:val="nil"/>
                  </w:tcBorders>
                  <w:shd w:val="clear" w:color="000000" w:fill="FCD5B4"/>
                  <w:noWrap/>
                  <w:vAlign w:val="center"/>
                  <w:hideMark/>
                </w:tcPr>
                <w:p w14:paraId="70C57578"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623876E0"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3.4 </w:t>
                  </w:r>
                </w:p>
              </w:tc>
              <w:tc>
                <w:tcPr>
                  <w:tcW w:w="1040" w:type="dxa"/>
                  <w:tcBorders>
                    <w:top w:val="nil"/>
                    <w:left w:val="nil"/>
                    <w:bottom w:val="single" w:sz="8" w:space="0" w:color="FFFFFF"/>
                    <w:right w:val="single" w:sz="8" w:space="0" w:color="FFFFFF"/>
                  </w:tcBorders>
                  <w:shd w:val="clear" w:color="000000" w:fill="FCD5B4"/>
                  <w:noWrap/>
                  <w:vAlign w:val="center"/>
                  <w:hideMark/>
                </w:tcPr>
                <w:p w14:paraId="2B355A00"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3.4 </w:t>
                  </w:r>
                </w:p>
              </w:tc>
              <w:tc>
                <w:tcPr>
                  <w:tcW w:w="1040" w:type="dxa"/>
                  <w:tcBorders>
                    <w:top w:val="nil"/>
                    <w:left w:val="nil"/>
                    <w:bottom w:val="single" w:sz="8" w:space="0" w:color="FFFFFF"/>
                    <w:right w:val="single" w:sz="8" w:space="0" w:color="FFFFFF"/>
                  </w:tcBorders>
                  <w:shd w:val="clear" w:color="000000" w:fill="FCD5B4"/>
                  <w:noWrap/>
                  <w:vAlign w:val="center"/>
                  <w:hideMark/>
                </w:tcPr>
                <w:p w14:paraId="38CA77AF"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3.4 </w:t>
                  </w:r>
                </w:p>
              </w:tc>
              <w:tc>
                <w:tcPr>
                  <w:tcW w:w="1040" w:type="dxa"/>
                  <w:tcBorders>
                    <w:top w:val="nil"/>
                    <w:left w:val="nil"/>
                    <w:bottom w:val="single" w:sz="8" w:space="0" w:color="FFFFFF"/>
                    <w:right w:val="single" w:sz="8" w:space="0" w:color="FFFFFF"/>
                  </w:tcBorders>
                  <w:shd w:val="clear" w:color="000000" w:fill="FCD5B4"/>
                  <w:noWrap/>
                  <w:vAlign w:val="center"/>
                  <w:hideMark/>
                </w:tcPr>
                <w:p w14:paraId="4A5E4B91"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 xml:space="preserve">3.4 </w:t>
                  </w:r>
                </w:p>
              </w:tc>
            </w:tr>
            <w:tr w:rsidR="00B01EC0" w:rsidRPr="00B01EC0" w14:paraId="0C0B8DFD" w14:textId="77777777" w:rsidTr="00B01EC0">
              <w:trPr>
                <w:trHeight w:val="150"/>
              </w:trPr>
              <w:tc>
                <w:tcPr>
                  <w:tcW w:w="1288" w:type="dxa"/>
                  <w:tcBorders>
                    <w:top w:val="nil"/>
                    <w:left w:val="nil"/>
                    <w:bottom w:val="nil"/>
                    <w:right w:val="nil"/>
                  </w:tcBorders>
                  <w:shd w:val="clear" w:color="auto" w:fill="auto"/>
                  <w:noWrap/>
                  <w:vAlign w:val="center"/>
                  <w:hideMark/>
                </w:tcPr>
                <w:p w14:paraId="0E66A842" w14:textId="77777777" w:rsidR="00B01EC0" w:rsidRPr="00B01EC0" w:rsidRDefault="00B01EC0" w:rsidP="00B01EC0">
                  <w:pPr>
                    <w:widowControl/>
                    <w:jc w:val="center"/>
                    <w:rPr>
                      <w:rFonts w:eastAsia="等线" w:cs="Calibri"/>
                      <w:color w:val="000000"/>
                      <w:kern w:val="0"/>
                      <w:sz w:val="18"/>
                      <w:szCs w:val="18"/>
                    </w:rPr>
                  </w:pPr>
                </w:p>
              </w:tc>
              <w:tc>
                <w:tcPr>
                  <w:tcW w:w="1040" w:type="dxa"/>
                  <w:tcBorders>
                    <w:top w:val="nil"/>
                    <w:left w:val="nil"/>
                    <w:bottom w:val="nil"/>
                    <w:right w:val="nil"/>
                  </w:tcBorders>
                  <w:shd w:val="clear" w:color="auto" w:fill="auto"/>
                  <w:noWrap/>
                  <w:vAlign w:val="center"/>
                  <w:hideMark/>
                </w:tcPr>
                <w:p w14:paraId="1351ABF8" w14:textId="77777777" w:rsidR="00B01EC0" w:rsidRPr="00B01EC0" w:rsidRDefault="00B01EC0" w:rsidP="00B01EC0">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hideMark/>
                </w:tcPr>
                <w:p w14:paraId="3F3F0137" w14:textId="77777777" w:rsidR="00B01EC0" w:rsidRPr="00B01EC0" w:rsidRDefault="00B01EC0" w:rsidP="00B01EC0">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hideMark/>
                </w:tcPr>
                <w:p w14:paraId="6F1E76B1" w14:textId="77777777" w:rsidR="00B01EC0" w:rsidRPr="00B01EC0" w:rsidRDefault="00B01EC0" w:rsidP="00B01EC0">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hideMark/>
                </w:tcPr>
                <w:p w14:paraId="7EBC4AB9" w14:textId="77777777" w:rsidR="00B01EC0" w:rsidRPr="00B01EC0" w:rsidRDefault="00B01EC0" w:rsidP="00B01EC0">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hideMark/>
                </w:tcPr>
                <w:p w14:paraId="188BA71A" w14:textId="77777777" w:rsidR="00B01EC0" w:rsidRPr="00B01EC0" w:rsidRDefault="00B01EC0" w:rsidP="00B01EC0">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hideMark/>
                </w:tcPr>
                <w:p w14:paraId="409648B7" w14:textId="77777777" w:rsidR="00B01EC0" w:rsidRPr="00B01EC0" w:rsidRDefault="00B01EC0" w:rsidP="00B01EC0">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hideMark/>
                </w:tcPr>
                <w:p w14:paraId="60707E21" w14:textId="77777777" w:rsidR="00B01EC0" w:rsidRPr="00B01EC0" w:rsidRDefault="00B01EC0" w:rsidP="00B01EC0">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hideMark/>
                </w:tcPr>
                <w:p w14:paraId="56A3962C" w14:textId="77777777" w:rsidR="00B01EC0" w:rsidRPr="00B01EC0" w:rsidRDefault="00B01EC0" w:rsidP="00B01EC0">
                  <w:pPr>
                    <w:widowControl/>
                    <w:jc w:val="center"/>
                    <w:rPr>
                      <w:rFonts w:ascii="Times New Roman" w:eastAsia="Times New Roman" w:hAnsi="Times New Roman"/>
                      <w:kern w:val="0"/>
                      <w:sz w:val="18"/>
                      <w:szCs w:val="18"/>
                    </w:rPr>
                  </w:pPr>
                </w:p>
              </w:tc>
              <w:tc>
                <w:tcPr>
                  <w:tcW w:w="1040" w:type="dxa"/>
                  <w:tcBorders>
                    <w:top w:val="nil"/>
                    <w:left w:val="nil"/>
                    <w:bottom w:val="nil"/>
                    <w:right w:val="nil"/>
                  </w:tcBorders>
                  <w:shd w:val="clear" w:color="auto" w:fill="auto"/>
                  <w:noWrap/>
                  <w:vAlign w:val="center"/>
                  <w:hideMark/>
                </w:tcPr>
                <w:p w14:paraId="5CC4FC2F" w14:textId="77777777" w:rsidR="00B01EC0" w:rsidRPr="00B01EC0" w:rsidRDefault="00B01EC0" w:rsidP="00B01EC0">
                  <w:pPr>
                    <w:widowControl/>
                    <w:jc w:val="center"/>
                    <w:rPr>
                      <w:rFonts w:ascii="Times New Roman" w:eastAsia="Times New Roman" w:hAnsi="Times New Roman"/>
                      <w:kern w:val="0"/>
                      <w:sz w:val="18"/>
                      <w:szCs w:val="18"/>
                    </w:rPr>
                  </w:pPr>
                </w:p>
              </w:tc>
            </w:tr>
            <w:tr w:rsidR="00B01EC0" w:rsidRPr="00B01EC0" w14:paraId="5DF92245" w14:textId="77777777" w:rsidTr="00B01EC0">
              <w:trPr>
                <w:trHeight w:val="300"/>
              </w:trPr>
              <w:tc>
                <w:tcPr>
                  <w:tcW w:w="1288" w:type="dxa"/>
                  <w:tcBorders>
                    <w:top w:val="nil"/>
                    <w:left w:val="nil"/>
                    <w:bottom w:val="single" w:sz="12" w:space="0" w:color="FFFFFF"/>
                    <w:right w:val="single" w:sz="8" w:space="0" w:color="FFFFFF"/>
                  </w:tcBorders>
                  <w:shd w:val="clear" w:color="000000" w:fill="F79646"/>
                  <w:noWrap/>
                  <w:vAlign w:val="center"/>
                  <w:hideMark/>
                </w:tcPr>
                <w:p w14:paraId="3252E081"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收益率分位</w:t>
                  </w:r>
                </w:p>
              </w:tc>
              <w:tc>
                <w:tcPr>
                  <w:tcW w:w="1040" w:type="dxa"/>
                  <w:tcBorders>
                    <w:top w:val="nil"/>
                    <w:left w:val="nil"/>
                    <w:bottom w:val="single" w:sz="12" w:space="0" w:color="FFFFFF"/>
                    <w:right w:val="single" w:sz="8" w:space="0" w:color="FFFFFF"/>
                  </w:tcBorders>
                  <w:shd w:val="clear" w:color="000000" w:fill="F79646"/>
                  <w:noWrap/>
                  <w:vAlign w:val="center"/>
                  <w:hideMark/>
                </w:tcPr>
                <w:p w14:paraId="307B742E"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0B24CED9"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1E200EE9"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4EE8BD56"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51B46B07"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息差</w:t>
                  </w:r>
                </w:p>
              </w:tc>
              <w:tc>
                <w:tcPr>
                  <w:tcW w:w="1040" w:type="dxa"/>
                  <w:tcBorders>
                    <w:top w:val="nil"/>
                    <w:left w:val="nil"/>
                    <w:bottom w:val="single" w:sz="12" w:space="0" w:color="FFFFFF"/>
                    <w:right w:val="single" w:sz="8" w:space="0" w:color="FFFFFF"/>
                  </w:tcBorders>
                  <w:shd w:val="clear" w:color="000000" w:fill="F79646"/>
                  <w:noWrap/>
                  <w:vAlign w:val="center"/>
                  <w:hideMark/>
                </w:tcPr>
                <w:p w14:paraId="117ABCC5"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2CA88126"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576F4F64"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c>
                <w:tcPr>
                  <w:tcW w:w="1040" w:type="dxa"/>
                  <w:tcBorders>
                    <w:top w:val="nil"/>
                    <w:left w:val="nil"/>
                    <w:bottom w:val="single" w:sz="12" w:space="0" w:color="FFFFFF"/>
                    <w:right w:val="single" w:sz="8" w:space="0" w:color="FFFFFF"/>
                  </w:tcBorders>
                  <w:shd w:val="clear" w:color="000000" w:fill="F79646"/>
                  <w:noWrap/>
                  <w:vAlign w:val="center"/>
                  <w:hideMark/>
                </w:tcPr>
                <w:p w14:paraId="64459F32" w14:textId="77777777" w:rsidR="00B01EC0" w:rsidRPr="00B01EC0" w:rsidRDefault="00B01EC0" w:rsidP="00B01EC0">
                  <w:pPr>
                    <w:widowControl/>
                    <w:jc w:val="center"/>
                    <w:rPr>
                      <w:rFonts w:ascii="楷体" w:eastAsia="楷体" w:hAnsi="楷体" w:cs="宋体"/>
                      <w:b/>
                      <w:bCs/>
                      <w:color w:val="FFFFFF"/>
                      <w:kern w:val="0"/>
                      <w:sz w:val="18"/>
                      <w:szCs w:val="18"/>
                    </w:rPr>
                  </w:pPr>
                  <w:r w:rsidRPr="00B01EC0">
                    <w:rPr>
                      <w:rFonts w:ascii="楷体" w:eastAsia="楷体" w:hAnsi="楷体" w:cs="宋体" w:hint="eastAsia"/>
                      <w:b/>
                      <w:bCs/>
                      <w:color w:val="FFFFFF"/>
                      <w:kern w:val="0"/>
                      <w:sz w:val="18"/>
                      <w:szCs w:val="18"/>
                    </w:rPr>
                    <w:t>AA-</w:t>
                  </w:r>
                </w:p>
              </w:tc>
            </w:tr>
            <w:tr w:rsidR="00B01EC0" w:rsidRPr="00B01EC0" w14:paraId="27827A45" w14:textId="77777777" w:rsidTr="00B01EC0">
              <w:trPr>
                <w:trHeight w:val="315"/>
              </w:trPr>
              <w:tc>
                <w:tcPr>
                  <w:tcW w:w="1288" w:type="dxa"/>
                  <w:tcBorders>
                    <w:top w:val="nil"/>
                    <w:left w:val="nil"/>
                    <w:bottom w:val="single" w:sz="8" w:space="0" w:color="FFFFFF"/>
                    <w:right w:val="single" w:sz="8" w:space="0" w:color="FFFFFF"/>
                  </w:tcBorders>
                  <w:shd w:val="clear" w:color="000000" w:fill="FCD5B4"/>
                  <w:noWrap/>
                  <w:vAlign w:val="center"/>
                  <w:hideMark/>
                </w:tcPr>
                <w:p w14:paraId="39A49A7E"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7AC79D0D"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23%</w:t>
                  </w:r>
                </w:p>
              </w:tc>
              <w:tc>
                <w:tcPr>
                  <w:tcW w:w="1040" w:type="dxa"/>
                  <w:tcBorders>
                    <w:top w:val="nil"/>
                    <w:left w:val="nil"/>
                    <w:bottom w:val="single" w:sz="8" w:space="0" w:color="FFFFFF"/>
                    <w:right w:val="single" w:sz="8" w:space="0" w:color="FFFFFF"/>
                  </w:tcBorders>
                  <w:shd w:val="clear" w:color="000000" w:fill="FCD5B4"/>
                  <w:noWrap/>
                  <w:vAlign w:val="center"/>
                  <w:hideMark/>
                </w:tcPr>
                <w:p w14:paraId="56E0EE49"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21%</w:t>
                  </w:r>
                </w:p>
              </w:tc>
              <w:tc>
                <w:tcPr>
                  <w:tcW w:w="1040" w:type="dxa"/>
                  <w:tcBorders>
                    <w:top w:val="nil"/>
                    <w:left w:val="nil"/>
                    <w:bottom w:val="single" w:sz="8" w:space="0" w:color="FFFFFF"/>
                    <w:right w:val="single" w:sz="8" w:space="0" w:color="FFFFFF"/>
                  </w:tcBorders>
                  <w:shd w:val="clear" w:color="000000" w:fill="FCD5B4"/>
                  <w:noWrap/>
                  <w:vAlign w:val="center"/>
                  <w:hideMark/>
                </w:tcPr>
                <w:p w14:paraId="0E225C63"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19%</w:t>
                  </w:r>
                </w:p>
              </w:tc>
              <w:tc>
                <w:tcPr>
                  <w:tcW w:w="1040" w:type="dxa"/>
                  <w:tcBorders>
                    <w:top w:val="nil"/>
                    <w:left w:val="nil"/>
                    <w:bottom w:val="single" w:sz="8" w:space="0" w:color="FFFFFF"/>
                    <w:right w:val="single" w:sz="8" w:space="0" w:color="FFFFFF"/>
                  </w:tcBorders>
                  <w:shd w:val="clear" w:color="000000" w:fill="FCD5B4"/>
                  <w:noWrap/>
                  <w:vAlign w:val="center"/>
                  <w:hideMark/>
                </w:tcPr>
                <w:p w14:paraId="573EEABA"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46%</w:t>
                  </w:r>
                </w:p>
              </w:tc>
              <w:tc>
                <w:tcPr>
                  <w:tcW w:w="1040" w:type="dxa"/>
                  <w:tcBorders>
                    <w:top w:val="nil"/>
                    <w:left w:val="nil"/>
                    <w:bottom w:val="single" w:sz="8" w:space="0" w:color="FFFFFF"/>
                    <w:right w:val="single" w:sz="8" w:space="0" w:color="FFFFFF"/>
                  </w:tcBorders>
                  <w:shd w:val="clear" w:color="000000" w:fill="FCD5B4"/>
                  <w:noWrap/>
                  <w:vAlign w:val="center"/>
                  <w:hideMark/>
                </w:tcPr>
                <w:p w14:paraId="23BFB438"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CP</w:t>
                  </w:r>
                </w:p>
              </w:tc>
              <w:tc>
                <w:tcPr>
                  <w:tcW w:w="1040" w:type="dxa"/>
                  <w:tcBorders>
                    <w:top w:val="nil"/>
                    <w:left w:val="nil"/>
                    <w:bottom w:val="single" w:sz="8" w:space="0" w:color="FFFFFF"/>
                    <w:right w:val="single" w:sz="8" w:space="0" w:color="FFFFFF"/>
                  </w:tcBorders>
                  <w:shd w:val="clear" w:color="000000" w:fill="FCD5B4"/>
                  <w:noWrap/>
                  <w:vAlign w:val="center"/>
                  <w:hideMark/>
                </w:tcPr>
                <w:p w14:paraId="0C71893C"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11%</w:t>
                  </w:r>
                </w:p>
              </w:tc>
              <w:tc>
                <w:tcPr>
                  <w:tcW w:w="1040" w:type="dxa"/>
                  <w:tcBorders>
                    <w:top w:val="nil"/>
                    <w:left w:val="nil"/>
                    <w:bottom w:val="single" w:sz="8" w:space="0" w:color="FFFFFF"/>
                    <w:right w:val="single" w:sz="8" w:space="0" w:color="FFFFFF"/>
                  </w:tcBorders>
                  <w:shd w:val="clear" w:color="000000" w:fill="FCD5B4"/>
                  <w:noWrap/>
                  <w:vAlign w:val="center"/>
                  <w:hideMark/>
                </w:tcPr>
                <w:p w14:paraId="7AAA81CF"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9%</w:t>
                  </w:r>
                </w:p>
              </w:tc>
              <w:tc>
                <w:tcPr>
                  <w:tcW w:w="1040" w:type="dxa"/>
                  <w:tcBorders>
                    <w:top w:val="nil"/>
                    <w:left w:val="nil"/>
                    <w:bottom w:val="single" w:sz="8" w:space="0" w:color="FFFFFF"/>
                    <w:right w:val="single" w:sz="8" w:space="0" w:color="FFFFFF"/>
                  </w:tcBorders>
                  <w:shd w:val="clear" w:color="000000" w:fill="FCD5B4"/>
                  <w:noWrap/>
                  <w:vAlign w:val="center"/>
                  <w:hideMark/>
                </w:tcPr>
                <w:p w14:paraId="7A42D92F"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7%</w:t>
                  </w:r>
                </w:p>
              </w:tc>
              <w:tc>
                <w:tcPr>
                  <w:tcW w:w="1040" w:type="dxa"/>
                  <w:tcBorders>
                    <w:top w:val="nil"/>
                    <w:left w:val="nil"/>
                    <w:bottom w:val="single" w:sz="8" w:space="0" w:color="FFFFFF"/>
                    <w:right w:val="single" w:sz="8" w:space="0" w:color="FFFFFF"/>
                  </w:tcBorders>
                  <w:shd w:val="clear" w:color="000000" w:fill="FCD5B4"/>
                  <w:noWrap/>
                  <w:vAlign w:val="center"/>
                  <w:hideMark/>
                </w:tcPr>
                <w:p w14:paraId="7192CAFF"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65%</w:t>
                  </w:r>
                </w:p>
              </w:tc>
            </w:tr>
            <w:tr w:rsidR="00B01EC0" w:rsidRPr="00B01EC0" w14:paraId="63452DED" w14:textId="77777777" w:rsidTr="00B01EC0">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5399769E"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4168652A"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26%</w:t>
                  </w:r>
                </w:p>
              </w:tc>
              <w:tc>
                <w:tcPr>
                  <w:tcW w:w="1040" w:type="dxa"/>
                  <w:tcBorders>
                    <w:top w:val="nil"/>
                    <w:left w:val="nil"/>
                    <w:bottom w:val="single" w:sz="8" w:space="0" w:color="FFFFFF"/>
                    <w:right w:val="single" w:sz="8" w:space="0" w:color="FFFFFF"/>
                  </w:tcBorders>
                  <w:shd w:val="clear" w:color="000000" w:fill="FDE9D9"/>
                  <w:noWrap/>
                  <w:vAlign w:val="center"/>
                  <w:hideMark/>
                </w:tcPr>
                <w:p w14:paraId="5CFDC6F6"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20%</w:t>
                  </w:r>
                </w:p>
              </w:tc>
              <w:tc>
                <w:tcPr>
                  <w:tcW w:w="1040" w:type="dxa"/>
                  <w:tcBorders>
                    <w:top w:val="nil"/>
                    <w:left w:val="nil"/>
                    <w:bottom w:val="single" w:sz="8" w:space="0" w:color="FFFFFF"/>
                    <w:right w:val="single" w:sz="8" w:space="0" w:color="FFFFFF"/>
                  </w:tcBorders>
                  <w:shd w:val="clear" w:color="000000" w:fill="FDE9D9"/>
                  <w:noWrap/>
                  <w:vAlign w:val="center"/>
                  <w:hideMark/>
                </w:tcPr>
                <w:p w14:paraId="0EC6A8E2"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15%</w:t>
                  </w:r>
                </w:p>
              </w:tc>
              <w:tc>
                <w:tcPr>
                  <w:tcW w:w="1040" w:type="dxa"/>
                  <w:tcBorders>
                    <w:top w:val="nil"/>
                    <w:left w:val="nil"/>
                    <w:bottom w:val="single" w:sz="8" w:space="0" w:color="FFFFFF"/>
                    <w:right w:val="single" w:sz="8" w:space="0" w:color="FFFFFF"/>
                  </w:tcBorders>
                  <w:shd w:val="clear" w:color="000000" w:fill="FDE9D9"/>
                  <w:noWrap/>
                  <w:vAlign w:val="center"/>
                  <w:hideMark/>
                </w:tcPr>
                <w:p w14:paraId="76498D96"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46%</w:t>
                  </w:r>
                </w:p>
              </w:tc>
              <w:tc>
                <w:tcPr>
                  <w:tcW w:w="1040" w:type="dxa"/>
                  <w:tcBorders>
                    <w:top w:val="nil"/>
                    <w:left w:val="nil"/>
                    <w:bottom w:val="single" w:sz="8" w:space="0" w:color="FFFFFF"/>
                    <w:right w:val="single" w:sz="8" w:space="0" w:color="FFFFFF"/>
                  </w:tcBorders>
                  <w:shd w:val="clear" w:color="000000" w:fill="FDE9D9"/>
                  <w:noWrap/>
                  <w:vAlign w:val="center"/>
                  <w:hideMark/>
                </w:tcPr>
                <w:p w14:paraId="7EC9A920"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MTN3Y</w:t>
                  </w:r>
                </w:p>
              </w:tc>
              <w:tc>
                <w:tcPr>
                  <w:tcW w:w="1040" w:type="dxa"/>
                  <w:tcBorders>
                    <w:top w:val="nil"/>
                    <w:left w:val="nil"/>
                    <w:bottom w:val="single" w:sz="8" w:space="0" w:color="FFFFFF"/>
                    <w:right w:val="single" w:sz="8" w:space="0" w:color="FFFFFF"/>
                  </w:tcBorders>
                  <w:shd w:val="clear" w:color="000000" w:fill="FDE9D9"/>
                  <w:noWrap/>
                  <w:vAlign w:val="center"/>
                  <w:hideMark/>
                </w:tcPr>
                <w:p w14:paraId="196A37B9"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21%</w:t>
                  </w:r>
                </w:p>
              </w:tc>
              <w:tc>
                <w:tcPr>
                  <w:tcW w:w="1040" w:type="dxa"/>
                  <w:tcBorders>
                    <w:top w:val="nil"/>
                    <w:left w:val="nil"/>
                    <w:bottom w:val="single" w:sz="8" w:space="0" w:color="FFFFFF"/>
                    <w:right w:val="single" w:sz="8" w:space="0" w:color="FFFFFF"/>
                  </w:tcBorders>
                  <w:shd w:val="clear" w:color="000000" w:fill="FDE9D9"/>
                  <w:noWrap/>
                  <w:vAlign w:val="center"/>
                  <w:hideMark/>
                </w:tcPr>
                <w:p w14:paraId="1AE87AD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16%</w:t>
                  </w:r>
                </w:p>
              </w:tc>
              <w:tc>
                <w:tcPr>
                  <w:tcW w:w="1040" w:type="dxa"/>
                  <w:tcBorders>
                    <w:top w:val="nil"/>
                    <w:left w:val="nil"/>
                    <w:bottom w:val="single" w:sz="8" w:space="0" w:color="FFFFFF"/>
                    <w:right w:val="single" w:sz="8" w:space="0" w:color="FFFFFF"/>
                  </w:tcBorders>
                  <w:shd w:val="clear" w:color="000000" w:fill="FDE9D9"/>
                  <w:noWrap/>
                  <w:vAlign w:val="center"/>
                  <w:hideMark/>
                </w:tcPr>
                <w:p w14:paraId="63BE5523"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11%</w:t>
                  </w:r>
                </w:p>
              </w:tc>
              <w:tc>
                <w:tcPr>
                  <w:tcW w:w="1040" w:type="dxa"/>
                  <w:tcBorders>
                    <w:top w:val="nil"/>
                    <w:left w:val="nil"/>
                    <w:bottom w:val="single" w:sz="8" w:space="0" w:color="FFFFFF"/>
                    <w:right w:val="single" w:sz="8" w:space="0" w:color="FFFFFF"/>
                  </w:tcBorders>
                  <w:shd w:val="clear" w:color="000000" w:fill="FDE9D9"/>
                  <w:noWrap/>
                  <w:vAlign w:val="center"/>
                  <w:hideMark/>
                </w:tcPr>
                <w:p w14:paraId="17D50C4A"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62%</w:t>
                  </w:r>
                </w:p>
              </w:tc>
            </w:tr>
            <w:tr w:rsidR="00B01EC0" w:rsidRPr="00B01EC0" w14:paraId="50089349" w14:textId="77777777" w:rsidTr="00B01EC0">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6FFFBC07"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lastRenderedPageBreak/>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40DD5E11"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23%</w:t>
                  </w:r>
                </w:p>
              </w:tc>
              <w:tc>
                <w:tcPr>
                  <w:tcW w:w="1040" w:type="dxa"/>
                  <w:tcBorders>
                    <w:top w:val="nil"/>
                    <w:left w:val="nil"/>
                    <w:bottom w:val="single" w:sz="8" w:space="0" w:color="FFFFFF"/>
                    <w:right w:val="single" w:sz="8" w:space="0" w:color="FFFFFF"/>
                  </w:tcBorders>
                  <w:shd w:val="clear" w:color="000000" w:fill="FCD5B4"/>
                  <w:noWrap/>
                  <w:vAlign w:val="center"/>
                  <w:hideMark/>
                </w:tcPr>
                <w:p w14:paraId="076E8008"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21%</w:t>
                  </w:r>
                </w:p>
              </w:tc>
              <w:tc>
                <w:tcPr>
                  <w:tcW w:w="1040" w:type="dxa"/>
                  <w:tcBorders>
                    <w:top w:val="nil"/>
                    <w:left w:val="nil"/>
                    <w:bottom w:val="single" w:sz="8" w:space="0" w:color="FFFFFF"/>
                    <w:right w:val="single" w:sz="8" w:space="0" w:color="FFFFFF"/>
                  </w:tcBorders>
                  <w:shd w:val="clear" w:color="000000" w:fill="FCD5B4"/>
                  <w:noWrap/>
                  <w:vAlign w:val="center"/>
                  <w:hideMark/>
                </w:tcPr>
                <w:p w14:paraId="35325BD1"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17%</w:t>
                  </w:r>
                </w:p>
              </w:tc>
              <w:tc>
                <w:tcPr>
                  <w:tcW w:w="1040" w:type="dxa"/>
                  <w:tcBorders>
                    <w:top w:val="nil"/>
                    <w:left w:val="nil"/>
                    <w:bottom w:val="single" w:sz="8" w:space="0" w:color="FFFFFF"/>
                    <w:right w:val="single" w:sz="8" w:space="0" w:color="FFFFFF"/>
                  </w:tcBorders>
                  <w:shd w:val="clear" w:color="000000" w:fill="FCD5B4"/>
                  <w:noWrap/>
                  <w:vAlign w:val="center"/>
                  <w:hideMark/>
                </w:tcPr>
                <w:p w14:paraId="67F94182"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56%</w:t>
                  </w:r>
                </w:p>
              </w:tc>
              <w:tc>
                <w:tcPr>
                  <w:tcW w:w="1040" w:type="dxa"/>
                  <w:tcBorders>
                    <w:top w:val="nil"/>
                    <w:left w:val="nil"/>
                    <w:bottom w:val="single" w:sz="8" w:space="0" w:color="FFFFFF"/>
                    <w:right w:val="single" w:sz="8" w:space="0" w:color="FFFFFF"/>
                  </w:tcBorders>
                  <w:shd w:val="clear" w:color="000000" w:fill="FCD5B4"/>
                  <w:noWrap/>
                  <w:vAlign w:val="center"/>
                  <w:hideMark/>
                </w:tcPr>
                <w:p w14:paraId="6052F73C"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MTN5Y</w:t>
                  </w:r>
                </w:p>
              </w:tc>
              <w:tc>
                <w:tcPr>
                  <w:tcW w:w="1040" w:type="dxa"/>
                  <w:tcBorders>
                    <w:top w:val="nil"/>
                    <w:left w:val="nil"/>
                    <w:bottom w:val="single" w:sz="8" w:space="0" w:color="FFFFFF"/>
                    <w:right w:val="single" w:sz="8" w:space="0" w:color="FFFFFF"/>
                  </w:tcBorders>
                  <w:shd w:val="clear" w:color="000000" w:fill="FCD5B4"/>
                  <w:noWrap/>
                  <w:vAlign w:val="center"/>
                  <w:hideMark/>
                </w:tcPr>
                <w:p w14:paraId="69E39EEC"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28%</w:t>
                  </w:r>
                </w:p>
              </w:tc>
              <w:tc>
                <w:tcPr>
                  <w:tcW w:w="1040" w:type="dxa"/>
                  <w:tcBorders>
                    <w:top w:val="nil"/>
                    <w:left w:val="nil"/>
                    <w:bottom w:val="single" w:sz="8" w:space="0" w:color="FFFFFF"/>
                    <w:right w:val="single" w:sz="8" w:space="0" w:color="FFFFFF"/>
                  </w:tcBorders>
                  <w:shd w:val="clear" w:color="000000" w:fill="FCD5B4"/>
                  <w:noWrap/>
                  <w:vAlign w:val="center"/>
                  <w:hideMark/>
                </w:tcPr>
                <w:p w14:paraId="5C54B3AD"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22%</w:t>
                  </w:r>
                </w:p>
              </w:tc>
              <w:tc>
                <w:tcPr>
                  <w:tcW w:w="1040" w:type="dxa"/>
                  <w:tcBorders>
                    <w:top w:val="nil"/>
                    <w:left w:val="nil"/>
                    <w:bottom w:val="single" w:sz="8" w:space="0" w:color="FFFFFF"/>
                    <w:right w:val="single" w:sz="8" w:space="0" w:color="FFFFFF"/>
                  </w:tcBorders>
                  <w:shd w:val="clear" w:color="000000" w:fill="FCD5B4"/>
                  <w:noWrap/>
                  <w:vAlign w:val="center"/>
                  <w:hideMark/>
                </w:tcPr>
                <w:p w14:paraId="387DDBED"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16%</w:t>
                  </w:r>
                </w:p>
              </w:tc>
              <w:tc>
                <w:tcPr>
                  <w:tcW w:w="1040" w:type="dxa"/>
                  <w:tcBorders>
                    <w:top w:val="nil"/>
                    <w:left w:val="nil"/>
                    <w:bottom w:val="single" w:sz="8" w:space="0" w:color="FFFFFF"/>
                    <w:right w:val="single" w:sz="8" w:space="0" w:color="FFFFFF"/>
                  </w:tcBorders>
                  <w:shd w:val="clear" w:color="000000" w:fill="FCD5B4"/>
                  <w:noWrap/>
                  <w:vAlign w:val="center"/>
                  <w:hideMark/>
                </w:tcPr>
                <w:p w14:paraId="4F6AD209"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74%</w:t>
                  </w:r>
                </w:p>
              </w:tc>
            </w:tr>
            <w:tr w:rsidR="00B01EC0" w:rsidRPr="00B01EC0" w14:paraId="5572D6D8" w14:textId="77777777" w:rsidTr="00B01EC0">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7407468F"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562AE37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26%</w:t>
                  </w:r>
                </w:p>
              </w:tc>
              <w:tc>
                <w:tcPr>
                  <w:tcW w:w="1040" w:type="dxa"/>
                  <w:tcBorders>
                    <w:top w:val="nil"/>
                    <w:left w:val="nil"/>
                    <w:bottom w:val="single" w:sz="8" w:space="0" w:color="FFFFFF"/>
                    <w:right w:val="single" w:sz="8" w:space="0" w:color="FFFFFF"/>
                  </w:tcBorders>
                  <w:shd w:val="clear" w:color="000000" w:fill="FDE9D9"/>
                  <w:noWrap/>
                  <w:vAlign w:val="center"/>
                  <w:hideMark/>
                </w:tcPr>
                <w:p w14:paraId="4666493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19%</w:t>
                  </w:r>
                </w:p>
              </w:tc>
              <w:tc>
                <w:tcPr>
                  <w:tcW w:w="1040" w:type="dxa"/>
                  <w:tcBorders>
                    <w:top w:val="nil"/>
                    <w:left w:val="nil"/>
                    <w:bottom w:val="single" w:sz="8" w:space="0" w:color="FFFFFF"/>
                    <w:right w:val="single" w:sz="8" w:space="0" w:color="FFFFFF"/>
                  </w:tcBorders>
                  <w:shd w:val="clear" w:color="000000" w:fill="FDE9D9"/>
                  <w:noWrap/>
                  <w:vAlign w:val="center"/>
                  <w:hideMark/>
                </w:tcPr>
                <w:p w14:paraId="5D149BA6"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14%</w:t>
                  </w:r>
                </w:p>
              </w:tc>
              <w:tc>
                <w:tcPr>
                  <w:tcW w:w="1040" w:type="dxa"/>
                  <w:tcBorders>
                    <w:top w:val="nil"/>
                    <w:left w:val="nil"/>
                    <w:bottom w:val="single" w:sz="8" w:space="0" w:color="FFFFFF"/>
                    <w:right w:val="single" w:sz="8" w:space="0" w:color="FFFFFF"/>
                  </w:tcBorders>
                  <w:shd w:val="clear" w:color="000000" w:fill="FDE9D9"/>
                  <w:noWrap/>
                  <w:vAlign w:val="center"/>
                  <w:hideMark/>
                </w:tcPr>
                <w:p w14:paraId="7AA41E1F"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42%</w:t>
                  </w:r>
                </w:p>
              </w:tc>
              <w:tc>
                <w:tcPr>
                  <w:tcW w:w="1040" w:type="dxa"/>
                  <w:tcBorders>
                    <w:top w:val="nil"/>
                    <w:left w:val="nil"/>
                    <w:bottom w:val="single" w:sz="8" w:space="0" w:color="FFFFFF"/>
                    <w:right w:val="single" w:sz="8" w:space="0" w:color="FFFFFF"/>
                  </w:tcBorders>
                  <w:shd w:val="clear" w:color="000000" w:fill="FDE9D9"/>
                  <w:noWrap/>
                  <w:vAlign w:val="center"/>
                  <w:hideMark/>
                </w:tcPr>
                <w:p w14:paraId="05247DE8"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企业债3Y</w:t>
                  </w:r>
                </w:p>
              </w:tc>
              <w:tc>
                <w:tcPr>
                  <w:tcW w:w="1040" w:type="dxa"/>
                  <w:tcBorders>
                    <w:top w:val="nil"/>
                    <w:left w:val="nil"/>
                    <w:bottom w:val="single" w:sz="8" w:space="0" w:color="FFFFFF"/>
                    <w:right w:val="single" w:sz="8" w:space="0" w:color="FFFFFF"/>
                  </w:tcBorders>
                  <w:shd w:val="clear" w:color="000000" w:fill="FDE9D9"/>
                  <w:noWrap/>
                  <w:vAlign w:val="center"/>
                  <w:hideMark/>
                </w:tcPr>
                <w:p w14:paraId="63FEDD75"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21%</w:t>
                  </w:r>
                </w:p>
              </w:tc>
              <w:tc>
                <w:tcPr>
                  <w:tcW w:w="1040" w:type="dxa"/>
                  <w:tcBorders>
                    <w:top w:val="nil"/>
                    <w:left w:val="nil"/>
                    <w:bottom w:val="single" w:sz="8" w:space="0" w:color="FFFFFF"/>
                    <w:right w:val="single" w:sz="8" w:space="0" w:color="FFFFFF"/>
                  </w:tcBorders>
                  <w:shd w:val="clear" w:color="000000" w:fill="FDE9D9"/>
                  <w:noWrap/>
                  <w:vAlign w:val="center"/>
                  <w:hideMark/>
                </w:tcPr>
                <w:p w14:paraId="4382C9D7"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16%</w:t>
                  </w:r>
                </w:p>
              </w:tc>
              <w:tc>
                <w:tcPr>
                  <w:tcW w:w="1040" w:type="dxa"/>
                  <w:tcBorders>
                    <w:top w:val="nil"/>
                    <w:left w:val="nil"/>
                    <w:bottom w:val="single" w:sz="8" w:space="0" w:color="FFFFFF"/>
                    <w:right w:val="single" w:sz="8" w:space="0" w:color="FFFFFF"/>
                  </w:tcBorders>
                  <w:shd w:val="clear" w:color="000000" w:fill="FDE9D9"/>
                  <w:noWrap/>
                  <w:vAlign w:val="center"/>
                  <w:hideMark/>
                </w:tcPr>
                <w:p w14:paraId="0B860C02"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11%</w:t>
                  </w:r>
                </w:p>
              </w:tc>
              <w:tc>
                <w:tcPr>
                  <w:tcW w:w="1040" w:type="dxa"/>
                  <w:tcBorders>
                    <w:top w:val="nil"/>
                    <w:left w:val="nil"/>
                    <w:bottom w:val="single" w:sz="8" w:space="0" w:color="FFFFFF"/>
                    <w:right w:val="single" w:sz="8" w:space="0" w:color="FFFFFF"/>
                  </w:tcBorders>
                  <w:shd w:val="clear" w:color="000000" w:fill="FDE9D9"/>
                  <w:noWrap/>
                  <w:vAlign w:val="center"/>
                  <w:hideMark/>
                </w:tcPr>
                <w:p w14:paraId="30876678"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61%</w:t>
                  </w:r>
                </w:p>
              </w:tc>
            </w:tr>
            <w:tr w:rsidR="00B01EC0" w:rsidRPr="00B01EC0" w14:paraId="1D86A218" w14:textId="77777777" w:rsidTr="00B01EC0">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31A900B9"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3B8D9465"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24%</w:t>
                  </w:r>
                </w:p>
              </w:tc>
              <w:tc>
                <w:tcPr>
                  <w:tcW w:w="1040" w:type="dxa"/>
                  <w:tcBorders>
                    <w:top w:val="nil"/>
                    <w:left w:val="nil"/>
                    <w:bottom w:val="single" w:sz="8" w:space="0" w:color="FFFFFF"/>
                    <w:right w:val="single" w:sz="8" w:space="0" w:color="FFFFFF"/>
                  </w:tcBorders>
                  <w:shd w:val="clear" w:color="000000" w:fill="FCD5B4"/>
                  <w:noWrap/>
                  <w:vAlign w:val="center"/>
                  <w:hideMark/>
                </w:tcPr>
                <w:p w14:paraId="4182C2B4"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21%</w:t>
                  </w:r>
                </w:p>
              </w:tc>
              <w:tc>
                <w:tcPr>
                  <w:tcW w:w="1040" w:type="dxa"/>
                  <w:tcBorders>
                    <w:top w:val="nil"/>
                    <w:left w:val="nil"/>
                    <w:bottom w:val="single" w:sz="8" w:space="0" w:color="FFFFFF"/>
                    <w:right w:val="single" w:sz="8" w:space="0" w:color="FFFFFF"/>
                  </w:tcBorders>
                  <w:shd w:val="clear" w:color="000000" w:fill="FCD5B4"/>
                  <w:noWrap/>
                  <w:vAlign w:val="center"/>
                  <w:hideMark/>
                </w:tcPr>
                <w:p w14:paraId="50744F54"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17%</w:t>
                  </w:r>
                </w:p>
              </w:tc>
              <w:tc>
                <w:tcPr>
                  <w:tcW w:w="1040" w:type="dxa"/>
                  <w:tcBorders>
                    <w:top w:val="nil"/>
                    <w:left w:val="nil"/>
                    <w:bottom w:val="single" w:sz="8" w:space="0" w:color="FFFFFF"/>
                    <w:right w:val="single" w:sz="8" w:space="0" w:color="FFFFFF"/>
                  </w:tcBorders>
                  <w:shd w:val="clear" w:color="000000" w:fill="FCD5B4"/>
                  <w:noWrap/>
                  <w:vAlign w:val="center"/>
                  <w:hideMark/>
                </w:tcPr>
                <w:p w14:paraId="19141E7D"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53%</w:t>
                  </w:r>
                </w:p>
              </w:tc>
              <w:tc>
                <w:tcPr>
                  <w:tcW w:w="1040" w:type="dxa"/>
                  <w:tcBorders>
                    <w:top w:val="nil"/>
                    <w:left w:val="nil"/>
                    <w:bottom w:val="single" w:sz="8" w:space="0" w:color="FFFFFF"/>
                    <w:right w:val="single" w:sz="8" w:space="0" w:color="FFFFFF"/>
                  </w:tcBorders>
                  <w:shd w:val="clear" w:color="000000" w:fill="FCD5B4"/>
                  <w:noWrap/>
                  <w:vAlign w:val="center"/>
                  <w:hideMark/>
                </w:tcPr>
                <w:p w14:paraId="33E25423"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企业债5Y</w:t>
                  </w:r>
                </w:p>
              </w:tc>
              <w:tc>
                <w:tcPr>
                  <w:tcW w:w="1040" w:type="dxa"/>
                  <w:tcBorders>
                    <w:top w:val="nil"/>
                    <w:left w:val="nil"/>
                    <w:bottom w:val="single" w:sz="8" w:space="0" w:color="FFFFFF"/>
                    <w:right w:val="single" w:sz="8" w:space="0" w:color="FFFFFF"/>
                  </w:tcBorders>
                  <w:shd w:val="clear" w:color="000000" w:fill="FCD5B4"/>
                  <w:noWrap/>
                  <w:vAlign w:val="center"/>
                  <w:hideMark/>
                </w:tcPr>
                <w:p w14:paraId="0CC29B6F"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29%</w:t>
                  </w:r>
                </w:p>
              </w:tc>
              <w:tc>
                <w:tcPr>
                  <w:tcW w:w="1040" w:type="dxa"/>
                  <w:tcBorders>
                    <w:top w:val="nil"/>
                    <w:left w:val="nil"/>
                    <w:bottom w:val="single" w:sz="8" w:space="0" w:color="FFFFFF"/>
                    <w:right w:val="single" w:sz="8" w:space="0" w:color="FFFFFF"/>
                  </w:tcBorders>
                  <w:shd w:val="clear" w:color="000000" w:fill="FCD5B4"/>
                  <w:noWrap/>
                  <w:vAlign w:val="center"/>
                  <w:hideMark/>
                </w:tcPr>
                <w:p w14:paraId="20D1A733"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22%</w:t>
                  </w:r>
                </w:p>
              </w:tc>
              <w:tc>
                <w:tcPr>
                  <w:tcW w:w="1040" w:type="dxa"/>
                  <w:tcBorders>
                    <w:top w:val="nil"/>
                    <w:left w:val="nil"/>
                    <w:bottom w:val="single" w:sz="8" w:space="0" w:color="FFFFFF"/>
                    <w:right w:val="single" w:sz="8" w:space="0" w:color="FFFFFF"/>
                  </w:tcBorders>
                  <w:shd w:val="clear" w:color="000000" w:fill="FCD5B4"/>
                  <w:noWrap/>
                  <w:vAlign w:val="center"/>
                  <w:hideMark/>
                </w:tcPr>
                <w:p w14:paraId="26081A02"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15%</w:t>
                  </w:r>
                </w:p>
              </w:tc>
              <w:tc>
                <w:tcPr>
                  <w:tcW w:w="1040" w:type="dxa"/>
                  <w:tcBorders>
                    <w:top w:val="nil"/>
                    <w:left w:val="nil"/>
                    <w:bottom w:val="single" w:sz="8" w:space="0" w:color="FFFFFF"/>
                    <w:right w:val="single" w:sz="8" w:space="0" w:color="FFFFFF"/>
                  </w:tcBorders>
                  <w:shd w:val="clear" w:color="000000" w:fill="FCD5B4"/>
                  <w:noWrap/>
                  <w:vAlign w:val="center"/>
                  <w:hideMark/>
                </w:tcPr>
                <w:p w14:paraId="1FDA8756"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72%</w:t>
                  </w:r>
                </w:p>
              </w:tc>
            </w:tr>
            <w:tr w:rsidR="00B01EC0" w:rsidRPr="00B01EC0" w14:paraId="6D6581CE" w14:textId="77777777" w:rsidTr="00B01EC0">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510540DE"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51966FCC"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15%</w:t>
                  </w:r>
                </w:p>
              </w:tc>
              <w:tc>
                <w:tcPr>
                  <w:tcW w:w="1040" w:type="dxa"/>
                  <w:tcBorders>
                    <w:top w:val="nil"/>
                    <w:left w:val="nil"/>
                    <w:bottom w:val="single" w:sz="8" w:space="0" w:color="FFFFFF"/>
                    <w:right w:val="single" w:sz="8" w:space="0" w:color="FFFFFF"/>
                  </w:tcBorders>
                  <w:shd w:val="clear" w:color="000000" w:fill="FDE9D9"/>
                  <w:noWrap/>
                  <w:vAlign w:val="center"/>
                  <w:hideMark/>
                </w:tcPr>
                <w:p w14:paraId="134BB536"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10%</w:t>
                  </w:r>
                </w:p>
              </w:tc>
              <w:tc>
                <w:tcPr>
                  <w:tcW w:w="1040" w:type="dxa"/>
                  <w:tcBorders>
                    <w:top w:val="nil"/>
                    <w:left w:val="nil"/>
                    <w:bottom w:val="single" w:sz="8" w:space="0" w:color="FFFFFF"/>
                    <w:right w:val="single" w:sz="8" w:space="0" w:color="FFFFFF"/>
                  </w:tcBorders>
                  <w:shd w:val="clear" w:color="000000" w:fill="FDE9D9"/>
                  <w:noWrap/>
                  <w:vAlign w:val="center"/>
                  <w:hideMark/>
                </w:tcPr>
                <w:p w14:paraId="5A7392C3"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7%</w:t>
                  </w:r>
                </w:p>
              </w:tc>
              <w:tc>
                <w:tcPr>
                  <w:tcW w:w="1040" w:type="dxa"/>
                  <w:tcBorders>
                    <w:top w:val="nil"/>
                    <w:left w:val="nil"/>
                    <w:bottom w:val="single" w:sz="8" w:space="0" w:color="FFFFFF"/>
                    <w:right w:val="single" w:sz="8" w:space="0" w:color="FFFFFF"/>
                  </w:tcBorders>
                  <w:shd w:val="clear" w:color="000000" w:fill="FDE9D9"/>
                  <w:noWrap/>
                  <w:vAlign w:val="center"/>
                  <w:hideMark/>
                </w:tcPr>
                <w:p w14:paraId="1ED21AE2"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39%</w:t>
                  </w:r>
                </w:p>
              </w:tc>
              <w:tc>
                <w:tcPr>
                  <w:tcW w:w="1040" w:type="dxa"/>
                  <w:tcBorders>
                    <w:top w:val="nil"/>
                    <w:left w:val="nil"/>
                    <w:bottom w:val="single" w:sz="8" w:space="0" w:color="FFFFFF"/>
                    <w:right w:val="single" w:sz="8" w:space="0" w:color="FFFFFF"/>
                  </w:tcBorders>
                  <w:shd w:val="clear" w:color="000000" w:fill="FDE9D9"/>
                  <w:noWrap/>
                  <w:vAlign w:val="center"/>
                  <w:hideMark/>
                </w:tcPr>
                <w:p w14:paraId="7D5E13FC" w14:textId="77777777" w:rsidR="00B01EC0" w:rsidRPr="00B01EC0" w:rsidRDefault="00B01EC0" w:rsidP="00B01EC0">
                  <w:pPr>
                    <w:widowControl/>
                    <w:jc w:val="center"/>
                    <w:rPr>
                      <w:rFonts w:ascii="楷体" w:eastAsia="楷体" w:hAnsi="楷体" w:cs="宋体"/>
                      <w:color w:val="000000"/>
                      <w:kern w:val="0"/>
                      <w:sz w:val="18"/>
                      <w:szCs w:val="18"/>
                    </w:rPr>
                  </w:pPr>
                  <w:r w:rsidRPr="00B01EC0">
                    <w:rPr>
                      <w:rFonts w:ascii="楷体" w:eastAsia="楷体" w:hAnsi="楷体" w:cs="宋体" w:hint="eastAsia"/>
                      <w:color w:val="000000"/>
                      <w:kern w:val="0"/>
                      <w:sz w:val="18"/>
                      <w:szCs w:val="18"/>
                    </w:rPr>
                    <w:t>企业债7Y</w:t>
                  </w:r>
                </w:p>
              </w:tc>
              <w:tc>
                <w:tcPr>
                  <w:tcW w:w="1040" w:type="dxa"/>
                  <w:tcBorders>
                    <w:top w:val="nil"/>
                    <w:left w:val="nil"/>
                    <w:bottom w:val="single" w:sz="8" w:space="0" w:color="FFFFFF"/>
                    <w:right w:val="single" w:sz="8" w:space="0" w:color="FFFFFF"/>
                  </w:tcBorders>
                  <w:shd w:val="clear" w:color="000000" w:fill="FDE9D9"/>
                  <w:noWrap/>
                  <w:vAlign w:val="center"/>
                  <w:hideMark/>
                </w:tcPr>
                <w:p w14:paraId="1D319A1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18%</w:t>
                  </w:r>
                </w:p>
              </w:tc>
              <w:tc>
                <w:tcPr>
                  <w:tcW w:w="1040" w:type="dxa"/>
                  <w:tcBorders>
                    <w:top w:val="nil"/>
                    <w:left w:val="nil"/>
                    <w:bottom w:val="single" w:sz="8" w:space="0" w:color="FFFFFF"/>
                    <w:right w:val="single" w:sz="8" w:space="0" w:color="FFFFFF"/>
                  </w:tcBorders>
                  <w:shd w:val="clear" w:color="000000" w:fill="FDE9D9"/>
                  <w:noWrap/>
                  <w:vAlign w:val="center"/>
                  <w:hideMark/>
                </w:tcPr>
                <w:p w14:paraId="12F23636"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8%</w:t>
                  </w:r>
                </w:p>
              </w:tc>
              <w:tc>
                <w:tcPr>
                  <w:tcW w:w="1040" w:type="dxa"/>
                  <w:tcBorders>
                    <w:top w:val="nil"/>
                    <w:left w:val="nil"/>
                    <w:bottom w:val="single" w:sz="8" w:space="0" w:color="FFFFFF"/>
                    <w:right w:val="single" w:sz="8" w:space="0" w:color="FFFFFF"/>
                  </w:tcBorders>
                  <w:shd w:val="clear" w:color="000000" w:fill="FDE9D9"/>
                  <w:noWrap/>
                  <w:vAlign w:val="center"/>
                  <w:hideMark/>
                </w:tcPr>
                <w:p w14:paraId="711669C4"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4%</w:t>
                  </w:r>
                </w:p>
              </w:tc>
              <w:tc>
                <w:tcPr>
                  <w:tcW w:w="1040" w:type="dxa"/>
                  <w:tcBorders>
                    <w:top w:val="nil"/>
                    <w:left w:val="nil"/>
                    <w:bottom w:val="single" w:sz="8" w:space="0" w:color="FFFFFF"/>
                    <w:right w:val="single" w:sz="8" w:space="0" w:color="FFFFFF"/>
                  </w:tcBorders>
                  <w:shd w:val="clear" w:color="000000" w:fill="FDE9D9"/>
                  <w:noWrap/>
                  <w:vAlign w:val="center"/>
                  <w:hideMark/>
                </w:tcPr>
                <w:p w14:paraId="03E46E3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58%</w:t>
                  </w:r>
                </w:p>
              </w:tc>
            </w:tr>
            <w:tr w:rsidR="00B01EC0" w:rsidRPr="00B01EC0" w14:paraId="1B7EBDF8" w14:textId="77777777" w:rsidTr="00B01EC0">
              <w:trPr>
                <w:trHeight w:val="300"/>
              </w:trPr>
              <w:tc>
                <w:tcPr>
                  <w:tcW w:w="1288" w:type="dxa"/>
                  <w:tcBorders>
                    <w:top w:val="nil"/>
                    <w:left w:val="nil"/>
                    <w:bottom w:val="single" w:sz="8" w:space="0" w:color="FFFFFF"/>
                    <w:right w:val="single" w:sz="8" w:space="0" w:color="FFFFFF"/>
                  </w:tcBorders>
                  <w:shd w:val="clear" w:color="000000" w:fill="FCD5B4"/>
                  <w:noWrap/>
                  <w:vAlign w:val="center"/>
                  <w:hideMark/>
                </w:tcPr>
                <w:p w14:paraId="6A31BAC3"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10D6BFA8"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19%</w:t>
                  </w:r>
                </w:p>
              </w:tc>
              <w:tc>
                <w:tcPr>
                  <w:tcW w:w="1040" w:type="dxa"/>
                  <w:tcBorders>
                    <w:top w:val="nil"/>
                    <w:left w:val="nil"/>
                    <w:bottom w:val="single" w:sz="8" w:space="0" w:color="FFFFFF"/>
                    <w:right w:val="single" w:sz="8" w:space="0" w:color="FFFFFF"/>
                  </w:tcBorders>
                  <w:shd w:val="clear" w:color="000000" w:fill="FCD5B4"/>
                  <w:noWrap/>
                  <w:vAlign w:val="center"/>
                  <w:hideMark/>
                </w:tcPr>
                <w:p w14:paraId="19834A54"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17%</w:t>
                  </w:r>
                </w:p>
              </w:tc>
              <w:tc>
                <w:tcPr>
                  <w:tcW w:w="1040" w:type="dxa"/>
                  <w:tcBorders>
                    <w:top w:val="nil"/>
                    <w:left w:val="nil"/>
                    <w:bottom w:val="single" w:sz="8" w:space="0" w:color="FFFFFF"/>
                    <w:right w:val="single" w:sz="8" w:space="0" w:color="FFFFFF"/>
                  </w:tcBorders>
                  <w:shd w:val="clear" w:color="000000" w:fill="FCD5B4"/>
                  <w:noWrap/>
                  <w:vAlign w:val="center"/>
                  <w:hideMark/>
                </w:tcPr>
                <w:p w14:paraId="5CC73821"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14%</w:t>
                  </w:r>
                </w:p>
              </w:tc>
              <w:tc>
                <w:tcPr>
                  <w:tcW w:w="1040" w:type="dxa"/>
                  <w:tcBorders>
                    <w:top w:val="nil"/>
                    <w:left w:val="nil"/>
                    <w:bottom w:val="single" w:sz="8" w:space="0" w:color="FFFFFF"/>
                    <w:right w:val="single" w:sz="8" w:space="0" w:color="FFFFFF"/>
                  </w:tcBorders>
                  <w:shd w:val="clear" w:color="000000" w:fill="FCD5B4"/>
                  <w:noWrap/>
                  <w:vAlign w:val="center"/>
                  <w:hideMark/>
                </w:tcPr>
                <w:p w14:paraId="61C12BFE"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35%</w:t>
                  </w:r>
                </w:p>
              </w:tc>
              <w:tc>
                <w:tcPr>
                  <w:tcW w:w="1040" w:type="dxa"/>
                  <w:tcBorders>
                    <w:top w:val="nil"/>
                    <w:left w:val="nil"/>
                    <w:bottom w:val="single" w:sz="8" w:space="0" w:color="FFFFFF"/>
                    <w:right w:val="single" w:sz="8" w:space="0" w:color="FFFFFF"/>
                  </w:tcBorders>
                  <w:shd w:val="clear" w:color="000000" w:fill="FCD5B4"/>
                  <w:noWrap/>
                  <w:vAlign w:val="center"/>
                  <w:hideMark/>
                </w:tcPr>
                <w:p w14:paraId="4AC19F97"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3Y</w:t>
                  </w:r>
                </w:p>
              </w:tc>
              <w:tc>
                <w:tcPr>
                  <w:tcW w:w="1040" w:type="dxa"/>
                  <w:tcBorders>
                    <w:top w:val="nil"/>
                    <w:left w:val="nil"/>
                    <w:bottom w:val="single" w:sz="8" w:space="0" w:color="FFFFFF"/>
                    <w:right w:val="single" w:sz="8" w:space="0" w:color="FFFFFF"/>
                  </w:tcBorders>
                  <w:shd w:val="clear" w:color="000000" w:fill="FCD5B4"/>
                  <w:noWrap/>
                  <w:vAlign w:val="center"/>
                  <w:hideMark/>
                </w:tcPr>
                <w:p w14:paraId="0114486A"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17%</w:t>
                  </w:r>
                </w:p>
              </w:tc>
              <w:tc>
                <w:tcPr>
                  <w:tcW w:w="1040" w:type="dxa"/>
                  <w:tcBorders>
                    <w:top w:val="nil"/>
                    <w:left w:val="nil"/>
                    <w:bottom w:val="single" w:sz="8" w:space="0" w:color="FFFFFF"/>
                    <w:right w:val="single" w:sz="8" w:space="0" w:color="FFFFFF"/>
                  </w:tcBorders>
                  <w:shd w:val="clear" w:color="000000" w:fill="FCD5B4"/>
                  <w:noWrap/>
                  <w:vAlign w:val="center"/>
                  <w:hideMark/>
                </w:tcPr>
                <w:p w14:paraId="022AB4D9"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17%</w:t>
                  </w:r>
                </w:p>
              </w:tc>
              <w:tc>
                <w:tcPr>
                  <w:tcW w:w="1040" w:type="dxa"/>
                  <w:tcBorders>
                    <w:top w:val="nil"/>
                    <w:left w:val="nil"/>
                    <w:bottom w:val="single" w:sz="8" w:space="0" w:color="FFFFFF"/>
                    <w:right w:val="single" w:sz="8" w:space="0" w:color="FFFFFF"/>
                  </w:tcBorders>
                  <w:shd w:val="clear" w:color="000000" w:fill="FCD5B4"/>
                  <w:noWrap/>
                  <w:vAlign w:val="center"/>
                  <w:hideMark/>
                </w:tcPr>
                <w:p w14:paraId="3B688E00"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14%</w:t>
                  </w:r>
                </w:p>
              </w:tc>
              <w:tc>
                <w:tcPr>
                  <w:tcW w:w="1040" w:type="dxa"/>
                  <w:tcBorders>
                    <w:top w:val="nil"/>
                    <w:left w:val="nil"/>
                    <w:bottom w:val="single" w:sz="8" w:space="0" w:color="FFFFFF"/>
                    <w:right w:val="single" w:sz="8" w:space="0" w:color="FFFFFF"/>
                  </w:tcBorders>
                  <w:shd w:val="clear" w:color="000000" w:fill="FCD5B4"/>
                  <w:noWrap/>
                  <w:vAlign w:val="center"/>
                  <w:hideMark/>
                </w:tcPr>
                <w:p w14:paraId="351C5893"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43%</w:t>
                  </w:r>
                </w:p>
              </w:tc>
            </w:tr>
            <w:tr w:rsidR="00B01EC0" w:rsidRPr="00B01EC0" w14:paraId="320E2B59" w14:textId="77777777" w:rsidTr="00B01EC0">
              <w:trPr>
                <w:trHeight w:val="300"/>
              </w:trPr>
              <w:tc>
                <w:tcPr>
                  <w:tcW w:w="1288" w:type="dxa"/>
                  <w:tcBorders>
                    <w:top w:val="nil"/>
                    <w:left w:val="nil"/>
                    <w:bottom w:val="single" w:sz="8" w:space="0" w:color="FFFFFF"/>
                    <w:right w:val="single" w:sz="8" w:space="0" w:color="FFFFFF"/>
                  </w:tcBorders>
                  <w:shd w:val="clear" w:color="000000" w:fill="FDE9D9"/>
                  <w:noWrap/>
                  <w:vAlign w:val="center"/>
                  <w:hideMark/>
                </w:tcPr>
                <w:p w14:paraId="684AA045"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11F3545B"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17%</w:t>
                  </w:r>
                </w:p>
              </w:tc>
              <w:tc>
                <w:tcPr>
                  <w:tcW w:w="1040" w:type="dxa"/>
                  <w:tcBorders>
                    <w:top w:val="nil"/>
                    <w:left w:val="nil"/>
                    <w:bottom w:val="single" w:sz="8" w:space="0" w:color="FFFFFF"/>
                    <w:right w:val="single" w:sz="8" w:space="0" w:color="FFFFFF"/>
                  </w:tcBorders>
                  <w:shd w:val="clear" w:color="000000" w:fill="FDE9D9"/>
                  <w:noWrap/>
                  <w:vAlign w:val="center"/>
                  <w:hideMark/>
                </w:tcPr>
                <w:p w14:paraId="3EF7E001"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16%</w:t>
                  </w:r>
                </w:p>
              </w:tc>
              <w:tc>
                <w:tcPr>
                  <w:tcW w:w="1040" w:type="dxa"/>
                  <w:tcBorders>
                    <w:top w:val="nil"/>
                    <w:left w:val="nil"/>
                    <w:bottom w:val="single" w:sz="8" w:space="0" w:color="FFFFFF"/>
                    <w:right w:val="single" w:sz="8" w:space="0" w:color="FFFFFF"/>
                  </w:tcBorders>
                  <w:shd w:val="clear" w:color="000000" w:fill="FDE9D9"/>
                  <w:noWrap/>
                  <w:vAlign w:val="center"/>
                  <w:hideMark/>
                </w:tcPr>
                <w:p w14:paraId="46596200"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15%</w:t>
                  </w:r>
                </w:p>
              </w:tc>
              <w:tc>
                <w:tcPr>
                  <w:tcW w:w="1040" w:type="dxa"/>
                  <w:tcBorders>
                    <w:top w:val="nil"/>
                    <w:left w:val="nil"/>
                    <w:bottom w:val="single" w:sz="8" w:space="0" w:color="FFFFFF"/>
                    <w:right w:val="single" w:sz="8" w:space="0" w:color="FFFFFF"/>
                  </w:tcBorders>
                  <w:shd w:val="clear" w:color="000000" w:fill="FDE9D9"/>
                  <w:noWrap/>
                  <w:vAlign w:val="center"/>
                  <w:hideMark/>
                </w:tcPr>
                <w:p w14:paraId="6E117975"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46%</w:t>
                  </w:r>
                </w:p>
              </w:tc>
              <w:tc>
                <w:tcPr>
                  <w:tcW w:w="1040" w:type="dxa"/>
                  <w:tcBorders>
                    <w:top w:val="nil"/>
                    <w:left w:val="nil"/>
                    <w:bottom w:val="single" w:sz="8" w:space="0" w:color="FFFFFF"/>
                    <w:right w:val="single" w:sz="8" w:space="0" w:color="FFFFFF"/>
                  </w:tcBorders>
                  <w:shd w:val="clear" w:color="000000" w:fill="FDE9D9"/>
                  <w:noWrap/>
                  <w:vAlign w:val="center"/>
                  <w:hideMark/>
                </w:tcPr>
                <w:p w14:paraId="2F6D6714"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5Y</w:t>
                  </w:r>
                </w:p>
              </w:tc>
              <w:tc>
                <w:tcPr>
                  <w:tcW w:w="1040" w:type="dxa"/>
                  <w:tcBorders>
                    <w:top w:val="nil"/>
                    <w:left w:val="nil"/>
                    <w:bottom w:val="single" w:sz="8" w:space="0" w:color="FFFFFF"/>
                    <w:right w:val="single" w:sz="8" w:space="0" w:color="FFFFFF"/>
                  </w:tcBorders>
                  <w:shd w:val="clear" w:color="000000" w:fill="FDE9D9"/>
                  <w:noWrap/>
                  <w:vAlign w:val="center"/>
                  <w:hideMark/>
                </w:tcPr>
                <w:p w14:paraId="1318418F"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23%</w:t>
                  </w:r>
                </w:p>
              </w:tc>
              <w:tc>
                <w:tcPr>
                  <w:tcW w:w="1040" w:type="dxa"/>
                  <w:tcBorders>
                    <w:top w:val="nil"/>
                    <w:left w:val="nil"/>
                    <w:bottom w:val="single" w:sz="8" w:space="0" w:color="FFFFFF"/>
                    <w:right w:val="single" w:sz="8" w:space="0" w:color="FFFFFF"/>
                  </w:tcBorders>
                  <w:shd w:val="clear" w:color="000000" w:fill="FDE9D9"/>
                  <w:noWrap/>
                  <w:vAlign w:val="center"/>
                  <w:hideMark/>
                </w:tcPr>
                <w:p w14:paraId="2497D5E1"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20%</w:t>
                  </w:r>
                </w:p>
              </w:tc>
              <w:tc>
                <w:tcPr>
                  <w:tcW w:w="1040" w:type="dxa"/>
                  <w:tcBorders>
                    <w:top w:val="nil"/>
                    <w:left w:val="nil"/>
                    <w:bottom w:val="single" w:sz="8" w:space="0" w:color="FFFFFF"/>
                    <w:right w:val="single" w:sz="8" w:space="0" w:color="FFFFFF"/>
                  </w:tcBorders>
                  <w:shd w:val="clear" w:color="000000" w:fill="FDE9D9"/>
                  <w:noWrap/>
                  <w:vAlign w:val="center"/>
                  <w:hideMark/>
                </w:tcPr>
                <w:p w14:paraId="6FF4E4CA"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15%</w:t>
                  </w:r>
                </w:p>
              </w:tc>
              <w:tc>
                <w:tcPr>
                  <w:tcW w:w="1040" w:type="dxa"/>
                  <w:tcBorders>
                    <w:top w:val="nil"/>
                    <w:left w:val="nil"/>
                    <w:bottom w:val="single" w:sz="8" w:space="0" w:color="FFFFFF"/>
                    <w:right w:val="single" w:sz="8" w:space="0" w:color="FFFFFF"/>
                  </w:tcBorders>
                  <w:shd w:val="clear" w:color="000000" w:fill="FDE9D9"/>
                  <w:noWrap/>
                  <w:vAlign w:val="center"/>
                  <w:hideMark/>
                </w:tcPr>
                <w:p w14:paraId="20FA013C"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70%</w:t>
                  </w:r>
                </w:p>
              </w:tc>
            </w:tr>
            <w:tr w:rsidR="00B01EC0" w:rsidRPr="00B01EC0" w14:paraId="7629F491" w14:textId="77777777" w:rsidTr="00B01EC0">
              <w:trPr>
                <w:trHeight w:val="300"/>
              </w:trPr>
              <w:tc>
                <w:tcPr>
                  <w:tcW w:w="1288" w:type="dxa"/>
                  <w:tcBorders>
                    <w:top w:val="nil"/>
                    <w:left w:val="nil"/>
                    <w:bottom w:val="nil"/>
                    <w:right w:val="nil"/>
                  </w:tcBorders>
                  <w:shd w:val="clear" w:color="000000" w:fill="FCD5B4"/>
                  <w:noWrap/>
                  <w:vAlign w:val="center"/>
                  <w:hideMark/>
                </w:tcPr>
                <w:p w14:paraId="64A1B2EC"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2A59ED6A"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12%</w:t>
                  </w:r>
                </w:p>
              </w:tc>
              <w:tc>
                <w:tcPr>
                  <w:tcW w:w="1040" w:type="dxa"/>
                  <w:tcBorders>
                    <w:top w:val="nil"/>
                    <w:left w:val="nil"/>
                    <w:bottom w:val="single" w:sz="8" w:space="0" w:color="FFFFFF"/>
                    <w:right w:val="single" w:sz="8" w:space="0" w:color="FFFFFF"/>
                  </w:tcBorders>
                  <w:shd w:val="clear" w:color="000000" w:fill="FCD5B4"/>
                  <w:noWrap/>
                  <w:vAlign w:val="center"/>
                  <w:hideMark/>
                </w:tcPr>
                <w:p w14:paraId="56F5C1A4"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11%</w:t>
                  </w:r>
                </w:p>
              </w:tc>
              <w:tc>
                <w:tcPr>
                  <w:tcW w:w="1040" w:type="dxa"/>
                  <w:tcBorders>
                    <w:top w:val="nil"/>
                    <w:left w:val="nil"/>
                    <w:bottom w:val="single" w:sz="8" w:space="0" w:color="FFFFFF"/>
                    <w:right w:val="single" w:sz="8" w:space="0" w:color="FFFFFF"/>
                  </w:tcBorders>
                  <w:shd w:val="clear" w:color="000000" w:fill="FCD5B4"/>
                  <w:noWrap/>
                  <w:vAlign w:val="center"/>
                  <w:hideMark/>
                </w:tcPr>
                <w:p w14:paraId="2D128B05"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11%</w:t>
                  </w:r>
                </w:p>
              </w:tc>
              <w:tc>
                <w:tcPr>
                  <w:tcW w:w="1040" w:type="dxa"/>
                  <w:tcBorders>
                    <w:top w:val="nil"/>
                    <w:left w:val="nil"/>
                    <w:bottom w:val="single" w:sz="8" w:space="0" w:color="FFFFFF"/>
                    <w:right w:val="single" w:sz="8" w:space="0" w:color="FFFFFF"/>
                  </w:tcBorders>
                  <w:shd w:val="clear" w:color="000000" w:fill="FCD5B4"/>
                  <w:noWrap/>
                  <w:vAlign w:val="center"/>
                  <w:hideMark/>
                </w:tcPr>
                <w:p w14:paraId="3B6BFB82"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41%</w:t>
                  </w:r>
                </w:p>
              </w:tc>
              <w:tc>
                <w:tcPr>
                  <w:tcW w:w="1040" w:type="dxa"/>
                  <w:tcBorders>
                    <w:top w:val="nil"/>
                    <w:left w:val="nil"/>
                    <w:bottom w:val="nil"/>
                    <w:right w:val="nil"/>
                  </w:tcBorders>
                  <w:shd w:val="clear" w:color="000000" w:fill="FCD5B4"/>
                  <w:noWrap/>
                  <w:vAlign w:val="center"/>
                  <w:hideMark/>
                </w:tcPr>
                <w:p w14:paraId="389C8903" w14:textId="77777777" w:rsidR="00B01EC0" w:rsidRPr="00B01EC0" w:rsidRDefault="00B01EC0" w:rsidP="00B01EC0">
                  <w:pPr>
                    <w:widowControl/>
                    <w:jc w:val="center"/>
                    <w:rPr>
                      <w:rFonts w:ascii="楷体" w:eastAsia="楷体" w:hAnsi="楷体" w:cs="宋体"/>
                      <w:color w:val="000000"/>
                      <w:kern w:val="0"/>
                      <w:sz w:val="18"/>
                      <w:szCs w:val="18"/>
                    </w:rPr>
                  </w:pPr>
                  <w:proofErr w:type="gramStart"/>
                  <w:r w:rsidRPr="00B01EC0">
                    <w:rPr>
                      <w:rFonts w:ascii="楷体" w:eastAsia="楷体" w:hAnsi="楷体" w:cs="宋体" w:hint="eastAsia"/>
                      <w:color w:val="000000"/>
                      <w:kern w:val="0"/>
                      <w:sz w:val="18"/>
                      <w:szCs w:val="18"/>
                    </w:rPr>
                    <w:t>城投债</w:t>
                  </w:r>
                  <w:proofErr w:type="gramEnd"/>
                  <w:r w:rsidRPr="00B01EC0">
                    <w:rPr>
                      <w:rFonts w:ascii="楷体" w:eastAsia="楷体" w:hAnsi="楷体" w:cs="宋体" w:hint="eastAsia"/>
                      <w:color w:val="000000"/>
                      <w:kern w:val="0"/>
                      <w:sz w:val="18"/>
                      <w:szCs w:val="18"/>
                    </w:rPr>
                    <w:t>7Y</w:t>
                  </w:r>
                </w:p>
              </w:tc>
              <w:tc>
                <w:tcPr>
                  <w:tcW w:w="1040" w:type="dxa"/>
                  <w:tcBorders>
                    <w:top w:val="nil"/>
                    <w:left w:val="nil"/>
                    <w:bottom w:val="single" w:sz="8" w:space="0" w:color="FFFFFF"/>
                    <w:right w:val="single" w:sz="8" w:space="0" w:color="FFFFFF"/>
                  </w:tcBorders>
                  <w:shd w:val="clear" w:color="000000" w:fill="FCD5B4"/>
                  <w:noWrap/>
                  <w:vAlign w:val="center"/>
                  <w:hideMark/>
                </w:tcPr>
                <w:p w14:paraId="6841094F"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15%</w:t>
                  </w:r>
                </w:p>
              </w:tc>
              <w:tc>
                <w:tcPr>
                  <w:tcW w:w="1040" w:type="dxa"/>
                  <w:tcBorders>
                    <w:top w:val="nil"/>
                    <w:left w:val="nil"/>
                    <w:bottom w:val="single" w:sz="8" w:space="0" w:color="FFFFFF"/>
                    <w:right w:val="single" w:sz="8" w:space="0" w:color="FFFFFF"/>
                  </w:tcBorders>
                  <w:shd w:val="clear" w:color="000000" w:fill="FCD5B4"/>
                  <w:noWrap/>
                  <w:vAlign w:val="center"/>
                  <w:hideMark/>
                </w:tcPr>
                <w:p w14:paraId="220F1802"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12%</w:t>
                  </w:r>
                </w:p>
              </w:tc>
              <w:tc>
                <w:tcPr>
                  <w:tcW w:w="1040" w:type="dxa"/>
                  <w:tcBorders>
                    <w:top w:val="nil"/>
                    <w:left w:val="nil"/>
                    <w:bottom w:val="single" w:sz="8" w:space="0" w:color="FFFFFF"/>
                    <w:right w:val="single" w:sz="8" w:space="0" w:color="FFFFFF"/>
                  </w:tcBorders>
                  <w:shd w:val="clear" w:color="000000" w:fill="FCD5B4"/>
                  <w:noWrap/>
                  <w:vAlign w:val="center"/>
                  <w:hideMark/>
                </w:tcPr>
                <w:p w14:paraId="3818C551"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7%</w:t>
                  </w:r>
                </w:p>
              </w:tc>
              <w:tc>
                <w:tcPr>
                  <w:tcW w:w="1040" w:type="dxa"/>
                  <w:tcBorders>
                    <w:top w:val="nil"/>
                    <w:left w:val="nil"/>
                    <w:bottom w:val="single" w:sz="8" w:space="0" w:color="FFFFFF"/>
                    <w:right w:val="single" w:sz="8" w:space="0" w:color="FFFFFF"/>
                  </w:tcBorders>
                  <w:shd w:val="clear" w:color="000000" w:fill="FCD5B4"/>
                  <w:noWrap/>
                  <w:vAlign w:val="center"/>
                  <w:hideMark/>
                </w:tcPr>
                <w:p w14:paraId="29567DEF" w14:textId="77777777" w:rsidR="00B01EC0" w:rsidRPr="00B01EC0" w:rsidRDefault="00B01EC0" w:rsidP="00B01EC0">
                  <w:pPr>
                    <w:widowControl/>
                    <w:jc w:val="center"/>
                    <w:rPr>
                      <w:rFonts w:eastAsia="等线" w:cs="Calibri"/>
                      <w:color w:val="000000"/>
                      <w:kern w:val="0"/>
                      <w:sz w:val="18"/>
                      <w:szCs w:val="18"/>
                    </w:rPr>
                  </w:pPr>
                  <w:r w:rsidRPr="00B01EC0">
                    <w:rPr>
                      <w:rFonts w:eastAsia="等线" w:cs="Calibri"/>
                      <w:color w:val="000000"/>
                      <w:kern w:val="0"/>
                      <w:sz w:val="18"/>
                      <w:szCs w:val="18"/>
                    </w:rPr>
                    <w:t>66%</w:t>
                  </w:r>
                </w:p>
              </w:tc>
            </w:tr>
          </w:tbl>
          <w:p w14:paraId="446C7D6E" w14:textId="294F6511" w:rsidR="00E0626C" w:rsidRPr="0069484C" w:rsidRDefault="00E0626C" w:rsidP="0092340D">
            <w:pPr>
              <w:rPr>
                <w:noProof/>
                <w:sz w:val="20"/>
                <w:szCs w:val="16"/>
              </w:rPr>
            </w:pPr>
          </w:p>
        </w:tc>
      </w:tr>
      <w:tr w:rsidR="00E0626C" w:rsidRPr="006A5F34" w14:paraId="01D36A65" w14:textId="77777777" w:rsidTr="00E46B36">
        <w:trPr>
          <w:trHeight w:val="43"/>
          <w:jc w:val="center"/>
        </w:trPr>
        <w:tc>
          <w:tcPr>
            <w:tcW w:w="9881" w:type="dxa"/>
            <w:vAlign w:val="center"/>
          </w:tcPr>
          <w:p w14:paraId="6284202E" w14:textId="2B61B5A0"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，富荣基金；利差基准为同期限国债</w:t>
            </w:r>
          </w:p>
        </w:tc>
      </w:tr>
    </w:tbl>
    <w:p w14:paraId="26A54476" w14:textId="77777777" w:rsidR="00E0626C" w:rsidRPr="00B8530C"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23E3E58B" w:rsidR="00C37204" w:rsidRPr="003C2208" w:rsidRDefault="003931FA" w:rsidP="00416C5F">
      <w:pPr>
        <w:pStyle w:val="Body-text"/>
        <w:spacing w:after="240"/>
        <w:ind w:firstLineChars="200" w:firstLine="480"/>
        <w:rPr>
          <w:rFonts w:ascii="华文楷体" w:hAnsi="华文楷体"/>
          <w:sz w:val="24"/>
          <w:szCs w:val="24"/>
          <w:lang w:eastAsia="zh-CN"/>
        </w:rPr>
      </w:pPr>
      <w:r w:rsidRPr="003C2208">
        <w:rPr>
          <w:rFonts w:ascii="华文楷体" w:hAnsi="华文楷体" w:hint="eastAsia"/>
          <w:sz w:val="24"/>
          <w:szCs w:val="24"/>
          <w:lang w:eastAsia="zh-CN"/>
        </w:rPr>
        <w:t>本周</w:t>
      </w:r>
      <w:r w:rsidR="00591DD3" w:rsidRPr="003C2208">
        <w:rPr>
          <w:rFonts w:ascii="华文楷体" w:hAnsi="华文楷体" w:hint="eastAsia"/>
          <w:sz w:val="24"/>
          <w:szCs w:val="24"/>
          <w:lang w:eastAsia="zh-CN"/>
        </w:rPr>
        <w:t>权益市场</w:t>
      </w:r>
      <w:r w:rsidR="00D914AF" w:rsidRPr="003C2208">
        <w:rPr>
          <w:rFonts w:ascii="华文楷体" w:hAnsi="华文楷体" w:hint="eastAsia"/>
          <w:sz w:val="24"/>
          <w:szCs w:val="24"/>
          <w:lang w:eastAsia="zh-CN"/>
        </w:rPr>
        <w:t>继续回调</w:t>
      </w:r>
      <w:r w:rsidR="00E359DD" w:rsidRPr="003C2208">
        <w:rPr>
          <w:rFonts w:ascii="华文楷体" w:hAnsi="华文楷体" w:hint="eastAsia"/>
          <w:sz w:val="24"/>
          <w:szCs w:val="24"/>
          <w:lang w:eastAsia="zh-CN"/>
        </w:rPr>
        <w:t>震荡。</w:t>
      </w:r>
      <w:r w:rsidR="00591DD3" w:rsidRPr="003C2208">
        <w:rPr>
          <w:rFonts w:ascii="华文楷体" w:hAnsi="华文楷体" w:hint="eastAsia"/>
          <w:sz w:val="24"/>
          <w:szCs w:val="24"/>
          <w:lang w:eastAsia="zh-CN"/>
        </w:rPr>
        <w:t>转</w:t>
      </w:r>
      <w:proofErr w:type="gramStart"/>
      <w:r w:rsidR="00591DD3" w:rsidRPr="003C2208">
        <w:rPr>
          <w:rFonts w:ascii="华文楷体" w:hAnsi="华文楷体" w:hint="eastAsia"/>
          <w:sz w:val="24"/>
          <w:szCs w:val="24"/>
          <w:lang w:eastAsia="zh-CN"/>
        </w:rPr>
        <w:t>债指数</w:t>
      </w:r>
      <w:proofErr w:type="gramEnd"/>
      <w:r w:rsidR="00AF3C15" w:rsidRPr="003C2208">
        <w:rPr>
          <w:rFonts w:ascii="华文楷体" w:hAnsi="华文楷体" w:hint="eastAsia"/>
          <w:sz w:val="24"/>
          <w:szCs w:val="24"/>
          <w:lang w:eastAsia="zh-CN"/>
        </w:rPr>
        <w:t>较上周上涨</w:t>
      </w:r>
      <w:r w:rsidR="00E359DD" w:rsidRPr="003C2208">
        <w:rPr>
          <w:rFonts w:ascii="华文楷体" w:hAnsi="华文楷体"/>
          <w:sz w:val="24"/>
          <w:szCs w:val="24"/>
          <w:lang w:eastAsia="zh-CN"/>
        </w:rPr>
        <w:t>1.</w:t>
      </w:r>
      <w:r w:rsidR="00D914AF" w:rsidRPr="003C2208">
        <w:rPr>
          <w:rFonts w:ascii="华文楷体" w:hAnsi="华文楷体"/>
          <w:sz w:val="24"/>
          <w:szCs w:val="24"/>
          <w:lang w:eastAsia="zh-CN"/>
        </w:rPr>
        <w:t>67</w:t>
      </w:r>
      <w:r w:rsidR="00AF3C15" w:rsidRPr="003C2208">
        <w:rPr>
          <w:rFonts w:ascii="华文楷体" w:hAnsi="华文楷体" w:hint="eastAsia"/>
          <w:sz w:val="24"/>
          <w:szCs w:val="24"/>
          <w:lang w:eastAsia="zh-CN"/>
        </w:rPr>
        <w:t>%</w:t>
      </w:r>
      <w:r w:rsidR="00591DD3" w:rsidRPr="003C2208">
        <w:rPr>
          <w:rFonts w:ascii="华文楷体" w:hAnsi="华文楷体" w:hint="eastAsia"/>
          <w:sz w:val="24"/>
          <w:szCs w:val="24"/>
          <w:lang w:eastAsia="zh-CN"/>
        </w:rPr>
        <w:t>。</w:t>
      </w:r>
      <w:r w:rsidR="00591011" w:rsidRPr="003C2208">
        <w:rPr>
          <w:rFonts w:ascii="华文楷体" w:hAnsi="华文楷体" w:hint="eastAsia"/>
          <w:sz w:val="24"/>
          <w:szCs w:val="24"/>
          <w:lang w:eastAsia="zh-CN"/>
        </w:rPr>
        <w:t>市场</w:t>
      </w:r>
      <w:r w:rsidR="00F20D5F" w:rsidRPr="003C2208">
        <w:rPr>
          <w:rFonts w:ascii="华文楷体" w:hAnsi="华文楷体" w:hint="eastAsia"/>
          <w:sz w:val="24"/>
          <w:szCs w:val="24"/>
          <w:lang w:eastAsia="zh-CN"/>
        </w:rPr>
        <w:t>各主要板块</w:t>
      </w:r>
      <w:r w:rsidR="00E359DD" w:rsidRPr="003C2208">
        <w:rPr>
          <w:rFonts w:ascii="华文楷体" w:hAnsi="华文楷体" w:hint="eastAsia"/>
          <w:sz w:val="24"/>
          <w:szCs w:val="24"/>
          <w:lang w:eastAsia="zh-CN"/>
        </w:rPr>
        <w:t>调整明显</w:t>
      </w:r>
      <w:r w:rsidR="007C2CEA" w:rsidRPr="003C2208">
        <w:rPr>
          <w:rFonts w:ascii="华文楷体" w:hAnsi="华文楷体" w:hint="eastAsia"/>
          <w:sz w:val="24"/>
          <w:szCs w:val="24"/>
          <w:lang w:eastAsia="zh-CN"/>
        </w:rPr>
        <w:t>，成交量较上周</w:t>
      </w:r>
      <w:r w:rsidR="00D914AF" w:rsidRPr="003C2208">
        <w:rPr>
          <w:rFonts w:ascii="华文楷体" w:hAnsi="华文楷体" w:hint="eastAsia"/>
          <w:sz w:val="24"/>
          <w:szCs w:val="24"/>
          <w:lang w:eastAsia="zh-CN"/>
        </w:rPr>
        <w:t>继续</w:t>
      </w:r>
      <w:r w:rsidR="00E04BBE" w:rsidRPr="003C2208">
        <w:rPr>
          <w:rFonts w:ascii="华文楷体" w:hAnsi="华文楷体" w:hint="eastAsia"/>
          <w:sz w:val="24"/>
          <w:szCs w:val="24"/>
          <w:lang w:eastAsia="zh-CN"/>
        </w:rPr>
        <w:t>缩减</w:t>
      </w:r>
      <w:r w:rsidR="00DC05C7" w:rsidRPr="003C2208">
        <w:rPr>
          <w:rFonts w:ascii="华文楷体" w:hAnsi="华文楷体" w:hint="eastAsia"/>
          <w:sz w:val="24"/>
          <w:szCs w:val="24"/>
          <w:lang w:eastAsia="zh-CN"/>
        </w:rPr>
        <w:t>。</w:t>
      </w:r>
      <w:r w:rsidR="00AC28BB" w:rsidRPr="003C2208">
        <w:rPr>
          <w:rFonts w:ascii="华文楷体" w:hAnsi="华文楷体" w:hint="eastAsia"/>
          <w:sz w:val="24"/>
          <w:szCs w:val="24"/>
          <w:lang w:eastAsia="zh-CN"/>
        </w:rPr>
        <w:t>上证综指</w:t>
      </w:r>
      <w:r w:rsidR="00AC28BB" w:rsidRPr="003C2208">
        <w:rPr>
          <w:rFonts w:ascii="华文楷体" w:hAnsi="华文楷体"/>
          <w:sz w:val="24"/>
          <w:szCs w:val="24"/>
          <w:lang w:eastAsia="zh-CN"/>
        </w:rPr>
        <w:t>、</w:t>
      </w:r>
      <w:r w:rsidR="00AC28BB" w:rsidRPr="003C2208">
        <w:rPr>
          <w:rFonts w:ascii="华文楷体" w:hAnsi="华文楷体" w:hint="eastAsia"/>
          <w:sz w:val="24"/>
          <w:szCs w:val="24"/>
          <w:lang w:eastAsia="zh-CN"/>
        </w:rPr>
        <w:t>创业板指</w:t>
      </w:r>
      <w:r w:rsidR="00AC28BB" w:rsidRPr="003C2208">
        <w:rPr>
          <w:rFonts w:ascii="华文楷体" w:hAnsi="华文楷体"/>
          <w:sz w:val="24"/>
          <w:szCs w:val="24"/>
          <w:lang w:eastAsia="zh-CN"/>
        </w:rPr>
        <w:t>、上证</w:t>
      </w:r>
      <w:r w:rsidR="00AC28BB" w:rsidRPr="003C2208">
        <w:rPr>
          <w:rFonts w:ascii="华文楷体" w:hAnsi="华文楷体" w:hint="eastAsia"/>
          <w:sz w:val="24"/>
          <w:szCs w:val="24"/>
          <w:lang w:eastAsia="zh-CN"/>
        </w:rPr>
        <w:t>50和</w:t>
      </w:r>
      <w:r w:rsidR="00AC28BB" w:rsidRPr="003C2208">
        <w:rPr>
          <w:rFonts w:ascii="华文楷体" w:hAnsi="华文楷体"/>
          <w:sz w:val="24"/>
          <w:szCs w:val="24"/>
          <w:lang w:eastAsia="zh-CN"/>
        </w:rPr>
        <w:t>沪深</w:t>
      </w:r>
      <w:r w:rsidR="00AC28BB" w:rsidRPr="003C2208">
        <w:rPr>
          <w:rFonts w:ascii="华文楷体" w:hAnsi="华文楷体" w:hint="eastAsia"/>
          <w:sz w:val="24"/>
          <w:szCs w:val="24"/>
          <w:lang w:eastAsia="zh-CN"/>
        </w:rPr>
        <w:t>300</w:t>
      </w:r>
      <w:r w:rsidR="00AC28BB" w:rsidRPr="003C2208">
        <w:rPr>
          <w:rFonts w:ascii="华文楷体" w:hAnsi="华文楷体"/>
          <w:sz w:val="24"/>
          <w:szCs w:val="24"/>
          <w:lang w:eastAsia="zh-CN"/>
        </w:rPr>
        <w:t>分别</w:t>
      </w:r>
      <w:r w:rsidR="007C2CEA" w:rsidRPr="003C2208">
        <w:rPr>
          <w:rFonts w:ascii="华文楷体" w:hAnsi="华文楷体" w:hint="eastAsia"/>
          <w:sz w:val="24"/>
          <w:szCs w:val="24"/>
          <w:lang w:eastAsia="zh-CN"/>
        </w:rPr>
        <w:t>上涨</w:t>
      </w:r>
      <w:r w:rsidR="00D914AF" w:rsidRPr="003C2208">
        <w:rPr>
          <w:rFonts w:ascii="华文楷体" w:hAnsi="华文楷体"/>
          <w:sz w:val="24"/>
          <w:szCs w:val="24"/>
          <w:lang w:eastAsia="zh-CN"/>
        </w:rPr>
        <w:t>0.2</w:t>
      </w:r>
      <w:r w:rsidR="00AC28BB" w:rsidRPr="003C2208">
        <w:rPr>
          <w:rFonts w:ascii="华文楷体" w:hAnsi="华文楷体"/>
          <w:sz w:val="24"/>
          <w:szCs w:val="24"/>
          <w:lang w:eastAsia="zh-CN"/>
        </w:rPr>
        <w:t>%、</w:t>
      </w:r>
      <w:r w:rsidR="00257267" w:rsidRPr="003C2208">
        <w:rPr>
          <w:rFonts w:ascii="华文楷体" w:hAnsi="华文楷体"/>
          <w:sz w:val="24"/>
          <w:szCs w:val="24"/>
          <w:lang w:eastAsia="zh-CN"/>
        </w:rPr>
        <w:t>-</w:t>
      </w:r>
      <w:r w:rsidR="00D914AF" w:rsidRPr="003C2208">
        <w:rPr>
          <w:rFonts w:ascii="华文楷体" w:hAnsi="华文楷体"/>
          <w:sz w:val="24"/>
          <w:szCs w:val="24"/>
          <w:lang w:eastAsia="zh-CN"/>
        </w:rPr>
        <w:t>3.0</w:t>
      </w:r>
      <w:r w:rsidR="00AC28BB" w:rsidRPr="003C2208">
        <w:rPr>
          <w:rFonts w:ascii="华文楷体" w:hAnsi="华文楷体"/>
          <w:sz w:val="24"/>
          <w:szCs w:val="24"/>
          <w:lang w:eastAsia="zh-CN"/>
        </w:rPr>
        <w:t>%、</w:t>
      </w:r>
      <w:r w:rsidR="00D914AF" w:rsidRPr="003C2208">
        <w:rPr>
          <w:rFonts w:ascii="华文楷体" w:hAnsi="华文楷体"/>
          <w:sz w:val="24"/>
          <w:szCs w:val="24"/>
          <w:lang w:eastAsia="zh-CN"/>
        </w:rPr>
        <w:t>0.8</w:t>
      </w:r>
      <w:r w:rsidR="00AC28BB" w:rsidRPr="003C2208">
        <w:rPr>
          <w:rFonts w:ascii="华文楷体" w:hAnsi="华文楷体"/>
          <w:sz w:val="24"/>
          <w:szCs w:val="24"/>
          <w:lang w:eastAsia="zh-CN"/>
        </w:rPr>
        <w:t>%</w:t>
      </w:r>
      <w:r w:rsidR="00AC28BB" w:rsidRPr="003C2208">
        <w:rPr>
          <w:rFonts w:ascii="华文楷体" w:hAnsi="华文楷体" w:hint="eastAsia"/>
          <w:sz w:val="24"/>
          <w:szCs w:val="24"/>
          <w:lang w:eastAsia="zh-CN"/>
        </w:rPr>
        <w:t>和</w:t>
      </w:r>
      <w:r w:rsidR="00D914AF" w:rsidRPr="003C2208">
        <w:rPr>
          <w:rFonts w:ascii="华文楷体" w:hAnsi="华文楷体"/>
          <w:sz w:val="24"/>
          <w:szCs w:val="24"/>
          <w:lang w:eastAsia="zh-CN"/>
        </w:rPr>
        <w:t>-0.1</w:t>
      </w:r>
      <w:r w:rsidR="00AC28BB" w:rsidRPr="003C2208">
        <w:rPr>
          <w:rFonts w:ascii="华文楷体" w:hAnsi="华文楷体"/>
          <w:sz w:val="24"/>
          <w:szCs w:val="24"/>
          <w:lang w:eastAsia="zh-CN"/>
        </w:rPr>
        <w:t>%</w:t>
      </w:r>
      <w:r w:rsidR="00AC28BB" w:rsidRPr="003C2208">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B01EC0">
        <w:tblPrEx>
          <w:tblCellMar>
            <w:left w:w="108" w:type="dxa"/>
            <w:right w:w="108" w:type="dxa"/>
          </w:tblCellMar>
        </w:tblPrEx>
        <w:trPr>
          <w:jc w:val="center"/>
        </w:trPr>
        <w:tc>
          <w:tcPr>
            <w:tcW w:w="4939" w:type="dxa"/>
            <w:vAlign w:val="center"/>
          </w:tcPr>
          <w:p w14:paraId="5C83721A" w14:textId="24C0220B" w:rsidR="00E0626C" w:rsidRPr="007E0340" w:rsidRDefault="0047401E" w:rsidP="009A2BA0">
            <w:pPr>
              <w:jc w:val="center"/>
              <w:rPr>
                <w:noProof/>
              </w:rPr>
            </w:pPr>
            <w:r>
              <w:rPr>
                <w:noProof/>
              </w:rPr>
              <w:drawing>
                <wp:inline distT="0" distB="0" distL="0" distR="0" wp14:anchorId="79E6C53A" wp14:editId="56D77B20">
                  <wp:extent cx="2999105" cy="1800187"/>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005458" cy="1804000"/>
                          </a:xfrm>
                          <a:prstGeom prst="rect">
                            <a:avLst/>
                          </a:prstGeom>
                        </pic:spPr>
                      </pic:pic>
                    </a:graphicData>
                  </a:graphic>
                </wp:inline>
              </w:drawing>
            </w:r>
          </w:p>
        </w:tc>
        <w:tc>
          <w:tcPr>
            <w:tcW w:w="4938" w:type="dxa"/>
            <w:vAlign w:val="center"/>
          </w:tcPr>
          <w:p w14:paraId="39BD4383" w14:textId="6E7942F1" w:rsidR="00E0626C" w:rsidRPr="007E0340" w:rsidRDefault="00B01EC0" w:rsidP="009A2BA0">
            <w:pPr>
              <w:jc w:val="center"/>
              <w:rPr>
                <w:noProof/>
                <w:szCs w:val="18"/>
              </w:rPr>
            </w:pPr>
            <w:r>
              <w:rPr>
                <w:noProof/>
              </w:rPr>
              <w:drawing>
                <wp:inline distT="0" distB="0" distL="0" distR="0" wp14:anchorId="3D09FD14" wp14:editId="0D3FA87A">
                  <wp:extent cx="2998470" cy="1966007"/>
                  <wp:effectExtent l="0" t="0" r="0" b="0"/>
                  <wp:docPr id="9" name="图表 9">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5A1950" w:rsidRDefault="00FF7903" w:rsidP="009A2BA0">
      <w:pPr>
        <w:pStyle w:val="Header2"/>
        <w:rPr>
          <w:rFonts w:ascii="华文楷体" w:hAnsi="华文楷体"/>
          <w:b w:val="0"/>
          <w:szCs w:val="24"/>
          <w:lang w:eastAsia="zh-CN"/>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58611740" w:rsidR="00882FA5" w:rsidRPr="003E42BE" w:rsidRDefault="00E34B22" w:rsidP="003F00C6">
      <w:pPr>
        <w:pStyle w:val="Body-text"/>
        <w:ind w:firstLineChars="200" w:firstLine="480"/>
        <w:rPr>
          <w:rFonts w:ascii="华文楷体" w:hAnsi="华文楷体"/>
          <w:bCs/>
          <w:sz w:val="24"/>
          <w:szCs w:val="24"/>
          <w:lang w:eastAsia="zh-CN"/>
        </w:rPr>
      </w:pPr>
      <w:r w:rsidRPr="005A1950">
        <w:rPr>
          <w:rFonts w:ascii="华文楷体" w:hAnsi="华文楷体" w:hint="eastAsia"/>
          <w:b/>
          <w:bCs/>
          <w:sz w:val="24"/>
          <w:szCs w:val="24"/>
          <w:lang w:eastAsia="zh-CN"/>
        </w:rPr>
        <w:t>生产</w:t>
      </w:r>
      <w:r w:rsidR="00CC2F5D" w:rsidRPr="005A1950">
        <w:rPr>
          <w:rFonts w:ascii="华文楷体" w:hAnsi="华文楷体" w:hint="eastAsia"/>
          <w:b/>
          <w:bCs/>
          <w:sz w:val="24"/>
          <w:szCs w:val="24"/>
          <w:lang w:eastAsia="zh-CN"/>
        </w:rPr>
        <w:t>：</w:t>
      </w:r>
      <w:r w:rsidR="00257267" w:rsidRPr="00257267">
        <w:rPr>
          <w:rFonts w:ascii="华文楷体" w:hAnsi="华文楷体" w:hint="eastAsia"/>
          <w:bCs/>
          <w:sz w:val="24"/>
          <w:szCs w:val="24"/>
          <w:lang w:eastAsia="zh-CN"/>
        </w:rPr>
        <w:t>煤炭价格</w:t>
      </w:r>
      <w:r w:rsidR="0008527D">
        <w:rPr>
          <w:rFonts w:ascii="华文楷体" w:hAnsi="华文楷体" w:hint="eastAsia"/>
          <w:bCs/>
          <w:sz w:val="24"/>
          <w:szCs w:val="24"/>
          <w:lang w:eastAsia="zh-CN"/>
        </w:rPr>
        <w:t>平稳</w:t>
      </w:r>
      <w:r w:rsidR="00257267" w:rsidRPr="00257267">
        <w:rPr>
          <w:rFonts w:ascii="华文楷体" w:hAnsi="华文楷体" w:hint="eastAsia"/>
          <w:bCs/>
          <w:sz w:val="24"/>
          <w:szCs w:val="24"/>
          <w:lang w:eastAsia="zh-CN"/>
        </w:rPr>
        <w:t>，动力煤价格</w:t>
      </w:r>
      <w:r w:rsidR="0008527D">
        <w:rPr>
          <w:rFonts w:ascii="华文楷体" w:hAnsi="华文楷体" w:hint="eastAsia"/>
          <w:bCs/>
          <w:sz w:val="24"/>
          <w:szCs w:val="24"/>
          <w:lang w:eastAsia="zh-CN"/>
        </w:rPr>
        <w:t>小幅回落</w:t>
      </w:r>
      <w:r w:rsidR="00430EC8" w:rsidRPr="00430EC8">
        <w:rPr>
          <w:rFonts w:ascii="华文楷体" w:hAnsi="华文楷体" w:hint="eastAsia"/>
          <w:bCs/>
          <w:sz w:val="24"/>
          <w:szCs w:val="24"/>
          <w:lang w:eastAsia="zh-CN"/>
        </w:rPr>
        <w:t>。本周</w:t>
      </w:r>
      <w:proofErr w:type="spellStart"/>
      <w:r w:rsidR="00430EC8" w:rsidRPr="00430EC8">
        <w:rPr>
          <w:rFonts w:ascii="华文楷体" w:hAnsi="华文楷体" w:hint="eastAsia"/>
          <w:bCs/>
          <w:sz w:val="24"/>
          <w:szCs w:val="24"/>
          <w:lang w:eastAsia="zh-CN"/>
        </w:rPr>
        <w:t>Myspic</w:t>
      </w:r>
      <w:proofErr w:type="spellEnd"/>
      <w:r w:rsidR="002627F1">
        <w:rPr>
          <w:rFonts w:ascii="华文楷体" w:hAnsi="华文楷体" w:hint="eastAsia"/>
          <w:bCs/>
          <w:sz w:val="24"/>
          <w:szCs w:val="24"/>
          <w:lang w:eastAsia="zh-CN"/>
        </w:rPr>
        <w:t>普</w:t>
      </w:r>
      <w:proofErr w:type="gramStart"/>
      <w:r w:rsidR="002627F1">
        <w:rPr>
          <w:rFonts w:ascii="华文楷体" w:hAnsi="华文楷体" w:hint="eastAsia"/>
          <w:bCs/>
          <w:sz w:val="24"/>
          <w:szCs w:val="24"/>
          <w:lang w:eastAsia="zh-CN"/>
        </w:rPr>
        <w:t>钢</w:t>
      </w:r>
      <w:r w:rsidR="00430EC8" w:rsidRPr="00430EC8">
        <w:rPr>
          <w:rFonts w:ascii="华文楷体" w:hAnsi="华文楷体" w:hint="eastAsia"/>
          <w:bCs/>
          <w:sz w:val="24"/>
          <w:szCs w:val="24"/>
          <w:lang w:eastAsia="zh-CN"/>
        </w:rPr>
        <w:t>指数</w:t>
      </w:r>
      <w:r w:rsidR="002627F1">
        <w:rPr>
          <w:rFonts w:ascii="华文楷体" w:hAnsi="华文楷体" w:hint="eastAsia"/>
          <w:bCs/>
          <w:sz w:val="24"/>
          <w:szCs w:val="24"/>
          <w:lang w:eastAsia="zh-CN"/>
        </w:rPr>
        <w:t>环</w:t>
      </w:r>
      <w:proofErr w:type="gramEnd"/>
      <w:r w:rsidR="002627F1">
        <w:rPr>
          <w:rFonts w:ascii="华文楷体" w:hAnsi="华文楷体" w:hint="eastAsia"/>
          <w:bCs/>
          <w:sz w:val="24"/>
          <w:szCs w:val="24"/>
          <w:lang w:eastAsia="zh-CN"/>
        </w:rPr>
        <w:t>比下跌0</w:t>
      </w:r>
      <w:r w:rsidR="002627F1">
        <w:rPr>
          <w:rFonts w:ascii="华文楷体" w:hAnsi="华文楷体"/>
          <w:bCs/>
          <w:sz w:val="24"/>
          <w:szCs w:val="24"/>
          <w:lang w:eastAsia="zh-CN"/>
        </w:rPr>
        <w:t>.31</w:t>
      </w:r>
      <w:r w:rsidR="00430EC8" w:rsidRPr="00430EC8">
        <w:rPr>
          <w:rFonts w:ascii="华文楷体" w:hAnsi="华文楷体" w:hint="eastAsia"/>
          <w:bCs/>
          <w:sz w:val="24"/>
          <w:szCs w:val="24"/>
          <w:lang w:eastAsia="zh-CN"/>
        </w:rPr>
        <w:t>%。主要品种中，螺纹钢、</w:t>
      </w:r>
      <w:proofErr w:type="gramStart"/>
      <w:r w:rsidR="00430EC8" w:rsidRPr="00430EC8">
        <w:rPr>
          <w:rFonts w:ascii="华文楷体" w:hAnsi="华文楷体" w:hint="eastAsia"/>
          <w:bCs/>
          <w:sz w:val="24"/>
          <w:szCs w:val="24"/>
          <w:lang w:eastAsia="zh-CN"/>
        </w:rPr>
        <w:t>热卷价格</w:t>
      </w:r>
      <w:proofErr w:type="gramEnd"/>
      <w:r w:rsidR="002627F1">
        <w:rPr>
          <w:rFonts w:ascii="华文楷体" w:hAnsi="华文楷体" w:hint="eastAsia"/>
          <w:bCs/>
          <w:sz w:val="24"/>
          <w:szCs w:val="24"/>
          <w:lang w:eastAsia="zh-CN"/>
        </w:rPr>
        <w:t>下跌</w:t>
      </w:r>
      <w:r w:rsidR="00430EC8" w:rsidRPr="00430EC8">
        <w:rPr>
          <w:rFonts w:ascii="华文楷体" w:hAnsi="华文楷体" w:hint="eastAsia"/>
          <w:bCs/>
          <w:sz w:val="24"/>
          <w:szCs w:val="24"/>
          <w:lang w:eastAsia="zh-CN"/>
        </w:rPr>
        <w:t>，分别变动</w:t>
      </w:r>
      <w:r w:rsidR="002627F1">
        <w:rPr>
          <w:rFonts w:ascii="华文楷体" w:hAnsi="华文楷体"/>
          <w:bCs/>
          <w:sz w:val="24"/>
          <w:szCs w:val="24"/>
          <w:lang w:eastAsia="zh-CN"/>
        </w:rPr>
        <w:t>-0.82</w:t>
      </w:r>
      <w:r w:rsidR="00430EC8" w:rsidRPr="00430EC8">
        <w:rPr>
          <w:rFonts w:ascii="华文楷体" w:hAnsi="华文楷体" w:hint="eastAsia"/>
          <w:bCs/>
          <w:sz w:val="24"/>
          <w:szCs w:val="24"/>
          <w:lang w:eastAsia="zh-CN"/>
        </w:rPr>
        <w:t>%、</w:t>
      </w:r>
      <w:r w:rsidR="002627F1">
        <w:rPr>
          <w:rFonts w:ascii="华文楷体" w:hAnsi="华文楷体"/>
          <w:bCs/>
          <w:sz w:val="24"/>
          <w:szCs w:val="24"/>
          <w:lang w:eastAsia="zh-CN"/>
        </w:rPr>
        <w:t>-0.10</w:t>
      </w:r>
      <w:r w:rsidR="00430EC8" w:rsidRPr="00430EC8">
        <w:rPr>
          <w:rFonts w:ascii="华文楷体" w:hAnsi="华文楷体" w:hint="eastAsia"/>
          <w:bCs/>
          <w:sz w:val="24"/>
          <w:szCs w:val="24"/>
          <w:lang w:eastAsia="zh-CN"/>
        </w:rPr>
        <w:t>%；从库存来看，螺纹钢社会库存</w:t>
      </w:r>
      <w:r w:rsidR="0030711F">
        <w:rPr>
          <w:rFonts w:ascii="华文楷体" w:hAnsi="华文楷体" w:hint="eastAsia"/>
          <w:bCs/>
          <w:sz w:val="24"/>
          <w:szCs w:val="24"/>
          <w:lang w:eastAsia="zh-CN"/>
        </w:rPr>
        <w:t>略有去化</w:t>
      </w:r>
      <w:r w:rsidR="00430EC8" w:rsidRPr="00430EC8">
        <w:rPr>
          <w:rFonts w:ascii="华文楷体" w:hAnsi="华文楷体" w:hint="eastAsia"/>
          <w:bCs/>
          <w:sz w:val="24"/>
          <w:szCs w:val="24"/>
          <w:lang w:eastAsia="zh-CN"/>
        </w:rPr>
        <w:t>。本周</w:t>
      </w:r>
      <w:r w:rsidR="005F3962">
        <w:rPr>
          <w:rFonts w:ascii="华文楷体" w:hAnsi="华文楷体" w:hint="eastAsia"/>
          <w:bCs/>
          <w:sz w:val="24"/>
          <w:szCs w:val="24"/>
          <w:lang w:eastAsia="zh-CN"/>
        </w:rPr>
        <w:t>LME</w:t>
      </w:r>
      <w:r w:rsidR="00430EC8" w:rsidRPr="00430EC8">
        <w:rPr>
          <w:rFonts w:ascii="华文楷体" w:hAnsi="华文楷体" w:hint="eastAsia"/>
          <w:bCs/>
          <w:sz w:val="24"/>
          <w:szCs w:val="24"/>
          <w:lang w:eastAsia="zh-CN"/>
        </w:rPr>
        <w:t>有色品种</w:t>
      </w:r>
      <w:r w:rsidR="005F3962">
        <w:rPr>
          <w:rFonts w:ascii="华文楷体" w:hAnsi="华文楷体" w:hint="eastAsia"/>
          <w:bCs/>
          <w:sz w:val="24"/>
          <w:szCs w:val="24"/>
          <w:lang w:eastAsia="zh-CN"/>
        </w:rPr>
        <w:t>铜和铝</w:t>
      </w:r>
      <w:r w:rsidR="00430EC8" w:rsidRPr="00430EC8">
        <w:rPr>
          <w:rFonts w:ascii="华文楷体" w:hAnsi="华文楷体" w:hint="eastAsia"/>
          <w:bCs/>
          <w:sz w:val="24"/>
          <w:szCs w:val="24"/>
          <w:lang w:eastAsia="zh-CN"/>
        </w:rPr>
        <w:t>价格</w:t>
      </w:r>
      <w:r w:rsidR="003C2208">
        <w:rPr>
          <w:rFonts w:ascii="华文楷体" w:hAnsi="华文楷体" w:hint="eastAsia"/>
          <w:bCs/>
          <w:sz w:val="24"/>
          <w:szCs w:val="24"/>
          <w:lang w:eastAsia="zh-CN"/>
        </w:rPr>
        <w:t>分化，涨幅分别为2</w:t>
      </w:r>
      <w:r w:rsidR="003C2208">
        <w:rPr>
          <w:rFonts w:ascii="华文楷体" w:hAnsi="华文楷体"/>
          <w:bCs/>
          <w:sz w:val="24"/>
          <w:szCs w:val="24"/>
          <w:lang w:eastAsia="zh-CN"/>
        </w:rPr>
        <w:t>.06</w:t>
      </w:r>
      <w:r w:rsidR="003C2208">
        <w:rPr>
          <w:rFonts w:ascii="华文楷体" w:hAnsi="华文楷体" w:hint="eastAsia"/>
          <w:bCs/>
          <w:sz w:val="24"/>
          <w:szCs w:val="24"/>
          <w:lang w:eastAsia="zh-CN"/>
        </w:rPr>
        <w:t>%和-</w:t>
      </w:r>
      <w:r w:rsidR="003C2208">
        <w:rPr>
          <w:rFonts w:ascii="华文楷体" w:hAnsi="华文楷体"/>
          <w:bCs/>
          <w:sz w:val="24"/>
          <w:szCs w:val="24"/>
          <w:lang w:eastAsia="zh-CN"/>
        </w:rPr>
        <w:t>1.05</w:t>
      </w:r>
      <w:r w:rsidR="003C2208">
        <w:rPr>
          <w:rFonts w:ascii="华文楷体" w:hAnsi="华文楷体" w:hint="eastAsia"/>
          <w:bCs/>
          <w:sz w:val="24"/>
          <w:szCs w:val="24"/>
          <w:lang w:eastAsia="zh-CN"/>
        </w:rPr>
        <w:t>%</w:t>
      </w:r>
      <w:r w:rsidR="005F3962">
        <w:rPr>
          <w:rFonts w:ascii="华文楷体" w:hAnsi="华文楷体" w:hint="eastAsia"/>
          <w:bCs/>
          <w:sz w:val="24"/>
          <w:szCs w:val="24"/>
          <w:lang w:eastAsia="zh-CN"/>
        </w:rPr>
        <w:t>。</w:t>
      </w:r>
    </w:p>
    <w:p w14:paraId="184D73D0" w14:textId="7AD524A7" w:rsidR="00257267"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63150">
        <w:rPr>
          <w:rFonts w:ascii="华文楷体" w:hAnsi="华文楷体" w:hint="eastAsia"/>
          <w:b/>
          <w:bCs/>
          <w:sz w:val="24"/>
          <w:szCs w:val="24"/>
          <w:lang w:eastAsia="zh-CN"/>
        </w:rPr>
        <w:t>和消费</w:t>
      </w:r>
      <w:r w:rsidR="00CC2F5D" w:rsidRPr="00D67BD7">
        <w:rPr>
          <w:rFonts w:ascii="华文楷体" w:hAnsi="华文楷体" w:hint="eastAsia"/>
          <w:b/>
          <w:bCs/>
          <w:sz w:val="24"/>
          <w:szCs w:val="24"/>
          <w:lang w:eastAsia="zh-CN"/>
        </w:rPr>
        <w:t>：</w:t>
      </w:r>
      <w:r w:rsidR="00430EC8" w:rsidRPr="00430EC8">
        <w:rPr>
          <w:rFonts w:ascii="华文楷体" w:hAnsi="华文楷体" w:hint="eastAsia"/>
          <w:bCs/>
          <w:sz w:val="24"/>
          <w:szCs w:val="24"/>
          <w:lang w:eastAsia="zh-CN"/>
        </w:rPr>
        <w:t>本周30大中城市商品房成交面积较上周继续回落，或与近期部分城市地产政策有所</w:t>
      </w:r>
      <w:r w:rsidR="00A61947">
        <w:rPr>
          <w:rFonts w:ascii="华文楷体" w:hAnsi="华文楷体" w:hint="eastAsia"/>
          <w:bCs/>
          <w:sz w:val="24"/>
          <w:szCs w:val="24"/>
          <w:lang w:eastAsia="zh-CN"/>
        </w:rPr>
        <w:t>收紧有关。</w:t>
      </w:r>
      <w:r w:rsidR="00430EC8" w:rsidRPr="00430EC8">
        <w:rPr>
          <w:rFonts w:ascii="华文楷体" w:hAnsi="华文楷体" w:hint="eastAsia"/>
          <w:bCs/>
          <w:sz w:val="24"/>
          <w:szCs w:val="24"/>
          <w:lang w:eastAsia="zh-CN"/>
        </w:rPr>
        <w:t>拿地方面，100大中城市土地成交面积继续回落。</w:t>
      </w:r>
      <w:r w:rsidR="0008527D">
        <w:rPr>
          <w:rFonts w:ascii="华文楷体" w:hAnsi="华文楷体" w:hint="eastAsia"/>
          <w:bCs/>
          <w:sz w:val="24"/>
          <w:szCs w:val="24"/>
          <w:lang w:eastAsia="zh-CN"/>
        </w:rPr>
        <w:t>乘用车销量上，</w:t>
      </w:r>
      <w:r w:rsidR="0008527D" w:rsidRPr="0008527D">
        <w:rPr>
          <w:rFonts w:ascii="华文楷体" w:hAnsi="华文楷体" w:hint="eastAsia"/>
          <w:bCs/>
          <w:sz w:val="24"/>
          <w:szCs w:val="24"/>
          <w:lang w:eastAsia="zh-CN"/>
        </w:rPr>
        <w:t>8月第一周日均零售</w:t>
      </w:r>
      <w:r w:rsidR="0008527D">
        <w:rPr>
          <w:rFonts w:ascii="华文楷体" w:hAnsi="华文楷体" w:hint="eastAsia"/>
          <w:bCs/>
          <w:sz w:val="24"/>
          <w:szCs w:val="24"/>
          <w:lang w:eastAsia="zh-CN"/>
        </w:rPr>
        <w:t>为</w:t>
      </w:r>
      <w:r w:rsidR="0008527D" w:rsidRPr="0008527D">
        <w:rPr>
          <w:rFonts w:ascii="华文楷体" w:hAnsi="华文楷体" w:hint="eastAsia"/>
          <w:bCs/>
          <w:sz w:val="24"/>
          <w:szCs w:val="24"/>
          <w:lang w:eastAsia="zh-CN"/>
        </w:rPr>
        <w:t>3.0万辆，同比增长3%，环比7月第一周增长8%</w:t>
      </w:r>
      <w:r w:rsidR="00257267">
        <w:rPr>
          <w:rFonts w:ascii="华文楷体" w:hAnsi="华文楷体" w:hint="eastAsia"/>
          <w:bCs/>
          <w:sz w:val="24"/>
          <w:szCs w:val="24"/>
          <w:lang w:eastAsia="zh-CN"/>
        </w:rPr>
        <w:t>。</w:t>
      </w:r>
    </w:p>
    <w:p w14:paraId="3BDE386D" w14:textId="0D696BAE" w:rsidR="003B54C0" w:rsidRPr="00682A95" w:rsidRDefault="005D478C" w:rsidP="0007254B">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进</w:t>
      </w:r>
      <w:r w:rsidRPr="00C34A52">
        <w:rPr>
          <w:rFonts w:ascii="华文楷体" w:hAnsi="华文楷体" w:hint="eastAsia"/>
          <w:b/>
          <w:bCs/>
          <w:sz w:val="24"/>
          <w:szCs w:val="24"/>
          <w:lang w:eastAsia="zh-CN"/>
        </w:rPr>
        <w:t>出口</w:t>
      </w:r>
      <w:r w:rsidR="00CC2F5D" w:rsidRPr="00C34A52">
        <w:rPr>
          <w:rFonts w:ascii="华文楷体" w:hAnsi="华文楷体" w:hint="eastAsia"/>
          <w:bCs/>
          <w:sz w:val="24"/>
          <w:szCs w:val="24"/>
          <w:lang w:eastAsia="zh-CN"/>
        </w:rPr>
        <w:t>：</w:t>
      </w:r>
      <w:r w:rsidR="00D60F71">
        <w:rPr>
          <w:rFonts w:ascii="华文楷体" w:hAnsi="华文楷体" w:hint="eastAsia"/>
          <w:bCs/>
          <w:sz w:val="24"/>
          <w:szCs w:val="24"/>
          <w:lang w:eastAsia="zh-CN"/>
        </w:rPr>
        <w:t>出口方面，</w:t>
      </w:r>
      <w:r w:rsidR="00A61947" w:rsidRPr="00A61947">
        <w:rPr>
          <w:rFonts w:ascii="华文楷体" w:hAnsi="华文楷体" w:hint="eastAsia"/>
          <w:bCs/>
          <w:sz w:val="24"/>
          <w:szCs w:val="24"/>
          <w:lang w:eastAsia="zh-CN"/>
        </w:rPr>
        <w:t>上海出口集装箱指数（SCFI）本周</w:t>
      </w:r>
      <w:r w:rsidR="005135E2">
        <w:rPr>
          <w:rFonts w:ascii="华文楷体" w:hAnsi="华文楷体" w:hint="eastAsia"/>
          <w:bCs/>
          <w:sz w:val="24"/>
          <w:szCs w:val="24"/>
          <w:lang w:eastAsia="zh-CN"/>
        </w:rPr>
        <w:t>上升</w:t>
      </w:r>
      <w:r w:rsidR="002627F1">
        <w:rPr>
          <w:rFonts w:ascii="华文楷体" w:hAnsi="华文楷体"/>
          <w:bCs/>
          <w:sz w:val="24"/>
          <w:szCs w:val="24"/>
          <w:lang w:eastAsia="zh-CN"/>
        </w:rPr>
        <w:t>5.46</w:t>
      </w:r>
      <w:r w:rsidR="00A61947" w:rsidRPr="00A61947">
        <w:rPr>
          <w:rFonts w:ascii="华文楷体" w:hAnsi="华文楷体" w:hint="eastAsia"/>
          <w:bCs/>
          <w:sz w:val="24"/>
          <w:szCs w:val="24"/>
          <w:lang w:eastAsia="zh-CN"/>
        </w:rPr>
        <w:t>%，中国出口集装箱运价指数（CCFI）</w:t>
      </w:r>
      <w:r w:rsidR="0060189A">
        <w:rPr>
          <w:rFonts w:ascii="华文楷体" w:hAnsi="华文楷体" w:hint="eastAsia"/>
          <w:bCs/>
          <w:sz w:val="24"/>
          <w:szCs w:val="24"/>
          <w:lang w:eastAsia="zh-CN"/>
        </w:rPr>
        <w:t>小幅</w:t>
      </w:r>
      <w:r w:rsidR="002627F1">
        <w:rPr>
          <w:rFonts w:ascii="华文楷体" w:hAnsi="华文楷体" w:hint="eastAsia"/>
          <w:bCs/>
          <w:sz w:val="24"/>
          <w:szCs w:val="24"/>
          <w:lang w:eastAsia="zh-CN"/>
        </w:rPr>
        <w:t>上涨1</w:t>
      </w:r>
      <w:r w:rsidR="002627F1">
        <w:rPr>
          <w:rFonts w:ascii="华文楷体" w:hAnsi="华文楷体"/>
          <w:bCs/>
          <w:sz w:val="24"/>
          <w:szCs w:val="24"/>
          <w:lang w:eastAsia="zh-CN"/>
        </w:rPr>
        <w:t>.8</w:t>
      </w:r>
      <w:r w:rsidR="0060189A">
        <w:rPr>
          <w:rFonts w:ascii="华文楷体" w:hAnsi="华文楷体" w:hint="eastAsia"/>
          <w:bCs/>
          <w:sz w:val="24"/>
          <w:szCs w:val="24"/>
          <w:lang w:eastAsia="zh-CN"/>
        </w:rPr>
        <w:t>%</w:t>
      </w:r>
      <w:r w:rsidR="00797153">
        <w:rPr>
          <w:rFonts w:ascii="华文楷体" w:hAnsi="华文楷体" w:hint="eastAsia"/>
          <w:bCs/>
          <w:sz w:val="24"/>
          <w:szCs w:val="24"/>
          <w:lang w:eastAsia="zh-CN"/>
        </w:rPr>
        <w:t>。进口方面，</w:t>
      </w:r>
      <w:r w:rsidR="00A61947" w:rsidRPr="00A61947">
        <w:rPr>
          <w:rFonts w:ascii="华文楷体" w:hAnsi="华文楷体" w:hint="eastAsia"/>
          <w:bCs/>
          <w:sz w:val="24"/>
          <w:szCs w:val="24"/>
          <w:lang w:eastAsia="zh-CN"/>
        </w:rPr>
        <w:t>波罗的海干散货指数较上周</w:t>
      </w:r>
      <w:r w:rsidR="0060189A">
        <w:rPr>
          <w:rFonts w:ascii="华文楷体" w:hAnsi="华文楷体" w:hint="eastAsia"/>
          <w:bCs/>
          <w:sz w:val="24"/>
          <w:szCs w:val="24"/>
          <w:lang w:eastAsia="zh-CN"/>
        </w:rPr>
        <w:t>上涨</w:t>
      </w:r>
      <w:r w:rsidR="002627F1">
        <w:rPr>
          <w:rFonts w:ascii="华文楷体" w:hAnsi="华文楷体"/>
          <w:bCs/>
          <w:sz w:val="24"/>
          <w:szCs w:val="24"/>
          <w:lang w:eastAsia="zh-CN"/>
        </w:rPr>
        <w:t>6.26</w:t>
      </w:r>
      <w:r w:rsidR="00A61947" w:rsidRPr="00A61947">
        <w:rPr>
          <w:rFonts w:ascii="华文楷体" w:hAnsi="华文楷体" w:hint="eastAsia"/>
          <w:bCs/>
          <w:sz w:val="24"/>
          <w:szCs w:val="24"/>
          <w:lang w:eastAsia="zh-CN"/>
        </w:rPr>
        <w:t>%。</w:t>
      </w:r>
    </w:p>
    <w:p w14:paraId="0542DAC4" w14:textId="4FA52519"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25885" w:rsidRPr="00A25885">
        <w:rPr>
          <w:rFonts w:ascii="华文楷体" w:hAnsi="华文楷体" w:hint="eastAsia"/>
          <w:bCs/>
          <w:sz w:val="24"/>
          <w:szCs w:val="24"/>
          <w:lang w:eastAsia="zh-CN"/>
        </w:rPr>
        <w:t>猪肉价格本周</w:t>
      </w:r>
      <w:r w:rsidR="00EC46E1">
        <w:rPr>
          <w:rFonts w:ascii="华文楷体" w:hAnsi="华文楷体" w:hint="eastAsia"/>
          <w:bCs/>
          <w:sz w:val="24"/>
          <w:szCs w:val="24"/>
          <w:lang w:eastAsia="zh-CN"/>
        </w:rPr>
        <w:t>略有回落</w:t>
      </w:r>
      <w:r w:rsidR="003C2208">
        <w:rPr>
          <w:rFonts w:ascii="华文楷体" w:hAnsi="华文楷体" w:hint="eastAsia"/>
          <w:bCs/>
          <w:sz w:val="24"/>
          <w:szCs w:val="24"/>
          <w:lang w:eastAsia="zh-CN"/>
        </w:rPr>
        <w:t>。</w:t>
      </w:r>
      <w:r w:rsidR="00A25885" w:rsidRPr="00A25885">
        <w:rPr>
          <w:rFonts w:ascii="华文楷体" w:hAnsi="华文楷体" w:hint="eastAsia"/>
          <w:bCs/>
          <w:sz w:val="24"/>
          <w:szCs w:val="24"/>
          <w:lang w:eastAsia="zh-CN"/>
        </w:rPr>
        <w:t>农业部公布的全国平均批发价较上周末</w:t>
      </w:r>
      <w:r w:rsidR="0030711F">
        <w:rPr>
          <w:rFonts w:ascii="华文楷体" w:hAnsi="华文楷体" w:hint="eastAsia"/>
          <w:bCs/>
          <w:sz w:val="24"/>
          <w:szCs w:val="24"/>
          <w:lang w:eastAsia="zh-CN"/>
        </w:rPr>
        <w:t>略有</w:t>
      </w:r>
      <w:r w:rsidR="0008527D">
        <w:rPr>
          <w:rFonts w:ascii="华文楷体" w:hAnsi="华文楷体" w:hint="eastAsia"/>
          <w:bCs/>
          <w:sz w:val="24"/>
          <w:szCs w:val="24"/>
          <w:lang w:eastAsia="zh-CN"/>
        </w:rPr>
        <w:t>下降</w:t>
      </w:r>
      <w:r w:rsidR="0030711F">
        <w:rPr>
          <w:rFonts w:ascii="华文楷体" w:hAnsi="华文楷体" w:hint="eastAsia"/>
          <w:bCs/>
          <w:sz w:val="24"/>
          <w:szCs w:val="24"/>
          <w:lang w:eastAsia="zh-CN"/>
        </w:rPr>
        <w:t>，至4</w:t>
      </w:r>
      <w:r w:rsidR="0030711F">
        <w:rPr>
          <w:rFonts w:ascii="华文楷体" w:hAnsi="华文楷体"/>
          <w:bCs/>
          <w:sz w:val="24"/>
          <w:szCs w:val="24"/>
          <w:lang w:eastAsia="zh-CN"/>
        </w:rPr>
        <w:t>8.</w:t>
      </w:r>
      <w:r w:rsidR="0008527D">
        <w:rPr>
          <w:rFonts w:ascii="华文楷体" w:hAnsi="华文楷体"/>
          <w:bCs/>
          <w:sz w:val="24"/>
          <w:szCs w:val="24"/>
          <w:lang w:eastAsia="zh-CN"/>
        </w:rPr>
        <w:t>25</w:t>
      </w:r>
      <w:r w:rsidR="00A25885" w:rsidRPr="00A25885">
        <w:rPr>
          <w:rFonts w:ascii="华文楷体" w:hAnsi="华文楷体" w:hint="eastAsia"/>
          <w:bCs/>
          <w:sz w:val="24"/>
          <w:szCs w:val="24"/>
          <w:lang w:eastAsia="zh-CN"/>
        </w:rPr>
        <w:t>元/公斤左右，环比</w:t>
      </w:r>
      <w:r w:rsidR="0008527D">
        <w:rPr>
          <w:rFonts w:ascii="华文楷体" w:hAnsi="华文楷体" w:hint="eastAsia"/>
          <w:bCs/>
          <w:sz w:val="24"/>
          <w:szCs w:val="24"/>
          <w:lang w:eastAsia="zh-CN"/>
        </w:rPr>
        <w:t>下跌0</w:t>
      </w:r>
      <w:r w:rsidR="0008527D">
        <w:rPr>
          <w:rFonts w:ascii="华文楷体" w:hAnsi="华文楷体"/>
          <w:bCs/>
          <w:sz w:val="24"/>
          <w:szCs w:val="24"/>
          <w:lang w:eastAsia="zh-CN"/>
        </w:rPr>
        <w:t>.45</w:t>
      </w:r>
      <w:r w:rsidR="00A25885" w:rsidRPr="00A25885">
        <w:rPr>
          <w:rFonts w:ascii="华文楷体" w:hAnsi="华文楷体" w:hint="eastAsia"/>
          <w:bCs/>
          <w:sz w:val="24"/>
          <w:szCs w:val="24"/>
          <w:lang w:eastAsia="zh-CN"/>
        </w:rPr>
        <w:t>%</w:t>
      </w:r>
      <w:r w:rsidR="00A25885">
        <w:rPr>
          <w:rFonts w:ascii="华文楷体" w:hAnsi="华文楷体" w:hint="eastAsia"/>
          <w:bCs/>
          <w:sz w:val="24"/>
          <w:szCs w:val="24"/>
          <w:lang w:eastAsia="zh-CN"/>
        </w:rPr>
        <w:t>。</w:t>
      </w:r>
      <w:r w:rsidR="00A25885" w:rsidRPr="00A25885">
        <w:rPr>
          <w:rFonts w:ascii="华文楷体" w:hAnsi="华文楷体" w:hint="eastAsia"/>
          <w:bCs/>
          <w:sz w:val="24"/>
          <w:szCs w:val="24"/>
          <w:lang w:eastAsia="zh-CN"/>
        </w:rPr>
        <w:t>蔬菜方面，价格</w:t>
      </w:r>
      <w:r w:rsidR="00EC46E1">
        <w:rPr>
          <w:rFonts w:ascii="华文楷体" w:hAnsi="华文楷体" w:hint="eastAsia"/>
          <w:bCs/>
          <w:sz w:val="24"/>
          <w:szCs w:val="24"/>
          <w:lang w:eastAsia="zh-CN"/>
        </w:rPr>
        <w:t>继续</w:t>
      </w:r>
      <w:r w:rsidR="0030711F">
        <w:rPr>
          <w:rFonts w:ascii="华文楷体" w:hAnsi="华文楷体" w:hint="eastAsia"/>
          <w:bCs/>
          <w:sz w:val="24"/>
          <w:szCs w:val="24"/>
          <w:lang w:eastAsia="zh-CN"/>
        </w:rPr>
        <w:t>走平</w:t>
      </w:r>
      <w:r w:rsidR="00A25885" w:rsidRPr="00A25885">
        <w:rPr>
          <w:rFonts w:ascii="华文楷体" w:hAnsi="华文楷体" w:hint="eastAsia"/>
          <w:bCs/>
          <w:sz w:val="24"/>
          <w:szCs w:val="24"/>
          <w:lang w:eastAsia="zh-CN"/>
        </w:rPr>
        <w:t>；水果价格则较上周</w:t>
      </w:r>
      <w:r w:rsidR="0030711F">
        <w:rPr>
          <w:rFonts w:ascii="华文楷体" w:hAnsi="华文楷体" w:hint="eastAsia"/>
          <w:bCs/>
          <w:sz w:val="24"/>
          <w:szCs w:val="24"/>
          <w:lang w:eastAsia="zh-CN"/>
        </w:rPr>
        <w:t>小幅下跌，跌幅为</w:t>
      </w:r>
      <w:r w:rsidR="00C9534E">
        <w:rPr>
          <w:rFonts w:ascii="华文楷体" w:hAnsi="华文楷体" w:hint="eastAsia"/>
          <w:bCs/>
          <w:sz w:val="24"/>
          <w:szCs w:val="24"/>
          <w:lang w:eastAsia="zh-CN"/>
        </w:rPr>
        <w:t>0</w:t>
      </w:r>
      <w:r w:rsidR="00C9534E">
        <w:rPr>
          <w:rFonts w:ascii="华文楷体" w:hAnsi="华文楷体"/>
          <w:bCs/>
          <w:sz w:val="24"/>
          <w:szCs w:val="24"/>
          <w:lang w:eastAsia="zh-CN"/>
        </w:rPr>
        <w:t>.</w:t>
      </w:r>
      <w:r w:rsidR="0008527D">
        <w:rPr>
          <w:rFonts w:ascii="华文楷体" w:hAnsi="华文楷体"/>
          <w:bCs/>
          <w:sz w:val="24"/>
          <w:szCs w:val="24"/>
          <w:lang w:eastAsia="zh-CN"/>
        </w:rPr>
        <w:t>38</w:t>
      </w:r>
      <w:r w:rsidR="00A25885" w:rsidRPr="00A25885">
        <w:rPr>
          <w:rFonts w:ascii="华文楷体" w:hAnsi="华文楷体" w:hint="eastAsia"/>
          <w:bCs/>
          <w:sz w:val="24"/>
          <w:szCs w:val="24"/>
          <w:lang w:eastAsia="zh-CN"/>
        </w:rPr>
        <w:t>%。</w:t>
      </w:r>
    </w:p>
    <w:p w14:paraId="5DF662A7" w14:textId="1BE2146F" w:rsidR="0015400F" w:rsidRPr="002627F1" w:rsidRDefault="00DC2C5F" w:rsidP="00F07541">
      <w:pPr>
        <w:pStyle w:val="Body-text"/>
        <w:ind w:firstLineChars="200" w:firstLine="480"/>
        <w:rPr>
          <w:rFonts w:ascii="华文楷体" w:hAnsi="华文楷体"/>
          <w:bCs/>
          <w:sz w:val="24"/>
          <w:szCs w:val="24"/>
          <w:lang w:eastAsia="zh-CN"/>
        </w:rPr>
      </w:pPr>
      <w:bookmarkStart w:id="1" w:name="_Hlk21205334"/>
      <w:r w:rsidRPr="00DC2C5F">
        <w:rPr>
          <w:rFonts w:ascii="华文楷体" w:hAnsi="华文楷体" w:hint="eastAsia"/>
          <w:b/>
          <w:bCs/>
          <w:sz w:val="24"/>
          <w:szCs w:val="24"/>
          <w:lang w:eastAsia="zh-CN"/>
        </w:rPr>
        <w:lastRenderedPageBreak/>
        <w:t>海外</w:t>
      </w:r>
      <w:r>
        <w:rPr>
          <w:rFonts w:ascii="华文楷体" w:hAnsi="华文楷体" w:hint="eastAsia"/>
          <w:bCs/>
          <w:sz w:val="24"/>
          <w:szCs w:val="24"/>
          <w:lang w:eastAsia="zh-CN"/>
        </w:rPr>
        <w:t>：</w:t>
      </w:r>
      <w:r w:rsidR="00A25885" w:rsidRPr="00A25885">
        <w:rPr>
          <w:rFonts w:ascii="华文楷体" w:hAnsi="华文楷体" w:hint="eastAsia"/>
          <w:bCs/>
          <w:sz w:val="24"/>
          <w:szCs w:val="24"/>
          <w:lang w:eastAsia="zh-CN"/>
        </w:rPr>
        <w:t>本周国际油价</w:t>
      </w:r>
      <w:r w:rsidR="0001480A">
        <w:rPr>
          <w:rFonts w:ascii="华文楷体" w:hAnsi="华文楷体" w:hint="eastAsia"/>
          <w:bCs/>
          <w:sz w:val="24"/>
          <w:szCs w:val="24"/>
          <w:lang w:eastAsia="zh-CN"/>
        </w:rPr>
        <w:t>下跌</w:t>
      </w:r>
      <w:r w:rsidR="00A25885" w:rsidRPr="00A25885">
        <w:rPr>
          <w:rFonts w:ascii="华文楷体" w:hAnsi="华文楷体" w:hint="eastAsia"/>
          <w:bCs/>
          <w:sz w:val="24"/>
          <w:szCs w:val="24"/>
          <w:lang w:eastAsia="zh-CN"/>
        </w:rPr>
        <w:t>，WTI原油价格</w:t>
      </w:r>
      <w:r w:rsidR="0001480A">
        <w:rPr>
          <w:rFonts w:ascii="华文楷体" w:hAnsi="华文楷体" w:hint="eastAsia"/>
          <w:bCs/>
          <w:sz w:val="24"/>
          <w:szCs w:val="24"/>
          <w:lang w:eastAsia="zh-CN"/>
        </w:rPr>
        <w:t>环比</w:t>
      </w:r>
      <w:r w:rsidR="0030711F">
        <w:rPr>
          <w:rFonts w:ascii="华文楷体" w:hAnsi="华文楷体" w:hint="eastAsia"/>
          <w:bCs/>
          <w:sz w:val="24"/>
          <w:szCs w:val="24"/>
          <w:lang w:eastAsia="zh-CN"/>
        </w:rPr>
        <w:t>上涨</w:t>
      </w:r>
      <w:r w:rsidR="002627F1">
        <w:rPr>
          <w:rFonts w:ascii="华文楷体" w:hAnsi="华文楷体"/>
          <w:bCs/>
          <w:sz w:val="24"/>
          <w:szCs w:val="24"/>
          <w:lang w:eastAsia="zh-CN"/>
        </w:rPr>
        <w:t>1.91</w:t>
      </w:r>
      <w:r w:rsidR="0001480A">
        <w:rPr>
          <w:rFonts w:ascii="华文楷体" w:hAnsi="华文楷体" w:hint="eastAsia"/>
          <w:bCs/>
          <w:sz w:val="24"/>
          <w:szCs w:val="24"/>
          <w:lang w:eastAsia="zh-CN"/>
        </w:rPr>
        <w:t>%</w:t>
      </w:r>
      <w:r w:rsidR="00A25885" w:rsidRPr="00A25885">
        <w:rPr>
          <w:rFonts w:ascii="华文楷体" w:hAnsi="华文楷体" w:hint="eastAsia"/>
          <w:bCs/>
          <w:sz w:val="24"/>
          <w:szCs w:val="24"/>
          <w:lang w:eastAsia="zh-CN"/>
        </w:rPr>
        <w:t>；</w:t>
      </w:r>
      <w:r w:rsidR="00A25885" w:rsidRPr="002627F1">
        <w:rPr>
          <w:rFonts w:ascii="华文楷体" w:hAnsi="华文楷体" w:hint="eastAsia"/>
          <w:bCs/>
          <w:sz w:val="24"/>
          <w:szCs w:val="24"/>
          <w:lang w:eastAsia="zh-CN"/>
        </w:rPr>
        <w:t>布伦</w:t>
      </w:r>
      <w:proofErr w:type="gramStart"/>
      <w:r w:rsidR="00A25885" w:rsidRPr="002627F1">
        <w:rPr>
          <w:rFonts w:ascii="华文楷体" w:hAnsi="华文楷体" w:hint="eastAsia"/>
          <w:bCs/>
          <w:sz w:val="24"/>
          <w:szCs w:val="24"/>
          <w:lang w:eastAsia="zh-CN"/>
        </w:rPr>
        <w:t>特</w:t>
      </w:r>
      <w:proofErr w:type="gramEnd"/>
      <w:r w:rsidR="00A25885" w:rsidRPr="002627F1">
        <w:rPr>
          <w:rFonts w:ascii="华文楷体" w:hAnsi="华文楷体" w:hint="eastAsia"/>
          <w:bCs/>
          <w:sz w:val="24"/>
          <w:szCs w:val="24"/>
          <w:lang w:eastAsia="zh-CN"/>
        </w:rPr>
        <w:t>原油价格</w:t>
      </w:r>
      <w:r w:rsidR="0001480A" w:rsidRPr="002627F1">
        <w:rPr>
          <w:rFonts w:ascii="华文楷体" w:hAnsi="华文楷体" w:hint="eastAsia"/>
          <w:bCs/>
          <w:sz w:val="24"/>
          <w:szCs w:val="24"/>
          <w:lang w:eastAsia="zh-CN"/>
        </w:rPr>
        <w:t>环比</w:t>
      </w:r>
      <w:r w:rsidR="0030711F" w:rsidRPr="002627F1">
        <w:rPr>
          <w:rFonts w:ascii="华文楷体" w:hAnsi="华文楷体" w:hint="eastAsia"/>
          <w:bCs/>
          <w:sz w:val="24"/>
          <w:szCs w:val="24"/>
          <w:lang w:eastAsia="zh-CN"/>
        </w:rPr>
        <w:t>上涨</w:t>
      </w:r>
      <w:r w:rsidR="002627F1" w:rsidRPr="002627F1">
        <w:rPr>
          <w:rFonts w:ascii="华文楷体" w:hAnsi="华文楷体"/>
          <w:bCs/>
          <w:sz w:val="24"/>
          <w:szCs w:val="24"/>
          <w:lang w:eastAsia="zh-CN"/>
        </w:rPr>
        <w:t>0.90</w:t>
      </w:r>
      <w:r w:rsidR="0001480A" w:rsidRPr="002627F1">
        <w:rPr>
          <w:rFonts w:ascii="华文楷体" w:hAnsi="华文楷体" w:hint="eastAsia"/>
          <w:bCs/>
          <w:sz w:val="24"/>
          <w:szCs w:val="24"/>
          <w:lang w:eastAsia="zh-CN"/>
        </w:rPr>
        <w:t>%。本周美元指数</w:t>
      </w:r>
      <w:r w:rsidR="0030711F" w:rsidRPr="002627F1">
        <w:rPr>
          <w:rFonts w:ascii="华文楷体" w:hAnsi="华文楷体" w:hint="eastAsia"/>
          <w:bCs/>
          <w:sz w:val="24"/>
          <w:szCs w:val="24"/>
          <w:lang w:eastAsia="zh-CN"/>
        </w:rPr>
        <w:t>小幅下跌0</w:t>
      </w:r>
      <w:r w:rsidR="0030711F" w:rsidRPr="002627F1">
        <w:rPr>
          <w:rFonts w:ascii="华文楷体" w:hAnsi="华文楷体"/>
          <w:bCs/>
          <w:sz w:val="24"/>
          <w:szCs w:val="24"/>
          <w:lang w:eastAsia="zh-CN"/>
        </w:rPr>
        <w:t>.</w:t>
      </w:r>
      <w:r w:rsidR="002627F1" w:rsidRPr="002627F1">
        <w:rPr>
          <w:rFonts w:ascii="华文楷体" w:hAnsi="华文楷体"/>
          <w:bCs/>
          <w:sz w:val="24"/>
          <w:szCs w:val="24"/>
          <w:lang w:eastAsia="zh-CN"/>
        </w:rPr>
        <w:t>34</w:t>
      </w:r>
      <w:r w:rsidR="0030711F" w:rsidRPr="002627F1">
        <w:rPr>
          <w:rFonts w:ascii="华文楷体" w:hAnsi="华文楷体" w:hint="eastAsia"/>
          <w:bCs/>
          <w:sz w:val="24"/>
          <w:szCs w:val="24"/>
          <w:lang w:eastAsia="zh-CN"/>
        </w:rPr>
        <w:t>%</w:t>
      </w:r>
      <w:r w:rsidR="00A25885" w:rsidRPr="002627F1">
        <w:rPr>
          <w:rFonts w:ascii="华文楷体" w:hAnsi="华文楷体" w:hint="eastAsia"/>
          <w:bCs/>
          <w:sz w:val="24"/>
          <w:szCs w:val="24"/>
          <w:lang w:eastAsia="zh-CN"/>
        </w:rPr>
        <w:t>。</w:t>
      </w:r>
    </w:p>
    <w:p w14:paraId="6197476A" w14:textId="489C0E90" w:rsidR="00A058AB" w:rsidRPr="002627F1" w:rsidRDefault="00A058AB" w:rsidP="00F07541">
      <w:pPr>
        <w:pStyle w:val="Body-text"/>
        <w:ind w:firstLineChars="200" w:firstLine="480"/>
        <w:rPr>
          <w:rFonts w:ascii="华文楷体" w:hAnsi="华文楷体"/>
          <w:bCs/>
          <w:color w:val="C00000"/>
          <w:sz w:val="24"/>
          <w:szCs w:val="24"/>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08527D" w:rsidRPr="0008527D">
        <w:rPr>
          <w:rFonts w:ascii="华文楷体" w:hAnsi="华文楷体"/>
          <w:bCs/>
          <w:sz w:val="24"/>
          <w:szCs w:val="24"/>
          <w:lang w:eastAsia="zh-CN"/>
        </w:rPr>
        <w:t>8</w:t>
      </w:r>
      <w:r w:rsidR="0008527D" w:rsidRPr="0008527D">
        <w:rPr>
          <w:rFonts w:ascii="华文楷体" w:hAnsi="华文楷体" w:hint="eastAsia"/>
          <w:bCs/>
          <w:sz w:val="24"/>
          <w:szCs w:val="24"/>
          <w:lang w:eastAsia="zh-CN"/>
        </w:rPr>
        <w:t>月</w:t>
      </w:r>
      <w:proofErr w:type="gramStart"/>
      <w:r w:rsidR="0008527D" w:rsidRPr="0008527D">
        <w:rPr>
          <w:rFonts w:ascii="华文楷体" w:hAnsi="华文楷体" w:hint="eastAsia"/>
          <w:bCs/>
          <w:sz w:val="24"/>
          <w:szCs w:val="24"/>
          <w:lang w:eastAsia="zh-CN"/>
        </w:rPr>
        <w:t>纽</w:t>
      </w:r>
      <w:proofErr w:type="gramEnd"/>
      <w:r w:rsidR="0008527D" w:rsidRPr="0008527D">
        <w:rPr>
          <w:rFonts w:ascii="华文楷体" w:hAnsi="华文楷体" w:hint="eastAsia"/>
          <w:bCs/>
          <w:sz w:val="24"/>
          <w:szCs w:val="24"/>
          <w:lang w:eastAsia="zh-CN"/>
        </w:rPr>
        <w:t>联储制造业指数，7月美国地产数据，8月美国PMI数据；欧元区8月PMI；国内LPR报价；中美摩擦</w:t>
      </w:r>
      <w:r w:rsidR="00257267" w:rsidRPr="0008527D">
        <w:rPr>
          <w:rFonts w:ascii="华文楷体" w:hAnsi="华文楷体" w:hint="eastAsia"/>
          <w:bCs/>
          <w:sz w:val="24"/>
          <w:szCs w:val="24"/>
          <w:lang w:eastAsia="zh-CN"/>
        </w:rPr>
        <w:t>。</w:t>
      </w:r>
    </w:p>
    <w:p w14:paraId="7C45D262" w14:textId="77777777" w:rsidR="00257267" w:rsidRPr="00CC505E" w:rsidRDefault="00257267" w:rsidP="00F07541">
      <w:pPr>
        <w:pStyle w:val="Body-text"/>
        <w:ind w:firstLineChars="200" w:firstLine="480"/>
        <w:rPr>
          <w:rFonts w:ascii="华文楷体" w:eastAsia="PMingLiU" w:hAnsi="华文楷体"/>
          <w:bCs/>
          <w:sz w:val="24"/>
          <w:szCs w:val="24"/>
          <w:lang w:eastAsia="zh-CN"/>
        </w:rPr>
      </w:pPr>
    </w:p>
    <w:bookmarkEnd w:id="1"/>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05A5A3DC" w14:textId="7FB89FC9" w:rsidR="00B817FF" w:rsidRPr="006058CF" w:rsidRDefault="006B204A" w:rsidP="006058CF">
      <w:pPr>
        <w:pStyle w:val="Body-text"/>
        <w:spacing w:after="240"/>
        <w:ind w:firstLineChars="200" w:firstLine="480"/>
        <w:rPr>
          <w:rFonts w:ascii="华文楷体" w:hAnsi="华文楷体"/>
          <w:bCs/>
          <w:sz w:val="24"/>
          <w:szCs w:val="24"/>
          <w:lang w:eastAsia="zh-CN"/>
        </w:rPr>
      </w:pPr>
      <w:r w:rsidRPr="006058CF">
        <w:rPr>
          <w:rFonts w:ascii="华文楷体" w:hAnsi="华文楷体" w:hint="eastAsia"/>
          <w:bCs/>
          <w:sz w:val="24"/>
          <w:szCs w:val="24"/>
          <w:lang w:eastAsia="zh-CN"/>
        </w:rPr>
        <w:t>利率债：</w:t>
      </w:r>
      <w:r w:rsidR="00B817FF" w:rsidRPr="006058CF">
        <w:rPr>
          <w:rFonts w:ascii="华文楷体" w:hAnsi="华文楷体" w:hint="eastAsia"/>
          <w:bCs/>
          <w:sz w:val="24"/>
          <w:szCs w:val="24"/>
          <w:lang w:eastAsia="zh-CN"/>
        </w:rPr>
        <w:t>本周公布了7月金融数据及经济数据，其中</w:t>
      </w:r>
      <w:r w:rsidR="006058CF" w:rsidRPr="006058CF">
        <w:rPr>
          <w:rFonts w:ascii="华文楷体" w:hAnsi="华文楷体" w:hint="eastAsia"/>
          <w:bCs/>
          <w:sz w:val="24"/>
          <w:szCs w:val="24"/>
          <w:lang w:eastAsia="zh-CN"/>
        </w:rPr>
        <w:t>金融数据表明：（1）</w:t>
      </w:r>
      <w:r w:rsidR="00B817FF" w:rsidRPr="006058CF">
        <w:rPr>
          <w:rFonts w:ascii="华文楷体" w:hAnsi="华文楷体" w:hint="eastAsia"/>
          <w:bCs/>
          <w:sz w:val="24"/>
          <w:szCs w:val="24"/>
          <w:lang w:eastAsia="zh-CN"/>
        </w:rPr>
        <w:t>信用扩张放缓，总量数据阶段回落与央行既定目标相符。之前央行提及防风险走在曲线之前，这次也是印证。另外，这也是为未来的冲击留子弹的防御性措施。三季度是否出现疫情再次重来，外部中美摩擦是否加深都需要应对。</w:t>
      </w:r>
      <w:r w:rsidR="006058CF" w:rsidRPr="006058CF">
        <w:rPr>
          <w:rFonts w:ascii="华文楷体" w:hAnsi="华文楷体" w:hint="eastAsia"/>
          <w:bCs/>
          <w:sz w:val="24"/>
          <w:szCs w:val="24"/>
          <w:lang w:eastAsia="zh-CN"/>
        </w:rPr>
        <w:t>（2）</w:t>
      </w:r>
      <w:r w:rsidR="00B817FF" w:rsidRPr="006058CF">
        <w:rPr>
          <w:rFonts w:ascii="华文楷体" w:hAnsi="华文楷体" w:hint="eastAsia"/>
          <w:bCs/>
          <w:sz w:val="24"/>
          <w:szCs w:val="24"/>
          <w:lang w:eastAsia="zh-CN"/>
        </w:rPr>
        <w:t>结构上，中长</w:t>
      </w:r>
      <w:proofErr w:type="gramStart"/>
      <w:r w:rsidR="00B817FF" w:rsidRPr="006058CF">
        <w:rPr>
          <w:rFonts w:ascii="华文楷体" w:hAnsi="华文楷体" w:hint="eastAsia"/>
          <w:bCs/>
          <w:sz w:val="24"/>
          <w:szCs w:val="24"/>
          <w:lang w:eastAsia="zh-CN"/>
        </w:rPr>
        <w:t>贷表现</w:t>
      </w:r>
      <w:proofErr w:type="gramEnd"/>
      <w:r w:rsidR="00B817FF" w:rsidRPr="006058CF">
        <w:rPr>
          <w:rFonts w:ascii="华文楷体" w:hAnsi="华文楷体" w:hint="eastAsia"/>
          <w:bCs/>
          <w:sz w:val="24"/>
          <w:szCs w:val="24"/>
          <w:lang w:eastAsia="zh-CN"/>
        </w:rPr>
        <w:t>较好。地产实际上还是支撑经济的中坚力量，政策当局对地产的前期容忍持续。后续需要观察防风险思路下地产调控是否收紧。企业中长贷中制造业贷款</w:t>
      </w:r>
      <w:proofErr w:type="gramStart"/>
      <w:r w:rsidR="00B817FF" w:rsidRPr="006058CF">
        <w:rPr>
          <w:rFonts w:ascii="华文楷体" w:hAnsi="华文楷体" w:hint="eastAsia"/>
          <w:bCs/>
          <w:sz w:val="24"/>
          <w:szCs w:val="24"/>
          <w:lang w:eastAsia="zh-CN"/>
        </w:rPr>
        <w:t>占比较</w:t>
      </w:r>
      <w:proofErr w:type="gramEnd"/>
      <w:r w:rsidR="00B817FF" w:rsidRPr="006058CF">
        <w:rPr>
          <w:rFonts w:ascii="华文楷体" w:hAnsi="华文楷体" w:hint="eastAsia"/>
          <w:bCs/>
          <w:sz w:val="24"/>
          <w:szCs w:val="24"/>
          <w:lang w:eastAsia="zh-CN"/>
        </w:rPr>
        <w:t>高，数据的好转也与PMI制造业改善印证</w:t>
      </w:r>
      <w:r w:rsidR="00065392">
        <w:rPr>
          <w:rFonts w:ascii="华文楷体" w:hAnsi="华文楷体" w:hint="eastAsia"/>
          <w:bCs/>
          <w:sz w:val="24"/>
          <w:szCs w:val="24"/>
          <w:lang w:eastAsia="zh-CN"/>
        </w:rPr>
        <w:t>，</w:t>
      </w:r>
      <w:r w:rsidR="00B817FF" w:rsidRPr="006058CF">
        <w:rPr>
          <w:rFonts w:ascii="华文楷体" w:hAnsi="华文楷体" w:hint="eastAsia"/>
          <w:bCs/>
          <w:sz w:val="24"/>
          <w:szCs w:val="24"/>
          <w:lang w:eastAsia="zh-CN"/>
        </w:rPr>
        <w:t>短期经济仍将平稳。</w:t>
      </w:r>
      <w:r w:rsidR="006058CF" w:rsidRPr="006058CF">
        <w:rPr>
          <w:rFonts w:ascii="华文楷体" w:hAnsi="华文楷体" w:hint="eastAsia"/>
          <w:bCs/>
          <w:sz w:val="24"/>
          <w:szCs w:val="24"/>
          <w:lang w:eastAsia="zh-CN"/>
        </w:rPr>
        <w:t>（3）</w:t>
      </w:r>
      <w:r w:rsidR="00B817FF" w:rsidRPr="006058CF">
        <w:rPr>
          <w:rFonts w:ascii="华文楷体" w:hAnsi="华文楷体" w:hint="eastAsia"/>
          <w:bCs/>
          <w:sz w:val="24"/>
          <w:szCs w:val="24"/>
          <w:lang w:eastAsia="zh-CN"/>
        </w:rPr>
        <w:t>M1同比增速回升。M1与债券市场的相关性较高，背后就是企业部门经营情况改善带来的类现金需求上升。这也印证短期经济情况仍将维持。</w:t>
      </w:r>
    </w:p>
    <w:p w14:paraId="7FB12701" w14:textId="67391BEB" w:rsidR="006058CF" w:rsidRDefault="00B817FF" w:rsidP="006058CF">
      <w:pPr>
        <w:pStyle w:val="Body-text"/>
        <w:spacing w:after="240"/>
        <w:ind w:firstLineChars="200" w:firstLine="480"/>
        <w:rPr>
          <w:rFonts w:ascii="华文楷体" w:hAnsi="华文楷体"/>
          <w:bCs/>
          <w:sz w:val="24"/>
          <w:szCs w:val="24"/>
          <w:lang w:eastAsia="zh-CN"/>
        </w:rPr>
      </w:pPr>
      <w:r w:rsidRPr="00B817FF">
        <w:rPr>
          <w:rFonts w:ascii="华文楷体" w:hAnsi="华文楷体" w:hint="eastAsia"/>
          <w:bCs/>
          <w:sz w:val="24"/>
          <w:szCs w:val="24"/>
          <w:lang w:eastAsia="zh-CN"/>
        </w:rPr>
        <w:t>7月经济数据整体上看经济仍然平稳，但是修复速率趋缓。</w:t>
      </w:r>
      <w:proofErr w:type="gramStart"/>
      <w:r w:rsidR="006058CF">
        <w:rPr>
          <w:rFonts w:ascii="华文楷体" w:hAnsi="华文楷体" w:hint="eastAsia"/>
          <w:bCs/>
          <w:sz w:val="24"/>
          <w:szCs w:val="24"/>
          <w:lang w:eastAsia="zh-CN"/>
        </w:rPr>
        <w:t>社消数据</w:t>
      </w:r>
      <w:proofErr w:type="gramEnd"/>
      <w:r w:rsidR="006058CF">
        <w:rPr>
          <w:rFonts w:ascii="华文楷体" w:hAnsi="华文楷体" w:hint="eastAsia"/>
          <w:bCs/>
          <w:sz w:val="24"/>
          <w:szCs w:val="24"/>
          <w:lang w:eastAsia="zh-CN"/>
        </w:rPr>
        <w:t>弱于市场预期。</w:t>
      </w:r>
      <w:r w:rsidRPr="00B817FF">
        <w:rPr>
          <w:rFonts w:ascii="华文楷体" w:hAnsi="华文楷体" w:hint="eastAsia"/>
          <w:bCs/>
          <w:sz w:val="24"/>
          <w:szCs w:val="24"/>
          <w:lang w:eastAsia="zh-CN"/>
        </w:rPr>
        <w:t>经济修复的过程，整体处于地产好转但是制造业仍未完全修复的过程。按照典型库存周期中的修复过程，三产投资-地产投资及销售-M1同比-制造业投资的轮动和循环没有走完，短期经济仍然稳定。市场对经济数据的反应比较明显，在金融数据边际略有放缓的情况下，经济修复速率下降，给予市场一定想象空间。但是，整体上经济只有边际的变化，总量数据的放缓很难看到。后续经济持续修复仍然是较为确定的事件。</w:t>
      </w:r>
    </w:p>
    <w:p w14:paraId="14C728C3" w14:textId="7412AB96" w:rsidR="00B817FF" w:rsidRPr="00B817FF" w:rsidRDefault="00065392" w:rsidP="006058CF">
      <w:pPr>
        <w:pStyle w:val="Body-text"/>
        <w:spacing w:after="240"/>
        <w:ind w:firstLineChars="200" w:firstLine="480"/>
        <w:rPr>
          <w:rFonts w:ascii="华文楷体" w:hAnsi="华文楷体"/>
          <w:bCs/>
          <w:sz w:val="24"/>
          <w:szCs w:val="24"/>
          <w:lang w:eastAsia="zh-CN"/>
        </w:rPr>
      </w:pPr>
      <w:r>
        <w:rPr>
          <w:rFonts w:ascii="华文楷体" w:hAnsi="华文楷体" w:hint="eastAsia"/>
          <w:bCs/>
          <w:sz w:val="24"/>
          <w:szCs w:val="24"/>
          <w:lang w:eastAsia="zh-CN"/>
        </w:rPr>
        <w:t>市场表现来看</w:t>
      </w:r>
      <w:r w:rsidR="00B817FF" w:rsidRPr="00B817FF">
        <w:rPr>
          <w:rFonts w:ascii="华文楷体" w:hAnsi="华文楷体" w:hint="eastAsia"/>
          <w:bCs/>
          <w:sz w:val="24"/>
          <w:szCs w:val="24"/>
          <w:lang w:eastAsia="zh-CN"/>
        </w:rPr>
        <w:t>交易盘也比较克制，长债下行幅度有限。期货多头止盈离场不多，下周或仍有交易机会。</w:t>
      </w:r>
    </w:p>
    <w:p w14:paraId="431A849C" w14:textId="1A4FA84D" w:rsidR="006B0B01" w:rsidRPr="006058CF" w:rsidRDefault="00C505BD" w:rsidP="006B0B01">
      <w:pPr>
        <w:pStyle w:val="a8"/>
        <w:shd w:val="clear" w:color="auto" w:fill="FFFFFF"/>
        <w:adjustRightInd w:val="0"/>
        <w:snapToGrid w:val="0"/>
        <w:spacing w:before="0" w:beforeAutospacing="0" w:after="240" w:afterAutospacing="0"/>
        <w:ind w:firstLine="482"/>
        <w:jc w:val="both"/>
        <w:rPr>
          <w:rFonts w:ascii="华文楷体" w:eastAsia="华文楷体" w:hAnsi="华文楷体" w:cs="Times New Roman"/>
          <w:bCs/>
        </w:rPr>
      </w:pPr>
      <w:r w:rsidRPr="006058CF">
        <w:rPr>
          <w:rFonts w:ascii="华文楷体" w:eastAsia="华文楷体" w:hAnsi="华文楷体" w:cs="Times New Roman" w:hint="eastAsia"/>
          <w:bCs/>
        </w:rPr>
        <w:t>信用债：</w:t>
      </w:r>
      <w:r w:rsidR="006B0B01" w:rsidRPr="006058CF">
        <w:rPr>
          <w:rFonts w:ascii="华文楷体" w:eastAsia="华文楷体" w:hAnsi="华文楷体" w:cs="Times New Roman" w:hint="eastAsia"/>
          <w:bCs/>
        </w:rPr>
        <w:t>本周各</w:t>
      </w:r>
      <w:r w:rsidR="00314603" w:rsidRPr="006058CF">
        <w:rPr>
          <w:rFonts w:ascii="华文楷体" w:eastAsia="华文楷体" w:hAnsi="华文楷体" w:cs="Times New Roman" w:hint="eastAsia"/>
          <w:bCs/>
        </w:rPr>
        <w:t>期限品种</w:t>
      </w:r>
      <w:r w:rsidR="005135E2" w:rsidRPr="006058CF">
        <w:rPr>
          <w:rFonts w:ascii="华文楷体" w:eastAsia="华文楷体" w:hAnsi="华文楷体" w:cs="Times New Roman" w:hint="eastAsia"/>
          <w:bCs/>
        </w:rPr>
        <w:t>利率</w:t>
      </w:r>
      <w:r w:rsidR="006058CF" w:rsidRPr="006058CF">
        <w:rPr>
          <w:rFonts w:ascii="华文楷体" w:eastAsia="华文楷体" w:hAnsi="华文楷体" w:cs="Times New Roman" w:hint="eastAsia"/>
          <w:bCs/>
        </w:rPr>
        <w:t>下行</w:t>
      </w:r>
      <w:r w:rsidR="00314603" w:rsidRPr="006058CF">
        <w:rPr>
          <w:rFonts w:ascii="华文楷体" w:eastAsia="华文楷体" w:hAnsi="华文楷体" w:cs="Times New Roman" w:hint="eastAsia"/>
          <w:bCs/>
        </w:rPr>
        <w:t>，</w:t>
      </w:r>
      <w:r w:rsidR="005135E2" w:rsidRPr="006058CF">
        <w:rPr>
          <w:rFonts w:ascii="华文楷体" w:eastAsia="华文楷体" w:hAnsi="华文楷体" w:cs="Times New Roman" w:hint="eastAsia"/>
          <w:bCs/>
        </w:rPr>
        <w:t>主要</w:t>
      </w:r>
      <w:r w:rsidR="00F063A3" w:rsidRPr="006058CF">
        <w:rPr>
          <w:rFonts w:ascii="华文楷体" w:eastAsia="华文楷体" w:hAnsi="华文楷体" w:cs="Times New Roman" w:hint="eastAsia"/>
          <w:bCs/>
        </w:rPr>
        <w:t>受到</w:t>
      </w:r>
      <w:r w:rsidR="00F063A3" w:rsidRPr="006058CF">
        <w:rPr>
          <w:rFonts w:ascii="华文楷体" w:eastAsia="华文楷体" w:hAnsi="华文楷体" w:cs="Times New Roman"/>
          <w:bCs/>
        </w:rPr>
        <w:t>利率</w:t>
      </w:r>
      <w:r w:rsidR="00F063A3" w:rsidRPr="006058CF">
        <w:rPr>
          <w:rFonts w:ascii="华文楷体" w:eastAsia="华文楷体" w:hAnsi="华文楷体" w:cs="Times New Roman" w:hint="eastAsia"/>
          <w:bCs/>
        </w:rPr>
        <w:t>债</w:t>
      </w:r>
      <w:r w:rsidR="006058CF" w:rsidRPr="006058CF">
        <w:rPr>
          <w:rFonts w:ascii="华文楷体" w:eastAsia="华文楷体" w:hAnsi="华文楷体" w:cs="Times New Roman" w:hint="eastAsia"/>
          <w:bCs/>
        </w:rPr>
        <w:t>利率回落</w:t>
      </w:r>
      <w:r w:rsidR="005135E2" w:rsidRPr="006058CF">
        <w:rPr>
          <w:rFonts w:ascii="华文楷体" w:eastAsia="华文楷体" w:hAnsi="华文楷体" w:cs="Times New Roman" w:hint="eastAsia"/>
          <w:bCs/>
        </w:rPr>
        <w:t>的</w:t>
      </w:r>
      <w:r w:rsidR="00F063A3" w:rsidRPr="006058CF">
        <w:rPr>
          <w:rFonts w:ascii="华文楷体" w:eastAsia="华文楷体" w:hAnsi="华文楷体" w:cs="Times New Roman"/>
          <w:bCs/>
        </w:rPr>
        <w:t>影响。</w:t>
      </w:r>
      <w:r w:rsidR="00314603" w:rsidRPr="006058CF">
        <w:rPr>
          <w:rFonts w:ascii="华文楷体" w:eastAsia="华文楷体" w:hAnsi="华文楷体" w:cs="Times New Roman" w:hint="eastAsia"/>
          <w:bCs/>
        </w:rPr>
        <w:t>整体来看，</w:t>
      </w:r>
      <w:r w:rsidR="00A060AA" w:rsidRPr="006058CF">
        <w:rPr>
          <w:rFonts w:ascii="华文楷体" w:eastAsia="华文楷体" w:hAnsi="华文楷体" w:cs="Times New Roman" w:hint="eastAsia"/>
          <w:bCs/>
        </w:rPr>
        <w:t>当前利率的绝对水平有一定基本面支撑，配置盘的绝对收益有</w:t>
      </w:r>
      <w:r w:rsidR="00F063A3" w:rsidRPr="006058CF">
        <w:rPr>
          <w:rFonts w:ascii="华文楷体" w:eastAsia="华文楷体" w:hAnsi="华文楷体" w:cs="Times New Roman" w:hint="eastAsia"/>
          <w:bCs/>
        </w:rPr>
        <w:t>一定</w:t>
      </w:r>
      <w:r w:rsidR="00A060AA" w:rsidRPr="006058CF">
        <w:rPr>
          <w:rFonts w:ascii="华文楷体" w:eastAsia="华文楷体" w:hAnsi="华文楷体" w:cs="Times New Roman" w:hint="eastAsia"/>
          <w:bCs/>
        </w:rPr>
        <w:t>保障，但后续经济边际改善</w:t>
      </w:r>
      <w:r w:rsidR="00257267" w:rsidRPr="006058CF">
        <w:rPr>
          <w:rFonts w:ascii="华文楷体" w:eastAsia="华文楷体" w:hAnsi="华文楷体" w:cs="Times New Roman" w:hint="eastAsia"/>
          <w:bCs/>
        </w:rPr>
        <w:t>叠加</w:t>
      </w:r>
      <w:r w:rsidR="00A060AA" w:rsidRPr="006058CF">
        <w:rPr>
          <w:rFonts w:ascii="华文楷体" w:eastAsia="华文楷体" w:hAnsi="华文楷体" w:cs="Times New Roman" w:hint="eastAsia"/>
          <w:bCs/>
        </w:rPr>
        <w:t>货币政策</w:t>
      </w:r>
      <w:r w:rsidR="00257267" w:rsidRPr="006058CF">
        <w:rPr>
          <w:rFonts w:ascii="华文楷体" w:eastAsia="华文楷体" w:hAnsi="华文楷体" w:cs="Times New Roman" w:hint="eastAsia"/>
          <w:bCs/>
        </w:rPr>
        <w:t>边际调整</w:t>
      </w:r>
      <w:r w:rsidR="00A060AA" w:rsidRPr="006058CF">
        <w:rPr>
          <w:rFonts w:ascii="华文楷体" w:eastAsia="华文楷体" w:hAnsi="华文楷体" w:cs="Times New Roman" w:hint="eastAsia"/>
          <w:bCs/>
        </w:rPr>
        <w:t>，票息策略</w:t>
      </w:r>
      <w:r w:rsidR="005135E2" w:rsidRPr="006058CF">
        <w:rPr>
          <w:rFonts w:ascii="华文楷体" w:eastAsia="华文楷体" w:hAnsi="华文楷体" w:cs="Times New Roman" w:hint="eastAsia"/>
          <w:bCs/>
        </w:rPr>
        <w:t>仍然</w:t>
      </w:r>
      <w:r w:rsidR="00A060AA" w:rsidRPr="006058CF">
        <w:rPr>
          <w:rFonts w:ascii="华文楷体" w:eastAsia="华文楷体" w:hAnsi="华文楷体" w:cs="Times New Roman" w:hint="eastAsia"/>
          <w:bCs/>
        </w:rPr>
        <w:t>占优</w:t>
      </w:r>
      <w:r w:rsidR="00F063A3" w:rsidRPr="006058CF">
        <w:rPr>
          <w:rFonts w:ascii="华文楷体" w:eastAsia="华文楷体" w:hAnsi="华文楷体" w:cs="Times New Roman" w:hint="eastAsia"/>
          <w:bCs/>
        </w:rPr>
        <w:t>，</w:t>
      </w:r>
      <w:r w:rsidR="00257267" w:rsidRPr="006058CF">
        <w:rPr>
          <w:rFonts w:ascii="华文楷体" w:eastAsia="华文楷体" w:hAnsi="华文楷体" w:cs="Times New Roman" w:hint="eastAsia"/>
          <w:bCs/>
        </w:rPr>
        <w:t>低等级信用利差拉大，</w:t>
      </w:r>
      <w:r w:rsidR="00F063A3" w:rsidRPr="006058CF">
        <w:rPr>
          <w:rFonts w:ascii="华文楷体" w:eastAsia="华文楷体" w:hAnsi="华文楷体" w:cs="Times New Roman"/>
          <w:bCs/>
        </w:rPr>
        <w:t>关注信用风险暴露</w:t>
      </w:r>
      <w:r w:rsidR="00A060AA" w:rsidRPr="006058CF">
        <w:rPr>
          <w:rFonts w:ascii="华文楷体" w:eastAsia="华文楷体" w:hAnsi="华文楷体" w:cs="Times New Roman" w:hint="eastAsia"/>
          <w:bCs/>
        </w:rPr>
        <w:t>。</w:t>
      </w:r>
    </w:p>
    <w:p w14:paraId="086F144B" w14:textId="5F97EFE4" w:rsidR="00257267" w:rsidRPr="006058CF" w:rsidRDefault="00C505BD" w:rsidP="00491B29">
      <w:pPr>
        <w:pStyle w:val="Body-text"/>
        <w:spacing w:after="240"/>
        <w:ind w:firstLineChars="200" w:firstLine="480"/>
        <w:rPr>
          <w:rFonts w:ascii="华文楷体" w:hAnsi="华文楷体"/>
          <w:bCs/>
          <w:sz w:val="24"/>
          <w:szCs w:val="24"/>
          <w:lang w:eastAsia="zh-CN"/>
        </w:rPr>
      </w:pPr>
      <w:r w:rsidRPr="006058CF">
        <w:rPr>
          <w:rFonts w:ascii="华文楷体" w:hAnsi="华文楷体" w:hint="eastAsia"/>
          <w:bCs/>
          <w:sz w:val="24"/>
          <w:szCs w:val="24"/>
          <w:lang w:eastAsia="zh-CN"/>
        </w:rPr>
        <w:t>可转债：</w:t>
      </w:r>
      <w:r w:rsidR="00654624" w:rsidRPr="006058CF">
        <w:rPr>
          <w:rFonts w:ascii="华文楷体" w:hAnsi="华文楷体" w:hint="eastAsia"/>
          <w:bCs/>
          <w:sz w:val="24"/>
          <w:szCs w:val="24"/>
          <w:lang w:eastAsia="zh-CN"/>
        </w:rPr>
        <w:t>本周权益市场</w:t>
      </w:r>
      <w:r w:rsidR="00257267" w:rsidRPr="006058CF">
        <w:rPr>
          <w:rFonts w:ascii="华文楷体" w:hAnsi="华文楷体" w:hint="eastAsia"/>
          <w:bCs/>
          <w:sz w:val="24"/>
          <w:szCs w:val="24"/>
          <w:lang w:eastAsia="zh-CN"/>
        </w:rPr>
        <w:t>震荡，板块调整明显，转债波动增加。</w:t>
      </w:r>
      <w:r w:rsidR="006058CF" w:rsidRPr="006058CF">
        <w:rPr>
          <w:rFonts w:ascii="华文楷体" w:hAnsi="华文楷体" w:hint="eastAsia"/>
          <w:bCs/>
          <w:sz w:val="24"/>
          <w:szCs w:val="24"/>
          <w:lang w:eastAsia="zh-CN"/>
        </w:rPr>
        <w:t>继续</w:t>
      </w:r>
      <w:r w:rsidR="00257267" w:rsidRPr="006058CF">
        <w:rPr>
          <w:rFonts w:ascii="华文楷体" w:hAnsi="华文楷体" w:hint="eastAsia"/>
          <w:bCs/>
          <w:sz w:val="24"/>
          <w:szCs w:val="24"/>
          <w:lang w:eastAsia="zh-CN"/>
        </w:rPr>
        <w:t>耐心等待再次介入转债的机会。接下来建议继续关注半年报绩优、正股弹性和逻辑较强品种。</w:t>
      </w:r>
    </w:p>
    <w:p w14:paraId="4C893BAE" w14:textId="6B72F191" w:rsidR="00983C71" w:rsidRPr="005135E2" w:rsidRDefault="00983C71" w:rsidP="00491B29">
      <w:pPr>
        <w:pStyle w:val="Body-text"/>
        <w:spacing w:after="240"/>
        <w:ind w:firstLineChars="200" w:firstLine="480"/>
        <w:rPr>
          <w:rFonts w:ascii="华文楷体" w:hAnsi="华文楷体"/>
          <w:bCs/>
          <w:sz w:val="24"/>
          <w:szCs w:val="24"/>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5EFE0AE9" w:rsidR="001D35B3" w:rsidRPr="006A5F34" w:rsidRDefault="001D35B3" w:rsidP="006E5744">
            <w:pPr>
              <w:pStyle w:val="ChartHeading"/>
              <w:jc w:val="both"/>
            </w:pPr>
            <w:r w:rsidRPr="006A5F34">
              <w:rPr>
                <w:rFonts w:hint="eastAsia"/>
              </w:rPr>
              <w:lastRenderedPageBreak/>
              <w:t>图表</w:t>
            </w:r>
            <w:r w:rsidRPr="006A5F34">
              <w:t>.</w:t>
            </w:r>
            <w:r w:rsidR="003E314A">
              <w:rPr>
                <w:rFonts w:hint="eastAsia"/>
              </w:rPr>
              <w:t>主要钢材库存</w:t>
            </w:r>
            <w:r w:rsidR="0069484C">
              <w:rPr>
                <w:rFonts w:hint="eastAsia"/>
              </w:rPr>
              <w:t>略有去化</w:t>
            </w:r>
          </w:p>
        </w:tc>
        <w:tc>
          <w:tcPr>
            <w:tcW w:w="4938" w:type="dxa"/>
            <w:vAlign w:val="center"/>
          </w:tcPr>
          <w:p w14:paraId="02A10F26" w14:textId="3763A478"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47401E">
              <w:rPr>
                <w:rFonts w:hint="eastAsia"/>
              </w:rPr>
              <w:t>小幅波动</w:t>
            </w:r>
          </w:p>
        </w:tc>
      </w:tr>
      <w:tr w:rsidR="001D35B3" w:rsidRPr="006A5F34" w14:paraId="205667F1" w14:textId="77777777" w:rsidTr="0047401E">
        <w:tblPrEx>
          <w:tblCellMar>
            <w:left w:w="108" w:type="dxa"/>
            <w:right w:w="108" w:type="dxa"/>
          </w:tblCellMar>
        </w:tblPrEx>
        <w:trPr>
          <w:jc w:val="center"/>
        </w:trPr>
        <w:tc>
          <w:tcPr>
            <w:tcW w:w="4939" w:type="dxa"/>
            <w:vAlign w:val="center"/>
          </w:tcPr>
          <w:p w14:paraId="56C782C2" w14:textId="225C0BBB" w:rsidR="001D35B3" w:rsidRPr="007E0340" w:rsidRDefault="0047401E" w:rsidP="009A2BA0">
            <w:pPr>
              <w:jc w:val="center"/>
              <w:rPr>
                <w:noProof/>
              </w:rPr>
            </w:pPr>
            <w:r>
              <w:rPr>
                <w:noProof/>
              </w:rPr>
              <w:drawing>
                <wp:inline distT="0" distB="0" distL="0" distR="0" wp14:anchorId="403ACA78" wp14:editId="63E9EC4B">
                  <wp:extent cx="2999105" cy="1685290"/>
                  <wp:effectExtent l="0" t="0" r="0" b="0"/>
                  <wp:docPr id="11" name="图表 1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9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c>
          <w:tcPr>
            <w:tcW w:w="4938" w:type="dxa"/>
            <w:vAlign w:val="center"/>
          </w:tcPr>
          <w:p w14:paraId="3EF0360D" w14:textId="53787206" w:rsidR="001D35B3" w:rsidRPr="007E0340" w:rsidRDefault="0047401E" w:rsidP="009A2BA0">
            <w:pPr>
              <w:jc w:val="center"/>
              <w:rPr>
                <w:noProof/>
                <w:szCs w:val="18"/>
              </w:rPr>
            </w:pPr>
            <w:r>
              <w:rPr>
                <w:noProof/>
              </w:rPr>
              <w:drawing>
                <wp:inline distT="0" distB="0" distL="0" distR="0" wp14:anchorId="4EBB3E06" wp14:editId="625C4216">
                  <wp:extent cx="2998470" cy="1648460"/>
                  <wp:effectExtent l="0" t="0" r="0" b="8890"/>
                  <wp:docPr id="16" name="图表 16">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3393A9C2" w:rsidR="001D35B3" w:rsidRPr="006A5F34" w:rsidRDefault="001D35B3" w:rsidP="00AC74DA">
            <w:pPr>
              <w:pStyle w:val="ChartHeading"/>
              <w:jc w:val="both"/>
            </w:pPr>
            <w:r w:rsidRPr="006A5F34">
              <w:rPr>
                <w:rFonts w:hint="eastAsia"/>
              </w:rPr>
              <w:t>图表</w:t>
            </w:r>
            <w:r w:rsidRPr="006A5F34">
              <w:t>.</w:t>
            </w:r>
            <w:r>
              <w:t xml:space="preserve"> </w:t>
            </w:r>
            <w:r w:rsidR="00AC74DA">
              <w:rPr>
                <w:rFonts w:hint="eastAsia"/>
              </w:rPr>
              <w:t>南华</w:t>
            </w:r>
            <w:r w:rsidR="00AC74DA">
              <w:t>工业品指数</w:t>
            </w:r>
            <w:r w:rsidR="0047401E">
              <w:rPr>
                <w:rFonts w:hint="eastAsia"/>
              </w:rPr>
              <w:t>小幅回落</w:t>
            </w:r>
          </w:p>
        </w:tc>
        <w:tc>
          <w:tcPr>
            <w:tcW w:w="4938" w:type="dxa"/>
            <w:vAlign w:val="center"/>
          </w:tcPr>
          <w:p w14:paraId="07575C0F" w14:textId="0A8321D0" w:rsidR="001D35B3" w:rsidRPr="006A5F34" w:rsidRDefault="001D35B3" w:rsidP="0054686C">
            <w:pPr>
              <w:pStyle w:val="ChartHeading"/>
              <w:jc w:val="both"/>
            </w:pPr>
            <w:r w:rsidRPr="006A5F34">
              <w:rPr>
                <w:rFonts w:hint="eastAsia"/>
              </w:rPr>
              <w:t>图表</w:t>
            </w:r>
            <w:r w:rsidRPr="006A5F34">
              <w:t xml:space="preserve">. </w:t>
            </w:r>
            <w:r w:rsidR="000E190F">
              <w:rPr>
                <w:rFonts w:hint="eastAsia"/>
              </w:rPr>
              <w:t>原油</w:t>
            </w:r>
            <w:r w:rsidR="00AC74DA">
              <w:rPr>
                <w:rFonts w:hint="eastAsia"/>
              </w:rPr>
              <w:t>价格</w:t>
            </w:r>
            <w:r w:rsidR="0054686C">
              <w:rPr>
                <w:rFonts w:hint="eastAsia"/>
              </w:rPr>
              <w:t>相对平稳</w:t>
            </w:r>
          </w:p>
        </w:tc>
      </w:tr>
      <w:tr w:rsidR="001D35B3" w:rsidRPr="006A5F34" w14:paraId="49BBD33E" w14:textId="77777777" w:rsidTr="0047401E">
        <w:tblPrEx>
          <w:tblCellMar>
            <w:left w:w="108" w:type="dxa"/>
            <w:right w:w="108" w:type="dxa"/>
          </w:tblCellMar>
        </w:tblPrEx>
        <w:trPr>
          <w:jc w:val="center"/>
        </w:trPr>
        <w:tc>
          <w:tcPr>
            <w:tcW w:w="4939" w:type="dxa"/>
            <w:vAlign w:val="center"/>
          </w:tcPr>
          <w:p w14:paraId="0BAC1731" w14:textId="70D3647E" w:rsidR="001D35B3" w:rsidRPr="007E0340" w:rsidRDefault="0047401E" w:rsidP="009A2BA0">
            <w:pPr>
              <w:jc w:val="center"/>
              <w:rPr>
                <w:noProof/>
              </w:rPr>
            </w:pPr>
            <w:r>
              <w:rPr>
                <w:noProof/>
              </w:rPr>
              <w:drawing>
                <wp:inline distT="0" distB="0" distL="0" distR="0" wp14:anchorId="78C32244" wp14:editId="74125BA9">
                  <wp:extent cx="2999105" cy="1620520"/>
                  <wp:effectExtent l="0" t="0" r="0" b="0"/>
                  <wp:docPr id="17" name="图表 17">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c>
          <w:tcPr>
            <w:tcW w:w="4938" w:type="dxa"/>
            <w:vAlign w:val="center"/>
          </w:tcPr>
          <w:p w14:paraId="64025D22" w14:textId="0036F632" w:rsidR="001D35B3" w:rsidRPr="0047401E" w:rsidRDefault="0047401E" w:rsidP="009A2BA0">
            <w:pPr>
              <w:jc w:val="center"/>
              <w:rPr>
                <w:noProof/>
                <w:sz w:val="14"/>
                <w:szCs w:val="14"/>
              </w:rPr>
            </w:pPr>
            <w:r w:rsidRPr="0047401E">
              <w:rPr>
                <w:noProof/>
                <w:sz w:val="14"/>
                <w:szCs w:val="14"/>
              </w:rPr>
              <w:drawing>
                <wp:inline distT="0" distB="0" distL="0" distR="0" wp14:anchorId="578F8766" wp14:editId="2279B73E">
                  <wp:extent cx="2998470" cy="1699895"/>
                  <wp:effectExtent l="0" t="0" r="0" b="0"/>
                  <wp:docPr id="18" name="图表 18">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72538FC9" w:rsidR="004E02E2" w:rsidRPr="004E02E2" w:rsidDel="006D1AD9" w:rsidRDefault="004E02E2" w:rsidP="009A2BA0">
      <w:pPr>
        <w:pStyle w:val="Body-text"/>
        <w:spacing w:after="0"/>
        <w:rPr>
          <w:rFonts w:ascii="华文楷体" w:hAnsi="华文楷体"/>
          <w:sz w:val="24"/>
          <w:szCs w:val="24"/>
          <w:lang w:eastAsia="zh-CN"/>
        </w:rPr>
      </w:pPr>
    </w:p>
    <w:p w14:paraId="40E0E436" w14:textId="77777777" w:rsidR="001A1299" w:rsidRDefault="001A1299" w:rsidP="009A2BA0">
      <w:pPr>
        <w:widowControl/>
        <w:jc w:val="left"/>
      </w:pPr>
      <w:r>
        <w:br w:type="page"/>
      </w:r>
    </w:p>
    <w:p w14:paraId="0E9FBC78" w14:textId="77777777" w:rsidR="002E1393" w:rsidRPr="001D69C6" w:rsidRDefault="002E1393" w:rsidP="009A2BA0">
      <w:pPr>
        <w:widowControl/>
        <w:ind w:firstLineChars="200" w:firstLine="420"/>
      </w:pPr>
    </w:p>
    <w:p w14:paraId="1EF1A1F1" w14:textId="13F42879" w:rsidR="0028459A" w:rsidRPr="001A1299" w:rsidRDefault="00A36CB8" w:rsidP="00A36CB8">
      <w:pPr>
        <w:pStyle w:val="Body-text"/>
        <w:ind w:firstLineChars="200" w:firstLine="400"/>
        <w:rPr>
          <w:rFonts w:ascii="华文楷体" w:hAnsi="华文楷体"/>
          <w:sz w:val="24"/>
          <w:szCs w:val="24"/>
          <w:lang w:eastAsia="zh-CN"/>
        </w:rPr>
      </w:pPr>
      <w:r>
        <w:rPr>
          <w:rFonts w:ascii="微软雅黑" w:eastAsia="微软雅黑" w:hAnsi="微软雅黑" w:hint="eastAsia"/>
          <w:color w:val="474747"/>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bookmarkStart w:id="2" w:name="_GoBack"/>
      <w:bookmarkEnd w:id="2"/>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20"/>
      <w:footerReference w:type="default" r:id="rId21"/>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0CDAAA" w14:textId="77777777" w:rsidR="00367FD2" w:rsidRDefault="00367FD2">
      <w:r>
        <w:separator/>
      </w:r>
    </w:p>
  </w:endnote>
  <w:endnote w:type="continuationSeparator" w:id="0">
    <w:p w14:paraId="37A74207" w14:textId="77777777" w:rsidR="00367FD2" w:rsidRDefault="00367F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08527D" w:rsidRDefault="0008527D">
        <w:pPr>
          <w:pStyle w:val="a4"/>
          <w:jc w:val="right"/>
        </w:pPr>
        <w:r>
          <w:fldChar w:fldCharType="begin"/>
        </w:r>
        <w:r>
          <w:instrText>PAGE   \* MERGEFORMAT</w:instrText>
        </w:r>
        <w:r>
          <w:fldChar w:fldCharType="separate"/>
        </w:r>
        <w:r w:rsidR="00A36CB8" w:rsidRPr="00A36CB8">
          <w:rPr>
            <w:noProof/>
            <w:lang w:val="zh-CN"/>
          </w:rPr>
          <w:t>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965A8E" w14:textId="77777777" w:rsidR="00367FD2" w:rsidRDefault="00367FD2">
      <w:r>
        <w:separator/>
      </w:r>
    </w:p>
  </w:footnote>
  <w:footnote w:type="continuationSeparator" w:id="0">
    <w:p w14:paraId="18E46BDF" w14:textId="77777777" w:rsidR="00367FD2" w:rsidRDefault="00367F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08527D" w:rsidRDefault="0008527D"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9">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1">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2">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3">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4">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6">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7">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0">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2">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0"/>
  </w:num>
  <w:num w:numId="7">
    <w:abstractNumId w:val="12"/>
  </w:num>
  <w:num w:numId="8">
    <w:abstractNumId w:val="11"/>
  </w:num>
  <w:num w:numId="9">
    <w:abstractNumId w:val="6"/>
  </w:num>
  <w:num w:numId="10">
    <w:abstractNumId w:val="15"/>
  </w:num>
  <w:num w:numId="11">
    <w:abstractNumId w:val="19"/>
  </w:num>
  <w:num w:numId="12">
    <w:abstractNumId w:val="13"/>
  </w:num>
  <w:num w:numId="13">
    <w:abstractNumId w:val="21"/>
  </w:num>
  <w:num w:numId="14">
    <w:abstractNumId w:val="22"/>
  </w:num>
  <w:num w:numId="15">
    <w:abstractNumId w:val="16"/>
  </w:num>
  <w:num w:numId="16">
    <w:abstractNumId w:val="10"/>
  </w:num>
  <w:num w:numId="17">
    <w:abstractNumId w:val="8"/>
  </w:num>
  <w:num w:numId="18">
    <w:abstractNumId w:val="18"/>
  </w:num>
  <w:num w:numId="19">
    <w:abstractNumId w:val="9"/>
  </w:num>
  <w:num w:numId="20">
    <w:abstractNumId w:val="17"/>
  </w:num>
  <w:num w:numId="21">
    <w:abstractNumId w:val="7"/>
  </w:num>
  <w:num w:numId="22">
    <w:abstractNumId w:val="14"/>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0D"/>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654"/>
    <w:rsid w:val="000106E3"/>
    <w:rsid w:val="00010B19"/>
    <w:rsid w:val="00010DAA"/>
    <w:rsid w:val="000117D9"/>
    <w:rsid w:val="000119EF"/>
    <w:rsid w:val="00011C5F"/>
    <w:rsid w:val="000128CB"/>
    <w:rsid w:val="00012A25"/>
    <w:rsid w:val="00012DA7"/>
    <w:rsid w:val="00012E48"/>
    <w:rsid w:val="0001311B"/>
    <w:rsid w:val="00013AC4"/>
    <w:rsid w:val="00013D8C"/>
    <w:rsid w:val="00013DBA"/>
    <w:rsid w:val="00014480"/>
    <w:rsid w:val="0001480A"/>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919"/>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0E7F"/>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AB6"/>
    <w:rsid w:val="00047BC0"/>
    <w:rsid w:val="00047BF1"/>
    <w:rsid w:val="00047E2A"/>
    <w:rsid w:val="00047FA6"/>
    <w:rsid w:val="0005003A"/>
    <w:rsid w:val="00050047"/>
    <w:rsid w:val="000504C8"/>
    <w:rsid w:val="000505E2"/>
    <w:rsid w:val="000507BC"/>
    <w:rsid w:val="00050AE2"/>
    <w:rsid w:val="00050E8F"/>
    <w:rsid w:val="0005125C"/>
    <w:rsid w:val="0005155B"/>
    <w:rsid w:val="00051575"/>
    <w:rsid w:val="0005161A"/>
    <w:rsid w:val="00051CD0"/>
    <w:rsid w:val="00051D9D"/>
    <w:rsid w:val="000523C8"/>
    <w:rsid w:val="00052427"/>
    <w:rsid w:val="00053051"/>
    <w:rsid w:val="000537A4"/>
    <w:rsid w:val="00054072"/>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392"/>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27D"/>
    <w:rsid w:val="000853E5"/>
    <w:rsid w:val="00085AC0"/>
    <w:rsid w:val="00085CBE"/>
    <w:rsid w:val="00086328"/>
    <w:rsid w:val="0008649A"/>
    <w:rsid w:val="000869DB"/>
    <w:rsid w:val="00086E6D"/>
    <w:rsid w:val="00086E99"/>
    <w:rsid w:val="0008719E"/>
    <w:rsid w:val="000875B7"/>
    <w:rsid w:val="0008760B"/>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5DC2"/>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503"/>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11F7"/>
    <w:rsid w:val="000C183E"/>
    <w:rsid w:val="000C1B8F"/>
    <w:rsid w:val="000C2B22"/>
    <w:rsid w:val="000C3787"/>
    <w:rsid w:val="000C39FF"/>
    <w:rsid w:val="000C4BC7"/>
    <w:rsid w:val="000C5FDB"/>
    <w:rsid w:val="000C60B9"/>
    <w:rsid w:val="000C6120"/>
    <w:rsid w:val="000C64EF"/>
    <w:rsid w:val="000C66E9"/>
    <w:rsid w:val="000C6919"/>
    <w:rsid w:val="000C6997"/>
    <w:rsid w:val="000C715A"/>
    <w:rsid w:val="000C7EFF"/>
    <w:rsid w:val="000C7FD1"/>
    <w:rsid w:val="000D03DB"/>
    <w:rsid w:val="000D0A66"/>
    <w:rsid w:val="000D0C47"/>
    <w:rsid w:val="000D0D13"/>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90F"/>
    <w:rsid w:val="000E1BF0"/>
    <w:rsid w:val="000E2002"/>
    <w:rsid w:val="000E2496"/>
    <w:rsid w:val="000E25F5"/>
    <w:rsid w:val="000E2962"/>
    <w:rsid w:val="000E2A9F"/>
    <w:rsid w:val="000E2AF3"/>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84F"/>
    <w:rsid w:val="000F7D19"/>
    <w:rsid w:val="000F7F35"/>
    <w:rsid w:val="00100559"/>
    <w:rsid w:val="001005A9"/>
    <w:rsid w:val="00100E6A"/>
    <w:rsid w:val="00100F77"/>
    <w:rsid w:val="00101DDE"/>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E45"/>
    <w:rsid w:val="001101DE"/>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3A3"/>
    <w:rsid w:val="0011651B"/>
    <w:rsid w:val="00116698"/>
    <w:rsid w:val="0011682A"/>
    <w:rsid w:val="0011689A"/>
    <w:rsid w:val="00116B60"/>
    <w:rsid w:val="00116C60"/>
    <w:rsid w:val="00116F1A"/>
    <w:rsid w:val="001170AF"/>
    <w:rsid w:val="001176C7"/>
    <w:rsid w:val="00117AF6"/>
    <w:rsid w:val="00120548"/>
    <w:rsid w:val="001209D6"/>
    <w:rsid w:val="00121000"/>
    <w:rsid w:val="00121021"/>
    <w:rsid w:val="0012177F"/>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30D"/>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00F"/>
    <w:rsid w:val="001541BE"/>
    <w:rsid w:val="001541EE"/>
    <w:rsid w:val="0015463A"/>
    <w:rsid w:val="00154762"/>
    <w:rsid w:val="00154773"/>
    <w:rsid w:val="00154D0E"/>
    <w:rsid w:val="00154E1C"/>
    <w:rsid w:val="00155063"/>
    <w:rsid w:val="001551C9"/>
    <w:rsid w:val="00155427"/>
    <w:rsid w:val="001556C9"/>
    <w:rsid w:val="00155C96"/>
    <w:rsid w:val="00155CBE"/>
    <w:rsid w:val="00155D06"/>
    <w:rsid w:val="00156190"/>
    <w:rsid w:val="0015634E"/>
    <w:rsid w:val="00156515"/>
    <w:rsid w:val="00156B73"/>
    <w:rsid w:val="0015798B"/>
    <w:rsid w:val="00157A02"/>
    <w:rsid w:val="00157A31"/>
    <w:rsid w:val="00157AEE"/>
    <w:rsid w:val="001602AE"/>
    <w:rsid w:val="00160370"/>
    <w:rsid w:val="0016096D"/>
    <w:rsid w:val="0016107A"/>
    <w:rsid w:val="001611C1"/>
    <w:rsid w:val="0016142C"/>
    <w:rsid w:val="0016155D"/>
    <w:rsid w:val="00161568"/>
    <w:rsid w:val="00161909"/>
    <w:rsid w:val="00161984"/>
    <w:rsid w:val="00161D5D"/>
    <w:rsid w:val="00162129"/>
    <w:rsid w:val="001629D2"/>
    <w:rsid w:val="00162C39"/>
    <w:rsid w:val="001644C8"/>
    <w:rsid w:val="0016453E"/>
    <w:rsid w:val="00166825"/>
    <w:rsid w:val="001668A4"/>
    <w:rsid w:val="00166EF2"/>
    <w:rsid w:val="00167137"/>
    <w:rsid w:val="00167E3A"/>
    <w:rsid w:val="00170521"/>
    <w:rsid w:val="00170F26"/>
    <w:rsid w:val="001715B3"/>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174"/>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1D97"/>
    <w:rsid w:val="001A2799"/>
    <w:rsid w:val="001A2A8D"/>
    <w:rsid w:val="001A2E46"/>
    <w:rsid w:val="001A308F"/>
    <w:rsid w:val="001A351C"/>
    <w:rsid w:val="001A35CF"/>
    <w:rsid w:val="001A3EC3"/>
    <w:rsid w:val="001A3F75"/>
    <w:rsid w:val="001A41C6"/>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997"/>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5DB2"/>
    <w:rsid w:val="001E6075"/>
    <w:rsid w:val="001E6B9A"/>
    <w:rsid w:val="001E7065"/>
    <w:rsid w:val="001E775D"/>
    <w:rsid w:val="001E7A2B"/>
    <w:rsid w:val="001E7ACC"/>
    <w:rsid w:val="001F0039"/>
    <w:rsid w:val="001F00D6"/>
    <w:rsid w:val="001F0325"/>
    <w:rsid w:val="001F0EA2"/>
    <w:rsid w:val="001F1991"/>
    <w:rsid w:val="001F2627"/>
    <w:rsid w:val="001F276D"/>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AFA"/>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471"/>
    <w:rsid w:val="00213D37"/>
    <w:rsid w:val="0021431F"/>
    <w:rsid w:val="0021444E"/>
    <w:rsid w:val="00214544"/>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40018"/>
    <w:rsid w:val="002404F8"/>
    <w:rsid w:val="0024069E"/>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267"/>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7F1"/>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C0B"/>
    <w:rsid w:val="00292EFF"/>
    <w:rsid w:val="00293334"/>
    <w:rsid w:val="0029358E"/>
    <w:rsid w:val="00293978"/>
    <w:rsid w:val="00293DD9"/>
    <w:rsid w:val="00293F65"/>
    <w:rsid w:val="00293F6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7BC"/>
    <w:rsid w:val="002B2930"/>
    <w:rsid w:val="002B2C83"/>
    <w:rsid w:val="002B2FEC"/>
    <w:rsid w:val="002B33F5"/>
    <w:rsid w:val="002B39EC"/>
    <w:rsid w:val="002B3EFF"/>
    <w:rsid w:val="002B4025"/>
    <w:rsid w:val="002B43E7"/>
    <w:rsid w:val="002B50F8"/>
    <w:rsid w:val="002B5ECD"/>
    <w:rsid w:val="002B69D7"/>
    <w:rsid w:val="002B739B"/>
    <w:rsid w:val="002B773F"/>
    <w:rsid w:val="002B7863"/>
    <w:rsid w:val="002B7968"/>
    <w:rsid w:val="002B7E69"/>
    <w:rsid w:val="002B7E74"/>
    <w:rsid w:val="002C0667"/>
    <w:rsid w:val="002C0898"/>
    <w:rsid w:val="002C1BC4"/>
    <w:rsid w:val="002C2475"/>
    <w:rsid w:val="002C2CA8"/>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27E"/>
    <w:rsid w:val="002F047D"/>
    <w:rsid w:val="002F05CB"/>
    <w:rsid w:val="002F1095"/>
    <w:rsid w:val="002F12B1"/>
    <w:rsid w:val="002F15F2"/>
    <w:rsid w:val="002F1E29"/>
    <w:rsid w:val="002F21B5"/>
    <w:rsid w:val="002F236C"/>
    <w:rsid w:val="002F2A1A"/>
    <w:rsid w:val="002F2D06"/>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6187"/>
    <w:rsid w:val="00306416"/>
    <w:rsid w:val="00306942"/>
    <w:rsid w:val="00307024"/>
    <w:rsid w:val="0030704C"/>
    <w:rsid w:val="00307095"/>
    <w:rsid w:val="0030711F"/>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6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6D9"/>
    <w:rsid w:val="00322D22"/>
    <w:rsid w:val="00323C88"/>
    <w:rsid w:val="003246AA"/>
    <w:rsid w:val="003247D4"/>
    <w:rsid w:val="00324996"/>
    <w:rsid w:val="00324AC9"/>
    <w:rsid w:val="00324C9B"/>
    <w:rsid w:val="00325015"/>
    <w:rsid w:val="0032541B"/>
    <w:rsid w:val="003254FF"/>
    <w:rsid w:val="00325646"/>
    <w:rsid w:val="00325660"/>
    <w:rsid w:val="003257D9"/>
    <w:rsid w:val="00325D57"/>
    <w:rsid w:val="00325DEE"/>
    <w:rsid w:val="00325E50"/>
    <w:rsid w:val="00325E69"/>
    <w:rsid w:val="003265C4"/>
    <w:rsid w:val="003273BF"/>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401AF"/>
    <w:rsid w:val="00340776"/>
    <w:rsid w:val="00340BAB"/>
    <w:rsid w:val="0034105F"/>
    <w:rsid w:val="00341169"/>
    <w:rsid w:val="003411E9"/>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1448"/>
    <w:rsid w:val="00351F93"/>
    <w:rsid w:val="003525CC"/>
    <w:rsid w:val="00352CF5"/>
    <w:rsid w:val="00352E63"/>
    <w:rsid w:val="003531CB"/>
    <w:rsid w:val="003539D5"/>
    <w:rsid w:val="00353E46"/>
    <w:rsid w:val="003545C9"/>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C0F"/>
    <w:rsid w:val="003630C7"/>
    <w:rsid w:val="00363421"/>
    <w:rsid w:val="003635B8"/>
    <w:rsid w:val="003658B1"/>
    <w:rsid w:val="00365BBD"/>
    <w:rsid w:val="00365C46"/>
    <w:rsid w:val="00365F8E"/>
    <w:rsid w:val="00366556"/>
    <w:rsid w:val="00366CEA"/>
    <w:rsid w:val="003673CA"/>
    <w:rsid w:val="00367DA6"/>
    <w:rsid w:val="00367DC8"/>
    <w:rsid w:val="00367FD2"/>
    <w:rsid w:val="003708C4"/>
    <w:rsid w:val="00370BFD"/>
    <w:rsid w:val="0037137A"/>
    <w:rsid w:val="00371885"/>
    <w:rsid w:val="00371BBF"/>
    <w:rsid w:val="003721B0"/>
    <w:rsid w:val="003721E5"/>
    <w:rsid w:val="003728F4"/>
    <w:rsid w:val="0037297A"/>
    <w:rsid w:val="003729D4"/>
    <w:rsid w:val="00372BBC"/>
    <w:rsid w:val="00372EDF"/>
    <w:rsid w:val="00372F0C"/>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EEB"/>
    <w:rsid w:val="003852DD"/>
    <w:rsid w:val="00385EA9"/>
    <w:rsid w:val="0038608B"/>
    <w:rsid w:val="00387003"/>
    <w:rsid w:val="0038736E"/>
    <w:rsid w:val="003904DB"/>
    <w:rsid w:val="00391755"/>
    <w:rsid w:val="0039197C"/>
    <w:rsid w:val="00391C66"/>
    <w:rsid w:val="00391F8F"/>
    <w:rsid w:val="0039230E"/>
    <w:rsid w:val="00392565"/>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1F37"/>
    <w:rsid w:val="003C2208"/>
    <w:rsid w:val="003C25F5"/>
    <w:rsid w:val="003C275F"/>
    <w:rsid w:val="003C2A04"/>
    <w:rsid w:val="003C2EED"/>
    <w:rsid w:val="003C3DED"/>
    <w:rsid w:val="003C440F"/>
    <w:rsid w:val="003C441B"/>
    <w:rsid w:val="003C4AD7"/>
    <w:rsid w:val="003C4D9D"/>
    <w:rsid w:val="003C5307"/>
    <w:rsid w:val="003C54D5"/>
    <w:rsid w:val="003C5690"/>
    <w:rsid w:val="003C63C5"/>
    <w:rsid w:val="003C6B0A"/>
    <w:rsid w:val="003C6D25"/>
    <w:rsid w:val="003C6DF2"/>
    <w:rsid w:val="003C7291"/>
    <w:rsid w:val="003C7569"/>
    <w:rsid w:val="003D09B2"/>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14A"/>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557"/>
    <w:rsid w:val="003F074B"/>
    <w:rsid w:val="003F1214"/>
    <w:rsid w:val="003F146C"/>
    <w:rsid w:val="003F161C"/>
    <w:rsid w:val="003F168D"/>
    <w:rsid w:val="003F17A9"/>
    <w:rsid w:val="003F1A3E"/>
    <w:rsid w:val="003F1EA2"/>
    <w:rsid w:val="003F2B42"/>
    <w:rsid w:val="003F31F0"/>
    <w:rsid w:val="003F3299"/>
    <w:rsid w:val="003F395F"/>
    <w:rsid w:val="003F3C0E"/>
    <w:rsid w:val="003F481E"/>
    <w:rsid w:val="003F4F77"/>
    <w:rsid w:val="003F5897"/>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4D"/>
    <w:rsid w:val="00401C45"/>
    <w:rsid w:val="00401ED0"/>
    <w:rsid w:val="004021EE"/>
    <w:rsid w:val="004025FF"/>
    <w:rsid w:val="0040275C"/>
    <w:rsid w:val="00402C1B"/>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1BC9"/>
    <w:rsid w:val="00422BB3"/>
    <w:rsid w:val="004237FC"/>
    <w:rsid w:val="00423FF5"/>
    <w:rsid w:val="004242D8"/>
    <w:rsid w:val="00424396"/>
    <w:rsid w:val="00424BEC"/>
    <w:rsid w:val="00424FB1"/>
    <w:rsid w:val="00425AC4"/>
    <w:rsid w:val="004260F2"/>
    <w:rsid w:val="004267FF"/>
    <w:rsid w:val="00426CDF"/>
    <w:rsid w:val="004274D3"/>
    <w:rsid w:val="00427E08"/>
    <w:rsid w:val="00430EC8"/>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81E"/>
    <w:rsid w:val="00435B2A"/>
    <w:rsid w:val="004361A4"/>
    <w:rsid w:val="00436363"/>
    <w:rsid w:val="00436365"/>
    <w:rsid w:val="004364CA"/>
    <w:rsid w:val="00436E48"/>
    <w:rsid w:val="004372BB"/>
    <w:rsid w:val="00437483"/>
    <w:rsid w:val="0043792E"/>
    <w:rsid w:val="00437B38"/>
    <w:rsid w:val="00437B8B"/>
    <w:rsid w:val="00440218"/>
    <w:rsid w:val="00440425"/>
    <w:rsid w:val="00440CFF"/>
    <w:rsid w:val="00440DC6"/>
    <w:rsid w:val="00441533"/>
    <w:rsid w:val="00441F09"/>
    <w:rsid w:val="00442C1A"/>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18A"/>
    <w:rsid w:val="00473601"/>
    <w:rsid w:val="0047397A"/>
    <w:rsid w:val="00473BCF"/>
    <w:rsid w:val="00473CD0"/>
    <w:rsid w:val="0047401E"/>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94E"/>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42"/>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AA0"/>
    <w:rsid w:val="004E0CBB"/>
    <w:rsid w:val="004E1347"/>
    <w:rsid w:val="004E1893"/>
    <w:rsid w:val="004E1B2F"/>
    <w:rsid w:val="004E1B6E"/>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5E2"/>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86C"/>
    <w:rsid w:val="00546C9F"/>
    <w:rsid w:val="00546D35"/>
    <w:rsid w:val="0054735C"/>
    <w:rsid w:val="00547456"/>
    <w:rsid w:val="00547A4A"/>
    <w:rsid w:val="00547EF5"/>
    <w:rsid w:val="00550BD2"/>
    <w:rsid w:val="00551298"/>
    <w:rsid w:val="00551B85"/>
    <w:rsid w:val="00552161"/>
    <w:rsid w:val="005525C6"/>
    <w:rsid w:val="005529EE"/>
    <w:rsid w:val="005529FF"/>
    <w:rsid w:val="00552B68"/>
    <w:rsid w:val="00553504"/>
    <w:rsid w:val="00553698"/>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4D02"/>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BA1"/>
    <w:rsid w:val="00570DBD"/>
    <w:rsid w:val="0057151F"/>
    <w:rsid w:val="005715B5"/>
    <w:rsid w:val="005715FD"/>
    <w:rsid w:val="00571840"/>
    <w:rsid w:val="0057185D"/>
    <w:rsid w:val="005718BC"/>
    <w:rsid w:val="00571977"/>
    <w:rsid w:val="0057268E"/>
    <w:rsid w:val="00572CB3"/>
    <w:rsid w:val="0057315D"/>
    <w:rsid w:val="00573EEF"/>
    <w:rsid w:val="00574313"/>
    <w:rsid w:val="00575ED6"/>
    <w:rsid w:val="00575FD5"/>
    <w:rsid w:val="00576744"/>
    <w:rsid w:val="00576DE2"/>
    <w:rsid w:val="00576E56"/>
    <w:rsid w:val="00577012"/>
    <w:rsid w:val="00577282"/>
    <w:rsid w:val="0057740E"/>
    <w:rsid w:val="00577749"/>
    <w:rsid w:val="00577B3B"/>
    <w:rsid w:val="00577E21"/>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950"/>
    <w:rsid w:val="005A1AD1"/>
    <w:rsid w:val="005A24D7"/>
    <w:rsid w:val="005A2E94"/>
    <w:rsid w:val="005A2EBC"/>
    <w:rsid w:val="005A35E3"/>
    <w:rsid w:val="005A3BDC"/>
    <w:rsid w:val="005A3C70"/>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B66"/>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6C18"/>
    <w:rsid w:val="005C7131"/>
    <w:rsid w:val="005C7EBD"/>
    <w:rsid w:val="005D00BE"/>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EA2"/>
    <w:rsid w:val="005F2FD6"/>
    <w:rsid w:val="005F34B9"/>
    <w:rsid w:val="005F34FB"/>
    <w:rsid w:val="005F3720"/>
    <w:rsid w:val="005F37A1"/>
    <w:rsid w:val="005F3805"/>
    <w:rsid w:val="005F3962"/>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89A"/>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8CF"/>
    <w:rsid w:val="006059D2"/>
    <w:rsid w:val="006067A9"/>
    <w:rsid w:val="00606BEB"/>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8BB"/>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624"/>
    <w:rsid w:val="00654A5C"/>
    <w:rsid w:val="00654E91"/>
    <w:rsid w:val="00654FB5"/>
    <w:rsid w:val="006554FE"/>
    <w:rsid w:val="00655808"/>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A0E"/>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484C"/>
    <w:rsid w:val="00695437"/>
    <w:rsid w:val="0069562C"/>
    <w:rsid w:val="00695938"/>
    <w:rsid w:val="00695B5A"/>
    <w:rsid w:val="00695D17"/>
    <w:rsid w:val="00695FC7"/>
    <w:rsid w:val="0069695A"/>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3C"/>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1"/>
    <w:rsid w:val="006B0B09"/>
    <w:rsid w:val="006B1396"/>
    <w:rsid w:val="006B139F"/>
    <w:rsid w:val="006B18FC"/>
    <w:rsid w:val="006B1B97"/>
    <w:rsid w:val="006B204A"/>
    <w:rsid w:val="006B2E6D"/>
    <w:rsid w:val="006B30C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C78ED"/>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9"/>
    <w:rsid w:val="006D68AE"/>
    <w:rsid w:val="006D6FB3"/>
    <w:rsid w:val="006D7D68"/>
    <w:rsid w:val="006E06F9"/>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B75"/>
    <w:rsid w:val="00724E18"/>
    <w:rsid w:val="0072565D"/>
    <w:rsid w:val="00726781"/>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6C5F"/>
    <w:rsid w:val="0075702E"/>
    <w:rsid w:val="007573CC"/>
    <w:rsid w:val="00757B98"/>
    <w:rsid w:val="00757E06"/>
    <w:rsid w:val="00757EB6"/>
    <w:rsid w:val="00757FFB"/>
    <w:rsid w:val="00760230"/>
    <w:rsid w:val="0076035D"/>
    <w:rsid w:val="007609FD"/>
    <w:rsid w:val="00760D20"/>
    <w:rsid w:val="00760D99"/>
    <w:rsid w:val="00761033"/>
    <w:rsid w:val="00761259"/>
    <w:rsid w:val="00761518"/>
    <w:rsid w:val="007615A3"/>
    <w:rsid w:val="007628D2"/>
    <w:rsid w:val="00762936"/>
    <w:rsid w:val="00762B84"/>
    <w:rsid w:val="0076302E"/>
    <w:rsid w:val="00763150"/>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385F"/>
    <w:rsid w:val="00784417"/>
    <w:rsid w:val="007848B8"/>
    <w:rsid w:val="00784956"/>
    <w:rsid w:val="0078510C"/>
    <w:rsid w:val="00785310"/>
    <w:rsid w:val="00785748"/>
    <w:rsid w:val="00785E8E"/>
    <w:rsid w:val="007860DC"/>
    <w:rsid w:val="0078621B"/>
    <w:rsid w:val="0078680D"/>
    <w:rsid w:val="007872AD"/>
    <w:rsid w:val="00787AAD"/>
    <w:rsid w:val="00790010"/>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153"/>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C0C38"/>
    <w:rsid w:val="007C0E3D"/>
    <w:rsid w:val="007C185F"/>
    <w:rsid w:val="007C1EE5"/>
    <w:rsid w:val="007C21B7"/>
    <w:rsid w:val="007C2613"/>
    <w:rsid w:val="007C2CEA"/>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7DA"/>
    <w:rsid w:val="007E59F7"/>
    <w:rsid w:val="007E6905"/>
    <w:rsid w:val="007E6CAA"/>
    <w:rsid w:val="007E6E24"/>
    <w:rsid w:val="007E70D6"/>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CF"/>
    <w:rsid w:val="007F6D26"/>
    <w:rsid w:val="007F780C"/>
    <w:rsid w:val="007F7F46"/>
    <w:rsid w:val="00800139"/>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40"/>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1EC"/>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08F"/>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6BB"/>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2383"/>
    <w:rsid w:val="00852ECE"/>
    <w:rsid w:val="00853AFB"/>
    <w:rsid w:val="00853B2D"/>
    <w:rsid w:val="00853D0C"/>
    <w:rsid w:val="00854107"/>
    <w:rsid w:val="00854190"/>
    <w:rsid w:val="00854194"/>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460"/>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A04"/>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02E9"/>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1E3"/>
    <w:rsid w:val="008D62D9"/>
    <w:rsid w:val="008D6F83"/>
    <w:rsid w:val="008D7AA7"/>
    <w:rsid w:val="008D7EA6"/>
    <w:rsid w:val="008E00FE"/>
    <w:rsid w:val="008E0319"/>
    <w:rsid w:val="008E0862"/>
    <w:rsid w:val="008E0BDA"/>
    <w:rsid w:val="008E11B4"/>
    <w:rsid w:val="008E134C"/>
    <w:rsid w:val="008E17AF"/>
    <w:rsid w:val="008E1BD8"/>
    <w:rsid w:val="008E1D1C"/>
    <w:rsid w:val="008E2314"/>
    <w:rsid w:val="008E273D"/>
    <w:rsid w:val="008E2779"/>
    <w:rsid w:val="008E2920"/>
    <w:rsid w:val="008E3E9D"/>
    <w:rsid w:val="008E3FF4"/>
    <w:rsid w:val="008E45CA"/>
    <w:rsid w:val="008E467A"/>
    <w:rsid w:val="008E4F23"/>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605D"/>
    <w:rsid w:val="00906AF9"/>
    <w:rsid w:val="00907102"/>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C3D"/>
    <w:rsid w:val="00927011"/>
    <w:rsid w:val="009271C8"/>
    <w:rsid w:val="0092766F"/>
    <w:rsid w:val="00927A83"/>
    <w:rsid w:val="00927B47"/>
    <w:rsid w:val="0093009C"/>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458"/>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28B"/>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6EE1"/>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FE"/>
    <w:rsid w:val="009A0C34"/>
    <w:rsid w:val="009A0FBF"/>
    <w:rsid w:val="009A1430"/>
    <w:rsid w:val="009A1F42"/>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CEE"/>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4E61"/>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275F"/>
    <w:rsid w:val="009E304F"/>
    <w:rsid w:val="009E3553"/>
    <w:rsid w:val="009E4AD6"/>
    <w:rsid w:val="009E510B"/>
    <w:rsid w:val="009E543F"/>
    <w:rsid w:val="009E5700"/>
    <w:rsid w:val="009E5BDB"/>
    <w:rsid w:val="009E5F82"/>
    <w:rsid w:val="009E6CCC"/>
    <w:rsid w:val="009E7209"/>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146"/>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0AA"/>
    <w:rsid w:val="00A06F24"/>
    <w:rsid w:val="00A071AD"/>
    <w:rsid w:val="00A07267"/>
    <w:rsid w:val="00A0728A"/>
    <w:rsid w:val="00A07AE8"/>
    <w:rsid w:val="00A07B90"/>
    <w:rsid w:val="00A1035E"/>
    <w:rsid w:val="00A1102D"/>
    <w:rsid w:val="00A112DB"/>
    <w:rsid w:val="00A11343"/>
    <w:rsid w:val="00A11791"/>
    <w:rsid w:val="00A11829"/>
    <w:rsid w:val="00A11EDE"/>
    <w:rsid w:val="00A1281A"/>
    <w:rsid w:val="00A1370A"/>
    <w:rsid w:val="00A13DB2"/>
    <w:rsid w:val="00A13F70"/>
    <w:rsid w:val="00A141F8"/>
    <w:rsid w:val="00A142F3"/>
    <w:rsid w:val="00A14C03"/>
    <w:rsid w:val="00A14CC1"/>
    <w:rsid w:val="00A14E0C"/>
    <w:rsid w:val="00A1537F"/>
    <w:rsid w:val="00A15BA0"/>
    <w:rsid w:val="00A15C20"/>
    <w:rsid w:val="00A16FDF"/>
    <w:rsid w:val="00A16FFF"/>
    <w:rsid w:val="00A17B4E"/>
    <w:rsid w:val="00A17C8D"/>
    <w:rsid w:val="00A200E2"/>
    <w:rsid w:val="00A20208"/>
    <w:rsid w:val="00A20619"/>
    <w:rsid w:val="00A20EA7"/>
    <w:rsid w:val="00A2149B"/>
    <w:rsid w:val="00A214CC"/>
    <w:rsid w:val="00A21722"/>
    <w:rsid w:val="00A21807"/>
    <w:rsid w:val="00A22001"/>
    <w:rsid w:val="00A22358"/>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885"/>
    <w:rsid w:val="00A25AE4"/>
    <w:rsid w:val="00A25E9A"/>
    <w:rsid w:val="00A2757F"/>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A02"/>
    <w:rsid w:val="00A33B1A"/>
    <w:rsid w:val="00A3458A"/>
    <w:rsid w:val="00A3475C"/>
    <w:rsid w:val="00A354E0"/>
    <w:rsid w:val="00A35C0C"/>
    <w:rsid w:val="00A3647F"/>
    <w:rsid w:val="00A36CB8"/>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BE0"/>
    <w:rsid w:val="00A53203"/>
    <w:rsid w:val="00A53220"/>
    <w:rsid w:val="00A53735"/>
    <w:rsid w:val="00A53C6A"/>
    <w:rsid w:val="00A549B9"/>
    <w:rsid w:val="00A54A0D"/>
    <w:rsid w:val="00A54C21"/>
    <w:rsid w:val="00A54F07"/>
    <w:rsid w:val="00A550E4"/>
    <w:rsid w:val="00A5540A"/>
    <w:rsid w:val="00A5566F"/>
    <w:rsid w:val="00A557BE"/>
    <w:rsid w:val="00A56A98"/>
    <w:rsid w:val="00A56DA3"/>
    <w:rsid w:val="00A57003"/>
    <w:rsid w:val="00A5730D"/>
    <w:rsid w:val="00A5785F"/>
    <w:rsid w:val="00A57C93"/>
    <w:rsid w:val="00A60100"/>
    <w:rsid w:val="00A601AF"/>
    <w:rsid w:val="00A6087B"/>
    <w:rsid w:val="00A6090E"/>
    <w:rsid w:val="00A61947"/>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8A"/>
    <w:rsid w:val="00A8061F"/>
    <w:rsid w:val="00A8068F"/>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4DB"/>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327"/>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82"/>
    <w:rsid w:val="00AE438F"/>
    <w:rsid w:val="00AE4415"/>
    <w:rsid w:val="00AE4C03"/>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2AF8"/>
    <w:rsid w:val="00AF30A5"/>
    <w:rsid w:val="00AF33EB"/>
    <w:rsid w:val="00AF3429"/>
    <w:rsid w:val="00AF37AC"/>
    <w:rsid w:val="00AF3A14"/>
    <w:rsid w:val="00AF3C15"/>
    <w:rsid w:val="00AF3CD0"/>
    <w:rsid w:val="00AF403A"/>
    <w:rsid w:val="00AF483F"/>
    <w:rsid w:val="00AF610E"/>
    <w:rsid w:val="00AF623B"/>
    <w:rsid w:val="00AF6340"/>
    <w:rsid w:val="00AF6821"/>
    <w:rsid w:val="00AF6B60"/>
    <w:rsid w:val="00AF6F25"/>
    <w:rsid w:val="00AF7950"/>
    <w:rsid w:val="00AF7977"/>
    <w:rsid w:val="00B0077D"/>
    <w:rsid w:val="00B0099E"/>
    <w:rsid w:val="00B00A08"/>
    <w:rsid w:val="00B01951"/>
    <w:rsid w:val="00B019AF"/>
    <w:rsid w:val="00B01EC0"/>
    <w:rsid w:val="00B0298F"/>
    <w:rsid w:val="00B0312C"/>
    <w:rsid w:val="00B03156"/>
    <w:rsid w:val="00B03224"/>
    <w:rsid w:val="00B03A2C"/>
    <w:rsid w:val="00B041FC"/>
    <w:rsid w:val="00B0481D"/>
    <w:rsid w:val="00B0509A"/>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17EC7"/>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4DA6"/>
    <w:rsid w:val="00B254DE"/>
    <w:rsid w:val="00B25AF0"/>
    <w:rsid w:val="00B260BB"/>
    <w:rsid w:val="00B27341"/>
    <w:rsid w:val="00B27B34"/>
    <w:rsid w:val="00B27D60"/>
    <w:rsid w:val="00B3004D"/>
    <w:rsid w:val="00B30549"/>
    <w:rsid w:val="00B306FC"/>
    <w:rsid w:val="00B30B9E"/>
    <w:rsid w:val="00B30CE5"/>
    <w:rsid w:val="00B30D54"/>
    <w:rsid w:val="00B30D6E"/>
    <w:rsid w:val="00B30DBF"/>
    <w:rsid w:val="00B30F41"/>
    <w:rsid w:val="00B3126C"/>
    <w:rsid w:val="00B314F2"/>
    <w:rsid w:val="00B3155E"/>
    <w:rsid w:val="00B31731"/>
    <w:rsid w:val="00B31A7E"/>
    <w:rsid w:val="00B3209B"/>
    <w:rsid w:val="00B3254A"/>
    <w:rsid w:val="00B3294D"/>
    <w:rsid w:val="00B32EEF"/>
    <w:rsid w:val="00B33340"/>
    <w:rsid w:val="00B3337B"/>
    <w:rsid w:val="00B33CE5"/>
    <w:rsid w:val="00B33EB2"/>
    <w:rsid w:val="00B34053"/>
    <w:rsid w:val="00B343F3"/>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1CD"/>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1FE"/>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3DC9"/>
    <w:rsid w:val="00B743C3"/>
    <w:rsid w:val="00B7523B"/>
    <w:rsid w:val="00B75AB6"/>
    <w:rsid w:val="00B76445"/>
    <w:rsid w:val="00B76564"/>
    <w:rsid w:val="00B76B7D"/>
    <w:rsid w:val="00B7743A"/>
    <w:rsid w:val="00B7760C"/>
    <w:rsid w:val="00B77713"/>
    <w:rsid w:val="00B778AC"/>
    <w:rsid w:val="00B77C7F"/>
    <w:rsid w:val="00B77D78"/>
    <w:rsid w:val="00B77F28"/>
    <w:rsid w:val="00B80422"/>
    <w:rsid w:val="00B80489"/>
    <w:rsid w:val="00B8059E"/>
    <w:rsid w:val="00B81132"/>
    <w:rsid w:val="00B817FF"/>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383"/>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5024"/>
    <w:rsid w:val="00BE55D2"/>
    <w:rsid w:val="00BE5D77"/>
    <w:rsid w:val="00BE5D94"/>
    <w:rsid w:val="00BE6049"/>
    <w:rsid w:val="00BE69B0"/>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86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518"/>
    <w:rsid w:val="00C265C3"/>
    <w:rsid w:val="00C26EBA"/>
    <w:rsid w:val="00C270DD"/>
    <w:rsid w:val="00C27DF1"/>
    <w:rsid w:val="00C3105E"/>
    <w:rsid w:val="00C318C9"/>
    <w:rsid w:val="00C32E44"/>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1B2"/>
    <w:rsid w:val="00C3644A"/>
    <w:rsid w:val="00C364C5"/>
    <w:rsid w:val="00C36CD0"/>
    <w:rsid w:val="00C36CFD"/>
    <w:rsid w:val="00C37204"/>
    <w:rsid w:val="00C373C0"/>
    <w:rsid w:val="00C374E2"/>
    <w:rsid w:val="00C4086E"/>
    <w:rsid w:val="00C40D38"/>
    <w:rsid w:val="00C40EB9"/>
    <w:rsid w:val="00C4168A"/>
    <w:rsid w:val="00C41E56"/>
    <w:rsid w:val="00C41EBF"/>
    <w:rsid w:val="00C422CF"/>
    <w:rsid w:val="00C4281A"/>
    <w:rsid w:val="00C42D5B"/>
    <w:rsid w:val="00C4320E"/>
    <w:rsid w:val="00C433AF"/>
    <w:rsid w:val="00C4343B"/>
    <w:rsid w:val="00C436F5"/>
    <w:rsid w:val="00C43B36"/>
    <w:rsid w:val="00C44160"/>
    <w:rsid w:val="00C441E7"/>
    <w:rsid w:val="00C4422D"/>
    <w:rsid w:val="00C442B3"/>
    <w:rsid w:val="00C442D6"/>
    <w:rsid w:val="00C444B4"/>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32D"/>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CA9"/>
    <w:rsid w:val="00C84EB8"/>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34E"/>
    <w:rsid w:val="00C9562A"/>
    <w:rsid w:val="00C95ADE"/>
    <w:rsid w:val="00C95C45"/>
    <w:rsid w:val="00C966EE"/>
    <w:rsid w:val="00C96783"/>
    <w:rsid w:val="00C96FF2"/>
    <w:rsid w:val="00C97565"/>
    <w:rsid w:val="00C97C9B"/>
    <w:rsid w:val="00CA008E"/>
    <w:rsid w:val="00CA01A5"/>
    <w:rsid w:val="00CA0A27"/>
    <w:rsid w:val="00CA0CD1"/>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3E0"/>
    <w:rsid w:val="00CA7655"/>
    <w:rsid w:val="00CA7984"/>
    <w:rsid w:val="00CA7A83"/>
    <w:rsid w:val="00CB0299"/>
    <w:rsid w:val="00CB0DC7"/>
    <w:rsid w:val="00CB1453"/>
    <w:rsid w:val="00CB14F4"/>
    <w:rsid w:val="00CB1696"/>
    <w:rsid w:val="00CB16E9"/>
    <w:rsid w:val="00CB16F6"/>
    <w:rsid w:val="00CB19D5"/>
    <w:rsid w:val="00CB19F0"/>
    <w:rsid w:val="00CB1AB3"/>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278"/>
    <w:rsid w:val="00CC2861"/>
    <w:rsid w:val="00CC2BDC"/>
    <w:rsid w:val="00CC2F5D"/>
    <w:rsid w:val="00CC31F9"/>
    <w:rsid w:val="00CC3B25"/>
    <w:rsid w:val="00CC4226"/>
    <w:rsid w:val="00CC4255"/>
    <w:rsid w:val="00CC4FC0"/>
    <w:rsid w:val="00CC505E"/>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2E0"/>
    <w:rsid w:val="00CF0418"/>
    <w:rsid w:val="00CF0573"/>
    <w:rsid w:val="00CF165C"/>
    <w:rsid w:val="00CF1761"/>
    <w:rsid w:val="00CF1861"/>
    <w:rsid w:val="00CF26A5"/>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1148"/>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BE2"/>
    <w:rsid w:val="00D47C39"/>
    <w:rsid w:val="00D504A0"/>
    <w:rsid w:val="00D50A89"/>
    <w:rsid w:val="00D50C96"/>
    <w:rsid w:val="00D50F36"/>
    <w:rsid w:val="00D51923"/>
    <w:rsid w:val="00D51DFD"/>
    <w:rsid w:val="00D51E62"/>
    <w:rsid w:val="00D522B1"/>
    <w:rsid w:val="00D52DAF"/>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0AE"/>
    <w:rsid w:val="00D57447"/>
    <w:rsid w:val="00D60169"/>
    <w:rsid w:val="00D609B2"/>
    <w:rsid w:val="00D60F4F"/>
    <w:rsid w:val="00D60F71"/>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4AF"/>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14AF"/>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8C"/>
    <w:rsid w:val="00DA046C"/>
    <w:rsid w:val="00DA0CB6"/>
    <w:rsid w:val="00DA1257"/>
    <w:rsid w:val="00DA16F7"/>
    <w:rsid w:val="00DA1D08"/>
    <w:rsid w:val="00DA1DC8"/>
    <w:rsid w:val="00DA248B"/>
    <w:rsid w:val="00DA2754"/>
    <w:rsid w:val="00DA2BBD"/>
    <w:rsid w:val="00DA30F3"/>
    <w:rsid w:val="00DA3423"/>
    <w:rsid w:val="00DA3692"/>
    <w:rsid w:val="00DA3BB5"/>
    <w:rsid w:val="00DA3FC6"/>
    <w:rsid w:val="00DA4E24"/>
    <w:rsid w:val="00DA50AE"/>
    <w:rsid w:val="00DA55E3"/>
    <w:rsid w:val="00DA645F"/>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22E"/>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A6D"/>
    <w:rsid w:val="00DE6EDA"/>
    <w:rsid w:val="00DE76CC"/>
    <w:rsid w:val="00DE777D"/>
    <w:rsid w:val="00DE7BE2"/>
    <w:rsid w:val="00DE7F13"/>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EC4"/>
    <w:rsid w:val="00E01429"/>
    <w:rsid w:val="00E018D0"/>
    <w:rsid w:val="00E01DF6"/>
    <w:rsid w:val="00E01F1E"/>
    <w:rsid w:val="00E02BEA"/>
    <w:rsid w:val="00E02F63"/>
    <w:rsid w:val="00E03C26"/>
    <w:rsid w:val="00E03D8C"/>
    <w:rsid w:val="00E04783"/>
    <w:rsid w:val="00E04BBE"/>
    <w:rsid w:val="00E04CE7"/>
    <w:rsid w:val="00E052BE"/>
    <w:rsid w:val="00E0575F"/>
    <w:rsid w:val="00E05D98"/>
    <w:rsid w:val="00E0626C"/>
    <w:rsid w:val="00E06492"/>
    <w:rsid w:val="00E06764"/>
    <w:rsid w:val="00E06FF0"/>
    <w:rsid w:val="00E106B0"/>
    <w:rsid w:val="00E10C3C"/>
    <w:rsid w:val="00E10C88"/>
    <w:rsid w:val="00E11883"/>
    <w:rsid w:val="00E11FFF"/>
    <w:rsid w:val="00E12079"/>
    <w:rsid w:val="00E12904"/>
    <w:rsid w:val="00E12EE7"/>
    <w:rsid w:val="00E13285"/>
    <w:rsid w:val="00E1376B"/>
    <w:rsid w:val="00E138F3"/>
    <w:rsid w:val="00E13950"/>
    <w:rsid w:val="00E13978"/>
    <w:rsid w:val="00E13BCF"/>
    <w:rsid w:val="00E14CF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4A"/>
    <w:rsid w:val="00E23F3A"/>
    <w:rsid w:val="00E24967"/>
    <w:rsid w:val="00E24E0E"/>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22"/>
    <w:rsid w:val="00E34C22"/>
    <w:rsid w:val="00E34ED4"/>
    <w:rsid w:val="00E3541C"/>
    <w:rsid w:val="00E359DD"/>
    <w:rsid w:val="00E35ED3"/>
    <w:rsid w:val="00E36B06"/>
    <w:rsid w:val="00E375B4"/>
    <w:rsid w:val="00E37645"/>
    <w:rsid w:val="00E37C02"/>
    <w:rsid w:val="00E4066C"/>
    <w:rsid w:val="00E40782"/>
    <w:rsid w:val="00E40ADC"/>
    <w:rsid w:val="00E41517"/>
    <w:rsid w:val="00E4164F"/>
    <w:rsid w:val="00E41FA5"/>
    <w:rsid w:val="00E42048"/>
    <w:rsid w:val="00E42AEB"/>
    <w:rsid w:val="00E42C34"/>
    <w:rsid w:val="00E42EA0"/>
    <w:rsid w:val="00E43A3A"/>
    <w:rsid w:val="00E44586"/>
    <w:rsid w:val="00E44748"/>
    <w:rsid w:val="00E44A20"/>
    <w:rsid w:val="00E4511E"/>
    <w:rsid w:val="00E45663"/>
    <w:rsid w:val="00E45EF1"/>
    <w:rsid w:val="00E46001"/>
    <w:rsid w:val="00E46126"/>
    <w:rsid w:val="00E46A36"/>
    <w:rsid w:val="00E46B36"/>
    <w:rsid w:val="00E46EE7"/>
    <w:rsid w:val="00E47E77"/>
    <w:rsid w:val="00E501E7"/>
    <w:rsid w:val="00E5020D"/>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3C16"/>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491"/>
    <w:rsid w:val="00E8791E"/>
    <w:rsid w:val="00E87F32"/>
    <w:rsid w:val="00E907A3"/>
    <w:rsid w:val="00E9082B"/>
    <w:rsid w:val="00E90D87"/>
    <w:rsid w:val="00E925D9"/>
    <w:rsid w:val="00E92F60"/>
    <w:rsid w:val="00E93233"/>
    <w:rsid w:val="00E935BA"/>
    <w:rsid w:val="00E93A7C"/>
    <w:rsid w:val="00E93DED"/>
    <w:rsid w:val="00E93E57"/>
    <w:rsid w:val="00E946A9"/>
    <w:rsid w:val="00E94CAC"/>
    <w:rsid w:val="00E9501E"/>
    <w:rsid w:val="00E951C2"/>
    <w:rsid w:val="00E958F0"/>
    <w:rsid w:val="00E95B80"/>
    <w:rsid w:val="00E96448"/>
    <w:rsid w:val="00E96596"/>
    <w:rsid w:val="00E969BD"/>
    <w:rsid w:val="00E96A72"/>
    <w:rsid w:val="00E96AD3"/>
    <w:rsid w:val="00E97266"/>
    <w:rsid w:val="00E978D6"/>
    <w:rsid w:val="00E978F0"/>
    <w:rsid w:val="00E97AC4"/>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6E1"/>
    <w:rsid w:val="00EC4881"/>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E7787"/>
    <w:rsid w:val="00EF0226"/>
    <w:rsid w:val="00EF03B4"/>
    <w:rsid w:val="00EF07FA"/>
    <w:rsid w:val="00EF089D"/>
    <w:rsid w:val="00EF0CB6"/>
    <w:rsid w:val="00EF0F1A"/>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4D08"/>
    <w:rsid w:val="00EF502B"/>
    <w:rsid w:val="00EF5291"/>
    <w:rsid w:val="00EF539B"/>
    <w:rsid w:val="00EF5CE8"/>
    <w:rsid w:val="00EF5E3C"/>
    <w:rsid w:val="00EF6263"/>
    <w:rsid w:val="00EF6395"/>
    <w:rsid w:val="00EF6595"/>
    <w:rsid w:val="00EF6825"/>
    <w:rsid w:val="00EF6929"/>
    <w:rsid w:val="00EF6EBE"/>
    <w:rsid w:val="00EF6F15"/>
    <w:rsid w:val="00EF7358"/>
    <w:rsid w:val="00F00345"/>
    <w:rsid w:val="00F00CF7"/>
    <w:rsid w:val="00F01853"/>
    <w:rsid w:val="00F02D2D"/>
    <w:rsid w:val="00F0314E"/>
    <w:rsid w:val="00F032F6"/>
    <w:rsid w:val="00F03410"/>
    <w:rsid w:val="00F047D7"/>
    <w:rsid w:val="00F049B9"/>
    <w:rsid w:val="00F052D6"/>
    <w:rsid w:val="00F0533E"/>
    <w:rsid w:val="00F05A78"/>
    <w:rsid w:val="00F05C1E"/>
    <w:rsid w:val="00F05D91"/>
    <w:rsid w:val="00F063A3"/>
    <w:rsid w:val="00F06E09"/>
    <w:rsid w:val="00F06E47"/>
    <w:rsid w:val="00F073BE"/>
    <w:rsid w:val="00F07541"/>
    <w:rsid w:val="00F075AC"/>
    <w:rsid w:val="00F07EEB"/>
    <w:rsid w:val="00F07EFF"/>
    <w:rsid w:val="00F101D6"/>
    <w:rsid w:val="00F102E1"/>
    <w:rsid w:val="00F103D4"/>
    <w:rsid w:val="00F10C2B"/>
    <w:rsid w:val="00F10CCB"/>
    <w:rsid w:val="00F1116C"/>
    <w:rsid w:val="00F114DE"/>
    <w:rsid w:val="00F11A6F"/>
    <w:rsid w:val="00F120EF"/>
    <w:rsid w:val="00F12153"/>
    <w:rsid w:val="00F121F5"/>
    <w:rsid w:val="00F128BE"/>
    <w:rsid w:val="00F12C6F"/>
    <w:rsid w:val="00F12E02"/>
    <w:rsid w:val="00F12EF9"/>
    <w:rsid w:val="00F1378A"/>
    <w:rsid w:val="00F1383A"/>
    <w:rsid w:val="00F14009"/>
    <w:rsid w:val="00F14175"/>
    <w:rsid w:val="00F14439"/>
    <w:rsid w:val="00F14456"/>
    <w:rsid w:val="00F1459D"/>
    <w:rsid w:val="00F14EC9"/>
    <w:rsid w:val="00F156C1"/>
    <w:rsid w:val="00F165B4"/>
    <w:rsid w:val="00F16967"/>
    <w:rsid w:val="00F17124"/>
    <w:rsid w:val="00F2090F"/>
    <w:rsid w:val="00F20D5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C37"/>
    <w:rsid w:val="00F31045"/>
    <w:rsid w:val="00F31073"/>
    <w:rsid w:val="00F31E5C"/>
    <w:rsid w:val="00F31F26"/>
    <w:rsid w:val="00F3229A"/>
    <w:rsid w:val="00F32A15"/>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C58"/>
    <w:rsid w:val="00F67E0C"/>
    <w:rsid w:val="00F703B4"/>
    <w:rsid w:val="00F70769"/>
    <w:rsid w:val="00F713FB"/>
    <w:rsid w:val="00F72061"/>
    <w:rsid w:val="00F72AFF"/>
    <w:rsid w:val="00F72D07"/>
    <w:rsid w:val="00F72EB6"/>
    <w:rsid w:val="00F73295"/>
    <w:rsid w:val="00F737BE"/>
    <w:rsid w:val="00F73C19"/>
    <w:rsid w:val="00F744C0"/>
    <w:rsid w:val="00F7463A"/>
    <w:rsid w:val="00F74ED5"/>
    <w:rsid w:val="00F7514E"/>
    <w:rsid w:val="00F75329"/>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53D"/>
    <w:rsid w:val="00FC46C9"/>
    <w:rsid w:val="00FC4D35"/>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BF3"/>
    <w:rsid w:val="00FE5D3C"/>
    <w:rsid w:val="00FE5D61"/>
    <w:rsid w:val="00FE5F1D"/>
    <w:rsid w:val="00FE5FC8"/>
    <w:rsid w:val="00FE725C"/>
    <w:rsid w:val="00FE76AB"/>
    <w:rsid w:val="00FE7821"/>
    <w:rsid w:val="00FE7C86"/>
    <w:rsid w:val="00FF0A80"/>
    <w:rsid w:val="00FF0B12"/>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uiPriority w:val="20"/>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uiPriority w:val="20"/>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3948145">
      <w:bodyDiv w:val="1"/>
      <w:marLeft w:val="0"/>
      <w:marRight w:val="0"/>
      <w:marTop w:val="0"/>
      <w:marBottom w:val="0"/>
      <w:divBdr>
        <w:top w:val="none" w:sz="0" w:space="0" w:color="auto"/>
        <w:left w:val="none" w:sz="0" w:space="0" w:color="auto"/>
        <w:bottom w:val="none" w:sz="0" w:space="0" w:color="auto"/>
        <w:right w:val="none" w:sz="0" w:space="0" w:color="auto"/>
      </w:divBdr>
    </w:div>
    <w:div w:id="208425047">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479005821">
      <w:bodyDiv w:val="1"/>
      <w:marLeft w:val="0"/>
      <w:marRight w:val="0"/>
      <w:marTop w:val="0"/>
      <w:marBottom w:val="0"/>
      <w:divBdr>
        <w:top w:val="none" w:sz="0" w:space="0" w:color="auto"/>
        <w:left w:val="none" w:sz="0" w:space="0" w:color="auto"/>
        <w:bottom w:val="none" w:sz="0" w:space="0" w:color="auto"/>
        <w:right w:val="none" w:sz="0" w:space="0" w:color="auto"/>
      </w:divBdr>
    </w:div>
    <w:div w:id="565192339">
      <w:bodyDiv w:val="1"/>
      <w:marLeft w:val="0"/>
      <w:marRight w:val="0"/>
      <w:marTop w:val="0"/>
      <w:marBottom w:val="0"/>
      <w:divBdr>
        <w:top w:val="none" w:sz="0" w:space="0" w:color="auto"/>
        <w:left w:val="none" w:sz="0" w:space="0" w:color="auto"/>
        <w:bottom w:val="none" w:sz="0" w:space="0" w:color="auto"/>
        <w:right w:val="none" w:sz="0" w:space="0" w:color="auto"/>
      </w:divBdr>
    </w:div>
    <w:div w:id="591359552">
      <w:bodyDiv w:val="1"/>
      <w:marLeft w:val="0"/>
      <w:marRight w:val="0"/>
      <w:marTop w:val="0"/>
      <w:marBottom w:val="0"/>
      <w:divBdr>
        <w:top w:val="none" w:sz="0" w:space="0" w:color="auto"/>
        <w:left w:val="none" w:sz="0" w:space="0" w:color="auto"/>
        <w:bottom w:val="none" w:sz="0" w:space="0" w:color="auto"/>
        <w:right w:val="none" w:sz="0" w:space="0" w:color="auto"/>
      </w:divBdr>
    </w:div>
    <w:div w:id="592007635">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29630957">
      <w:bodyDiv w:val="1"/>
      <w:marLeft w:val="0"/>
      <w:marRight w:val="0"/>
      <w:marTop w:val="0"/>
      <w:marBottom w:val="0"/>
      <w:divBdr>
        <w:top w:val="none" w:sz="0" w:space="0" w:color="auto"/>
        <w:left w:val="none" w:sz="0" w:space="0" w:color="auto"/>
        <w:bottom w:val="none" w:sz="0" w:space="0" w:color="auto"/>
        <w:right w:val="none" w:sz="0" w:space="0" w:color="auto"/>
      </w:divBdr>
    </w:div>
    <w:div w:id="802845788">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72760292">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09941786">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5281813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446382348">
      <w:bodyDiv w:val="1"/>
      <w:marLeft w:val="0"/>
      <w:marRight w:val="0"/>
      <w:marTop w:val="0"/>
      <w:marBottom w:val="0"/>
      <w:divBdr>
        <w:top w:val="none" w:sz="0" w:space="0" w:color="auto"/>
        <w:left w:val="none" w:sz="0" w:space="0" w:color="auto"/>
        <w:bottom w:val="none" w:sz="0" w:space="0" w:color="auto"/>
        <w:right w:val="none" w:sz="0" w:space="0" w:color="auto"/>
      </w:divBdr>
    </w:div>
    <w:div w:id="1513030798">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38663169">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7449491">
      <w:bodyDiv w:val="1"/>
      <w:marLeft w:val="0"/>
      <w:marRight w:val="0"/>
      <w:marTop w:val="0"/>
      <w:marBottom w:val="0"/>
      <w:divBdr>
        <w:top w:val="none" w:sz="0" w:space="0" w:color="auto"/>
        <w:left w:val="none" w:sz="0" w:space="0" w:color="auto"/>
        <w:bottom w:val="none" w:sz="0" w:space="0" w:color="auto"/>
        <w:right w:val="none" w:sz="0" w:space="0" w:color="auto"/>
      </w:divBdr>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58750240">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7757174">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4.xml"/><Relationship Id="rId18" Type="http://schemas.openxmlformats.org/officeDocument/2006/relationships/chart" Target="charts/chart8.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footnotes" Target="footnotes.xml"/><Relationship Id="rId12" Type="http://schemas.openxmlformats.org/officeDocument/2006/relationships/chart" Target="charts/chart3.xml"/><Relationship Id="rId17" Type="http://schemas.openxmlformats.org/officeDocument/2006/relationships/chart" Target="charts/chart7.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theme" Target="theme/theme1.xml"/><Relationship Id="rId10" Type="http://schemas.openxmlformats.org/officeDocument/2006/relationships/chart" Target="charts/chart1.xml"/><Relationship Id="rId19" Type="http://schemas.openxmlformats.org/officeDocument/2006/relationships/chart" Target="charts/chart9.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2.png"/><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charts/_rels/chart1.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43903</c:v>
                </c:pt>
                <c:pt idx="1">
                  <c:v>43910</c:v>
                </c:pt>
                <c:pt idx="2">
                  <c:v>43917</c:v>
                </c:pt>
                <c:pt idx="3">
                  <c:v>43924</c:v>
                </c:pt>
                <c:pt idx="4">
                  <c:v>43931</c:v>
                </c:pt>
                <c:pt idx="5">
                  <c:v>43938</c:v>
                </c:pt>
                <c:pt idx="6">
                  <c:v>43945</c:v>
                </c:pt>
                <c:pt idx="7">
                  <c:v>43952</c:v>
                </c:pt>
                <c:pt idx="8">
                  <c:v>43959</c:v>
                </c:pt>
                <c:pt idx="9">
                  <c:v>43966</c:v>
                </c:pt>
                <c:pt idx="10">
                  <c:v>43973</c:v>
                </c:pt>
                <c:pt idx="11">
                  <c:v>43980</c:v>
                </c:pt>
                <c:pt idx="12">
                  <c:v>43987</c:v>
                </c:pt>
                <c:pt idx="13">
                  <c:v>43994</c:v>
                </c:pt>
                <c:pt idx="14">
                  <c:v>44001</c:v>
                </c:pt>
                <c:pt idx="15">
                  <c:v>44008</c:v>
                </c:pt>
                <c:pt idx="16">
                  <c:v>44015</c:v>
                </c:pt>
                <c:pt idx="17">
                  <c:v>44022</c:v>
                </c:pt>
                <c:pt idx="18">
                  <c:v>44029</c:v>
                </c:pt>
                <c:pt idx="19">
                  <c:v>44036</c:v>
                </c:pt>
                <c:pt idx="20">
                  <c:v>44043</c:v>
                </c:pt>
                <c:pt idx="21">
                  <c:v>44050</c:v>
                </c:pt>
                <c:pt idx="22">
                  <c:v>44057</c:v>
                </c:pt>
              </c:numCache>
            </c:numRef>
          </c:cat>
          <c:val>
            <c:numRef>
              <c:f>央行!$B$5:$B$27</c:f>
              <c:numCache>
                <c:formatCode>###,###,###,###,##0.00</c:formatCode>
                <c:ptCount val="23"/>
                <c:pt idx="0">
                  <c:v>0</c:v>
                </c:pt>
                <c:pt idx="1">
                  <c:v>0</c:v>
                </c:pt>
                <c:pt idx="2">
                  <c:v>60</c:v>
                </c:pt>
                <c:pt idx="3">
                  <c:v>700</c:v>
                </c:pt>
                <c:pt idx="4">
                  <c:v>0</c:v>
                </c:pt>
                <c:pt idx="5">
                  <c:v>0</c:v>
                </c:pt>
                <c:pt idx="6">
                  <c:v>60</c:v>
                </c:pt>
                <c:pt idx="7">
                  <c:v>0</c:v>
                </c:pt>
                <c:pt idx="8">
                  <c:v>0</c:v>
                </c:pt>
                <c:pt idx="9">
                  <c:v>0</c:v>
                </c:pt>
                <c:pt idx="10">
                  <c:v>0</c:v>
                </c:pt>
                <c:pt idx="11">
                  <c:v>6750</c:v>
                </c:pt>
                <c:pt idx="12">
                  <c:v>2200</c:v>
                </c:pt>
                <c:pt idx="13">
                  <c:v>4200</c:v>
                </c:pt>
                <c:pt idx="14">
                  <c:v>3000</c:v>
                </c:pt>
                <c:pt idx="15">
                  <c:v>5050</c:v>
                </c:pt>
                <c:pt idx="16">
                  <c:v>1025</c:v>
                </c:pt>
                <c:pt idx="17">
                  <c:v>0</c:v>
                </c:pt>
                <c:pt idx="18">
                  <c:v>3300</c:v>
                </c:pt>
                <c:pt idx="19">
                  <c:v>1650</c:v>
                </c:pt>
                <c:pt idx="20">
                  <c:v>2800</c:v>
                </c:pt>
                <c:pt idx="21">
                  <c:v>100</c:v>
                </c:pt>
                <c:pt idx="22">
                  <c:v>5000</c:v>
                </c:pt>
              </c:numCache>
            </c:numRef>
          </c:val>
          <c:extLst xmlns:c16r2="http://schemas.microsoft.com/office/drawing/2015/06/chart">
            <c:ext xmlns:c16="http://schemas.microsoft.com/office/drawing/2014/chart" uri="{C3380CC4-5D6E-409C-BE32-E72D297353CC}">
              <c16:uniqueId val="{00000000-CB57-495B-B6C5-0FA949F1F867}"/>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43903</c:v>
                </c:pt>
                <c:pt idx="1">
                  <c:v>43910</c:v>
                </c:pt>
                <c:pt idx="2">
                  <c:v>43917</c:v>
                </c:pt>
                <c:pt idx="3">
                  <c:v>43924</c:v>
                </c:pt>
                <c:pt idx="4">
                  <c:v>43931</c:v>
                </c:pt>
                <c:pt idx="5">
                  <c:v>43938</c:v>
                </c:pt>
                <c:pt idx="6">
                  <c:v>43945</c:v>
                </c:pt>
                <c:pt idx="7">
                  <c:v>43952</c:v>
                </c:pt>
                <c:pt idx="8">
                  <c:v>43959</c:v>
                </c:pt>
                <c:pt idx="9">
                  <c:v>43966</c:v>
                </c:pt>
                <c:pt idx="10">
                  <c:v>43973</c:v>
                </c:pt>
                <c:pt idx="11">
                  <c:v>43980</c:v>
                </c:pt>
                <c:pt idx="12">
                  <c:v>43987</c:v>
                </c:pt>
                <c:pt idx="13">
                  <c:v>43994</c:v>
                </c:pt>
                <c:pt idx="14">
                  <c:v>44001</c:v>
                </c:pt>
                <c:pt idx="15">
                  <c:v>44008</c:v>
                </c:pt>
                <c:pt idx="16">
                  <c:v>44015</c:v>
                </c:pt>
                <c:pt idx="17">
                  <c:v>44022</c:v>
                </c:pt>
                <c:pt idx="18">
                  <c:v>44029</c:v>
                </c:pt>
                <c:pt idx="19">
                  <c:v>44036</c:v>
                </c:pt>
                <c:pt idx="20">
                  <c:v>44043</c:v>
                </c:pt>
                <c:pt idx="21">
                  <c:v>44050</c:v>
                </c:pt>
                <c:pt idx="22">
                  <c:v>44057</c:v>
                </c:pt>
              </c:numCache>
            </c:numRef>
          </c:cat>
          <c:val>
            <c:numRef>
              <c:f>央行!$C$5:$C$27</c:f>
              <c:numCache>
                <c:formatCode>###,###,###,###,##0.00</c:formatCode>
                <c:ptCount val="23"/>
                <c:pt idx="0">
                  <c:v>0</c:v>
                </c:pt>
                <c:pt idx="1">
                  <c:v>0</c:v>
                </c:pt>
                <c:pt idx="2">
                  <c:v>-50</c:v>
                </c:pt>
                <c:pt idx="3">
                  <c:v>0</c:v>
                </c:pt>
                <c:pt idx="4">
                  <c:v>-700</c:v>
                </c:pt>
                <c:pt idx="5">
                  <c:v>0</c:v>
                </c:pt>
                <c:pt idx="6">
                  <c:v>-50</c:v>
                </c:pt>
                <c:pt idx="7">
                  <c:v>0</c:v>
                </c:pt>
                <c:pt idx="8">
                  <c:v>0</c:v>
                </c:pt>
                <c:pt idx="9">
                  <c:v>0</c:v>
                </c:pt>
                <c:pt idx="10">
                  <c:v>0</c:v>
                </c:pt>
                <c:pt idx="11">
                  <c:v>-50</c:v>
                </c:pt>
                <c:pt idx="12">
                  <c:v>-6700</c:v>
                </c:pt>
                <c:pt idx="13">
                  <c:v>-2200</c:v>
                </c:pt>
                <c:pt idx="14">
                  <c:v>-4200</c:v>
                </c:pt>
                <c:pt idx="15">
                  <c:v>-1200</c:v>
                </c:pt>
                <c:pt idx="16">
                  <c:v>-4950</c:v>
                </c:pt>
                <c:pt idx="17">
                  <c:v>-2900</c:v>
                </c:pt>
                <c:pt idx="18">
                  <c:v>0</c:v>
                </c:pt>
                <c:pt idx="19">
                  <c:v>-3300</c:v>
                </c:pt>
                <c:pt idx="20">
                  <c:v>-1650</c:v>
                </c:pt>
                <c:pt idx="21">
                  <c:v>-2800</c:v>
                </c:pt>
                <c:pt idx="22">
                  <c:v>-100</c:v>
                </c:pt>
              </c:numCache>
            </c:numRef>
          </c:val>
          <c:extLst xmlns:c16r2="http://schemas.microsoft.com/office/drawing/2015/06/chart">
            <c:ext xmlns:c16="http://schemas.microsoft.com/office/drawing/2014/chart" uri="{C3380CC4-5D6E-409C-BE32-E72D297353CC}">
              <c16:uniqueId val="{00000001-CB57-495B-B6C5-0FA949F1F867}"/>
            </c:ext>
          </c:extLst>
        </c:ser>
        <c:dLbls>
          <c:showLegendKey val="0"/>
          <c:showVal val="0"/>
          <c:showCatName val="0"/>
          <c:showSerName val="0"/>
          <c:showPercent val="0"/>
          <c:showBubbleSize val="0"/>
        </c:dLbls>
        <c:gapWidth val="150"/>
        <c:overlap val="100"/>
        <c:axId val="267753344"/>
        <c:axId val="267759616"/>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43903</c:v>
                </c:pt>
                <c:pt idx="1">
                  <c:v>43910</c:v>
                </c:pt>
                <c:pt idx="2">
                  <c:v>43917</c:v>
                </c:pt>
                <c:pt idx="3">
                  <c:v>43924</c:v>
                </c:pt>
                <c:pt idx="4">
                  <c:v>43931</c:v>
                </c:pt>
                <c:pt idx="5">
                  <c:v>43938</c:v>
                </c:pt>
                <c:pt idx="6">
                  <c:v>43945</c:v>
                </c:pt>
                <c:pt idx="7">
                  <c:v>43952</c:v>
                </c:pt>
                <c:pt idx="8">
                  <c:v>43959</c:v>
                </c:pt>
                <c:pt idx="9">
                  <c:v>43966</c:v>
                </c:pt>
                <c:pt idx="10">
                  <c:v>43973</c:v>
                </c:pt>
                <c:pt idx="11">
                  <c:v>43980</c:v>
                </c:pt>
                <c:pt idx="12">
                  <c:v>43987</c:v>
                </c:pt>
                <c:pt idx="13">
                  <c:v>43994</c:v>
                </c:pt>
                <c:pt idx="14">
                  <c:v>44001</c:v>
                </c:pt>
                <c:pt idx="15">
                  <c:v>44008</c:v>
                </c:pt>
                <c:pt idx="16">
                  <c:v>44015</c:v>
                </c:pt>
                <c:pt idx="17">
                  <c:v>44022</c:v>
                </c:pt>
                <c:pt idx="18">
                  <c:v>44029</c:v>
                </c:pt>
                <c:pt idx="19">
                  <c:v>44036</c:v>
                </c:pt>
                <c:pt idx="20">
                  <c:v>44043</c:v>
                </c:pt>
                <c:pt idx="21">
                  <c:v>44050</c:v>
                </c:pt>
                <c:pt idx="22">
                  <c:v>44057</c:v>
                </c:pt>
              </c:numCache>
            </c:numRef>
          </c:cat>
          <c:val>
            <c:numRef>
              <c:f>央行!$D$5:$D$27</c:f>
              <c:numCache>
                <c:formatCode>###,###,###,###,##0.00</c:formatCode>
                <c:ptCount val="23"/>
                <c:pt idx="0">
                  <c:v>0</c:v>
                </c:pt>
                <c:pt idx="1">
                  <c:v>0</c:v>
                </c:pt>
                <c:pt idx="2">
                  <c:v>10</c:v>
                </c:pt>
                <c:pt idx="3">
                  <c:v>700</c:v>
                </c:pt>
                <c:pt idx="4">
                  <c:v>-700</c:v>
                </c:pt>
                <c:pt idx="5">
                  <c:v>0</c:v>
                </c:pt>
                <c:pt idx="6">
                  <c:v>10</c:v>
                </c:pt>
                <c:pt idx="7">
                  <c:v>0</c:v>
                </c:pt>
                <c:pt idx="8">
                  <c:v>0</c:v>
                </c:pt>
                <c:pt idx="9">
                  <c:v>0</c:v>
                </c:pt>
                <c:pt idx="10">
                  <c:v>0</c:v>
                </c:pt>
                <c:pt idx="11">
                  <c:v>6700</c:v>
                </c:pt>
                <c:pt idx="12">
                  <c:v>-4500</c:v>
                </c:pt>
                <c:pt idx="13">
                  <c:v>2000</c:v>
                </c:pt>
                <c:pt idx="14">
                  <c:v>-1200</c:v>
                </c:pt>
                <c:pt idx="15">
                  <c:v>3850</c:v>
                </c:pt>
                <c:pt idx="16">
                  <c:v>-3925</c:v>
                </c:pt>
                <c:pt idx="17">
                  <c:v>-2900</c:v>
                </c:pt>
                <c:pt idx="18">
                  <c:v>3300</c:v>
                </c:pt>
                <c:pt idx="19">
                  <c:v>-1650</c:v>
                </c:pt>
                <c:pt idx="20">
                  <c:v>1150</c:v>
                </c:pt>
                <c:pt idx="21">
                  <c:v>-2700</c:v>
                </c:pt>
                <c:pt idx="22">
                  <c:v>4900</c:v>
                </c:pt>
              </c:numCache>
            </c:numRef>
          </c:val>
          <c:smooth val="0"/>
          <c:extLst xmlns:c16r2="http://schemas.microsoft.com/office/drawing/2015/06/chart">
            <c:ext xmlns:c16="http://schemas.microsoft.com/office/drawing/2014/chart" uri="{C3380CC4-5D6E-409C-BE32-E72D297353CC}">
              <c16:uniqueId val="{00000002-CB57-495B-B6C5-0FA949F1F867}"/>
            </c:ext>
          </c:extLst>
        </c:ser>
        <c:dLbls>
          <c:showLegendKey val="0"/>
          <c:showVal val="0"/>
          <c:showCatName val="0"/>
          <c:showSerName val="0"/>
          <c:showPercent val="0"/>
          <c:showBubbleSize val="0"/>
        </c:dLbls>
        <c:marker val="1"/>
        <c:smooth val="0"/>
        <c:axId val="267753344"/>
        <c:axId val="267759616"/>
      </c:lineChart>
      <c:catAx>
        <c:axId val="26775334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67759616"/>
        <c:crosses val="autoZero"/>
        <c:auto val="0"/>
        <c:lblAlgn val="ctr"/>
        <c:lblOffset val="0"/>
        <c:tickMarkSkip val="2"/>
        <c:noMultiLvlLbl val="0"/>
      </c:catAx>
      <c:valAx>
        <c:axId val="267759616"/>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67753344"/>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90856714785651804"/>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44057</c:v>
                </c:pt>
                <c:pt idx="1">
                  <c:v>44056</c:v>
                </c:pt>
                <c:pt idx="2">
                  <c:v>44055</c:v>
                </c:pt>
                <c:pt idx="3">
                  <c:v>44054</c:v>
                </c:pt>
                <c:pt idx="4">
                  <c:v>44053</c:v>
                </c:pt>
                <c:pt idx="5">
                  <c:v>44050</c:v>
                </c:pt>
                <c:pt idx="6">
                  <c:v>44049</c:v>
                </c:pt>
                <c:pt idx="7">
                  <c:v>44048</c:v>
                </c:pt>
                <c:pt idx="8">
                  <c:v>44047</c:v>
                </c:pt>
                <c:pt idx="9">
                  <c:v>44046</c:v>
                </c:pt>
                <c:pt idx="10">
                  <c:v>44043</c:v>
                </c:pt>
                <c:pt idx="11">
                  <c:v>44042</c:v>
                </c:pt>
                <c:pt idx="12">
                  <c:v>44041</c:v>
                </c:pt>
                <c:pt idx="13">
                  <c:v>44040</c:v>
                </c:pt>
                <c:pt idx="14">
                  <c:v>44039</c:v>
                </c:pt>
                <c:pt idx="15">
                  <c:v>44036</c:v>
                </c:pt>
                <c:pt idx="16">
                  <c:v>44035</c:v>
                </c:pt>
                <c:pt idx="17">
                  <c:v>44034</c:v>
                </c:pt>
                <c:pt idx="18">
                  <c:v>44033</c:v>
                </c:pt>
                <c:pt idx="19">
                  <c:v>44032</c:v>
                </c:pt>
                <c:pt idx="20">
                  <c:v>44029</c:v>
                </c:pt>
                <c:pt idx="21">
                  <c:v>44028</c:v>
                </c:pt>
                <c:pt idx="22">
                  <c:v>44027</c:v>
                </c:pt>
                <c:pt idx="23">
                  <c:v>44026</c:v>
                </c:pt>
                <c:pt idx="24">
                  <c:v>44025</c:v>
                </c:pt>
                <c:pt idx="25">
                  <c:v>44022</c:v>
                </c:pt>
                <c:pt idx="26">
                  <c:v>44021</c:v>
                </c:pt>
                <c:pt idx="27">
                  <c:v>44020</c:v>
                </c:pt>
                <c:pt idx="28">
                  <c:v>44019</c:v>
                </c:pt>
                <c:pt idx="29">
                  <c:v>44018</c:v>
                </c:pt>
                <c:pt idx="30">
                  <c:v>44015</c:v>
                </c:pt>
                <c:pt idx="31">
                  <c:v>44014</c:v>
                </c:pt>
                <c:pt idx="32">
                  <c:v>44013</c:v>
                </c:pt>
                <c:pt idx="33">
                  <c:v>44012</c:v>
                </c:pt>
                <c:pt idx="34">
                  <c:v>44011</c:v>
                </c:pt>
                <c:pt idx="35">
                  <c:v>44010</c:v>
                </c:pt>
                <c:pt idx="36">
                  <c:v>44006</c:v>
                </c:pt>
                <c:pt idx="37">
                  <c:v>44005</c:v>
                </c:pt>
                <c:pt idx="38">
                  <c:v>44004</c:v>
                </c:pt>
                <c:pt idx="39">
                  <c:v>44001</c:v>
                </c:pt>
                <c:pt idx="40">
                  <c:v>44000</c:v>
                </c:pt>
                <c:pt idx="41">
                  <c:v>43999</c:v>
                </c:pt>
                <c:pt idx="42">
                  <c:v>43998</c:v>
                </c:pt>
                <c:pt idx="43">
                  <c:v>43997</c:v>
                </c:pt>
                <c:pt idx="44">
                  <c:v>43994</c:v>
                </c:pt>
                <c:pt idx="45">
                  <c:v>43993</c:v>
                </c:pt>
                <c:pt idx="46">
                  <c:v>43992</c:v>
                </c:pt>
                <c:pt idx="47">
                  <c:v>43991</c:v>
                </c:pt>
                <c:pt idx="48">
                  <c:v>43990</c:v>
                </c:pt>
                <c:pt idx="49">
                  <c:v>43987</c:v>
                </c:pt>
                <c:pt idx="50">
                  <c:v>43986</c:v>
                </c:pt>
                <c:pt idx="51">
                  <c:v>43985</c:v>
                </c:pt>
                <c:pt idx="52">
                  <c:v>43984</c:v>
                </c:pt>
                <c:pt idx="53">
                  <c:v>43983</c:v>
                </c:pt>
                <c:pt idx="54">
                  <c:v>43980</c:v>
                </c:pt>
                <c:pt idx="55">
                  <c:v>43979</c:v>
                </c:pt>
                <c:pt idx="56">
                  <c:v>43978</c:v>
                </c:pt>
                <c:pt idx="57">
                  <c:v>43977</c:v>
                </c:pt>
                <c:pt idx="58">
                  <c:v>43976</c:v>
                </c:pt>
              </c:numCache>
            </c:numRef>
          </c:cat>
          <c:val>
            <c:numRef>
              <c:f>资金!$B$3:$B$61</c:f>
              <c:numCache>
                <c:formatCode>###,###,###,###,##0.0000</c:formatCode>
                <c:ptCount val="59"/>
                <c:pt idx="0">
                  <c:v>2.2214999999999998</c:v>
                </c:pt>
                <c:pt idx="1">
                  <c:v>2.2246000000000001</c:v>
                </c:pt>
                <c:pt idx="2">
                  <c:v>2.2063999999999999</c:v>
                </c:pt>
                <c:pt idx="3">
                  <c:v>2.2568999999999999</c:v>
                </c:pt>
                <c:pt idx="4">
                  <c:v>2.1943000000000001</c:v>
                </c:pt>
                <c:pt idx="5">
                  <c:v>2.1122000000000001</c:v>
                </c:pt>
                <c:pt idx="6">
                  <c:v>1.7108000000000001</c:v>
                </c:pt>
                <c:pt idx="7">
                  <c:v>1.7210000000000001</c:v>
                </c:pt>
                <c:pt idx="8">
                  <c:v>1.96</c:v>
                </c:pt>
                <c:pt idx="9">
                  <c:v>1.6277999999999999</c:v>
                </c:pt>
                <c:pt idx="10">
                  <c:v>1.921</c:v>
                </c:pt>
                <c:pt idx="11">
                  <c:v>1.4155</c:v>
                </c:pt>
                <c:pt idx="12">
                  <c:v>1.4807999999999999</c:v>
                </c:pt>
                <c:pt idx="13">
                  <c:v>1.7774000000000001</c:v>
                </c:pt>
                <c:pt idx="14">
                  <c:v>2.0301999999999998</c:v>
                </c:pt>
                <c:pt idx="15">
                  <c:v>1.8781000000000001</c:v>
                </c:pt>
                <c:pt idx="16">
                  <c:v>1.9132</c:v>
                </c:pt>
                <c:pt idx="17">
                  <c:v>1.3838999999999999</c:v>
                </c:pt>
                <c:pt idx="18">
                  <c:v>1.5924</c:v>
                </c:pt>
                <c:pt idx="19">
                  <c:v>1.9733000000000001</c:v>
                </c:pt>
                <c:pt idx="20">
                  <c:v>2.3995000000000002</c:v>
                </c:pt>
                <c:pt idx="21">
                  <c:v>2.3612000000000002</c:v>
                </c:pt>
                <c:pt idx="22">
                  <c:v>2.0855999999999999</c:v>
                </c:pt>
                <c:pt idx="23">
                  <c:v>1.7021999999999999</c:v>
                </c:pt>
                <c:pt idx="24">
                  <c:v>2.1414</c:v>
                </c:pt>
                <c:pt idx="25">
                  <c:v>2.2174</c:v>
                </c:pt>
                <c:pt idx="26">
                  <c:v>2.2547999999999999</c:v>
                </c:pt>
                <c:pt idx="27">
                  <c:v>2.1366000000000001</c:v>
                </c:pt>
                <c:pt idx="28">
                  <c:v>1.7793000000000001</c:v>
                </c:pt>
                <c:pt idx="29">
                  <c:v>1.4025000000000001</c:v>
                </c:pt>
                <c:pt idx="30">
                  <c:v>1.4065000000000001</c:v>
                </c:pt>
                <c:pt idx="31">
                  <c:v>1.7667999999999999</c:v>
                </c:pt>
                <c:pt idx="32">
                  <c:v>2.0270999999999999</c:v>
                </c:pt>
                <c:pt idx="33">
                  <c:v>2.2993999999999999</c:v>
                </c:pt>
                <c:pt idx="34">
                  <c:v>1.0634999999999999</c:v>
                </c:pt>
                <c:pt idx="35">
                  <c:v>1.0626</c:v>
                </c:pt>
                <c:pt idx="36">
                  <c:v>1.4907999999999999</c:v>
                </c:pt>
                <c:pt idx="37">
                  <c:v>1.9904999999999999</c:v>
                </c:pt>
                <c:pt idx="38">
                  <c:v>2.1852999999999998</c:v>
                </c:pt>
                <c:pt idx="39">
                  <c:v>2.1818</c:v>
                </c:pt>
                <c:pt idx="40">
                  <c:v>2.1688999999999998</c:v>
                </c:pt>
                <c:pt idx="41">
                  <c:v>2.1088</c:v>
                </c:pt>
                <c:pt idx="42">
                  <c:v>1.8025</c:v>
                </c:pt>
                <c:pt idx="43">
                  <c:v>1.5213000000000001</c:v>
                </c:pt>
                <c:pt idx="44">
                  <c:v>1.5598000000000001</c:v>
                </c:pt>
                <c:pt idx="45">
                  <c:v>1.7955000000000001</c:v>
                </c:pt>
                <c:pt idx="46">
                  <c:v>1.8873</c:v>
                </c:pt>
                <c:pt idx="47">
                  <c:v>1.883</c:v>
                </c:pt>
                <c:pt idx="48">
                  <c:v>1.9269000000000001</c:v>
                </c:pt>
                <c:pt idx="49">
                  <c:v>1.6131</c:v>
                </c:pt>
                <c:pt idx="50">
                  <c:v>1.9869000000000001</c:v>
                </c:pt>
                <c:pt idx="51">
                  <c:v>1.9258999999999999</c:v>
                </c:pt>
                <c:pt idx="52">
                  <c:v>1.5313000000000001</c:v>
                </c:pt>
                <c:pt idx="53">
                  <c:v>1.6446000000000001</c:v>
                </c:pt>
                <c:pt idx="54">
                  <c:v>2.1263999999999998</c:v>
                </c:pt>
                <c:pt idx="55">
                  <c:v>2.1741999999999999</c:v>
                </c:pt>
                <c:pt idx="56">
                  <c:v>2.1711</c:v>
                </c:pt>
                <c:pt idx="57">
                  <c:v>1.9621</c:v>
                </c:pt>
                <c:pt idx="58">
                  <c:v>1.5498000000000001</c:v>
                </c:pt>
              </c:numCache>
            </c:numRef>
          </c:val>
          <c:smooth val="1"/>
          <c:extLst xmlns:c16r2="http://schemas.microsoft.com/office/drawing/2015/06/chart">
            <c:ext xmlns:c16="http://schemas.microsoft.com/office/drawing/2014/chart" uri="{C3380CC4-5D6E-409C-BE32-E72D297353CC}">
              <c16:uniqueId val="{00000000-7F9C-4C28-A075-D9BFE65D2D9B}"/>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44057</c:v>
                </c:pt>
                <c:pt idx="1">
                  <c:v>44056</c:v>
                </c:pt>
                <c:pt idx="2">
                  <c:v>44055</c:v>
                </c:pt>
                <c:pt idx="3">
                  <c:v>44054</c:v>
                </c:pt>
                <c:pt idx="4">
                  <c:v>44053</c:v>
                </c:pt>
                <c:pt idx="5">
                  <c:v>44050</c:v>
                </c:pt>
                <c:pt idx="6">
                  <c:v>44049</c:v>
                </c:pt>
                <c:pt idx="7">
                  <c:v>44048</c:v>
                </c:pt>
                <c:pt idx="8">
                  <c:v>44047</c:v>
                </c:pt>
                <c:pt idx="9">
                  <c:v>44046</c:v>
                </c:pt>
                <c:pt idx="10">
                  <c:v>44043</c:v>
                </c:pt>
                <c:pt idx="11">
                  <c:v>44042</c:v>
                </c:pt>
                <c:pt idx="12">
                  <c:v>44041</c:v>
                </c:pt>
                <c:pt idx="13">
                  <c:v>44040</c:v>
                </c:pt>
                <c:pt idx="14">
                  <c:v>44039</c:v>
                </c:pt>
                <c:pt idx="15">
                  <c:v>44036</c:v>
                </c:pt>
                <c:pt idx="16">
                  <c:v>44035</c:v>
                </c:pt>
                <c:pt idx="17">
                  <c:v>44034</c:v>
                </c:pt>
                <c:pt idx="18">
                  <c:v>44033</c:v>
                </c:pt>
                <c:pt idx="19">
                  <c:v>44032</c:v>
                </c:pt>
                <c:pt idx="20">
                  <c:v>44029</c:v>
                </c:pt>
                <c:pt idx="21">
                  <c:v>44028</c:v>
                </c:pt>
                <c:pt idx="22">
                  <c:v>44027</c:v>
                </c:pt>
                <c:pt idx="23">
                  <c:v>44026</c:v>
                </c:pt>
                <c:pt idx="24">
                  <c:v>44025</c:v>
                </c:pt>
                <c:pt idx="25">
                  <c:v>44022</c:v>
                </c:pt>
                <c:pt idx="26">
                  <c:v>44021</c:v>
                </c:pt>
                <c:pt idx="27">
                  <c:v>44020</c:v>
                </c:pt>
                <c:pt idx="28">
                  <c:v>44019</c:v>
                </c:pt>
                <c:pt idx="29">
                  <c:v>44018</c:v>
                </c:pt>
                <c:pt idx="30">
                  <c:v>44015</c:v>
                </c:pt>
                <c:pt idx="31">
                  <c:v>44014</c:v>
                </c:pt>
                <c:pt idx="32">
                  <c:v>44013</c:v>
                </c:pt>
                <c:pt idx="33">
                  <c:v>44012</c:v>
                </c:pt>
                <c:pt idx="34">
                  <c:v>44011</c:v>
                </c:pt>
                <c:pt idx="35">
                  <c:v>44010</c:v>
                </c:pt>
                <c:pt idx="36">
                  <c:v>44006</c:v>
                </c:pt>
                <c:pt idx="37">
                  <c:v>44005</c:v>
                </c:pt>
                <c:pt idx="38">
                  <c:v>44004</c:v>
                </c:pt>
                <c:pt idx="39">
                  <c:v>44001</c:v>
                </c:pt>
                <c:pt idx="40">
                  <c:v>44000</c:v>
                </c:pt>
                <c:pt idx="41">
                  <c:v>43999</c:v>
                </c:pt>
                <c:pt idx="42">
                  <c:v>43998</c:v>
                </c:pt>
                <c:pt idx="43">
                  <c:v>43997</c:v>
                </c:pt>
                <c:pt idx="44">
                  <c:v>43994</c:v>
                </c:pt>
                <c:pt idx="45">
                  <c:v>43993</c:v>
                </c:pt>
                <c:pt idx="46">
                  <c:v>43992</c:v>
                </c:pt>
                <c:pt idx="47">
                  <c:v>43991</c:v>
                </c:pt>
                <c:pt idx="48">
                  <c:v>43990</c:v>
                </c:pt>
                <c:pt idx="49">
                  <c:v>43987</c:v>
                </c:pt>
                <c:pt idx="50">
                  <c:v>43986</c:v>
                </c:pt>
                <c:pt idx="51">
                  <c:v>43985</c:v>
                </c:pt>
                <c:pt idx="52">
                  <c:v>43984</c:v>
                </c:pt>
                <c:pt idx="53">
                  <c:v>43983</c:v>
                </c:pt>
                <c:pt idx="54">
                  <c:v>43980</c:v>
                </c:pt>
                <c:pt idx="55">
                  <c:v>43979</c:v>
                </c:pt>
                <c:pt idx="56">
                  <c:v>43978</c:v>
                </c:pt>
                <c:pt idx="57">
                  <c:v>43977</c:v>
                </c:pt>
                <c:pt idx="58">
                  <c:v>43976</c:v>
                </c:pt>
              </c:numCache>
            </c:numRef>
          </c:cat>
          <c:val>
            <c:numRef>
              <c:f>资金!$C$3:$C$61</c:f>
              <c:numCache>
                <c:formatCode>###,###,###,###,##0.0000</c:formatCode>
                <c:ptCount val="59"/>
                <c:pt idx="0">
                  <c:v>2.3742999999999999</c:v>
                </c:pt>
                <c:pt idx="1">
                  <c:v>2.3693</c:v>
                </c:pt>
                <c:pt idx="2">
                  <c:v>2.3672</c:v>
                </c:pt>
                <c:pt idx="3">
                  <c:v>2.3639000000000001</c:v>
                </c:pt>
                <c:pt idx="4">
                  <c:v>2.2854000000000001</c:v>
                </c:pt>
                <c:pt idx="5">
                  <c:v>2.2219000000000002</c:v>
                </c:pt>
                <c:pt idx="6">
                  <c:v>2.1051000000000002</c:v>
                </c:pt>
                <c:pt idx="7">
                  <c:v>2.1356000000000002</c:v>
                </c:pt>
                <c:pt idx="8">
                  <c:v>2.1785000000000001</c:v>
                </c:pt>
                <c:pt idx="9">
                  <c:v>2.1398000000000001</c:v>
                </c:pt>
                <c:pt idx="10">
                  <c:v>2.3254000000000001</c:v>
                </c:pt>
                <c:pt idx="11">
                  <c:v>2.3382999999999998</c:v>
                </c:pt>
                <c:pt idx="12">
                  <c:v>2.3513000000000002</c:v>
                </c:pt>
                <c:pt idx="13">
                  <c:v>2.4123999999999999</c:v>
                </c:pt>
                <c:pt idx="14">
                  <c:v>2.4384000000000001</c:v>
                </c:pt>
                <c:pt idx="15">
                  <c:v>2.0954000000000002</c:v>
                </c:pt>
                <c:pt idx="16">
                  <c:v>2.2709000000000001</c:v>
                </c:pt>
                <c:pt idx="17">
                  <c:v>2.0026000000000002</c:v>
                </c:pt>
                <c:pt idx="18">
                  <c:v>2.1061999999999999</c:v>
                </c:pt>
                <c:pt idx="19">
                  <c:v>2.2656999999999998</c:v>
                </c:pt>
                <c:pt idx="20">
                  <c:v>2.4668999999999999</c:v>
                </c:pt>
                <c:pt idx="21">
                  <c:v>2.3656000000000001</c:v>
                </c:pt>
                <c:pt idx="22">
                  <c:v>2.2551000000000001</c:v>
                </c:pt>
                <c:pt idx="23">
                  <c:v>2.2277</c:v>
                </c:pt>
                <c:pt idx="24">
                  <c:v>2.3549000000000002</c:v>
                </c:pt>
                <c:pt idx="25">
                  <c:v>2.3384999999999998</c:v>
                </c:pt>
                <c:pt idx="26">
                  <c:v>2.2734999999999999</c:v>
                </c:pt>
                <c:pt idx="27">
                  <c:v>2.2345999999999999</c:v>
                </c:pt>
                <c:pt idx="28">
                  <c:v>2.1484999999999999</c:v>
                </c:pt>
                <c:pt idx="29">
                  <c:v>1.8398000000000001</c:v>
                </c:pt>
                <c:pt idx="30">
                  <c:v>1.857</c:v>
                </c:pt>
                <c:pt idx="31">
                  <c:v>2.0632999999999999</c:v>
                </c:pt>
                <c:pt idx="32">
                  <c:v>2.2721</c:v>
                </c:pt>
                <c:pt idx="33">
                  <c:v>3.0518999999999998</c:v>
                </c:pt>
                <c:pt idx="34">
                  <c:v>2.7978999999999998</c:v>
                </c:pt>
                <c:pt idx="35">
                  <c:v>2.2408999999999999</c:v>
                </c:pt>
                <c:pt idx="36">
                  <c:v>2.3866999999999998</c:v>
                </c:pt>
                <c:pt idx="37">
                  <c:v>2.3123</c:v>
                </c:pt>
                <c:pt idx="38">
                  <c:v>2.2494999999999998</c:v>
                </c:pt>
                <c:pt idx="39">
                  <c:v>2.1716000000000002</c:v>
                </c:pt>
                <c:pt idx="40">
                  <c:v>2.1389</c:v>
                </c:pt>
                <c:pt idx="41">
                  <c:v>2.0489999999999999</c:v>
                </c:pt>
                <c:pt idx="42">
                  <c:v>1.9447000000000001</c:v>
                </c:pt>
                <c:pt idx="43">
                  <c:v>1.8593999999999999</c:v>
                </c:pt>
                <c:pt idx="44">
                  <c:v>1.9265000000000001</c:v>
                </c:pt>
                <c:pt idx="45">
                  <c:v>2.0001000000000002</c:v>
                </c:pt>
                <c:pt idx="46">
                  <c:v>1.9938</c:v>
                </c:pt>
                <c:pt idx="47">
                  <c:v>1.9323999999999999</c:v>
                </c:pt>
                <c:pt idx="48">
                  <c:v>1.88</c:v>
                </c:pt>
                <c:pt idx="49">
                  <c:v>1.8634999999999999</c:v>
                </c:pt>
                <c:pt idx="50">
                  <c:v>1.8980999999999999</c:v>
                </c:pt>
                <c:pt idx="51">
                  <c:v>1.9643999999999999</c:v>
                </c:pt>
                <c:pt idx="52">
                  <c:v>1.5506</c:v>
                </c:pt>
                <c:pt idx="53">
                  <c:v>1.6257999999999999</c:v>
                </c:pt>
                <c:pt idx="54">
                  <c:v>2.2210999999999999</c:v>
                </c:pt>
                <c:pt idx="55">
                  <c:v>2.246</c:v>
                </c:pt>
                <c:pt idx="56">
                  <c:v>2.0767000000000002</c:v>
                </c:pt>
                <c:pt idx="57">
                  <c:v>1.9472</c:v>
                </c:pt>
                <c:pt idx="58">
                  <c:v>1.7498</c:v>
                </c:pt>
              </c:numCache>
            </c:numRef>
          </c:val>
          <c:smooth val="1"/>
          <c:extLst xmlns:c16r2="http://schemas.microsoft.com/office/drawing/2015/06/chart">
            <c:ext xmlns:c16="http://schemas.microsoft.com/office/drawing/2014/chart" uri="{C3380CC4-5D6E-409C-BE32-E72D297353CC}">
              <c16:uniqueId val="{00000001-7F9C-4C28-A075-D9BFE65D2D9B}"/>
            </c:ext>
          </c:extLst>
        </c:ser>
        <c:dLbls>
          <c:showLegendKey val="0"/>
          <c:showVal val="0"/>
          <c:showCatName val="0"/>
          <c:showSerName val="0"/>
          <c:showPercent val="0"/>
          <c:showBubbleSize val="0"/>
        </c:dLbls>
        <c:marker val="1"/>
        <c:smooth val="0"/>
        <c:axId val="267779072"/>
        <c:axId val="268370688"/>
      </c:lineChart>
      <c:dateAx>
        <c:axId val="26777907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68370688"/>
        <c:crosses val="autoZero"/>
        <c:auto val="0"/>
        <c:lblOffset val="0"/>
        <c:baseTimeUnit val="days"/>
        <c:majorUnit val="14"/>
        <c:majorTimeUnit val="days"/>
        <c:minorUnit val="7"/>
        <c:minorTimeUnit val="days"/>
      </c:dateAx>
      <c:valAx>
        <c:axId val="268370688"/>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67779072"/>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20.399999999999995</c:v>
                </c:pt>
                <c:pt idx="1">
                  <c:v>7.0399999999999796</c:v>
                </c:pt>
                <c:pt idx="2">
                  <c:v>5.1899999999999835</c:v>
                </c:pt>
                <c:pt idx="3">
                  <c:v>-1.2399999999999967</c:v>
                </c:pt>
                <c:pt idx="4">
                  <c:v>-1.0200000000000209</c:v>
                </c:pt>
                <c:pt idx="5">
                  <c:v>-4.4999999999999929</c:v>
                </c:pt>
                <c:pt idx="6">
                  <c:v>-5.4899999999999949</c:v>
                </c:pt>
              </c:numCache>
            </c:numRef>
          </c:val>
          <c:extLst xmlns:c16r2="http://schemas.microsoft.com/office/drawing/2015/06/chart">
            <c:ext xmlns:c16="http://schemas.microsoft.com/office/drawing/2014/chart" uri="{C3380CC4-5D6E-409C-BE32-E72D297353CC}">
              <c16:uniqueId val="{00000000-95D3-4951-A9B2-EFDC8DFEA73E}"/>
            </c:ext>
          </c:extLst>
        </c:ser>
        <c:dLbls>
          <c:showLegendKey val="0"/>
          <c:showVal val="0"/>
          <c:showCatName val="0"/>
          <c:showSerName val="0"/>
          <c:showPercent val="0"/>
          <c:showBubbleSize val="0"/>
        </c:dLbls>
        <c:gapWidth val="150"/>
        <c:axId val="268426624"/>
        <c:axId val="268432896"/>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95D3-4951-A9B2-EFDC8DFEA73E}"/>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95D3-4951-A9B2-EFDC8DFEA73E}"/>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95D3-4951-A9B2-EFDC8DFEA73E}"/>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95D3-4951-A9B2-EFDC8DFEA73E}"/>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95D3-4951-A9B2-EFDC8DFEA73E}"/>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95D3-4951-A9B2-EFDC8DFEA73E}"/>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1.8996</c:v>
                </c:pt>
                <c:pt idx="1">
                  <c:v>2.1318999999999999</c:v>
                </c:pt>
                <c:pt idx="2">
                  <c:v>2.2744</c:v>
                </c:pt>
                <c:pt idx="3">
                  <c:v>2.6745999999999999</c:v>
                </c:pt>
                <c:pt idx="4">
                  <c:v>2.8209</c:v>
                </c:pt>
                <c:pt idx="5">
                  <c:v>2.9943</c:v>
                </c:pt>
                <c:pt idx="6">
                  <c:v>2.9369000000000001</c:v>
                </c:pt>
              </c:numCache>
            </c:numRef>
          </c:val>
          <c:smooth val="0"/>
          <c:extLst xmlns:c16r2="http://schemas.microsoft.com/office/drawing/2015/06/chart">
            <c:ext xmlns:c16="http://schemas.microsoft.com/office/drawing/2014/chart" uri="{C3380CC4-5D6E-409C-BE32-E72D297353CC}">
              <c16:uniqueId val="{00000007-95D3-4951-A9B2-EFDC8DFEA73E}"/>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1.6956</c:v>
                </c:pt>
                <c:pt idx="1">
                  <c:v>2.0615000000000001</c:v>
                </c:pt>
                <c:pt idx="2">
                  <c:v>2.2225000000000001</c:v>
                </c:pt>
                <c:pt idx="3">
                  <c:v>2.6869999999999998</c:v>
                </c:pt>
                <c:pt idx="4">
                  <c:v>2.8311000000000002</c:v>
                </c:pt>
                <c:pt idx="5">
                  <c:v>3.0392999999999999</c:v>
                </c:pt>
                <c:pt idx="6">
                  <c:v>2.9918</c:v>
                </c:pt>
              </c:numCache>
            </c:numRef>
          </c:val>
          <c:smooth val="0"/>
          <c:extLst xmlns:c16r2="http://schemas.microsoft.com/office/drawing/2015/06/chart">
            <c:ext xmlns:c16="http://schemas.microsoft.com/office/drawing/2014/chart" uri="{C3380CC4-5D6E-409C-BE32-E72D297353CC}">
              <c16:uniqueId val="{00000008-95D3-4951-A9B2-EFDC8DFEA73E}"/>
            </c:ext>
          </c:extLst>
        </c:ser>
        <c:dLbls>
          <c:showLegendKey val="0"/>
          <c:showVal val="0"/>
          <c:showCatName val="0"/>
          <c:showSerName val="0"/>
          <c:showPercent val="0"/>
          <c:showBubbleSize val="0"/>
        </c:dLbls>
        <c:marker val="1"/>
        <c:smooth val="0"/>
        <c:axId val="282338048"/>
        <c:axId val="268434432"/>
      </c:lineChart>
      <c:dateAx>
        <c:axId val="26842662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68432896"/>
        <c:crosses val="autoZero"/>
        <c:auto val="0"/>
        <c:lblOffset val="0"/>
        <c:baseTimeUnit val="days"/>
      </c:dateAx>
      <c:valAx>
        <c:axId val="26843289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68426624"/>
        <c:crosses val="autoZero"/>
        <c:crossBetween val="between"/>
      </c:valAx>
      <c:valAx>
        <c:axId val="268434432"/>
        <c:scaling>
          <c:orientation val="minMax"/>
        </c:scaling>
        <c:delete val="0"/>
        <c:axPos val="r"/>
        <c:numFmt formatCode="#,##0.0_);[Red]\(#,##0.0\)" sourceLinked="0"/>
        <c:majorTickMark val="out"/>
        <c:minorTickMark val="none"/>
        <c:tickLblPos val="nextTo"/>
        <c:spPr>
          <a:ln w="3175">
            <a:solidFill>
              <a:sysClr val="windowText" lastClr="000000"/>
            </a:solidFill>
          </a:ln>
        </c:spPr>
        <c:crossAx val="282338048"/>
        <c:crosses val="max"/>
        <c:crossBetween val="between"/>
      </c:valAx>
      <c:dateAx>
        <c:axId val="282338048"/>
        <c:scaling>
          <c:orientation val="minMax"/>
        </c:scaling>
        <c:delete val="1"/>
        <c:axPos val="b"/>
        <c:numFmt formatCode="General" sourceLinked="1"/>
        <c:majorTickMark val="out"/>
        <c:minorTickMark val="none"/>
        <c:tickLblPos val="nextTo"/>
        <c:crossAx val="268434432"/>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16.019999999999989</c:v>
                </c:pt>
                <c:pt idx="1">
                  <c:v>-8.8900000000000201</c:v>
                </c:pt>
                <c:pt idx="2">
                  <c:v>-0.55999999999998273</c:v>
                </c:pt>
                <c:pt idx="3">
                  <c:v>-3.3500000000000085</c:v>
                </c:pt>
                <c:pt idx="4">
                  <c:v>-2.0499999999999741</c:v>
                </c:pt>
                <c:pt idx="5">
                  <c:v>-2.9500000000000082</c:v>
                </c:pt>
                <c:pt idx="6">
                  <c:v>-6.4500000000000224</c:v>
                </c:pt>
              </c:numCache>
            </c:numRef>
          </c:val>
          <c:extLst xmlns:c16r2="http://schemas.microsoft.com/office/drawing/2015/06/chart">
            <c:ext xmlns:c16="http://schemas.microsoft.com/office/drawing/2014/chart" uri="{C3380CC4-5D6E-409C-BE32-E72D297353CC}">
              <c16:uniqueId val="{00000000-A89D-4153-8848-B5EE35E08BF7}"/>
            </c:ext>
          </c:extLst>
        </c:ser>
        <c:dLbls>
          <c:showLegendKey val="0"/>
          <c:showVal val="0"/>
          <c:showCatName val="0"/>
          <c:showSerName val="0"/>
          <c:showPercent val="0"/>
          <c:showBubbleSize val="0"/>
        </c:dLbls>
        <c:gapWidth val="150"/>
        <c:axId val="282595328"/>
        <c:axId val="282597248"/>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A89D-4153-8848-B5EE35E08BF7}"/>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A89D-4153-8848-B5EE35E08BF7}"/>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A89D-4153-8848-B5EE35E08BF7}"/>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A89D-4153-8848-B5EE35E08BF7}"/>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A89D-4153-8848-B5EE35E08BF7}"/>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A89D-4153-8848-B5EE35E08BF7}"/>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1.9238</c:v>
                </c:pt>
                <c:pt idx="1">
                  <c:v>2.3498999999999999</c:v>
                </c:pt>
                <c:pt idx="2">
                  <c:v>2.6558000000000002</c:v>
                </c:pt>
                <c:pt idx="3">
                  <c:v>3.0703</c:v>
                </c:pt>
                <c:pt idx="4">
                  <c:v>3.2713000000000001</c:v>
                </c:pt>
                <c:pt idx="5">
                  <c:v>3.4117999999999999</c:v>
                </c:pt>
                <c:pt idx="6">
                  <c:v>3.4481999999999999</c:v>
                </c:pt>
              </c:numCache>
            </c:numRef>
          </c:val>
          <c:smooth val="0"/>
          <c:extLst xmlns:c16r2="http://schemas.microsoft.com/office/drawing/2015/06/chart">
            <c:ext xmlns:c16="http://schemas.microsoft.com/office/drawing/2014/chart" uri="{C3380CC4-5D6E-409C-BE32-E72D297353CC}">
              <c16:uniqueId val="{00000007-A89D-4153-8848-B5EE35E08BF7}"/>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1.7636000000000001</c:v>
                </c:pt>
                <c:pt idx="1">
                  <c:v>2.4388000000000001</c:v>
                </c:pt>
                <c:pt idx="2">
                  <c:v>2.6614</c:v>
                </c:pt>
                <c:pt idx="3">
                  <c:v>3.1038000000000001</c:v>
                </c:pt>
                <c:pt idx="4">
                  <c:v>3.2917999999999998</c:v>
                </c:pt>
                <c:pt idx="5">
                  <c:v>3.4413</c:v>
                </c:pt>
                <c:pt idx="6">
                  <c:v>3.5127000000000002</c:v>
                </c:pt>
              </c:numCache>
            </c:numRef>
          </c:val>
          <c:smooth val="0"/>
          <c:extLst xmlns:c16r2="http://schemas.microsoft.com/office/drawing/2015/06/chart">
            <c:ext xmlns:c16="http://schemas.microsoft.com/office/drawing/2014/chart" uri="{C3380CC4-5D6E-409C-BE32-E72D297353CC}">
              <c16:uniqueId val="{00000008-A89D-4153-8848-B5EE35E08BF7}"/>
            </c:ext>
          </c:extLst>
        </c:ser>
        <c:dLbls>
          <c:showLegendKey val="0"/>
          <c:showVal val="0"/>
          <c:showCatName val="0"/>
          <c:showSerName val="0"/>
          <c:showPercent val="0"/>
          <c:showBubbleSize val="0"/>
        </c:dLbls>
        <c:marker val="1"/>
        <c:smooth val="0"/>
        <c:axId val="282608768"/>
        <c:axId val="282598784"/>
      </c:lineChart>
      <c:dateAx>
        <c:axId val="28259532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82597248"/>
        <c:crosses val="autoZero"/>
        <c:auto val="0"/>
        <c:lblOffset val="0"/>
        <c:baseTimeUnit val="days"/>
      </c:dateAx>
      <c:valAx>
        <c:axId val="282597248"/>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82595328"/>
        <c:crosses val="autoZero"/>
        <c:crossBetween val="between"/>
      </c:valAx>
      <c:valAx>
        <c:axId val="282598784"/>
        <c:scaling>
          <c:orientation val="minMax"/>
        </c:scaling>
        <c:delete val="0"/>
        <c:axPos val="r"/>
        <c:numFmt formatCode="#,##0.0_);[Red]\(#,##0.0\)" sourceLinked="0"/>
        <c:majorTickMark val="out"/>
        <c:minorTickMark val="none"/>
        <c:tickLblPos val="nextTo"/>
        <c:spPr>
          <a:ln w="3175">
            <a:solidFill>
              <a:sysClr val="windowText" lastClr="000000"/>
            </a:solidFill>
          </a:ln>
        </c:spPr>
        <c:crossAx val="282608768"/>
        <c:crosses val="max"/>
        <c:crossBetween val="between"/>
      </c:valAx>
      <c:dateAx>
        <c:axId val="282608768"/>
        <c:scaling>
          <c:orientation val="minMax"/>
        </c:scaling>
        <c:delete val="1"/>
        <c:axPos val="b"/>
        <c:numFmt formatCode="General" sourceLinked="1"/>
        <c:majorTickMark val="out"/>
        <c:minorTickMark val="none"/>
        <c:tickLblPos val="nextTo"/>
        <c:crossAx val="282598784"/>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44057</c:v>
                </c:pt>
                <c:pt idx="1">
                  <c:v>44050</c:v>
                </c:pt>
                <c:pt idx="2">
                  <c:v>44043</c:v>
                </c:pt>
                <c:pt idx="3">
                  <c:v>44036</c:v>
                </c:pt>
                <c:pt idx="4">
                  <c:v>44029</c:v>
                </c:pt>
                <c:pt idx="5">
                  <c:v>44022</c:v>
                </c:pt>
                <c:pt idx="6">
                  <c:v>44015</c:v>
                </c:pt>
                <c:pt idx="7">
                  <c:v>44006</c:v>
                </c:pt>
                <c:pt idx="8">
                  <c:v>44001</c:v>
                </c:pt>
                <c:pt idx="9">
                  <c:v>43994</c:v>
                </c:pt>
                <c:pt idx="10">
                  <c:v>43987</c:v>
                </c:pt>
                <c:pt idx="11">
                  <c:v>43980</c:v>
                </c:pt>
                <c:pt idx="12">
                  <c:v>43973</c:v>
                </c:pt>
                <c:pt idx="13">
                  <c:v>43966</c:v>
                </c:pt>
                <c:pt idx="14">
                  <c:v>43959</c:v>
                </c:pt>
                <c:pt idx="15">
                  <c:v>43951</c:v>
                </c:pt>
                <c:pt idx="16">
                  <c:v>43945</c:v>
                </c:pt>
                <c:pt idx="17">
                  <c:v>43938</c:v>
                </c:pt>
                <c:pt idx="18">
                  <c:v>43931</c:v>
                </c:pt>
                <c:pt idx="19">
                  <c:v>43924</c:v>
                </c:pt>
                <c:pt idx="20">
                  <c:v>43917</c:v>
                </c:pt>
                <c:pt idx="21">
                  <c:v>43910</c:v>
                </c:pt>
                <c:pt idx="22">
                  <c:v>43903</c:v>
                </c:pt>
                <c:pt idx="23">
                  <c:v>43896</c:v>
                </c:pt>
              </c:numCache>
            </c:numRef>
          </c:cat>
          <c:val>
            <c:numRef>
              <c:f>转债!$H$5:$H$28</c:f>
              <c:numCache>
                <c:formatCode>General</c:formatCode>
                <c:ptCount val="24"/>
                <c:pt idx="0">
                  <c:v>1.6787333176645935</c:v>
                </c:pt>
                <c:pt idx="1">
                  <c:v>2.1089301060867482</c:v>
                </c:pt>
                <c:pt idx="2">
                  <c:v>0.99654184493489506</c:v>
                </c:pt>
                <c:pt idx="3">
                  <c:v>-1.2485912512151698</c:v>
                </c:pt>
                <c:pt idx="4">
                  <c:v>-1.6875161942838002</c:v>
                </c:pt>
                <c:pt idx="5">
                  <c:v>1.8623255360906477</c:v>
                </c:pt>
                <c:pt idx="6">
                  <c:v>-2.0483528823020625</c:v>
                </c:pt>
                <c:pt idx="7">
                  <c:v>-6.0570109928234857</c:v>
                </c:pt>
                <c:pt idx="8">
                  <c:v>-5.5728857003003451</c:v>
                </c:pt>
                <c:pt idx="9">
                  <c:v>-6.3890912841851666</c:v>
                </c:pt>
                <c:pt idx="10">
                  <c:v>-6.0646173470295217</c:v>
                </c:pt>
                <c:pt idx="11">
                  <c:v>-6.4520762747688698</c:v>
                </c:pt>
                <c:pt idx="12">
                  <c:v>-7.1862262605822069</c:v>
                </c:pt>
                <c:pt idx="13">
                  <c:v>-4.8420463938356857</c:v>
                </c:pt>
                <c:pt idx="14">
                  <c:v>-3.3531709604718629</c:v>
                </c:pt>
                <c:pt idx="15">
                  <c:v>-3.3118832320657599</c:v>
                </c:pt>
                <c:pt idx="16">
                  <c:v>-4.1970111405728154</c:v>
                </c:pt>
                <c:pt idx="17">
                  <c:v>-4.0088222764395498</c:v>
                </c:pt>
                <c:pt idx="18">
                  <c:v>-4.0850773454042644</c:v>
                </c:pt>
                <c:pt idx="19">
                  <c:v>-4.4041885292348093</c:v>
                </c:pt>
                <c:pt idx="20">
                  <c:v>-3.8275557418534722</c:v>
                </c:pt>
                <c:pt idx="21">
                  <c:v>-3.3880562180714446</c:v>
                </c:pt>
                <c:pt idx="22">
                  <c:v>-2.4851710294215401</c:v>
                </c:pt>
                <c:pt idx="23">
                  <c:v>0</c:v>
                </c:pt>
              </c:numCache>
            </c:numRef>
          </c:val>
          <c:smooth val="1"/>
          <c:extLst xmlns:c16r2="http://schemas.microsoft.com/office/drawing/2015/06/chart">
            <c:ext xmlns:c16="http://schemas.microsoft.com/office/drawing/2014/chart" uri="{C3380CC4-5D6E-409C-BE32-E72D297353CC}">
              <c16:uniqueId val="{00000000-00A9-4C2B-8790-D265EF38EB3B}"/>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44057</c:v>
                </c:pt>
                <c:pt idx="1">
                  <c:v>44050</c:v>
                </c:pt>
                <c:pt idx="2">
                  <c:v>44043</c:v>
                </c:pt>
                <c:pt idx="3">
                  <c:v>44036</c:v>
                </c:pt>
                <c:pt idx="4">
                  <c:v>44029</c:v>
                </c:pt>
                <c:pt idx="5">
                  <c:v>44022</c:v>
                </c:pt>
                <c:pt idx="6">
                  <c:v>44015</c:v>
                </c:pt>
                <c:pt idx="7">
                  <c:v>44006</c:v>
                </c:pt>
                <c:pt idx="8">
                  <c:v>44001</c:v>
                </c:pt>
                <c:pt idx="9">
                  <c:v>43994</c:v>
                </c:pt>
                <c:pt idx="10">
                  <c:v>43987</c:v>
                </c:pt>
                <c:pt idx="11">
                  <c:v>43980</c:v>
                </c:pt>
                <c:pt idx="12">
                  <c:v>43973</c:v>
                </c:pt>
                <c:pt idx="13">
                  <c:v>43966</c:v>
                </c:pt>
                <c:pt idx="14">
                  <c:v>43959</c:v>
                </c:pt>
                <c:pt idx="15">
                  <c:v>43951</c:v>
                </c:pt>
                <c:pt idx="16">
                  <c:v>43945</c:v>
                </c:pt>
                <c:pt idx="17">
                  <c:v>43938</c:v>
                </c:pt>
                <c:pt idx="18">
                  <c:v>43931</c:v>
                </c:pt>
                <c:pt idx="19">
                  <c:v>43924</c:v>
                </c:pt>
                <c:pt idx="20">
                  <c:v>43917</c:v>
                </c:pt>
                <c:pt idx="21">
                  <c:v>43910</c:v>
                </c:pt>
                <c:pt idx="22">
                  <c:v>43903</c:v>
                </c:pt>
                <c:pt idx="23">
                  <c:v>43896</c:v>
                </c:pt>
              </c:numCache>
            </c:numRef>
          </c:cat>
          <c:val>
            <c:numRef>
              <c:f>转债!$I$5:$I$28</c:f>
              <c:numCache>
                <c:formatCode>General</c:formatCode>
                <c:ptCount val="24"/>
                <c:pt idx="0">
                  <c:v>-2.2634829113740818</c:v>
                </c:pt>
                <c:pt idx="1">
                  <c:v>-2.466486604982443</c:v>
                </c:pt>
                <c:pt idx="2">
                  <c:v>-2.2593467317977067</c:v>
                </c:pt>
                <c:pt idx="3">
                  <c:v>-1.724290541798168</c:v>
                </c:pt>
                <c:pt idx="4">
                  <c:v>-2.3625857740239731</c:v>
                </c:pt>
                <c:pt idx="5">
                  <c:v>-2.5887520732600144</c:v>
                </c:pt>
                <c:pt idx="6">
                  <c:v>-1.3706471880183257</c:v>
                </c:pt>
                <c:pt idx="7">
                  <c:v>-1.4110990242752308</c:v>
                </c:pt>
                <c:pt idx="8">
                  <c:v>-1.3535234045721323</c:v>
                </c:pt>
                <c:pt idx="9">
                  <c:v>-0.8393135596375112</c:v>
                </c:pt>
                <c:pt idx="10">
                  <c:v>-1.3013248183183057</c:v>
                </c:pt>
                <c:pt idx="11">
                  <c:v>-6.7585174277928761E-2</c:v>
                </c:pt>
                <c:pt idx="12">
                  <c:v>0.68635763890325663</c:v>
                </c:pt>
                <c:pt idx="13">
                  <c:v>0.73648813536888458</c:v>
                </c:pt>
                <c:pt idx="14">
                  <c:v>1.15879207011651</c:v>
                </c:pt>
                <c:pt idx="15">
                  <c:v>1.7609370928448165</c:v>
                </c:pt>
                <c:pt idx="16">
                  <c:v>1.7966736843846753</c:v>
                </c:pt>
                <c:pt idx="17">
                  <c:v>1.4844748499600824</c:v>
                </c:pt>
                <c:pt idx="18">
                  <c:v>1.3736252373133029</c:v>
                </c:pt>
                <c:pt idx="19">
                  <c:v>0.54084684140647266</c:v>
                </c:pt>
                <c:pt idx="20">
                  <c:v>0.27795126753222821</c:v>
                </c:pt>
                <c:pt idx="21">
                  <c:v>-0.18976791896396783</c:v>
                </c:pt>
                <c:pt idx="22">
                  <c:v>-3.8383746468739766E-2</c:v>
                </c:pt>
                <c:pt idx="23">
                  <c:v>0</c:v>
                </c:pt>
              </c:numCache>
            </c:numRef>
          </c:val>
          <c:smooth val="1"/>
          <c:extLst xmlns:c16r2="http://schemas.microsoft.com/office/drawing/2015/06/chart">
            <c:ext xmlns:c16="http://schemas.microsoft.com/office/drawing/2014/chart" uri="{C3380CC4-5D6E-409C-BE32-E72D297353CC}">
              <c16:uniqueId val="{00000001-00A9-4C2B-8790-D265EF38EB3B}"/>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44057</c:v>
                </c:pt>
                <c:pt idx="1">
                  <c:v>44050</c:v>
                </c:pt>
                <c:pt idx="2">
                  <c:v>44043</c:v>
                </c:pt>
                <c:pt idx="3">
                  <c:v>44036</c:v>
                </c:pt>
                <c:pt idx="4">
                  <c:v>44029</c:v>
                </c:pt>
                <c:pt idx="5">
                  <c:v>44022</c:v>
                </c:pt>
                <c:pt idx="6">
                  <c:v>44015</c:v>
                </c:pt>
                <c:pt idx="7">
                  <c:v>44006</c:v>
                </c:pt>
                <c:pt idx="8">
                  <c:v>44001</c:v>
                </c:pt>
                <c:pt idx="9">
                  <c:v>43994</c:v>
                </c:pt>
                <c:pt idx="10">
                  <c:v>43987</c:v>
                </c:pt>
                <c:pt idx="11">
                  <c:v>43980</c:v>
                </c:pt>
                <c:pt idx="12">
                  <c:v>43973</c:v>
                </c:pt>
                <c:pt idx="13">
                  <c:v>43966</c:v>
                </c:pt>
                <c:pt idx="14">
                  <c:v>43959</c:v>
                </c:pt>
                <c:pt idx="15">
                  <c:v>43951</c:v>
                </c:pt>
                <c:pt idx="16">
                  <c:v>43945</c:v>
                </c:pt>
                <c:pt idx="17">
                  <c:v>43938</c:v>
                </c:pt>
                <c:pt idx="18">
                  <c:v>43931</c:v>
                </c:pt>
                <c:pt idx="19">
                  <c:v>43924</c:v>
                </c:pt>
                <c:pt idx="20">
                  <c:v>43917</c:v>
                </c:pt>
                <c:pt idx="21">
                  <c:v>43910</c:v>
                </c:pt>
                <c:pt idx="22">
                  <c:v>43903</c:v>
                </c:pt>
                <c:pt idx="23">
                  <c:v>43896</c:v>
                </c:pt>
              </c:numCache>
            </c:numRef>
          </c:cat>
          <c:val>
            <c:numRef>
              <c:f>转债!$J$5:$J$28</c:f>
              <c:numCache>
                <c:formatCode>General</c:formatCode>
                <c:ptCount val="24"/>
                <c:pt idx="0">
                  <c:v>13.679367284899268</c:v>
                </c:pt>
                <c:pt idx="1">
                  <c:v>13.759043357469579</c:v>
                </c:pt>
                <c:pt idx="2">
                  <c:v>13.447820025539636</c:v>
                </c:pt>
                <c:pt idx="3">
                  <c:v>8.8699471152303477</c:v>
                </c:pt>
                <c:pt idx="4">
                  <c:v>9.8149762793695352</c:v>
                </c:pt>
                <c:pt idx="5">
                  <c:v>14.851396174929942</c:v>
                </c:pt>
                <c:pt idx="6">
                  <c:v>6.7920215289223318</c:v>
                </c:pt>
                <c:pt idx="7">
                  <c:v>1.1653960635849003E-2</c:v>
                </c:pt>
                <c:pt idx="8">
                  <c:v>-0.9616438507102254</c:v>
                </c:pt>
                <c:pt idx="9">
                  <c:v>-3.2722982818539026</c:v>
                </c:pt>
                <c:pt idx="10">
                  <c:v>-3.3165654514265452</c:v>
                </c:pt>
                <c:pt idx="11">
                  <c:v>-6.5599499259056504</c:v>
                </c:pt>
                <c:pt idx="12">
                  <c:v>-7.5979860564215134</c:v>
                </c:pt>
                <c:pt idx="13">
                  <c:v>-5.4534470786954277</c:v>
                </c:pt>
                <c:pt idx="14">
                  <c:v>-4.2258111813844312</c:v>
                </c:pt>
                <c:pt idx="15">
                  <c:v>-5.4592148589230449</c:v>
                </c:pt>
                <c:pt idx="16">
                  <c:v>-8.2526158224395463</c:v>
                </c:pt>
                <c:pt idx="17">
                  <c:v>-7.2253130307469382</c:v>
                </c:pt>
                <c:pt idx="18">
                  <c:v>-8.9242082265798661</c:v>
                </c:pt>
                <c:pt idx="19">
                  <c:v>-10.276384199597377</c:v>
                </c:pt>
                <c:pt idx="20">
                  <c:v>-10.352687075184985</c:v>
                </c:pt>
                <c:pt idx="21">
                  <c:v>-11.726047015213602</c:v>
                </c:pt>
                <c:pt idx="22">
                  <c:v>-5.8763797728804246</c:v>
                </c:pt>
                <c:pt idx="23">
                  <c:v>0</c:v>
                </c:pt>
              </c:numCache>
            </c:numRef>
          </c:val>
          <c:smooth val="1"/>
          <c:extLst xmlns:c16r2="http://schemas.microsoft.com/office/drawing/2015/06/chart">
            <c:ext xmlns:c16="http://schemas.microsoft.com/office/drawing/2014/chart" uri="{C3380CC4-5D6E-409C-BE32-E72D297353CC}">
              <c16:uniqueId val="{00000002-00A9-4C2B-8790-D265EF38EB3B}"/>
            </c:ext>
          </c:extLst>
        </c:ser>
        <c:dLbls>
          <c:showLegendKey val="0"/>
          <c:showVal val="0"/>
          <c:showCatName val="0"/>
          <c:showSerName val="0"/>
          <c:showPercent val="0"/>
          <c:showBubbleSize val="0"/>
        </c:dLbls>
        <c:marker val="1"/>
        <c:smooth val="0"/>
        <c:axId val="284826240"/>
        <c:axId val="284828032"/>
      </c:lineChart>
      <c:dateAx>
        <c:axId val="284826240"/>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84828032"/>
        <c:crosses val="autoZero"/>
        <c:auto val="0"/>
        <c:lblOffset val="0"/>
        <c:baseTimeUnit val="days"/>
        <c:majorUnit val="14"/>
        <c:majorTimeUnit val="days"/>
      </c:dateAx>
      <c:valAx>
        <c:axId val="284828032"/>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84826240"/>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库存!$H$1</c:f>
              <c:strCache>
                <c:ptCount val="1"/>
                <c:pt idx="0">
                  <c:v>2018</c:v>
                </c:pt>
              </c:strCache>
            </c:strRef>
          </c:tx>
          <c:spPr>
            <a:ln w="28575">
              <a:solidFill>
                <a:srgbClr val="E7E6E6">
                  <a:lumMod val="75000"/>
                </a:srgbClr>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库存!$H$2:$H$366</c:f>
              <c:numCache>
                <c:formatCode>General</c:formatCode>
                <c:ptCount val="365"/>
                <c:pt idx="0">
                  <c:v>#N/A</c:v>
                </c:pt>
                <c:pt idx="1">
                  <c:v>#N/A</c:v>
                </c:pt>
                <c:pt idx="2">
                  <c:v>#N/A</c:v>
                </c:pt>
                <c:pt idx="3">
                  <c:v>#N/A</c:v>
                </c:pt>
                <c:pt idx="4">
                  <c:v>835.09839999999997</c:v>
                </c:pt>
                <c:pt idx="5">
                  <c:v>#N/A</c:v>
                </c:pt>
                <c:pt idx="6">
                  <c:v>#N/A</c:v>
                </c:pt>
                <c:pt idx="7">
                  <c:v>#N/A</c:v>
                </c:pt>
                <c:pt idx="8">
                  <c:v>#N/A</c:v>
                </c:pt>
                <c:pt idx="9">
                  <c:v>#N/A</c:v>
                </c:pt>
                <c:pt idx="10">
                  <c:v>#N/A</c:v>
                </c:pt>
                <c:pt idx="11">
                  <c:v>890.60569999999996</c:v>
                </c:pt>
                <c:pt idx="12">
                  <c:v>#N/A</c:v>
                </c:pt>
                <c:pt idx="13">
                  <c:v>#N/A</c:v>
                </c:pt>
                <c:pt idx="14">
                  <c:v>#N/A</c:v>
                </c:pt>
                <c:pt idx="15">
                  <c:v>#N/A</c:v>
                </c:pt>
                <c:pt idx="16">
                  <c:v>#N/A</c:v>
                </c:pt>
                <c:pt idx="17">
                  <c:v>#N/A</c:v>
                </c:pt>
                <c:pt idx="18">
                  <c:v>932.39099999999996</c:v>
                </c:pt>
                <c:pt idx="19">
                  <c:v>#N/A</c:v>
                </c:pt>
                <c:pt idx="20">
                  <c:v>#N/A</c:v>
                </c:pt>
                <c:pt idx="21">
                  <c:v>#N/A</c:v>
                </c:pt>
                <c:pt idx="22">
                  <c:v>#N/A</c:v>
                </c:pt>
                <c:pt idx="23">
                  <c:v>#N/A</c:v>
                </c:pt>
                <c:pt idx="24">
                  <c:v>#N/A</c:v>
                </c:pt>
                <c:pt idx="25">
                  <c:v>972.77679999999998</c:v>
                </c:pt>
                <c:pt idx="26">
                  <c:v>#N/A</c:v>
                </c:pt>
                <c:pt idx="27">
                  <c:v>#N/A</c:v>
                </c:pt>
                <c:pt idx="28">
                  <c:v>#N/A</c:v>
                </c:pt>
                <c:pt idx="29">
                  <c:v>#N/A</c:v>
                </c:pt>
                <c:pt idx="30">
                  <c:v>#N/A</c:v>
                </c:pt>
                <c:pt idx="31">
                  <c:v>#N/A</c:v>
                </c:pt>
                <c:pt idx="32">
                  <c:v>1075.2798</c:v>
                </c:pt>
                <c:pt idx="33">
                  <c:v>#N/A</c:v>
                </c:pt>
                <c:pt idx="34">
                  <c:v>#N/A</c:v>
                </c:pt>
                <c:pt idx="35">
                  <c:v>#N/A</c:v>
                </c:pt>
                <c:pt idx="36">
                  <c:v>#N/A</c:v>
                </c:pt>
                <c:pt idx="37">
                  <c:v>#N/A</c:v>
                </c:pt>
                <c:pt idx="38">
                  <c:v>#N/A</c:v>
                </c:pt>
                <c:pt idx="39">
                  <c:v>1218.9889000000001</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1616.0438999999999</c:v>
                </c:pt>
                <c:pt idx="54">
                  <c:v>#N/A</c:v>
                </c:pt>
                <c:pt idx="55">
                  <c:v>#N/A</c:v>
                </c:pt>
                <c:pt idx="56">
                  <c:v>#N/A</c:v>
                </c:pt>
                <c:pt idx="57">
                  <c:v>#N/A</c:v>
                </c:pt>
                <c:pt idx="58">
                  <c:v>#N/A</c:v>
                </c:pt>
                <c:pt idx="59">
                  <c:v>#N/A</c:v>
                </c:pt>
                <c:pt idx="60">
                  <c:v>1851.7684999999999</c:v>
                </c:pt>
                <c:pt idx="61">
                  <c:v>#N/A</c:v>
                </c:pt>
                <c:pt idx="62">
                  <c:v>#N/A</c:v>
                </c:pt>
                <c:pt idx="63">
                  <c:v>#N/A</c:v>
                </c:pt>
                <c:pt idx="64">
                  <c:v>#N/A</c:v>
                </c:pt>
                <c:pt idx="65">
                  <c:v>#N/A</c:v>
                </c:pt>
                <c:pt idx="66">
                  <c:v>#N/A</c:v>
                </c:pt>
                <c:pt idx="67">
                  <c:v>1965.1591000000001</c:v>
                </c:pt>
                <c:pt idx="68">
                  <c:v>#N/A</c:v>
                </c:pt>
                <c:pt idx="69">
                  <c:v>#N/A</c:v>
                </c:pt>
                <c:pt idx="70">
                  <c:v>#N/A</c:v>
                </c:pt>
                <c:pt idx="71">
                  <c:v>#N/A</c:v>
                </c:pt>
                <c:pt idx="72">
                  <c:v>#N/A</c:v>
                </c:pt>
                <c:pt idx="73">
                  <c:v>#N/A</c:v>
                </c:pt>
                <c:pt idx="74">
                  <c:v>1947.9930999999999</c:v>
                </c:pt>
                <c:pt idx="75">
                  <c:v>#N/A</c:v>
                </c:pt>
                <c:pt idx="76">
                  <c:v>#N/A</c:v>
                </c:pt>
                <c:pt idx="77">
                  <c:v>#N/A</c:v>
                </c:pt>
                <c:pt idx="78">
                  <c:v>#N/A</c:v>
                </c:pt>
                <c:pt idx="79">
                  <c:v>#N/A</c:v>
                </c:pt>
                <c:pt idx="80">
                  <c:v>#N/A</c:v>
                </c:pt>
                <c:pt idx="81">
                  <c:v>1877.1077</c:v>
                </c:pt>
                <c:pt idx="82">
                  <c:v>#N/A</c:v>
                </c:pt>
                <c:pt idx="83">
                  <c:v>#N/A</c:v>
                </c:pt>
                <c:pt idx="84">
                  <c:v>#N/A</c:v>
                </c:pt>
                <c:pt idx="85">
                  <c:v>#N/A</c:v>
                </c:pt>
                <c:pt idx="86">
                  <c:v>#N/A</c:v>
                </c:pt>
                <c:pt idx="87">
                  <c:v>#N/A</c:v>
                </c:pt>
                <c:pt idx="88">
                  <c:v>1797.1663000000001</c:v>
                </c:pt>
                <c:pt idx="89">
                  <c:v>#N/A</c:v>
                </c:pt>
                <c:pt idx="90">
                  <c:v>#N/A</c:v>
                </c:pt>
                <c:pt idx="91">
                  <c:v>#N/A</c:v>
                </c:pt>
                <c:pt idx="92">
                  <c:v>#N/A</c:v>
                </c:pt>
                <c:pt idx="93">
                  <c:v>#N/A</c:v>
                </c:pt>
                <c:pt idx="94">
                  <c:v>1680.1645000000001</c:v>
                </c:pt>
                <c:pt idx="95">
                  <c:v>#N/A</c:v>
                </c:pt>
                <c:pt idx="96">
                  <c:v>#N/A</c:v>
                </c:pt>
                <c:pt idx="97">
                  <c:v>#N/A</c:v>
                </c:pt>
                <c:pt idx="98">
                  <c:v>#N/A</c:v>
                </c:pt>
                <c:pt idx="99">
                  <c:v>#N/A</c:v>
                </c:pt>
                <c:pt idx="100">
                  <c:v>#N/A</c:v>
                </c:pt>
                <c:pt idx="101">
                  <c:v>#N/A</c:v>
                </c:pt>
                <c:pt idx="102">
                  <c:v>1593.9454000000001</c:v>
                </c:pt>
                <c:pt idx="103">
                  <c:v>#N/A</c:v>
                </c:pt>
                <c:pt idx="104">
                  <c:v>#N/A</c:v>
                </c:pt>
                <c:pt idx="105">
                  <c:v>#N/A</c:v>
                </c:pt>
                <c:pt idx="106">
                  <c:v>#N/A</c:v>
                </c:pt>
                <c:pt idx="107">
                  <c:v>#N/A</c:v>
                </c:pt>
                <c:pt idx="108">
                  <c:v>#N/A</c:v>
                </c:pt>
                <c:pt idx="109">
                  <c:v>1500.1545000000001</c:v>
                </c:pt>
                <c:pt idx="110">
                  <c:v>#N/A</c:v>
                </c:pt>
                <c:pt idx="111">
                  <c:v>#N/A</c:v>
                </c:pt>
                <c:pt idx="112">
                  <c:v>#N/A</c:v>
                </c:pt>
                <c:pt idx="113">
                  <c:v>#N/A</c:v>
                </c:pt>
                <c:pt idx="114">
                  <c:v>#N/A</c:v>
                </c:pt>
                <c:pt idx="115">
                  <c:v>#N/A</c:v>
                </c:pt>
                <c:pt idx="116">
                  <c:v>1415.1107</c:v>
                </c:pt>
                <c:pt idx="117">
                  <c:v>#N/A</c:v>
                </c:pt>
                <c:pt idx="118">
                  <c:v>#N/A</c:v>
                </c:pt>
                <c:pt idx="119">
                  <c:v>#N/A</c:v>
                </c:pt>
                <c:pt idx="120">
                  <c:v>#N/A</c:v>
                </c:pt>
                <c:pt idx="121">
                  <c:v>#N/A</c:v>
                </c:pt>
                <c:pt idx="122">
                  <c:v>#N/A</c:v>
                </c:pt>
                <c:pt idx="123">
                  <c:v>1348.7941000000001</c:v>
                </c:pt>
                <c:pt idx="124">
                  <c:v>#N/A</c:v>
                </c:pt>
                <c:pt idx="125">
                  <c:v>#N/A</c:v>
                </c:pt>
                <c:pt idx="126">
                  <c:v>#N/A</c:v>
                </c:pt>
                <c:pt idx="127">
                  <c:v>#N/A</c:v>
                </c:pt>
                <c:pt idx="128">
                  <c:v>#N/A</c:v>
                </c:pt>
                <c:pt idx="129">
                  <c:v>#N/A</c:v>
                </c:pt>
                <c:pt idx="130">
                  <c:v>1270.1989000000001</c:v>
                </c:pt>
                <c:pt idx="131">
                  <c:v>#N/A</c:v>
                </c:pt>
                <c:pt idx="132">
                  <c:v>#N/A</c:v>
                </c:pt>
                <c:pt idx="133">
                  <c:v>#N/A</c:v>
                </c:pt>
                <c:pt idx="134">
                  <c:v>#N/A</c:v>
                </c:pt>
                <c:pt idx="135">
                  <c:v>#N/A</c:v>
                </c:pt>
                <c:pt idx="136">
                  <c:v>#N/A</c:v>
                </c:pt>
                <c:pt idx="137">
                  <c:v>1210.9458999999999</c:v>
                </c:pt>
                <c:pt idx="138">
                  <c:v>#N/A</c:v>
                </c:pt>
                <c:pt idx="139">
                  <c:v>#N/A</c:v>
                </c:pt>
                <c:pt idx="140">
                  <c:v>#N/A</c:v>
                </c:pt>
                <c:pt idx="141">
                  <c:v>#N/A</c:v>
                </c:pt>
                <c:pt idx="142">
                  <c:v>#N/A</c:v>
                </c:pt>
                <c:pt idx="143">
                  <c:v>#N/A</c:v>
                </c:pt>
                <c:pt idx="144">
                  <c:v>1133.2660000000001</c:v>
                </c:pt>
                <c:pt idx="145">
                  <c:v>#N/A</c:v>
                </c:pt>
                <c:pt idx="146">
                  <c:v>#N/A</c:v>
                </c:pt>
                <c:pt idx="147">
                  <c:v>#N/A</c:v>
                </c:pt>
                <c:pt idx="148">
                  <c:v>#N/A</c:v>
                </c:pt>
                <c:pt idx="149">
                  <c:v>#N/A</c:v>
                </c:pt>
                <c:pt idx="150">
                  <c:v>#N/A</c:v>
                </c:pt>
                <c:pt idx="151">
                  <c:v>1075.385</c:v>
                </c:pt>
                <c:pt idx="152">
                  <c:v>#N/A</c:v>
                </c:pt>
                <c:pt idx="153">
                  <c:v>#N/A</c:v>
                </c:pt>
                <c:pt idx="154">
                  <c:v>#N/A</c:v>
                </c:pt>
                <c:pt idx="155">
                  <c:v>#N/A</c:v>
                </c:pt>
                <c:pt idx="156">
                  <c:v>#N/A</c:v>
                </c:pt>
                <c:pt idx="157">
                  <c:v>#N/A</c:v>
                </c:pt>
                <c:pt idx="158">
                  <c:v>1035.886</c:v>
                </c:pt>
                <c:pt idx="159">
                  <c:v>#N/A</c:v>
                </c:pt>
                <c:pt idx="160">
                  <c:v>#N/A</c:v>
                </c:pt>
                <c:pt idx="161">
                  <c:v>#N/A</c:v>
                </c:pt>
                <c:pt idx="162">
                  <c:v>#N/A</c:v>
                </c:pt>
                <c:pt idx="163">
                  <c:v>#N/A</c:v>
                </c:pt>
                <c:pt idx="164">
                  <c:v>#N/A</c:v>
                </c:pt>
                <c:pt idx="165">
                  <c:v>998.59460000000001</c:v>
                </c:pt>
                <c:pt idx="166">
                  <c:v>#N/A</c:v>
                </c:pt>
                <c:pt idx="167">
                  <c:v>#N/A</c:v>
                </c:pt>
                <c:pt idx="168">
                  <c:v>#N/A</c:v>
                </c:pt>
                <c:pt idx="169">
                  <c:v>#N/A</c:v>
                </c:pt>
                <c:pt idx="170">
                  <c:v>#N/A</c:v>
                </c:pt>
                <c:pt idx="171">
                  <c:v>#N/A</c:v>
                </c:pt>
                <c:pt idx="172">
                  <c:v>1009.6992</c:v>
                </c:pt>
                <c:pt idx="173">
                  <c:v>#N/A</c:v>
                </c:pt>
                <c:pt idx="174">
                  <c:v>#N/A</c:v>
                </c:pt>
                <c:pt idx="175">
                  <c:v>#N/A</c:v>
                </c:pt>
                <c:pt idx="176">
                  <c:v>#N/A</c:v>
                </c:pt>
                <c:pt idx="177">
                  <c:v>#N/A</c:v>
                </c:pt>
                <c:pt idx="178">
                  <c:v>#N/A</c:v>
                </c:pt>
                <c:pt idx="179">
                  <c:v>1025.2517</c:v>
                </c:pt>
                <c:pt idx="180">
                  <c:v>#N/A</c:v>
                </c:pt>
                <c:pt idx="181">
                  <c:v>#N/A</c:v>
                </c:pt>
                <c:pt idx="182">
                  <c:v>#N/A</c:v>
                </c:pt>
                <c:pt idx="183">
                  <c:v>#N/A</c:v>
                </c:pt>
                <c:pt idx="184">
                  <c:v>#N/A</c:v>
                </c:pt>
                <c:pt idx="185">
                  <c:v>#N/A</c:v>
                </c:pt>
                <c:pt idx="186">
                  <c:v>1009.8008</c:v>
                </c:pt>
                <c:pt idx="187">
                  <c:v>#N/A</c:v>
                </c:pt>
                <c:pt idx="188">
                  <c:v>#N/A</c:v>
                </c:pt>
                <c:pt idx="189">
                  <c:v>#N/A</c:v>
                </c:pt>
                <c:pt idx="190">
                  <c:v>#N/A</c:v>
                </c:pt>
                <c:pt idx="191">
                  <c:v>#N/A</c:v>
                </c:pt>
                <c:pt idx="192">
                  <c:v>#N/A</c:v>
                </c:pt>
                <c:pt idx="193">
                  <c:v>996.97540000000004</c:v>
                </c:pt>
                <c:pt idx="194">
                  <c:v>#N/A</c:v>
                </c:pt>
                <c:pt idx="195">
                  <c:v>#N/A</c:v>
                </c:pt>
                <c:pt idx="196">
                  <c:v>#N/A</c:v>
                </c:pt>
                <c:pt idx="197">
                  <c:v>#N/A</c:v>
                </c:pt>
                <c:pt idx="198">
                  <c:v>#N/A</c:v>
                </c:pt>
                <c:pt idx="199">
                  <c:v>#N/A</c:v>
                </c:pt>
                <c:pt idx="200">
                  <c:v>999.93079999999998</c:v>
                </c:pt>
                <c:pt idx="201">
                  <c:v>#N/A</c:v>
                </c:pt>
                <c:pt idx="202">
                  <c:v>#N/A</c:v>
                </c:pt>
                <c:pt idx="203">
                  <c:v>#N/A</c:v>
                </c:pt>
                <c:pt idx="204">
                  <c:v>#N/A</c:v>
                </c:pt>
                <c:pt idx="205">
                  <c:v>#N/A</c:v>
                </c:pt>
                <c:pt idx="206">
                  <c:v>#N/A</c:v>
                </c:pt>
                <c:pt idx="207">
                  <c:v>987.18</c:v>
                </c:pt>
                <c:pt idx="208">
                  <c:v>#N/A</c:v>
                </c:pt>
                <c:pt idx="209">
                  <c:v>#N/A</c:v>
                </c:pt>
                <c:pt idx="210">
                  <c:v>#N/A</c:v>
                </c:pt>
                <c:pt idx="211">
                  <c:v>#N/A</c:v>
                </c:pt>
                <c:pt idx="212">
                  <c:v>#N/A</c:v>
                </c:pt>
                <c:pt idx="213">
                  <c:v>#N/A</c:v>
                </c:pt>
                <c:pt idx="214">
                  <c:v>1001.82</c:v>
                </c:pt>
                <c:pt idx="215">
                  <c:v>#N/A</c:v>
                </c:pt>
                <c:pt idx="216">
                  <c:v>#N/A</c:v>
                </c:pt>
                <c:pt idx="217">
                  <c:v>#N/A</c:v>
                </c:pt>
                <c:pt idx="218">
                  <c:v>#N/A</c:v>
                </c:pt>
                <c:pt idx="219">
                  <c:v>#N/A</c:v>
                </c:pt>
                <c:pt idx="220">
                  <c:v>#N/A</c:v>
                </c:pt>
                <c:pt idx="221">
                  <c:v>1001.2</c:v>
                </c:pt>
                <c:pt idx="222">
                  <c:v>#N/A</c:v>
                </c:pt>
                <c:pt idx="223">
                  <c:v>#N/A</c:v>
                </c:pt>
                <c:pt idx="224">
                  <c:v>#N/A</c:v>
                </c:pt>
                <c:pt idx="225">
                  <c:v>#N/A</c:v>
                </c:pt>
                <c:pt idx="226">
                  <c:v>#N/A</c:v>
                </c:pt>
                <c:pt idx="227">
                  <c:v>#N/A</c:v>
                </c:pt>
                <c:pt idx="228">
                  <c:v>1008.52</c:v>
                </c:pt>
                <c:pt idx="229">
                  <c:v>#N/A</c:v>
                </c:pt>
                <c:pt idx="230">
                  <c:v>#N/A</c:v>
                </c:pt>
                <c:pt idx="231">
                  <c:v>#N/A</c:v>
                </c:pt>
                <c:pt idx="232">
                  <c:v>#N/A</c:v>
                </c:pt>
                <c:pt idx="233">
                  <c:v>#N/A</c:v>
                </c:pt>
                <c:pt idx="234">
                  <c:v>#N/A</c:v>
                </c:pt>
                <c:pt idx="235">
                  <c:v>1004.18</c:v>
                </c:pt>
                <c:pt idx="236">
                  <c:v>#N/A</c:v>
                </c:pt>
                <c:pt idx="237">
                  <c:v>#N/A</c:v>
                </c:pt>
                <c:pt idx="238">
                  <c:v>#N/A</c:v>
                </c:pt>
                <c:pt idx="239">
                  <c:v>#N/A</c:v>
                </c:pt>
                <c:pt idx="240">
                  <c:v>#N/A</c:v>
                </c:pt>
                <c:pt idx="241">
                  <c:v>#N/A</c:v>
                </c:pt>
                <c:pt idx="242">
                  <c:v>995.88</c:v>
                </c:pt>
                <c:pt idx="243">
                  <c:v>#N/A</c:v>
                </c:pt>
                <c:pt idx="244">
                  <c:v>#N/A</c:v>
                </c:pt>
                <c:pt idx="245">
                  <c:v>#N/A</c:v>
                </c:pt>
                <c:pt idx="246">
                  <c:v>#N/A</c:v>
                </c:pt>
                <c:pt idx="247">
                  <c:v>#N/A</c:v>
                </c:pt>
                <c:pt idx="248">
                  <c:v>#N/A</c:v>
                </c:pt>
                <c:pt idx="249">
                  <c:v>999.49</c:v>
                </c:pt>
                <c:pt idx="250">
                  <c:v>#N/A</c:v>
                </c:pt>
                <c:pt idx="251">
                  <c:v>#N/A</c:v>
                </c:pt>
                <c:pt idx="252">
                  <c:v>#N/A</c:v>
                </c:pt>
                <c:pt idx="253">
                  <c:v>#N/A</c:v>
                </c:pt>
                <c:pt idx="254">
                  <c:v>#N/A</c:v>
                </c:pt>
                <c:pt idx="255">
                  <c:v>#N/A</c:v>
                </c:pt>
                <c:pt idx="256">
                  <c:v>1001.47</c:v>
                </c:pt>
                <c:pt idx="257">
                  <c:v>#N/A</c:v>
                </c:pt>
                <c:pt idx="258">
                  <c:v>#N/A</c:v>
                </c:pt>
                <c:pt idx="259">
                  <c:v>#N/A</c:v>
                </c:pt>
                <c:pt idx="260">
                  <c:v>#N/A</c:v>
                </c:pt>
                <c:pt idx="261">
                  <c:v>#N/A</c:v>
                </c:pt>
                <c:pt idx="262">
                  <c:v>#N/A</c:v>
                </c:pt>
                <c:pt idx="263">
                  <c:v>984.59</c:v>
                </c:pt>
                <c:pt idx="264">
                  <c:v>#N/A</c:v>
                </c:pt>
                <c:pt idx="265">
                  <c:v>#N/A</c:v>
                </c:pt>
                <c:pt idx="266">
                  <c:v>#N/A</c:v>
                </c:pt>
                <c:pt idx="267">
                  <c:v>#N/A</c:v>
                </c:pt>
                <c:pt idx="268">
                  <c:v>#N/A</c:v>
                </c:pt>
                <c:pt idx="269">
                  <c:v>#N/A</c:v>
                </c:pt>
                <c:pt idx="270">
                  <c:v>1001.28</c:v>
                </c:pt>
                <c:pt idx="271">
                  <c:v>#N/A</c:v>
                </c:pt>
                <c:pt idx="272">
                  <c:v>#N/A</c:v>
                </c:pt>
                <c:pt idx="273">
                  <c:v>#N/A</c:v>
                </c:pt>
                <c:pt idx="274">
                  <c:v>#N/A</c:v>
                </c:pt>
                <c:pt idx="275">
                  <c:v>#N/A</c:v>
                </c:pt>
                <c:pt idx="276">
                  <c:v>#N/A</c:v>
                </c:pt>
                <c:pt idx="277">
                  <c:v>#N/A</c:v>
                </c:pt>
                <c:pt idx="278">
                  <c:v>#N/A</c:v>
                </c:pt>
                <c:pt idx="279">
                  <c:v>#N/A</c:v>
                </c:pt>
                <c:pt idx="280">
                  <c:v>1086.1099999999999</c:v>
                </c:pt>
                <c:pt idx="281">
                  <c:v>#N/A</c:v>
                </c:pt>
                <c:pt idx="282">
                  <c:v>#N/A</c:v>
                </c:pt>
                <c:pt idx="283">
                  <c:v>#N/A</c:v>
                </c:pt>
                <c:pt idx="284">
                  <c:v>1066.73</c:v>
                </c:pt>
                <c:pt idx="285">
                  <c:v>#N/A</c:v>
                </c:pt>
                <c:pt idx="286">
                  <c:v>#N/A</c:v>
                </c:pt>
                <c:pt idx="287">
                  <c:v>#N/A</c:v>
                </c:pt>
                <c:pt idx="288">
                  <c:v>#N/A</c:v>
                </c:pt>
                <c:pt idx="289">
                  <c:v>#N/A</c:v>
                </c:pt>
                <c:pt idx="290">
                  <c:v>#N/A</c:v>
                </c:pt>
                <c:pt idx="291">
                  <c:v>1029.99</c:v>
                </c:pt>
                <c:pt idx="292">
                  <c:v>#N/A</c:v>
                </c:pt>
                <c:pt idx="293">
                  <c:v>#N/A</c:v>
                </c:pt>
                <c:pt idx="294">
                  <c:v>#N/A</c:v>
                </c:pt>
                <c:pt idx="295">
                  <c:v>#N/A</c:v>
                </c:pt>
                <c:pt idx="296">
                  <c:v>#N/A</c:v>
                </c:pt>
                <c:pt idx="297">
                  <c:v>#N/A</c:v>
                </c:pt>
                <c:pt idx="298">
                  <c:v>980.96</c:v>
                </c:pt>
                <c:pt idx="299">
                  <c:v>#N/A</c:v>
                </c:pt>
                <c:pt idx="300">
                  <c:v>#N/A</c:v>
                </c:pt>
                <c:pt idx="301">
                  <c:v>#N/A</c:v>
                </c:pt>
                <c:pt idx="302">
                  <c:v>#N/A</c:v>
                </c:pt>
                <c:pt idx="303">
                  <c:v>#N/A</c:v>
                </c:pt>
                <c:pt idx="304">
                  <c:v>#N/A</c:v>
                </c:pt>
                <c:pt idx="305">
                  <c:v>938.9</c:v>
                </c:pt>
                <c:pt idx="306">
                  <c:v>#N/A</c:v>
                </c:pt>
                <c:pt idx="307">
                  <c:v>#N/A</c:v>
                </c:pt>
                <c:pt idx="308">
                  <c:v>#N/A</c:v>
                </c:pt>
                <c:pt idx="309">
                  <c:v>#N/A</c:v>
                </c:pt>
                <c:pt idx="310">
                  <c:v>#N/A</c:v>
                </c:pt>
                <c:pt idx="311">
                  <c:v>#N/A</c:v>
                </c:pt>
                <c:pt idx="312">
                  <c:v>891.22</c:v>
                </c:pt>
                <c:pt idx="313">
                  <c:v>#N/A</c:v>
                </c:pt>
                <c:pt idx="314">
                  <c:v>#N/A</c:v>
                </c:pt>
                <c:pt idx="315">
                  <c:v>#N/A</c:v>
                </c:pt>
                <c:pt idx="316">
                  <c:v>#N/A</c:v>
                </c:pt>
                <c:pt idx="317">
                  <c:v>#N/A</c:v>
                </c:pt>
                <c:pt idx="318">
                  <c:v>#N/A</c:v>
                </c:pt>
                <c:pt idx="319">
                  <c:v>862.79</c:v>
                </c:pt>
                <c:pt idx="320">
                  <c:v>#N/A</c:v>
                </c:pt>
                <c:pt idx="321">
                  <c:v>#N/A</c:v>
                </c:pt>
                <c:pt idx="322">
                  <c:v>#N/A</c:v>
                </c:pt>
                <c:pt idx="323">
                  <c:v>#N/A</c:v>
                </c:pt>
                <c:pt idx="324">
                  <c:v>#N/A</c:v>
                </c:pt>
                <c:pt idx="325">
                  <c:v>842.36</c:v>
                </c:pt>
                <c:pt idx="326">
                  <c:v>#N/A</c:v>
                </c:pt>
                <c:pt idx="327">
                  <c:v>#N/A</c:v>
                </c:pt>
                <c:pt idx="328">
                  <c:v>#N/A</c:v>
                </c:pt>
                <c:pt idx="329">
                  <c:v>#N/A</c:v>
                </c:pt>
                <c:pt idx="330">
                  <c:v>#N/A</c:v>
                </c:pt>
                <c:pt idx="331">
                  <c:v>#N/A</c:v>
                </c:pt>
                <c:pt idx="332">
                  <c:v>#N/A</c:v>
                </c:pt>
                <c:pt idx="333">
                  <c:v>822.83</c:v>
                </c:pt>
                <c:pt idx="334">
                  <c:v>#N/A</c:v>
                </c:pt>
                <c:pt idx="335">
                  <c:v>#N/A</c:v>
                </c:pt>
                <c:pt idx="336">
                  <c:v>#N/A</c:v>
                </c:pt>
                <c:pt idx="337">
                  <c:v>#N/A</c:v>
                </c:pt>
                <c:pt idx="338">
                  <c:v>#N/A</c:v>
                </c:pt>
                <c:pt idx="339">
                  <c:v>#N/A</c:v>
                </c:pt>
                <c:pt idx="340">
                  <c:v>797.77</c:v>
                </c:pt>
                <c:pt idx="341">
                  <c:v>#N/A</c:v>
                </c:pt>
                <c:pt idx="342">
                  <c:v>#N/A</c:v>
                </c:pt>
                <c:pt idx="343">
                  <c:v>#N/A</c:v>
                </c:pt>
                <c:pt idx="344">
                  <c:v>#N/A</c:v>
                </c:pt>
                <c:pt idx="345">
                  <c:v>#N/A</c:v>
                </c:pt>
                <c:pt idx="346">
                  <c:v>#N/A</c:v>
                </c:pt>
                <c:pt idx="347">
                  <c:v>796.7</c:v>
                </c:pt>
                <c:pt idx="348">
                  <c:v>#N/A</c:v>
                </c:pt>
                <c:pt idx="349">
                  <c:v>#N/A</c:v>
                </c:pt>
                <c:pt idx="350">
                  <c:v>#N/A</c:v>
                </c:pt>
                <c:pt idx="351">
                  <c:v>#N/A</c:v>
                </c:pt>
                <c:pt idx="352">
                  <c:v>#N/A</c:v>
                </c:pt>
                <c:pt idx="353">
                  <c:v>#N/A</c:v>
                </c:pt>
                <c:pt idx="354">
                  <c:v>789.91</c:v>
                </c:pt>
                <c:pt idx="355">
                  <c:v>#N/A</c:v>
                </c:pt>
                <c:pt idx="356">
                  <c:v>#N/A</c:v>
                </c:pt>
                <c:pt idx="357">
                  <c:v>#N/A</c:v>
                </c:pt>
                <c:pt idx="358">
                  <c:v>#N/A</c:v>
                </c:pt>
                <c:pt idx="359">
                  <c:v>#N/A</c:v>
                </c:pt>
                <c:pt idx="360">
                  <c:v>#N/A</c:v>
                </c:pt>
                <c:pt idx="361">
                  <c:v>797.56</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3108-4735-BEA8-F52DD1FF6B43}"/>
            </c:ext>
          </c:extLst>
        </c:ser>
        <c:ser>
          <c:idx val="2"/>
          <c:order val="1"/>
          <c:tx>
            <c:strRef>
              <c:f>库存!$I$1</c:f>
              <c:strCache>
                <c:ptCount val="1"/>
                <c:pt idx="0">
                  <c:v>2019</c:v>
                </c:pt>
              </c:strCache>
            </c:strRef>
          </c:tx>
          <c:spPr>
            <a:ln w="28575">
              <a:solidFill>
                <a:srgbClr val="F8CBAD"/>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库存!$I$2:$I$366</c:f>
              <c:numCache>
                <c:formatCode>General</c:formatCode>
                <c:ptCount val="365"/>
                <c:pt idx="0">
                  <c:v>#N/A</c:v>
                </c:pt>
                <c:pt idx="1">
                  <c:v>#N/A</c:v>
                </c:pt>
                <c:pt idx="2">
                  <c:v>#N/A</c:v>
                </c:pt>
                <c:pt idx="3">
                  <c:v>839.2</c:v>
                </c:pt>
                <c:pt idx="4">
                  <c:v>#N/A</c:v>
                </c:pt>
                <c:pt idx="5">
                  <c:v>#N/A</c:v>
                </c:pt>
                <c:pt idx="6">
                  <c:v>#N/A</c:v>
                </c:pt>
                <c:pt idx="7">
                  <c:v>#N/A</c:v>
                </c:pt>
                <c:pt idx="8">
                  <c:v>#N/A</c:v>
                </c:pt>
                <c:pt idx="9">
                  <c:v>#N/A</c:v>
                </c:pt>
                <c:pt idx="10">
                  <c:v>884.63</c:v>
                </c:pt>
                <c:pt idx="11">
                  <c:v>#N/A</c:v>
                </c:pt>
                <c:pt idx="12">
                  <c:v>#N/A</c:v>
                </c:pt>
                <c:pt idx="13">
                  <c:v>#N/A</c:v>
                </c:pt>
                <c:pt idx="14">
                  <c:v>#N/A</c:v>
                </c:pt>
                <c:pt idx="15">
                  <c:v>#N/A</c:v>
                </c:pt>
                <c:pt idx="16">
                  <c:v>#N/A</c:v>
                </c:pt>
                <c:pt idx="17">
                  <c:v>925.35</c:v>
                </c:pt>
                <c:pt idx="18">
                  <c:v>#N/A</c:v>
                </c:pt>
                <c:pt idx="19">
                  <c:v>#N/A</c:v>
                </c:pt>
                <c:pt idx="20">
                  <c:v>#N/A</c:v>
                </c:pt>
                <c:pt idx="21">
                  <c:v>#N/A</c:v>
                </c:pt>
                <c:pt idx="22">
                  <c:v>#N/A</c:v>
                </c:pt>
                <c:pt idx="23">
                  <c:v>#N/A</c:v>
                </c:pt>
                <c:pt idx="24">
                  <c:v>992.71</c:v>
                </c:pt>
                <c:pt idx="25">
                  <c:v>#N/A</c:v>
                </c:pt>
                <c:pt idx="26">
                  <c:v>#N/A</c:v>
                </c:pt>
                <c:pt idx="27">
                  <c:v>#N/A</c:v>
                </c:pt>
                <c:pt idx="28">
                  <c:v>#N/A</c:v>
                </c:pt>
                <c:pt idx="29">
                  <c:v>#N/A</c:v>
                </c:pt>
                <c:pt idx="30">
                  <c:v>#N/A</c:v>
                </c:pt>
                <c:pt idx="31">
                  <c:v>1117.96</c:v>
                </c:pt>
                <c:pt idx="32">
                  <c:v>#N/A</c:v>
                </c:pt>
                <c:pt idx="33">
                  <c:v>#N/A</c:v>
                </c:pt>
                <c:pt idx="34">
                  <c:v>#N/A</c:v>
                </c:pt>
                <c:pt idx="35">
                  <c:v>#N/A</c:v>
                </c:pt>
                <c:pt idx="36">
                  <c:v>#N/A</c:v>
                </c:pt>
                <c:pt idx="37">
                  <c:v>#N/A</c:v>
                </c:pt>
                <c:pt idx="38">
                  <c:v>1458.05</c:v>
                </c:pt>
                <c:pt idx="39">
                  <c:v>#N/A</c:v>
                </c:pt>
                <c:pt idx="40">
                  <c:v>#N/A</c:v>
                </c:pt>
                <c:pt idx="41">
                  <c:v>#N/A</c:v>
                </c:pt>
                <c:pt idx="42">
                  <c:v>#N/A</c:v>
                </c:pt>
                <c:pt idx="43">
                  <c:v>#N/A</c:v>
                </c:pt>
                <c:pt idx="44">
                  <c:v>#N/A</c:v>
                </c:pt>
                <c:pt idx="45">
                  <c:v>1619.91</c:v>
                </c:pt>
                <c:pt idx="46">
                  <c:v>#N/A</c:v>
                </c:pt>
                <c:pt idx="47">
                  <c:v>#N/A</c:v>
                </c:pt>
                <c:pt idx="48">
                  <c:v>#N/A</c:v>
                </c:pt>
                <c:pt idx="49">
                  <c:v>#N/A</c:v>
                </c:pt>
                <c:pt idx="50">
                  <c:v>#N/A</c:v>
                </c:pt>
                <c:pt idx="51">
                  <c:v>#N/A</c:v>
                </c:pt>
                <c:pt idx="52">
                  <c:v>1799.15</c:v>
                </c:pt>
                <c:pt idx="53">
                  <c:v>#N/A</c:v>
                </c:pt>
                <c:pt idx="54">
                  <c:v>#N/A</c:v>
                </c:pt>
                <c:pt idx="55">
                  <c:v>#N/A</c:v>
                </c:pt>
                <c:pt idx="56">
                  <c:v>#N/A</c:v>
                </c:pt>
                <c:pt idx="57">
                  <c:v>#N/A</c:v>
                </c:pt>
                <c:pt idx="58">
                  <c:v>#N/A</c:v>
                </c:pt>
                <c:pt idx="59">
                  <c:v>1868.66</c:v>
                </c:pt>
                <c:pt idx="60">
                  <c:v>#N/A</c:v>
                </c:pt>
                <c:pt idx="61">
                  <c:v>#N/A</c:v>
                </c:pt>
                <c:pt idx="62">
                  <c:v>#N/A</c:v>
                </c:pt>
                <c:pt idx="63">
                  <c:v>#N/A</c:v>
                </c:pt>
                <c:pt idx="64">
                  <c:v>#N/A</c:v>
                </c:pt>
                <c:pt idx="65">
                  <c:v>#N/A</c:v>
                </c:pt>
                <c:pt idx="66">
                  <c:v>1851.82</c:v>
                </c:pt>
                <c:pt idx="67">
                  <c:v>#N/A</c:v>
                </c:pt>
                <c:pt idx="68">
                  <c:v>#N/A</c:v>
                </c:pt>
                <c:pt idx="69">
                  <c:v>#N/A</c:v>
                </c:pt>
                <c:pt idx="70">
                  <c:v>#N/A</c:v>
                </c:pt>
                <c:pt idx="71">
                  <c:v>#N/A</c:v>
                </c:pt>
                <c:pt idx="72">
                  <c:v>#N/A</c:v>
                </c:pt>
                <c:pt idx="73">
                  <c:v>1781.91</c:v>
                </c:pt>
                <c:pt idx="74">
                  <c:v>#N/A</c:v>
                </c:pt>
                <c:pt idx="75">
                  <c:v>#N/A</c:v>
                </c:pt>
                <c:pt idx="76">
                  <c:v>#N/A</c:v>
                </c:pt>
                <c:pt idx="77">
                  <c:v>#N/A</c:v>
                </c:pt>
                <c:pt idx="78">
                  <c:v>#N/A</c:v>
                </c:pt>
                <c:pt idx="79">
                  <c:v>#N/A</c:v>
                </c:pt>
                <c:pt idx="80">
                  <c:v>1681.29</c:v>
                </c:pt>
                <c:pt idx="81">
                  <c:v>#N/A</c:v>
                </c:pt>
                <c:pt idx="82">
                  <c:v>#N/A</c:v>
                </c:pt>
                <c:pt idx="83">
                  <c:v>#N/A</c:v>
                </c:pt>
                <c:pt idx="84">
                  <c:v>#N/A</c:v>
                </c:pt>
                <c:pt idx="85">
                  <c:v>#N/A</c:v>
                </c:pt>
                <c:pt idx="86">
                  <c:v>#N/A</c:v>
                </c:pt>
                <c:pt idx="87">
                  <c:v>1602.53</c:v>
                </c:pt>
                <c:pt idx="88">
                  <c:v>#N/A</c:v>
                </c:pt>
                <c:pt idx="89">
                  <c:v>#N/A</c:v>
                </c:pt>
                <c:pt idx="90">
                  <c:v>#N/A</c:v>
                </c:pt>
                <c:pt idx="91">
                  <c:v>#N/A</c:v>
                </c:pt>
                <c:pt idx="92">
                  <c:v>#N/A</c:v>
                </c:pt>
                <c:pt idx="93">
                  <c:v>#N/A</c:v>
                </c:pt>
                <c:pt idx="94">
                  <c:v>1514.02</c:v>
                </c:pt>
                <c:pt idx="95">
                  <c:v>#N/A</c:v>
                </c:pt>
                <c:pt idx="96">
                  <c:v>#N/A</c:v>
                </c:pt>
                <c:pt idx="97">
                  <c:v>#N/A</c:v>
                </c:pt>
                <c:pt idx="98">
                  <c:v>#N/A</c:v>
                </c:pt>
                <c:pt idx="99">
                  <c:v>#N/A</c:v>
                </c:pt>
                <c:pt idx="100">
                  <c:v>#N/A</c:v>
                </c:pt>
                <c:pt idx="101">
                  <c:v>1426.38</c:v>
                </c:pt>
                <c:pt idx="102">
                  <c:v>#N/A</c:v>
                </c:pt>
                <c:pt idx="103">
                  <c:v>#N/A</c:v>
                </c:pt>
                <c:pt idx="104">
                  <c:v>#N/A</c:v>
                </c:pt>
                <c:pt idx="105">
                  <c:v>#N/A</c:v>
                </c:pt>
                <c:pt idx="106">
                  <c:v>#N/A</c:v>
                </c:pt>
                <c:pt idx="107">
                  <c:v>#N/A</c:v>
                </c:pt>
                <c:pt idx="108">
                  <c:v>1334.84</c:v>
                </c:pt>
                <c:pt idx="109">
                  <c:v>#N/A</c:v>
                </c:pt>
                <c:pt idx="110">
                  <c:v>#N/A</c:v>
                </c:pt>
                <c:pt idx="111">
                  <c:v>#N/A</c:v>
                </c:pt>
                <c:pt idx="112">
                  <c:v>#N/A</c:v>
                </c:pt>
                <c:pt idx="113">
                  <c:v>#N/A</c:v>
                </c:pt>
                <c:pt idx="114">
                  <c:v>#N/A</c:v>
                </c:pt>
                <c:pt idx="115">
                  <c:v>1273.6400000000001</c:v>
                </c:pt>
                <c:pt idx="116">
                  <c:v>#N/A</c:v>
                </c:pt>
                <c:pt idx="117">
                  <c:v>#N/A</c:v>
                </c:pt>
                <c:pt idx="118">
                  <c:v>#N/A</c:v>
                </c:pt>
                <c:pt idx="119">
                  <c:v>#N/A</c:v>
                </c:pt>
                <c:pt idx="120">
                  <c:v>#N/A</c:v>
                </c:pt>
                <c:pt idx="121">
                  <c:v>#N/A</c:v>
                </c:pt>
                <c:pt idx="122">
                  <c:v>1242.76</c:v>
                </c:pt>
                <c:pt idx="123">
                  <c:v>#N/A</c:v>
                </c:pt>
                <c:pt idx="124">
                  <c:v>#N/A</c:v>
                </c:pt>
                <c:pt idx="125">
                  <c:v>#N/A</c:v>
                </c:pt>
                <c:pt idx="126">
                  <c:v>#N/A</c:v>
                </c:pt>
                <c:pt idx="127">
                  <c:v>#N/A</c:v>
                </c:pt>
                <c:pt idx="128">
                  <c:v>#N/A</c:v>
                </c:pt>
                <c:pt idx="129">
                  <c:v>1215.52</c:v>
                </c:pt>
                <c:pt idx="130">
                  <c:v>#N/A</c:v>
                </c:pt>
                <c:pt idx="131">
                  <c:v>#N/A</c:v>
                </c:pt>
                <c:pt idx="132">
                  <c:v>#N/A</c:v>
                </c:pt>
                <c:pt idx="133">
                  <c:v>#N/A</c:v>
                </c:pt>
                <c:pt idx="134">
                  <c:v>#N/A</c:v>
                </c:pt>
                <c:pt idx="135">
                  <c:v>#N/A</c:v>
                </c:pt>
                <c:pt idx="136">
                  <c:v>1164.0899999999999</c:v>
                </c:pt>
                <c:pt idx="137">
                  <c:v>#N/A</c:v>
                </c:pt>
                <c:pt idx="138">
                  <c:v>#N/A</c:v>
                </c:pt>
                <c:pt idx="139">
                  <c:v>#N/A</c:v>
                </c:pt>
                <c:pt idx="140">
                  <c:v>#N/A</c:v>
                </c:pt>
                <c:pt idx="141">
                  <c:v>#N/A</c:v>
                </c:pt>
                <c:pt idx="142">
                  <c:v>#N/A</c:v>
                </c:pt>
                <c:pt idx="143">
                  <c:v>1123.3699999999999</c:v>
                </c:pt>
                <c:pt idx="144">
                  <c:v>#N/A</c:v>
                </c:pt>
                <c:pt idx="145">
                  <c:v>#N/A</c:v>
                </c:pt>
                <c:pt idx="146">
                  <c:v>#N/A</c:v>
                </c:pt>
                <c:pt idx="147">
                  <c:v>#N/A</c:v>
                </c:pt>
                <c:pt idx="148">
                  <c:v>#N/A</c:v>
                </c:pt>
                <c:pt idx="149">
                  <c:v>#N/A</c:v>
                </c:pt>
                <c:pt idx="150">
                  <c:v>1104.6300000000001</c:v>
                </c:pt>
                <c:pt idx="151">
                  <c:v>#N/A</c:v>
                </c:pt>
                <c:pt idx="152">
                  <c:v>#N/A</c:v>
                </c:pt>
                <c:pt idx="153">
                  <c:v>#N/A</c:v>
                </c:pt>
                <c:pt idx="154">
                  <c:v>#N/A</c:v>
                </c:pt>
                <c:pt idx="155">
                  <c:v>#N/A</c:v>
                </c:pt>
                <c:pt idx="156">
                  <c:v>#N/A</c:v>
                </c:pt>
                <c:pt idx="157">
                  <c:v>1091.19</c:v>
                </c:pt>
                <c:pt idx="158">
                  <c:v>#N/A</c:v>
                </c:pt>
                <c:pt idx="159">
                  <c:v>#N/A</c:v>
                </c:pt>
                <c:pt idx="160">
                  <c:v>#N/A</c:v>
                </c:pt>
                <c:pt idx="161">
                  <c:v>#N/A</c:v>
                </c:pt>
                <c:pt idx="162">
                  <c:v>#N/A</c:v>
                </c:pt>
                <c:pt idx="163">
                  <c:v>#N/A</c:v>
                </c:pt>
                <c:pt idx="164">
                  <c:v>1122.04</c:v>
                </c:pt>
                <c:pt idx="165">
                  <c:v>#N/A</c:v>
                </c:pt>
                <c:pt idx="166">
                  <c:v>#N/A</c:v>
                </c:pt>
                <c:pt idx="167">
                  <c:v>#N/A</c:v>
                </c:pt>
                <c:pt idx="168">
                  <c:v>#N/A</c:v>
                </c:pt>
                <c:pt idx="169">
                  <c:v>#N/A</c:v>
                </c:pt>
                <c:pt idx="170">
                  <c:v>#N/A</c:v>
                </c:pt>
                <c:pt idx="171">
                  <c:v>1135.0899999999999</c:v>
                </c:pt>
                <c:pt idx="172">
                  <c:v>#N/A</c:v>
                </c:pt>
                <c:pt idx="173">
                  <c:v>#N/A</c:v>
                </c:pt>
                <c:pt idx="174">
                  <c:v>#N/A</c:v>
                </c:pt>
                <c:pt idx="175">
                  <c:v>#N/A</c:v>
                </c:pt>
                <c:pt idx="176">
                  <c:v>#N/A</c:v>
                </c:pt>
                <c:pt idx="177">
                  <c:v>#N/A</c:v>
                </c:pt>
                <c:pt idx="178">
                  <c:v>1146.04</c:v>
                </c:pt>
                <c:pt idx="179">
                  <c:v>#N/A</c:v>
                </c:pt>
                <c:pt idx="180">
                  <c:v>#N/A</c:v>
                </c:pt>
                <c:pt idx="181">
                  <c:v>#N/A</c:v>
                </c:pt>
                <c:pt idx="182">
                  <c:v>#N/A</c:v>
                </c:pt>
                <c:pt idx="183">
                  <c:v>#N/A</c:v>
                </c:pt>
                <c:pt idx="184">
                  <c:v>#N/A</c:v>
                </c:pt>
                <c:pt idx="185">
                  <c:v>1163.48</c:v>
                </c:pt>
                <c:pt idx="186">
                  <c:v>#N/A</c:v>
                </c:pt>
                <c:pt idx="187">
                  <c:v>#N/A</c:v>
                </c:pt>
                <c:pt idx="188">
                  <c:v>#N/A</c:v>
                </c:pt>
                <c:pt idx="189">
                  <c:v>#N/A</c:v>
                </c:pt>
                <c:pt idx="190">
                  <c:v>#N/A</c:v>
                </c:pt>
                <c:pt idx="191">
                  <c:v>#N/A</c:v>
                </c:pt>
                <c:pt idx="192">
                  <c:v>1183.68</c:v>
                </c:pt>
                <c:pt idx="193">
                  <c:v>#N/A</c:v>
                </c:pt>
                <c:pt idx="194">
                  <c:v>#N/A</c:v>
                </c:pt>
                <c:pt idx="195">
                  <c:v>#N/A</c:v>
                </c:pt>
                <c:pt idx="196">
                  <c:v>#N/A</c:v>
                </c:pt>
                <c:pt idx="197">
                  <c:v>#N/A</c:v>
                </c:pt>
                <c:pt idx="198">
                  <c:v>#N/A</c:v>
                </c:pt>
                <c:pt idx="199">
                  <c:v>1215.78</c:v>
                </c:pt>
                <c:pt idx="200">
                  <c:v>#N/A</c:v>
                </c:pt>
                <c:pt idx="201">
                  <c:v>#N/A</c:v>
                </c:pt>
                <c:pt idx="202">
                  <c:v>#N/A</c:v>
                </c:pt>
                <c:pt idx="203">
                  <c:v>#N/A</c:v>
                </c:pt>
                <c:pt idx="204">
                  <c:v>#N/A</c:v>
                </c:pt>
                <c:pt idx="205">
                  <c:v>#N/A</c:v>
                </c:pt>
                <c:pt idx="206">
                  <c:v>1254.53</c:v>
                </c:pt>
                <c:pt idx="207">
                  <c:v>#N/A</c:v>
                </c:pt>
                <c:pt idx="208">
                  <c:v>#N/A</c:v>
                </c:pt>
                <c:pt idx="209">
                  <c:v>#N/A</c:v>
                </c:pt>
                <c:pt idx="210">
                  <c:v>#N/A</c:v>
                </c:pt>
                <c:pt idx="211">
                  <c:v>#N/A</c:v>
                </c:pt>
                <c:pt idx="212">
                  <c:v>#N/A</c:v>
                </c:pt>
                <c:pt idx="213">
                  <c:v>1284.53</c:v>
                </c:pt>
                <c:pt idx="214">
                  <c:v>#N/A</c:v>
                </c:pt>
                <c:pt idx="215">
                  <c:v>#N/A</c:v>
                </c:pt>
                <c:pt idx="216">
                  <c:v>#N/A</c:v>
                </c:pt>
                <c:pt idx="217">
                  <c:v>#N/A</c:v>
                </c:pt>
                <c:pt idx="218">
                  <c:v>#N/A</c:v>
                </c:pt>
                <c:pt idx="219">
                  <c:v>#N/A</c:v>
                </c:pt>
                <c:pt idx="220">
                  <c:v>1299.98</c:v>
                </c:pt>
                <c:pt idx="221">
                  <c:v>#N/A</c:v>
                </c:pt>
                <c:pt idx="222">
                  <c:v>#N/A</c:v>
                </c:pt>
                <c:pt idx="223">
                  <c:v>#N/A</c:v>
                </c:pt>
                <c:pt idx="224">
                  <c:v>#N/A</c:v>
                </c:pt>
                <c:pt idx="225">
                  <c:v>#N/A</c:v>
                </c:pt>
                <c:pt idx="226">
                  <c:v>#N/A</c:v>
                </c:pt>
                <c:pt idx="227">
                  <c:v>1288.44</c:v>
                </c:pt>
                <c:pt idx="228">
                  <c:v>#N/A</c:v>
                </c:pt>
                <c:pt idx="229">
                  <c:v>#N/A</c:v>
                </c:pt>
                <c:pt idx="230">
                  <c:v>#N/A</c:v>
                </c:pt>
                <c:pt idx="231">
                  <c:v>#N/A</c:v>
                </c:pt>
                <c:pt idx="232">
                  <c:v>#N/A</c:v>
                </c:pt>
                <c:pt idx="233">
                  <c:v>#N/A</c:v>
                </c:pt>
                <c:pt idx="234">
                  <c:v>1277.81</c:v>
                </c:pt>
                <c:pt idx="235">
                  <c:v>#N/A</c:v>
                </c:pt>
                <c:pt idx="236">
                  <c:v>#N/A</c:v>
                </c:pt>
                <c:pt idx="237">
                  <c:v>#N/A</c:v>
                </c:pt>
                <c:pt idx="238">
                  <c:v>#N/A</c:v>
                </c:pt>
                <c:pt idx="239">
                  <c:v>#N/A</c:v>
                </c:pt>
                <c:pt idx="240">
                  <c:v>#N/A</c:v>
                </c:pt>
                <c:pt idx="241">
                  <c:v>1248.1300000000001</c:v>
                </c:pt>
                <c:pt idx="242">
                  <c:v>#N/A</c:v>
                </c:pt>
                <c:pt idx="243">
                  <c:v>#N/A</c:v>
                </c:pt>
                <c:pt idx="244">
                  <c:v>#N/A</c:v>
                </c:pt>
                <c:pt idx="245">
                  <c:v>#N/A</c:v>
                </c:pt>
                <c:pt idx="246">
                  <c:v>#N/A</c:v>
                </c:pt>
                <c:pt idx="247">
                  <c:v>#N/A</c:v>
                </c:pt>
                <c:pt idx="248">
                  <c:v>1214.21</c:v>
                </c:pt>
                <c:pt idx="249">
                  <c:v>#N/A</c:v>
                </c:pt>
                <c:pt idx="250">
                  <c:v>#N/A</c:v>
                </c:pt>
                <c:pt idx="251">
                  <c:v>#N/A</c:v>
                </c:pt>
                <c:pt idx="252">
                  <c:v>#N/A</c:v>
                </c:pt>
                <c:pt idx="253">
                  <c:v>#N/A</c:v>
                </c:pt>
                <c:pt idx="254">
                  <c:v>#N/A</c:v>
                </c:pt>
                <c:pt idx="255">
                  <c:v>1161.48</c:v>
                </c:pt>
                <c:pt idx="256">
                  <c:v>#N/A</c:v>
                </c:pt>
                <c:pt idx="257">
                  <c:v>#N/A</c:v>
                </c:pt>
                <c:pt idx="258">
                  <c:v>#N/A</c:v>
                </c:pt>
                <c:pt idx="259">
                  <c:v>#N/A</c:v>
                </c:pt>
                <c:pt idx="260">
                  <c:v>#N/A</c:v>
                </c:pt>
                <c:pt idx="261">
                  <c:v>#N/A</c:v>
                </c:pt>
                <c:pt idx="262">
                  <c:v>1142.67</c:v>
                </c:pt>
                <c:pt idx="263">
                  <c:v>#N/A</c:v>
                </c:pt>
                <c:pt idx="264">
                  <c:v>#N/A</c:v>
                </c:pt>
                <c:pt idx="265">
                  <c:v>#N/A</c:v>
                </c:pt>
                <c:pt idx="266">
                  <c:v>#N/A</c:v>
                </c:pt>
                <c:pt idx="267">
                  <c:v>#N/A</c:v>
                </c:pt>
                <c:pt idx="268">
                  <c:v>#N/A</c:v>
                </c:pt>
                <c:pt idx="269">
                  <c:v>1083.17</c:v>
                </c:pt>
                <c:pt idx="270">
                  <c:v>#N/A</c:v>
                </c:pt>
                <c:pt idx="271">
                  <c:v>#N/A</c:v>
                </c:pt>
                <c:pt idx="272">
                  <c:v>#N/A</c:v>
                </c:pt>
                <c:pt idx="273">
                  <c:v>#N/A</c:v>
                </c:pt>
                <c:pt idx="274">
                  <c:v>#N/A</c:v>
                </c:pt>
                <c:pt idx="275">
                  <c:v>#N/A</c:v>
                </c:pt>
                <c:pt idx="276">
                  <c:v>1142.6300000000001</c:v>
                </c:pt>
                <c:pt idx="277">
                  <c:v>#N/A</c:v>
                </c:pt>
                <c:pt idx="278">
                  <c:v>#N/A</c:v>
                </c:pt>
                <c:pt idx="279">
                  <c:v>#N/A</c:v>
                </c:pt>
                <c:pt idx="280">
                  <c:v>#N/A</c:v>
                </c:pt>
                <c:pt idx="281">
                  <c:v>#N/A</c:v>
                </c:pt>
                <c:pt idx="282">
                  <c:v>#N/A</c:v>
                </c:pt>
                <c:pt idx="283">
                  <c:v>1125.8900000000001</c:v>
                </c:pt>
                <c:pt idx="284">
                  <c:v>#N/A</c:v>
                </c:pt>
                <c:pt idx="285">
                  <c:v>#N/A</c:v>
                </c:pt>
                <c:pt idx="286">
                  <c:v>#N/A</c:v>
                </c:pt>
                <c:pt idx="287">
                  <c:v>#N/A</c:v>
                </c:pt>
                <c:pt idx="288">
                  <c:v>#N/A</c:v>
                </c:pt>
                <c:pt idx="289">
                  <c:v>#N/A</c:v>
                </c:pt>
                <c:pt idx="290">
                  <c:v>1046.56</c:v>
                </c:pt>
                <c:pt idx="291">
                  <c:v>#N/A</c:v>
                </c:pt>
                <c:pt idx="292">
                  <c:v>#N/A</c:v>
                </c:pt>
                <c:pt idx="293">
                  <c:v>#N/A</c:v>
                </c:pt>
                <c:pt idx="294">
                  <c:v>#N/A</c:v>
                </c:pt>
                <c:pt idx="295">
                  <c:v>#N/A</c:v>
                </c:pt>
                <c:pt idx="296">
                  <c:v>#N/A</c:v>
                </c:pt>
                <c:pt idx="297">
                  <c:v>986.63</c:v>
                </c:pt>
                <c:pt idx="298">
                  <c:v>#N/A</c:v>
                </c:pt>
                <c:pt idx="299">
                  <c:v>#N/A</c:v>
                </c:pt>
                <c:pt idx="300">
                  <c:v>#N/A</c:v>
                </c:pt>
                <c:pt idx="301">
                  <c:v>#N/A</c:v>
                </c:pt>
                <c:pt idx="302">
                  <c:v>#N/A</c:v>
                </c:pt>
                <c:pt idx="303">
                  <c:v>#N/A</c:v>
                </c:pt>
                <c:pt idx="304">
                  <c:v>938.47</c:v>
                </c:pt>
                <c:pt idx="305">
                  <c:v>#N/A</c:v>
                </c:pt>
                <c:pt idx="306">
                  <c:v>#N/A</c:v>
                </c:pt>
                <c:pt idx="307">
                  <c:v>#N/A</c:v>
                </c:pt>
                <c:pt idx="308">
                  <c:v>#N/A</c:v>
                </c:pt>
                <c:pt idx="309">
                  <c:v>#N/A</c:v>
                </c:pt>
                <c:pt idx="310">
                  <c:v>#N/A</c:v>
                </c:pt>
                <c:pt idx="311">
                  <c:v>887.3</c:v>
                </c:pt>
                <c:pt idx="312">
                  <c:v>#N/A</c:v>
                </c:pt>
                <c:pt idx="313">
                  <c:v>#N/A</c:v>
                </c:pt>
                <c:pt idx="314">
                  <c:v>#N/A</c:v>
                </c:pt>
                <c:pt idx="315">
                  <c:v>#N/A</c:v>
                </c:pt>
                <c:pt idx="316">
                  <c:v>#N/A</c:v>
                </c:pt>
                <c:pt idx="317">
                  <c:v>#N/A</c:v>
                </c:pt>
                <c:pt idx="318">
                  <c:v>833.81</c:v>
                </c:pt>
                <c:pt idx="319">
                  <c:v>#N/A</c:v>
                </c:pt>
                <c:pt idx="320">
                  <c:v>#N/A</c:v>
                </c:pt>
                <c:pt idx="321">
                  <c:v>#N/A</c:v>
                </c:pt>
                <c:pt idx="322">
                  <c:v>#N/A</c:v>
                </c:pt>
                <c:pt idx="323">
                  <c:v>#N/A</c:v>
                </c:pt>
                <c:pt idx="324">
                  <c:v>#N/A</c:v>
                </c:pt>
                <c:pt idx="325">
                  <c:v>780.49</c:v>
                </c:pt>
                <c:pt idx="326">
                  <c:v>#N/A</c:v>
                </c:pt>
                <c:pt idx="327">
                  <c:v>#N/A</c:v>
                </c:pt>
                <c:pt idx="328">
                  <c:v>#N/A</c:v>
                </c:pt>
                <c:pt idx="329">
                  <c:v>#N/A</c:v>
                </c:pt>
                <c:pt idx="330">
                  <c:v>#N/A</c:v>
                </c:pt>
                <c:pt idx="331">
                  <c:v>#N/A</c:v>
                </c:pt>
                <c:pt idx="332">
                  <c:v>757.68</c:v>
                </c:pt>
                <c:pt idx="333">
                  <c:v>#N/A</c:v>
                </c:pt>
                <c:pt idx="334">
                  <c:v>#N/A</c:v>
                </c:pt>
                <c:pt idx="335">
                  <c:v>#N/A</c:v>
                </c:pt>
                <c:pt idx="336">
                  <c:v>#N/A</c:v>
                </c:pt>
                <c:pt idx="337">
                  <c:v>#N/A</c:v>
                </c:pt>
                <c:pt idx="338">
                  <c:v>#N/A</c:v>
                </c:pt>
                <c:pt idx="339">
                  <c:v>756.05</c:v>
                </c:pt>
                <c:pt idx="340">
                  <c:v>#N/A</c:v>
                </c:pt>
                <c:pt idx="341">
                  <c:v>#N/A</c:v>
                </c:pt>
                <c:pt idx="342">
                  <c:v>#N/A</c:v>
                </c:pt>
                <c:pt idx="343">
                  <c:v>#N/A</c:v>
                </c:pt>
                <c:pt idx="344">
                  <c:v>#N/A</c:v>
                </c:pt>
                <c:pt idx="345">
                  <c:v>#N/A</c:v>
                </c:pt>
                <c:pt idx="346">
                  <c:v>743.54</c:v>
                </c:pt>
                <c:pt idx="347">
                  <c:v>#N/A</c:v>
                </c:pt>
                <c:pt idx="348">
                  <c:v>#N/A</c:v>
                </c:pt>
                <c:pt idx="349">
                  <c:v>#N/A</c:v>
                </c:pt>
                <c:pt idx="350">
                  <c:v>#N/A</c:v>
                </c:pt>
                <c:pt idx="351">
                  <c:v>#N/A</c:v>
                </c:pt>
                <c:pt idx="352">
                  <c:v>#N/A</c:v>
                </c:pt>
                <c:pt idx="353">
                  <c:v>748.81</c:v>
                </c:pt>
                <c:pt idx="354">
                  <c:v>#N/A</c:v>
                </c:pt>
                <c:pt idx="355">
                  <c:v>#N/A</c:v>
                </c:pt>
                <c:pt idx="356">
                  <c:v>#N/A</c:v>
                </c:pt>
                <c:pt idx="357">
                  <c:v>#N/A</c:v>
                </c:pt>
                <c:pt idx="358">
                  <c:v>#N/A</c:v>
                </c:pt>
                <c:pt idx="359">
                  <c:v>#N/A</c:v>
                </c:pt>
                <c:pt idx="360">
                  <c:v>772.26</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3108-4735-BEA8-F52DD1FF6B43}"/>
            </c:ext>
          </c:extLst>
        </c:ser>
        <c:ser>
          <c:idx val="1"/>
          <c:order val="2"/>
          <c:tx>
            <c:strRef>
              <c:f>库存!$J$1</c:f>
              <c:strCache>
                <c:ptCount val="1"/>
                <c:pt idx="0">
                  <c:v>2020</c:v>
                </c:pt>
              </c:strCache>
            </c:strRef>
          </c:tx>
          <c:spPr>
            <a:ln w="28575">
              <a:solidFill>
                <a:srgbClr val="BF5711"/>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库存!$J$2:$J$366</c:f>
              <c:numCache>
                <c:formatCode>General</c:formatCode>
                <c:ptCount val="365"/>
                <c:pt idx="0">
                  <c:v>#N/A</c:v>
                </c:pt>
                <c:pt idx="1">
                  <c:v>#N/A</c:v>
                </c:pt>
                <c:pt idx="2">
                  <c:v>826.25</c:v>
                </c:pt>
                <c:pt idx="3">
                  <c:v>#N/A</c:v>
                </c:pt>
                <c:pt idx="4">
                  <c:v>#N/A</c:v>
                </c:pt>
                <c:pt idx="5">
                  <c:v>#N/A</c:v>
                </c:pt>
                <c:pt idx="6">
                  <c:v>#N/A</c:v>
                </c:pt>
                <c:pt idx="7">
                  <c:v>#N/A</c:v>
                </c:pt>
                <c:pt idx="8">
                  <c:v>#N/A</c:v>
                </c:pt>
                <c:pt idx="9">
                  <c:v>903.67</c:v>
                </c:pt>
                <c:pt idx="10">
                  <c:v>#N/A</c:v>
                </c:pt>
                <c:pt idx="11">
                  <c:v>#N/A</c:v>
                </c:pt>
                <c:pt idx="12">
                  <c:v>#N/A</c:v>
                </c:pt>
                <c:pt idx="13">
                  <c:v>#N/A</c:v>
                </c:pt>
                <c:pt idx="14">
                  <c:v>#N/A</c:v>
                </c:pt>
                <c:pt idx="15">
                  <c:v>#N/A</c:v>
                </c:pt>
                <c:pt idx="16">
                  <c:v>1024.3800000000001</c:v>
                </c:pt>
                <c:pt idx="17">
                  <c:v>#N/A</c:v>
                </c:pt>
                <c:pt idx="18">
                  <c:v>#N/A</c:v>
                </c:pt>
                <c:pt idx="19">
                  <c:v>#N/A</c:v>
                </c:pt>
                <c:pt idx="20">
                  <c:v>#N/A</c:v>
                </c:pt>
                <c:pt idx="21">
                  <c:v>#N/A</c:v>
                </c:pt>
                <c:pt idx="22">
                  <c:v>#N/A</c:v>
                </c:pt>
                <c:pt idx="23">
                  <c:v>1184.82</c:v>
                </c:pt>
                <c:pt idx="24">
                  <c:v>#N/A</c:v>
                </c:pt>
                <c:pt idx="25">
                  <c:v>#N/A</c:v>
                </c:pt>
                <c:pt idx="26">
                  <c:v>#N/A</c:v>
                </c:pt>
                <c:pt idx="27">
                  <c:v>#N/A</c:v>
                </c:pt>
                <c:pt idx="28">
                  <c:v>#N/A</c:v>
                </c:pt>
                <c:pt idx="29">
                  <c:v>#N/A</c:v>
                </c:pt>
                <c:pt idx="30">
                  <c:v>1504.49</c:v>
                </c:pt>
                <c:pt idx="31">
                  <c:v>#N/A</c:v>
                </c:pt>
                <c:pt idx="32">
                  <c:v>#N/A</c:v>
                </c:pt>
                <c:pt idx="33">
                  <c:v>#N/A</c:v>
                </c:pt>
                <c:pt idx="34">
                  <c:v>#N/A</c:v>
                </c:pt>
                <c:pt idx="35">
                  <c:v>#N/A</c:v>
                </c:pt>
                <c:pt idx="36">
                  <c:v>#N/A</c:v>
                </c:pt>
                <c:pt idx="37">
                  <c:v>1634.4</c:v>
                </c:pt>
                <c:pt idx="38">
                  <c:v>#N/A</c:v>
                </c:pt>
                <c:pt idx="39">
                  <c:v>#N/A</c:v>
                </c:pt>
                <c:pt idx="40">
                  <c:v>#N/A</c:v>
                </c:pt>
                <c:pt idx="41">
                  <c:v>#N/A</c:v>
                </c:pt>
                <c:pt idx="42">
                  <c:v>#N/A</c:v>
                </c:pt>
                <c:pt idx="43">
                  <c:v>#N/A</c:v>
                </c:pt>
                <c:pt idx="44">
                  <c:v>1893.68</c:v>
                </c:pt>
                <c:pt idx="45">
                  <c:v>#N/A</c:v>
                </c:pt>
                <c:pt idx="46">
                  <c:v>#N/A</c:v>
                </c:pt>
                <c:pt idx="47">
                  <c:v>#N/A</c:v>
                </c:pt>
                <c:pt idx="48">
                  <c:v>#N/A</c:v>
                </c:pt>
                <c:pt idx="49">
                  <c:v>#N/A</c:v>
                </c:pt>
                <c:pt idx="50">
                  <c:v>#N/A</c:v>
                </c:pt>
                <c:pt idx="51">
                  <c:v>2145.41</c:v>
                </c:pt>
                <c:pt idx="52">
                  <c:v>#N/A</c:v>
                </c:pt>
                <c:pt idx="53">
                  <c:v>#N/A</c:v>
                </c:pt>
                <c:pt idx="54">
                  <c:v>#N/A</c:v>
                </c:pt>
                <c:pt idx="55">
                  <c:v>#N/A</c:v>
                </c:pt>
                <c:pt idx="56">
                  <c:v>#N/A</c:v>
                </c:pt>
                <c:pt idx="57">
                  <c:v>#N/A</c:v>
                </c:pt>
                <c:pt idx="58">
                  <c:v>2375.88</c:v>
                </c:pt>
                <c:pt idx="59">
                  <c:v>#N/A</c:v>
                </c:pt>
                <c:pt idx="60">
                  <c:v>#N/A</c:v>
                </c:pt>
                <c:pt idx="61">
                  <c:v>#N/A</c:v>
                </c:pt>
                <c:pt idx="62">
                  <c:v>#N/A</c:v>
                </c:pt>
                <c:pt idx="63">
                  <c:v>#N/A</c:v>
                </c:pt>
                <c:pt idx="64">
                  <c:v>#N/A</c:v>
                </c:pt>
                <c:pt idx="65">
                  <c:v>2529.56</c:v>
                </c:pt>
                <c:pt idx="66">
                  <c:v>#N/A</c:v>
                </c:pt>
                <c:pt idx="67">
                  <c:v>#N/A</c:v>
                </c:pt>
                <c:pt idx="68">
                  <c:v>#N/A</c:v>
                </c:pt>
                <c:pt idx="69">
                  <c:v>#N/A</c:v>
                </c:pt>
                <c:pt idx="70">
                  <c:v>#N/A</c:v>
                </c:pt>
                <c:pt idx="71">
                  <c:v>#N/A</c:v>
                </c:pt>
                <c:pt idx="72">
                  <c:v>2600.52</c:v>
                </c:pt>
                <c:pt idx="73">
                  <c:v>#N/A</c:v>
                </c:pt>
                <c:pt idx="74">
                  <c:v>#N/A</c:v>
                </c:pt>
                <c:pt idx="75">
                  <c:v>#N/A</c:v>
                </c:pt>
                <c:pt idx="76">
                  <c:v>#N/A</c:v>
                </c:pt>
                <c:pt idx="77">
                  <c:v>#N/A</c:v>
                </c:pt>
                <c:pt idx="78">
                  <c:v>#N/A</c:v>
                </c:pt>
                <c:pt idx="79">
                  <c:v>2537.65</c:v>
                </c:pt>
                <c:pt idx="80">
                  <c:v>#N/A</c:v>
                </c:pt>
                <c:pt idx="81">
                  <c:v>#N/A</c:v>
                </c:pt>
                <c:pt idx="82">
                  <c:v>#N/A</c:v>
                </c:pt>
                <c:pt idx="83">
                  <c:v>#N/A</c:v>
                </c:pt>
                <c:pt idx="84">
                  <c:v>#N/A</c:v>
                </c:pt>
                <c:pt idx="85">
                  <c:v>#N/A</c:v>
                </c:pt>
                <c:pt idx="86">
                  <c:v>2430.63</c:v>
                </c:pt>
                <c:pt idx="87">
                  <c:v>#N/A</c:v>
                </c:pt>
                <c:pt idx="88">
                  <c:v>#N/A</c:v>
                </c:pt>
                <c:pt idx="89">
                  <c:v>#N/A</c:v>
                </c:pt>
                <c:pt idx="90">
                  <c:v>#N/A</c:v>
                </c:pt>
                <c:pt idx="91">
                  <c:v>#N/A</c:v>
                </c:pt>
                <c:pt idx="92">
                  <c:v>#N/A</c:v>
                </c:pt>
                <c:pt idx="93">
                  <c:v>2347.5700000000002</c:v>
                </c:pt>
                <c:pt idx="94">
                  <c:v>#N/A</c:v>
                </c:pt>
                <c:pt idx="95">
                  <c:v>#N/A</c:v>
                </c:pt>
                <c:pt idx="96">
                  <c:v>#N/A</c:v>
                </c:pt>
                <c:pt idx="97">
                  <c:v>#N/A</c:v>
                </c:pt>
                <c:pt idx="98">
                  <c:v>#N/A</c:v>
                </c:pt>
                <c:pt idx="99">
                  <c:v>#N/A</c:v>
                </c:pt>
                <c:pt idx="100">
                  <c:v>2241.2600000000002</c:v>
                </c:pt>
                <c:pt idx="101">
                  <c:v>#N/A</c:v>
                </c:pt>
                <c:pt idx="102">
                  <c:v>#N/A</c:v>
                </c:pt>
                <c:pt idx="103">
                  <c:v>#N/A</c:v>
                </c:pt>
                <c:pt idx="104">
                  <c:v>#N/A</c:v>
                </c:pt>
                <c:pt idx="105">
                  <c:v>#N/A</c:v>
                </c:pt>
                <c:pt idx="106">
                  <c:v>#N/A</c:v>
                </c:pt>
                <c:pt idx="107">
                  <c:v>2127.75</c:v>
                </c:pt>
                <c:pt idx="108">
                  <c:v>#N/A</c:v>
                </c:pt>
                <c:pt idx="109">
                  <c:v>#N/A</c:v>
                </c:pt>
                <c:pt idx="110">
                  <c:v>#N/A</c:v>
                </c:pt>
                <c:pt idx="111">
                  <c:v>#N/A</c:v>
                </c:pt>
                <c:pt idx="112">
                  <c:v>#N/A</c:v>
                </c:pt>
                <c:pt idx="113">
                  <c:v>#N/A</c:v>
                </c:pt>
                <c:pt idx="114">
                  <c:v>2013.22</c:v>
                </c:pt>
                <c:pt idx="115">
                  <c:v>#N/A</c:v>
                </c:pt>
                <c:pt idx="116">
                  <c:v>#N/A</c:v>
                </c:pt>
                <c:pt idx="117">
                  <c:v>#N/A</c:v>
                </c:pt>
                <c:pt idx="118">
                  <c:v>#N/A</c:v>
                </c:pt>
                <c:pt idx="119">
                  <c:v>#N/A</c:v>
                </c:pt>
                <c:pt idx="120">
                  <c:v>#N/A</c:v>
                </c:pt>
                <c:pt idx="121">
                  <c:v>1876.34</c:v>
                </c:pt>
                <c:pt idx="122">
                  <c:v>#N/A</c:v>
                </c:pt>
                <c:pt idx="123">
                  <c:v>#N/A</c:v>
                </c:pt>
                <c:pt idx="124">
                  <c:v>#N/A</c:v>
                </c:pt>
                <c:pt idx="125">
                  <c:v>#N/A</c:v>
                </c:pt>
                <c:pt idx="126">
                  <c:v>#N/A</c:v>
                </c:pt>
                <c:pt idx="127">
                  <c:v>#N/A</c:v>
                </c:pt>
                <c:pt idx="128">
                  <c:v>1810.51</c:v>
                </c:pt>
                <c:pt idx="129">
                  <c:v>#N/A</c:v>
                </c:pt>
                <c:pt idx="130">
                  <c:v>#N/A</c:v>
                </c:pt>
                <c:pt idx="131">
                  <c:v>#N/A</c:v>
                </c:pt>
                <c:pt idx="132">
                  <c:v>#N/A</c:v>
                </c:pt>
                <c:pt idx="133">
                  <c:v>#N/A</c:v>
                </c:pt>
                <c:pt idx="134">
                  <c:v>#N/A</c:v>
                </c:pt>
                <c:pt idx="135">
                  <c:v>1710.44</c:v>
                </c:pt>
                <c:pt idx="136">
                  <c:v>#N/A</c:v>
                </c:pt>
                <c:pt idx="137">
                  <c:v>#N/A</c:v>
                </c:pt>
                <c:pt idx="138">
                  <c:v>#N/A</c:v>
                </c:pt>
                <c:pt idx="139">
                  <c:v>#N/A</c:v>
                </c:pt>
                <c:pt idx="140">
                  <c:v>#N/A</c:v>
                </c:pt>
                <c:pt idx="141">
                  <c:v>#N/A</c:v>
                </c:pt>
                <c:pt idx="142">
                  <c:v>1608.84</c:v>
                </c:pt>
                <c:pt idx="143">
                  <c:v>#N/A</c:v>
                </c:pt>
                <c:pt idx="144">
                  <c:v>#N/A</c:v>
                </c:pt>
                <c:pt idx="145">
                  <c:v>#N/A</c:v>
                </c:pt>
                <c:pt idx="146">
                  <c:v>#N/A</c:v>
                </c:pt>
                <c:pt idx="147">
                  <c:v>#N/A</c:v>
                </c:pt>
                <c:pt idx="148">
                  <c:v>#N/A</c:v>
                </c:pt>
                <c:pt idx="149">
                  <c:v>1549.23</c:v>
                </c:pt>
                <c:pt idx="150">
                  <c:v>#N/A</c:v>
                </c:pt>
                <c:pt idx="151">
                  <c:v>#N/A</c:v>
                </c:pt>
                <c:pt idx="152">
                  <c:v>#N/A</c:v>
                </c:pt>
                <c:pt idx="153">
                  <c:v>#N/A</c:v>
                </c:pt>
                <c:pt idx="154">
                  <c:v>#N/A</c:v>
                </c:pt>
                <c:pt idx="155">
                  <c:v>#N/A</c:v>
                </c:pt>
                <c:pt idx="156">
                  <c:v>1488.27</c:v>
                </c:pt>
                <c:pt idx="157">
                  <c:v>#N/A</c:v>
                </c:pt>
                <c:pt idx="158">
                  <c:v>#N/A</c:v>
                </c:pt>
                <c:pt idx="159">
                  <c:v>#N/A</c:v>
                </c:pt>
                <c:pt idx="160">
                  <c:v>#N/A</c:v>
                </c:pt>
                <c:pt idx="161">
                  <c:v>#N/A</c:v>
                </c:pt>
                <c:pt idx="162">
                  <c:v>#N/A</c:v>
                </c:pt>
                <c:pt idx="163">
                  <c:v>1449.52</c:v>
                </c:pt>
                <c:pt idx="164">
                  <c:v>#N/A</c:v>
                </c:pt>
                <c:pt idx="165">
                  <c:v>#N/A</c:v>
                </c:pt>
                <c:pt idx="166">
                  <c:v>#N/A</c:v>
                </c:pt>
                <c:pt idx="167">
                  <c:v>#N/A</c:v>
                </c:pt>
                <c:pt idx="168">
                  <c:v>#N/A</c:v>
                </c:pt>
                <c:pt idx="169">
                  <c:v>#N/A</c:v>
                </c:pt>
                <c:pt idx="170">
                  <c:v>1423.43</c:v>
                </c:pt>
                <c:pt idx="171">
                  <c:v>#N/A</c:v>
                </c:pt>
                <c:pt idx="172">
                  <c:v>#N/A</c:v>
                </c:pt>
                <c:pt idx="173">
                  <c:v>#N/A</c:v>
                </c:pt>
                <c:pt idx="174">
                  <c:v>#N/A</c:v>
                </c:pt>
                <c:pt idx="175">
                  <c:v>#N/A</c:v>
                </c:pt>
                <c:pt idx="176">
                  <c:v>#N/A</c:v>
                </c:pt>
                <c:pt idx="177">
                  <c:v>1432.71</c:v>
                </c:pt>
                <c:pt idx="178">
                  <c:v>#N/A</c:v>
                </c:pt>
                <c:pt idx="179">
                  <c:v>#N/A</c:v>
                </c:pt>
                <c:pt idx="180">
                  <c:v>#N/A</c:v>
                </c:pt>
                <c:pt idx="181">
                  <c:v>#N/A</c:v>
                </c:pt>
                <c:pt idx="182">
                  <c:v>#N/A</c:v>
                </c:pt>
                <c:pt idx="183">
                  <c:v>#N/A</c:v>
                </c:pt>
                <c:pt idx="184">
                  <c:v>1477.38</c:v>
                </c:pt>
                <c:pt idx="185">
                  <c:v>#N/A</c:v>
                </c:pt>
                <c:pt idx="186">
                  <c:v>#N/A</c:v>
                </c:pt>
                <c:pt idx="187">
                  <c:v>#N/A</c:v>
                </c:pt>
                <c:pt idx="188">
                  <c:v>#N/A</c:v>
                </c:pt>
                <c:pt idx="189">
                  <c:v>#N/A</c:v>
                </c:pt>
                <c:pt idx="190">
                  <c:v>#N/A</c:v>
                </c:pt>
                <c:pt idx="191">
                  <c:v>1505.75</c:v>
                </c:pt>
                <c:pt idx="192">
                  <c:v>#N/A</c:v>
                </c:pt>
                <c:pt idx="193">
                  <c:v>#N/A</c:v>
                </c:pt>
                <c:pt idx="194">
                  <c:v>#N/A</c:v>
                </c:pt>
                <c:pt idx="195">
                  <c:v>#N/A</c:v>
                </c:pt>
                <c:pt idx="196">
                  <c:v>#N/A</c:v>
                </c:pt>
                <c:pt idx="197">
                  <c:v>#N/A</c:v>
                </c:pt>
                <c:pt idx="198">
                  <c:v>1535.68</c:v>
                </c:pt>
                <c:pt idx="199">
                  <c:v>#N/A</c:v>
                </c:pt>
                <c:pt idx="200">
                  <c:v>#N/A</c:v>
                </c:pt>
                <c:pt idx="201">
                  <c:v>#N/A</c:v>
                </c:pt>
                <c:pt idx="202">
                  <c:v>#N/A</c:v>
                </c:pt>
                <c:pt idx="203">
                  <c:v>#N/A</c:v>
                </c:pt>
                <c:pt idx="204">
                  <c:v>#N/A</c:v>
                </c:pt>
                <c:pt idx="205">
                  <c:v>1548.97</c:v>
                </c:pt>
                <c:pt idx="206">
                  <c:v>#N/A</c:v>
                </c:pt>
                <c:pt idx="207">
                  <c:v>#N/A</c:v>
                </c:pt>
                <c:pt idx="208">
                  <c:v>#N/A</c:v>
                </c:pt>
                <c:pt idx="209">
                  <c:v>#N/A</c:v>
                </c:pt>
                <c:pt idx="210">
                  <c:v>#N/A</c:v>
                </c:pt>
                <c:pt idx="211">
                  <c:v>#N/A</c:v>
                </c:pt>
                <c:pt idx="212">
                  <c:v>1562.48</c:v>
                </c:pt>
                <c:pt idx="213">
                  <c:v>#N/A</c:v>
                </c:pt>
                <c:pt idx="214">
                  <c:v>#N/A</c:v>
                </c:pt>
                <c:pt idx="215">
                  <c:v>#N/A</c:v>
                </c:pt>
                <c:pt idx="216">
                  <c:v>#N/A</c:v>
                </c:pt>
                <c:pt idx="217">
                  <c:v>#N/A</c:v>
                </c:pt>
                <c:pt idx="218">
                  <c:v>#N/A</c:v>
                </c:pt>
                <c:pt idx="219">
                  <c:v>1560.25</c:v>
                </c:pt>
                <c:pt idx="220">
                  <c:v>#N/A</c:v>
                </c:pt>
                <c:pt idx="221">
                  <c:v>#N/A</c:v>
                </c:pt>
                <c:pt idx="222">
                  <c:v>#N/A</c:v>
                </c:pt>
                <c:pt idx="223">
                  <c:v>#N/A</c:v>
                </c:pt>
                <c:pt idx="224">
                  <c:v>#N/A</c:v>
                </c:pt>
                <c:pt idx="225">
                  <c:v>#N/A</c:v>
                </c:pt>
                <c:pt idx="226">
                  <c:v>1541.62</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3108-4735-BEA8-F52DD1FF6B43}"/>
            </c:ext>
          </c:extLst>
        </c:ser>
        <c:dLbls>
          <c:showLegendKey val="0"/>
          <c:showVal val="0"/>
          <c:showCatName val="0"/>
          <c:showSerName val="0"/>
          <c:showPercent val="0"/>
          <c:showBubbleSize val="0"/>
        </c:dLbls>
        <c:marker val="1"/>
        <c:smooth val="0"/>
        <c:axId val="231977728"/>
        <c:axId val="231979264"/>
      </c:lineChart>
      <c:dateAx>
        <c:axId val="23197772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31979264"/>
        <c:crosses val="autoZero"/>
        <c:auto val="0"/>
        <c:lblOffset val="0"/>
        <c:baseTimeUnit val="days"/>
        <c:majorUnit val="1"/>
        <c:majorTimeUnit val="months"/>
      </c:dateAx>
      <c:valAx>
        <c:axId val="231979264"/>
        <c:scaling>
          <c:orientation val="minMax"/>
          <c:min val="5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3197772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31F5-4350-BBA0-E2DA1A62CE8C}"/>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31F5-4350-BBA0-E2DA1A62CE8C}"/>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31F5-4350-BBA0-E2DA1A62CE8C}"/>
            </c:ext>
          </c:extLst>
        </c:ser>
        <c:dLbls>
          <c:showLegendKey val="0"/>
          <c:showVal val="0"/>
          <c:showCatName val="0"/>
          <c:showSerName val="0"/>
          <c:showPercent val="0"/>
          <c:showBubbleSize val="0"/>
        </c:dLbls>
        <c:marker val="1"/>
        <c:smooth val="0"/>
        <c:axId val="284882048"/>
        <c:axId val="284883584"/>
      </c:lineChart>
      <c:dateAx>
        <c:axId val="28488204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84883584"/>
        <c:crosses val="autoZero"/>
        <c:auto val="0"/>
        <c:lblOffset val="0"/>
        <c:baseTimeUnit val="days"/>
        <c:majorUnit val="1"/>
        <c:majorTimeUnit val="months"/>
      </c:dateAx>
      <c:valAx>
        <c:axId val="284883584"/>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8488204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143C-4E30-AA3D-80EA9A866FD7}"/>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43C-4E30-AA3D-80EA9A866FD7}"/>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143C-4E30-AA3D-80EA9A866FD7}"/>
            </c:ext>
          </c:extLst>
        </c:ser>
        <c:dLbls>
          <c:showLegendKey val="0"/>
          <c:showVal val="0"/>
          <c:showCatName val="0"/>
          <c:showSerName val="0"/>
          <c:showPercent val="0"/>
          <c:showBubbleSize val="0"/>
        </c:dLbls>
        <c:marker val="1"/>
        <c:smooth val="0"/>
        <c:axId val="285103232"/>
        <c:axId val="285104768"/>
      </c:lineChart>
      <c:dateAx>
        <c:axId val="28510323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85104768"/>
        <c:crosses val="autoZero"/>
        <c:auto val="0"/>
        <c:lblOffset val="0"/>
        <c:baseTimeUnit val="days"/>
        <c:majorUnit val="1"/>
        <c:majorTimeUnit val="months"/>
      </c:dateAx>
      <c:valAx>
        <c:axId val="285104768"/>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8510323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原油!$I$1</c:f>
              <c:strCache>
                <c:ptCount val="1"/>
                <c:pt idx="0">
                  <c:v>2019</c:v>
                </c:pt>
              </c:strCache>
            </c:strRef>
          </c:tx>
          <c:spPr>
            <a:ln w="28575">
              <a:solidFill>
                <a:srgbClr val="F8CBAD"/>
              </a:solidFill>
              <a:prstDash val="soli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原油!$I$2:$I$366</c:f>
              <c:numCache>
                <c:formatCode>General</c:formatCode>
                <c:ptCount val="365"/>
                <c:pt idx="0">
                  <c:v>#N/A</c:v>
                </c:pt>
                <c:pt idx="1">
                  <c:v>#N/A</c:v>
                </c:pt>
                <c:pt idx="2">
                  <c:v>#N/A</c:v>
                </c:pt>
                <c:pt idx="3">
                  <c:v>#N/A</c:v>
                </c:pt>
                <c:pt idx="4">
                  <c:v>47.96</c:v>
                </c:pt>
                <c:pt idx="5">
                  <c:v>#N/A</c:v>
                </c:pt>
                <c:pt idx="6">
                  <c:v>#N/A</c:v>
                </c:pt>
                <c:pt idx="7">
                  <c:v>#N/A</c:v>
                </c:pt>
                <c:pt idx="8">
                  <c:v>#N/A</c:v>
                </c:pt>
                <c:pt idx="9">
                  <c:v>#N/A</c:v>
                </c:pt>
                <c:pt idx="10">
                  <c:v>#N/A</c:v>
                </c:pt>
                <c:pt idx="11">
                  <c:v>51.91</c:v>
                </c:pt>
                <c:pt idx="12">
                  <c:v>#N/A</c:v>
                </c:pt>
                <c:pt idx="13">
                  <c:v>#N/A</c:v>
                </c:pt>
                <c:pt idx="14">
                  <c:v>#N/A</c:v>
                </c:pt>
                <c:pt idx="15">
                  <c:v>#N/A</c:v>
                </c:pt>
                <c:pt idx="16">
                  <c:v>#N/A</c:v>
                </c:pt>
                <c:pt idx="17">
                  <c:v>#N/A</c:v>
                </c:pt>
                <c:pt idx="18">
                  <c:v>54.04</c:v>
                </c:pt>
                <c:pt idx="19">
                  <c:v>#N/A</c:v>
                </c:pt>
                <c:pt idx="20">
                  <c:v>#N/A</c:v>
                </c:pt>
                <c:pt idx="21">
                  <c:v>#N/A</c:v>
                </c:pt>
                <c:pt idx="22">
                  <c:v>#N/A</c:v>
                </c:pt>
                <c:pt idx="23">
                  <c:v>#N/A</c:v>
                </c:pt>
                <c:pt idx="24">
                  <c:v>#N/A</c:v>
                </c:pt>
                <c:pt idx="25">
                  <c:v>53.69</c:v>
                </c:pt>
                <c:pt idx="26">
                  <c:v>#N/A</c:v>
                </c:pt>
                <c:pt idx="27">
                  <c:v>#N/A</c:v>
                </c:pt>
                <c:pt idx="28">
                  <c:v>#N/A</c:v>
                </c:pt>
                <c:pt idx="29">
                  <c:v>#N/A</c:v>
                </c:pt>
                <c:pt idx="30">
                  <c:v>#N/A</c:v>
                </c:pt>
                <c:pt idx="31">
                  <c:v>#N/A</c:v>
                </c:pt>
                <c:pt idx="32">
                  <c:v>55.26</c:v>
                </c:pt>
                <c:pt idx="33">
                  <c:v>#N/A</c:v>
                </c:pt>
                <c:pt idx="34">
                  <c:v>#N/A</c:v>
                </c:pt>
                <c:pt idx="35">
                  <c:v>#N/A</c:v>
                </c:pt>
                <c:pt idx="36">
                  <c:v>#N/A</c:v>
                </c:pt>
                <c:pt idx="37">
                  <c:v>#N/A</c:v>
                </c:pt>
                <c:pt idx="38">
                  <c:v>#N/A</c:v>
                </c:pt>
                <c:pt idx="39">
                  <c:v>52.72</c:v>
                </c:pt>
                <c:pt idx="40">
                  <c:v>#N/A</c:v>
                </c:pt>
                <c:pt idx="41">
                  <c:v>#N/A</c:v>
                </c:pt>
                <c:pt idx="42">
                  <c:v>#N/A</c:v>
                </c:pt>
                <c:pt idx="43">
                  <c:v>#N/A</c:v>
                </c:pt>
                <c:pt idx="44">
                  <c:v>#N/A</c:v>
                </c:pt>
                <c:pt idx="45">
                  <c:v>#N/A</c:v>
                </c:pt>
                <c:pt idx="46">
                  <c:v>55.98</c:v>
                </c:pt>
                <c:pt idx="47">
                  <c:v>#N/A</c:v>
                </c:pt>
                <c:pt idx="48">
                  <c:v>#N/A</c:v>
                </c:pt>
                <c:pt idx="49">
                  <c:v>#N/A</c:v>
                </c:pt>
                <c:pt idx="50">
                  <c:v>#N/A</c:v>
                </c:pt>
                <c:pt idx="51">
                  <c:v>#N/A</c:v>
                </c:pt>
                <c:pt idx="52">
                  <c:v>#N/A</c:v>
                </c:pt>
                <c:pt idx="53">
                  <c:v>57.26</c:v>
                </c:pt>
                <c:pt idx="54">
                  <c:v>#N/A</c:v>
                </c:pt>
                <c:pt idx="55">
                  <c:v>#N/A</c:v>
                </c:pt>
                <c:pt idx="56">
                  <c:v>#N/A</c:v>
                </c:pt>
                <c:pt idx="57">
                  <c:v>#N/A</c:v>
                </c:pt>
                <c:pt idx="58">
                  <c:v>#N/A</c:v>
                </c:pt>
                <c:pt idx="59">
                  <c:v>#N/A</c:v>
                </c:pt>
                <c:pt idx="60">
                  <c:v>55.8</c:v>
                </c:pt>
                <c:pt idx="61">
                  <c:v>#N/A</c:v>
                </c:pt>
                <c:pt idx="62">
                  <c:v>#N/A</c:v>
                </c:pt>
                <c:pt idx="63">
                  <c:v>#N/A</c:v>
                </c:pt>
                <c:pt idx="64">
                  <c:v>#N/A</c:v>
                </c:pt>
                <c:pt idx="65">
                  <c:v>#N/A</c:v>
                </c:pt>
                <c:pt idx="66">
                  <c:v>#N/A</c:v>
                </c:pt>
                <c:pt idx="67">
                  <c:v>56.07</c:v>
                </c:pt>
                <c:pt idx="68">
                  <c:v>#N/A</c:v>
                </c:pt>
                <c:pt idx="69">
                  <c:v>#N/A</c:v>
                </c:pt>
                <c:pt idx="70">
                  <c:v>#N/A</c:v>
                </c:pt>
                <c:pt idx="71">
                  <c:v>#N/A</c:v>
                </c:pt>
                <c:pt idx="72">
                  <c:v>#N/A</c:v>
                </c:pt>
                <c:pt idx="73">
                  <c:v>#N/A</c:v>
                </c:pt>
                <c:pt idx="74">
                  <c:v>58.82</c:v>
                </c:pt>
                <c:pt idx="75">
                  <c:v>#N/A</c:v>
                </c:pt>
                <c:pt idx="76">
                  <c:v>#N/A</c:v>
                </c:pt>
                <c:pt idx="77">
                  <c:v>#N/A</c:v>
                </c:pt>
                <c:pt idx="78">
                  <c:v>#N/A</c:v>
                </c:pt>
                <c:pt idx="79">
                  <c:v>#N/A</c:v>
                </c:pt>
                <c:pt idx="80">
                  <c:v>#N/A</c:v>
                </c:pt>
                <c:pt idx="81">
                  <c:v>59.04</c:v>
                </c:pt>
                <c:pt idx="82">
                  <c:v>#N/A</c:v>
                </c:pt>
                <c:pt idx="83">
                  <c:v>#N/A</c:v>
                </c:pt>
                <c:pt idx="84">
                  <c:v>#N/A</c:v>
                </c:pt>
                <c:pt idx="85">
                  <c:v>#N/A</c:v>
                </c:pt>
                <c:pt idx="86">
                  <c:v>#N/A</c:v>
                </c:pt>
                <c:pt idx="87">
                  <c:v>#N/A</c:v>
                </c:pt>
                <c:pt idx="88">
                  <c:v>60.14</c:v>
                </c:pt>
                <c:pt idx="89">
                  <c:v>#N/A</c:v>
                </c:pt>
                <c:pt idx="90">
                  <c:v>#N/A</c:v>
                </c:pt>
                <c:pt idx="91">
                  <c:v>#N/A</c:v>
                </c:pt>
                <c:pt idx="92">
                  <c:v>#N/A</c:v>
                </c:pt>
                <c:pt idx="93">
                  <c:v>#N/A</c:v>
                </c:pt>
                <c:pt idx="94">
                  <c:v>#N/A</c:v>
                </c:pt>
                <c:pt idx="95">
                  <c:v>63.08</c:v>
                </c:pt>
                <c:pt idx="96">
                  <c:v>#N/A</c:v>
                </c:pt>
                <c:pt idx="97">
                  <c:v>#N/A</c:v>
                </c:pt>
                <c:pt idx="98">
                  <c:v>#N/A</c:v>
                </c:pt>
                <c:pt idx="99">
                  <c:v>#N/A</c:v>
                </c:pt>
                <c:pt idx="100">
                  <c:v>#N/A</c:v>
                </c:pt>
                <c:pt idx="101">
                  <c:v>#N/A</c:v>
                </c:pt>
                <c:pt idx="102">
                  <c:v>64.02</c:v>
                </c:pt>
                <c:pt idx="103">
                  <c:v>#N/A</c:v>
                </c:pt>
                <c:pt idx="104">
                  <c:v>#N/A</c:v>
                </c:pt>
                <c:pt idx="105">
                  <c:v>#N/A</c:v>
                </c:pt>
                <c:pt idx="106">
                  <c:v>#N/A</c:v>
                </c:pt>
                <c:pt idx="107">
                  <c:v>#N/A</c:v>
                </c:pt>
                <c:pt idx="108">
                  <c:v>#N/A</c:v>
                </c:pt>
                <c:pt idx="109">
                  <c:v>64.069999999999993</c:v>
                </c:pt>
                <c:pt idx="110">
                  <c:v>#N/A</c:v>
                </c:pt>
                <c:pt idx="111">
                  <c:v>#N/A</c:v>
                </c:pt>
                <c:pt idx="112">
                  <c:v>#N/A</c:v>
                </c:pt>
                <c:pt idx="113">
                  <c:v>#N/A</c:v>
                </c:pt>
                <c:pt idx="114">
                  <c:v>#N/A</c:v>
                </c:pt>
                <c:pt idx="115">
                  <c:v>#N/A</c:v>
                </c:pt>
                <c:pt idx="116">
                  <c:v>63.3</c:v>
                </c:pt>
                <c:pt idx="117">
                  <c:v>#N/A</c:v>
                </c:pt>
                <c:pt idx="118">
                  <c:v>#N/A</c:v>
                </c:pt>
                <c:pt idx="119">
                  <c:v>#N/A</c:v>
                </c:pt>
                <c:pt idx="120">
                  <c:v>#N/A</c:v>
                </c:pt>
                <c:pt idx="121">
                  <c:v>#N/A</c:v>
                </c:pt>
                <c:pt idx="122">
                  <c:v>#N/A</c:v>
                </c:pt>
                <c:pt idx="123">
                  <c:v>61.94</c:v>
                </c:pt>
                <c:pt idx="124">
                  <c:v>#N/A</c:v>
                </c:pt>
                <c:pt idx="125">
                  <c:v>#N/A</c:v>
                </c:pt>
                <c:pt idx="126">
                  <c:v>#N/A</c:v>
                </c:pt>
                <c:pt idx="127">
                  <c:v>#N/A</c:v>
                </c:pt>
                <c:pt idx="128">
                  <c:v>#N/A</c:v>
                </c:pt>
                <c:pt idx="129">
                  <c:v>#N/A</c:v>
                </c:pt>
                <c:pt idx="130">
                  <c:v>61.66</c:v>
                </c:pt>
                <c:pt idx="131">
                  <c:v>#N/A</c:v>
                </c:pt>
                <c:pt idx="132">
                  <c:v>#N/A</c:v>
                </c:pt>
                <c:pt idx="133">
                  <c:v>#N/A</c:v>
                </c:pt>
                <c:pt idx="134">
                  <c:v>#N/A</c:v>
                </c:pt>
                <c:pt idx="135">
                  <c:v>#N/A</c:v>
                </c:pt>
                <c:pt idx="136">
                  <c:v>#N/A</c:v>
                </c:pt>
                <c:pt idx="137">
                  <c:v>62.92</c:v>
                </c:pt>
                <c:pt idx="138">
                  <c:v>#N/A</c:v>
                </c:pt>
                <c:pt idx="139">
                  <c:v>#N/A</c:v>
                </c:pt>
                <c:pt idx="140">
                  <c:v>#N/A</c:v>
                </c:pt>
                <c:pt idx="141">
                  <c:v>#N/A</c:v>
                </c:pt>
                <c:pt idx="142">
                  <c:v>#N/A</c:v>
                </c:pt>
                <c:pt idx="143">
                  <c:v>#N/A</c:v>
                </c:pt>
                <c:pt idx="144">
                  <c:v>58.63</c:v>
                </c:pt>
                <c:pt idx="145">
                  <c:v>#N/A</c:v>
                </c:pt>
                <c:pt idx="146">
                  <c:v>#N/A</c:v>
                </c:pt>
                <c:pt idx="147">
                  <c:v>#N/A</c:v>
                </c:pt>
                <c:pt idx="148">
                  <c:v>#N/A</c:v>
                </c:pt>
                <c:pt idx="149">
                  <c:v>#N/A</c:v>
                </c:pt>
                <c:pt idx="150">
                  <c:v>#N/A</c:v>
                </c:pt>
                <c:pt idx="151">
                  <c:v>53.5</c:v>
                </c:pt>
                <c:pt idx="152">
                  <c:v>#N/A</c:v>
                </c:pt>
                <c:pt idx="153">
                  <c:v>#N/A</c:v>
                </c:pt>
                <c:pt idx="154">
                  <c:v>#N/A</c:v>
                </c:pt>
                <c:pt idx="155">
                  <c:v>#N/A</c:v>
                </c:pt>
                <c:pt idx="156">
                  <c:v>#N/A</c:v>
                </c:pt>
                <c:pt idx="157">
                  <c:v>#N/A</c:v>
                </c:pt>
                <c:pt idx="158">
                  <c:v>53.99</c:v>
                </c:pt>
                <c:pt idx="159">
                  <c:v>#N/A</c:v>
                </c:pt>
                <c:pt idx="160">
                  <c:v>#N/A</c:v>
                </c:pt>
                <c:pt idx="161">
                  <c:v>#N/A</c:v>
                </c:pt>
                <c:pt idx="162">
                  <c:v>#N/A</c:v>
                </c:pt>
                <c:pt idx="163">
                  <c:v>#N/A</c:v>
                </c:pt>
                <c:pt idx="164">
                  <c:v>#N/A</c:v>
                </c:pt>
                <c:pt idx="165">
                  <c:v>52.77</c:v>
                </c:pt>
                <c:pt idx="166">
                  <c:v>#N/A</c:v>
                </c:pt>
                <c:pt idx="167">
                  <c:v>#N/A</c:v>
                </c:pt>
                <c:pt idx="168">
                  <c:v>#N/A</c:v>
                </c:pt>
                <c:pt idx="169">
                  <c:v>#N/A</c:v>
                </c:pt>
                <c:pt idx="170">
                  <c:v>#N/A</c:v>
                </c:pt>
                <c:pt idx="171">
                  <c:v>#N/A</c:v>
                </c:pt>
                <c:pt idx="172">
                  <c:v>57.43</c:v>
                </c:pt>
                <c:pt idx="173">
                  <c:v>#N/A</c:v>
                </c:pt>
                <c:pt idx="174">
                  <c:v>#N/A</c:v>
                </c:pt>
                <c:pt idx="175">
                  <c:v>#N/A</c:v>
                </c:pt>
                <c:pt idx="176">
                  <c:v>#N/A</c:v>
                </c:pt>
                <c:pt idx="177">
                  <c:v>#N/A</c:v>
                </c:pt>
                <c:pt idx="178">
                  <c:v>#N/A</c:v>
                </c:pt>
                <c:pt idx="179">
                  <c:v>58.47</c:v>
                </c:pt>
                <c:pt idx="180">
                  <c:v>#N/A</c:v>
                </c:pt>
                <c:pt idx="181">
                  <c:v>#N/A</c:v>
                </c:pt>
                <c:pt idx="182">
                  <c:v>#N/A</c:v>
                </c:pt>
                <c:pt idx="183">
                  <c:v>#N/A</c:v>
                </c:pt>
                <c:pt idx="184">
                  <c:v>#N/A</c:v>
                </c:pt>
                <c:pt idx="185">
                  <c:v>#N/A</c:v>
                </c:pt>
                <c:pt idx="186">
                  <c:v>57.51</c:v>
                </c:pt>
                <c:pt idx="187">
                  <c:v>#N/A</c:v>
                </c:pt>
                <c:pt idx="188">
                  <c:v>#N/A</c:v>
                </c:pt>
                <c:pt idx="189">
                  <c:v>#N/A</c:v>
                </c:pt>
                <c:pt idx="190">
                  <c:v>#N/A</c:v>
                </c:pt>
                <c:pt idx="191">
                  <c:v>#N/A</c:v>
                </c:pt>
                <c:pt idx="192">
                  <c:v>#N/A</c:v>
                </c:pt>
                <c:pt idx="193">
                  <c:v>60.3</c:v>
                </c:pt>
                <c:pt idx="194">
                  <c:v>#N/A</c:v>
                </c:pt>
                <c:pt idx="195">
                  <c:v>#N/A</c:v>
                </c:pt>
                <c:pt idx="196">
                  <c:v>#N/A</c:v>
                </c:pt>
                <c:pt idx="197">
                  <c:v>#N/A</c:v>
                </c:pt>
                <c:pt idx="198">
                  <c:v>#N/A</c:v>
                </c:pt>
                <c:pt idx="199">
                  <c:v>#N/A</c:v>
                </c:pt>
                <c:pt idx="200">
                  <c:v>55.76</c:v>
                </c:pt>
                <c:pt idx="201">
                  <c:v>#N/A</c:v>
                </c:pt>
                <c:pt idx="202">
                  <c:v>#N/A</c:v>
                </c:pt>
                <c:pt idx="203">
                  <c:v>#N/A</c:v>
                </c:pt>
                <c:pt idx="204">
                  <c:v>#N/A</c:v>
                </c:pt>
                <c:pt idx="205">
                  <c:v>#N/A</c:v>
                </c:pt>
                <c:pt idx="206">
                  <c:v>#N/A</c:v>
                </c:pt>
                <c:pt idx="207">
                  <c:v>56.2</c:v>
                </c:pt>
                <c:pt idx="208">
                  <c:v>#N/A</c:v>
                </c:pt>
                <c:pt idx="209">
                  <c:v>#N/A</c:v>
                </c:pt>
                <c:pt idx="210">
                  <c:v>#N/A</c:v>
                </c:pt>
                <c:pt idx="211">
                  <c:v>#N/A</c:v>
                </c:pt>
                <c:pt idx="212">
                  <c:v>#N/A</c:v>
                </c:pt>
                <c:pt idx="213">
                  <c:v>#N/A</c:v>
                </c:pt>
                <c:pt idx="214">
                  <c:v>55.66</c:v>
                </c:pt>
                <c:pt idx="215">
                  <c:v>#N/A</c:v>
                </c:pt>
                <c:pt idx="216">
                  <c:v>#N/A</c:v>
                </c:pt>
                <c:pt idx="217">
                  <c:v>#N/A</c:v>
                </c:pt>
                <c:pt idx="218">
                  <c:v>#N/A</c:v>
                </c:pt>
                <c:pt idx="219">
                  <c:v>#N/A</c:v>
                </c:pt>
                <c:pt idx="220">
                  <c:v>#N/A</c:v>
                </c:pt>
                <c:pt idx="221">
                  <c:v>54.5</c:v>
                </c:pt>
                <c:pt idx="222">
                  <c:v>#N/A</c:v>
                </c:pt>
                <c:pt idx="223">
                  <c:v>#N/A</c:v>
                </c:pt>
                <c:pt idx="224">
                  <c:v>#N/A</c:v>
                </c:pt>
                <c:pt idx="225">
                  <c:v>#N/A</c:v>
                </c:pt>
                <c:pt idx="226">
                  <c:v>#N/A</c:v>
                </c:pt>
                <c:pt idx="227">
                  <c:v>#N/A</c:v>
                </c:pt>
                <c:pt idx="228">
                  <c:v>54.81</c:v>
                </c:pt>
                <c:pt idx="229">
                  <c:v>#N/A</c:v>
                </c:pt>
                <c:pt idx="230">
                  <c:v>#N/A</c:v>
                </c:pt>
                <c:pt idx="231">
                  <c:v>#N/A</c:v>
                </c:pt>
                <c:pt idx="232">
                  <c:v>#N/A</c:v>
                </c:pt>
                <c:pt idx="233">
                  <c:v>#N/A</c:v>
                </c:pt>
                <c:pt idx="234">
                  <c:v>#N/A</c:v>
                </c:pt>
                <c:pt idx="235">
                  <c:v>54.17</c:v>
                </c:pt>
                <c:pt idx="236">
                  <c:v>#N/A</c:v>
                </c:pt>
                <c:pt idx="237">
                  <c:v>#N/A</c:v>
                </c:pt>
                <c:pt idx="238">
                  <c:v>#N/A</c:v>
                </c:pt>
                <c:pt idx="239">
                  <c:v>#N/A</c:v>
                </c:pt>
                <c:pt idx="240">
                  <c:v>#N/A</c:v>
                </c:pt>
                <c:pt idx="241">
                  <c:v>#N/A</c:v>
                </c:pt>
                <c:pt idx="242">
                  <c:v>55.1</c:v>
                </c:pt>
                <c:pt idx="243">
                  <c:v>#N/A</c:v>
                </c:pt>
                <c:pt idx="244">
                  <c:v>#N/A</c:v>
                </c:pt>
                <c:pt idx="245">
                  <c:v>#N/A</c:v>
                </c:pt>
                <c:pt idx="246">
                  <c:v>#N/A</c:v>
                </c:pt>
                <c:pt idx="247">
                  <c:v>#N/A</c:v>
                </c:pt>
                <c:pt idx="248">
                  <c:v>#N/A</c:v>
                </c:pt>
                <c:pt idx="249">
                  <c:v>56.52</c:v>
                </c:pt>
                <c:pt idx="250">
                  <c:v>#N/A</c:v>
                </c:pt>
                <c:pt idx="251">
                  <c:v>#N/A</c:v>
                </c:pt>
                <c:pt idx="252">
                  <c:v>#N/A</c:v>
                </c:pt>
                <c:pt idx="253">
                  <c:v>#N/A</c:v>
                </c:pt>
                <c:pt idx="254">
                  <c:v>#N/A</c:v>
                </c:pt>
                <c:pt idx="255">
                  <c:v>#N/A</c:v>
                </c:pt>
                <c:pt idx="256">
                  <c:v>54.8</c:v>
                </c:pt>
                <c:pt idx="257">
                  <c:v>#N/A</c:v>
                </c:pt>
                <c:pt idx="258">
                  <c:v>#N/A</c:v>
                </c:pt>
                <c:pt idx="259">
                  <c:v>#N/A</c:v>
                </c:pt>
                <c:pt idx="260">
                  <c:v>#N/A</c:v>
                </c:pt>
                <c:pt idx="261">
                  <c:v>#N/A</c:v>
                </c:pt>
                <c:pt idx="262">
                  <c:v>#N/A</c:v>
                </c:pt>
                <c:pt idx="263">
                  <c:v>58.09</c:v>
                </c:pt>
                <c:pt idx="264">
                  <c:v>#N/A</c:v>
                </c:pt>
                <c:pt idx="265">
                  <c:v>#N/A</c:v>
                </c:pt>
                <c:pt idx="266">
                  <c:v>#N/A</c:v>
                </c:pt>
                <c:pt idx="267">
                  <c:v>#N/A</c:v>
                </c:pt>
                <c:pt idx="268">
                  <c:v>#N/A</c:v>
                </c:pt>
                <c:pt idx="269">
                  <c:v>#N/A</c:v>
                </c:pt>
                <c:pt idx="270">
                  <c:v>55.91</c:v>
                </c:pt>
                <c:pt idx="271">
                  <c:v>#N/A</c:v>
                </c:pt>
                <c:pt idx="272">
                  <c:v>#N/A</c:v>
                </c:pt>
                <c:pt idx="273">
                  <c:v>#N/A</c:v>
                </c:pt>
                <c:pt idx="274">
                  <c:v>#N/A</c:v>
                </c:pt>
                <c:pt idx="275">
                  <c:v>#N/A</c:v>
                </c:pt>
                <c:pt idx="276">
                  <c:v>#N/A</c:v>
                </c:pt>
                <c:pt idx="277">
                  <c:v>52.81</c:v>
                </c:pt>
                <c:pt idx="278">
                  <c:v>#N/A</c:v>
                </c:pt>
                <c:pt idx="279">
                  <c:v>#N/A</c:v>
                </c:pt>
                <c:pt idx="280">
                  <c:v>#N/A</c:v>
                </c:pt>
                <c:pt idx="281">
                  <c:v>#N/A</c:v>
                </c:pt>
                <c:pt idx="282">
                  <c:v>#N/A</c:v>
                </c:pt>
                <c:pt idx="283">
                  <c:v>#N/A</c:v>
                </c:pt>
                <c:pt idx="284">
                  <c:v>54.78</c:v>
                </c:pt>
                <c:pt idx="285">
                  <c:v>#N/A</c:v>
                </c:pt>
                <c:pt idx="286">
                  <c:v>#N/A</c:v>
                </c:pt>
                <c:pt idx="287">
                  <c:v>#N/A</c:v>
                </c:pt>
                <c:pt idx="288">
                  <c:v>#N/A</c:v>
                </c:pt>
                <c:pt idx="289">
                  <c:v>#N/A</c:v>
                </c:pt>
                <c:pt idx="290">
                  <c:v>#N/A</c:v>
                </c:pt>
                <c:pt idx="291">
                  <c:v>53.87</c:v>
                </c:pt>
                <c:pt idx="292">
                  <c:v>#N/A</c:v>
                </c:pt>
                <c:pt idx="293">
                  <c:v>#N/A</c:v>
                </c:pt>
                <c:pt idx="294">
                  <c:v>#N/A</c:v>
                </c:pt>
                <c:pt idx="295">
                  <c:v>#N/A</c:v>
                </c:pt>
                <c:pt idx="296">
                  <c:v>#N/A</c:v>
                </c:pt>
                <c:pt idx="297">
                  <c:v>#N/A</c:v>
                </c:pt>
                <c:pt idx="298">
                  <c:v>56.66</c:v>
                </c:pt>
                <c:pt idx="299">
                  <c:v>#N/A</c:v>
                </c:pt>
                <c:pt idx="300">
                  <c:v>#N/A</c:v>
                </c:pt>
                <c:pt idx="301">
                  <c:v>#N/A</c:v>
                </c:pt>
                <c:pt idx="302">
                  <c:v>#N/A</c:v>
                </c:pt>
                <c:pt idx="303">
                  <c:v>#N/A</c:v>
                </c:pt>
                <c:pt idx="304">
                  <c:v>#N/A</c:v>
                </c:pt>
                <c:pt idx="305">
                  <c:v>56.2</c:v>
                </c:pt>
                <c:pt idx="306">
                  <c:v>#N/A</c:v>
                </c:pt>
                <c:pt idx="307">
                  <c:v>#N/A</c:v>
                </c:pt>
                <c:pt idx="308">
                  <c:v>#N/A</c:v>
                </c:pt>
                <c:pt idx="309">
                  <c:v>#N/A</c:v>
                </c:pt>
                <c:pt idx="310">
                  <c:v>#N/A</c:v>
                </c:pt>
                <c:pt idx="311">
                  <c:v>#N/A</c:v>
                </c:pt>
                <c:pt idx="312">
                  <c:v>57.24</c:v>
                </c:pt>
                <c:pt idx="313">
                  <c:v>#N/A</c:v>
                </c:pt>
                <c:pt idx="314">
                  <c:v>#N/A</c:v>
                </c:pt>
                <c:pt idx="315">
                  <c:v>#N/A</c:v>
                </c:pt>
                <c:pt idx="316">
                  <c:v>#N/A</c:v>
                </c:pt>
                <c:pt idx="317">
                  <c:v>#N/A</c:v>
                </c:pt>
                <c:pt idx="318">
                  <c:v>#N/A</c:v>
                </c:pt>
                <c:pt idx="319">
                  <c:v>57.83</c:v>
                </c:pt>
                <c:pt idx="320">
                  <c:v>#N/A</c:v>
                </c:pt>
                <c:pt idx="321">
                  <c:v>#N/A</c:v>
                </c:pt>
                <c:pt idx="322">
                  <c:v>#N/A</c:v>
                </c:pt>
                <c:pt idx="323">
                  <c:v>#N/A</c:v>
                </c:pt>
                <c:pt idx="324">
                  <c:v>#N/A</c:v>
                </c:pt>
                <c:pt idx="325">
                  <c:v>#N/A</c:v>
                </c:pt>
                <c:pt idx="326">
                  <c:v>57.77</c:v>
                </c:pt>
                <c:pt idx="327">
                  <c:v>#N/A</c:v>
                </c:pt>
                <c:pt idx="328">
                  <c:v>#N/A</c:v>
                </c:pt>
                <c:pt idx="329">
                  <c:v>#N/A</c:v>
                </c:pt>
                <c:pt idx="330">
                  <c:v>#N/A</c:v>
                </c:pt>
                <c:pt idx="331">
                  <c:v>#N/A</c:v>
                </c:pt>
                <c:pt idx="332">
                  <c:v>#N/A</c:v>
                </c:pt>
                <c:pt idx="333">
                  <c:v>55.17</c:v>
                </c:pt>
                <c:pt idx="334">
                  <c:v>#N/A</c:v>
                </c:pt>
                <c:pt idx="335">
                  <c:v>#N/A</c:v>
                </c:pt>
                <c:pt idx="336">
                  <c:v>#N/A</c:v>
                </c:pt>
                <c:pt idx="337">
                  <c:v>#N/A</c:v>
                </c:pt>
                <c:pt idx="338">
                  <c:v>#N/A</c:v>
                </c:pt>
                <c:pt idx="339">
                  <c:v>#N/A</c:v>
                </c:pt>
                <c:pt idx="340">
                  <c:v>59.2</c:v>
                </c:pt>
                <c:pt idx="341">
                  <c:v>#N/A</c:v>
                </c:pt>
                <c:pt idx="342">
                  <c:v>#N/A</c:v>
                </c:pt>
                <c:pt idx="343">
                  <c:v>#N/A</c:v>
                </c:pt>
                <c:pt idx="344">
                  <c:v>#N/A</c:v>
                </c:pt>
                <c:pt idx="345">
                  <c:v>#N/A</c:v>
                </c:pt>
                <c:pt idx="346">
                  <c:v>#N/A</c:v>
                </c:pt>
                <c:pt idx="347">
                  <c:v>59.98</c:v>
                </c:pt>
                <c:pt idx="348">
                  <c:v>#N/A</c:v>
                </c:pt>
                <c:pt idx="349">
                  <c:v>#N/A</c:v>
                </c:pt>
                <c:pt idx="350">
                  <c:v>#N/A</c:v>
                </c:pt>
                <c:pt idx="351">
                  <c:v>#N/A</c:v>
                </c:pt>
                <c:pt idx="352">
                  <c:v>#N/A</c:v>
                </c:pt>
                <c:pt idx="353">
                  <c:v>#N/A</c:v>
                </c:pt>
                <c:pt idx="354">
                  <c:v>60.44</c:v>
                </c:pt>
                <c:pt idx="355">
                  <c:v>#N/A</c:v>
                </c:pt>
                <c:pt idx="356">
                  <c:v>#N/A</c:v>
                </c:pt>
                <c:pt idx="357">
                  <c:v>#N/A</c:v>
                </c:pt>
                <c:pt idx="358">
                  <c:v>#N/A</c:v>
                </c:pt>
                <c:pt idx="359">
                  <c:v>#N/A</c:v>
                </c:pt>
                <c:pt idx="360">
                  <c:v>#N/A</c:v>
                </c:pt>
                <c:pt idx="361">
                  <c:v>61.72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7BA2-4B2E-B758-0EA54CF3D818}"/>
            </c:ext>
          </c:extLst>
        </c:ser>
        <c:ser>
          <c:idx val="2"/>
          <c:order val="1"/>
          <c:tx>
            <c:strRef>
              <c:f>原油!$J$1</c:f>
              <c:strCache>
                <c:ptCount val="1"/>
                <c:pt idx="0">
                  <c:v>2020</c:v>
                </c:pt>
              </c:strCache>
            </c:strRef>
          </c:tx>
          <c:spPr>
            <a:ln w="28575">
              <a:solidFill>
                <a:srgbClr val="BF5711"/>
              </a:solidFill>
              <a:prstDash val="soli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原油!$J$2:$J$366</c:f>
              <c:numCache>
                <c:formatCode>General</c:formatCode>
                <c:ptCount val="365"/>
                <c:pt idx="0">
                  <c:v>#N/A</c:v>
                </c:pt>
                <c:pt idx="1">
                  <c:v>#N/A</c:v>
                </c:pt>
                <c:pt idx="2">
                  <c:v>#N/A</c:v>
                </c:pt>
                <c:pt idx="3">
                  <c:v>63.05</c:v>
                </c:pt>
                <c:pt idx="4">
                  <c:v>#N/A</c:v>
                </c:pt>
                <c:pt idx="5">
                  <c:v>#N/A</c:v>
                </c:pt>
                <c:pt idx="6">
                  <c:v>#N/A</c:v>
                </c:pt>
                <c:pt idx="7">
                  <c:v>#N/A</c:v>
                </c:pt>
                <c:pt idx="8">
                  <c:v>#N/A</c:v>
                </c:pt>
                <c:pt idx="9">
                  <c:v>#N/A</c:v>
                </c:pt>
                <c:pt idx="10">
                  <c:v>59.04</c:v>
                </c:pt>
                <c:pt idx="11">
                  <c:v>#N/A</c:v>
                </c:pt>
                <c:pt idx="12">
                  <c:v>#N/A</c:v>
                </c:pt>
                <c:pt idx="13">
                  <c:v>#N/A</c:v>
                </c:pt>
                <c:pt idx="14">
                  <c:v>#N/A</c:v>
                </c:pt>
                <c:pt idx="15">
                  <c:v>#N/A</c:v>
                </c:pt>
                <c:pt idx="16">
                  <c:v>#N/A</c:v>
                </c:pt>
                <c:pt idx="17">
                  <c:v>58.58</c:v>
                </c:pt>
                <c:pt idx="18">
                  <c:v>#N/A</c:v>
                </c:pt>
                <c:pt idx="19">
                  <c:v>#N/A</c:v>
                </c:pt>
                <c:pt idx="20">
                  <c:v>#N/A</c:v>
                </c:pt>
                <c:pt idx="21">
                  <c:v>#N/A</c:v>
                </c:pt>
                <c:pt idx="22">
                  <c:v>#N/A</c:v>
                </c:pt>
                <c:pt idx="23">
                  <c:v>#N/A</c:v>
                </c:pt>
                <c:pt idx="24">
                  <c:v>54.19</c:v>
                </c:pt>
                <c:pt idx="25">
                  <c:v>#N/A</c:v>
                </c:pt>
                <c:pt idx="26">
                  <c:v>#N/A</c:v>
                </c:pt>
                <c:pt idx="27">
                  <c:v>#N/A</c:v>
                </c:pt>
                <c:pt idx="28">
                  <c:v>#N/A</c:v>
                </c:pt>
                <c:pt idx="29">
                  <c:v>#N/A</c:v>
                </c:pt>
                <c:pt idx="30">
                  <c:v>#N/A</c:v>
                </c:pt>
                <c:pt idx="31">
                  <c:v>51.56</c:v>
                </c:pt>
                <c:pt idx="32">
                  <c:v>#N/A</c:v>
                </c:pt>
                <c:pt idx="33">
                  <c:v>#N/A</c:v>
                </c:pt>
                <c:pt idx="34">
                  <c:v>#N/A</c:v>
                </c:pt>
                <c:pt idx="35">
                  <c:v>#N/A</c:v>
                </c:pt>
                <c:pt idx="36">
                  <c:v>#N/A</c:v>
                </c:pt>
                <c:pt idx="37">
                  <c:v>#N/A</c:v>
                </c:pt>
                <c:pt idx="38">
                  <c:v>50.32</c:v>
                </c:pt>
                <c:pt idx="39">
                  <c:v>#N/A</c:v>
                </c:pt>
                <c:pt idx="40">
                  <c:v>#N/A</c:v>
                </c:pt>
                <c:pt idx="41">
                  <c:v>#N/A</c:v>
                </c:pt>
                <c:pt idx="42">
                  <c:v>#N/A</c:v>
                </c:pt>
                <c:pt idx="43">
                  <c:v>#N/A</c:v>
                </c:pt>
                <c:pt idx="44">
                  <c:v>#N/A</c:v>
                </c:pt>
                <c:pt idx="45">
                  <c:v>52.32</c:v>
                </c:pt>
                <c:pt idx="46">
                  <c:v>#N/A</c:v>
                </c:pt>
                <c:pt idx="47">
                  <c:v>#N/A</c:v>
                </c:pt>
                <c:pt idx="48">
                  <c:v>#N/A</c:v>
                </c:pt>
                <c:pt idx="49">
                  <c:v>#N/A</c:v>
                </c:pt>
                <c:pt idx="50">
                  <c:v>#N/A</c:v>
                </c:pt>
                <c:pt idx="51">
                  <c:v>#N/A</c:v>
                </c:pt>
                <c:pt idx="52">
                  <c:v>53.38</c:v>
                </c:pt>
                <c:pt idx="53">
                  <c:v>#N/A</c:v>
                </c:pt>
                <c:pt idx="54">
                  <c:v>#N/A</c:v>
                </c:pt>
                <c:pt idx="55">
                  <c:v>#N/A</c:v>
                </c:pt>
                <c:pt idx="56">
                  <c:v>#N/A</c:v>
                </c:pt>
                <c:pt idx="57">
                  <c:v>#N/A</c:v>
                </c:pt>
                <c:pt idx="58">
                  <c:v>#N/A</c:v>
                </c:pt>
                <c:pt idx="59">
                  <c:v>44.76</c:v>
                </c:pt>
                <c:pt idx="60">
                  <c:v>#N/A</c:v>
                </c:pt>
                <c:pt idx="61">
                  <c:v>#N/A</c:v>
                </c:pt>
                <c:pt idx="62">
                  <c:v>#N/A</c:v>
                </c:pt>
                <c:pt idx="63">
                  <c:v>#N/A</c:v>
                </c:pt>
                <c:pt idx="64">
                  <c:v>#N/A</c:v>
                </c:pt>
                <c:pt idx="65">
                  <c:v>#N/A</c:v>
                </c:pt>
                <c:pt idx="66">
                  <c:v>41.28</c:v>
                </c:pt>
                <c:pt idx="67">
                  <c:v>#N/A</c:v>
                </c:pt>
                <c:pt idx="68">
                  <c:v>#N/A</c:v>
                </c:pt>
                <c:pt idx="69">
                  <c:v>#N/A</c:v>
                </c:pt>
                <c:pt idx="70">
                  <c:v>#N/A</c:v>
                </c:pt>
                <c:pt idx="71">
                  <c:v>#N/A</c:v>
                </c:pt>
                <c:pt idx="72">
                  <c:v>#N/A</c:v>
                </c:pt>
                <c:pt idx="73">
                  <c:v>32.11</c:v>
                </c:pt>
                <c:pt idx="74">
                  <c:v>#N/A</c:v>
                </c:pt>
                <c:pt idx="75">
                  <c:v>#N/A</c:v>
                </c:pt>
                <c:pt idx="76">
                  <c:v>#N/A</c:v>
                </c:pt>
                <c:pt idx="77">
                  <c:v>#N/A</c:v>
                </c:pt>
                <c:pt idx="78">
                  <c:v>#N/A</c:v>
                </c:pt>
                <c:pt idx="79">
                  <c:v>#N/A</c:v>
                </c:pt>
                <c:pt idx="80">
                  <c:v>22.63</c:v>
                </c:pt>
                <c:pt idx="81">
                  <c:v>#N/A</c:v>
                </c:pt>
                <c:pt idx="82">
                  <c:v>#N/A</c:v>
                </c:pt>
                <c:pt idx="83">
                  <c:v>#N/A</c:v>
                </c:pt>
                <c:pt idx="84">
                  <c:v>#N/A</c:v>
                </c:pt>
                <c:pt idx="85">
                  <c:v>#N/A</c:v>
                </c:pt>
                <c:pt idx="86">
                  <c:v>#N/A</c:v>
                </c:pt>
                <c:pt idx="87">
                  <c:v>21.51</c:v>
                </c:pt>
                <c:pt idx="88">
                  <c:v>#N/A</c:v>
                </c:pt>
                <c:pt idx="89">
                  <c:v>#N/A</c:v>
                </c:pt>
                <c:pt idx="90">
                  <c:v>#N/A</c:v>
                </c:pt>
                <c:pt idx="91">
                  <c:v>#N/A</c:v>
                </c:pt>
                <c:pt idx="92">
                  <c:v>#N/A</c:v>
                </c:pt>
                <c:pt idx="93">
                  <c:v>#N/A</c:v>
                </c:pt>
                <c:pt idx="94">
                  <c:v>28.34</c:v>
                </c:pt>
                <c:pt idx="95">
                  <c:v>#N/A</c:v>
                </c:pt>
                <c:pt idx="96">
                  <c:v>#N/A</c:v>
                </c:pt>
                <c:pt idx="97">
                  <c:v>#N/A</c:v>
                </c:pt>
                <c:pt idx="98">
                  <c:v>#N/A</c:v>
                </c:pt>
                <c:pt idx="99">
                  <c:v>#N/A</c:v>
                </c:pt>
                <c:pt idx="100">
                  <c:v>#N/A</c:v>
                </c:pt>
                <c:pt idx="101">
                  <c:v>22.76</c:v>
                </c:pt>
                <c:pt idx="102">
                  <c:v>#N/A</c:v>
                </c:pt>
                <c:pt idx="103">
                  <c:v>#N/A</c:v>
                </c:pt>
                <c:pt idx="104">
                  <c:v>#N/A</c:v>
                </c:pt>
                <c:pt idx="105">
                  <c:v>#N/A</c:v>
                </c:pt>
                <c:pt idx="106">
                  <c:v>#N/A</c:v>
                </c:pt>
                <c:pt idx="107">
                  <c:v>#N/A</c:v>
                </c:pt>
                <c:pt idx="108">
                  <c:v>25.03</c:v>
                </c:pt>
                <c:pt idx="109">
                  <c:v>#N/A</c:v>
                </c:pt>
                <c:pt idx="110">
                  <c:v>#N/A</c:v>
                </c:pt>
                <c:pt idx="111">
                  <c:v>#N/A</c:v>
                </c:pt>
                <c:pt idx="112">
                  <c:v>#N/A</c:v>
                </c:pt>
                <c:pt idx="113">
                  <c:v>#N/A</c:v>
                </c:pt>
                <c:pt idx="114">
                  <c:v>#N/A</c:v>
                </c:pt>
                <c:pt idx="115">
                  <c:v>16.940000000000001</c:v>
                </c:pt>
                <c:pt idx="116">
                  <c:v>#N/A</c:v>
                </c:pt>
                <c:pt idx="117">
                  <c:v>#N/A</c:v>
                </c:pt>
                <c:pt idx="118">
                  <c:v>#N/A</c:v>
                </c:pt>
                <c:pt idx="119">
                  <c:v>#N/A</c:v>
                </c:pt>
                <c:pt idx="120">
                  <c:v>#N/A</c:v>
                </c:pt>
                <c:pt idx="121">
                  <c:v>#N/A</c:v>
                </c:pt>
                <c:pt idx="122">
                  <c:v>22.29</c:v>
                </c:pt>
                <c:pt idx="123">
                  <c:v>#N/A</c:v>
                </c:pt>
                <c:pt idx="124">
                  <c:v>#N/A</c:v>
                </c:pt>
                <c:pt idx="125">
                  <c:v>#N/A</c:v>
                </c:pt>
                <c:pt idx="126">
                  <c:v>#N/A</c:v>
                </c:pt>
                <c:pt idx="127">
                  <c:v>#N/A</c:v>
                </c:pt>
                <c:pt idx="128">
                  <c:v>#N/A</c:v>
                </c:pt>
                <c:pt idx="129">
                  <c:v>26.17</c:v>
                </c:pt>
                <c:pt idx="130">
                  <c:v>#N/A</c:v>
                </c:pt>
                <c:pt idx="131">
                  <c:v>#N/A</c:v>
                </c:pt>
                <c:pt idx="132">
                  <c:v>#N/A</c:v>
                </c:pt>
                <c:pt idx="133">
                  <c:v>#N/A</c:v>
                </c:pt>
                <c:pt idx="134">
                  <c:v>#N/A</c:v>
                </c:pt>
                <c:pt idx="135">
                  <c:v>#N/A</c:v>
                </c:pt>
                <c:pt idx="136">
                  <c:v>29.52</c:v>
                </c:pt>
                <c:pt idx="137">
                  <c:v>#N/A</c:v>
                </c:pt>
                <c:pt idx="138">
                  <c:v>#N/A</c:v>
                </c:pt>
                <c:pt idx="139">
                  <c:v>#N/A</c:v>
                </c:pt>
                <c:pt idx="140">
                  <c:v>#N/A</c:v>
                </c:pt>
                <c:pt idx="141">
                  <c:v>#N/A</c:v>
                </c:pt>
                <c:pt idx="142">
                  <c:v>#N/A</c:v>
                </c:pt>
                <c:pt idx="143">
                  <c:v>33.25</c:v>
                </c:pt>
                <c:pt idx="144">
                  <c:v>#N/A</c:v>
                </c:pt>
                <c:pt idx="145">
                  <c:v>#N/A</c:v>
                </c:pt>
                <c:pt idx="146">
                  <c:v>#N/A</c:v>
                </c:pt>
                <c:pt idx="147">
                  <c:v>#N/A</c:v>
                </c:pt>
                <c:pt idx="148">
                  <c:v>#N/A</c:v>
                </c:pt>
                <c:pt idx="149">
                  <c:v>#N/A</c:v>
                </c:pt>
                <c:pt idx="150">
                  <c:v>35.49</c:v>
                </c:pt>
                <c:pt idx="151">
                  <c:v>#N/A</c:v>
                </c:pt>
                <c:pt idx="152">
                  <c:v>#N/A</c:v>
                </c:pt>
                <c:pt idx="153">
                  <c:v>#N/A</c:v>
                </c:pt>
                <c:pt idx="154">
                  <c:v>#N/A</c:v>
                </c:pt>
                <c:pt idx="155">
                  <c:v>#N/A</c:v>
                </c:pt>
                <c:pt idx="156">
                  <c:v>#N/A</c:v>
                </c:pt>
                <c:pt idx="157">
                  <c:v>39.549999999999997</c:v>
                </c:pt>
                <c:pt idx="158">
                  <c:v>#N/A</c:v>
                </c:pt>
                <c:pt idx="159">
                  <c:v>#N/A</c:v>
                </c:pt>
                <c:pt idx="160">
                  <c:v>#N/A</c:v>
                </c:pt>
                <c:pt idx="161">
                  <c:v>#N/A</c:v>
                </c:pt>
                <c:pt idx="162">
                  <c:v>#N/A</c:v>
                </c:pt>
                <c:pt idx="163">
                  <c:v>#N/A</c:v>
                </c:pt>
                <c:pt idx="164">
                  <c:v>36.26</c:v>
                </c:pt>
                <c:pt idx="165">
                  <c:v>#N/A</c:v>
                </c:pt>
                <c:pt idx="166">
                  <c:v>#N/A</c:v>
                </c:pt>
                <c:pt idx="167">
                  <c:v>#N/A</c:v>
                </c:pt>
                <c:pt idx="168">
                  <c:v>#N/A</c:v>
                </c:pt>
                <c:pt idx="169">
                  <c:v>#N/A</c:v>
                </c:pt>
                <c:pt idx="170">
                  <c:v>#N/A</c:v>
                </c:pt>
                <c:pt idx="171">
                  <c:v>39.83</c:v>
                </c:pt>
                <c:pt idx="172">
                  <c:v>#N/A</c:v>
                </c:pt>
                <c:pt idx="173">
                  <c:v>#N/A</c:v>
                </c:pt>
                <c:pt idx="174">
                  <c:v>#N/A</c:v>
                </c:pt>
                <c:pt idx="175">
                  <c:v>#N/A</c:v>
                </c:pt>
                <c:pt idx="176">
                  <c:v>#N/A</c:v>
                </c:pt>
                <c:pt idx="177">
                  <c:v>#N/A</c:v>
                </c:pt>
                <c:pt idx="178">
                  <c:v>38.49</c:v>
                </c:pt>
                <c:pt idx="179">
                  <c:v>#N/A</c:v>
                </c:pt>
                <c:pt idx="180">
                  <c:v>#N/A</c:v>
                </c:pt>
                <c:pt idx="181">
                  <c:v>#N/A</c:v>
                </c:pt>
                <c:pt idx="182">
                  <c:v>#N/A</c:v>
                </c:pt>
                <c:pt idx="183">
                  <c:v>#N/A</c:v>
                </c:pt>
                <c:pt idx="184">
                  <c:v>#N/A</c:v>
                </c:pt>
                <c:pt idx="185">
                  <c:v>40.65</c:v>
                </c:pt>
                <c:pt idx="186">
                  <c:v>#N/A</c:v>
                </c:pt>
                <c:pt idx="187">
                  <c:v>#N/A</c:v>
                </c:pt>
                <c:pt idx="188">
                  <c:v>#N/A</c:v>
                </c:pt>
                <c:pt idx="189">
                  <c:v>#N/A</c:v>
                </c:pt>
                <c:pt idx="190">
                  <c:v>#N/A</c:v>
                </c:pt>
                <c:pt idx="191">
                  <c:v>#N/A</c:v>
                </c:pt>
                <c:pt idx="192">
                  <c:v>40.549999999999997</c:v>
                </c:pt>
                <c:pt idx="193">
                  <c:v>#N/A</c:v>
                </c:pt>
                <c:pt idx="194">
                  <c:v>#N/A</c:v>
                </c:pt>
                <c:pt idx="195">
                  <c:v>#N/A</c:v>
                </c:pt>
                <c:pt idx="196">
                  <c:v>#N/A</c:v>
                </c:pt>
                <c:pt idx="197">
                  <c:v>#N/A</c:v>
                </c:pt>
                <c:pt idx="198">
                  <c:v>#N/A</c:v>
                </c:pt>
                <c:pt idx="199">
                  <c:v>40.75</c:v>
                </c:pt>
                <c:pt idx="200">
                  <c:v>#N/A</c:v>
                </c:pt>
                <c:pt idx="201">
                  <c:v>#N/A</c:v>
                </c:pt>
                <c:pt idx="202">
                  <c:v>#N/A</c:v>
                </c:pt>
                <c:pt idx="203">
                  <c:v>#N/A</c:v>
                </c:pt>
                <c:pt idx="204">
                  <c:v>#N/A</c:v>
                </c:pt>
                <c:pt idx="205">
                  <c:v>#N/A</c:v>
                </c:pt>
                <c:pt idx="206">
                  <c:v>41.29</c:v>
                </c:pt>
                <c:pt idx="207">
                  <c:v>#N/A</c:v>
                </c:pt>
                <c:pt idx="208">
                  <c:v>#N/A</c:v>
                </c:pt>
                <c:pt idx="209">
                  <c:v>#N/A</c:v>
                </c:pt>
                <c:pt idx="210">
                  <c:v>#N/A</c:v>
                </c:pt>
                <c:pt idx="211">
                  <c:v>#N/A</c:v>
                </c:pt>
                <c:pt idx="212">
                  <c:v>#N/A</c:v>
                </c:pt>
                <c:pt idx="213">
                  <c:v>40.270000000000003</c:v>
                </c:pt>
                <c:pt idx="214">
                  <c:v>#N/A</c:v>
                </c:pt>
                <c:pt idx="215">
                  <c:v>#N/A</c:v>
                </c:pt>
                <c:pt idx="216">
                  <c:v>#N/A</c:v>
                </c:pt>
                <c:pt idx="217">
                  <c:v>#N/A</c:v>
                </c:pt>
                <c:pt idx="218">
                  <c:v>#N/A</c:v>
                </c:pt>
                <c:pt idx="219">
                  <c:v>#N/A</c:v>
                </c:pt>
                <c:pt idx="220">
                  <c:v>41.22</c:v>
                </c:pt>
                <c:pt idx="221">
                  <c:v>#N/A</c:v>
                </c:pt>
                <c:pt idx="222">
                  <c:v>#N/A</c:v>
                </c:pt>
                <c:pt idx="223">
                  <c:v>#N/A</c:v>
                </c:pt>
                <c:pt idx="224">
                  <c:v>#N/A</c:v>
                </c:pt>
                <c:pt idx="225">
                  <c:v>#N/A</c:v>
                </c:pt>
                <c:pt idx="226">
                  <c:v>#N/A</c:v>
                </c:pt>
                <c:pt idx="227">
                  <c:v>42.01</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7BA2-4B2E-B758-0EA54CF3D818}"/>
            </c:ext>
          </c:extLst>
        </c:ser>
        <c:dLbls>
          <c:showLegendKey val="0"/>
          <c:showVal val="0"/>
          <c:showCatName val="0"/>
          <c:showSerName val="0"/>
          <c:showPercent val="0"/>
          <c:showBubbleSize val="0"/>
        </c:dLbls>
        <c:marker val="1"/>
        <c:smooth val="0"/>
        <c:axId val="285331456"/>
        <c:axId val="285332992"/>
      </c:lineChart>
      <c:dateAx>
        <c:axId val="28533145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85332992"/>
        <c:crosses val="autoZero"/>
        <c:auto val="0"/>
        <c:lblOffset val="0"/>
        <c:baseTimeUnit val="days"/>
        <c:majorUnit val="1"/>
        <c:majorTimeUnit val="months"/>
      </c:dateAx>
      <c:valAx>
        <c:axId val="285332992"/>
        <c:scaling>
          <c:orientation val="minMax"/>
          <c:min val="1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8533145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10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万吨</a:t>
          </a: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3.64538E-7</cdr:y>
    </cdr:from>
    <cdr:to>
      <cdr:x>0.10119</cdr:x>
      <cdr:y>0.08168</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462642" cy="22406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美元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桶</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913CD0-A156-4CC6-B7AA-150823A0D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7</Pages>
  <Words>715</Words>
  <Characters>4082</Characters>
  <Application>Microsoft Office Word</Application>
  <DocSecurity>0</DocSecurity>
  <Lines>34</Lines>
  <Paragraphs>9</Paragraphs>
  <ScaleCrop>false</ScaleCrop>
  <Company>Microsoft</Company>
  <LinksUpToDate>false</LinksUpToDate>
  <CharactersWithSpaces>4788</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subject/>
  <dc:creator>钱伟</dc:creator>
  <cp:keywords/>
  <dc:description/>
  <cp:lastModifiedBy>Administrator</cp:lastModifiedBy>
  <cp:revision>5</cp:revision>
  <cp:lastPrinted>2019-06-26T06:05:00Z</cp:lastPrinted>
  <dcterms:created xsi:type="dcterms:W3CDTF">2020-08-16T08:30:00Z</dcterms:created>
  <dcterms:modified xsi:type="dcterms:W3CDTF">2020-08-17T02:42:00Z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