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066AC993" w:rsidR="002C4C07" w:rsidRPr="00EF6393" w:rsidRDefault="002C4C07" w:rsidP="002C4C07">
      <w:pPr>
        <w:jc w:val="center"/>
        <w:rPr>
          <w:b/>
        </w:rPr>
      </w:pPr>
      <w:r w:rsidRPr="00EF6393">
        <w:rPr>
          <w:rFonts w:hint="eastAsia"/>
          <w:b/>
        </w:rPr>
        <w:t>富荣量化周观察——</w:t>
      </w:r>
      <w:r w:rsidR="00A83EEB">
        <w:rPr>
          <w:rFonts w:hint="eastAsia"/>
          <w:b/>
        </w:rPr>
        <w:t>静待破局</w:t>
      </w:r>
    </w:p>
    <w:p w14:paraId="3B072DAF" w14:textId="77777777" w:rsidR="00900D24" w:rsidRDefault="00900D24" w:rsidP="00900D24"/>
    <w:p w14:paraId="3362D349" w14:textId="21174110" w:rsidR="0088381E" w:rsidRDefault="00AA60AA" w:rsidP="0088381E">
      <w:pPr>
        <w:ind w:firstLineChars="200" w:firstLine="480"/>
      </w:pPr>
      <w:r>
        <w:rPr>
          <w:rFonts w:hint="eastAsia"/>
        </w:rPr>
        <w:t>本周A股市场</w:t>
      </w:r>
      <w:proofErr w:type="gramStart"/>
      <w:r w:rsidR="00A83EEB">
        <w:rPr>
          <w:rFonts w:hint="eastAsia"/>
        </w:rPr>
        <w:t>各宽基指数</w:t>
      </w:r>
      <w:proofErr w:type="gramEnd"/>
      <w:r>
        <w:rPr>
          <w:rFonts w:hint="eastAsia"/>
        </w:rPr>
        <w:t>表现如下：上证综指上涨0.18%</w:t>
      </w:r>
      <w:r w:rsidR="0088381E">
        <w:rPr>
          <w:rFonts w:hint="eastAsia"/>
        </w:rPr>
        <w:t>、</w:t>
      </w:r>
      <w:r>
        <w:rPr>
          <w:rFonts w:hint="eastAsia"/>
        </w:rPr>
        <w:t>上证50上涨0.76%</w:t>
      </w:r>
      <w:r w:rsidR="0088381E">
        <w:rPr>
          <w:rFonts w:hint="eastAsia"/>
        </w:rPr>
        <w:t>、</w:t>
      </w:r>
      <w:r>
        <w:rPr>
          <w:rFonts w:hint="eastAsia"/>
        </w:rPr>
        <w:t>沪深300指数下跌0.07%</w:t>
      </w:r>
      <w:r w:rsidR="0088381E">
        <w:rPr>
          <w:rFonts w:hint="eastAsia"/>
        </w:rPr>
        <w:t>、</w:t>
      </w:r>
      <w:r>
        <w:rPr>
          <w:rFonts w:hint="eastAsia"/>
        </w:rPr>
        <w:t>中证500指数下跌0.98%</w:t>
      </w:r>
      <w:r w:rsidR="0088381E">
        <w:rPr>
          <w:rFonts w:hint="eastAsia"/>
        </w:rPr>
        <w:t>、</w:t>
      </w:r>
      <w:r>
        <w:rPr>
          <w:rFonts w:hint="eastAsia"/>
        </w:rPr>
        <w:t>创业板指下跌2.95%</w:t>
      </w:r>
      <w:r w:rsidR="0088381E">
        <w:rPr>
          <w:rFonts w:hint="eastAsia"/>
        </w:rPr>
        <w:t>、</w:t>
      </w:r>
      <w:proofErr w:type="gramStart"/>
      <w:r>
        <w:rPr>
          <w:rFonts w:hint="eastAsia"/>
        </w:rPr>
        <w:t>科创</w:t>
      </w:r>
      <w:proofErr w:type="gramEnd"/>
      <w:r>
        <w:rPr>
          <w:rFonts w:hint="eastAsia"/>
        </w:rPr>
        <w:t>50指数下跌2.80%</w:t>
      </w:r>
      <w:r w:rsidR="0088381E">
        <w:rPr>
          <w:rFonts w:hint="eastAsia"/>
        </w:rPr>
        <w:t>，</w:t>
      </w:r>
      <w:proofErr w:type="gramStart"/>
      <w:r w:rsidR="0088381E">
        <w:rPr>
          <w:rFonts w:hint="eastAsia"/>
        </w:rPr>
        <w:t>各宽基指数</w:t>
      </w:r>
      <w:proofErr w:type="gramEnd"/>
      <w:r w:rsidR="0088381E">
        <w:rPr>
          <w:rFonts w:hint="eastAsia"/>
        </w:rPr>
        <w:t>表现分化，</w:t>
      </w:r>
      <w:proofErr w:type="gramStart"/>
      <w:r w:rsidR="0088381E">
        <w:rPr>
          <w:rFonts w:hint="eastAsia"/>
        </w:rPr>
        <w:t>科创板块</w:t>
      </w:r>
      <w:proofErr w:type="gramEnd"/>
      <w:r w:rsidR="0088381E">
        <w:rPr>
          <w:rFonts w:hint="eastAsia"/>
        </w:rPr>
        <w:t>调整幅度比较大，大盘</w:t>
      </w:r>
      <w:proofErr w:type="gramStart"/>
      <w:r w:rsidR="0088381E">
        <w:rPr>
          <w:rFonts w:hint="eastAsia"/>
        </w:rPr>
        <w:t>蓝筹则表现</w:t>
      </w:r>
      <w:proofErr w:type="gramEnd"/>
      <w:r w:rsidR="0088381E">
        <w:rPr>
          <w:rFonts w:hint="eastAsia"/>
        </w:rPr>
        <w:t>相对优异</w:t>
      </w:r>
      <w:r w:rsidR="00A83EEB">
        <w:rPr>
          <w:rFonts w:hint="eastAsia"/>
        </w:rPr>
        <w:t>。</w:t>
      </w:r>
      <w:r w:rsidR="0088381E">
        <w:rPr>
          <w:rFonts w:hint="eastAsia"/>
        </w:rPr>
        <w:t>从各大类因子的表现来看，市场表现出明显的小市值效应，低估值、低波动、低流动性因子在本周有明显的超额收益，市场处于内因驱动的技术性调整，前期高估值、高波动个股回调</w:t>
      </w:r>
      <w:r w:rsidR="00A83EEB">
        <w:rPr>
          <w:rFonts w:hint="eastAsia"/>
        </w:rPr>
        <w:t>比较多，市场依然情绪谨慎。</w:t>
      </w:r>
    </w:p>
    <w:p w14:paraId="14D11861" w14:textId="110699EF" w:rsidR="0088381E" w:rsidRDefault="00A83EEB" w:rsidP="0088381E">
      <w:pPr>
        <w:ind w:firstLineChars="200" w:firstLine="480"/>
      </w:pPr>
      <w:r>
        <w:rPr>
          <w:rFonts w:hint="eastAsia"/>
        </w:rPr>
        <w:t>情绪上，</w:t>
      </w:r>
      <w:r w:rsidR="0088381E">
        <w:rPr>
          <w:rFonts w:hint="eastAsia"/>
        </w:rPr>
        <w:t>从期货市场来看，本周IF当月合约上涨0.65%，</w:t>
      </w:r>
      <w:proofErr w:type="gramStart"/>
      <w:r w:rsidR="0088381E">
        <w:rPr>
          <w:rFonts w:hint="eastAsia"/>
        </w:rPr>
        <w:t>基差为</w:t>
      </w:r>
      <w:proofErr w:type="gramEnd"/>
      <w:r w:rsidR="0088381E">
        <w:rPr>
          <w:rFonts w:hint="eastAsia"/>
        </w:rPr>
        <w:t>0.27%；IH当月合约上涨1.02%，</w:t>
      </w:r>
      <w:proofErr w:type="gramStart"/>
      <w:r w:rsidR="0088381E">
        <w:rPr>
          <w:rFonts w:hint="eastAsia"/>
        </w:rPr>
        <w:t>基差为</w:t>
      </w:r>
      <w:proofErr w:type="gramEnd"/>
      <w:r w:rsidR="0088381E">
        <w:rPr>
          <w:rFonts w:hint="eastAsia"/>
        </w:rPr>
        <w:t>0.20%;IC当月合约上涨0.28%，</w:t>
      </w:r>
      <w:proofErr w:type="gramStart"/>
      <w:r w:rsidR="0088381E">
        <w:rPr>
          <w:rFonts w:hint="eastAsia"/>
        </w:rPr>
        <w:t>基差为</w:t>
      </w:r>
      <w:proofErr w:type="gramEnd"/>
      <w:r w:rsidR="0088381E">
        <w:rPr>
          <w:rFonts w:hint="eastAsia"/>
        </w:rPr>
        <w:t>0.1%。从资金流向来看，持续几周流出的北向资金情绪逐渐升温，最终本周净流入66.65亿，其中</w:t>
      </w:r>
      <w:proofErr w:type="gramStart"/>
      <w:r w:rsidR="0088381E">
        <w:rPr>
          <w:rFonts w:hint="eastAsia"/>
        </w:rPr>
        <w:t>沪股通净流入</w:t>
      </w:r>
      <w:proofErr w:type="gramEnd"/>
      <w:r w:rsidR="0088381E">
        <w:rPr>
          <w:rFonts w:hint="eastAsia"/>
        </w:rPr>
        <w:t>68.83亿，</w:t>
      </w:r>
      <w:proofErr w:type="gramStart"/>
      <w:r w:rsidR="0088381E">
        <w:rPr>
          <w:rFonts w:hint="eastAsia"/>
        </w:rPr>
        <w:t>深股通净流入</w:t>
      </w:r>
      <w:proofErr w:type="gramEnd"/>
      <w:r w:rsidR="0088381E">
        <w:rPr>
          <w:rFonts w:hint="eastAsia"/>
        </w:rPr>
        <w:t>-2.18亿。</w:t>
      </w:r>
    </w:p>
    <w:p w14:paraId="454C23F1" w14:textId="52F4FF79" w:rsidR="00A83EEB" w:rsidRDefault="00A83EEB" w:rsidP="00A83EEB">
      <w:pPr>
        <w:ind w:firstLineChars="200" w:firstLine="480"/>
      </w:pPr>
      <w:r>
        <w:rPr>
          <w:rFonts w:hint="eastAsia"/>
        </w:rPr>
        <w:t>从期权市场提取的波动</w:t>
      </w:r>
      <w:proofErr w:type="gramStart"/>
      <w:r>
        <w:rPr>
          <w:rFonts w:hint="eastAsia"/>
        </w:rPr>
        <w:t>率指数</w:t>
      </w:r>
      <w:proofErr w:type="gramEnd"/>
      <w:r>
        <w:rPr>
          <w:rFonts w:hint="eastAsia"/>
        </w:rPr>
        <w:t>来看，上证50VIX和沪深300VIX在本周有明显的回撤（28%左右），可以看出市场在震荡过程中情绪得到了缓解。本周末预期中的中美谈判最终延迟，这个对市场短期情绪影响最大信息无法落地，我们预期下周市场的波动</w:t>
      </w:r>
      <w:proofErr w:type="gramStart"/>
      <w:r>
        <w:rPr>
          <w:rFonts w:hint="eastAsia"/>
        </w:rPr>
        <w:t>率无法</w:t>
      </w:r>
      <w:proofErr w:type="gramEnd"/>
      <w:r>
        <w:rPr>
          <w:rFonts w:hint="eastAsia"/>
        </w:rPr>
        <w:t>干脆利落的下跌，市场的波动</w:t>
      </w:r>
      <w:proofErr w:type="gramStart"/>
      <w:r>
        <w:rPr>
          <w:rFonts w:hint="eastAsia"/>
        </w:rPr>
        <w:t>率指数</w:t>
      </w:r>
      <w:proofErr w:type="gramEnd"/>
      <w:r>
        <w:rPr>
          <w:rFonts w:hint="eastAsia"/>
        </w:rPr>
        <w:t>将继续维持在在历史相对高位，市场风险释放并不充分，这也将反应在风格配置优选：低估值和低波动</w:t>
      </w:r>
      <w:r w:rsidR="00640174">
        <w:rPr>
          <w:rFonts w:hint="eastAsia"/>
        </w:rPr>
        <w:t>等防御性较强的</w:t>
      </w:r>
      <w:r>
        <w:rPr>
          <w:rFonts w:hint="eastAsia"/>
        </w:rPr>
        <w:t>个股。</w:t>
      </w:r>
    </w:p>
    <w:p w14:paraId="12809444" w14:textId="2B4DB145" w:rsidR="00A83EEB" w:rsidRDefault="00A83EEB" w:rsidP="0088381E">
      <w:pPr>
        <w:ind w:firstLineChars="200" w:firstLine="480"/>
        <w:rPr>
          <w:rFonts w:hint="eastAsia"/>
        </w:rPr>
      </w:pPr>
      <w:r>
        <w:rPr>
          <w:rFonts w:hint="eastAsia"/>
        </w:rPr>
        <w:t>根据以上的市场表现，我们对后市运行依然维持中性判断，我们认为这次市场调整的主因并非外部因素驱动的，而是市场前期快速上涨带来的内生性因素，因此市场将维持震荡继续消化7月初的快速上涨。短期内市场向上的动能较低，投资者需要保持耐心，</w:t>
      </w:r>
      <w:r w:rsidR="00640174">
        <w:rPr>
          <w:rFonts w:hint="eastAsia"/>
        </w:rPr>
        <w:t>可以配置大蓝筹个股增强防御能力，然后</w:t>
      </w:r>
      <w:r>
        <w:rPr>
          <w:rFonts w:hint="eastAsia"/>
        </w:rPr>
        <w:t>静待市场新的突破力量。</w:t>
      </w:r>
    </w:p>
    <w:p w14:paraId="7CBA9E4F" w14:textId="77777777" w:rsidR="00E71D33" w:rsidRDefault="00E71D33" w:rsidP="0088381E">
      <w:pPr>
        <w:ind w:firstLineChars="200" w:firstLine="480"/>
        <w:rPr>
          <w:rFonts w:hint="eastAsia"/>
        </w:rPr>
      </w:pPr>
    </w:p>
    <w:p w14:paraId="1E5840CD" w14:textId="77777777" w:rsidR="00E71D33" w:rsidRDefault="00E71D33" w:rsidP="0088381E">
      <w:pPr>
        <w:ind w:firstLineChars="200" w:firstLine="480"/>
        <w:rPr>
          <w:rFonts w:hint="eastAsia"/>
        </w:rPr>
      </w:pPr>
    </w:p>
    <w:p w14:paraId="3ABAB4F1" w14:textId="77777777" w:rsidR="00E71D33" w:rsidRDefault="00E71D33" w:rsidP="0088381E">
      <w:pPr>
        <w:ind w:firstLineChars="200" w:firstLine="480"/>
        <w:rPr>
          <w:rFonts w:hint="eastAsia"/>
        </w:rPr>
      </w:pPr>
    </w:p>
    <w:p w14:paraId="27BC4B6F" w14:textId="486FBE01" w:rsidR="00E71D33" w:rsidRPr="00E71D33" w:rsidRDefault="00E71D33" w:rsidP="00E71D33">
      <w:pPr>
        <w:ind w:firstLineChars="200" w:firstLine="360"/>
        <w:rPr>
          <w:sz w:val="18"/>
          <w:szCs w:val="18"/>
        </w:rPr>
      </w:pPr>
      <w:r w:rsidRPr="00E71D33">
        <w:rPr>
          <w:rFonts w:hint="eastAsia"/>
          <w:sz w:val="18"/>
          <w:szCs w:val="18"/>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71D33">
        <w:rPr>
          <w:rFonts w:hint="eastAsia"/>
          <w:sz w:val="18"/>
          <w:szCs w:val="18"/>
        </w:rPr>
        <w:t>作出</w:t>
      </w:r>
      <w:proofErr w:type="gramEnd"/>
      <w:r w:rsidRPr="00E71D33">
        <w:rPr>
          <w:rFonts w:hint="eastAsia"/>
          <w:sz w:val="18"/>
          <w:szCs w:val="18"/>
        </w:rPr>
        <w:t>调整。2、本报告中的资料、观点和预测等仅供参考，在任何时候均不构成对任何人的个人推荐。市场有风险，投资需谨慎。</w:t>
      </w:r>
      <w:bookmarkStart w:id="0" w:name="_GoBack"/>
      <w:bookmarkEnd w:id="0"/>
    </w:p>
    <w:sectPr w:rsidR="00E71D33" w:rsidRPr="00E71D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C847F2" w14:textId="77777777" w:rsidR="00A42044" w:rsidRDefault="00A42044" w:rsidP="002C4C07">
      <w:pPr>
        <w:spacing w:line="240" w:lineRule="auto"/>
      </w:pPr>
      <w:r>
        <w:separator/>
      </w:r>
    </w:p>
  </w:endnote>
  <w:endnote w:type="continuationSeparator" w:id="0">
    <w:p w14:paraId="7B318860" w14:textId="77777777" w:rsidR="00A42044" w:rsidRDefault="00A42044"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D29458" w14:textId="77777777" w:rsidR="00A42044" w:rsidRDefault="00A42044" w:rsidP="002C4C07">
      <w:pPr>
        <w:spacing w:line="240" w:lineRule="auto"/>
      </w:pPr>
      <w:r>
        <w:separator/>
      </w:r>
    </w:p>
  </w:footnote>
  <w:footnote w:type="continuationSeparator" w:id="0">
    <w:p w14:paraId="41194358" w14:textId="77777777" w:rsidR="00A42044" w:rsidRDefault="00A42044"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2560C"/>
    <w:rsid w:val="00172976"/>
    <w:rsid w:val="001867FC"/>
    <w:rsid w:val="001D19B6"/>
    <w:rsid w:val="001D6061"/>
    <w:rsid w:val="0020342A"/>
    <w:rsid w:val="002062DE"/>
    <w:rsid w:val="002129BA"/>
    <w:rsid w:val="00230B59"/>
    <w:rsid w:val="002A093A"/>
    <w:rsid w:val="002A66D9"/>
    <w:rsid w:val="002B15CF"/>
    <w:rsid w:val="002C4C07"/>
    <w:rsid w:val="002C7EF7"/>
    <w:rsid w:val="002D362E"/>
    <w:rsid w:val="002E17CD"/>
    <w:rsid w:val="00306287"/>
    <w:rsid w:val="00374124"/>
    <w:rsid w:val="00386B38"/>
    <w:rsid w:val="00386DFB"/>
    <w:rsid w:val="003D637F"/>
    <w:rsid w:val="003F6050"/>
    <w:rsid w:val="00454A3A"/>
    <w:rsid w:val="004746D7"/>
    <w:rsid w:val="004E1AF1"/>
    <w:rsid w:val="004E3614"/>
    <w:rsid w:val="00525A53"/>
    <w:rsid w:val="005A2D48"/>
    <w:rsid w:val="005C4905"/>
    <w:rsid w:val="00640174"/>
    <w:rsid w:val="006965D2"/>
    <w:rsid w:val="006B1D85"/>
    <w:rsid w:val="006C7CF6"/>
    <w:rsid w:val="006E2C43"/>
    <w:rsid w:val="006E639C"/>
    <w:rsid w:val="0073379B"/>
    <w:rsid w:val="00756EC7"/>
    <w:rsid w:val="007D5907"/>
    <w:rsid w:val="007F6A29"/>
    <w:rsid w:val="00830122"/>
    <w:rsid w:val="00830C71"/>
    <w:rsid w:val="008540B7"/>
    <w:rsid w:val="0088381E"/>
    <w:rsid w:val="008916E0"/>
    <w:rsid w:val="00893C6A"/>
    <w:rsid w:val="008A74C1"/>
    <w:rsid w:val="008B1754"/>
    <w:rsid w:val="008B27E8"/>
    <w:rsid w:val="00900D24"/>
    <w:rsid w:val="00907C93"/>
    <w:rsid w:val="00916ABA"/>
    <w:rsid w:val="00987C63"/>
    <w:rsid w:val="009953B9"/>
    <w:rsid w:val="009A4F5B"/>
    <w:rsid w:val="009D02A8"/>
    <w:rsid w:val="00A07990"/>
    <w:rsid w:val="00A42044"/>
    <w:rsid w:val="00A51293"/>
    <w:rsid w:val="00A61347"/>
    <w:rsid w:val="00A83EEB"/>
    <w:rsid w:val="00A90927"/>
    <w:rsid w:val="00AA60AA"/>
    <w:rsid w:val="00B233B9"/>
    <w:rsid w:val="00B82632"/>
    <w:rsid w:val="00B91093"/>
    <w:rsid w:val="00BA3587"/>
    <w:rsid w:val="00BA72C2"/>
    <w:rsid w:val="00BC61FC"/>
    <w:rsid w:val="00BD6BA1"/>
    <w:rsid w:val="00BE5453"/>
    <w:rsid w:val="00C11C89"/>
    <w:rsid w:val="00C24E54"/>
    <w:rsid w:val="00CA47A2"/>
    <w:rsid w:val="00CD5494"/>
    <w:rsid w:val="00CD673E"/>
    <w:rsid w:val="00D055BF"/>
    <w:rsid w:val="00D46833"/>
    <w:rsid w:val="00DD21CB"/>
    <w:rsid w:val="00DD2E6A"/>
    <w:rsid w:val="00DD5C74"/>
    <w:rsid w:val="00DF6F9A"/>
    <w:rsid w:val="00E71D33"/>
    <w:rsid w:val="00E86C8A"/>
    <w:rsid w:val="00E87750"/>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Pages>
  <Words>136</Words>
  <Characters>777</Characters>
  <Application>Microsoft Office Word</Application>
  <DocSecurity>0</DocSecurity>
  <Lines>6</Lines>
  <Paragraphs>1</Paragraphs>
  <ScaleCrop>false</ScaleCrop>
  <Company/>
  <LinksUpToDate>false</LinksUpToDate>
  <CharactersWithSpaces>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15</cp:revision>
  <dcterms:created xsi:type="dcterms:W3CDTF">2020-07-06T03:36:00Z</dcterms:created>
  <dcterms:modified xsi:type="dcterms:W3CDTF">2020-08-17T03:05:00Z</dcterms:modified>
</cp:coreProperties>
</file>