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6.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67D50B6C"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bookmarkStart w:id="0" w:name="_GoBack"/>
      <w:r w:rsidR="002F0176">
        <w:rPr>
          <w:rFonts w:ascii="楷体" w:eastAsia="楷体" w:hAnsi="楷体" w:hint="eastAsia"/>
          <w:sz w:val="28"/>
          <w:szCs w:val="28"/>
        </w:rPr>
        <w:t>股市继续</w:t>
      </w:r>
      <w:r w:rsidR="00F774ED">
        <w:rPr>
          <w:rFonts w:ascii="楷体" w:eastAsia="楷体" w:hAnsi="楷体" w:hint="eastAsia"/>
          <w:sz w:val="28"/>
          <w:szCs w:val="28"/>
        </w:rPr>
        <w:t>震荡</w:t>
      </w:r>
      <w:r w:rsidR="002F0176">
        <w:rPr>
          <w:rFonts w:ascii="楷体" w:eastAsia="楷体" w:hAnsi="楷体" w:hint="eastAsia"/>
          <w:sz w:val="28"/>
          <w:szCs w:val="28"/>
        </w:rPr>
        <w:t>，债市明显回落</w:t>
      </w:r>
      <w:bookmarkEnd w:id="0"/>
    </w:p>
    <w:p w14:paraId="0A7A9383" w14:textId="10DDE235" w:rsidR="00FF57FB" w:rsidRPr="00FA6C01" w:rsidRDefault="00DD41C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009C30E2" w:rsidRPr="00FA6C01">
        <w:rPr>
          <w:rFonts w:ascii="楷体" w:eastAsia="楷体" w:hAnsi="楷体"/>
          <w:sz w:val="28"/>
          <w:szCs w:val="28"/>
        </w:rPr>
        <w:t>年</w:t>
      </w:r>
      <w:r w:rsidR="00C9534E">
        <w:rPr>
          <w:rFonts w:ascii="楷体" w:eastAsia="楷体" w:hAnsi="楷体"/>
          <w:sz w:val="28"/>
          <w:szCs w:val="28"/>
        </w:rPr>
        <w:t>8</w:t>
      </w:r>
      <w:r w:rsidR="009C30E2" w:rsidRPr="00FA6C01">
        <w:rPr>
          <w:rFonts w:ascii="楷体" w:eastAsia="楷体" w:hAnsi="楷体"/>
          <w:sz w:val="28"/>
          <w:szCs w:val="28"/>
        </w:rPr>
        <w:t>月</w:t>
      </w:r>
      <w:r w:rsidR="00051876">
        <w:rPr>
          <w:rFonts w:ascii="楷体" w:eastAsia="楷体" w:hAnsi="楷体"/>
          <w:sz w:val="28"/>
          <w:szCs w:val="28"/>
        </w:rPr>
        <w:t>21</w:t>
      </w:r>
      <w:r w:rsidR="00F82A54">
        <w:rPr>
          <w:rFonts w:ascii="楷体" w:eastAsia="楷体" w:hAnsi="楷体" w:hint="eastAsia"/>
          <w:sz w:val="28"/>
          <w:szCs w:val="28"/>
        </w:rPr>
        <w:t>日</w:t>
      </w:r>
    </w:p>
    <w:p w14:paraId="1B2C4A22" w14:textId="0BA85F85" w:rsidR="005E5CB1" w:rsidRPr="00B778AC" w:rsidRDefault="005E5CB1" w:rsidP="005E5CB1">
      <w:pPr>
        <w:pStyle w:val="Header1"/>
        <w:spacing w:before="240"/>
        <w:rPr>
          <w:rFonts w:ascii="Arial Narrow" w:hAnsi="Arial Narrow"/>
          <w:b w:val="0"/>
          <w:smallCaps w:val="0"/>
          <w:color w:val="auto"/>
          <w:sz w:val="23"/>
          <w:szCs w:val="23"/>
          <w:lang w:eastAsia="zh-TW"/>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517F89C2" w14:textId="07700E30" w:rsidR="002F0176" w:rsidRPr="002F0176" w:rsidRDefault="002F0176" w:rsidP="00F774ED">
      <w:pPr>
        <w:pStyle w:val="Body-text"/>
        <w:spacing w:after="240"/>
        <w:ind w:firstLineChars="200" w:firstLine="480"/>
        <w:rPr>
          <w:rFonts w:ascii="华文楷体" w:hAnsi="华文楷体"/>
          <w:bCs/>
          <w:sz w:val="24"/>
          <w:szCs w:val="24"/>
          <w:lang w:eastAsia="zh-CN"/>
        </w:rPr>
      </w:pPr>
      <w:r w:rsidRPr="002F0176">
        <w:rPr>
          <w:rFonts w:ascii="华文楷体" w:hAnsi="华文楷体" w:hint="eastAsia"/>
          <w:bCs/>
          <w:sz w:val="24"/>
          <w:szCs w:val="24"/>
          <w:lang w:eastAsia="zh-CN"/>
        </w:rPr>
        <w:t>本周地产调控升级，人民银行、住房城乡建设部等部门会议宣布形成了重点房地产企业资金监测和融资管理规则。这一政策会不会对地产销售及开工形成负面影响需要观察。一旦地产在调控下放缓，经济修复的速度下降是大概率事件，库存周期的复苏路径可能出现断裂。</w:t>
      </w:r>
    </w:p>
    <w:p w14:paraId="24D4C2ED" w14:textId="7BFB9293" w:rsidR="002F0176" w:rsidRDefault="002F0176" w:rsidP="002F0176">
      <w:pPr>
        <w:pStyle w:val="Body-text"/>
        <w:spacing w:after="240"/>
        <w:ind w:firstLineChars="200" w:firstLine="480"/>
        <w:rPr>
          <w:rFonts w:ascii="华文楷体" w:hAnsi="华文楷体"/>
          <w:bCs/>
          <w:sz w:val="24"/>
          <w:szCs w:val="24"/>
          <w:lang w:eastAsia="zh-CN"/>
        </w:rPr>
      </w:pPr>
      <w:r w:rsidRPr="002F0176">
        <w:rPr>
          <w:rFonts w:ascii="华文楷体" w:hAnsi="华文楷体" w:hint="eastAsia"/>
          <w:bCs/>
          <w:sz w:val="24"/>
          <w:szCs w:val="24"/>
          <w:lang w:eastAsia="zh-CN"/>
        </w:rPr>
        <w:t>海外经济，尤其是美国经济的重</w:t>
      </w:r>
      <w:proofErr w:type="gramStart"/>
      <w:r w:rsidRPr="002F0176">
        <w:rPr>
          <w:rFonts w:ascii="华文楷体" w:hAnsi="华文楷体" w:hint="eastAsia"/>
          <w:bCs/>
          <w:sz w:val="24"/>
          <w:szCs w:val="24"/>
          <w:lang w:eastAsia="zh-CN"/>
        </w:rPr>
        <w:t>启带来</w:t>
      </w:r>
      <w:proofErr w:type="gramEnd"/>
      <w:r w:rsidRPr="002F0176">
        <w:rPr>
          <w:rFonts w:ascii="华文楷体" w:hAnsi="华文楷体" w:hint="eastAsia"/>
          <w:bCs/>
          <w:sz w:val="24"/>
          <w:szCs w:val="24"/>
          <w:lang w:eastAsia="zh-CN"/>
        </w:rPr>
        <w:t>的经济数据改善，对美元形成阶段性支撑。虽然FED不太可能收紧货币和利率，但是边际继续宽松的预期在上次FOMC会议后持续弱化。收益率曲线控制政策短期来看很难出台。这种情况下，美元是否会</w:t>
      </w:r>
      <w:r w:rsidR="00F774ED">
        <w:rPr>
          <w:rFonts w:ascii="华文楷体" w:hAnsi="华文楷体" w:hint="eastAsia"/>
          <w:bCs/>
          <w:sz w:val="24"/>
          <w:szCs w:val="24"/>
          <w:lang w:eastAsia="zh-CN"/>
        </w:rPr>
        <w:t>短期</w:t>
      </w:r>
      <w:r w:rsidRPr="002F0176">
        <w:rPr>
          <w:rFonts w:ascii="华文楷体" w:hAnsi="华文楷体" w:hint="eastAsia"/>
          <w:bCs/>
          <w:sz w:val="24"/>
          <w:szCs w:val="24"/>
          <w:lang w:eastAsia="zh-CN"/>
        </w:rPr>
        <w:t>持续走强就是短期影响市场的一个重要因素。</w:t>
      </w:r>
      <w:r w:rsidR="00F774ED">
        <w:rPr>
          <w:rFonts w:ascii="华文楷体" w:hAnsi="华文楷体" w:hint="eastAsia"/>
          <w:bCs/>
          <w:sz w:val="24"/>
          <w:szCs w:val="24"/>
          <w:lang w:eastAsia="zh-CN"/>
        </w:rPr>
        <w:t>强势美元</w:t>
      </w:r>
      <w:r w:rsidRPr="002F0176">
        <w:rPr>
          <w:rFonts w:ascii="华文楷体" w:hAnsi="华文楷体" w:hint="eastAsia"/>
          <w:bCs/>
          <w:sz w:val="24"/>
          <w:szCs w:val="24"/>
          <w:lang w:eastAsia="zh-CN"/>
        </w:rPr>
        <w:t>不但会影响大宗商品，也直接影响着贵金属甚至国内经济。</w:t>
      </w:r>
    </w:p>
    <w:tbl>
      <w:tblPr>
        <w:tblW w:w="9881" w:type="dxa"/>
        <w:jc w:val="center"/>
        <w:tblCellMar>
          <w:left w:w="0" w:type="dxa"/>
          <w:right w:w="0" w:type="dxa"/>
        </w:tblCellMar>
        <w:tblLook w:val="01E0" w:firstRow="1" w:lastRow="1" w:firstColumn="1" w:lastColumn="1" w:noHBand="0" w:noVBand="0"/>
      </w:tblPr>
      <w:tblGrid>
        <w:gridCol w:w="10086"/>
      </w:tblGrid>
      <w:tr w:rsidR="002F0176" w:rsidRPr="006A5F34" w14:paraId="4A6F4ACB" w14:textId="77777777" w:rsidTr="003A2C8C">
        <w:trPr>
          <w:trHeight w:val="269"/>
          <w:jc w:val="center"/>
        </w:trPr>
        <w:tc>
          <w:tcPr>
            <w:tcW w:w="9881" w:type="dxa"/>
            <w:vAlign w:val="center"/>
          </w:tcPr>
          <w:p w14:paraId="20C1EB5E" w14:textId="52D2E338" w:rsidR="002F0176" w:rsidRPr="006A5F34" w:rsidRDefault="002F0176" w:rsidP="003A2C8C">
            <w:pPr>
              <w:pStyle w:val="ChartHeading"/>
              <w:jc w:val="both"/>
            </w:pPr>
            <w:r w:rsidRPr="006A5F34">
              <w:rPr>
                <w:rFonts w:hint="eastAsia"/>
              </w:rPr>
              <w:t>图表</w:t>
            </w:r>
            <w:r w:rsidRPr="006A5F34">
              <w:t xml:space="preserve">. </w:t>
            </w:r>
            <w:r>
              <w:rPr>
                <w:rFonts w:hint="eastAsia"/>
              </w:rPr>
              <w:t>美元指数，国债利率及南华工业品指数</w:t>
            </w:r>
          </w:p>
        </w:tc>
      </w:tr>
      <w:tr w:rsidR="002F0176" w:rsidRPr="0069484C" w14:paraId="0B3C9F38" w14:textId="77777777" w:rsidTr="003A2C8C">
        <w:tblPrEx>
          <w:tblCellMar>
            <w:left w:w="108" w:type="dxa"/>
            <w:right w:w="108" w:type="dxa"/>
          </w:tblCellMar>
        </w:tblPrEx>
        <w:trPr>
          <w:trHeight w:val="391"/>
          <w:jc w:val="center"/>
        </w:trPr>
        <w:tc>
          <w:tcPr>
            <w:tcW w:w="9881" w:type="dxa"/>
            <w:vAlign w:val="center"/>
          </w:tcPr>
          <w:p w14:paraId="1F3D3C3C" w14:textId="07D423B7" w:rsidR="002F0176" w:rsidRPr="0069484C" w:rsidRDefault="002F0176" w:rsidP="003A2C8C">
            <w:pPr>
              <w:rPr>
                <w:noProof/>
                <w:sz w:val="20"/>
                <w:szCs w:val="16"/>
              </w:rPr>
            </w:pPr>
            <w:r>
              <w:rPr>
                <w:noProof/>
              </w:rPr>
              <w:drawing>
                <wp:inline distT="0" distB="0" distL="0" distR="0" wp14:anchorId="706AE33E" wp14:editId="4F9CB177">
                  <wp:extent cx="6263640" cy="3194685"/>
                  <wp:effectExtent l="0" t="0" r="3810" b="571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263640" cy="3194685"/>
                          </a:xfrm>
                          <a:prstGeom prst="rect">
                            <a:avLst/>
                          </a:prstGeom>
                        </pic:spPr>
                      </pic:pic>
                    </a:graphicData>
                  </a:graphic>
                </wp:inline>
              </w:drawing>
            </w:r>
          </w:p>
        </w:tc>
      </w:tr>
      <w:tr w:rsidR="002F0176" w:rsidRPr="006A5F34" w14:paraId="48A2F74E" w14:textId="77777777" w:rsidTr="003A2C8C">
        <w:trPr>
          <w:trHeight w:val="43"/>
          <w:jc w:val="center"/>
        </w:trPr>
        <w:tc>
          <w:tcPr>
            <w:tcW w:w="9881" w:type="dxa"/>
            <w:vAlign w:val="center"/>
          </w:tcPr>
          <w:p w14:paraId="2FB4DD85" w14:textId="50C12C03" w:rsidR="002F0176" w:rsidRPr="006A5F34" w:rsidRDefault="002F0176" w:rsidP="003A2C8C">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02D91567" w14:textId="77777777" w:rsidR="002F0176" w:rsidRPr="002F0176" w:rsidRDefault="002F0176" w:rsidP="002F0176">
      <w:pPr>
        <w:pStyle w:val="Body-text"/>
        <w:spacing w:after="240"/>
        <w:rPr>
          <w:rFonts w:ascii="华文楷体" w:hAnsi="华文楷体"/>
          <w:bCs/>
          <w:sz w:val="24"/>
          <w:szCs w:val="24"/>
          <w:lang w:eastAsia="zh-CN"/>
        </w:rPr>
      </w:pPr>
    </w:p>
    <w:p w14:paraId="1146C3B6" w14:textId="4D139999" w:rsidR="002F0176" w:rsidRPr="002F0176" w:rsidRDefault="002F0176" w:rsidP="002F0176">
      <w:pPr>
        <w:pStyle w:val="Body-text"/>
        <w:spacing w:after="240"/>
        <w:ind w:firstLineChars="200" w:firstLine="480"/>
        <w:rPr>
          <w:rFonts w:ascii="华文楷体" w:hAnsi="华文楷体"/>
          <w:bCs/>
          <w:sz w:val="24"/>
          <w:szCs w:val="24"/>
          <w:lang w:eastAsia="zh-CN"/>
        </w:rPr>
      </w:pPr>
      <w:r w:rsidRPr="002F0176">
        <w:rPr>
          <w:rFonts w:ascii="华文楷体" w:hAnsi="华文楷体" w:hint="eastAsia"/>
          <w:bCs/>
          <w:sz w:val="24"/>
          <w:szCs w:val="24"/>
          <w:lang w:eastAsia="zh-CN"/>
        </w:rPr>
        <w:t>权益市场在经过上周调整后，下周或将出现再次蓄力上冲。在上方阻力较强，短期缺乏突破动力时，这一冲高如果无法有效延伸，回落就是大概率事件。</w:t>
      </w:r>
      <w:r w:rsidR="00F774ED">
        <w:rPr>
          <w:rFonts w:ascii="华文楷体" w:hAnsi="华文楷体" w:hint="eastAsia"/>
          <w:bCs/>
          <w:sz w:val="24"/>
          <w:szCs w:val="24"/>
          <w:lang w:eastAsia="zh-CN"/>
        </w:rPr>
        <w:t>而</w:t>
      </w:r>
      <w:r w:rsidRPr="002F0176">
        <w:rPr>
          <w:rFonts w:ascii="华文楷体" w:hAnsi="华文楷体" w:hint="eastAsia"/>
          <w:bCs/>
          <w:sz w:val="24"/>
          <w:szCs w:val="24"/>
          <w:lang w:eastAsia="zh-CN"/>
        </w:rPr>
        <w:t>债券市场持续调整，</w:t>
      </w:r>
      <w:proofErr w:type="gramStart"/>
      <w:r w:rsidRPr="002F0176">
        <w:rPr>
          <w:rFonts w:ascii="华文楷体" w:hAnsi="华文楷体" w:hint="eastAsia"/>
          <w:bCs/>
          <w:sz w:val="24"/>
          <w:szCs w:val="24"/>
          <w:lang w:eastAsia="zh-CN"/>
        </w:rPr>
        <w:t>股债比阶段</w:t>
      </w:r>
      <w:proofErr w:type="gramEnd"/>
      <w:r w:rsidRPr="002F0176">
        <w:rPr>
          <w:rFonts w:ascii="华文楷体" w:hAnsi="华文楷体" w:hint="eastAsia"/>
          <w:bCs/>
          <w:sz w:val="24"/>
          <w:szCs w:val="24"/>
          <w:lang w:eastAsia="zh-CN"/>
        </w:rPr>
        <w:t>修复，跷跷板效应也会对利率</w:t>
      </w:r>
      <w:proofErr w:type="gramStart"/>
      <w:r w:rsidRPr="002F0176">
        <w:rPr>
          <w:rFonts w:ascii="华文楷体" w:hAnsi="华文楷体" w:hint="eastAsia"/>
          <w:bCs/>
          <w:sz w:val="24"/>
          <w:szCs w:val="24"/>
          <w:lang w:eastAsia="zh-CN"/>
        </w:rPr>
        <w:t>债产生</w:t>
      </w:r>
      <w:proofErr w:type="gramEnd"/>
      <w:r w:rsidRPr="002F0176">
        <w:rPr>
          <w:rFonts w:ascii="华文楷体" w:hAnsi="华文楷体" w:hint="eastAsia"/>
          <w:bCs/>
          <w:sz w:val="24"/>
          <w:szCs w:val="24"/>
          <w:lang w:eastAsia="zh-CN"/>
        </w:rPr>
        <w:t>正面影响。</w:t>
      </w:r>
    </w:p>
    <w:p w14:paraId="2927E249" w14:textId="1F83795F" w:rsidR="00B17EC7" w:rsidRPr="00004E5B" w:rsidRDefault="002F0176" w:rsidP="00004E5B">
      <w:pPr>
        <w:pStyle w:val="Body-text"/>
        <w:spacing w:after="240"/>
        <w:ind w:firstLineChars="200" w:firstLine="480"/>
        <w:rPr>
          <w:rFonts w:ascii="华文楷体" w:hAnsi="华文楷体"/>
          <w:bCs/>
          <w:sz w:val="24"/>
          <w:szCs w:val="24"/>
          <w:lang w:eastAsia="zh-CN"/>
        </w:rPr>
      </w:pPr>
      <w:r w:rsidRPr="002F0176">
        <w:rPr>
          <w:rFonts w:ascii="华文楷体" w:hAnsi="华文楷体" w:hint="eastAsia"/>
          <w:bCs/>
          <w:sz w:val="24"/>
          <w:szCs w:val="24"/>
          <w:lang w:eastAsia="zh-CN"/>
        </w:rPr>
        <w:t>综合来看，我们认为需要密切关注利率债的反弹结束，以及随着权益冲高债券的调整，采</w:t>
      </w:r>
      <w:r w:rsidRPr="002F0176">
        <w:rPr>
          <w:rFonts w:ascii="华文楷体" w:hAnsi="华文楷体" w:hint="eastAsia"/>
          <w:bCs/>
          <w:sz w:val="24"/>
          <w:szCs w:val="24"/>
          <w:lang w:eastAsia="zh-CN"/>
        </w:rPr>
        <w:lastRenderedPageBreak/>
        <w:t>取相应策略为未来的交易机会做准备。</w:t>
      </w:r>
    </w:p>
    <w:p w14:paraId="3DA4DF44" w14:textId="115B9902" w:rsidR="00A56A98" w:rsidRPr="006058CF" w:rsidRDefault="00A56A98" w:rsidP="005C6C18">
      <w:pPr>
        <w:pStyle w:val="Body-text"/>
        <w:spacing w:after="240"/>
        <w:ind w:firstLine="480"/>
        <w:rPr>
          <w:sz w:val="23"/>
          <w:szCs w:val="23"/>
          <w:lang w:eastAsia="zh-CN"/>
        </w:rPr>
      </w:pPr>
    </w:p>
    <w:p w14:paraId="7EEDEF05" w14:textId="34184DA3"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468D0BC5" w:rsidR="00EA1459" w:rsidRPr="00337E36" w:rsidRDefault="00337E36" w:rsidP="00EC3415">
      <w:pPr>
        <w:pStyle w:val="Body-text"/>
        <w:spacing w:after="240"/>
        <w:ind w:firstLineChars="200" w:firstLine="480"/>
        <w:rPr>
          <w:rFonts w:ascii="华文楷体" w:hAnsi="华文楷体"/>
          <w:sz w:val="24"/>
          <w:szCs w:val="24"/>
          <w:lang w:eastAsia="zh-CN"/>
        </w:rPr>
      </w:pPr>
      <w:r w:rsidRPr="00337E36">
        <w:rPr>
          <w:rFonts w:ascii="华文楷体" w:hAnsi="华文楷体" w:hint="eastAsia"/>
          <w:sz w:val="24"/>
          <w:szCs w:val="24"/>
          <w:lang w:eastAsia="zh-CN"/>
        </w:rPr>
        <w:t>本周央行超量续作MLF，除MLF外</w:t>
      </w:r>
      <w:r w:rsidR="00EC3415" w:rsidRPr="00337E36">
        <w:rPr>
          <w:rFonts w:ascii="华文楷体" w:hAnsi="华文楷体" w:hint="eastAsia"/>
          <w:sz w:val="24"/>
          <w:szCs w:val="24"/>
          <w:lang w:eastAsia="zh-CN"/>
        </w:rPr>
        <w:t>公开市场</w:t>
      </w:r>
      <w:r w:rsidR="00D9413F" w:rsidRPr="00337E36">
        <w:rPr>
          <w:rFonts w:ascii="华文楷体" w:hAnsi="华文楷体" w:hint="eastAsia"/>
          <w:sz w:val="24"/>
          <w:szCs w:val="24"/>
          <w:lang w:eastAsia="zh-CN"/>
        </w:rPr>
        <w:t>操作</w:t>
      </w:r>
      <w:r w:rsidR="002C4ACD" w:rsidRPr="00337E36">
        <w:rPr>
          <w:rFonts w:ascii="华文楷体" w:hAnsi="华文楷体" w:hint="eastAsia"/>
          <w:sz w:val="24"/>
          <w:szCs w:val="24"/>
          <w:lang w:eastAsia="zh-CN"/>
        </w:rPr>
        <w:t>净</w:t>
      </w:r>
      <w:r w:rsidR="005F2EA2" w:rsidRPr="00337E36">
        <w:rPr>
          <w:rFonts w:ascii="华文楷体" w:hAnsi="华文楷体" w:hint="eastAsia"/>
          <w:sz w:val="24"/>
          <w:szCs w:val="24"/>
          <w:lang w:eastAsia="zh-CN"/>
        </w:rPr>
        <w:t>投放</w:t>
      </w:r>
      <w:r w:rsidRPr="00337E36">
        <w:rPr>
          <w:rFonts w:ascii="华文楷体" w:hAnsi="华文楷体"/>
          <w:sz w:val="24"/>
          <w:szCs w:val="24"/>
          <w:lang w:eastAsia="zh-CN"/>
        </w:rPr>
        <w:t>16</w:t>
      </w:r>
      <w:r w:rsidR="0069484C" w:rsidRPr="00337E36">
        <w:rPr>
          <w:rFonts w:ascii="华文楷体" w:hAnsi="华文楷体"/>
          <w:sz w:val="24"/>
          <w:szCs w:val="24"/>
          <w:lang w:eastAsia="zh-CN"/>
        </w:rPr>
        <w:t>00</w:t>
      </w:r>
      <w:r w:rsidR="002C4ACD" w:rsidRPr="00337E36">
        <w:rPr>
          <w:rFonts w:ascii="华文楷体" w:hAnsi="华文楷体" w:hint="eastAsia"/>
          <w:sz w:val="24"/>
          <w:szCs w:val="24"/>
          <w:lang w:eastAsia="zh-CN"/>
        </w:rPr>
        <w:t>亿</w:t>
      </w:r>
      <w:r w:rsidR="00200AFA" w:rsidRPr="00337E36">
        <w:rPr>
          <w:rFonts w:ascii="华文楷体" w:hAnsi="华文楷体" w:hint="eastAsia"/>
          <w:sz w:val="24"/>
          <w:szCs w:val="24"/>
          <w:lang w:eastAsia="zh-CN"/>
        </w:rPr>
        <w:t>,其中</w:t>
      </w:r>
      <w:r w:rsidR="003C1F37" w:rsidRPr="00337E36">
        <w:rPr>
          <w:rFonts w:ascii="华文楷体" w:hAnsi="华文楷体" w:hint="eastAsia"/>
          <w:sz w:val="24"/>
          <w:szCs w:val="24"/>
          <w:lang w:eastAsia="zh-CN"/>
        </w:rPr>
        <w:t>逆回购</w:t>
      </w:r>
      <w:r w:rsidR="00292C0B" w:rsidRPr="00337E36">
        <w:rPr>
          <w:rFonts w:ascii="华文楷体" w:hAnsi="华文楷体" w:hint="eastAsia"/>
          <w:sz w:val="24"/>
          <w:szCs w:val="24"/>
          <w:lang w:eastAsia="zh-CN"/>
        </w:rPr>
        <w:t>合计</w:t>
      </w:r>
      <w:r w:rsidR="00054072" w:rsidRPr="00337E36">
        <w:rPr>
          <w:rFonts w:ascii="华文楷体" w:hAnsi="华文楷体" w:hint="eastAsia"/>
          <w:sz w:val="24"/>
          <w:szCs w:val="24"/>
          <w:lang w:eastAsia="zh-CN"/>
        </w:rPr>
        <w:t>到期</w:t>
      </w:r>
      <w:r w:rsidRPr="00337E36">
        <w:rPr>
          <w:rFonts w:ascii="华文楷体" w:hAnsi="华文楷体"/>
          <w:sz w:val="24"/>
          <w:szCs w:val="24"/>
          <w:lang w:eastAsia="zh-CN"/>
        </w:rPr>
        <w:t>50</w:t>
      </w:r>
      <w:r w:rsidR="003C1F37" w:rsidRPr="00337E36">
        <w:rPr>
          <w:rFonts w:ascii="华文楷体" w:hAnsi="华文楷体"/>
          <w:sz w:val="24"/>
          <w:szCs w:val="24"/>
          <w:lang w:eastAsia="zh-CN"/>
        </w:rPr>
        <w:t>00</w:t>
      </w:r>
      <w:r w:rsidR="00054072" w:rsidRPr="00337E36">
        <w:rPr>
          <w:rFonts w:ascii="华文楷体" w:hAnsi="华文楷体" w:hint="eastAsia"/>
          <w:sz w:val="24"/>
          <w:szCs w:val="24"/>
          <w:lang w:eastAsia="zh-CN"/>
        </w:rPr>
        <w:t>亿</w:t>
      </w:r>
      <w:r w:rsidR="003C1F37" w:rsidRPr="00337E36">
        <w:rPr>
          <w:rFonts w:ascii="华文楷体" w:hAnsi="华文楷体" w:hint="eastAsia"/>
          <w:sz w:val="24"/>
          <w:szCs w:val="24"/>
          <w:lang w:eastAsia="zh-CN"/>
        </w:rPr>
        <w:t>，逆回购投放</w:t>
      </w:r>
      <w:r w:rsidRPr="00337E36">
        <w:rPr>
          <w:rFonts w:ascii="华文楷体" w:hAnsi="华文楷体"/>
          <w:sz w:val="24"/>
          <w:szCs w:val="24"/>
          <w:lang w:eastAsia="zh-CN"/>
        </w:rPr>
        <w:t>66</w:t>
      </w:r>
      <w:r w:rsidR="003C1F37" w:rsidRPr="00337E36">
        <w:rPr>
          <w:rFonts w:ascii="华文楷体" w:hAnsi="华文楷体"/>
          <w:sz w:val="24"/>
          <w:szCs w:val="24"/>
          <w:lang w:eastAsia="zh-CN"/>
        </w:rPr>
        <w:t>00</w:t>
      </w:r>
      <w:r w:rsidR="003C1F37" w:rsidRPr="00337E36">
        <w:rPr>
          <w:rFonts w:ascii="华文楷体" w:hAnsi="华文楷体" w:hint="eastAsia"/>
          <w:sz w:val="24"/>
          <w:szCs w:val="24"/>
          <w:lang w:eastAsia="zh-CN"/>
        </w:rPr>
        <w:t>亿</w:t>
      </w:r>
      <w:r w:rsidR="00054072" w:rsidRPr="00337E36">
        <w:rPr>
          <w:rFonts w:ascii="华文楷体" w:hAnsi="华文楷体" w:hint="eastAsia"/>
          <w:sz w:val="24"/>
          <w:szCs w:val="24"/>
          <w:lang w:eastAsia="zh-CN"/>
        </w:rPr>
        <w:t>。</w:t>
      </w:r>
      <w:r w:rsidR="00854190" w:rsidRPr="00337E36">
        <w:rPr>
          <w:rFonts w:ascii="华文楷体" w:hAnsi="华文楷体" w:hint="eastAsia"/>
          <w:sz w:val="24"/>
          <w:szCs w:val="24"/>
          <w:lang w:eastAsia="zh-CN"/>
        </w:rPr>
        <w:t>本周</w:t>
      </w:r>
      <w:r w:rsidR="00DC4A12" w:rsidRPr="00337E36">
        <w:rPr>
          <w:rFonts w:ascii="华文楷体" w:hAnsi="华文楷体" w:hint="eastAsia"/>
          <w:sz w:val="24"/>
          <w:szCs w:val="24"/>
          <w:lang w:eastAsia="zh-CN"/>
        </w:rPr>
        <w:t>资金</w:t>
      </w:r>
      <w:r w:rsidR="00B30DBF" w:rsidRPr="00337E36">
        <w:rPr>
          <w:rFonts w:ascii="华文楷体" w:hAnsi="华文楷体" w:hint="eastAsia"/>
          <w:sz w:val="24"/>
          <w:szCs w:val="24"/>
          <w:lang w:eastAsia="zh-CN"/>
        </w:rPr>
        <w:t>利率</w:t>
      </w:r>
      <w:r w:rsidRPr="00337E36">
        <w:rPr>
          <w:rFonts w:ascii="华文楷体" w:hAnsi="华文楷体" w:hint="eastAsia"/>
          <w:sz w:val="24"/>
          <w:szCs w:val="24"/>
          <w:lang w:eastAsia="zh-CN"/>
        </w:rPr>
        <w:t>继续</w:t>
      </w:r>
      <w:r w:rsidR="00292C0B" w:rsidRPr="00337E36">
        <w:rPr>
          <w:rFonts w:ascii="华文楷体" w:hAnsi="华文楷体" w:hint="eastAsia"/>
          <w:sz w:val="24"/>
          <w:szCs w:val="24"/>
          <w:lang w:eastAsia="zh-CN"/>
        </w:rPr>
        <w:t>震荡</w:t>
      </w:r>
      <w:r w:rsidR="005F2EA2" w:rsidRPr="00337E36">
        <w:rPr>
          <w:rFonts w:ascii="华文楷体" w:hAnsi="华文楷体" w:hint="eastAsia"/>
          <w:sz w:val="24"/>
          <w:szCs w:val="24"/>
          <w:lang w:eastAsia="zh-CN"/>
        </w:rPr>
        <w:t>上行</w:t>
      </w:r>
      <w:r w:rsidR="00065392" w:rsidRPr="00337E36">
        <w:rPr>
          <w:rFonts w:ascii="华文楷体" w:hAnsi="华文楷体" w:hint="eastAsia"/>
          <w:sz w:val="24"/>
          <w:szCs w:val="24"/>
          <w:lang w:eastAsia="zh-CN"/>
        </w:rPr>
        <w:t>，</w:t>
      </w:r>
      <w:r w:rsidR="00200AFA" w:rsidRPr="00337E36">
        <w:rPr>
          <w:rFonts w:ascii="华文楷体" w:hAnsi="华文楷体" w:hint="eastAsia"/>
          <w:sz w:val="24"/>
          <w:szCs w:val="24"/>
          <w:lang w:eastAsia="zh-CN"/>
        </w:rPr>
        <w:t>周</w:t>
      </w:r>
      <w:r w:rsidR="00EC3415" w:rsidRPr="00337E36">
        <w:rPr>
          <w:rFonts w:ascii="华文楷体" w:hAnsi="华文楷体" w:hint="eastAsia"/>
          <w:sz w:val="24"/>
          <w:szCs w:val="24"/>
          <w:lang w:eastAsia="zh-CN"/>
        </w:rPr>
        <w:t>隔夜</w:t>
      </w:r>
      <w:r w:rsidR="00200AFA" w:rsidRPr="00337E36">
        <w:rPr>
          <w:rFonts w:ascii="华文楷体" w:hAnsi="华文楷体" w:hint="eastAsia"/>
          <w:sz w:val="24"/>
          <w:szCs w:val="24"/>
          <w:lang w:eastAsia="zh-CN"/>
        </w:rPr>
        <w:t>加权</w:t>
      </w:r>
      <w:r w:rsidR="00D9413F" w:rsidRPr="00337E36">
        <w:rPr>
          <w:rFonts w:ascii="华文楷体" w:hAnsi="华文楷体" w:hint="eastAsia"/>
          <w:sz w:val="24"/>
          <w:szCs w:val="24"/>
          <w:lang w:eastAsia="zh-CN"/>
        </w:rPr>
        <w:t>较上周</w:t>
      </w:r>
      <w:r w:rsidR="0069484C" w:rsidRPr="00337E36">
        <w:rPr>
          <w:rFonts w:ascii="华文楷体" w:hAnsi="华文楷体" w:hint="eastAsia"/>
          <w:sz w:val="24"/>
          <w:szCs w:val="24"/>
          <w:lang w:eastAsia="zh-CN"/>
        </w:rPr>
        <w:t>上行</w:t>
      </w:r>
      <w:r w:rsidRPr="00337E36">
        <w:rPr>
          <w:rFonts w:ascii="华文楷体" w:hAnsi="华文楷体"/>
          <w:sz w:val="24"/>
          <w:szCs w:val="24"/>
          <w:lang w:eastAsia="zh-CN"/>
        </w:rPr>
        <w:t>1.15</w:t>
      </w:r>
      <w:r w:rsidR="0069484C" w:rsidRPr="00337E36">
        <w:rPr>
          <w:rFonts w:ascii="华文楷体" w:hAnsi="华文楷体" w:hint="eastAsia"/>
          <w:sz w:val="24"/>
          <w:szCs w:val="24"/>
          <w:lang w:eastAsia="zh-CN"/>
        </w:rPr>
        <w:t>bp</w:t>
      </w:r>
      <w:r w:rsidR="00D9413F" w:rsidRPr="00337E36">
        <w:rPr>
          <w:rFonts w:ascii="华文楷体" w:hAnsi="华文楷体" w:hint="eastAsia"/>
          <w:sz w:val="24"/>
          <w:szCs w:val="24"/>
          <w:lang w:eastAsia="zh-CN"/>
        </w:rPr>
        <w:t>至</w:t>
      </w:r>
      <w:r w:rsidR="005F2EA2" w:rsidRPr="00337E36">
        <w:rPr>
          <w:rFonts w:ascii="华文楷体" w:hAnsi="华文楷体"/>
          <w:sz w:val="24"/>
          <w:szCs w:val="24"/>
          <w:lang w:eastAsia="zh-CN"/>
        </w:rPr>
        <w:t>2.2</w:t>
      </w:r>
      <w:r w:rsidRPr="00337E36">
        <w:rPr>
          <w:rFonts w:ascii="华文楷体" w:hAnsi="华文楷体"/>
          <w:sz w:val="24"/>
          <w:szCs w:val="24"/>
          <w:lang w:eastAsia="zh-CN"/>
        </w:rPr>
        <w:t>3</w:t>
      </w:r>
      <w:r w:rsidR="00D9413F" w:rsidRPr="00337E36">
        <w:rPr>
          <w:rFonts w:ascii="华文楷体" w:hAnsi="华文楷体" w:hint="eastAsia"/>
          <w:sz w:val="24"/>
          <w:szCs w:val="24"/>
          <w:lang w:eastAsia="zh-CN"/>
        </w:rPr>
        <w:t>%，</w:t>
      </w:r>
      <w:r w:rsidR="00EC3415" w:rsidRPr="00337E36">
        <w:rPr>
          <w:rFonts w:ascii="华文楷体" w:hAnsi="华文楷体" w:hint="eastAsia"/>
          <w:sz w:val="24"/>
          <w:szCs w:val="24"/>
          <w:lang w:eastAsia="zh-CN"/>
        </w:rPr>
        <w:t>7天</w:t>
      </w:r>
      <w:r w:rsidR="00D9413F" w:rsidRPr="00337E36">
        <w:rPr>
          <w:rFonts w:ascii="华文楷体" w:hAnsi="华文楷体" w:hint="eastAsia"/>
          <w:sz w:val="24"/>
          <w:szCs w:val="24"/>
          <w:lang w:eastAsia="zh-CN"/>
        </w:rPr>
        <w:t>较上周</w:t>
      </w:r>
      <w:r w:rsidRPr="00337E36">
        <w:rPr>
          <w:rFonts w:ascii="华文楷体" w:hAnsi="华文楷体" w:hint="eastAsia"/>
          <w:sz w:val="24"/>
          <w:szCs w:val="24"/>
          <w:lang w:eastAsia="zh-CN"/>
        </w:rPr>
        <w:t>上行7</w:t>
      </w:r>
      <w:r w:rsidRPr="00337E36">
        <w:rPr>
          <w:rFonts w:ascii="华文楷体" w:hAnsi="华文楷体"/>
          <w:sz w:val="24"/>
          <w:szCs w:val="24"/>
          <w:lang w:eastAsia="zh-CN"/>
        </w:rPr>
        <w:t>.34</w:t>
      </w:r>
      <w:r w:rsidR="0069484C" w:rsidRPr="00337E36">
        <w:rPr>
          <w:rFonts w:ascii="华文楷体" w:hAnsi="华文楷体" w:hint="eastAsia"/>
          <w:sz w:val="24"/>
          <w:szCs w:val="24"/>
          <w:lang w:eastAsia="zh-CN"/>
        </w:rPr>
        <w:t>bp</w:t>
      </w:r>
      <w:r w:rsidR="00D9413F" w:rsidRPr="00337E36">
        <w:rPr>
          <w:rFonts w:ascii="华文楷体" w:hAnsi="华文楷体" w:hint="eastAsia"/>
          <w:sz w:val="24"/>
          <w:szCs w:val="24"/>
          <w:lang w:eastAsia="zh-CN"/>
        </w:rPr>
        <w:t>至</w:t>
      </w:r>
      <w:r w:rsidR="00292C0B" w:rsidRPr="00337E36">
        <w:rPr>
          <w:rFonts w:ascii="华文楷体" w:hAnsi="华文楷体" w:hint="eastAsia"/>
          <w:sz w:val="24"/>
          <w:szCs w:val="24"/>
          <w:lang w:eastAsia="zh-CN"/>
        </w:rPr>
        <w:t>2.</w:t>
      </w:r>
      <w:r w:rsidRPr="00337E36">
        <w:rPr>
          <w:rFonts w:ascii="华文楷体" w:hAnsi="华文楷体"/>
          <w:sz w:val="24"/>
          <w:szCs w:val="24"/>
          <w:lang w:eastAsia="zh-CN"/>
        </w:rPr>
        <w:t>43</w:t>
      </w:r>
      <w:r w:rsidR="00EC3415" w:rsidRPr="00337E36">
        <w:rPr>
          <w:rFonts w:ascii="华文楷体" w:hAnsi="华文楷体" w:hint="eastAsia"/>
          <w:sz w:val="24"/>
          <w:szCs w:val="24"/>
          <w:lang w:eastAsia="zh-CN"/>
        </w:rPr>
        <w:t>%</w:t>
      </w:r>
      <w:r w:rsidR="005F2EA2" w:rsidRPr="00337E36">
        <w:rPr>
          <w:rFonts w:ascii="华文楷体" w:hAnsi="华文楷体" w:hint="eastAsia"/>
          <w:sz w:val="24"/>
          <w:szCs w:val="24"/>
          <w:lang w:eastAsia="zh-CN"/>
        </w:rPr>
        <w:t>。</w:t>
      </w:r>
      <w:r w:rsidR="005671F6" w:rsidRPr="00337E36">
        <w:rPr>
          <w:rFonts w:ascii="华文楷体" w:hAnsi="华文楷体" w:hint="eastAsia"/>
          <w:sz w:val="24"/>
          <w:szCs w:val="24"/>
          <w:lang w:eastAsia="zh-CN"/>
        </w:rPr>
        <w:t>下周</w:t>
      </w:r>
      <w:r w:rsidR="003C1F37" w:rsidRPr="00337E36">
        <w:rPr>
          <w:rFonts w:ascii="华文楷体" w:hAnsi="华文楷体" w:hint="eastAsia"/>
          <w:sz w:val="24"/>
          <w:szCs w:val="24"/>
          <w:lang w:eastAsia="zh-CN"/>
        </w:rPr>
        <w:t>逆回购到期</w:t>
      </w:r>
      <w:r w:rsidRPr="00337E36">
        <w:rPr>
          <w:rFonts w:ascii="华文楷体" w:hAnsi="华文楷体"/>
          <w:sz w:val="24"/>
          <w:szCs w:val="24"/>
          <w:lang w:eastAsia="zh-CN"/>
        </w:rPr>
        <w:t>61</w:t>
      </w:r>
      <w:r w:rsidR="00E46B36" w:rsidRPr="00337E36">
        <w:rPr>
          <w:rFonts w:ascii="华文楷体" w:hAnsi="华文楷体"/>
          <w:sz w:val="24"/>
          <w:szCs w:val="24"/>
          <w:lang w:eastAsia="zh-CN"/>
        </w:rPr>
        <w:t>00</w:t>
      </w:r>
      <w:r w:rsidR="00E46B36" w:rsidRPr="00337E36">
        <w:rPr>
          <w:rFonts w:ascii="华文楷体" w:hAnsi="华文楷体" w:hint="eastAsia"/>
          <w:sz w:val="24"/>
          <w:szCs w:val="24"/>
          <w:lang w:eastAsia="zh-CN"/>
        </w:rPr>
        <w:t>亿</w:t>
      </w:r>
      <w:r w:rsidRPr="00337E36">
        <w:rPr>
          <w:rFonts w:ascii="华文楷体" w:hAnsi="华文楷体" w:hint="eastAsia"/>
          <w:sz w:val="24"/>
          <w:szCs w:val="24"/>
          <w:lang w:eastAsia="zh-CN"/>
        </w:rPr>
        <w:t>，</w:t>
      </w:r>
      <w:r w:rsidR="005F2EA2" w:rsidRPr="00337E36">
        <w:rPr>
          <w:rFonts w:ascii="华文楷体" w:hAnsi="华文楷体" w:hint="eastAsia"/>
          <w:sz w:val="24"/>
          <w:szCs w:val="24"/>
          <w:lang w:eastAsia="zh-CN"/>
        </w:rPr>
        <w:t>需</w:t>
      </w:r>
      <w:r w:rsidR="00004E5B">
        <w:rPr>
          <w:rFonts w:ascii="华文楷体" w:hAnsi="华文楷体" w:hint="eastAsia"/>
          <w:sz w:val="24"/>
          <w:szCs w:val="24"/>
          <w:lang w:eastAsia="zh-CN"/>
        </w:rPr>
        <w:t>重点</w:t>
      </w:r>
      <w:r w:rsidR="005F2EA2" w:rsidRPr="00337E36">
        <w:rPr>
          <w:rFonts w:ascii="华文楷体" w:hAnsi="华文楷体" w:hint="eastAsia"/>
          <w:sz w:val="24"/>
          <w:szCs w:val="24"/>
          <w:lang w:eastAsia="zh-CN"/>
        </w:rPr>
        <w:t>关注</w:t>
      </w:r>
      <w:r w:rsidR="00004E5B">
        <w:rPr>
          <w:rFonts w:ascii="华文楷体" w:hAnsi="华文楷体" w:hint="eastAsia"/>
          <w:sz w:val="24"/>
          <w:szCs w:val="24"/>
          <w:lang w:eastAsia="zh-CN"/>
        </w:rPr>
        <w:t>央行</w:t>
      </w:r>
      <w:r w:rsidR="005F2EA2" w:rsidRPr="00337E36">
        <w:rPr>
          <w:rFonts w:ascii="华文楷体" w:hAnsi="华文楷体" w:hint="eastAsia"/>
          <w:sz w:val="24"/>
          <w:szCs w:val="24"/>
          <w:lang w:eastAsia="zh-CN"/>
        </w:rPr>
        <w:t>投放</w:t>
      </w:r>
      <w:r w:rsidR="00004E5B">
        <w:rPr>
          <w:rFonts w:ascii="华文楷体" w:hAnsi="华文楷体" w:hint="eastAsia"/>
          <w:sz w:val="24"/>
          <w:szCs w:val="24"/>
          <w:lang w:eastAsia="zh-CN"/>
        </w:rPr>
        <w:t>情况</w:t>
      </w:r>
      <w:r w:rsidR="00E46B36" w:rsidRPr="00337E36">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1"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051876">
        <w:tblPrEx>
          <w:tblCellMar>
            <w:left w:w="108" w:type="dxa"/>
            <w:right w:w="108" w:type="dxa"/>
          </w:tblCellMar>
        </w:tblPrEx>
        <w:trPr>
          <w:jc w:val="center"/>
        </w:trPr>
        <w:tc>
          <w:tcPr>
            <w:tcW w:w="4939" w:type="dxa"/>
            <w:vAlign w:val="center"/>
          </w:tcPr>
          <w:p w14:paraId="60AEAEDC" w14:textId="466D2234" w:rsidR="00E0626C" w:rsidRPr="00051876" w:rsidRDefault="00051876" w:rsidP="009A2BA0">
            <w:pPr>
              <w:jc w:val="center"/>
              <w:rPr>
                <w:noProof/>
                <w:sz w:val="14"/>
                <w:szCs w:val="14"/>
              </w:rPr>
            </w:pPr>
            <w:r w:rsidRPr="00051876">
              <w:rPr>
                <w:noProof/>
                <w:sz w:val="14"/>
                <w:szCs w:val="14"/>
              </w:rPr>
              <w:drawing>
                <wp:inline distT="0" distB="0" distL="0" distR="0" wp14:anchorId="63C5F92F" wp14:editId="3CF5672D">
                  <wp:extent cx="2999105" cy="1668145"/>
                  <wp:effectExtent l="0" t="0" r="0" b="8255"/>
                  <wp:docPr id="1" name="图表 1">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c>
          <w:tcPr>
            <w:tcW w:w="4938" w:type="dxa"/>
            <w:vAlign w:val="center"/>
          </w:tcPr>
          <w:p w14:paraId="287706CA" w14:textId="1418B88F" w:rsidR="00E0626C" w:rsidRPr="003C1F37" w:rsidRDefault="00051876" w:rsidP="009A2BA0">
            <w:pPr>
              <w:jc w:val="center"/>
              <w:rPr>
                <w:noProof/>
                <w:sz w:val="18"/>
                <w:szCs w:val="15"/>
              </w:rPr>
            </w:pPr>
            <w:r>
              <w:rPr>
                <w:noProof/>
              </w:rPr>
              <w:drawing>
                <wp:inline distT="0" distB="0" distL="0" distR="0" wp14:anchorId="136CF6BB" wp14:editId="564220ED">
                  <wp:extent cx="2998470" cy="1663700"/>
                  <wp:effectExtent l="0" t="0" r="0" b="0"/>
                  <wp:docPr id="2" name="图表 2">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1"/>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57F5B859" w14:textId="1645FADF" w:rsidR="00D948D7" w:rsidRPr="00886D86" w:rsidRDefault="00882FA5" w:rsidP="00886D86">
      <w:pPr>
        <w:pStyle w:val="Body-text"/>
        <w:spacing w:after="240"/>
        <w:ind w:firstLineChars="200" w:firstLine="480"/>
        <w:rPr>
          <w:rFonts w:ascii="华文楷体" w:hAnsi="华文楷体"/>
          <w:sz w:val="24"/>
          <w:szCs w:val="24"/>
          <w:lang w:eastAsia="zh-CN"/>
        </w:rPr>
      </w:pPr>
      <w:r w:rsidRPr="00886D86">
        <w:rPr>
          <w:rFonts w:ascii="华文楷体" w:hAnsi="华文楷体" w:hint="eastAsia"/>
          <w:sz w:val="24"/>
          <w:szCs w:val="24"/>
          <w:lang w:eastAsia="zh-CN"/>
        </w:rPr>
        <w:t>本周债市</w:t>
      </w:r>
      <w:r w:rsidR="005A2EBC" w:rsidRPr="00886D86">
        <w:rPr>
          <w:rFonts w:ascii="华文楷体" w:hAnsi="华文楷体" w:hint="eastAsia"/>
          <w:sz w:val="24"/>
          <w:szCs w:val="24"/>
          <w:lang w:eastAsia="zh-CN"/>
        </w:rPr>
        <w:t>利率</w:t>
      </w:r>
      <w:r w:rsidR="005A2EBC" w:rsidRPr="00886D86">
        <w:rPr>
          <w:rFonts w:ascii="华文楷体" w:hAnsi="华文楷体"/>
          <w:sz w:val="24"/>
          <w:szCs w:val="24"/>
          <w:lang w:eastAsia="zh-CN"/>
        </w:rPr>
        <w:t>债</w:t>
      </w:r>
      <w:r w:rsidR="00880460" w:rsidRPr="00886D86">
        <w:rPr>
          <w:rFonts w:ascii="华文楷体" w:hAnsi="华文楷体" w:hint="eastAsia"/>
          <w:sz w:val="24"/>
          <w:szCs w:val="24"/>
          <w:lang w:eastAsia="zh-CN"/>
        </w:rPr>
        <w:t>曲线</w:t>
      </w:r>
      <w:r w:rsidR="0069484C" w:rsidRPr="00886D86">
        <w:rPr>
          <w:rFonts w:ascii="华文楷体" w:hAnsi="华文楷体" w:hint="eastAsia"/>
          <w:sz w:val="24"/>
          <w:szCs w:val="24"/>
          <w:lang w:eastAsia="zh-CN"/>
        </w:rPr>
        <w:t>整体</w:t>
      </w:r>
      <w:r w:rsidR="00337E36" w:rsidRPr="00886D86">
        <w:rPr>
          <w:rFonts w:ascii="华文楷体" w:hAnsi="华文楷体" w:hint="eastAsia"/>
          <w:sz w:val="24"/>
          <w:szCs w:val="24"/>
          <w:lang w:eastAsia="zh-CN"/>
        </w:rPr>
        <w:t>上行趋平</w:t>
      </w:r>
      <w:r w:rsidR="0069484C" w:rsidRPr="00886D86">
        <w:rPr>
          <w:rFonts w:ascii="华文楷体" w:hAnsi="华文楷体" w:hint="eastAsia"/>
          <w:sz w:val="24"/>
          <w:szCs w:val="24"/>
          <w:lang w:eastAsia="zh-CN"/>
        </w:rPr>
        <w:t>，国债表现</w:t>
      </w:r>
      <w:r w:rsidR="00886D86" w:rsidRPr="00886D86">
        <w:rPr>
          <w:rFonts w:ascii="华文楷体" w:hAnsi="华文楷体" w:hint="eastAsia"/>
          <w:sz w:val="24"/>
          <w:szCs w:val="24"/>
          <w:lang w:eastAsia="zh-CN"/>
        </w:rPr>
        <w:t>略</w:t>
      </w:r>
      <w:r w:rsidR="00337E36" w:rsidRPr="00886D86">
        <w:rPr>
          <w:rFonts w:ascii="华文楷体" w:hAnsi="华文楷体" w:hint="eastAsia"/>
          <w:sz w:val="24"/>
          <w:szCs w:val="24"/>
          <w:lang w:eastAsia="zh-CN"/>
        </w:rPr>
        <w:t>好于</w:t>
      </w:r>
      <w:r w:rsidR="0069484C" w:rsidRPr="00886D86">
        <w:rPr>
          <w:rFonts w:ascii="华文楷体" w:hAnsi="华文楷体" w:hint="eastAsia"/>
          <w:sz w:val="24"/>
          <w:szCs w:val="24"/>
          <w:lang w:eastAsia="zh-CN"/>
        </w:rPr>
        <w:t>国开。</w:t>
      </w:r>
      <w:r w:rsidR="00886D86" w:rsidRPr="00886D86">
        <w:rPr>
          <w:rFonts w:ascii="华文楷体" w:hAnsi="华文楷体" w:hint="eastAsia"/>
          <w:sz w:val="24"/>
          <w:szCs w:val="24"/>
          <w:lang w:eastAsia="zh-CN"/>
        </w:rPr>
        <w:t>短</w:t>
      </w:r>
      <w:proofErr w:type="gramStart"/>
      <w:r w:rsidR="00886D86" w:rsidRPr="00886D86">
        <w:rPr>
          <w:rFonts w:ascii="华文楷体" w:hAnsi="华文楷体" w:hint="eastAsia"/>
          <w:sz w:val="24"/>
          <w:szCs w:val="24"/>
          <w:lang w:eastAsia="zh-CN"/>
        </w:rPr>
        <w:t>端利率</w:t>
      </w:r>
      <w:proofErr w:type="gramEnd"/>
      <w:r w:rsidR="00886D86" w:rsidRPr="00886D86">
        <w:rPr>
          <w:rFonts w:ascii="华文楷体" w:hAnsi="华文楷体" w:hint="eastAsia"/>
          <w:sz w:val="24"/>
          <w:szCs w:val="24"/>
          <w:lang w:eastAsia="zh-CN"/>
        </w:rPr>
        <w:t>上行幅度明显，1y国债利率上行1</w:t>
      </w:r>
      <w:r w:rsidR="00886D86" w:rsidRPr="00886D86">
        <w:rPr>
          <w:rFonts w:ascii="华文楷体" w:hAnsi="华文楷体"/>
          <w:sz w:val="24"/>
          <w:szCs w:val="24"/>
          <w:lang w:eastAsia="zh-CN"/>
        </w:rPr>
        <w:t>5.9</w:t>
      </w:r>
      <w:r w:rsidR="00886D86" w:rsidRPr="00886D86">
        <w:rPr>
          <w:rFonts w:ascii="华文楷体" w:hAnsi="华文楷体" w:hint="eastAsia"/>
          <w:sz w:val="24"/>
          <w:szCs w:val="24"/>
          <w:lang w:eastAsia="zh-CN"/>
        </w:rPr>
        <w:t>bp，1y国</w:t>
      </w:r>
      <w:proofErr w:type="gramStart"/>
      <w:r w:rsidR="00886D86" w:rsidRPr="00886D86">
        <w:rPr>
          <w:rFonts w:ascii="华文楷体" w:hAnsi="华文楷体" w:hint="eastAsia"/>
          <w:sz w:val="24"/>
          <w:szCs w:val="24"/>
          <w:lang w:eastAsia="zh-CN"/>
        </w:rPr>
        <w:t>开利率</w:t>
      </w:r>
      <w:proofErr w:type="gramEnd"/>
      <w:r w:rsidR="00886D86" w:rsidRPr="00886D86">
        <w:rPr>
          <w:rFonts w:ascii="华文楷体" w:hAnsi="华文楷体" w:hint="eastAsia"/>
          <w:sz w:val="24"/>
          <w:szCs w:val="24"/>
          <w:lang w:eastAsia="zh-CN"/>
        </w:rPr>
        <w:t>上行8</w:t>
      </w:r>
      <w:r w:rsidR="00886D86" w:rsidRPr="00886D86">
        <w:rPr>
          <w:rFonts w:ascii="华文楷体" w:hAnsi="华文楷体"/>
          <w:sz w:val="24"/>
          <w:szCs w:val="24"/>
          <w:lang w:eastAsia="zh-CN"/>
        </w:rPr>
        <w:t>.9</w:t>
      </w:r>
      <w:r w:rsidR="00886D86" w:rsidRPr="00886D86">
        <w:rPr>
          <w:rFonts w:ascii="华文楷体" w:hAnsi="华文楷体" w:hint="eastAsia"/>
          <w:sz w:val="24"/>
          <w:szCs w:val="24"/>
          <w:lang w:eastAsia="zh-CN"/>
        </w:rPr>
        <w:t>bp。</w:t>
      </w:r>
      <w:r w:rsidR="00F774ED" w:rsidRPr="00F774ED">
        <w:rPr>
          <w:rFonts w:ascii="华文楷体" w:hAnsi="华文楷体" w:hint="eastAsia"/>
          <w:sz w:val="24"/>
          <w:szCs w:val="24"/>
          <w:lang w:eastAsia="zh-CN"/>
        </w:rPr>
        <w:t>10y-3y国债利差下行3bp，位于历史数据9%分位；10y-5y国债利差小幅下降1bp，位于7%分位；曲线较上周走平。10y</w:t>
      </w:r>
      <w:proofErr w:type="gramStart"/>
      <w:r w:rsidR="00F774ED" w:rsidRPr="00F774ED">
        <w:rPr>
          <w:rFonts w:ascii="华文楷体" w:hAnsi="华文楷体" w:hint="eastAsia"/>
          <w:sz w:val="24"/>
          <w:szCs w:val="24"/>
          <w:lang w:eastAsia="zh-CN"/>
        </w:rPr>
        <w:t>国开债与</w:t>
      </w:r>
      <w:proofErr w:type="gramEnd"/>
      <w:r w:rsidR="00F774ED" w:rsidRPr="00F774ED">
        <w:rPr>
          <w:rFonts w:ascii="华文楷体" w:hAnsi="华文楷体" w:hint="eastAsia"/>
          <w:sz w:val="24"/>
          <w:szCs w:val="24"/>
          <w:lang w:eastAsia="zh-CN"/>
        </w:rPr>
        <w:t>10y国债利差走平，继续维持高位</w:t>
      </w:r>
      <w:r w:rsidR="00886D86" w:rsidRPr="00886D86">
        <w:rPr>
          <w:rFonts w:ascii="华文楷体" w:hAnsi="华文楷体" w:hint="eastAsia"/>
          <w:sz w:val="24"/>
          <w:szCs w:val="24"/>
          <w:lang w:eastAsia="zh-CN"/>
        </w:rPr>
        <w:t>。</w:t>
      </w:r>
      <w:r w:rsidR="00886D86">
        <w:rPr>
          <w:rFonts w:ascii="华文楷体" w:hAnsi="华文楷体" w:hint="eastAsia"/>
          <w:sz w:val="24"/>
          <w:szCs w:val="24"/>
          <w:lang w:eastAsia="zh-CN"/>
        </w:rPr>
        <w:t>周五市场利率略有下行，继续关注下周利率表现。</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051876">
        <w:tblPrEx>
          <w:tblCellMar>
            <w:left w:w="108" w:type="dxa"/>
            <w:right w:w="108" w:type="dxa"/>
          </w:tblCellMar>
        </w:tblPrEx>
        <w:trPr>
          <w:jc w:val="center"/>
        </w:trPr>
        <w:tc>
          <w:tcPr>
            <w:tcW w:w="4939" w:type="dxa"/>
            <w:vAlign w:val="center"/>
          </w:tcPr>
          <w:p w14:paraId="678C97B0" w14:textId="45D5AF47" w:rsidR="00E0626C" w:rsidRPr="007E0340" w:rsidRDefault="00051876" w:rsidP="002104B2">
            <w:pPr>
              <w:rPr>
                <w:noProof/>
              </w:rPr>
            </w:pPr>
            <w:r>
              <w:rPr>
                <w:noProof/>
              </w:rPr>
              <w:drawing>
                <wp:inline distT="0" distB="0" distL="0" distR="0" wp14:anchorId="31B21534" wp14:editId="45A71EF5">
                  <wp:extent cx="2999105" cy="1606550"/>
                  <wp:effectExtent l="0" t="0" r="0" b="0"/>
                  <wp:docPr id="3" name="图表 3">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c>
          <w:tcPr>
            <w:tcW w:w="4938" w:type="dxa"/>
            <w:vAlign w:val="center"/>
          </w:tcPr>
          <w:p w14:paraId="17A42E68" w14:textId="40E23CCC" w:rsidR="00E0626C" w:rsidRPr="00E46B36" w:rsidRDefault="00051876" w:rsidP="009A2BA0">
            <w:pPr>
              <w:jc w:val="center"/>
              <w:rPr>
                <w:noProof/>
                <w:sz w:val="14"/>
                <w:szCs w:val="14"/>
              </w:rPr>
            </w:pPr>
            <w:r>
              <w:rPr>
                <w:noProof/>
              </w:rPr>
              <w:drawing>
                <wp:inline distT="0" distB="0" distL="0" distR="0" wp14:anchorId="4243225F" wp14:editId="248A5C32">
                  <wp:extent cx="2998470" cy="1626235"/>
                  <wp:effectExtent l="0" t="0" r="0" b="0"/>
                  <wp:docPr id="7" name="图表 7">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63B7E22F" w14:textId="7CEEAECB" w:rsidR="007A3F0D" w:rsidRPr="003E373E" w:rsidRDefault="00F774ED" w:rsidP="00886D86">
      <w:pPr>
        <w:pStyle w:val="Body-text"/>
        <w:spacing w:after="240"/>
        <w:ind w:firstLineChars="200" w:firstLine="480"/>
        <w:rPr>
          <w:rFonts w:ascii="华文楷体" w:hAnsi="华文楷体"/>
          <w:sz w:val="24"/>
          <w:szCs w:val="24"/>
          <w:lang w:eastAsia="zh-CN"/>
        </w:rPr>
      </w:pPr>
      <w:r w:rsidRPr="00F774ED">
        <w:rPr>
          <w:rFonts w:ascii="华文楷体" w:hAnsi="华文楷体" w:hint="eastAsia"/>
          <w:sz w:val="24"/>
          <w:szCs w:val="24"/>
          <w:lang w:eastAsia="zh-CN"/>
        </w:rPr>
        <w:t>本周信用品种整体利率跟随利率品种上行，AA+品种表现好于AAA品种。企业债中， AA+5y企业债利率下降1.4bp。城投方面，各期限品种利率分化，AA+及以上评级大部分品种</w:t>
      </w:r>
      <w:r w:rsidRPr="00F774ED">
        <w:rPr>
          <w:rFonts w:ascii="华文楷体" w:hAnsi="华文楷体" w:hint="eastAsia"/>
          <w:sz w:val="24"/>
          <w:szCs w:val="24"/>
          <w:lang w:eastAsia="zh-CN"/>
        </w:rPr>
        <w:lastRenderedPageBreak/>
        <w:t>利率上行，其中AA+5y品种利率上行幅度最大，为3.2bp。收益率绝对水平来看，大部分期限品种在7-25%分位区间。</w:t>
      </w:r>
      <w:r w:rsidR="008D33AB" w:rsidRPr="003E373E">
        <w:rPr>
          <w:rFonts w:ascii="华文楷体" w:hAnsi="华文楷体" w:hint="eastAsia"/>
          <w:sz w:val="24"/>
          <w:szCs w:val="24"/>
          <w:lang w:eastAsia="zh-CN"/>
        </w:rPr>
        <w:t>息</w:t>
      </w:r>
      <w:proofErr w:type="gramStart"/>
      <w:r w:rsidR="008D33AB" w:rsidRPr="003E373E">
        <w:rPr>
          <w:rFonts w:ascii="华文楷体" w:hAnsi="华文楷体" w:hint="eastAsia"/>
          <w:sz w:val="24"/>
          <w:szCs w:val="24"/>
          <w:lang w:eastAsia="zh-CN"/>
        </w:rPr>
        <w:t>差</w:t>
      </w:r>
      <w:r w:rsidR="00157A02" w:rsidRPr="003E373E">
        <w:rPr>
          <w:rFonts w:ascii="华文楷体" w:hAnsi="华文楷体" w:hint="eastAsia"/>
          <w:sz w:val="24"/>
          <w:szCs w:val="24"/>
          <w:lang w:eastAsia="zh-CN"/>
        </w:rPr>
        <w:t>水平</w:t>
      </w:r>
      <w:proofErr w:type="gramEnd"/>
      <w:r w:rsidR="00E359DD" w:rsidRPr="003E373E">
        <w:rPr>
          <w:rFonts w:ascii="华文楷体" w:hAnsi="华文楷体" w:hint="eastAsia"/>
          <w:sz w:val="24"/>
          <w:szCs w:val="24"/>
          <w:lang w:eastAsia="zh-CN"/>
        </w:rPr>
        <w:t>上</w:t>
      </w:r>
      <w:r w:rsidR="003C4D9D" w:rsidRPr="003E373E">
        <w:rPr>
          <w:rFonts w:ascii="华文楷体" w:hAnsi="华文楷体" w:hint="eastAsia"/>
          <w:sz w:val="24"/>
          <w:szCs w:val="24"/>
          <w:lang w:eastAsia="zh-CN"/>
        </w:rPr>
        <w:t>，</w:t>
      </w:r>
      <w:r w:rsidR="00E359DD" w:rsidRPr="003E373E">
        <w:rPr>
          <w:rFonts w:ascii="华文楷体" w:hAnsi="华文楷体" w:hint="eastAsia"/>
          <w:sz w:val="24"/>
          <w:szCs w:val="24"/>
          <w:lang w:eastAsia="zh-CN"/>
        </w:rPr>
        <w:t>低评级</w:t>
      </w:r>
      <w:r w:rsidR="00D914AF" w:rsidRPr="003E373E">
        <w:rPr>
          <w:rFonts w:ascii="华文楷体" w:hAnsi="华文楷体" w:hint="eastAsia"/>
          <w:sz w:val="24"/>
          <w:szCs w:val="24"/>
          <w:lang w:eastAsia="zh-CN"/>
        </w:rPr>
        <w:t>继续</w:t>
      </w:r>
      <w:r w:rsidR="003E373E" w:rsidRPr="003E373E">
        <w:rPr>
          <w:rFonts w:ascii="华文楷体" w:hAnsi="华文楷体" w:hint="eastAsia"/>
          <w:sz w:val="24"/>
          <w:szCs w:val="24"/>
          <w:lang w:eastAsia="zh-CN"/>
        </w:rPr>
        <w:t>维持高位</w:t>
      </w:r>
      <w:r w:rsidR="00E13BCF" w:rsidRPr="003E373E">
        <w:rPr>
          <w:rFonts w:ascii="华文楷体" w:hAnsi="华文楷体" w:hint="eastAsia"/>
          <w:sz w:val="24"/>
          <w:szCs w:val="24"/>
          <w:lang w:eastAsia="zh-CN"/>
        </w:rPr>
        <w:t>。</w:t>
      </w:r>
    </w:p>
    <w:tbl>
      <w:tblPr>
        <w:tblW w:w="9881" w:type="dxa"/>
        <w:jc w:val="center"/>
        <w:tblCellMar>
          <w:left w:w="0" w:type="dxa"/>
          <w:right w:w="0" w:type="dxa"/>
        </w:tblCellMar>
        <w:tblLook w:val="01E0" w:firstRow="1" w:lastRow="1" w:firstColumn="1" w:lastColumn="1" w:noHBand="0" w:noVBand="0"/>
      </w:tblPr>
      <w:tblGrid>
        <w:gridCol w:w="10874"/>
      </w:tblGrid>
      <w:tr w:rsidR="00E0626C" w:rsidRPr="00F966B6" w14:paraId="5602CC82" w14:textId="77777777" w:rsidTr="00E46B36">
        <w:trPr>
          <w:trHeight w:val="269"/>
          <w:jc w:val="center"/>
        </w:trPr>
        <w:tc>
          <w:tcPr>
            <w:tcW w:w="9881"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E46B36">
        <w:tblPrEx>
          <w:tblCellMar>
            <w:left w:w="108" w:type="dxa"/>
            <w:right w:w="108" w:type="dxa"/>
          </w:tblCellMar>
        </w:tblPrEx>
        <w:trPr>
          <w:trHeight w:val="391"/>
          <w:jc w:val="center"/>
        </w:trPr>
        <w:tc>
          <w:tcPr>
            <w:tcW w:w="9881" w:type="dxa"/>
            <w:vAlign w:val="center"/>
          </w:tcPr>
          <w:tbl>
            <w:tblPr>
              <w:tblW w:w="10648" w:type="dxa"/>
              <w:tblLook w:val="04A0" w:firstRow="1" w:lastRow="0" w:firstColumn="1" w:lastColumn="0" w:noHBand="0" w:noVBand="1"/>
            </w:tblPr>
            <w:tblGrid>
              <w:gridCol w:w="1288"/>
              <w:gridCol w:w="1040"/>
              <w:gridCol w:w="1040"/>
              <w:gridCol w:w="1040"/>
              <w:gridCol w:w="1040"/>
              <w:gridCol w:w="1040"/>
              <w:gridCol w:w="1040"/>
              <w:gridCol w:w="1040"/>
              <w:gridCol w:w="1040"/>
              <w:gridCol w:w="1040"/>
            </w:tblGrid>
            <w:tr w:rsidR="00051876" w:rsidRPr="00051876" w14:paraId="617524EF" w14:textId="77777777" w:rsidTr="00051876">
              <w:trPr>
                <w:trHeight w:val="300"/>
              </w:trPr>
              <w:tc>
                <w:tcPr>
                  <w:tcW w:w="1288" w:type="dxa"/>
                  <w:tcBorders>
                    <w:top w:val="nil"/>
                    <w:left w:val="nil"/>
                    <w:bottom w:val="single" w:sz="12" w:space="0" w:color="FFFFFF"/>
                    <w:right w:val="single" w:sz="8" w:space="0" w:color="FFFFFF"/>
                  </w:tcBorders>
                  <w:shd w:val="clear" w:color="000000" w:fill="F79646"/>
                  <w:noWrap/>
                  <w:vAlign w:val="center"/>
                  <w:hideMark/>
                </w:tcPr>
                <w:p w14:paraId="77B86E52"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收益率(%)</w:t>
                  </w:r>
                </w:p>
              </w:tc>
              <w:tc>
                <w:tcPr>
                  <w:tcW w:w="1040" w:type="dxa"/>
                  <w:tcBorders>
                    <w:top w:val="nil"/>
                    <w:left w:val="nil"/>
                    <w:bottom w:val="single" w:sz="12" w:space="0" w:color="FFFFFF"/>
                    <w:right w:val="single" w:sz="8" w:space="0" w:color="FFFFFF"/>
                  </w:tcBorders>
                  <w:shd w:val="clear" w:color="000000" w:fill="F79646"/>
                  <w:noWrap/>
                  <w:vAlign w:val="center"/>
                  <w:hideMark/>
                </w:tcPr>
                <w:p w14:paraId="796D2683"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6B6B70FD"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13DA8E6D"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4296B075"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29FC4F92"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息差</w:t>
                  </w:r>
                </w:p>
              </w:tc>
              <w:tc>
                <w:tcPr>
                  <w:tcW w:w="1040" w:type="dxa"/>
                  <w:tcBorders>
                    <w:top w:val="nil"/>
                    <w:left w:val="nil"/>
                    <w:bottom w:val="single" w:sz="12" w:space="0" w:color="FFFFFF"/>
                    <w:right w:val="single" w:sz="8" w:space="0" w:color="FFFFFF"/>
                  </w:tcBorders>
                  <w:shd w:val="clear" w:color="000000" w:fill="F79646"/>
                  <w:noWrap/>
                  <w:vAlign w:val="center"/>
                  <w:hideMark/>
                </w:tcPr>
                <w:p w14:paraId="4F85706D"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4D36DE03"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4CEFFFD1"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2E35CFE4"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w:t>
                  </w:r>
                </w:p>
              </w:tc>
            </w:tr>
            <w:tr w:rsidR="00051876" w:rsidRPr="00051876" w14:paraId="19FA071C" w14:textId="77777777" w:rsidTr="00051876">
              <w:trPr>
                <w:trHeight w:val="315"/>
              </w:trPr>
              <w:tc>
                <w:tcPr>
                  <w:tcW w:w="1288" w:type="dxa"/>
                  <w:tcBorders>
                    <w:top w:val="nil"/>
                    <w:left w:val="nil"/>
                    <w:bottom w:val="single" w:sz="8" w:space="0" w:color="FFFFFF"/>
                    <w:right w:val="single" w:sz="8" w:space="0" w:color="FFFFFF"/>
                  </w:tcBorders>
                  <w:shd w:val="clear" w:color="000000" w:fill="FCD5B4"/>
                  <w:noWrap/>
                  <w:vAlign w:val="center"/>
                  <w:hideMark/>
                </w:tcPr>
                <w:p w14:paraId="6616CD1F"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CP</w:t>
                  </w:r>
                </w:p>
              </w:tc>
              <w:tc>
                <w:tcPr>
                  <w:tcW w:w="1040" w:type="dxa"/>
                  <w:tcBorders>
                    <w:top w:val="nil"/>
                    <w:left w:val="nil"/>
                    <w:bottom w:val="single" w:sz="8" w:space="0" w:color="FFFFFF"/>
                    <w:right w:val="single" w:sz="8" w:space="0" w:color="FFFFFF"/>
                  </w:tcBorders>
                  <w:shd w:val="clear" w:color="000000" w:fill="FCD5B4"/>
                  <w:noWrap/>
                  <w:vAlign w:val="center"/>
                  <w:hideMark/>
                </w:tcPr>
                <w:p w14:paraId="13C81879"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2.96 </w:t>
                  </w:r>
                </w:p>
              </w:tc>
              <w:tc>
                <w:tcPr>
                  <w:tcW w:w="1040" w:type="dxa"/>
                  <w:tcBorders>
                    <w:top w:val="nil"/>
                    <w:left w:val="nil"/>
                    <w:bottom w:val="single" w:sz="8" w:space="0" w:color="FFFFFF"/>
                    <w:right w:val="single" w:sz="8" w:space="0" w:color="FFFFFF"/>
                  </w:tcBorders>
                  <w:shd w:val="clear" w:color="000000" w:fill="FCD5B4"/>
                  <w:noWrap/>
                  <w:vAlign w:val="center"/>
                  <w:hideMark/>
                </w:tcPr>
                <w:p w14:paraId="7E5F973F"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3.10 </w:t>
                  </w:r>
                </w:p>
              </w:tc>
              <w:tc>
                <w:tcPr>
                  <w:tcW w:w="1040" w:type="dxa"/>
                  <w:tcBorders>
                    <w:top w:val="nil"/>
                    <w:left w:val="nil"/>
                    <w:bottom w:val="single" w:sz="8" w:space="0" w:color="FFFFFF"/>
                    <w:right w:val="single" w:sz="8" w:space="0" w:color="FFFFFF"/>
                  </w:tcBorders>
                  <w:shd w:val="clear" w:color="000000" w:fill="FCD5B4"/>
                  <w:noWrap/>
                  <w:vAlign w:val="center"/>
                  <w:hideMark/>
                </w:tcPr>
                <w:p w14:paraId="343A3C0E"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3.26 </w:t>
                  </w:r>
                </w:p>
              </w:tc>
              <w:tc>
                <w:tcPr>
                  <w:tcW w:w="1040" w:type="dxa"/>
                  <w:tcBorders>
                    <w:top w:val="nil"/>
                    <w:left w:val="nil"/>
                    <w:bottom w:val="single" w:sz="8" w:space="0" w:color="FFFFFF"/>
                    <w:right w:val="single" w:sz="8" w:space="0" w:color="FFFFFF"/>
                  </w:tcBorders>
                  <w:shd w:val="clear" w:color="000000" w:fill="FCD5B4"/>
                  <w:noWrap/>
                  <w:vAlign w:val="center"/>
                  <w:hideMark/>
                </w:tcPr>
                <w:p w14:paraId="391EBBC7"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5.34 </w:t>
                  </w:r>
                </w:p>
              </w:tc>
              <w:tc>
                <w:tcPr>
                  <w:tcW w:w="1040" w:type="dxa"/>
                  <w:tcBorders>
                    <w:top w:val="nil"/>
                    <w:left w:val="nil"/>
                    <w:bottom w:val="single" w:sz="8" w:space="0" w:color="FFFFFF"/>
                    <w:right w:val="single" w:sz="8" w:space="0" w:color="FFFFFF"/>
                  </w:tcBorders>
                  <w:shd w:val="clear" w:color="000000" w:fill="FCD5B4"/>
                  <w:noWrap/>
                  <w:vAlign w:val="center"/>
                  <w:hideMark/>
                </w:tcPr>
                <w:p w14:paraId="6B16A133"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CP</w:t>
                  </w:r>
                </w:p>
              </w:tc>
              <w:tc>
                <w:tcPr>
                  <w:tcW w:w="1040" w:type="dxa"/>
                  <w:tcBorders>
                    <w:top w:val="nil"/>
                    <w:left w:val="nil"/>
                    <w:bottom w:val="single" w:sz="8" w:space="0" w:color="FFFFFF"/>
                    <w:right w:val="single" w:sz="8" w:space="0" w:color="FFFFFF"/>
                  </w:tcBorders>
                  <w:shd w:val="clear" w:color="000000" w:fill="FCD5B4"/>
                  <w:noWrap/>
                  <w:vAlign w:val="center"/>
                  <w:hideMark/>
                </w:tcPr>
                <w:p w14:paraId="5E330E8C"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0.53 </w:t>
                  </w:r>
                </w:p>
              </w:tc>
              <w:tc>
                <w:tcPr>
                  <w:tcW w:w="1040" w:type="dxa"/>
                  <w:tcBorders>
                    <w:top w:val="nil"/>
                    <w:left w:val="nil"/>
                    <w:bottom w:val="single" w:sz="8" w:space="0" w:color="FFFFFF"/>
                    <w:right w:val="single" w:sz="8" w:space="0" w:color="FFFFFF"/>
                  </w:tcBorders>
                  <w:shd w:val="clear" w:color="000000" w:fill="FCD5B4"/>
                  <w:noWrap/>
                  <w:vAlign w:val="center"/>
                  <w:hideMark/>
                </w:tcPr>
                <w:p w14:paraId="67C1F5C9"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0.67 </w:t>
                  </w:r>
                </w:p>
              </w:tc>
              <w:tc>
                <w:tcPr>
                  <w:tcW w:w="1040" w:type="dxa"/>
                  <w:tcBorders>
                    <w:top w:val="nil"/>
                    <w:left w:val="nil"/>
                    <w:bottom w:val="single" w:sz="8" w:space="0" w:color="FFFFFF"/>
                    <w:right w:val="single" w:sz="8" w:space="0" w:color="FFFFFF"/>
                  </w:tcBorders>
                  <w:shd w:val="clear" w:color="000000" w:fill="FCD5B4"/>
                  <w:noWrap/>
                  <w:vAlign w:val="center"/>
                  <w:hideMark/>
                </w:tcPr>
                <w:p w14:paraId="16FF1390"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0.83 </w:t>
                  </w:r>
                </w:p>
              </w:tc>
              <w:tc>
                <w:tcPr>
                  <w:tcW w:w="1040" w:type="dxa"/>
                  <w:tcBorders>
                    <w:top w:val="nil"/>
                    <w:left w:val="nil"/>
                    <w:bottom w:val="single" w:sz="8" w:space="0" w:color="FFFFFF"/>
                    <w:right w:val="single" w:sz="8" w:space="0" w:color="FFFFFF"/>
                  </w:tcBorders>
                  <w:shd w:val="clear" w:color="000000" w:fill="FCD5B4"/>
                  <w:noWrap/>
                  <w:vAlign w:val="center"/>
                  <w:hideMark/>
                </w:tcPr>
                <w:p w14:paraId="529E323C"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2.91 </w:t>
                  </w:r>
                </w:p>
              </w:tc>
            </w:tr>
            <w:tr w:rsidR="00051876" w:rsidRPr="00051876" w14:paraId="3F2948F1" w14:textId="77777777" w:rsidTr="00051876">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27EF7273"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MTN3Y</w:t>
                  </w:r>
                </w:p>
              </w:tc>
              <w:tc>
                <w:tcPr>
                  <w:tcW w:w="1040" w:type="dxa"/>
                  <w:tcBorders>
                    <w:top w:val="nil"/>
                    <w:left w:val="nil"/>
                    <w:bottom w:val="single" w:sz="8" w:space="0" w:color="FFFFFF"/>
                    <w:right w:val="single" w:sz="8" w:space="0" w:color="FFFFFF"/>
                  </w:tcBorders>
                  <w:shd w:val="clear" w:color="000000" w:fill="FDE9D9"/>
                  <w:noWrap/>
                  <w:vAlign w:val="center"/>
                  <w:hideMark/>
                </w:tcPr>
                <w:p w14:paraId="28065EE0"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3.51 </w:t>
                  </w:r>
                </w:p>
              </w:tc>
              <w:tc>
                <w:tcPr>
                  <w:tcW w:w="1040" w:type="dxa"/>
                  <w:tcBorders>
                    <w:top w:val="nil"/>
                    <w:left w:val="nil"/>
                    <w:bottom w:val="single" w:sz="8" w:space="0" w:color="FFFFFF"/>
                    <w:right w:val="single" w:sz="8" w:space="0" w:color="FFFFFF"/>
                  </w:tcBorders>
                  <w:shd w:val="clear" w:color="000000" w:fill="FDE9D9"/>
                  <w:noWrap/>
                  <w:vAlign w:val="center"/>
                  <w:hideMark/>
                </w:tcPr>
                <w:p w14:paraId="17727A97"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3.66 </w:t>
                  </w:r>
                </w:p>
              </w:tc>
              <w:tc>
                <w:tcPr>
                  <w:tcW w:w="1040" w:type="dxa"/>
                  <w:tcBorders>
                    <w:top w:val="nil"/>
                    <w:left w:val="nil"/>
                    <w:bottom w:val="single" w:sz="8" w:space="0" w:color="FFFFFF"/>
                    <w:right w:val="single" w:sz="8" w:space="0" w:color="FFFFFF"/>
                  </w:tcBorders>
                  <w:shd w:val="clear" w:color="000000" w:fill="FDE9D9"/>
                  <w:noWrap/>
                  <w:vAlign w:val="center"/>
                  <w:hideMark/>
                </w:tcPr>
                <w:p w14:paraId="1DD5A3B6"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3.88 </w:t>
                  </w:r>
                </w:p>
              </w:tc>
              <w:tc>
                <w:tcPr>
                  <w:tcW w:w="1040" w:type="dxa"/>
                  <w:tcBorders>
                    <w:top w:val="nil"/>
                    <w:left w:val="nil"/>
                    <w:bottom w:val="single" w:sz="8" w:space="0" w:color="FFFFFF"/>
                    <w:right w:val="single" w:sz="8" w:space="0" w:color="FFFFFF"/>
                  </w:tcBorders>
                  <w:shd w:val="clear" w:color="000000" w:fill="FDE9D9"/>
                  <w:noWrap/>
                  <w:vAlign w:val="center"/>
                  <w:hideMark/>
                </w:tcPr>
                <w:p w14:paraId="27F64114"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5.96 </w:t>
                  </w:r>
                </w:p>
              </w:tc>
              <w:tc>
                <w:tcPr>
                  <w:tcW w:w="1040" w:type="dxa"/>
                  <w:tcBorders>
                    <w:top w:val="nil"/>
                    <w:left w:val="nil"/>
                    <w:bottom w:val="single" w:sz="8" w:space="0" w:color="FFFFFF"/>
                    <w:right w:val="single" w:sz="8" w:space="0" w:color="FFFFFF"/>
                  </w:tcBorders>
                  <w:shd w:val="clear" w:color="000000" w:fill="FDE9D9"/>
                  <w:noWrap/>
                  <w:vAlign w:val="center"/>
                  <w:hideMark/>
                </w:tcPr>
                <w:p w14:paraId="2D2B6C71"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MTN3Y</w:t>
                  </w:r>
                </w:p>
              </w:tc>
              <w:tc>
                <w:tcPr>
                  <w:tcW w:w="1040" w:type="dxa"/>
                  <w:tcBorders>
                    <w:top w:val="nil"/>
                    <w:left w:val="nil"/>
                    <w:bottom w:val="single" w:sz="8" w:space="0" w:color="FFFFFF"/>
                    <w:right w:val="single" w:sz="8" w:space="0" w:color="FFFFFF"/>
                  </w:tcBorders>
                  <w:shd w:val="clear" w:color="000000" w:fill="FDE9D9"/>
                  <w:noWrap/>
                  <w:vAlign w:val="center"/>
                  <w:hideMark/>
                </w:tcPr>
                <w:p w14:paraId="75EBEC29"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0.76 </w:t>
                  </w:r>
                </w:p>
              </w:tc>
              <w:tc>
                <w:tcPr>
                  <w:tcW w:w="1040" w:type="dxa"/>
                  <w:tcBorders>
                    <w:top w:val="nil"/>
                    <w:left w:val="nil"/>
                    <w:bottom w:val="single" w:sz="8" w:space="0" w:color="FFFFFF"/>
                    <w:right w:val="single" w:sz="8" w:space="0" w:color="FFFFFF"/>
                  </w:tcBorders>
                  <w:shd w:val="clear" w:color="000000" w:fill="FDE9D9"/>
                  <w:noWrap/>
                  <w:vAlign w:val="center"/>
                  <w:hideMark/>
                </w:tcPr>
                <w:p w14:paraId="76CFDB2D"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0.91 </w:t>
                  </w:r>
                </w:p>
              </w:tc>
              <w:tc>
                <w:tcPr>
                  <w:tcW w:w="1040" w:type="dxa"/>
                  <w:tcBorders>
                    <w:top w:val="nil"/>
                    <w:left w:val="nil"/>
                    <w:bottom w:val="single" w:sz="8" w:space="0" w:color="FFFFFF"/>
                    <w:right w:val="single" w:sz="8" w:space="0" w:color="FFFFFF"/>
                  </w:tcBorders>
                  <w:shd w:val="clear" w:color="000000" w:fill="FDE9D9"/>
                  <w:noWrap/>
                  <w:vAlign w:val="center"/>
                  <w:hideMark/>
                </w:tcPr>
                <w:p w14:paraId="1F1837F9"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1.13 </w:t>
                  </w:r>
                </w:p>
              </w:tc>
              <w:tc>
                <w:tcPr>
                  <w:tcW w:w="1040" w:type="dxa"/>
                  <w:tcBorders>
                    <w:top w:val="nil"/>
                    <w:left w:val="nil"/>
                    <w:bottom w:val="single" w:sz="8" w:space="0" w:color="FFFFFF"/>
                    <w:right w:val="single" w:sz="8" w:space="0" w:color="FFFFFF"/>
                  </w:tcBorders>
                  <w:shd w:val="clear" w:color="000000" w:fill="FDE9D9"/>
                  <w:noWrap/>
                  <w:vAlign w:val="center"/>
                  <w:hideMark/>
                </w:tcPr>
                <w:p w14:paraId="7F281136"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3.21 </w:t>
                  </w:r>
                </w:p>
              </w:tc>
            </w:tr>
            <w:tr w:rsidR="00051876" w:rsidRPr="00051876" w14:paraId="3344097A" w14:textId="77777777" w:rsidTr="00051876">
              <w:trPr>
                <w:trHeight w:val="300"/>
              </w:trPr>
              <w:tc>
                <w:tcPr>
                  <w:tcW w:w="1288" w:type="dxa"/>
                  <w:tcBorders>
                    <w:top w:val="nil"/>
                    <w:left w:val="nil"/>
                    <w:bottom w:val="single" w:sz="8" w:space="0" w:color="FFFFFF"/>
                    <w:right w:val="single" w:sz="8" w:space="0" w:color="FFFFFF"/>
                  </w:tcBorders>
                  <w:shd w:val="clear" w:color="000000" w:fill="FCD5B4"/>
                  <w:noWrap/>
                  <w:vAlign w:val="center"/>
                  <w:hideMark/>
                </w:tcPr>
                <w:p w14:paraId="2DE01700"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MTN5Y</w:t>
                  </w:r>
                </w:p>
              </w:tc>
              <w:tc>
                <w:tcPr>
                  <w:tcW w:w="1040" w:type="dxa"/>
                  <w:tcBorders>
                    <w:top w:val="nil"/>
                    <w:left w:val="nil"/>
                    <w:bottom w:val="single" w:sz="8" w:space="0" w:color="FFFFFF"/>
                    <w:right w:val="single" w:sz="8" w:space="0" w:color="FFFFFF"/>
                  </w:tcBorders>
                  <w:shd w:val="clear" w:color="000000" w:fill="FCD5B4"/>
                  <w:noWrap/>
                  <w:vAlign w:val="center"/>
                  <w:hideMark/>
                </w:tcPr>
                <w:p w14:paraId="08DF1F7D"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3.87 </w:t>
                  </w:r>
                </w:p>
              </w:tc>
              <w:tc>
                <w:tcPr>
                  <w:tcW w:w="1040" w:type="dxa"/>
                  <w:tcBorders>
                    <w:top w:val="nil"/>
                    <w:left w:val="nil"/>
                    <w:bottom w:val="single" w:sz="8" w:space="0" w:color="FFFFFF"/>
                    <w:right w:val="single" w:sz="8" w:space="0" w:color="FFFFFF"/>
                  </w:tcBorders>
                  <w:shd w:val="clear" w:color="000000" w:fill="FCD5B4"/>
                  <w:noWrap/>
                  <w:vAlign w:val="center"/>
                  <w:hideMark/>
                </w:tcPr>
                <w:p w14:paraId="72C7B2A2"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4.11 </w:t>
                  </w:r>
                </w:p>
              </w:tc>
              <w:tc>
                <w:tcPr>
                  <w:tcW w:w="1040" w:type="dxa"/>
                  <w:tcBorders>
                    <w:top w:val="nil"/>
                    <w:left w:val="nil"/>
                    <w:bottom w:val="single" w:sz="8" w:space="0" w:color="FFFFFF"/>
                    <w:right w:val="single" w:sz="8" w:space="0" w:color="FFFFFF"/>
                  </w:tcBorders>
                  <w:shd w:val="clear" w:color="000000" w:fill="FCD5B4"/>
                  <w:noWrap/>
                  <w:vAlign w:val="center"/>
                  <w:hideMark/>
                </w:tcPr>
                <w:p w14:paraId="721CE1D7"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4.50 </w:t>
                  </w:r>
                </w:p>
              </w:tc>
              <w:tc>
                <w:tcPr>
                  <w:tcW w:w="1040" w:type="dxa"/>
                  <w:tcBorders>
                    <w:top w:val="nil"/>
                    <w:left w:val="nil"/>
                    <w:bottom w:val="single" w:sz="8" w:space="0" w:color="FFFFFF"/>
                    <w:right w:val="single" w:sz="8" w:space="0" w:color="FFFFFF"/>
                  </w:tcBorders>
                  <w:shd w:val="clear" w:color="000000" w:fill="FCD5B4"/>
                  <w:noWrap/>
                  <w:vAlign w:val="center"/>
                  <w:hideMark/>
                </w:tcPr>
                <w:p w14:paraId="5910F202"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6.67 </w:t>
                  </w:r>
                </w:p>
              </w:tc>
              <w:tc>
                <w:tcPr>
                  <w:tcW w:w="1040" w:type="dxa"/>
                  <w:tcBorders>
                    <w:top w:val="nil"/>
                    <w:left w:val="nil"/>
                    <w:bottom w:val="single" w:sz="8" w:space="0" w:color="FFFFFF"/>
                    <w:right w:val="single" w:sz="8" w:space="0" w:color="FFFFFF"/>
                  </w:tcBorders>
                  <w:shd w:val="clear" w:color="000000" w:fill="FCD5B4"/>
                  <w:noWrap/>
                  <w:vAlign w:val="center"/>
                  <w:hideMark/>
                </w:tcPr>
                <w:p w14:paraId="7A212F22"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MTN5Y</w:t>
                  </w:r>
                </w:p>
              </w:tc>
              <w:tc>
                <w:tcPr>
                  <w:tcW w:w="1040" w:type="dxa"/>
                  <w:tcBorders>
                    <w:top w:val="nil"/>
                    <w:left w:val="nil"/>
                    <w:bottom w:val="single" w:sz="8" w:space="0" w:color="FFFFFF"/>
                    <w:right w:val="single" w:sz="8" w:space="0" w:color="FFFFFF"/>
                  </w:tcBorders>
                  <w:shd w:val="clear" w:color="000000" w:fill="FCD5B4"/>
                  <w:noWrap/>
                  <w:vAlign w:val="center"/>
                  <w:hideMark/>
                </w:tcPr>
                <w:p w14:paraId="661A2795"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1.00 </w:t>
                  </w:r>
                </w:p>
              </w:tc>
              <w:tc>
                <w:tcPr>
                  <w:tcW w:w="1040" w:type="dxa"/>
                  <w:tcBorders>
                    <w:top w:val="nil"/>
                    <w:left w:val="nil"/>
                    <w:bottom w:val="single" w:sz="8" w:space="0" w:color="FFFFFF"/>
                    <w:right w:val="single" w:sz="8" w:space="0" w:color="FFFFFF"/>
                  </w:tcBorders>
                  <w:shd w:val="clear" w:color="000000" w:fill="FCD5B4"/>
                  <w:noWrap/>
                  <w:vAlign w:val="center"/>
                  <w:hideMark/>
                </w:tcPr>
                <w:p w14:paraId="146D5F44"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1.24 </w:t>
                  </w:r>
                </w:p>
              </w:tc>
              <w:tc>
                <w:tcPr>
                  <w:tcW w:w="1040" w:type="dxa"/>
                  <w:tcBorders>
                    <w:top w:val="nil"/>
                    <w:left w:val="nil"/>
                    <w:bottom w:val="single" w:sz="8" w:space="0" w:color="FFFFFF"/>
                    <w:right w:val="single" w:sz="8" w:space="0" w:color="FFFFFF"/>
                  </w:tcBorders>
                  <w:shd w:val="clear" w:color="000000" w:fill="FCD5B4"/>
                  <w:noWrap/>
                  <w:vAlign w:val="center"/>
                  <w:hideMark/>
                </w:tcPr>
                <w:p w14:paraId="42EC68E7"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1.63 </w:t>
                  </w:r>
                </w:p>
              </w:tc>
              <w:tc>
                <w:tcPr>
                  <w:tcW w:w="1040" w:type="dxa"/>
                  <w:tcBorders>
                    <w:top w:val="nil"/>
                    <w:left w:val="nil"/>
                    <w:bottom w:val="single" w:sz="8" w:space="0" w:color="FFFFFF"/>
                    <w:right w:val="single" w:sz="8" w:space="0" w:color="FFFFFF"/>
                  </w:tcBorders>
                  <w:shd w:val="clear" w:color="000000" w:fill="FCD5B4"/>
                  <w:noWrap/>
                  <w:vAlign w:val="center"/>
                  <w:hideMark/>
                </w:tcPr>
                <w:p w14:paraId="02813E6A"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3.80 </w:t>
                  </w:r>
                </w:p>
              </w:tc>
            </w:tr>
            <w:tr w:rsidR="00051876" w:rsidRPr="00051876" w14:paraId="7F518A98" w14:textId="77777777" w:rsidTr="00051876">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542C642A"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企业债3Y</w:t>
                  </w:r>
                </w:p>
              </w:tc>
              <w:tc>
                <w:tcPr>
                  <w:tcW w:w="1040" w:type="dxa"/>
                  <w:tcBorders>
                    <w:top w:val="nil"/>
                    <w:left w:val="nil"/>
                    <w:bottom w:val="single" w:sz="8" w:space="0" w:color="FFFFFF"/>
                    <w:right w:val="single" w:sz="8" w:space="0" w:color="FFFFFF"/>
                  </w:tcBorders>
                  <w:shd w:val="clear" w:color="000000" w:fill="FDE9D9"/>
                  <w:noWrap/>
                  <w:vAlign w:val="center"/>
                  <w:hideMark/>
                </w:tcPr>
                <w:p w14:paraId="460B7DBE"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3.51 </w:t>
                  </w:r>
                </w:p>
              </w:tc>
              <w:tc>
                <w:tcPr>
                  <w:tcW w:w="1040" w:type="dxa"/>
                  <w:tcBorders>
                    <w:top w:val="nil"/>
                    <w:left w:val="nil"/>
                    <w:bottom w:val="single" w:sz="8" w:space="0" w:color="FFFFFF"/>
                    <w:right w:val="single" w:sz="8" w:space="0" w:color="FFFFFF"/>
                  </w:tcBorders>
                  <w:shd w:val="clear" w:color="000000" w:fill="FDE9D9"/>
                  <w:noWrap/>
                  <w:vAlign w:val="center"/>
                  <w:hideMark/>
                </w:tcPr>
                <w:p w14:paraId="41E3BDBC"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3.67 </w:t>
                  </w:r>
                </w:p>
              </w:tc>
              <w:tc>
                <w:tcPr>
                  <w:tcW w:w="1040" w:type="dxa"/>
                  <w:tcBorders>
                    <w:top w:val="nil"/>
                    <w:left w:val="nil"/>
                    <w:bottom w:val="single" w:sz="8" w:space="0" w:color="FFFFFF"/>
                    <w:right w:val="single" w:sz="8" w:space="0" w:color="FFFFFF"/>
                  </w:tcBorders>
                  <w:shd w:val="clear" w:color="000000" w:fill="FDE9D9"/>
                  <w:noWrap/>
                  <w:vAlign w:val="center"/>
                  <w:hideMark/>
                </w:tcPr>
                <w:p w14:paraId="58F2BBB9"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3.90 </w:t>
                  </w:r>
                </w:p>
              </w:tc>
              <w:tc>
                <w:tcPr>
                  <w:tcW w:w="1040" w:type="dxa"/>
                  <w:tcBorders>
                    <w:top w:val="nil"/>
                    <w:left w:val="nil"/>
                    <w:bottom w:val="single" w:sz="8" w:space="0" w:color="FFFFFF"/>
                    <w:right w:val="single" w:sz="8" w:space="0" w:color="FFFFFF"/>
                  </w:tcBorders>
                  <w:shd w:val="clear" w:color="000000" w:fill="FDE9D9"/>
                  <w:noWrap/>
                  <w:vAlign w:val="center"/>
                  <w:hideMark/>
                </w:tcPr>
                <w:p w14:paraId="73188DA8"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5.98 </w:t>
                  </w:r>
                </w:p>
              </w:tc>
              <w:tc>
                <w:tcPr>
                  <w:tcW w:w="1040" w:type="dxa"/>
                  <w:tcBorders>
                    <w:top w:val="nil"/>
                    <w:left w:val="nil"/>
                    <w:bottom w:val="single" w:sz="8" w:space="0" w:color="FFFFFF"/>
                    <w:right w:val="single" w:sz="8" w:space="0" w:color="FFFFFF"/>
                  </w:tcBorders>
                  <w:shd w:val="clear" w:color="000000" w:fill="FDE9D9"/>
                  <w:noWrap/>
                  <w:vAlign w:val="center"/>
                  <w:hideMark/>
                </w:tcPr>
                <w:p w14:paraId="0FFF63FD"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企业债3Y</w:t>
                  </w:r>
                </w:p>
              </w:tc>
              <w:tc>
                <w:tcPr>
                  <w:tcW w:w="1040" w:type="dxa"/>
                  <w:tcBorders>
                    <w:top w:val="nil"/>
                    <w:left w:val="nil"/>
                    <w:bottom w:val="single" w:sz="8" w:space="0" w:color="FFFFFF"/>
                    <w:right w:val="single" w:sz="8" w:space="0" w:color="FFFFFF"/>
                  </w:tcBorders>
                  <w:shd w:val="clear" w:color="000000" w:fill="FDE9D9"/>
                  <w:noWrap/>
                  <w:vAlign w:val="center"/>
                  <w:hideMark/>
                </w:tcPr>
                <w:p w14:paraId="53ABA16C"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0.76 </w:t>
                  </w:r>
                </w:p>
              </w:tc>
              <w:tc>
                <w:tcPr>
                  <w:tcW w:w="1040" w:type="dxa"/>
                  <w:tcBorders>
                    <w:top w:val="nil"/>
                    <w:left w:val="nil"/>
                    <w:bottom w:val="single" w:sz="8" w:space="0" w:color="FFFFFF"/>
                    <w:right w:val="single" w:sz="8" w:space="0" w:color="FFFFFF"/>
                  </w:tcBorders>
                  <w:shd w:val="clear" w:color="000000" w:fill="FDE9D9"/>
                  <w:noWrap/>
                  <w:vAlign w:val="center"/>
                  <w:hideMark/>
                </w:tcPr>
                <w:p w14:paraId="7A5C9521"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0.92 </w:t>
                  </w:r>
                </w:p>
              </w:tc>
              <w:tc>
                <w:tcPr>
                  <w:tcW w:w="1040" w:type="dxa"/>
                  <w:tcBorders>
                    <w:top w:val="nil"/>
                    <w:left w:val="nil"/>
                    <w:bottom w:val="single" w:sz="8" w:space="0" w:color="FFFFFF"/>
                    <w:right w:val="single" w:sz="8" w:space="0" w:color="FFFFFF"/>
                  </w:tcBorders>
                  <w:shd w:val="clear" w:color="000000" w:fill="FDE9D9"/>
                  <w:noWrap/>
                  <w:vAlign w:val="center"/>
                  <w:hideMark/>
                </w:tcPr>
                <w:p w14:paraId="4CD21E94"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1.15 </w:t>
                  </w:r>
                </w:p>
              </w:tc>
              <w:tc>
                <w:tcPr>
                  <w:tcW w:w="1040" w:type="dxa"/>
                  <w:tcBorders>
                    <w:top w:val="nil"/>
                    <w:left w:val="nil"/>
                    <w:bottom w:val="single" w:sz="8" w:space="0" w:color="FFFFFF"/>
                    <w:right w:val="single" w:sz="8" w:space="0" w:color="FFFFFF"/>
                  </w:tcBorders>
                  <w:shd w:val="clear" w:color="000000" w:fill="FDE9D9"/>
                  <w:noWrap/>
                  <w:vAlign w:val="center"/>
                  <w:hideMark/>
                </w:tcPr>
                <w:p w14:paraId="33EBFCE4"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3.23 </w:t>
                  </w:r>
                </w:p>
              </w:tc>
            </w:tr>
            <w:tr w:rsidR="00051876" w:rsidRPr="00051876" w14:paraId="6DFA74CA" w14:textId="77777777" w:rsidTr="00051876">
              <w:trPr>
                <w:trHeight w:val="300"/>
              </w:trPr>
              <w:tc>
                <w:tcPr>
                  <w:tcW w:w="1288" w:type="dxa"/>
                  <w:tcBorders>
                    <w:top w:val="nil"/>
                    <w:left w:val="nil"/>
                    <w:bottom w:val="single" w:sz="8" w:space="0" w:color="FFFFFF"/>
                    <w:right w:val="single" w:sz="8" w:space="0" w:color="FFFFFF"/>
                  </w:tcBorders>
                  <w:shd w:val="clear" w:color="000000" w:fill="FCD5B4"/>
                  <w:noWrap/>
                  <w:vAlign w:val="center"/>
                  <w:hideMark/>
                </w:tcPr>
                <w:p w14:paraId="763EEC44"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企业债5Y</w:t>
                  </w:r>
                </w:p>
              </w:tc>
              <w:tc>
                <w:tcPr>
                  <w:tcW w:w="1040" w:type="dxa"/>
                  <w:tcBorders>
                    <w:top w:val="nil"/>
                    <w:left w:val="nil"/>
                    <w:bottom w:val="single" w:sz="8" w:space="0" w:color="FFFFFF"/>
                    <w:right w:val="single" w:sz="8" w:space="0" w:color="FFFFFF"/>
                  </w:tcBorders>
                  <w:shd w:val="clear" w:color="000000" w:fill="FCD5B4"/>
                  <w:noWrap/>
                  <w:vAlign w:val="center"/>
                  <w:hideMark/>
                </w:tcPr>
                <w:p w14:paraId="66FAE111"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3.87 </w:t>
                  </w:r>
                </w:p>
              </w:tc>
              <w:tc>
                <w:tcPr>
                  <w:tcW w:w="1040" w:type="dxa"/>
                  <w:tcBorders>
                    <w:top w:val="nil"/>
                    <w:left w:val="nil"/>
                    <w:bottom w:val="single" w:sz="8" w:space="0" w:color="FFFFFF"/>
                    <w:right w:val="single" w:sz="8" w:space="0" w:color="FFFFFF"/>
                  </w:tcBorders>
                  <w:shd w:val="clear" w:color="000000" w:fill="FCD5B4"/>
                  <w:noWrap/>
                  <w:vAlign w:val="center"/>
                  <w:hideMark/>
                </w:tcPr>
                <w:p w14:paraId="41992676"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4.11 </w:t>
                  </w:r>
                </w:p>
              </w:tc>
              <w:tc>
                <w:tcPr>
                  <w:tcW w:w="1040" w:type="dxa"/>
                  <w:tcBorders>
                    <w:top w:val="nil"/>
                    <w:left w:val="nil"/>
                    <w:bottom w:val="single" w:sz="8" w:space="0" w:color="FFFFFF"/>
                    <w:right w:val="single" w:sz="8" w:space="0" w:color="FFFFFF"/>
                  </w:tcBorders>
                  <w:shd w:val="clear" w:color="000000" w:fill="FCD5B4"/>
                  <w:noWrap/>
                  <w:vAlign w:val="center"/>
                  <w:hideMark/>
                </w:tcPr>
                <w:p w14:paraId="2B655C2D"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4.50 </w:t>
                  </w:r>
                </w:p>
              </w:tc>
              <w:tc>
                <w:tcPr>
                  <w:tcW w:w="1040" w:type="dxa"/>
                  <w:tcBorders>
                    <w:top w:val="nil"/>
                    <w:left w:val="nil"/>
                    <w:bottom w:val="single" w:sz="8" w:space="0" w:color="FFFFFF"/>
                    <w:right w:val="single" w:sz="8" w:space="0" w:color="FFFFFF"/>
                  </w:tcBorders>
                  <w:shd w:val="clear" w:color="000000" w:fill="FCD5B4"/>
                  <w:noWrap/>
                  <w:vAlign w:val="center"/>
                  <w:hideMark/>
                </w:tcPr>
                <w:p w14:paraId="6A8E05FC"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6.67 </w:t>
                  </w:r>
                </w:p>
              </w:tc>
              <w:tc>
                <w:tcPr>
                  <w:tcW w:w="1040" w:type="dxa"/>
                  <w:tcBorders>
                    <w:top w:val="nil"/>
                    <w:left w:val="nil"/>
                    <w:bottom w:val="single" w:sz="8" w:space="0" w:color="FFFFFF"/>
                    <w:right w:val="single" w:sz="8" w:space="0" w:color="FFFFFF"/>
                  </w:tcBorders>
                  <w:shd w:val="clear" w:color="000000" w:fill="FCD5B4"/>
                  <w:noWrap/>
                  <w:vAlign w:val="center"/>
                  <w:hideMark/>
                </w:tcPr>
                <w:p w14:paraId="65887401"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企业债5Y</w:t>
                  </w:r>
                </w:p>
              </w:tc>
              <w:tc>
                <w:tcPr>
                  <w:tcW w:w="1040" w:type="dxa"/>
                  <w:tcBorders>
                    <w:top w:val="nil"/>
                    <w:left w:val="nil"/>
                    <w:bottom w:val="single" w:sz="8" w:space="0" w:color="FFFFFF"/>
                    <w:right w:val="single" w:sz="8" w:space="0" w:color="FFFFFF"/>
                  </w:tcBorders>
                  <w:shd w:val="clear" w:color="000000" w:fill="FCD5B4"/>
                  <w:noWrap/>
                  <w:vAlign w:val="center"/>
                  <w:hideMark/>
                </w:tcPr>
                <w:p w14:paraId="3ED733F0"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1.00 </w:t>
                  </w:r>
                </w:p>
              </w:tc>
              <w:tc>
                <w:tcPr>
                  <w:tcW w:w="1040" w:type="dxa"/>
                  <w:tcBorders>
                    <w:top w:val="nil"/>
                    <w:left w:val="nil"/>
                    <w:bottom w:val="single" w:sz="8" w:space="0" w:color="FFFFFF"/>
                    <w:right w:val="single" w:sz="8" w:space="0" w:color="FFFFFF"/>
                  </w:tcBorders>
                  <w:shd w:val="clear" w:color="000000" w:fill="FCD5B4"/>
                  <w:noWrap/>
                  <w:vAlign w:val="center"/>
                  <w:hideMark/>
                </w:tcPr>
                <w:p w14:paraId="60F05567"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1.24 </w:t>
                  </w:r>
                </w:p>
              </w:tc>
              <w:tc>
                <w:tcPr>
                  <w:tcW w:w="1040" w:type="dxa"/>
                  <w:tcBorders>
                    <w:top w:val="nil"/>
                    <w:left w:val="nil"/>
                    <w:bottom w:val="single" w:sz="8" w:space="0" w:color="FFFFFF"/>
                    <w:right w:val="single" w:sz="8" w:space="0" w:color="FFFFFF"/>
                  </w:tcBorders>
                  <w:shd w:val="clear" w:color="000000" w:fill="FCD5B4"/>
                  <w:noWrap/>
                  <w:vAlign w:val="center"/>
                  <w:hideMark/>
                </w:tcPr>
                <w:p w14:paraId="7F093ABD"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1.63 </w:t>
                  </w:r>
                </w:p>
              </w:tc>
              <w:tc>
                <w:tcPr>
                  <w:tcW w:w="1040" w:type="dxa"/>
                  <w:tcBorders>
                    <w:top w:val="nil"/>
                    <w:left w:val="nil"/>
                    <w:bottom w:val="single" w:sz="8" w:space="0" w:color="FFFFFF"/>
                    <w:right w:val="single" w:sz="8" w:space="0" w:color="FFFFFF"/>
                  </w:tcBorders>
                  <w:shd w:val="clear" w:color="000000" w:fill="FCD5B4"/>
                  <w:noWrap/>
                  <w:vAlign w:val="center"/>
                  <w:hideMark/>
                </w:tcPr>
                <w:p w14:paraId="201F5B33"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3.80 </w:t>
                  </w:r>
                </w:p>
              </w:tc>
            </w:tr>
            <w:tr w:rsidR="00051876" w:rsidRPr="00051876" w14:paraId="5A9F84FA" w14:textId="77777777" w:rsidTr="00051876">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3C5F4B3D"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企业债7Y</w:t>
                  </w:r>
                </w:p>
              </w:tc>
              <w:tc>
                <w:tcPr>
                  <w:tcW w:w="1040" w:type="dxa"/>
                  <w:tcBorders>
                    <w:top w:val="nil"/>
                    <w:left w:val="nil"/>
                    <w:bottom w:val="single" w:sz="8" w:space="0" w:color="FFFFFF"/>
                    <w:right w:val="single" w:sz="8" w:space="0" w:color="FFFFFF"/>
                  </w:tcBorders>
                  <w:shd w:val="clear" w:color="000000" w:fill="FDE9D9"/>
                  <w:noWrap/>
                  <w:vAlign w:val="center"/>
                  <w:hideMark/>
                </w:tcPr>
                <w:p w14:paraId="2ED645B1"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3.95 </w:t>
                  </w:r>
                </w:p>
              </w:tc>
              <w:tc>
                <w:tcPr>
                  <w:tcW w:w="1040" w:type="dxa"/>
                  <w:tcBorders>
                    <w:top w:val="nil"/>
                    <w:left w:val="nil"/>
                    <w:bottom w:val="single" w:sz="8" w:space="0" w:color="FFFFFF"/>
                    <w:right w:val="single" w:sz="8" w:space="0" w:color="FFFFFF"/>
                  </w:tcBorders>
                  <w:shd w:val="clear" w:color="000000" w:fill="FDE9D9"/>
                  <w:noWrap/>
                  <w:vAlign w:val="center"/>
                  <w:hideMark/>
                </w:tcPr>
                <w:p w14:paraId="6D3C6BAB"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4.25 </w:t>
                  </w:r>
                </w:p>
              </w:tc>
              <w:tc>
                <w:tcPr>
                  <w:tcW w:w="1040" w:type="dxa"/>
                  <w:tcBorders>
                    <w:top w:val="nil"/>
                    <w:left w:val="nil"/>
                    <w:bottom w:val="single" w:sz="8" w:space="0" w:color="FFFFFF"/>
                    <w:right w:val="single" w:sz="8" w:space="0" w:color="FFFFFF"/>
                  </w:tcBorders>
                  <w:shd w:val="clear" w:color="000000" w:fill="FDE9D9"/>
                  <w:noWrap/>
                  <w:vAlign w:val="center"/>
                  <w:hideMark/>
                </w:tcPr>
                <w:p w14:paraId="41FB6D31"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4.65 </w:t>
                  </w:r>
                </w:p>
              </w:tc>
              <w:tc>
                <w:tcPr>
                  <w:tcW w:w="1040" w:type="dxa"/>
                  <w:tcBorders>
                    <w:top w:val="nil"/>
                    <w:left w:val="nil"/>
                    <w:bottom w:val="single" w:sz="8" w:space="0" w:color="FFFFFF"/>
                    <w:right w:val="single" w:sz="8" w:space="0" w:color="FFFFFF"/>
                  </w:tcBorders>
                  <w:shd w:val="clear" w:color="000000" w:fill="FDE9D9"/>
                  <w:noWrap/>
                  <w:vAlign w:val="center"/>
                  <w:hideMark/>
                </w:tcPr>
                <w:p w14:paraId="6598C432"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6.82 </w:t>
                  </w:r>
                </w:p>
              </w:tc>
              <w:tc>
                <w:tcPr>
                  <w:tcW w:w="1040" w:type="dxa"/>
                  <w:tcBorders>
                    <w:top w:val="nil"/>
                    <w:left w:val="nil"/>
                    <w:bottom w:val="single" w:sz="8" w:space="0" w:color="FFFFFF"/>
                    <w:right w:val="single" w:sz="8" w:space="0" w:color="FFFFFF"/>
                  </w:tcBorders>
                  <w:shd w:val="clear" w:color="000000" w:fill="FDE9D9"/>
                  <w:noWrap/>
                  <w:vAlign w:val="center"/>
                  <w:hideMark/>
                </w:tcPr>
                <w:p w14:paraId="30AB9260"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企业债7Y</w:t>
                  </w:r>
                </w:p>
              </w:tc>
              <w:tc>
                <w:tcPr>
                  <w:tcW w:w="1040" w:type="dxa"/>
                  <w:tcBorders>
                    <w:top w:val="nil"/>
                    <w:left w:val="nil"/>
                    <w:bottom w:val="single" w:sz="8" w:space="0" w:color="FFFFFF"/>
                    <w:right w:val="single" w:sz="8" w:space="0" w:color="FFFFFF"/>
                  </w:tcBorders>
                  <w:shd w:val="clear" w:color="000000" w:fill="FDE9D9"/>
                  <w:noWrap/>
                  <w:vAlign w:val="center"/>
                  <w:hideMark/>
                </w:tcPr>
                <w:p w14:paraId="411B290B"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0.93 </w:t>
                  </w:r>
                </w:p>
              </w:tc>
              <w:tc>
                <w:tcPr>
                  <w:tcW w:w="1040" w:type="dxa"/>
                  <w:tcBorders>
                    <w:top w:val="nil"/>
                    <w:left w:val="nil"/>
                    <w:bottom w:val="single" w:sz="8" w:space="0" w:color="FFFFFF"/>
                    <w:right w:val="single" w:sz="8" w:space="0" w:color="FFFFFF"/>
                  </w:tcBorders>
                  <w:shd w:val="clear" w:color="000000" w:fill="FDE9D9"/>
                  <w:noWrap/>
                  <w:vAlign w:val="center"/>
                  <w:hideMark/>
                </w:tcPr>
                <w:p w14:paraId="4A025F5D"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1.23 </w:t>
                  </w:r>
                </w:p>
              </w:tc>
              <w:tc>
                <w:tcPr>
                  <w:tcW w:w="1040" w:type="dxa"/>
                  <w:tcBorders>
                    <w:top w:val="nil"/>
                    <w:left w:val="nil"/>
                    <w:bottom w:val="single" w:sz="8" w:space="0" w:color="FFFFFF"/>
                    <w:right w:val="single" w:sz="8" w:space="0" w:color="FFFFFF"/>
                  </w:tcBorders>
                  <w:shd w:val="clear" w:color="000000" w:fill="FDE9D9"/>
                  <w:noWrap/>
                  <w:vAlign w:val="center"/>
                  <w:hideMark/>
                </w:tcPr>
                <w:p w14:paraId="581160DB"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1.63 </w:t>
                  </w:r>
                </w:p>
              </w:tc>
              <w:tc>
                <w:tcPr>
                  <w:tcW w:w="1040" w:type="dxa"/>
                  <w:tcBorders>
                    <w:top w:val="nil"/>
                    <w:left w:val="nil"/>
                    <w:bottom w:val="single" w:sz="8" w:space="0" w:color="FFFFFF"/>
                    <w:right w:val="single" w:sz="8" w:space="0" w:color="FFFFFF"/>
                  </w:tcBorders>
                  <w:shd w:val="clear" w:color="000000" w:fill="FDE9D9"/>
                  <w:noWrap/>
                  <w:vAlign w:val="center"/>
                  <w:hideMark/>
                </w:tcPr>
                <w:p w14:paraId="2DBD84E1"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3.80 </w:t>
                  </w:r>
                </w:p>
              </w:tc>
            </w:tr>
            <w:tr w:rsidR="00051876" w:rsidRPr="00051876" w14:paraId="79E1D916" w14:textId="77777777" w:rsidTr="00051876">
              <w:trPr>
                <w:trHeight w:val="300"/>
              </w:trPr>
              <w:tc>
                <w:tcPr>
                  <w:tcW w:w="1288" w:type="dxa"/>
                  <w:tcBorders>
                    <w:top w:val="nil"/>
                    <w:left w:val="nil"/>
                    <w:bottom w:val="single" w:sz="8" w:space="0" w:color="FFFFFF"/>
                    <w:right w:val="single" w:sz="8" w:space="0" w:color="FFFFFF"/>
                  </w:tcBorders>
                  <w:shd w:val="clear" w:color="000000" w:fill="FCD5B4"/>
                  <w:noWrap/>
                  <w:vAlign w:val="center"/>
                  <w:hideMark/>
                </w:tcPr>
                <w:p w14:paraId="34BD5179" w14:textId="77777777" w:rsidR="00051876" w:rsidRPr="00051876" w:rsidRDefault="00051876" w:rsidP="00051876">
                  <w:pPr>
                    <w:widowControl/>
                    <w:jc w:val="center"/>
                    <w:rPr>
                      <w:rFonts w:ascii="楷体" w:eastAsia="楷体" w:hAnsi="楷体" w:cs="宋体"/>
                      <w:color w:val="000000"/>
                      <w:kern w:val="0"/>
                      <w:sz w:val="16"/>
                      <w:szCs w:val="16"/>
                    </w:rPr>
                  </w:pPr>
                  <w:proofErr w:type="gramStart"/>
                  <w:r w:rsidRPr="00051876">
                    <w:rPr>
                      <w:rFonts w:ascii="楷体" w:eastAsia="楷体" w:hAnsi="楷体" w:cs="宋体" w:hint="eastAsia"/>
                      <w:color w:val="000000"/>
                      <w:kern w:val="0"/>
                      <w:sz w:val="16"/>
                      <w:szCs w:val="16"/>
                    </w:rPr>
                    <w:t>城投债</w:t>
                  </w:r>
                  <w:proofErr w:type="gramEnd"/>
                  <w:r w:rsidRPr="00051876">
                    <w:rPr>
                      <w:rFonts w:ascii="楷体" w:eastAsia="楷体" w:hAnsi="楷体" w:cs="宋体" w:hint="eastAsia"/>
                      <w:color w:val="000000"/>
                      <w:kern w:val="0"/>
                      <w:sz w:val="16"/>
                      <w:szCs w:val="16"/>
                    </w:rPr>
                    <w:t>3Y</w:t>
                  </w:r>
                </w:p>
              </w:tc>
              <w:tc>
                <w:tcPr>
                  <w:tcW w:w="1040" w:type="dxa"/>
                  <w:tcBorders>
                    <w:top w:val="nil"/>
                    <w:left w:val="nil"/>
                    <w:bottom w:val="single" w:sz="8" w:space="0" w:color="FFFFFF"/>
                    <w:right w:val="single" w:sz="8" w:space="0" w:color="FFFFFF"/>
                  </w:tcBorders>
                  <w:shd w:val="clear" w:color="000000" w:fill="FCD5B4"/>
                  <w:noWrap/>
                  <w:vAlign w:val="center"/>
                  <w:hideMark/>
                </w:tcPr>
                <w:p w14:paraId="5DEB62F3"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3.53 </w:t>
                  </w:r>
                </w:p>
              </w:tc>
              <w:tc>
                <w:tcPr>
                  <w:tcW w:w="1040" w:type="dxa"/>
                  <w:tcBorders>
                    <w:top w:val="nil"/>
                    <w:left w:val="nil"/>
                    <w:bottom w:val="single" w:sz="8" w:space="0" w:color="FFFFFF"/>
                    <w:right w:val="single" w:sz="8" w:space="0" w:color="FFFFFF"/>
                  </w:tcBorders>
                  <w:shd w:val="clear" w:color="000000" w:fill="FCD5B4"/>
                  <w:noWrap/>
                  <w:vAlign w:val="center"/>
                  <w:hideMark/>
                </w:tcPr>
                <w:p w14:paraId="2A3FF5DF"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3.66 </w:t>
                  </w:r>
                </w:p>
              </w:tc>
              <w:tc>
                <w:tcPr>
                  <w:tcW w:w="1040" w:type="dxa"/>
                  <w:tcBorders>
                    <w:top w:val="nil"/>
                    <w:left w:val="nil"/>
                    <w:bottom w:val="single" w:sz="8" w:space="0" w:color="FFFFFF"/>
                    <w:right w:val="single" w:sz="8" w:space="0" w:color="FFFFFF"/>
                  </w:tcBorders>
                  <w:shd w:val="clear" w:color="000000" w:fill="FCD5B4"/>
                  <w:noWrap/>
                  <w:vAlign w:val="center"/>
                  <w:hideMark/>
                </w:tcPr>
                <w:p w14:paraId="72C82D92"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3.79 </w:t>
                  </w:r>
                </w:p>
              </w:tc>
              <w:tc>
                <w:tcPr>
                  <w:tcW w:w="1040" w:type="dxa"/>
                  <w:tcBorders>
                    <w:top w:val="nil"/>
                    <w:left w:val="nil"/>
                    <w:bottom w:val="single" w:sz="8" w:space="0" w:color="FFFFFF"/>
                    <w:right w:val="single" w:sz="8" w:space="0" w:color="FFFFFF"/>
                  </w:tcBorders>
                  <w:shd w:val="clear" w:color="000000" w:fill="FCD5B4"/>
                  <w:noWrap/>
                  <w:vAlign w:val="center"/>
                  <w:hideMark/>
                </w:tcPr>
                <w:p w14:paraId="048937C6"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5.56 </w:t>
                  </w:r>
                </w:p>
              </w:tc>
              <w:tc>
                <w:tcPr>
                  <w:tcW w:w="1040" w:type="dxa"/>
                  <w:tcBorders>
                    <w:top w:val="nil"/>
                    <w:left w:val="nil"/>
                    <w:bottom w:val="single" w:sz="8" w:space="0" w:color="FFFFFF"/>
                    <w:right w:val="single" w:sz="8" w:space="0" w:color="FFFFFF"/>
                  </w:tcBorders>
                  <w:shd w:val="clear" w:color="000000" w:fill="FCD5B4"/>
                  <w:noWrap/>
                  <w:vAlign w:val="center"/>
                  <w:hideMark/>
                </w:tcPr>
                <w:p w14:paraId="1F2D529D" w14:textId="77777777" w:rsidR="00051876" w:rsidRPr="00051876" w:rsidRDefault="00051876" w:rsidP="00051876">
                  <w:pPr>
                    <w:widowControl/>
                    <w:jc w:val="center"/>
                    <w:rPr>
                      <w:rFonts w:ascii="楷体" w:eastAsia="楷体" w:hAnsi="楷体" w:cs="宋体"/>
                      <w:color w:val="000000"/>
                      <w:kern w:val="0"/>
                      <w:sz w:val="16"/>
                      <w:szCs w:val="16"/>
                    </w:rPr>
                  </w:pPr>
                  <w:proofErr w:type="gramStart"/>
                  <w:r w:rsidRPr="00051876">
                    <w:rPr>
                      <w:rFonts w:ascii="楷体" w:eastAsia="楷体" w:hAnsi="楷体" w:cs="宋体" w:hint="eastAsia"/>
                      <w:color w:val="000000"/>
                      <w:kern w:val="0"/>
                      <w:sz w:val="16"/>
                      <w:szCs w:val="16"/>
                    </w:rPr>
                    <w:t>城投债</w:t>
                  </w:r>
                  <w:proofErr w:type="gramEnd"/>
                  <w:r w:rsidRPr="00051876">
                    <w:rPr>
                      <w:rFonts w:ascii="楷体" w:eastAsia="楷体" w:hAnsi="楷体" w:cs="宋体" w:hint="eastAsia"/>
                      <w:color w:val="000000"/>
                      <w:kern w:val="0"/>
                      <w:sz w:val="16"/>
                      <w:szCs w:val="16"/>
                    </w:rPr>
                    <w:t>3Y</w:t>
                  </w:r>
                </w:p>
              </w:tc>
              <w:tc>
                <w:tcPr>
                  <w:tcW w:w="1040" w:type="dxa"/>
                  <w:tcBorders>
                    <w:top w:val="nil"/>
                    <w:left w:val="nil"/>
                    <w:bottom w:val="single" w:sz="8" w:space="0" w:color="FFFFFF"/>
                    <w:right w:val="single" w:sz="8" w:space="0" w:color="FFFFFF"/>
                  </w:tcBorders>
                  <w:shd w:val="clear" w:color="000000" w:fill="FCD5B4"/>
                  <w:noWrap/>
                  <w:vAlign w:val="center"/>
                  <w:hideMark/>
                </w:tcPr>
                <w:p w14:paraId="28C726E8"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0.78 </w:t>
                  </w:r>
                </w:p>
              </w:tc>
              <w:tc>
                <w:tcPr>
                  <w:tcW w:w="1040" w:type="dxa"/>
                  <w:tcBorders>
                    <w:top w:val="nil"/>
                    <w:left w:val="nil"/>
                    <w:bottom w:val="single" w:sz="8" w:space="0" w:color="FFFFFF"/>
                    <w:right w:val="single" w:sz="8" w:space="0" w:color="FFFFFF"/>
                  </w:tcBorders>
                  <w:shd w:val="clear" w:color="000000" w:fill="FCD5B4"/>
                  <w:noWrap/>
                  <w:vAlign w:val="center"/>
                  <w:hideMark/>
                </w:tcPr>
                <w:p w14:paraId="7B2C4BE6"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0.91 </w:t>
                  </w:r>
                </w:p>
              </w:tc>
              <w:tc>
                <w:tcPr>
                  <w:tcW w:w="1040" w:type="dxa"/>
                  <w:tcBorders>
                    <w:top w:val="nil"/>
                    <w:left w:val="nil"/>
                    <w:bottom w:val="single" w:sz="8" w:space="0" w:color="FFFFFF"/>
                    <w:right w:val="single" w:sz="8" w:space="0" w:color="FFFFFF"/>
                  </w:tcBorders>
                  <w:shd w:val="clear" w:color="000000" w:fill="FCD5B4"/>
                  <w:noWrap/>
                  <w:vAlign w:val="center"/>
                  <w:hideMark/>
                </w:tcPr>
                <w:p w14:paraId="6D68AA8B"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1.04 </w:t>
                  </w:r>
                </w:p>
              </w:tc>
              <w:tc>
                <w:tcPr>
                  <w:tcW w:w="1040" w:type="dxa"/>
                  <w:tcBorders>
                    <w:top w:val="nil"/>
                    <w:left w:val="nil"/>
                    <w:bottom w:val="single" w:sz="8" w:space="0" w:color="FFFFFF"/>
                    <w:right w:val="single" w:sz="8" w:space="0" w:color="FFFFFF"/>
                  </w:tcBorders>
                  <w:shd w:val="clear" w:color="000000" w:fill="FCD5B4"/>
                  <w:noWrap/>
                  <w:vAlign w:val="center"/>
                  <w:hideMark/>
                </w:tcPr>
                <w:p w14:paraId="6363773A"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2.81 </w:t>
                  </w:r>
                </w:p>
              </w:tc>
            </w:tr>
            <w:tr w:rsidR="00051876" w:rsidRPr="00051876" w14:paraId="1D341643" w14:textId="77777777" w:rsidTr="00051876">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68522C35" w14:textId="77777777" w:rsidR="00051876" w:rsidRPr="00051876" w:rsidRDefault="00051876" w:rsidP="00051876">
                  <w:pPr>
                    <w:widowControl/>
                    <w:jc w:val="center"/>
                    <w:rPr>
                      <w:rFonts w:ascii="楷体" w:eastAsia="楷体" w:hAnsi="楷体" w:cs="宋体"/>
                      <w:color w:val="000000"/>
                      <w:kern w:val="0"/>
                      <w:sz w:val="16"/>
                      <w:szCs w:val="16"/>
                    </w:rPr>
                  </w:pPr>
                  <w:proofErr w:type="gramStart"/>
                  <w:r w:rsidRPr="00051876">
                    <w:rPr>
                      <w:rFonts w:ascii="楷体" w:eastAsia="楷体" w:hAnsi="楷体" w:cs="宋体" w:hint="eastAsia"/>
                      <w:color w:val="000000"/>
                      <w:kern w:val="0"/>
                      <w:sz w:val="16"/>
                      <w:szCs w:val="16"/>
                    </w:rPr>
                    <w:t>城投债</w:t>
                  </w:r>
                  <w:proofErr w:type="gramEnd"/>
                  <w:r w:rsidRPr="00051876">
                    <w:rPr>
                      <w:rFonts w:ascii="楷体" w:eastAsia="楷体" w:hAnsi="楷体" w:cs="宋体" w:hint="eastAsia"/>
                      <w:color w:val="000000"/>
                      <w:kern w:val="0"/>
                      <w:sz w:val="16"/>
                      <w:szCs w:val="16"/>
                    </w:rPr>
                    <w:t>5Y</w:t>
                  </w:r>
                </w:p>
              </w:tc>
              <w:tc>
                <w:tcPr>
                  <w:tcW w:w="1040" w:type="dxa"/>
                  <w:tcBorders>
                    <w:top w:val="nil"/>
                    <w:left w:val="nil"/>
                    <w:bottom w:val="single" w:sz="8" w:space="0" w:color="FFFFFF"/>
                    <w:right w:val="single" w:sz="8" w:space="0" w:color="FFFFFF"/>
                  </w:tcBorders>
                  <w:shd w:val="clear" w:color="000000" w:fill="FDE9D9"/>
                  <w:noWrap/>
                  <w:vAlign w:val="center"/>
                  <w:hideMark/>
                </w:tcPr>
                <w:p w14:paraId="3376D9FA"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3.88 </w:t>
                  </w:r>
                </w:p>
              </w:tc>
              <w:tc>
                <w:tcPr>
                  <w:tcW w:w="1040" w:type="dxa"/>
                  <w:tcBorders>
                    <w:top w:val="nil"/>
                    <w:left w:val="nil"/>
                    <w:bottom w:val="single" w:sz="8" w:space="0" w:color="FFFFFF"/>
                    <w:right w:val="single" w:sz="8" w:space="0" w:color="FFFFFF"/>
                  </w:tcBorders>
                  <w:shd w:val="clear" w:color="000000" w:fill="FDE9D9"/>
                  <w:noWrap/>
                  <w:vAlign w:val="center"/>
                  <w:hideMark/>
                </w:tcPr>
                <w:p w14:paraId="719514CC"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4.06 </w:t>
                  </w:r>
                </w:p>
              </w:tc>
              <w:tc>
                <w:tcPr>
                  <w:tcW w:w="1040" w:type="dxa"/>
                  <w:tcBorders>
                    <w:top w:val="nil"/>
                    <w:left w:val="nil"/>
                    <w:bottom w:val="single" w:sz="8" w:space="0" w:color="FFFFFF"/>
                    <w:right w:val="single" w:sz="8" w:space="0" w:color="FFFFFF"/>
                  </w:tcBorders>
                  <w:shd w:val="clear" w:color="000000" w:fill="FDE9D9"/>
                  <w:noWrap/>
                  <w:vAlign w:val="center"/>
                  <w:hideMark/>
                </w:tcPr>
                <w:p w14:paraId="7F4BD329"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4.26 </w:t>
                  </w:r>
                </w:p>
              </w:tc>
              <w:tc>
                <w:tcPr>
                  <w:tcW w:w="1040" w:type="dxa"/>
                  <w:tcBorders>
                    <w:top w:val="nil"/>
                    <w:left w:val="nil"/>
                    <w:bottom w:val="single" w:sz="8" w:space="0" w:color="FFFFFF"/>
                    <w:right w:val="single" w:sz="8" w:space="0" w:color="FFFFFF"/>
                  </w:tcBorders>
                  <w:shd w:val="clear" w:color="000000" w:fill="FDE9D9"/>
                  <w:noWrap/>
                  <w:vAlign w:val="center"/>
                  <w:hideMark/>
                </w:tcPr>
                <w:p w14:paraId="1AF0D23E"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6.55 </w:t>
                  </w:r>
                </w:p>
              </w:tc>
              <w:tc>
                <w:tcPr>
                  <w:tcW w:w="1040" w:type="dxa"/>
                  <w:tcBorders>
                    <w:top w:val="nil"/>
                    <w:left w:val="nil"/>
                    <w:bottom w:val="single" w:sz="8" w:space="0" w:color="FFFFFF"/>
                    <w:right w:val="single" w:sz="8" w:space="0" w:color="FFFFFF"/>
                  </w:tcBorders>
                  <w:shd w:val="clear" w:color="000000" w:fill="FDE9D9"/>
                  <w:noWrap/>
                  <w:vAlign w:val="center"/>
                  <w:hideMark/>
                </w:tcPr>
                <w:p w14:paraId="23BE623A" w14:textId="77777777" w:rsidR="00051876" w:rsidRPr="00051876" w:rsidRDefault="00051876" w:rsidP="00051876">
                  <w:pPr>
                    <w:widowControl/>
                    <w:jc w:val="center"/>
                    <w:rPr>
                      <w:rFonts w:ascii="楷体" w:eastAsia="楷体" w:hAnsi="楷体" w:cs="宋体"/>
                      <w:color w:val="000000"/>
                      <w:kern w:val="0"/>
                      <w:sz w:val="16"/>
                      <w:szCs w:val="16"/>
                    </w:rPr>
                  </w:pPr>
                  <w:proofErr w:type="gramStart"/>
                  <w:r w:rsidRPr="00051876">
                    <w:rPr>
                      <w:rFonts w:ascii="楷体" w:eastAsia="楷体" w:hAnsi="楷体" w:cs="宋体" w:hint="eastAsia"/>
                      <w:color w:val="000000"/>
                      <w:kern w:val="0"/>
                      <w:sz w:val="16"/>
                      <w:szCs w:val="16"/>
                    </w:rPr>
                    <w:t>城投债</w:t>
                  </w:r>
                  <w:proofErr w:type="gramEnd"/>
                  <w:r w:rsidRPr="00051876">
                    <w:rPr>
                      <w:rFonts w:ascii="楷体" w:eastAsia="楷体" w:hAnsi="楷体" w:cs="宋体" w:hint="eastAsia"/>
                      <w:color w:val="000000"/>
                      <w:kern w:val="0"/>
                      <w:sz w:val="16"/>
                      <w:szCs w:val="16"/>
                    </w:rPr>
                    <w:t>5Y</w:t>
                  </w:r>
                </w:p>
              </w:tc>
              <w:tc>
                <w:tcPr>
                  <w:tcW w:w="1040" w:type="dxa"/>
                  <w:tcBorders>
                    <w:top w:val="nil"/>
                    <w:left w:val="nil"/>
                    <w:bottom w:val="single" w:sz="8" w:space="0" w:color="FFFFFF"/>
                    <w:right w:val="single" w:sz="8" w:space="0" w:color="FFFFFF"/>
                  </w:tcBorders>
                  <w:shd w:val="clear" w:color="000000" w:fill="FDE9D9"/>
                  <w:noWrap/>
                  <w:vAlign w:val="center"/>
                  <w:hideMark/>
                </w:tcPr>
                <w:p w14:paraId="59CB0C68"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1.00 </w:t>
                  </w:r>
                </w:p>
              </w:tc>
              <w:tc>
                <w:tcPr>
                  <w:tcW w:w="1040" w:type="dxa"/>
                  <w:tcBorders>
                    <w:top w:val="nil"/>
                    <w:left w:val="nil"/>
                    <w:bottom w:val="single" w:sz="8" w:space="0" w:color="FFFFFF"/>
                    <w:right w:val="single" w:sz="8" w:space="0" w:color="FFFFFF"/>
                  </w:tcBorders>
                  <w:shd w:val="clear" w:color="000000" w:fill="FDE9D9"/>
                  <w:noWrap/>
                  <w:vAlign w:val="center"/>
                  <w:hideMark/>
                </w:tcPr>
                <w:p w14:paraId="5DA7DA9B"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1.18 </w:t>
                  </w:r>
                </w:p>
              </w:tc>
              <w:tc>
                <w:tcPr>
                  <w:tcW w:w="1040" w:type="dxa"/>
                  <w:tcBorders>
                    <w:top w:val="nil"/>
                    <w:left w:val="nil"/>
                    <w:bottom w:val="single" w:sz="8" w:space="0" w:color="FFFFFF"/>
                    <w:right w:val="single" w:sz="8" w:space="0" w:color="FFFFFF"/>
                  </w:tcBorders>
                  <w:shd w:val="clear" w:color="000000" w:fill="FDE9D9"/>
                  <w:noWrap/>
                  <w:vAlign w:val="center"/>
                  <w:hideMark/>
                </w:tcPr>
                <w:p w14:paraId="0B7A4A92"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1.38 </w:t>
                  </w:r>
                </w:p>
              </w:tc>
              <w:tc>
                <w:tcPr>
                  <w:tcW w:w="1040" w:type="dxa"/>
                  <w:tcBorders>
                    <w:top w:val="nil"/>
                    <w:left w:val="nil"/>
                    <w:bottom w:val="single" w:sz="8" w:space="0" w:color="FFFFFF"/>
                    <w:right w:val="single" w:sz="8" w:space="0" w:color="FFFFFF"/>
                  </w:tcBorders>
                  <w:shd w:val="clear" w:color="000000" w:fill="FDE9D9"/>
                  <w:noWrap/>
                  <w:vAlign w:val="center"/>
                  <w:hideMark/>
                </w:tcPr>
                <w:p w14:paraId="6D8B89D8"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3.67 </w:t>
                  </w:r>
                </w:p>
              </w:tc>
            </w:tr>
            <w:tr w:rsidR="00051876" w:rsidRPr="00051876" w14:paraId="6F207F37" w14:textId="77777777" w:rsidTr="00051876">
              <w:trPr>
                <w:trHeight w:val="300"/>
              </w:trPr>
              <w:tc>
                <w:tcPr>
                  <w:tcW w:w="1288" w:type="dxa"/>
                  <w:tcBorders>
                    <w:top w:val="nil"/>
                    <w:left w:val="nil"/>
                    <w:bottom w:val="nil"/>
                    <w:right w:val="nil"/>
                  </w:tcBorders>
                  <w:shd w:val="clear" w:color="000000" w:fill="FCD5B4"/>
                  <w:noWrap/>
                  <w:vAlign w:val="center"/>
                  <w:hideMark/>
                </w:tcPr>
                <w:p w14:paraId="7246C64E" w14:textId="77777777" w:rsidR="00051876" w:rsidRPr="00051876" w:rsidRDefault="00051876" w:rsidP="00051876">
                  <w:pPr>
                    <w:widowControl/>
                    <w:jc w:val="center"/>
                    <w:rPr>
                      <w:rFonts w:ascii="楷体" w:eastAsia="楷体" w:hAnsi="楷体" w:cs="宋体"/>
                      <w:color w:val="000000"/>
                      <w:kern w:val="0"/>
                      <w:sz w:val="16"/>
                      <w:szCs w:val="16"/>
                    </w:rPr>
                  </w:pPr>
                  <w:proofErr w:type="gramStart"/>
                  <w:r w:rsidRPr="00051876">
                    <w:rPr>
                      <w:rFonts w:ascii="楷体" w:eastAsia="楷体" w:hAnsi="楷体" w:cs="宋体" w:hint="eastAsia"/>
                      <w:color w:val="000000"/>
                      <w:kern w:val="0"/>
                      <w:sz w:val="16"/>
                      <w:szCs w:val="16"/>
                    </w:rPr>
                    <w:t>城投债</w:t>
                  </w:r>
                  <w:proofErr w:type="gramEnd"/>
                  <w:r w:rsidRPr="00051876">
                    <w:rPr>
                      <w:rFonts w:ascii="楷体" w:eastAsia="楷体" w:hAnsi="楷体" w:cs="宋体" w:hint="eastAsia"/>
                      <w:color w:val="000000"/>
                      <w:kern w:val="0"/>
                      <w:sz w:val="16"/>
                      <w:szCs w:val="16"/>
                    </w:rPr>
                    <w:t>7Y</w:t>
                  </w:r>
                </w:p>
              </w:tc>
              <w:tc>
                <w:tcPr>
                  <w:tcW w:w="1040" w:type="dxa"/>
                  <w:tcBorders>
                    <w:top w:val="nil"/>
                    <w:left w:val="nil"/>
                    <w:bottom w:val="single" w:sz="8" w:space="0" w:color="FFFFFF"/>
                    <w:right w:val="single" w:sz="8" w:space="0" w:color="FFFFFF"/>
                  </w:tcBorders>
                  <w:shd w:val="clear" w:color="000000" w:fill="FCD5B4"/>
                  <w:noWrap/>
                  <w:vAlign w:val="center"/>
                  <w:hideMark/>
                </w:tcPr>
                <w:p w14:paraId="2032807F"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4.00 </w:t>
                  </w:r>
                </w:p>
              </w:tc>
              <w:tc>
                <w:tcPr>
                  <w:tcW w:w="1040" w:type="dxa"/>
                  <w:tcBorders>
                    <w:top w:val="nil"/>
                    <w:left w:val="nil"/>
                    <w:bottom w:val="single" w:sz="8" w:space="0" w:color="FFFFFF"/>
                    <w:right w:val="single" w:sz="8" w:space="0" w:color="FFFFFF"/>
                  </w:tcBorders>
                  <w:shd w:val="clear" w:color="000000" w:fill="FCD5B4"/>
                  <w:noWrap/>
                  <w:vAlign w:val="center"/>
                  <w:hideMark/>
                </w:tcPr>
                <w:p w14:paraId="4C7839D0"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4.18 </w:t>
                  </w:r>
                </w:p>
              </w:tc>
              <w:tc>
                <w:tcPr>
                  <w:tcW w:w="1040" w:type="dxa"/>
                  <w:tcBorders>
                    <w:top w:val="nil"/>
                    <w:left w:val="nil"/>
                    <w:bottom w:val="single" w:sz="8" w:space="0" w:color="FFFFFF"/>
                    <w:right w:val="single" w:sz="8" w:space="0" w:color="FFFFFF"/>
                  </w:tcBorders>
                  <w:shd w:val="clear" w:color="000000" w:fill="FCD5B4"/>
                  <w:noWrap/>
                  <w:vAlign w:val="center"/>
                  <w:hideMark/>
                </w:tcPr>
                <w:p w14:paraId="3B4ECAD0"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4.50 </w:t>
                  </w:r>
                </w:p>
              </w:tc>
              <w:tc>
                <w:tcPr>
                  <w:tcW w:w="1040" w:type="dxa"/>
                  <w:tcBorders>
                    <w:top w:val="nil"/>
                    <w:left w:val="nil"/>
                    <w:bottom w:val="single" w:sz="8" w:space="0" w:color="FFFFFF"/>
                    <w:right w:val="single" w:sz="8" w:space="0" w:color="FFFFFF"/>
                  </w:tcBorders>
                  <w:shd w:val="clear" w:color="000000" w:fill="FCD5B4"/>
                  <w:noWrap/>
                  <w:vAlign w:val="center"/>
                  <w:hideMark/>
                </w:tcPr>
                <w:p w14:paraId="58C756C4"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6.90 </w:t>
                  </w:r>
                </w:p>
              </w:tc>
              <w:tc>
                <w:tcPr>
                  <w:tcW w:w="1040" w:type="dxa"/>
                  <w:tcBorders>
                    <w:top w:val="nil"/>
                    <w:left w:val="nil"/>
                    <w:bottom w:val="nil"/>
                    <w:right w:val="nil"/>
                  </w:tcBorders>
                  <w:shd w:val="clear" w:color="000000" w:fill="FCD5B4"/>
                  <w:noWrap/>
                  <w:vAlign w:val="center"/>
                  <w:hideMark/>
                </w:tcPr>
                <w:p w14:paraId="725888CC" w14:textId="77777777" w:rsidR="00051876" w:rsidRPr="00051876" w:rsidRDefault="00051876" w:rsidP="00051876">
                  <w:pPr>
                    <w:widowControl/>
                    <w:jc w:val="center"/>
                    <w:rPr>
                      <w:rFonts w:ascii="楷体" w:eastAsia="楷体" w:hAnsi="楷体" w:cs="宋体"/>
                      <w:color w:val="000000"/>
                      <w:kern w:val="0"/>
                      <w:sz w:val="16"/>
                      <w:szCs w:val="16"/>
                    </w:rPr>
                  </w:pPr>
                  <w:proofErr w:type="gramStart"/>
                  <w:r w:rsidRPr="00051876">
                    <w:rPr>
                      <w:rFonts w:ascii="楷体" w:eastAsia="楷体" w:hAnsi="楷体" w:cs="宋体" w:hint="eastAsia"/>
                      <w:color w:val="000000"/>
                      <w:kern w:val="0"/>
                      <w:sz w:val="16"/>
                      <w:szCs w:val="16"/>
                    </w:rPr>
                    <w:t>城投债</w:t>
                  </w:r>
                  <w:proofErr w:type="gramEnd"/>
                  <w:r w:rsidRPr="00051876">
                    <w:rPr>
                      <w:rFonts w:ascii="楷体" w:eastAsia="楷体" w:hAnsi="楷体" w:cs="宋体" w:hint="eastAsia"/>
                      <w:color w:val="000000"/>
                      <w:kern w:val="0"/>
                      <w:sz w:val="16"/>
                      <w:szCs w:val="16"/>
                    </w:rPr>
                    <w:t>7Y</w:t>
                  </w:r>
                </w:p>
              </w:tc>
              <w:tc>
                <w:tcPr>
                  <w:tcW w:w="1040" w:type="dxa"/>
                  <w:tcBorders>
                    <w:top w:val="nil"/>
                    <w:left w:val="nil"/>
                    <w:bottom w:val="single" w:sz="8" w:space="0" w:color="FFFFFF"/>
                    <w:right w:val="single" w:sz="8" w:space="0" w:color="FFFFFF"/>
                  </w:tcBorders>
                  <w:shd w:val="clear" w:color="000000" w:fill="FCD5B4"/>
                  <w:noWrap/>
                  <w:vAlign w:val="center"/>
                  <w:hideMark/>
                </w:tcPr>
                <w:p w14:paraId="4984F404"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0.97 </w:t>
                  </w:r>
                </w:p>
              </w:tc>
              <w:tc>
                <w:tcPr>
                  <w:tcW w:w="1040" w:type="dxa"/>
                  <w:tcBorders>
                    <w:top w:val="nil"/>
                    <w:left w:val="nil"/>
                    <w:bottom w:val="single" w:sz="8" w:space="0" w:color="FFFFFF"/>
                    <w:right w:val="single" w:sz="8" w:space="0" w:color="FFFFFF"/>
                  </w:tcBorders>
                  <w:shd w:val="clear" w:color="000000" w:fill="FCD5B4"/>
                  <w:noWrap/>
                  <w:vAlign w:val="center"/>
                  <w:hideMark/>
                </w:tcPr>
                <w:p w14:paraId="0C922BAD"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1.15 </w:t>
                  </w:r>
                </w:p>
              </w:tc>
              <w:tc>
                <w:tcPr>
                  <w:tcW w:w="1040" w:type="dxa"/>
                  <w:tcBorders>
                    <w:top w:val="nil"/>
                    <w:left w:val="nil"/>
                    <w:bottom w:val="single" w:sz="8" w:space="0" w:color="FFFFFF"/>
                    <w:right w:val="single" w:sz="8" w:space="0" w:color="FFFFFF"/>
                  </w:tcBorders>
                  <w:shd w:val="clear" w:color="000000" w:fill="FCD5B4"/>
                  <w:noWrap/>
                  <w:vAlign w:val="center"/>
                  <w:hideMark/>
                </w:tcPr>
                <w:p w14:paraId="5EA246BD"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1.47 </w:t>
                  </w:r>
                </w:p>
              </w:tc>
              <w:tc>
                <w:tcPr>
                  <w:tcW w:w="1040" w:type="dxa"/>
                  <w:tcBorders>
                    <w:top w:val="nil"/>
                    <w:left w:val="nil"/>
                    <w:bottom w:val="single" w:sz="8" w:space="0" w:color="FFFFFF"/>
                    <w:right w:val="single" w:sz="8" w:space="0" w:color="FFFFFF"/>
                  </w:tcBorders>
                  <w:shd w:val="clear" w:color="000000" w:fill="FCD5B4"/>
                  <w:noWrap/>
                  <w:vAlign w:val="center"/>
                  <w:hideMark/>
                </w:tcPr>
                <w:p w14:paraId="1280B806"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3.87 </w:t>
                  </w:r>
                </w:p>
              </w:tc>
            </w:tr>
            <w:tr w:rsidR="00051876" w:rsidRPr="00051876" w14:paraId="33D3C389" w14:textId="77777777" w:rsidTr="00051876">
              <w:trPr>
                <w:trHeight w:val="150"/>
              </w:trPr>
              <w:tc>
                <w:tcPr>
                  <w:tcW w:w="1288" w:type="dxa"/>
                  <w:tcBorders>
                    <w:top w:val="nil"/>
                    <w:left w:val="nil"/>
                    <w:bottom w:val="nil"/>
                    <w:right w:val="nil"/>
                  </w:tcBorders>
                  <w:shd w:val="clear" w:color="auto" w:fill="auto"/>
                  <w:noWrap/>
                  <w:vAlign w:val="center"/>
                  <w:hideMark/>
                </w:tcPr>
                <w:p w14:paraId="4CBD544B" w14:textId="77777777" w:rsidR="00051876" w:rsidRPr="00051876" w:rsidRDefault="00051876" w:rsidP="00051876">
                  <w:pPr>
                    <w:widowControl/>
                    <w:jc w:val="center"/>
                    <w:rPr>
                      <w:rFonts w:eastAsia="等线" w:cs="Calibri"/>
                      <w:color w:val="000000"/>
                      <w:kern w:val="0"/>
                      <w:sz w:val="16"/>
                      <w:szCs w:val="16"/>
                    </w:rPr>
                  </w:pPr>
                </w:p>
              </w:tc>
              <w:tc>
                <w:tcPr>
                  <w:tcW w:w="1040" w:type="dxa"/>
                  <w:tcBorders>
                    <w:top w:val="nil"/>
                    <w:left w:val="nil"/>
                    <w:bottom w:val="nil"/>
                    <w:right w:val="nil"/>
                  </w:tcBorders>
                  <w:shd w:val="clear" w:color="auto" w:fill="auto"/>
                  <w:noWrap/>
                  <w:vAlign w:val="center"/>
                  <w:hideMark/>
                </w:tcPr>
                <w:p w14:paraId="1657B011" w14:textId="77777777" w:rsidR="00051876" w:rsidRPr="00051876" w:rsidRDefault="00051876" w:rsidP="00051876">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hideMark/>
                </w:tcPr>
                <w:p w14:paraId="3D0A4874" w14:textId="77777777" w:rsidR="00051876" w:rsidRPr="00051876" w:rsidRDefault="00051876" w:rsidP="00051876">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hideMark/>
                </w:tcPr>
                <w:p w14:paraId="4E8A6088" w14:textId="77777777" w:rsidR="00051876" w:rsidRPr="00051876" w:rsidRDefault="00051876" w:rsidP="00051876">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hideMark/>
                </w:tcPr>
                <w:p w14:paraId="2DA62BCE" w14:textId="77777777" w:rsidR="00051876" w:rsidRPr="00051876" w:rsidRDefault="00051876" w:rsidP="00051876">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hideMark/>
                </w:tcPr>
                <w:p w14:paraId="5AEB54FA" w14:textId="77777777" w:rsidR="00051876" w:rsidRPr="00051876" w:rsidRDefault="00051876" w:rsidP="00051876">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hideMark/>
                </w:tcPr>
                <w:p w14:paraId="1127DE2E" w14:textId="77777777" w:rsidR="00051876" w:rsidRPr="00051876" w:rsidRDefault="00051876" w:rsidP="00051876">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hideMark/>
                </w:tcPr>
                <w:p w14:paraId="418338A4" w14:textId="77777777" w:rsidR="00051876" w:rsidRPr="00051876" w:rsidRDefault="00051876" w:rsidP="00051876">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hideMark/>
                </w:tcPr>
                <w:p w14:paraId="6220D2AD" w14:textId="77777777" w:rsidR="00051876" w:rsidRPr="00051876" w:rsidRDefault="00051876" w:rsidP="00051876">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hideMark/>
                </w:tcPr>
                <w:p w14:paraId="203F34A8" w14:textId="77777777" w:rsidR="00051876" w:rsidRPr="00051876" w:rsidRDefault="00051876" w:rsidP="00051876">
                  <w:pPr>
                    <w:widowControl/>
                    <w:jc w:val="center"/>
                    <w:rPr>
                      <w:rFonts w:ascii="Times New Roman" w:eastAsia="Times New Roman" w:hAnsi="Times New Roman"/>
                      <w:kern w:val="0"/>
                      <w:sz w:val="16"/>
                      <w:szCs w:val="16"/>
                    </w:rPr>
                  </w:pPr>
                </w:p>
              </w:tc>
            </w:tr>
            <w:tr w:rsidR="00051876" w:rsidRPr="00051876" w14:paraId="7A970C03" w14:textId="77777777" w:rsidTr="00051876">
              <w:trPr>
                <w:trHeight w:val="300"/>
              </w:trPr>
              <w:tc>
                <w:tcPr>
                  <w:tcW w:w="1288" w:type="dxa"/>
                  <w:tcBorders>
                    <w:top w:val="nil"/>
                    <w:left w:val="nil"/>
                    <w:bottom w:val="single" w:sz="12" w:space="0" w:color="FFFFFF"/>
                    <w:right w:val="single" w:sz="8" w:space="0" w:color="FFFFFF"/>
                  </w:tcBorders>
                  <w:shd w:val="clear" w:color="000000" w:fill="F79646"/>
                  <w:noWrap/>
                  <w:vAlign w:val="center"/>
                  <w:hideMark/>
                </w:tcPr>
                <w:p w14:paraId="5E012294" w14:textId="77777777" w:rsidR="00051876" w:rsidRPr="00051876" w:rsidRDefault="00051876" w:rsidP="00051876">
                  <w:pPr>
                    <w:widowControl/>
                    <w:jc w:val="center"/>
                    <w:rPr>
                      <w:rFonts w:ascii="楷体" w:eastAsia="楷体" w:hAnsi="楷体" w:cs="宋体"/>
                      <w:b/>
                      <w:bCs/>
                      <w:color w:val="FFFFFF"/>
                      <w:kern w:val="0"/>
                      <w:sz w:val="16"/>
                      <w:szCs w:val="16"/>
                    </w:rPr>
                  </w:pPr>
                  <w:proofErr w:type="gramStart"/>
                  <w:r w:rsidRPr="00051876">
                    <w:rPr>
                      <w:rFonts w:ascii="楷体" w:eastAsia="楷体" w:hAnsi="楷体" w:cs="宋体" w:hint="eastAsia"/>
                      <w:b/>
                      <w:bCs/>
                      <w:color w:val="FFFFFF"/>
                      <w:kern w:val="0"/>
                      <w:sz w:val="16"/>
                      <w:szCs w:val="16"/>
                    </w:rPr>
                    <w:t>周变化</w:t>
                  </w:r>
                  <w:proofErr w:type="gramEnd"/>
                  <w:r w:rsidRPr="00051876">
                    <w:rPr>
                      <w:rFonts w:ascii="楷体" w:eastAsia="楷体" w:hAnsi="楷体" w:cs="宋体" w:hint="eastAsia"/>
                      <w:b/>
                      <w:bCs/>
                      <w:color w:val="FFFFFF"/>
                      <w:kern w:val="0"/>
                      <w:sz w:val="16"/>
                      <w:szCs w:val="16"/>
                    </w:rPr>
                    <w:t>(BP)</w:t>
                  </w:r>
                </w:p>
              </w:tc>
              <w:tc>
                <w:tcPr>
                  <w:tcW w:w="1040" w:type="dxa"/>
                  <w:tcBorders>
                    <w:top w:val="nil"/>
                    <w:left w:val="nil"/>
                    <w:bottom w:val="single" w:sz="12" w:space="0" w:color="FFFFFF"/>
                    <w:right w:val="single" w:sz="8" w:space="0" w:color="FFFFFF"/>
                  </w:tcBorders>
                  <w:shd w:val="clear" w:color="000000" w:fill="F79646"/>
                  <w:noWrap/>
                  <w:vAlign w:val="center"/>
                  <w:hideMark/>
                </w:tcPr>
                <w:p w14:paraId="6C98705D"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2F1B8F81"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4F5D1B1C"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41E5D371"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28ED80D3"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息差</w:t>
                  </w:r>
                </w:p>
              </w:tc>
              <w:tc>
                <w:tcPr>
                  <w:tcW w:w="1040" w:type="dxa"/>
                  <w:tcBorders>
                    <w:top w:val="nil"/>
                    <w:left w:val="nil"/>
                    <w:bottom w:val="single" w:sz="12" w:space="0" w:color="FFFFFF"/>
                    <w:right w:val="single" w:sz="8" w:space="0" w:color="FFFFFF"/>
                  </w:tcBorders>
                  <w:shd w:val="clear" w:color="000000" w:fill="F79646"/>
                  <w:noWrap/>
                  <w:vAlign w:val="center"/>
                  <w:hideMark/>
                </w:tcPr>
                <w:p w14:paraId="3A73F246"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0D22362F"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748558E0"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3AAF853B"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w:t>
                  </w:r>
                </w:p>
              </w:tc>
            </w:tr>
            <w:tr w:rsidR="00051876" w:rsidRPr="00051876" w14:paraId="0BCB2E9B" w14:textId="77777777" w:rsidTr="00051876">
              <w:trPr>
                <w:trHeight w:val="315"/>
              </w:trPr>
              <w:tc>
                <w:tcPr>
                  <w:tcW w:w="1288" w:type="dxa"/>
                  <w:tcBorders>
                    <w:top w:val="nil"/>
                    <w:left w:val="nil"/>
                    <w:bottom w:val="single" w:sz="8" w:space="0" w:color="FFFFFF"/>
                    <w:right w:val="single" w:sz="8" w:space="0" w:color="FFFFFF"/>
                  </w:tcBorders>
                  <w:shd w:val="clear" w:color="000000" w:fill="FCD5B4"/>
                  <w:noWrap/>
                  <w:vAlign w:val="center"/>
                  <w:hideMark/>
                </w:tcPr>
                <w:p w14:paraId="0FB4B84B"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CP</w:t>
                  </w:r>
                </w:p>
              </w:tc>
              <w:tc>
                <w:tcPr>
                  <w:tcW w:w="1040" w:type="dxa"/>
                  <w:tcBorders>
                    <w:top w:val="nil"/>
                    <w:left w:val="nil"/>
                    <w:bottom w:val="single" w:sz="8" w:space="0" w:color="FFFFFF"/>
                    <w:right w:val="single" w:sz="8" w:space="0" w:color="FFFFFF"/>
                  </w:tcBorders>
                  <w:shd w:val="clear" w:color="000000" w:fill="FCD5B4"/>
                  <w:noWrap/>
                  <w:vAlign w:val="center"/>
                  <w:hideMark/>
                </w:tcPr>
                <w:p w14:paraId="230EC9A0"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5.6 </w:t>
                  </w:r>
                </w:p>
              </w:tc>
              <w:tc>
                <w:tcPr>
                  <w:tcW w:w="1040" w:type="dxa"/>
                  <w:tcBorders>
                    <w:top w:val="nil"/>
                    <w:left w:val="nil"/>
                    <w:bottom w:val="single" w:sz="8" w:space="0" w:color="FFFFFF"/>
                    <w:right w:val="single" w:sz="8" w:space="0" w:color="FFFFFF"/>
                  </w:tcBorders>
                  <w:shd w:val="clear" w:color="000000" w:fill="FCD5B4"/>
                  <w:noWrap/>
                  <w:vAlign w:val="center"/>
                  <w:hideMark/>
                </w:tcPr>
                <w:p w14:paraId="0959B155"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4.6 </w:t>
                  </w:r>
                </w:p>
              </w:tc>
              <w:tc>
                <w:tcPr>
                  <w:tcW w:w="1040" w:type="dxa"/>
                  <w:tcBorders>
                    <w:top w:val="nil"/>
                    <w:left w:val="nil"/>
                    <w:bottom w:val="single" w:sz="8" w:space="0" w:color="FFFFFF"/>
                    <w:right w:val="single" w:sz="8" w:space="0" w:color="FFFFFF"/>
                  </w:tcBorders>
                  <w:shd w:val="clear" w:color="000000" w:fill="FCD5B4"/>
                  <w:noWrap/>
                  <w:vAlign w:val="center"/>
                  <w:hideMark/>
                </w:tcPr>
                <w:p w14:paraId="50F4B1D1"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3.6 </w:t>
                  </w:r>
                </w:p>
              </w:tc>
              <w:tc>
                <w:tcPr>
                  <w:tcW w:w="1040" w:type="dxa"/>
                  <w:tcBorders>
                    <w:top w:val="nil"/>
                    <w:left w:val="nil"/>
                    <w:bottom w:val="single" w:sz="8" w:space="0" w:color="FFFFFF"/>
                    <w:right w:val="single" w:sz="8" w:space="0" w:color="FFFFFF"/>
                  </w:tcBorders>
                  <w:shd w:val="clear" w:color="000000" w:fill="FCD5B4"/>
                  <w:noWrap/>
                  <w:vAlign w:val="center"/>
                  <w:hideMark/>
                </w:tcPr>
                <w:p w14:paraId="565671A5"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4.6 </w:t>
                  </w:r>
                </w:p>
              </w:tc>
              <w:tc>
                <w:tcPr>
                  <w:tcW w:w="1040" w:type="dxa"/>
                  <w:tcBorders>
                    <w:top w:val="nil"/>
                    <w:left w:val="nil"/>
                    <w:bottom w:val="single" w:sz="8" w:space="0" w:color="FFFFFF"/>
                    <w:right w:val="single" w:sz="8" w:space="0" w:color="FFFFFF"/>
                  </w:tcBorders>
                  <w:shd w:val="clear" w:color="000000" w:fill="FCD5B4"/>
                  <w:noWrap/>
                  <w:vAlign w:val="center"/>
                  <w:hideMark/>
                </w:tcPr>
                <w:p w14:paraId="4D52B529"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CP</w:t>
                  </w:r>
                </w:p>
              </w:tc>
              <w:tc>
                <w:tcPr>
                  <w:tcW w:w="1040" w:type="dxa"/>
                  <w:tcBorders>
                    <w:top w:val="nil"/>
                    <w:left w:val="nil"/>
                    <w:bottom w:val="single" w:sz="8" w:space="0" w:color="FFFFFF"/>
                    <w:right w:val="single" w:sz="8" w:space="0" w:color="FFFFFF"/>
                  </w:tcBorders>
                  <w:shd w:val="clear" w:color="000000" w:fill="FCD5B4"/>
                  <w:noWrap/>
                  <w:vAlign w:val="center"/>
                  <w:hideMark/>
                </w:tcPr>
                <w:p w14:paraId="78FCC726"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-10.4 </w:t>
                  </w:r>
                </w:p>
              </w:tc>
              <w:tc>
                <w:tcPr>
                  <w:tcW w:w="1040" w:type="dxa"/>
                  <w:tcBorders>
                    <w:top w:val="nil"/>
                    <w:left w:val="nil"/>
                    <w:bottom w:val="single" w:sz="8" w:space="0" w:color="FFFFFF"/>
                    <w:right w:val="single" w:sz="8" w:space="0" w:color="FFFFFF"/>
                  </w:tcBorders>
                  <w:shd w:val="clear" w:color="000000" w:fill="FCD5B4"/>
                  <w:noWrap/>
                  <w:vAlign w:val="center"/>
                  <w:hideMark/>
                </w:tcPr>
                <w:p w14:paraId="1470F42B"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-11.4 </w:t>
                  </w:r>
                </w:p>
              </w:tc>
              <w:tc>
                <w:tcPr>
                  <w:tcW w:w="1040" w:type="dxa"/>
                  <w:tcBorders>
                    <w:top w:val="nil"/>
                    <w:left w:val="nil"/>
                    <w:bottom w:val="single" w:sz="8" w:space="0" w:color="FFFFFF"/>
                    <w:right w:val="single" w:sz="8" w:space="0" w:color="FFFFFF"/>
                  </w:tcBorders>
                  <w:shd w:val="clear" w:color="000000" w:fill="FCD5B4"/>
                  <w:noWrap/>
                  <w:vAlign w:val="center"/>
                  <w:hideMark/>
                </w:tcPr>
                <w:p w14:paraId="4C53D6BC"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-12.4 </w:t>
                  </w:r>
                </w:p>
              </w:tc>
              <w:tc>
                <w:tcPr>
                  <w:tcW w:w="1040" w:type="dxa"/>
                  <w:tcBorders>
                    <w:top w:val="nil"/>
                    <w:left w:val="nil"/>
                    <w:bottom w:val="single" w:sz="8" w:space="0" w:color="FFFFFF"/>
                    <w:right w:val="single" w:sz="8" w:space="0" w:color="FFFFFF"/>
                  </w:tcBorders>
                  <w:shd w:val="clear" w:color="000000" w:fill="FCD5B4"/>
                  <w:noWrap/>
                  <w:vAlign w:val="center"/>
                  <w:hideMark/>
                </w:tcPr>
                <w:p w14:paraId="4761BE37"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-11.4 </w:t>
                  </w:r>
                </w:p>
              </w:tc>
            </w:tr>
            <w:tr w:rsidR="00051876" w:rsidRPr="00051876" w14:paraId="3F12BFC5" w14:textId="77777777" w:rsidTr="00051876">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0CC7B5FF"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MTN3Y</w:t>
                  </w:r>
                </w:p>
              </w:tc>
              <w:tc>
                <w:tcPr>
                  <w:tcW w:w="1040" w:type="dxa"/>
                  <w:tcBorders>
                    <w:top w:val="nil"/>
                    <w:left w:val="nil"/>
                    <w:bottom w:val="single" w:sz="8" w:space="0" w:color="FFFFFF"/>
                    <w:right w:val="single" w:sz="8" w:space="0" w:color="FFFFFF"/>
                  </w:tcBorders>
                  <w:shd w:val="clear" w:color="000000" w:fill="FDE9D9"/>
                  <w:noWrap/>
                  <w:vAlign w:val="center"/>
                  <w:hideMark/>
                </w:tcPr>
                <w:p w14:paraId="649DA843"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-1.2 </w:t>
                  </w:r>
                </w:p>
              </w:tc>
              <w:tc>
                <w:tcPr>
                  <w:tcW w:w="1040" w:type="dxa"/>
                  <w:tcBorders>
                    <w:top w:val="nil"/>
                    <w:left w:val="nil"/>
                    <w:bottom w:val="single" w:sz="8" w:space="0" w:color="FFFFFF"/>
                    <w:right w:val="single" w:sz="8" w:space="0" w:color="FFFFFF"/>
                  </w:tcBorders>
                  <w:shd w:val="clear" w:color="000000" w:fill="FDE9D9"/>
                  <w:noWrap/>
                  <w:vAlign w:val="center"/>
                  <w:hideMark/>
                </w:tcPr>
                <w:p w14:paraId="0F4D0E20"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-2.2 </w:t>
                  </w:r>
                </w:p>
              </w:tc>
              <w:tc>
                <w:tcPr>
                  <w:tcW w:w="1040" w:type="dxa"/>
                  <w:tcBorders>
                    <w:top w:val="nil"/>
                    <w:left w:val="nil"/>
                    <w:bottom w:val="single" w:sz="8" w:space="0" w:color="FFFFFF"/>
                    <w:right w:val="single" w:sz="8" w:space="0" w:color="FFFFFF"/>
                  </w:tcBorders>
                  <w:shd w:val="clear" w:color="000000" w:fill="FDE9D9"/>
                  <w:noWrap/>
                  <w:vAlign w:val="center"/>
                  <w:hideMark/>
                </w:tcPr>
                <w:p w14:paraId="1A2397CD"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-4.2 </w:t>
                  </w:r>
                </w:p>
              </w:tc>
              <w:tc>
                <w:tcPr>
                  <w:tcW w:w="1040" w:type="dxa"/>
                  <w:tcBorders>
                    <w:top w:val="nil"/>
                    <w:left w:val="nil"/>
                    <w:bottom w:val="single" w:sz="8" w:space="0" w:color="FFFFFF"/>
                    <w:right w:val="single" w:sz="8" w:space="0" w:color="FFFFFF"/>
                  </w:tcBorders>
                  <w:shd w:val="clear" w:color="000000" w:fill="FDE9D9"/>
                  <w:noWrap/>
                  <w:vAlign w:val="center"/>
                  <w:hideMark/>
                </w:tcPr>
                <w:p w14:paraId="62835376"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-3.2 </w:t>
                  </w:r>
                </w:p>
              </w:tc>
              <w:tc>
                <w:tcPr>
                  <w:tcW w:w="1040" w:type="dxa"/>
                  <w:tcBorders>
                    <w:top w:val="nil"/>
                    <w:left w:val="nil"/>
                    <w:bottom w:val="single" w:sz="8" w:space="0" w:color="FFFFFF"/>
                    <w:right w:val="single" w:sz="8" w:space="0" w:color="FFFFFF"/>
                  </w:tcBorders>
                  <w:shd w:val="clear" w:color="000000" w:fill="FDE9D9"/>
                  <w:noWrap/>
                  <w:vAlign w:val="center"/>
                  <w:hideMark/>
                </w:tcPr>
                <w:p w14:paraId="6325B45A"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MTN3Y</w:t>
                  </w:r>
                </w:p>
              </w:tc>
              <w:tc>
                <w:tcPr>
                  <w:tcW w:w="1040" w:type="dxa"/>
                  <w:tcBorders>
                    <w:top w:val="nil"/>
                    <w:left w:val="nil"/>
                    <w:bottom w:val="single" w:sz="8" w:space="0" w:color="FFFFFF"/>
                    <w:right w:val="single" w:sz="8" w:space="0" w:color="FFFFFF"/>
                  </w:tcBorders>
                  <w:shd w:val="clear" w:color="000000" w:fill="FDE9D9"/>
                  <w:noWrap/>
                  <w:vAlign w:val="center"/>
                  <w:hideMark/>
                </w:tcPr>
                <w:p w14:paraId="3884BC69"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-8.9 </w:t>
                  </w:r>
                </w:p>
              </w:tc>
              <w:tc>
                <w:tcPr>
                  <w:tcW w:w="1040" w:type="dxa"/>
                  <w:tcBorders>
                    <w:top w:val="nil"/>
                    <w:left w:val="nil"/>
                    <w:bottom w:val="single" w:sz="8" w:space="0" w:color="FFFFFF"/>
                    <w:right w:val="single" w:sz="8" w:space="0" w:color="FFFFFF"/>
                  </w:tcBorders>
                  <w:shd w:val="clear" w:color="000000" w:fill="FDE9D9"/>
                  <w:noWrap/>
                  <w:vAlign w:val="center"/>
                  <w:hideMark/>
                </w:tcPr>
                <w:p w14:paraId="573CC835"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-9.9 </w:t>
                  </w:r>
                </w:p>
              </w:tc>
              <w:tc>
                <w:tcPr>
                  <w:tcW w:w="1040" w:type="dxa"/>
                  <w:tcBorders>
                    <w:top w:val="nil"/>
                    <w:left w:val="nil"/>
                    <w:bottom w:val="single" w:sz="8" w:space="0" w:color="FFFFFF"/>
                    <w:right w:val="single" w:sz="8" w:space="0" w:color="FFFFFF"/>
                  </w:tcBorders>
                  <w:shd w:val="clear" w:color="000000" w:fill="FDE9D9"/>
                  <w:noWrap/>
                  <w:vAlign w:val="center"/>
                  <w:hideMark/>
                </w:tcPr>
                <w:p w14:paraId="51D97EB5"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-11.9 </w:t>
                  </w:r>
                </w:p>
              </w:tc>
              <w:tc>
                <w:tcPr>
                  <w:tcW w:w="1040" w:type="dxa"/>
                  <w:tcBorders>
                    <w:top w:val="nil"/>
                    <w:left w:val="nil"/>
                    <w:bottom w:val="single" w:sz="8" w:space="0" w:color="FFFFFF"/>
                    <w:right w:val="single" w:sz="8" w:space="0" w:color="FFFFFF"/>
                  </w:tcBorders>
                  <w:shd w:val="clear" w:color="000000" w:fill="FDE9D9"/>
                  <w:noWrap/>
                  <w:vAlign w:val="center"/>
                  <w:hideMark/>
                </w:tcPr>
                <w:p w14:paraId="1FDEBD59"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-10.9 </w:t>
                  </w:r>
                </w:p>
              </w:tc>
            </w:tr>
            <w:tr w:rsidR="00051876" w:rsidRPr="00051876" w14:paraId="16D3BD9F" w14:textId="77777777" w:rsidTr="00051876">
              <w:trPr>
                <w:trHeight w:val="300"/>
              </w:trPr>
              <w:tc>
                <w:tcPr>
                  <w:tcW w:w="1288" w:type="dxa"/>
                  <w:tcBorders>
                    <w:top w:val="nil"/>
                    <w:left w:val="nil"/>
                    <w:bottom w:val="single" w:sz="8" w:space="0" w:color="FFFFFF"/>
                    <w:right w:val="single" w:sz="8" w:space="0" w:color="FFFFFF"/>
                  </w:tcBorders>
                  <w:shd w:val="clear" w:color="000000" w:fill="FCD5B4"/>
                  <w:noWrap/>
                  <w:vAlign w:val="center"/>
                  <w:hideMark/>
                </w:tcPr>
                <w:p w14:paraId="4D53CA7F"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MTN5Y</w:t>
                  </w:r>
                </w:p>
              </w:tc>
              <w:tc>
                <w:tcPr>
                  <w:tcW w:w="1040" w:type="dxa"/>
                  <w:tcBorders>
                    <w:top w:val="nil"/>
                    <w:left w:val="nil"/>
                    <w:bottom w:val="single" w:sz="8" w:space="0" w:color="FFFFFF"/>
                    <w:right w:val="single" w:sz="8" w:space="0" w:color="FFFFFF"/>
                  </w:tcBorders>
                  <w:shd w:val="clear" w:color="000000" w:fill="FCD5B4"/>
                  <w:noWrap/>
                  <w:vAlign w:val="center"/>
                  <w:hideMark/>
                </w:tcPr>
                <w:p w14:paraId="228C537D"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1.6 </w:t>
                  </w:r>
                </w:p>
              </w:tc>
              <w:tc>
                <w:tcPr>
                  <w:tcW w:w="1040" w:type="dxa"/>
                  <w:tcBorders>
                    <w:top w:val="nil"/>
                    <w:left w:val="nil"/>
                    <w:bottom w:val="single" w:sz="8" w:space="0" w:color="FFFFFF"/>
                    <w:right w:val="single" w:sz="8" w:space="0" w:color="FFFFFF"/>
                  </w:tcBorders>
                  <w:shd w:val="clear" w:color="000000" w:fill="FCD5B4"/>
                  <w:noWrap/>
                  <w:vAlign w:val="center"/>
                  <w:hideMark/>
                </w:tcPr>
                <w:p w14:paraId="7C6BA4B8"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-1.4 </w:t>
                  </w:r>
                </w:p>
              </w:tc>
              <w:tc>
                <w:tcPr>
                  <w:tcW w:w="1040" w:type="dxa"/>
                  <w:tcBorders>
                    <w:top w:val="nil"/>
                    <w:left w:val="nil"/>
                    <w:bottom w:val="single" w:sz="8" w:space="0" w:color="FFFFFF"/>
                    <w:right w:val="single" w:sz="8" w:space="0" w:color="FFFFFF"/>
                  </w:tcBorders>
                  <w:shd w:val="clear" w:color="000000" w:fill="FCD5B4"/>
                  <w:noWrap/>
                  <w:vAlign w:val="center"/>
                  <w:hideMark/>
                </w:tcPr>
                <w:p w14:paraId="489B1D88"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0.6 </w:t>
                  </w:r>
                </w:p>
              </w:tc>
              <w:tc>
                <w:tcPr>
                  <w:tcW w:w="1040" w:type="dxa"/>
                  <w:tcBorders>
                    <w:top w:val="nil"/>
                    <w:left w:val="nil"/>
                    <w:bottom w:val="single" w:sz="8" w:space="0" w:color="FFFFFF"/>
                    <w:right w:val="single" w:sz="8" w:space="0" w:color="FFFFFF"/>
                  </w:tcBorders>
                  <w:shd w:val="clear" w:color="000000" w:fill="FCD5B4"/>
                  <w:noWrap/>
                  <w:vAlign w:val="center"/>
                  <w:hideMark/>
                </w:tcPr>
                <w:p w14:paraId="01C8B976"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0.6 </w:t>
                  </w:r>
                </w:p>
              </w:tc>
              <w:tc>
                <w:tcPr>
                  <w:tcW w:w="1040" w:type="dxa"/>
                  <w:tcBorders>
                    <w:top w:val="nil"/>
                    <w:left w:val="nil"/>
                    <w:bottom w:val="single" w:sz="8" w:space="0" w:color="FFFFFF"/>
                    <w:right w:val="single" w:sz="8" w:space="0" w:color="FFFFFF"/>
                  </w:tcBorders>
                  <w:shd w:val="clear" w:color="000000" w:fill="FCD5B4"/>
                  <w:noWrap/>
                  <w:vAlign w:val="center"/>
                  <w:hideMark/>
                </w:tcPr>
                <w:p w14:paraId="0C7F892F"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MTN5Y</w:t>
                  </w:r>
                </w:p>
              </w:tc>
              <w:tc>
                <w:tcPr>
                  <w:tcW w:w="1040" w:type="dxa"/>
                  <w:tcBorders>
                    <w:top w:val="nil"/>
                    <w:left w:val="nil"/>
                    <w:bottom w:val="single" w:sz="8" w:space="0" w:color="FFFFFF"/>
                    <w:right w:val="single" w:sz="8" w:space="0" w:color="FFFFFF"/>
                  </w:tcBorders>
                  <w:shd w:val="clear" w:color="000000" w:fill="FCD5B4"/>
                  <w:noWrap/>
                  <w:vAlign w:val="center"/>
                  <w:hideMark/>
                </w:tcPr>
                <w:p w14:paraId="13BE9517"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-3.9 </w:t>
                  </w:r>
                </w:p>
              </w:tc>
              <w:tc>
                <w:tcPr>
                  <w:tcW w:w="1040" w:type="dxa"/>
                  <w:tcBorders>
                    <w:top w:val="nil"/>
                    <w:left w:val="nil"/>
                    <w:bottom w:val="single" w:sz="8" w:space="0" w:color="FFFFFF"/>
                    <w:right w:val="single" w:sz="8" w:space="0" w:color="FFFFFF"/>
                  </w:tcBorders>
                  <w:shd w:val="clear" w:color="000000" w:fill="FCD5B4"/>
                  <w:noWrap/>
                  <w:vAlign w:val="center"/>
                  <w:hideMark/>
                </w:tcPr>
                <w:p w14:paraId="116A42A1"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-6.9 </w:t>
                  </w:r>
                </w:p>
              </w:tc>
              <w:tc>
                <w:tcPr>
                  <w:tcW w:w="1040" w:type="dxa"/>
                  <w:tcBorders>
                    <w:top w:val="nil"/>
                    <w:left w:val="nil"/>
                    <w:bottom w:val="single" w:sz="8" w:space="0" w:color="FFFFFF"/>
                    <w:right w:val="single" w:sz="8" w:space="0" w:color="FFFFFF"/>
                  </w:tcBorders>
                  <w:shd w:val="clear" w:color="000000" w:fill="FCD5B4"/>
                  <w:noWrap/>
                  <w:vAlign w:val="center"/>
                  <w:hideMark/>
                </w:tcPr>
                <w:p w14:paraId="348AD652"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-4.9 </w:t>
                  </w:r>
                </w:p>
              </w:tc>
              <w:tc>
                <w:tcPr>
                  <w:tcW w:w="1040" w:type="dxa"/>
                  <w:tcBorders>
                    <w:top w:val="nil"/>
                    <w:left w:val="nil"/>
                    <w:bottom w:val="single" w:sz="8" w:space="0" w:color="FFFFFF"/>
                    <w:right w:val="single" w:sz="8" w:space="0" w:color="FFFFFF"/>
                  </w:tcBorders>
                  <w:shd w:val="clear" w:color="000000" w:fill="FCD5B4"/>
                  <w:noWrap/>
                  <w:vAlign w:val="center"/>
                  <w:hideMark/>
                </w:tcPr>
                <w:p w14:paraId="4D4CCFFB"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-4.9 </w:t>
                  </w:r>
                </w:p>
              </w:tc>
            </w:tr>
            <w:tr w:rsidR="00051876" w:rsidRPr="00051876" w14:paraId="19CDCC6E" w14:textId="77777777" w:rsidTr="00051876">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541E2812"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企业债3Y</w:t>
                  </w:r>
                </w:p>
              </w:tc>
              <w:tc>
                <w:tcPr>
                  <w:tcW w:w="1040" w:type="dxa"/>
                  <w:tcBorders>
                    <w:top w:val="nil"/>
                    <w:left w:val="nil"/>
                    <w:bottom w:val="single" w:sz="8" w:space="0" w:color="FFFFFF"/>
                    <w:right w:val="single" w:sz="8" w:space="0" w:color="FFFFFF"/>
                  </w:tcBorders>
                  <w:shd w:val="clear" w:color="000000" w:fill="FDE9D9"/>
                  <w:noWrap/>
                  <w:vAlign w:val="center"/>
                  <w:hideMark/>
                </w:tcPr>
                <w:p w14:paraId="23F413EE"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0.5 </w:t>
                  </w:r>
                </w:p>
              </w:tc>
              <w:tc>
                <w:tcPr>
                  <w:tcW w:w="1040" w:type="dxa"/>
                  <w:tcBorders>
                    <w:top w:val="nil"/>
                    <w:left w:val="nil"/>
                    <w:bottom w:val="single" w:sz="8" w:space="0" w:color="FFFFFF"/>
                    <w:right w:val="single" w:sz="8" w:space="0" w:color="FFFFFF"/>
                  </w:tcBorders>
                  <w:shd w:val="clear" w:color="000000" w:fill="FDE9D9"/>
                  <w:noWrap/>
                  <w:vAlign w:val="center"/>
                  <w:hideMark/>
                </w:tcPr>
                <w:p w14:paraId="65AD5FAF"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-0.5 </w:t>
                  </w:r>
                </w:p>
              </w:tc>
              <w:tc>
                <w:tcPr>
                  <w:tcW w:w="1040" w:type="dxa"/>
                  <w:tcBorders>
                    <w:top w:val="nil"/>
                    <w:left w:val="nil"/>
                    <w:bottom w:val="single" w:sz="8" w:space="0" w:color="FFFFFF"/>
                    <w:right w:val="single" w:sz="8" w:space="0" w:color="FFFFFF"/>
                  </w:tcBorders>
                  <w:shd w:val="clear" w:color="000000" w:fill="FDE9D9"/>
                  <w:noWrap/>
                  <w:vAlign w:val="center"/>
                  <w:hideMark/>
                </w:tcPr>
                <w:p w14:paraId="473CAEB1"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-2.5 </w:t>
                  </w:r>
                </w:p>
              </w:tc>
              <w:tc>
                <w:tcPr>
                  <w:tcW w:w="1040" w:type="dxa"/>
                  <w:tcBorders>
                    <w:top w:val="nil"/>
                    <w:left w:val="nil"/>
                    <w:bottom w:val="single" w:sz="8" w:space="0" w:color="FFFFFF"/>
                    <w:right w:val="single" w:sz="8" w:space="0" w:color="FFFFFF"/>
                  </w:tcBorders>
                  <w:shd w:val="clear" w:color="000000" w:fill="FDE9D9"/>
                  <w:noWrap/>
                  <w:vAlign w:val="center"/>
                  <w:hideMark/>
                </w:tcPr>
                <w:p w14:paraId="7E068846"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-1.5 </w:t>
                  </w:r>
                </w:p>
              </w:tc>
              <w:tc>
                <w:tcPr>
                  <w:tcW w:w="1040" w:type="dxa"/>
                  <w:tcBorders>
                    <w:top w:val="nil"/>
                    <w:left w:val="nil"/>
                    <w:bottom w:val="single" w:sz="8" w:space="0" w:color="FFFFFF"/>
                    <w:right w:val="single" w:sz="8" w:space="0" w:color="FFFFFF"/>
                  </w:tcBorders>
                  <w:shd w:val="clear" w:color="000000" w:fill="FDE9D9"/>
                  <w:noWrap/>
                  <w:vAlign w:val="center"/>
                  <w:hideMark/>
                </w:tcPr>
                <w:p w14:paraId="5BA6ECAD"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企业债3Y</w:t>
                  </w:r>
                </w:p>
              </w:tc>
              <w:tc>
                <w:tcPr>
                  <w:tcW w:w="1040" w:type="dxa"/>
                  <w:tcBorders>
                    <w:top w:val="nil"/>
                    <w:left w:val="nil"/>
                    <w:bottom w:val="single" w:sz="8" w:space="0" w:color="FFFFFF"/>
                    <w:right w:val="single" w:sz="8" w:space="0" w:color="FFFFFF"/>
                  </w:tcBorders>
                  <w:shd w:val="clear" w:color="000000" w:fill="FDE9D9"/>
                  <w:noWrap/>
                  <w:vAlign w:val="center"/>
                  <w:hideMark/>
                </w:tcPr>
                <w:p w14:paraId="2DD27D71"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-7.2 </w:t>
                  </w:r>
                </w:p>
              </w:tc>
              <w:tc>
                <w:tcPr>
                  <w:tcW w:w="1040" w:type="dxa"/>
                  <w:tcBorders>
                    <w:top w:val="nil"/>
                    <w:left w:val="nil"/>
                    <w:bottom w:val="single" w:sz="8" w:space="0" w:color="FFFFFF"/>
                    <w:right w:val="single" w:sz="8" w:space="0" w:color="FFFFFF"/>
                  </w:tcBorders>
                  <w:shd w:val="clear" w:color="000000" w:fill="FDE9D9"/>
                  <w:noWrap/>
                  <w:vAlign w:val="center"/>
                  <w:hideMark/>
                </w:tcPr>
                <w:p w14:paraId="7F2334A9"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-8.2 </w:t>
                  </w:r>
                </w:p>
              </w:tc>
              <w:tc>
                <w:tcPr>
                  <w:tcW w:w="1040" w:type="dxa"/>
                  <w:tcBorders>
                    <w:top w:val="nil"/>
                    <w:left w:val="nil"/>
                    <w:bottom w:val="single" w:sz="8" w:space="0" w:color="FFFFFF"/>
                    <w:right w:val="single" w:sz="8" w:space="0" w:color="FFFFFF"/>
                  </w:tcBorders>
                  <w:shd w:val="clear" w:color="000000" w:fill="FDE9D9"/>
                  <w:noWrap/>
                  <w:vAlign w:val="center"/>
                  <w:hideMark/>
                </w:tcPr>
                <w:p w14:paraId="04A824B8"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-10.2 </w:t>
                  </w:r>
                </w:p>
              </w:tc>
              <w:tc>
                <w:tcPr>
                  <w:tcW w:w="1040" w:type="dxa"/>
                  <w:tcBorders>
                    <w:top w:val="nil"/>
                    <w:left w:val="nil"/>
                    <w:bottom w:val="single" w:sz="8" w:space="0" w:color="FFFFFF"/>
                    <w:right w:val="single" w:sz="8" w:space="0" w:color="FFFFFF"/>
                  </w:tcBorders>
                  <w:shd w:val="clear" w:color="000000" w:fill="FDE9D9"/>
                  <w:noWrap/>
                  <w:vAlign w:val="center"/>
                  <w:hideMark/>
                </w:tcPr>
                <w:p w14:paraId="41955AEB"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-9.2 </w:t>
                  </w:r>
                </w:p>
              </w:tc>
            </w:tr>
            <w:tr w:rsidR="00051876" w:rsidRPr="00051876" w14:paraId="04CECE76" w14:textId="77777777" w:rsidTr="00051876">
              <w:trPr>
                <w:trHeight w:val="300"/>
              </w:trPr>
              <w:tc>
                <w:tcPr>
                  <w:tcW w:w="1288" w:type="dxa"/>
                  <w:tcBorders>
                    <w:top w:val="nil"/>
                    <w:left w:val="nil"/>
                    <w:bottom w:val="single" w:sz="8" w:space="0" w:color="FFFFFF"/>
                    <w:right w:val="single" w:sz="8" w:space="0" w:color="FFFFFF"/>
                  </w:tcBorders>
                  <w:shd w:val="clear" w:color="000000" w:fill="FCD5B4"/>
                  <w:noWrap/>
                  <w:vAlign w:val="center"/>
                  <w:hideMark/>
                </w:tcPr>
                <w:p w14:paraId="07285063"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企业债5Y</w:t>
                  </w:r>
                </w:p>
              </w:tc>
              <w:tc>
                <w:tcPr>
                  <w:tcW w:w="1040" w:type="dxa"/>
                  <w:tcBorders>
                    <w:top w:val="nil"/>
                    <w:left w:val="nil"/>
                    <w:bottom w:val="single" w:sz="8" w:space="0" w:color="FFFFFF"/>
                    <w:right w:val="single" w:sz="8" w:space="0" w:color="FFFFFF"/>
                  </w:tcBorders>
                  <w:shd w:val="clear" w:color="000000" w:fill="FCD5B4"/>
                  <w:noWrap/>
                  <w:vAlign w:val="center"/>
                  <w:hideMark/>
                </w:tcPr>
                <w:p w14:paraId="30A090D3"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1.6 </w:t>
                  </w:r>
                </w:p>
              </w:tc>
              <w:tc>
                <w:tcPr>
                  <w:tcW w:w="1040" w:type="dxa"/>
                  <w:tcBorders>
                    <w:top w:val="nil"/>
                    <w:left w:val="nil"/>
                    <w:bottom w:val="single" w:sz="8" w:space="0" w:color="FFFFFF"/>
                    <w:right w:val="single" w:sz="8" w:space="0" w:color="FFFFFF"/>
                  </w:tcBorders>
                  <w:shd w:val="clear" w:color="000000" w:fill="FCD5B4"/>
                  <w:noWrap/>
                  <w:vAlign w:val="center"/>
                  <w:hideMark/>
                </w:tcPr>
                <w:p w14:paraId="1AE0C499"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-1.4 </w:t>
                  </w:r>
                </w:p>
              </w:tc>
              <w:tc>
                <w:tcPr>
                  <w:tcW w:w="1040" w:type="dxa"/>
                  <w:tcBorders>
                    <w:top w:val="nil"/>
                    <w:left w:val="nil"/>
                    <w:bottom w:val="single" w:sz="8" w:space="0" w:color="FFFFFF"/>
                    <w:right w:val="single" w:sz="8" w:space="0" w:color="FFFFFF"/>
                  </w:tcBorders>
                  <w:shd w:val="clear" w:color="000000" w:fill="FCD5B4"/>
                  <w:noWrap/>
                  <w:vAlign w:val="center"/>
                  <w:hideMark/>
                </w:tcPr>
                <w:p w14:paraId="3BE2E22C"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0.6 </w:t>
                  </w:r>
                </w:p>
              </w:tc>
              <w:tc>
                <w:tcPr>
                  <w:tcW w:w="1040" w:type="dxa"/>
                  <w:tcBorders>
                    <w:top w:val="nil"/>
                    <w:left w:val="nil"/>
                    <w:bottom w:val="single" w:sz="8" w:space="0" w:color="FFFFFF"/>
                    <w:right w:val="single" w:sz="8" w:space="0" w:color="FFFFFF"/>
                  </w:tcBorders>
                  <w:shd w:val="clear" w:color="000000" w:fill="FCD5B4"/>
                  <w:noWrap/>
                  <w:vAlign w:val="center"/>
                  <w:hideMark/>
                </w:tcPr>
                <w:p w14:paraId="0A0B7B7E"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0.6 </w:t>
                  </w:r>
                </w:p>
              </w:tc>
              <w:tc>
                <w:tcPr>
                  <w:tcW w:w="1040" w:type="dxa"/>
                  <w:tcBorders>
                    <w:top w:val="nil"/>
                    <w:left w:val="nil"/>
                    <w:bottom w:val="single" w:sz="8" w:space="0" w:color="FFFFFF"/>
                    <w:right w:val="single" w:sz="8" w:space="0" w:color="FFFFFF"/>
                  </w:tcBorders>
                  <w:shd w:val="clear" w:color="000000" w:fill="FCD5B4"/>
                  <w:noWrap/>
                  <w:vAlign w:val="center"/>
                  <w:hideMark/>
                </w:tcPr>
                <w:p w14:paraId="758D4B84"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企业债5Y</w:t>
                  </w:r>
                </w:p>
              </w:tc>
              <w:tc>
                <w:tcPr>
                  <w:tcW w:w="1040" w:type="dxa"/>
                  <w:tcBorders>
                    <w:top w:val="nil"/>
                    <w:left w:val="nil"/>
                    <w:bottom w:val="single" w:sz="8" w:space="0" w:color="FFFFFF"/>
                    <w:right w:val="single" w:sz="8" w:space="0" w:color="FFFFFF"/>
                  </w:tcBorders>
                  <w:shd w:val="clear" w:color="000000" w:fill="FCD5B4"/>
                  <w:noWrap/>
                  <w:vAlign w:val="center"/>
                  <w:hideMark/>
                </w:tcPr>
                <w:p w14:paraId="4896F061"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-3.9 </w:t>
                  </w:r>
                </w:p>
              </w:tc>
              <w:tc>
                <w:tcPr>
                  <w:tcW w:w="1040" w:type="dxa"/>
                  <w:tcBorders>
                    <w:top w:val="nil"/>
                    <w:left w:val="nil"/>
                    <w:bottom w:val="single" w:sz="8" w:space="0" w:color="FFFFFF"/>
                    <w:right w:val="single" w:sz="8" w:space="0" w:color="FFFFFF"/>
                  </w:tcBorders>
                  <w:shd w:val="clear" w:color="000000" w:fill="FCD5B4"/>
                  <w:noWrap/>
                  <w:vAlign w:val="center"/>
                  <w:hideMark/>
                </w:tcPr>
                <w:p w14:paraId="61908297"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-6.9 </w:t>
                  </w:r>
                </w:p>
              </w:tc>
              <w:tc>
                <w:tcPr>
                  <w:tcW w:w="1040" w:type="dxa"/>
                  <w:tcBorders>
                    <w:top w:val="nil"/>
                    <w:left w:val="nil"/>
                    <w:bottom w:val="single" w:sz="8" w:space="0" w:color="FFFFFF"/>
                    <w:right w:val="single" w:sz="8" w:space="0" w:color="FFFFFF"/>
                  </w:tcBorders>
                  <w:shd w:val="clear" w:color="000000" w:fill="FCD5B4"/>
                  <w:noWrap/>
                  <w:vAlign w:val="center"/>
                  <w:hideMark/>
                </w:tcPr>
                <w:p w14:paraId="7FEED463"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-4.9 </w:t>
                  </w:r>
                </w:p>
              </w:tc>
              <w:tc>
                <w:tcPr>
                  <w:tcW w:w="1040" w:type="dxa"/>
                  <w:tcBorders>
                    <w:top w:val="nil"/>
                    <w:left w:val="nil"/>
                    <w:bottom w:val="single" w:sz="8" w:space="0" w:color="FFFFFF"/>
                    <w:right w:val="single" w:sz="8" w:space="0" w:color="FFFFFF"/>
                  </w:tcBorders>
                  <w:shd w:val="clear" w:color="000000" w:fill="FCD5B4"/>
                  <w:noWrap/>
                  <w:vAlign w:val="center"/>
                  <w:hideMark/>
                </w:tcPr>
                <w:p w14:paraId="0856CBA3"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-4.9 </w:t>
                  </w:r>
                </w:p>
              </w:tc>
            </w:tr>
            <w:tr w:rsidR="00051876" w:rsidRPr="00051876" w14:paraId="3E01AC09" w14:textId="77777777" w:rsidTr="00051876">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0CD338B9"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企业债7Y</w:t>
                  </w:r>
                </w:p>
              </w:tc>
              <w:tc>
                <w:tcPr>
                  <w:tcW w:w="1040" w:type="dxa"/>
                  <w:tcBorders>
                    <w:top w:val="nil"/>
                    <w:left w:val="nil"/>
                    <w:bottom w:val="single" w:sz="8" w:space="0" w:color="FFFFFF"/>
                    <w:right w:val="single" w:sz="8" w:space="0" w:color="FFFFFF"/>
                  </w:tcBorders>
                  <w:shd w:val="clear" w:color="000000" w:fill="FDE9D9"/>
                  <w:noWrap/>
                  <w:vAlign w:val="center"/>
                  <w:hideMark/>
                </w:tcPr>
                <w:p w14:paraId="1E33B8FF"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3.9 </w:t>
                  </w:r>
                </w:p>
              </w:tc>
              <w:tc>
                <w:tcPr>
                  <w:tcW w:w="1040" w:type="dxa"/>
                  <w:tcBorders>
                    <w:top w:val="nil"/>
                    <w:left w:val="nil"/>
                    <w:bottom w:val="single" w:sz="8" w:space="0" w:color="FFFFFF"/>
                    <w:right w:val="single" w:sz="8" w:space="0" w:color="FFFFFF"/>
                  </w:tcBorders>
                  <w:shd w:val="clear" w:color="000000" w:fill="FDE9D9"/>
                  <w:noWrap/>
                  <w:vAlign w:val="center"/>
                  <w:hideMark/>
                </w:tcPr>
                <w:p w14:paraId="414CD36C"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-0.1 </w:t>
                  </w:r>
                </w:p>
              </w:tc>
              <w:tc>
                <w:tcPr>
                  <w:tcW w:w="1040" w:type="dxa"/>
                  <w:tcBorders>
                    <w:top w:val="nil"/>
                    <w:left w:val="nil"/>
                    <w:bottom w:val="single" w:sz="8" w:space="0" w:color="FFFFFF"/>
                    <w:right w:val="single" w:sz="8" w:space="0" w:color="FFFFFF"/>
                  </w:tcBorders>
                  <w:shd w:val="clear" w:color="000000" w:fill="FDE9D9"/>
                  <w:noWrap/>
                  <w:vAlign w:val="center"/>
                  <w:hideMark/>
                </w:tcPr>
                <w:p w14:paraId="3B57A655"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0.9 </w:t>
                  </w:r>
                </w:p>
              </w:tc>
              <w:tc>
                <w:tcPr>
                  <w:tcW w:w="1040" w:type="dxa"/>
                  <w:tcBorders>
                    <w:top w:val="nil"/>
                    <w:left w:val="nil"/>
                    <w:bottom w:val="single" w:sz="8" w:space="0" w:color="FFFFFF"/>
                    <w:right w:val="single" w:sz="8" w:space="0" w:color="FFFFFF"/>
                  </w:tcBorders>
                  <w:shd w:val="clear" w:color="000000" w:fill="FDE9D9"/>
                  <w:noWrap/>
                  <w:vAlign w:val="center"/>
                  <w:hideMark/>
                </w:tcPr>
                <w:p w14:paraId="2C94EB63"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0.9 </w:t>
                  </w:r>
                </w:p>
              </w:tc>
              <w:tc>
                <w:tcPr>
                  <w:tcW w:w="1040" w:type="dxa"/>
                  <w:tcBorders>
                    <w:top w:val="nil"/>
                    <w:left w:val="nil"/>
                    <w:bottom w:val="single" w:sz="8" w:space="0" w:color="FFFFFF"/>
                    <w:right w:val="single" w:sz="8" w:space="0" w:color="FFFFFF"/>
                  </w:tcBorders>
                  <w:shd w:val="clear" w:color="000000" w:fill="FDE9D9"/>
                  <w:noWrap/>
                  <w:vAlign w:val="center"/>
                  <w:hideMark/>
                </w:tcPr>
                <w:p w14:paraId="68170D01"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企业债7Y</w:t>
                  </w:r>
                </w:p>
              </w:tc>
              <w:tc>
                <w:tcPr>
                  <w:tcW w:w="1040" w:type="dxa"/>
                  <w:tcBorders>
                    <w:top w:val="nil"/>
                    <w:left w:val="nil"/>
                    <w:bottom w:val="single" w:sz="8" w:space="0" w:color="FFFFFF"/>
                    <w:right w:val="single" w:sz="8" w:space="0" w:color="FFFFFF"/>
                  </w:tcBorders>
                  <w:shd w:val="clear" w:color="000000" w:fill="FDE9D9"/>
                  <w:noWrap/>
                  <w:vAlign w:val="center"/>
                  <w:hideMark/>
                </w:tcPr>
                <w:p w14:paraId="575AC99C"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0.4 </w:t>
                  </w:r>
                </w:p>
              </w:tc>
              <w:tc>
                <w:tcPr>
                  <w:tcW w:w="1040" w:type="dxa"/>
                  <w:tcBorders>
                    <w:top w:val="nil"/>
                    <w:left w:val="nil"/>
                    <w:bottom w:val="single" w:sz="8" w:space="0" w:color="FFFFFF"/>
                    <w:right w:val="single" w:sz="8" w:space="0" w:color="FFFFFF"/>
                  </w:tcBorders>
                  <w:shd w:val="clear" w:color="000000" w:fill="FDE9D9"/>
                  <w:noWrap/>
                  <w:vAlign w:val="center"/>
                  <w:hideMark/>
                </w:tcPr>
                <w:p w14:paraId="50F5553D"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-3.6 </w:t>
                  </w:r>
                </w:p>
              </w:tc>
              <w:tc>
                <w:tcPr>
                  <w:tcW w:w="1040" w:type="dxa"/>
                  <w:tcBorders>
                    <w:top w:val="nil"/>
                    <w:left w:val="nil"/>
                    <w:bottom w:val="single" w:sz="8" w:space="0" w:color="FFFFFF"/>
                    <w:right w:val="single" w:sz="8" w:space="0" w:color="FFFFFF"/>
                  </w:tcBorders>
                  <w:shd w:val="clear" w:color="000000" w:fill="FDE9D9"/>
                  <w:noWrap/>
                  <w:vAlign w:val="center"/>
                  <w:hideMark/>
                </w:tcPr>
                <w:p w14:paraId="6ED3F0C1"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-2.6 </w:t>
                  </w:r>
                </w:p>
              </w:tc>
              <w:tc>
                <w:tcPr>
                  <w:tcW w:w="1040" w:type="dxa"/>
                  <w:tcBorders>
                    <w:top w:val="nil"/>
                    <w:left w:val="nil"/>
                    <w:bottom w:val="single" w:sz="8" w:space="0" w:color="FFFFFF"/>
                    <w:right w:val="single" w:sz="8" w:space="0" w:color="FFFFFF"/>
                  </w:tcBorders>
                  <w:shd w:val="clear" w:color="000000" w:fill="FDE9D9"/>
                  <w:noWrap/>
                  <w:vAlign w:val="center"/>
                  <w:hideMark/>
                </w:tcPr>
                <w:p w14:paraId="53C81605"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-2.6 </w:t>
                  </w:r>
                </w:p>
              </w:tc>
            </w:tr>
            <w:tr w:rsidR="00051876" w:rsidRPr="00051876" w14:paraId="201C4326" w14:textId="77777777" w:rsidTr="00051876">
              <w:trPr>
                <w:trHeight w:val="300"/>
              </w:trPr>
              <w:tc>
                <w:tcPr>
                  <w:tcW w:w="1288" w:type="dxa"/>
                  <w:tcBorders>
                    <w:top w:val="nil"/>
                    <w:left w:val="nil"/>
                    <w:bottom w:val="single" w:sz="8" w:space="0" w:color="FFFFFF"/>
                    <w:right w:val="single" w:sz="8" w:space="0" w:color="FFFFFF"/>
                  </w:tcBorders>
                  <w:shd w:val="clear" w:color="000000" w:fill="FCD5B4"/>
                  <w:noWrap/>
                  <w:vAlign w:val="center"/>
                  <w:hideMark/>
                </w:tcPr>
                <w:p w14:paraId="6131B686" w14:textId="77777777" w:rsidR="00051876" w:rsidRPr="00051876" w:rsidRDefault="00051876" w:rsidP="00051876">
                  <w:pPr>
                    <w:widowControl/>
                    <w:jc w:val="center"/>
                    <w:rPr>
                      <w:rFonts w:ascii="楷体" w:eastAsia="楷体" w:hAnsi="楷体" w:cs="宋体"/>
                      <w:color w:val="000000"/>
                      <w:kern w:val="0"/>
                      <w:sz w:val="16"/>
                      <w:szCs w:val="16"/>
                    </w:rPr>
                  </w:pPr>
                  <w:proofErr w:type="gramStart"/>
                  <w:r w:rsidRPr="00051876">
                    <w:rPr>
                      <w:rFonts w:ascii="楷体" w:eastAsia="楷体" w:hAnsi="楷体" w:cs="宋体" w:hint="eastAsia"/>
                      <w:color w:val="000000"/>
                      <w:kern w:val="0"/>
                      <w:sz w:val="16"/>
                      <w:szCs w:val="16"/>
                    </w:rPr>
                    <w:t>城投债</w:t>
                  </w:r>
                  <w:proofErr w:type="gramEnd"/>
                  <w:r w:rsidRPr="00051876">
                    <w:rPr>
                      <w:rFonts w:ascii="楷体" w:eastAsia="楷体" w:hAnsi="楷体" w:cs="宋体" w:hint="eastAsia"/>
                      <w:color w:val="000000"/>
                      <w:kern w:val="0"/>
                      <w:sz w:val="16"/>
                      <w:szCs w:val="16"/>
                    </w:rPr>
                    <w:t>3Y</w:t>
                  </w:r>
                </w:p>
              </w:tc>
              <w:tc>
                <w:tcPr>
                  <w:tcW w:w="1040" w:type="dxa"/>
                  <w:tcBorders>
                    <w:top w:val="nil"/>
                    <w:left w:val="nil"/>
                    <w:bottom w:val="single" w:sz="8" w:space="0" w:color="FFFFFF"/>
                    <w:right w:val="single" w:sz="8" w:space="0" w:color="FFFFFF"/>
                  </w:tcBorders>
                  <w:shd w:val="clear" w:color="000000" w:fill="FCD5B4"/>
                  <w:noWrap/>
                  <w:vAlign w:val="center"/>
                  <w:hideMark/>
                </w:tcPr>
                <w:p w14:paraId="4B342A0A"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0.2 </w:t>
                  </w:r>
                </w:p>
              </w:tc>
              <w:tc>
                <w:tcPr>
                  <w:tcW w:w="1040" w:type="dxa"/>
                  <w:tcBorders>
                    <w:top w:val="nil"/>
                    <w:left w:val="nil"/>
                    <w:bottom w:val="single" w:sz="8" w:space="0" w:color="FFFFFF"/>
                    <w:right w:val="single" w:sz="8" w:space="0" w:color="FFFFFF"/>
                  </w:tcBorders>
                  <w:shd w:val="clear" w:color="000000" w:fill="FCD5B4"/>
                  <w:noWrap/>
                  <w:vAlign w:val="center"/>
                  <w:hideMark/>
                </w:tcPr>
                <w:p w14:paraId="2B3DA909"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1.2 </w:t>
                  </w:r>
                </w:p>
              </w:tc>
              <w:tc>
                <w:tcPr>
                  <w:tcW w:w="1040" w:type="dxa"/>
                  <w:tcBorders>
                    <w:top w:val="nil"/>
                    <w:left w:val="nil"/>
                    <w:bottom w:val="single" w:sz="8" w:space="0" w:color="FFFFFF"/>
                    <w:right w:val="single" w:sz="8" w:space="0" w:color="FFFFFF"/>
                  </w:tcBorders>
                  <w:shd w:val="clear" w:color="000000" w:fill="FCD5B4"/>
                  <w:noWrap/>
                  <w:vAlign w:val="center"/>
                  <w:hideMark/>
                </w:tcPr>
                <w:p w14:paraId="778A8B38"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-2.7 </w:t>
                  </w:r>
                </w:p>
              </w:tc>
              <w:tc>
                <w:tcPr>
                  <w:tcW w:w="1040" w:type="dxa"/>
                  <w:tcBorders>
                    <w:top w:val="nil"/>
                    <w:left w:val="nil"/>
                    <w:bottom w:val="single" w:sz="8" w:space="0" w:color="FFFFFF"/>
                    <w:right w:val="single" w:sz="8" w:space="0" w:color="FFFFFF"/>
                  </w:tcBorders>
                  <w:shd w:val="clear" w:color="000000" w:fill="FCD5B4"/>
                  <w:noWrap/>
                  <w:vAlign w:val="center"/>
                  <w:hideMark/>
                </w:tcPr>
                <w:p w14:paraId="190BD217"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-2.7 </w:t>
                  </w:r>
                </w:p>
              </w:tc>
              <w:tc>
                <w:tcPr>
                  <w:tcW w:w="1040" w:type="dxa"/>
                  <w:tcBorders>
                    <w:top w:val="nil"/>
                    <w:left w:val="nil"/>
                    <w:bottom w:val="single" w:sz="8" w:space="0" w:color="FFFFFF"/>
                    <w:right w:val="single" w:sz="8" w:space="0" w:color="FFFFFF"/>
                  </w:tcBorders>
                  <w:shd w:val="clear" w:color="000000" w:fill="FCD5B4"/>
                  <w:noWrap/>
                  <w:vAlign w:val="center"/>
                  <w:hideMark/>
                </w:tcPr>
                <w:p w14:paraId="758781D0" w14:textId="77777777" w:rsidR="00051876" w:rsidRPr="00051876" w:rsidRDefault="00051876" w:rsidP="00051876">
                  <w:pPr>
                    <w:widowControl/>
                    <w:jc w:val="center"/>
                    <w:rPr>
                      <w:rFonts w:ascii="楷体" w:eastAsia="楷体" w:hAnsi="楷体" w:cs="宋体"/>
                      <w:color w:val="000000"/>
                      <w:kern w:val="0"/>
                      <w:sz w:val="16"/>
                      <w:szCs w:val="16"/>
                    </w:rPr>
                  </w:pPr>
                  <w:proofErr w:type="gramStart"/>
                  <w:r w:rsidRPr="00051876">
                    <w:rPr>
                      <w:rFonts w:ascii="楷体" w:eastAsia="楷体" w:hAnsi="楷体" w:cs="宋体" w:hint="eastAsia"/>
                      <w:color w:val="000000"/>
                      <w:kern w:val="0"/>
                      <w:sz w:val="16"/>
                      <w:szCs w:val="16"/>
                    </w:rPr>
                    <w:t>城投债</w:t>
                  </w:r>
                  <w:proofErr w:type="gramEnd"/>
                  <w:r w:rsidRPr="00051876">
                    <w:rPr>
                      <w:rFonts w:ascii="楷体" w:eastAsia="楷体" w:hAnsi="楷体" w:cs="宋体" w:hint="eastAsia"/>
                      <w:color w:val="000000"/>
                      <w:kern w:val="0"/>
                      <w:sz w:val="16"/>
                      <w:szCs w:val="16"/>
                    </w:rPr>
                    <w:t>3Y</w:t>
                  </w:r>
                </w:p>
              </w:tc>
              <w:tc>
                <w:tcPr>
                  <w:tcW w:w="1040" w:type="dxa"/>
                  <w:tcBorders>
                    <w:top w:val="nil"/>
                    <w:left w:val="nil"/>
                    <w:bottom w:val="single" w:sz="8" w:space="0" w:color="FFFFFF"/>
                    <w:right w:val="single" w:sz="8" w:space="0" w:color="FFFFFF"/>
                  </w:tcBorders>
                  <w:shd w:val="clear" w:color="000000" w:fill="FCD5B4"/>
                  <w:noWrap/>
                  <w:vAlign w:val="center"/>
                  <w:hideMark/>
                </w:tcPr>
                <w:p w14:paraId="6A8BF103"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-7.5 </w:t>
                  </w:r>
                </w:p>
              </w:tc>
              <w:tc>
                <w:tcPr>
                  <w:tcW w:w="1040" w:type="dxa"/>
                  <w:tcBorders>
                    <w:top w:val="nil"/>
                    <w:left w:val="nil"/>
                    <w:bottom w:val="single" w:sz="8" w:space="0" w:color="FFFFFF"/>
                    <w:right w:val="single" w:sz="8" w:space="0" w:color="FFFFFF"/>
                  </w:tcBorders>
                  <w:shd w:val="clear" w:color="000000" w:fill="FCD5B4"/>
                  <w:noWrap/>
                  <w:vAlign w:val="center"/>
                  <w:hideMark/>
                </w:tcPr>
                <w:p w14:paraId="15A9E206"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-6.5 </w:t>
                  </w:r>
                </w:p>
              </w:tc>
              <w:tc>
                <w:tcPr>
                  <w:tcW w:w="1040" w:type="dxa"/>
                  <w:tcBorders>
                    <w:top w:val="nil"/>
                    <w:left w:val="nil"/>
                    <w:bottom w:val="single" w:sz="8" w:space="0" w:color="FFFFFF"/>
                    <w:right w:val="single" w:sz="8" w:space="0" w:color="FFFFFF"/>
                  </w:tcBorders>
                  <w:shd w:val="clear" w:color="000000" w:fill="FCD5B4"/>
                  <w:noWrap/>
                  <w:vAlign w:val="center"/>
                  <w:hideMark/>
                </w:tcPr>
                <w:p w14:paraId="3150C32B"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-10.5 </w:t>
                  </w:r>
                </w:p>
              </w:tc>
              <w:tc>
                <w:tcPr>
                  <w:tcW w:w="1040" w:type="dxa"/>
                  <w:tcBorders>
                    <w:top w:val="nil"/>
                    <w:left w:val="nil"/>
                    <w:bottom w:val="single" w:sz="8" w:space="0" w:color="FFFFFF"/>
                    <w:right w:val="single" w:sz="8" w:space="0" w:color="FFFFFF"/>
                  </w:tcBorders>
                  <w:shd w:val="clear" w:color="000000" w:fill="FCD5B4"/>
                  <w:noWrap/>
                  <w:vAlign w:val="center"/>
                  <w:hideMark/>
                </w:tcPr>
                <w:p w14:paraId="025C0AF0"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-10.5 </w:t>
                  </w:r>
                </w:p>
              </w:tc>
            </w:tr>
            <w:tr w:rsidR="00051876" w:rsidRPr="00051876" w14:paraId="6FC3327A" w14:textId="77777777" w:rsidTr="00051876">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7748D7DA" w14:textId="77777777" w:rsidR="00051876" w:rsidRPr="00051876" w:rsidRDefault="00051876" w:rsidP="00051876">
                  <w:pPr>
                    <w:widowControl/>
                    <w:jc w:val="center"/>
                    <w:rPr>
                      <w:rFonts w:ascii="楷体" w:eastAsia="楷体" w:hAnsi="楷体" w:cs="宋体"/>
                      <w:color w:val="000000"/>
                      <w:kern w:val="0"/>
                      <w:sz w:val="16"/>
                      <w:szCs w:val="16"/>
                    </w:rPr>
                  </w:pPr>
                  <w:proofErr w:type="gramStart"/>
                  <w:r w:rsidRPr="00051876">
                    <w:rPr>
                      <w:rFonts w:ascii="楷体" w:eastAsia="楷体" w:hAnsi="楷体" w:cs="宋体" w:hint="eastAsia"/>
                      <w:color w:val="000000"/>
                      <w:kern w:val="0"/>
                      <w:sz w:val="16"/>
                      <w:szCs w:val="16"/>
                    </w:rPr>
                    <w:t>城投债</w:t>
                  </w:r>
                  <w:proofErr w:type="gramEnd"/>
                  <w:r w:rsidRPr="00051876">
                    <w:rPr>
                      <w:rFonts w:ascii="楷体" w:eastAsia="楷体" w:hAnsi="楷体" w:cs="宋体" w:hint="eastAsia"/>
                      <w:color w:val="000000"/>
                      <w:kern w:val="0"/>
                      <w:sz w:val="16"/>
                      <w:szCs w:val="16"/>
                    </w:rPr>
                    <w:t>5Y</w:t>
                  </w:r>
                </w:p>
              </w:tc>
              <w:tc>
                <w:tcPr>
                  <w:tcW w:w="1040" w:type="dxa"/>
                  <w:tcBorders>
                    <w:top w:val="nil"/>
                    <w:left w:val="nil"/>
                    <w:bottom w:val="single" w:sz="8" w:space="0" w:color="FFFFFF"/>
                    <w:right w:val="single" w:sz="8" w:space="0" w:color="FFFFFF"/>
                  </w:tcBorders>
                  <w:shd w:val="clear" w:color="000000" w:fill="FDE9D9"/>
                  <w:noWrap/>
                  <w:vAlign w:val="center"/>
                  <w:hideMark/>
                </w:tcPr>
                <w:p w14:paraId="408DCF3D"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1.2 </w:t>
                  </w:r>
                </w:p>
              </w:tc>
              <w:tc>
                <w:tcPr>
                  <w:tcW w:w="1040" w:type="dxa"/>
                  <w:tcBorders>
                    <w:top w:val="nil"/>
                    <w:left w:val="nil"/>
                    <w:bottom w:val="single" w:sz="8" w:space="0" w:color="FFFFFF"/>
                    <w:right w:val="single" w:sz="8" w:space="0" w:color="FFFFFF"/>
                  </w:tcBorders>
                  <w:shd w:val="clear" w:color="000000" w:fill="FDE9D9"/>
                  <w:noWrap/>
                  <w:vAlign w:val="center"/>
                  <w:hideMark/>
                </w:tcPr>
                <w:p w14:paraId="1B54398B"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3.2 </w:t>
                  </w:r>
                </w:p>
              </w:tc>
              <w:tc>
                <w:tcPr>
                  <w:tcW w:w="1040" w:type="dxa"/>
                  <w:tcBorders>
                    <w:top w:val="nil"/>
                    <w:left w:val="nil"/>
                    <w:bottom w:val="single" w:sz="8" w:space="0" w:color="FFFFFF"/>
                    <w:right w:val="single" w:sz="8" w:space="0" w:color="FFFFFF"/>
                  </w:tcBorders>
                  <w:shd w:val="clear" w:color="000000" w:fill="FDE9D9"/>
                  <w:noWrap/>
                  <w:vAlign w:val="center"/>
                  <w:hideMark/>
                </w:tcPr>
                <w:p w14:paraId="09304FEF"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0.2 </w:t>
                  </w:r>
                </w:p>
              </w:tc>
              <w:tc>
                <w:tcPr>
                  <w:tcW w:w="1040" w:type="dxa"/>
                  <w:tcBorders>
                    <w:top w:val="nil"/>
                    <w:left w:val="nil"/>
                    <w:bottom w:val="single" w:sz="8" w:space="0" w:color="FFFFFF"/>
                    <w:right w:val="single" w:sz="8" w:space="0" w:color="FFFFFF"/>
                  </w:tcBorders>
                  <w:shd w:val="clear" w:color="000000" w:fill="FDE9D9"/>
                  <w:noWrap/>
                  <w:vAlign w:val="center"/>
                  <w:hideMark/>
                </w:tcPr>
                <w:p w14:paraId="1D772D69"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-0.8 </w:t>
                  </w:r>
                </w:p>
              </w:tc>
              <w:tc>
                <w:tcPr>
                  <w:tcW w:w="1040" w:type="dxa"/>
                  <w:tcBorders>
                    <w:top w:val="nil"/>
                    <w:left w:val="nil"/>
                    <w:bottom w:val="single" w:sz="8" w:space="0" w:color="FFFFFF"/>
                    <w:right w:val="single" w:sz="8" w:space="0" w:color="FFFFFF"/>
                  </w:tcBorders>
                  <w:shd w:val="clear" w:color="000000" w:fill="FDE9D9"/>
                  <w:noWrap/>
                  <w:vAlign w:val="center"/>
                  <w:hideMark/>
                </w:tcPr>
                <w:p w14:paraId="0015E7B8" w14:textId="77777777" w:rsidR="00051876" w:rsidRPr="00051876" w:rsidRDefault="00051876" w:rsidP="00051876">
                  <w:pPr>
                    <w:widowControl/>
                    <w:jc w:val="center"/>
                    <w:rPr>
                      <w:rFonts w:ascii="楷体" w:eastAsia="楷体" w:hAnsi="楷体" w:cs="宋体"/>
                      <w:color w:val="000000"/>
                      <w:kern w:val="0"/>
                      <w:sz w:val="16"/>
                      <w:szCs w:val="16"/>
                    </w:rPr>
                  </w:pPr>
                  <w:proofErr w:type="gramStart"/>
                  <w:r w:rsidRPr="00051876">
                    <w:rPr>
                      <w:rFonts w:ascii="楷体" w:eastAsia="楷体" w:hAnsi="楷体" w:cs="宋体" w:hint="eastAsia"/>
                      <w:color w:val="000000"/>
                      <w:kern w:val="0"/>
                      <w:sz w:val="16"/>
                      <w:szCs w:val="16"/>
                    </w:rPr>
                    <w:t>城投债</w:t>
                  </w:r>
                  <w:proofErr w:type="gramEnd"/>
                  <w:r w:rsidRPr="00051876">
                    <w:rPr>
                      <w:rFonts w:ascii="楷体" w:eastAsia="楷体" w:hAnsi="楷体" w:cs="宋体" w:hint="eastAsia"/>
                      <w:color w:val="000000"/>
                      <w:kern w:val="0"/>
                      <w:sz w:val="16"/>
                      <w:szCs w:val="16"/>
                    </w:rPr>
                    <w:t>5Y</w:t>
                  </w:r>
                </w:p>
              </w:tc>
              <w:tc>
                <w:tcPr>
                  <w:tcW w:w="1040" w:type="dxa"/>
                  <w:tcBorders>
                    <w:top w:val="nil"/>
                    <w:left w:val="nil"/>
                    <w:bottom w:val="single" w:sz="8" w:space="0" w:color="FFFFFF"/>
                    <w:right w:val="single" w:sz="8" w:space="0" w:color="FFFFFF"/>
                  </w:tcBorders>
                  <w:shd w:val="clear" w:color="000000" w:fill="FDE9D9"/>
                  <w:noWrap/>
                  <w:vAlign w:val="center"/>
                  <w:hideMark/>
                </w:tcPr>
                <w:p w14:paraId="636737C3"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-4.3 </w:t>
                  </w:r>
                </w:p>
              </w:tc>
              <w:tc>
                <w:tcPr>
                  <w:tcW w:w="1040" w:type="dxa"/>
                  <w:tcBorders>
                    <w:top w:val="nil"/>
                    <w:left w:val="nil"/>
                    <w:bottom w:val="single" w:sz="8" w:space="0" w:color="FFFFFF"/>
                    <w:right w:val="single" w:sz="8" w:space="0" w:color="FFFFFF"/>
                  </w:tcBorders>
                  <w:shd w:val="clear" w:color="000000" w:fill="FDE9D9"/>
                  <w:noWrap/>
                  <w:vAlign w:val="center"/>
                  <w:hideMark/>
                </w:tcPr>
                <w:p w14:paraId="09D31D58"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-2.3 </w:t>
                  </w:r>
                </w:p>
              </w:tc>
              <w:tc>
                <w:tcPr>
                  <w:tcW w:w="1040" w:type="dxa"/>
                  <w:tcBorders>
                    <w:top w:val="nil"/>
                    <w:left w:val="nil"/>
                    <w:bottom w:val="single" w:sz="8" w:space="0" w:color="FFFFFF"/>
                    <w:right w:val="single" w:sz="8" w:space="0" w:color="FFFFFF"/>
                  </w:tcBorders>
                  <w:shd w:val="clear" w:color="000000" w:fill="FDE9D9"/>
                  <w:noWrap/>
                  <w:vAlign w:val="center"/>
                  <w:hideMark/>
                </w:tcPr>
                <w:p w14:paraId="0319707F"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-5.3 </w:t>
                  </w:r>
                </w:p>
              </w:tc>
              <w:tc>
                <w:tcPr>
                  <w:tcW w:w="1040" w:type="dxa"/>
                  <w:tcBorders>
                    <w:top w:val="nil"/>
                    <w:left w:val="nil"/>
                    <w:bottom w:val="single" w:sz="8" w:space="0" w:color="FFFFFF"/>
                    <w:right w:val="single" w:sz="8" w:space="0" w:color="FFFFFF"/>
                  </w:tcBorders>
                  <w:shd w:val="clear" w:color="000000" w:fill="FDE9D9"/>
                  <w:noWrap/>
                  <w:vAlign w:val="center"/>
                  <w:hideMark/>
                </w:tcPr>
                <w:p w14:paraId="01FD5C1B"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-6.3 </w:t>
                  </w:r>
                </w:p>
              </w:tc>
            </w:tr>
            <w:tr w:rsidR="00051876" w:rsidRPr="00051876" w14:paraId="0C2C961E" w14:textId="77777777" w:rsidTr="00051876">
              <w:trPr>
                <w:trHeight w:val="300"/>
              </w:trPr>
              <w:tc>
                <w:tcPr>
                  <w:tcW w:w="1288" w:type="dxa"/>
                  <w:tcBorders>
                    <w:top w:val="nil"/>
                    <w:left w:val="nil"/>
                    <w:bottom w:val="nil"/>
                    <w:right w:val="nil"/>
                  </w:tcBorders>
                  <w:shd w:val="clear" w:color="000000" w:fill="FCD5B4"/>
                  <w:noWrap/>
                  <w:vAlign w:val="center"/>
                  <w:hideMark/>
                </w:tcPr>
                <w:p w14:paraId="2E746BC7" w14:textId="77777777" w:rsidR="00051876" w:rsidRPr="00051876" w:rsidRDefault="00051876" w:rsidP="00051876">
                  <w:pPr>
                    <w:widowControl/>
                    <w:jc w:val="center"/>
                    <w:rPr>
                      <w:rFonts w:ascii="楷体" w:eastAsia="楷体" w:hAnsi="楷体" w:cs="宋体"/>
                      <w:color w:val="000000"/>
                      <w:kern w:val="0"/>
                      <w:sz w:val="16"/>
                      <w:szCs w:val="16"/>
                    </w:rPr>
                  </w:pPr>
                  <w:proofErr w:type="gramStart"/>
                  <w:r w:rsidRPr="00051876">
                    <w:rPr>
                      <w:rFonts w:ascii="楷体" w:eastAsia="楷体" w:hAnsi="楷体" w:cs="宋体" w:hint="eastAsia"/>
                      <w:color w:val="000000"/>
                      <w:kern w:val="0"/>
                      <w:sz w:val="16"/>
                      <w:szCs w:val="16"/>
                    </w:rPr>
                    <w:t>城投债</w:t>
                  </w:r>
                  <w:proofErr w:type="gramEnd"/>
                  <w:r w:rsidRPr="00051876">
                    <w:rPr>
                      <w:rFonts w:ascii="楷体" w:eastAsia="楷体" w:hAnsi="楷体" w:cs="宋体" w:hint="eastAsia"/>
                      <w:color w:val="000000"/>
                      <w:kern w:val="0"/>
                      <w:sz w:val="16"/>
                      <w:szCs w:val="16"/>
                    </w:rPr>
                    <w:t>7Y</w:t>
                  </w:r>
                </w:p>
              </w:tc>
              <w:tc>
                <w:tcPr>
                  <w:tcW w:w="1040" w:type="dxa"/>
                  <w:tcBorders>
                    <w:top w:val="nil"/>
                    <w:left w:val="nil"/>
                    <w:bottom w:val="single" w:sz="8" w:space="0" w:color="FFFFFF"/>
                    <w:right w:val="single" w:sz="8" w:space="0" w:color="FFFFFF"/>
                  </w:tcBorders>
                  <w:shd w:val="clear" w:color="000000" w:fill="FCD5B4"/>
                  <w:noWrap/>
                  <w:vAlign w:val="center"/>
                  <w:hideMark/>
                </w:tcPr>
                <w:p w14:paraId="43576E0F"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 xml:space="preserve">1.4 </w:t>
                  </w:r>
                </w:p>
              </w:tc>
              <w:tc>
                <w:tcPr>
                  <w:tcW w:w="1040" w:type="dxa"/>
                  <w:tcBorders>
                    <w:top w:val="nil"/>
                    <w:left w:val="nil"/>
                    <w:bottom w:val="single" w:sz="8" w:space="0" w:color="FFFFFF"/>
                    <w:right w:val="single" w:sz="8" w:space="0" w:color="FFFFFF"/>
                  </w:tcBorders>
                  <w:shd w:val="clear" w:color="000000" w:fill="FCD5B4"/>
                  <w:noWrap/>
                  <w:vAlign w:val="center"/>
                  <w:hideMark/>
                </w:tcPr>
                <w:p w14:paraId="0C261B35"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-0.6 </w:t>
                  </w:r>
                </w:p>
              </w:tc>
              <w:tc>
                <w:tcPr>
                  <w:tcW w:w="1040" w:type="dxa"/>
                  <w:tcBorders>
                    <w:top w:val="nil"/>
                    <w:left w:val="nil"/>
                    <w:bottom w:val="single" w:sz="8" w:space="0" w:color="FFFFFF"/>
                    <w:right w:val="single" w:sz="8" w:space="0" w:color="FFFFFF"/>
                  </w:tcBorders>
                  <w:shd w:val="clear" w:color="000000" w:fill="FCD5B4"/>
                  <w:noWrap/>
                  <w:vAlign w:val="center"/>
                  <w:hideMark/>
                </w:tcPr>
                <w:p w14:paraId="2CEE66FE"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-0.6 </w:t>
                  </w:r>
                </w:p>
              </w:tc>
              <w:tc>
                <w:tcPr>
                  <w:tcW w:w="1040" w:type="dxa"/>
                  <w:tcBorders>
                    <w:top w:val="nil"/>
                    <w:left w:val="nil"/>
                    <w:bottom w:val="single" w:sz="8" w:space="0" w:color="FFFFFF"/>
                    <w:right w:val="single" w:sz="8" w:space="0" w:color="FFFFFF"/>
                  </w:tcBorders>
                  <w:shd w:val="clear" w:color="000000" w:fill="FCD5B4"/>
                  <w:noWrap/>
                  <w:vAlign w:val="center"/>
                  <w:hideMark/>
                </w:tcPr>
                <w:p w14:paraId="50F1F497"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-0.6 </w:t>
                  </w:r>
                </w:p>
              </w:tc>
              <w:tc>
                <w:tcPr>
                  <w:tcW w:w="1040" w:type="dxa"/>
                  <w:tcBorders>
                    <w:top w:val="nil"/>
                    <w:left w:val="nil"/>
                    <w:bottom w:val="nil"/>
                    <w:right w:val="nil"/>
                  </w:tcBorders>
                  <w:shd w:val="clear" w:color="000000" w:fill="FCD5B4"/>
                  <w:noWrap/>
                  <w:vAlign w:val="center"/>
                  <w:hideMark/>
                </w:tcPr>
                <w:p w14:paraId="6D412848" w14:textId="77777777" w:rsidR="00051876" w:rsidRPr="00051876" w:rsidRDefault="00051876" w:rsidP="00051876">
                  <w:pPr>
                    <w:widowControl/>
                    <w:jc w:val="center"/>
                    <w:rPr>
                      <w:rFonts w:ascii="楷体" w:eastAsia="楷体" w:hAnsi="楷体" w:cs="宋体"/>
                      <w:color w:val="000000"/>
                      <w:kern w:val="0"/>
                      <w:sz w:val="16"/>
                      <w:szCs w:val="16"/>
                    </w:rPr>
                  </w:pPr>
                  <w:proofErr w:type="gramStart"/>
                  <w:r w:rsidRPr="00051876">
                    <w:rPr>
                      <w:rFonts w:ascii="楷体" w:eastAsia="楷体" w:hAnsi="楷体" w:cs="宋体" w:hint="eastAsia"/>
                      <w:color w:val="000000"/>
                      <w:kern w:val="0"/>
                      <w:sz w:val="16"/>
                      <w:szCs w:val="16"/>
                    </w:rPr>
                    <w:t>城投债</w:t>
                  </w:r>
                  <w:proofErr w:type="gramEnd"/>
                  <w:r w:rsidRPr="00051876">
                    <w:rPr>
                      <w:rFonts w:ascii="楷体" w:eastAsia="楷体" w:hAnsi="楷体" w:cs="宋体" w:hint="eastAsia"/>
                      <w:color w:val="000000"/>
                      <w:kern w:val="0"/>
                      <w:sz w:val="16"/>
                      <w:szCs w:val="16"/>
                    </w:rPr>
                    <w:t>7Y</w:t>
                  </w:r>
                </w:p>
              </w:tc>
              <w:tc>
                <w:tcPr>
                  <w:tcW w:w="1040" w:type="dxa"/>
                  <w:tcBorders>
                    <w:top w:val="nil"/>
                    <w:left w:val="nil"/>
                    <w:bottom w:val="single" w:sz="8" w:space="0" w:color="FFFFFF"/>
                    <w:right w:val="single" w:sz="8" w:space="0" w:color="FFFFFF"/>
                  </w:tcBorders>
                  <w:shd w:val="clear" w:color="000000" w:fill="FCD5B4"/>
                  <w:noWrap/>
                  <w:vAlign w:val="center"/>
                  <w:hideMark/>
                </w:tcPr>
                <w:p w14:paraId="77B353C7"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-2.1 </w:t>
                  </w:r>
                </w:p>
              </w:tc>
              <w:tc>
                <w:tcPr>
                  <w:tcW w:w="1040" w:type="dxa"/>
                  <w:tcBorders>
                    <w:top w:val="nil"/>
                    <w:left w:val="nil"/>
                    <w:bottom w:val="single" w:sz="8" w:space="0" w:color="FFFFFF"/>
                    <w:right w:val="single" w:sz="8" w:space="0" w:color="FFFFFF"/>
                  </w:tcBorders>
                  <w:shd w:val="clear" w:color="000000" w:fill="FCD5B4"/>
                  <w:noWrap/>
                  <w:vAlign w:val="center"/>
                  <w:hideMark/>
                </w:tcPr>
                <w:p w14:paraId="35A202CA"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-4.1 </w:t>
                  </w:r>
                </w:p>
              </w:tc>
              <w:tc>
                <w:tcPr>
                  <w:tcW w:w="1040" w:type="dxa"/>
                  <w:tcBorders>
                    <w:top w:val="nil"/>
                    <w:left w:val="nil"/>
                    <w:bottom w:val="single" w:sz="8" w:space="0" w:color="FFFFFF"/>
                    <w:right w:val="single" w:sz="8" w:space="0" w:color="FFFFFF"/>
                  </w:tcBorders>
                  <w:shd w:val="clear" w:color="000000" w:fill="FCD5B4"/>
                  <w:noWrap/>
                  <w:vAlign w:val="center"/>
                  <w:hideMark/>
                </w:tcPr>
                <w:p w14:paraId="2351BED9"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-4.1 </w:t>
                  </w:r>
                </w:p>
              </w:tc>
              <w:tc>
                <w:tcPr>
                  <w:tcW w:w="1040" w:type="dxa"/>
                  <w:tcBorders>
                    <w:top w:val="nil"/>
                    <w:left w:val="nil"/>
                    <w:bottom w:val="single" w:sz="8" w:space="0" w:color="FFFFFF"/>
                    <w:right w:val="single" w:sz="8" w:space="0" w:color="FFFFFF"/>
                  </w:tcBorders>
                  <w:shd w:val="clear" w:color="000000" w:fill="FCD5B4"/>
                  <w:noWrap/>
                  <w:vAlign w:val="center"/>
                  <w:hideMark/>
                </w:tcPr>
                <w:p w14:paraId="12135EE8"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FF0000"/>
                      <w:kern w:val="0"/>
                      <w:sz w:val="16"/>
                      <w:szCs w:val="16"/>
                    </w:rPr>
                    <w:t xml:space="preserve">-4.1 </w:t>
                  </w:r>
                </w:p>
              </w:tc>
            </w:tr>
            <w:tr w:rsidR="00051876" w:rsidRPr="00051876" w14:paraId="44630007" w14:textId="77777777" w:rsidTr="00051876">
              <w:trPr>
                <w:trHeight w:val="150"/>
              </w:trPr>
              <w:tc>
                <w:tcPr>
                  <w:tcW w:w="1288" w:type="dxa"/>
                  <w:tcBorders>
                    <w:top w:val="nil"/>
                    <w:left w:val="nil"/>
                    <w:bottom w:val="nil"/>
                    <w:right w:val="nil"/>
                  </w:tcBorders>
                  <w:shd w:val="clear" w:color="auto" w:fill="auto"/>
                  <w:noWrap/>
                  <w:vAlign w:val="center"/>
                  <w:hideMark/>
                </w:tcPr>
                <w:p w14:paraId="2587BA57" w14:textId="77777777" w:rsidR="00051876" w:rsidRPr="00051876" w:rsidRDefault="00051876" w:rsidP="00051876">
                  <w:pPr>
                    <w:widowControl/>
                    <w:jc w:val="center"/>
                    <w:rPr>
                      <w:rFonts w:eastAsia="等线" w:cs="Calibri"/>
                      <w:color w:val="000000"/>
                      <w:kern w:val="0"/>
                      <w:sz w:val="16"/>
                      <w:szCs w:val="16"/>
                    </w:rPr>
                  </w:pPr>
                </w:p>
              </w:tc>
              <w:tc>
                <w:tcPr>
                  <w:tcW w:w="1040" w:type="dxa"/>
                  <w:tcBorders>
                    <w:top w:val="nil"/>
                    <w:left w:val="nil"/>
                    <w:bottom w:val="nil"/>
                    <w:right w:val="nil"/>
                  </w:tcBorders>
                  <w:shd w:val="clear" w:color="auto" w:fill="auto"/>
                  <w:noWrap/>
                  <w:vAlign w:val="center"/>
                  <w:hideMark/>
                </w:tcPr>
                <w:p w14:paraId="63047358" w14:textId="77777777" w:rsidR="00051876" w:rsidRPr="00051876" w:rsidRDefault="00051876" w:rsidP="00051876">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hideMark/>
                </w:tcPr>
                <w:p w14:paraId="3CC9EBB5" w14:textId="77777777" w:rsidR="00051876" w:rsidRPr="00051876" w:rsidRDefault="00051876" w:rsidP="00051876">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hideMark/>
                </w:tcPr>
                <w:p w14:paraId="29645872" w14:textId="77777777" w:rsidR="00051876" w:rsidRPr="00051876" w:rsidRDefault="00051876" w:rsidP="00051876">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hideMark/>
                </w:tcPr>
                <w:p w14:paraId="09A1D127" w14:textId="77777777" w:rsidR="00051876" w:rsidRPr="00051876" w:rsidRDefault="00051876" w:rsidP="00051876">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hideMark/>
                </w:tcPr>
                <w:p w14:paraId="1FE18070" w14:textId="77777777" w:rsidR="00051876" w:rsidRPr="00051876" w:rsidRDefault="00051876" w:rsidP="00051876">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hideMark/>
                </w:tcPr>
                <w:p w14:paraId="2909162A" w14:textId="77777777" w:rsidR="00051876" w:rsidRPr="00051876" w:rsidRDefault="00051876" w:rsidP="00051876">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hideMark/>
                </w:tcPr>
                <w:p w14:paraId="5CA41C0D" w14:textId="77777777" w:rsidR="00051876" w:rsidRPr="00051876" w:rsidRDefault="00051876" w:rsidP="00051876">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hideMark/>
                </w:tcPr>
                <w:p w14:paraId="1ED513EA" w14:textId="77777777" w:rsidR="00051876" w:rsidRPr="00051876" w:rsidRDefault="00051876" w:rsidP="00051876">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hideMark/>
                </w:tcPr>
                <w:p w14:paraId="6F69AEC7" w14:textId="77777777" w:rsidR="00051876" w:rsidRPr="00051876" w:rsidRDefault="00051876" w:rsidP="00051876">
                  <w:pPr>
                    <w:widowControl/>
                    <w:jc w:val="center"/>
                    <w:rPr>
                      <w:rFonts w:ascii="Times New Roman" w:eastAsia="Times New Roman" w:hAnsi="Times New Roman"/>
                      <w:kern w:val="0"/>
                      <w:sz w:val="16"/>
                      <w:szCs w:val="16"/>
                    </w:rPr>
                  </w:pPr>
                </w:p>
              </w:tc>
            </w:tr>
            <w:tr w:rsidR="00051876" w:rsidRPr="00051876" w14:paraId="5DCC17DE" w14:textId="77777777" w:rsidTr="00051876">
              <w:trPr>
                <w:trHeight w:val="300"/>
              </w:trPr>
              <w:tc>
                <w:tcPr>
                  <w:tcW w:w="1288" w:type="dxa"/>
                  <w:tcBorders>
                    <w:top w:val="nil"/>
                    <w:left w:val="nil"/>
                    <w:bottom w:val="single" w:sz="12" w:space="0" w:color="FFFFFF"/>
                    <w:right w:val="single" w:sz="8" w:space="0" w:color="FFFFFF"/>
                  </w:tcBorders>
                  <w:shd w:val="clear" w:color="000000" w:fill="F79646"/>
                  <w:noWrap/>
                  <w:vAlign w:val="center"/>
                  <w:hideMark/>
                </w:tcPr>
                <w:p w14:paraId="2504F093"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收益率分位</w:t>
                  </w:r>
                </w:p>
              </w:tc>
              <w:tc>
                <w:tcPr>
                  <w:tcW w:w="1040" w:type="dxa"/>
                  <w:tcBorders>
                    <w:top w:val="nil"/>
                    <w:left w:val="nil"/>
                    <w:bottom w:val="single" w:sz="12" w:space="0" w:color="FFFFFF"/>
                    <w:right w:val="single" w:sz="8" w:space="0" w:color="FFFFFF"/>
                  </w:tcBorders>
                  <w:shd w:val="clear" w:color="000000" w:fill="F79646"/>
                  <w:noWrap/>
                  <w:vAlign w:val="center"/>
                  <w:hideMark/>
                </w:tcPr>
                <w:p w14:paraId="498DFDAF"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674A0AF2"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1E92E718"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04B83CE5"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2B04C102"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息差</w:t>
                  </w:r>
                </w:p>
              </w:tc>
              <w:tc>
                <w:tcPr>
                  <w:tcW w:w="1040" w:type="dxa"/>
                  <w:tcBorders>
                    <w:top w:val="nil"/>
                    <w:left w:val="nil"/>
                    <w:bottom w:val="single" w:sz="12" w:space="0" w:color="FFFFFF"/>
                    <w:right w:val="single" w:sz="8" w:space="0" w:color="FFFFFF"/>
                  </w:tcBorders>
                  <w:shd w:val="clear" w:color="000000" w:fill="F79646"/>
                  <w:noWrap/>
                  <w:vAlign w:val="center"/>
                  <w:hideMark/>
                </w:tcPr>
                <w:p w14:paraId="706D3CD2"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29C32EFD"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3FEE6C90"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38C7A32F" w14:textId="77777777" w:rsidR="00051876" w:rsidRPr="00051876" w:rsidRDefault="00051876" w:rsidP="00051876">
                  <w:pPr>
                    <w:widowControl/>
                    <w:jc w:val="center"/>
                    <w:rPr>
                      <w:rFonts w:ascii="楷体" w:eastAsia="楷体" w:hAnsi="楷体" w:cs="宋体"/>
                      <w:b/>
                      <w:bCs/>
                      <w:color w:val="FFFFFF"/>
                      <w:kern w:val="0"/>
                      <w:sz w:val="16"/>
                      <w:szCs w:val="16"/>
                    </w:rPr>
                  </w:pPr>
                  <w:r w:rsidRPr="00051876">
                    <w:rPr>
                      <w:rFonts w:ascii="楷体" w:eastAsia="楷体" w:hAnsi="楷体" w:cs="宋体" w:hint="eastAsia"/>
                      <w:b/>
                      <w:bCs/>
                      <w:color w:val="FFFFFF"/>
                      <w:kern w:val="0"/>
                      <w:sz w:val="16"/>
                      <w:szCs w:val="16"/>
                    </w:rPr>
                    <w:t>AA-</w:t>
                  </w:r>
                </w:p>
              </w:tc>
            </w:tr>
            <w:tr w:rsidR="00051876" w:rsidRPr="00051876" w14:paraId="18A2D8D7" w14:textId="77777777" w:rsidTr="00051876">
              <w:trPr>
                <w:trHeight w:val="315"/>
              </w:trPr>
              <w:tc>
                <w:tcPr>
                  <w:tcW w:w="1288" w:type="dxa"/>
                  <w:tcBorders>
                    <w:top w:val="nil"/>
                    <w:left w:val="nil"/>
                    <w:bottom w:val="single" w:sz="8" w:space="0" w:color="FFFFFF"/>
                    <w:right w:val="single" w:sz="8" w:space="0" w:color="FFFFFF"/>
                  </w:tcBorders>
                  <w:shd w:val="clear" w:color="000000" w:fill="FCD5B4"/>
                  <w:noWrap/>
                  <w:vAlign w:val="center"/>
                  <w:hideMark/>
                </w:tcPr>
                <w:p w14:paraId="79BC78A9"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CP</w:t>
                  </w:r>
                </w:p>
              </w:tc>
              <w:tc>
                <w:tcPr>
                  <w:tcW w:w="1040" w:type="dxa"/>
                  <w:tcBorders>
                    <w:top w:val="nil"/>
                    <w:left w:val="nil"/>
                    <w:bottom w:val="single" w:sz="8" w:space="0" w:color="FFFFFF"/>
                    <w:right w:val="single" w:sz="8" w:space="0" w:color="FFFFFF"/>
                  </w:tcBorders>
                  <w:shd w:val="clear" w:color="000000" w:fill="FCD5B4"/>
                  <w:noWrap/>
                  <w:vAlign w:val="center"/>
                  <w:hideMark/>
                </w:tcPr>
                <w:p w14:paraId="4E6DE381"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25%</w:t>
                  </w:r>
                </w:p>
              </w:tc>
              <w:tc>
                <w:tcPr>
                  <w:tcW w:w="1040" w:type="dxa"/>
                  <w:tcBorders>
                    <w:top w:val="nil"/>
                    <w:left w:val="nil"/>
                    <w:bottom w:val="single" w:sz="8" w:space="0" w:color="FFFFFF"/>
                    <w:right w:val="single" w:sz="8" w:space="0" w:color="FFFFFF"/>
                  </w:tcBorders>
                  <w:shd w:val="clear" w:color="000000" w:fill="FCD5B4"/>
                  <w:noWrap/>
                  <w:vAlign w:val="center"/>
                  <w:hideMark/>
                </w:tcPr>
                <w:p w14:paraId="68BDAC4B"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22%</w:t>
                  </w:r>
                </w:p>
              </w:tc>
              <w:tc>
                <w:tcPr>
                  <w:tcW w:w="1040" w:type="dxa"/>
                  <w:tcBorders>
                    <w:top w:val="nil"/>
                    <w:left w:val="nil"/>
                    <w:bottom w:val="single" w:sz="8" w:space="0" w:color="FFFFFF"/>
                    <w:right w:val="single" w:sz="8" w:space="0" w:color="FFFFFF"/>
                  </w:tcBorders>
                  <w:shd w:val="clear" w:color="000000" w:fill="FCD5B4"/>
                  <w:noWrap/>
                  <w:vAlign w:val="center"/>
                  <w:hideMark/>
                </w:tcPr>
                <w:p w14:paraId="4F87B0AE"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20%</w:t>
                  </w:r>
                </w:p>
              </w:tc>
              <w:tc>
                <w:tcPr>
                  <w:tcW w:w="1040" w:type="dxa"/>
                  <w:tcBorders>
                    <w:top w:val="nil"/>
                    <w:left w:val="nil"/>
                    <w:bottom w:val="single" w:sz="8" w:space="0" w:color="FFFFFF"/>
                    <w:right w:val="single" w:sz="8" w:space="0" w:color="FFFFFF"/>
                  </w:tcBorders>
                  <w:shd w:val="clear" w:color="000000" w:fill="FCD5B4"/>
                  <w:noWrap/>
                  <w:vAlign w:val="center"/>
                  <w:hideMark/>
                </w:tcPr>
                <w:p w14:paraId="2391F195"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48%</w:t>
                  </w:r>
                </w:p>
              </w:tc>
              <w:tc>
                <w:tcPr>
                  <w:tcW w:w="1040" w:type="dxa"/>
                  <w:tcBorders>
                    <w:top w:val="nil"/>
                    <w:left w:val="nil"/>
                    <w:bottom w:val="single" w:sz="8" w:space="0" w:color="FFFFFF"/>
                    <w:right w:val="single" w:sz="8" w:space="0" w:color="FFFFFF"/>
                  </w:tcBorders>
                  <w:shd w:val="clear" w:color="000000" w:fill="FCD5B4"/>
                  <w:noWrap/>
                  <w:vAlign w:val="center"/>
                  <w:hideMark/>
                </w:tcPr>
                <w:p w14:paraId="30EDA9F6"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CP</w:t>
                  </w:r>
                </w:p>
              </w:tc>
              <w:tc>
                <w:tcPr>
                  <w:tcW w:w="1040" w:type="dxa"/>
                  <w:tcBorders>
                    <w:top w:val="nil"/>
                    <w:left w:val="nil"/>
                    <w:bottom w:val="single" w:sz="8" w:space="0" w:color="FFFFFF"/>
                    <w:right w:val="single" w:sz="8" w:space="0" w:color="FFFFFF"/>
                  </w:tcBorders>
                  <w:shd w:val="clear" w:color="000000" w:fill="FCD5B4"/>
                  <w:noWrap/>
                  <w:vAlign w:val="center"/>
                  <w:hideMark/>
                </w:tcPr>
                <w:p w14:paraId="289E0B20"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3%</w:t>
                  </w:r>
                </w:p>
              </w:tc>
              <w:tc>
                <w:tcPr>
                  <w:tcW w:w="1040" w:type="dxa"/>
                  <w:tcBorders>
                    <w:top w:val="nil"/>
                    <w:left w:val="nil"/>
                    <w:bottom w:val="single" w:sz="8" w:space="0" w:color="FFFFFF"/>
                    <w:right w:val="single" w:sz="8" w:space="0" w:color="FFFFFF"/>
                  </w:tcBorders>
                  <w:shd w:val="clear" w:color="000000" w:fill="FCD5B4"/>
                  <w:noWrap/>
                  <w:vAlign w:val="center"/>
                  <w:hideMark/>
                </w:tcPr>
                <w:p w14:paraId="521D8C69"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w:t>
                  </w:r>
                </w:p>
              </w:tc>
              <w:tc>
                <w:tcPr>
                  <w:tcW w:w="1040" w:type="dxa"/>
                  <w:tcBorders>
                    <w:top w:val="nil"/>
                    <w:left w:val="nil"/>
                    <w:bottom w:val="single" w:sz="8" w:space="0" w:color="FFFFFF"/>
                    <w:right w:val="single" w:sz="8" w:space="0" w:color="FFFFFF"/>
                  </w:tcBorders>
                  <w:shd w:val="clear" w:color="000000" w:fill="FCD5B4"/>
                  <w:noWrap/>
                  <w:vAlign w:val="center"/>
                  <w:hideMark/>
                </w:tcPr>
                <w:p w14:paraId="52A0846A"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w:t>
                  </w:r>
                </w:p>
              </w:tc>
              <w:tc>
                <w:tcPr>
                  <w:tcW w:w="1040" w:type="dxa"/>
                  <w:tcBorders>
                    <w:top w:val="nil"/>
                    <w:left w:val="nil"/>
                    <w:bottom w:val="single" w:sz="8" w:space="0" w:color="FFFFFF"/>
                    <w:right w:val="single" w:sz="8" w:space="0" w:color="FFFFFF"/>
                  </w:tcBorders>
                  <w:shd w:val="clear" w:color="000000" w:fill="FCD5B4"/>
                  <w:noWrap/>
                  <w:vAlign w:val="center"/>
                  <w:hideMark/>
                </w:tcPr>
                <w:p w14:paraId="7304C267"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59%</w:t>
                  </w:r>
                </w:p>
              </w:tc>
            </w:tr>
            <w:tr w:rsidR="00051876" w:rsidRPr="00051876" w14:paraId="700BE92C" w14:textId="77777777" w:rsidTr="00051876">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3A65677A"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MTN3Y</w:t>
                  </w:r>
                </w:p>
              </w:tc>
              <w:tc>
                <w:tcPr>
                  <w:tcW w:w="1040" w:type="dxa"/>
                  <w:tcBorders>
                    <w:top w:val="nil"/>
                    <w:left w:val="nil"/>
                    <w:bottom w:val="single" w:sz="8" w:space="0" w:color="FFFFFF"/>
                    <w:right w:val="single" w:sz="8" w:space="0" w:color="FFFFFF"/>
                  </w:tcBorders>
                  <w:shd w:val="clear" w:color="000000" w:fill="FDE9D9"/>
                  <w:noWrap/>
                  <w:vAlign w:val="center"/>
                  <w:hideMark/>
                </w:tcPr>
                <w:p w14:paraId="5F3F9613"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25%</w:t>
                  </w:r>
                </w:p>
              </w:tc>
              <w:tc>
                <w:tcPr>
                  <w:tcW w:w="1040" w:type="dxa"/>
                  <w:tcBorders>
                    <w:top w:val="nil"/>
                    <w:left w:val="nil"/>
                    <w:bottom w:val="single" w:sz="8" w:space="0" w:color="FFFFFF"/>
                    <w:right w:val="single" w:sz="8" w:space="0" w:color="FFFFFF"/>
                  </w:tcBorders>
                  <w:shd w:val="clear" w:color="000000" w:fill="FDE9D9"/>
                  <w:noWrap/>
                  <w:vAlign w:val="center"/>
                  <w:hideMark/>
                </w:tcPr>
                <w:p w14:paraId="256D402E"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19%</w:t>
                  </w:r>
                </w:p>
              </w:tc>
              <w:tc>
                <w:tcPr>
                  <w:tcW w:w="1040" w:type="dxa"/>
                  <w:tcBorders>
                    <w:top w:val="nil"/>
                    <w:left w:val="nil"/>
                    <w:bottom w:val="single" w:sz="8" w:space="0" w:color="FFFFFF"/>
                    <w:right w:val="single" w:sz="8" w:space="0" w:color="FFFFFF"/>
                  </w:tcBorders>
                  <w:shd w:val="clear" w:color="000000" w:fill="FDE9D9"/>
                  <w:noWrap/>
                  <w:vAlign w:val="center"/>
                  <w:hideMark/>
                </w:tcPr>
                <w:p w14:paraId="6B43E00D"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13%</w:t>
                  </w:r>
                </w:p>
              </w:tc>
              <w:tc>
                <w:tcPr>
                  <w:tcW w:w="1040" w:type="dxa"/>
                  <w:tcBorders>
                    <w:top w:val="nil"/>
                    <w:left w:val="nil"/>
                    <w:bottom w:val="single" w:sz="8" w:space="0" w:color="FFFFFF"/>
                    <w:right w:val="single" w:sz="8" w:space="0" w:color="FFFFFF"/>
                  </w:tcBorders>
                  <w:shd w:val="clear" w:color="000000" w:fill="FDE9D9"/>
                  <w:noWrap/>
                  <w:vAlign w:val="center"/>
                  <w:hideMark/>
                </w:tcPr>
                <w:p w14:paraId="25F74D88"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42%</w:t>
                  </w:r>
                </w:p>
              </w:tc>
              <w:tc>
                <w:tcPr>
                  <w:tcW w:w="1040" w:type="dxa"/>
                  <w:tcBorders>
                    <w:top w:val="nil"/>
                    <w:left w:val="nil"/>
                    <w:bottom w:val="single" w:sz="8" w:space="0" w:color="FFFFFF"/>
                    <w:right w:val="single" w:sz="8" w:space="0" w:color="FFFFFF"/>
                  </w:tcBorders>
                  <w:shd w:val="clear" w:color="000000" w:fill="FDE9D9"/>
                  <w:noWrap/>
                  <w:vAlign w:val="center"/>
                  <w:hideMark/>
                </w:tcPr>
                <w:p w14:paraId="1B662929"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MTN3Y</w:t>
                  </w:r>
                </w:p>
              </w:tc>
              <w:tc>
                <w:tcPr>
                  <w:tcW w:w="1040" w:type="dxa"/>
                  <w:tcBorders>
                    <w:top w:val="nil"/>
                    <w:left w:val="nil"/>
                    <w:bottom w:val="single" w:sz="8" w:space="0" w:color="FFFFFF"/>
                    <w:right w:val="single" w:sz="8" w:space="0" w:color="FFFFFF"/>
                  </w:tcBorders>
                  <w:shd w:val="clear" w:color="000000" w:fill="FDE9D9"/>
                  <w:noWrap/>
                  <w:vAlign w:val="center"/>
                  <w:hideMark/>
                </w:tcPr>
                <w:p w14:paraId="3945B9B3"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15%</w:t>
                  </w:r>
                </w:p>
              </w:tc>
              <w:tc>
                <w:tcPr>
                  <w:tcW w:w="1040" w:type="dxa"/>
                  <w:tcBorders>
                    <w:top w:val="nil"/>
                    <w:left w:val="nil"/>
                    <w:bottom w:val="single" w:sz="8" w:space="0" w:color="FFFFFF"/>
                    <w:right w:val="single" w:sz="8" w:space="0" w:color="FFFFFF"/>
                  </w:tcBorders>
                  <w:shd w:val="clear" w:color="000000" w:fill="FDE9D9"/>
                  <w:noWrap/>
                  <w:vAlign w:val="center"/>
                  <w:hideMark/>
                </w:tcPr>
                <w:p w14:paraId="42F1DD85"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11%</w:t>
                  </w:r>
                </w:p>
              </w:tc>
              <w:tc>
                <w:tcPr>
                  <w:tcW w:w="1040" w:type="dxa"/>
                  <w:tcBorders>
                    <w:top w:val="nil"/>
                    <w:left w:val="nil"/>
                    <w:bottom w:val="single" w:sz="8" w:space="0" w:color="FFFFFF"/>
                    <w:right w:val="single" w:sz="8" w:space="0" w:color="FFFFFF"/>
                  </w:tcBorders>
                  <w:shd w:val="clear" w:color="000000" w:fill="FDE9D9"/>
                  <w:noWrap/>
                  <w:vAlign w:val="center"/>
                  <w:hideMark/>
                </w:tcPr>
                <w:p w14:paraId="53CC1AD2"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6%</w:t>
                  </w:r>
                </w:p>
              </w:tc>
              <w:tc>
                <w:tcPr>
                  <w:tcW w:w="1040" w:type="dxa"/>
                  <w:tcBorders>
                    <w:top w:val="nil"/>
                    <w:left w:val="nil"/>
                    <w:bottom w:val="single" w:sz="8" w:space="0" w:color="FFFFFF"/>
                    <w:right w:val="single" w:sz="8" w:space="0" w:color="FFFFFF"/>
                  </w:tcBorders>
                  <w:shd w:val="clear" w:color="000000" w:fill="FDE9D9"/>
                  <w:noWrap/>
                  <w:vAlign w:val="center"/>
                  <w:hideMark/>
                </w:tcPr>
                <w:p w14:paraId="582DCC85"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54%</w:t>
                  </w:r>
                </w:p>
              </w:tc>
            </w:tr>
            <w:tr w:rsidR="00051876" w:rsidRPr="00051876" w14:paraId="5A8DD9AE" w14:textId="77777777" w:rsidTr="00051876">
              <w:trPr>
                <w:trHeight w:val="300"/>
              </w:trPr>
              <w:tc>
                <w:tcPr>
                  <w:tcW w:w="1288" w:type="dxa"/>
                  <w:tcBorders>
                    <w:top w:val="nil"/>
                    <w:left w:val="nil"/>
                    <w:bottom w:val="single" w:sz="8" w:space="0" w:color="FFFFFF"/>
                    <w:right w:val="single" w:sz="8" w:space="0" w:color="FFFFFF"/>
                  </w:tcBorders>
                  <w:shd w:val="clear" w:color="000000" w:fill="FCD5B4"/>
                  <w:noWrap/>
                  <w:vAlign w:val="center"/>
                  <w:hideMark/>
                </w:tcPr>
                <w:p w14:paraId="13FD3B8B"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MTN5Y</w:t>
                  </w:r>
                </w:p>
              </w:tc>
              <w:tc>
                <w:tcPr>
                  <w:tcW w:w="1040" w:type="dxa"/>
                  <w:tcBorders>
                    <w:top w:val="nil"/>
                    <w:left w:val="nil"/>
                    <w:bottom w:val="single" w:sz="8" w:space="0" w:color="FFFFFF"/>
                    <w:right w:val="single" w:sz="8" w:space="0" w:color="FFFFFF"/>
                  </w:tcBorders>
                  <w:shd w:val="clear" w:color="000000" w:fill="FCD5B4"/>
                  <w:noWrap/>
                  <w:vAlign w:val="center"/>
                  <w:hideMark/>
                </w:tcPr>
                <w:p w14:paraId="74E1EF07"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24%</w:t>
                  </w:r>
                </w:p>
              </w:tc>
              <w:tc>
                <w:tcPr>
                  <w:tcW w:w="1040" w:type="dxa"/>
                  <w:tcBorders>
                    <w:top w:val="nil"/>
                    <w:left w:val="nil"/>
                    <w:bottom w:val="single" w:sz="8" w:space="0" w:color="FFFFFF"/>
                    <w:right w:val="single" w:sz="8" w:space="0" w:color="FFFFFF"/>
                  </w:tcBorders>
                  <w:shd w:val="clear" w:color="000000" w:fill="FCD5B4"/>
                  <w:noWrap/>
                  <w:vAlign w:val="center"/>
                  <w:hideMark/>
                </w:tcPr>
                <w:p w14:paraId="1A9BCDD7"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20%</w:t>
                  </w:r>
                </w:p>
              </w:tc>
              <w:tc>
                <w:tcPr>
                  <w:tcW w:w="1040" w:type="dxa"/>
                  <w:tcBorders>
                    <w:top w:val="nil"/>
                    <w:left w:val="nil"/>
                    <w:bottom w:val="single" w:sz="8" w:space="0" w:color="FFFFFF"/>
                    <w:right w:val="single" w:sz="8" w:space="0" w:color="FFFFFF"/>
                  </w:tcBorders>
                  <w:shd w:val="clear" w:color="000000" w:fill="FCD5B4"/>
                  <w:noWrap/>
                  <w:vAlign w:val="center"/>
                  <w:hideMark/>
                </w:tcPr>
                <w:p w14:paraId="663472F7"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17%</w:t>
                  </w:r>
                </w:p>
              </w:tc>
              <w:tc>
                <w:tcPr>
                  <w:tcW w:w="1040" w:type="dxa"/>
                  <w:tcBorders>
                    <w:top w:val="nil"/>
                    <w:left w:val="nil"/>
                    <w:bottom w:val="single" w:sz="8" w:space="0" w:color="FFFFFF"/>
                    <w:right w:val="single" w:sz="8" w:space="0" w:color="FFFFFF"/>
                  </w:tcBorders>
                  <w:shd w:val="clear" w:color="000000" w:fill="FCD5B4"/>
                  <w:noWrap/>
                  <w:vAlign w:val="center"/>
                  <w:hideMark/>
                </w:tcPr>
                <w:p w14:paraId="052B60F9"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56%</w:t>
                  </w:r>
                </w:p>
              </w:tc>
              <w:tc>
                <w:tcPr>
                  <w:tcW w:w="1040" w:type="dxa"/>
                  <w:tcBorders>
                    <w:top w:val="nil"/>
                    <w:left w:val="nil"/>
                    <w:bottom w:val="single" w:sz="8" w:space="0" w:color="FFFFFF"/>
                    <w:right w:val="single" w:sz="8" w:space="0" w:color="FFFFFF"/>
                  </w:tcBorders>
                  <w:shd w:val="clear" w:color="000000" w:fill="FCD5B4"/>
                  <w:noWrap/>
                  <w:vAlign w:val="center"/>
                  <w:hideMark/>
                </w:tcPr>
                <w:p w14:paraId="6C33F1DE"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MTN5Y</w:t>
                  </w:r>
                </w:p>
              </w:tc>
              <w:tc>
                <w:tcPr>
                  <w:tcW w:w="1040" w:type="dxa"/>
                  <w:tcBorders>
                    <w:top w:val="nil"/>
                    <w:left w:val="nil"/>
                    <w:bottom w:val="single" w:sz="8" w:space="0" w:color="FFFFFF"/>
                    <w:right w:val="single" w:sz="8" w:space="0" w:color="FFFFFF"/>
                  </w:tcBorders>
                  <w:shd w:val="clear" w:color="000000" w:fill="FCD5B4"/>
                  <w:noWrap/>
                  <w:vAlign w:val="center"/>
                  <w:hideMark/>
                </w:tcPr>
                <w:p w14:paraId="1FD2C172"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25%</w:t>
                  </w:r>
                </w:p>
              </w:tc>
              <w:tc>
                <w:tcPr>
                  <w:tcW w:w="1040" w:type="dxa"/>
                  <w:tcBorders>
                    <w:top w:val="nil"/>
                    <w:left w:val="nil"/>
                    <w:bottom w:val="single" w:sz="8" w:space="0" w:color="FFFFFF"/>
                    <w:right w:val="single" w:sz="8" w:space="0" w:color="FFFFFF"/>
                  </w:tcBorders>
                  <w:shd w:val="clear" w:color="000000" w:fill="FCD5B4"/>
                  <w:noWrap/>
                  <w:vAlign w:val="center"/>
                  <w:hideMark/>
                </w:tcPr>
                <w:p w14:paraId="7353E630"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18%</w:t>
                  </w:r>
                </w:p>
              </w:tc>
              <w:tc>
                <w:tcPr>
                  <w:tcW w:w="1040" w:type="dxa"/>
                  <w:tcBorders>
                    <w:top w:val="nil"/>
                    <w:left w:val="nil"/>
                    <w:bottom w:val="single" w:sz="8" w:space="0" w:color="FFFFFF"/>
                    <w:right w:val="single" w:sz="8" w:space="0" w:color="FFFFFF"/>
                  </w:tcBorders>
                  <w:shd w:val="clear" w:color="000000" w:fill="FCD5B4"/>
                  <w:noWrap/>
                  <w:vAlign w:val="center"/>
                  <w:hideMark/>
                </w:tcPr>
                <w:p w14:paraId="74B2ACFB"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14%</w:t>
                  </w:r>
                </w:p>
              </w:tc>
              <w:tc>
                <w:tcPr>
                  <w:tcW w:w="1040" w:type="dxa"/>
                  <w:tcBorders>
                    <w:top w:val="nil"/>
                    <w:left w:val="nil"/>
                    <w:bottom w:val="single" w:sz="8" w:space="0" w:color="FFFFFF"/>
                    <w:right w:val="single" w:sz="8" w:space="0" w:color="FFFFFF"/>
                  </w:tcBorders>
                  <w:shd w:val="clear" w:color="000000" w:fill="FCD5B4"/>
                  <w:noWrap/>
                  <w:vAlign w:val="center"/>
                  <w:hideMark/>
                </w:tcPr>
                <w:p w14:paraId="05A3089B"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71%</w:t>
                  </w:r>
                </w:p>
              </w:tc>
            </w:tr>
            <w:tr w:rsidR="00051876" w:rsidRPr="00051876" w14:paraId="6FA4BF1E" w14:textId="77777777" w:rsidTr="00051876">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0EE4CAF8"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企业债3Y</w:t>
                  </w:r>
                </w:p>
              </w:tc>
              <w:tc>
                <w:tcPr>
                  <w:tcW w:w="1040" w:type="dxa"/>
                  <w:tcBorders>
                    <w:top w:val="nil"/>
                    <w:left w:val="nil"/>
                    <w:bottom w:val="single" w:sz="8" w:space="0" w:color="FFFFFF"/>
                    <w:right w:val="single" w:sz="8" w:space="0" w:color="FFFFFF"/>
                  </w:tcBorders>
                  <w:shd w:val="clear" w:color="000000" w:fill="FDE9D9"/>
                  <w:noWrap/>
                  <w:vAlign w:val="center"/>
                  <w:hideMark/>
                </w:tcPr>
                <w:p w14:paraId="7A4B4F00"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26%</w:t>
                  </w:r>
                </w:p>
              </w:tc>
              <w:tc>
                <w:tcPr>
                  <w:tcW w:w="1040" w:type="dxa"/>
                  <w:tcBorders>
                    <w:top w:val="nil"/>
                    <w:left w:val="nil"/>
                    <w:bottom w:val="single" w:sz="8" w:space="0" w:color="FFFFFF"/>
                    <w:right w:val="single" w:sz="8" w:space="0" w:color="FFFFFF"/>
                  </w:tcBorders>
                  <w:shd w:val="clear" w:color="000000" w:fill="FDE9D9"/>
                  <w:noWrap/>
                  <w:vAlign w:val="center"/>
                  <w:hideMark/>
                </w:tcPr>
                <w:p w14:paraId="3622BB12"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19%</w:t>
                  </w:r>
                </w:p>
              </w:tc>
              <w:tc>
                <w:tcPr>
                  <w:tcW w:w="1040" w:type="dxa"/>
                  <w:tcBorders>
                    <w:top w:val="nil"/>
                    <w:left w:val="nil"/>
                    <w:bottom w:val="single" w:sz="8" w:space="0" w:color="FFFFFF"/>
                    <w:right w:val="single" w:sz="8" w:space="0" w:color="FFFFFF"/>
                  </w:tcBorders>
                  <w:shd w:val="clear" w:color="000000" w:fill="FDE9D9"/>
                  <w:noWrap/>
                  <w:vAlign w:val="center"/>
                  <w:hideMark/>
                </w:tcPr>
                <w:p w14:paraId="6D6F75FB"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13%</w:t>
                  </w:r>
                </w:p>
              </w:tc>
              <w:tc>
                <w:tcPr>
                  <w:tcW w:w="1040" w:type="dxa"/>
                  <w:tcBorders>
                    <w:top w:val="nil"/>
                    <w:left w:val="nil"/>
                    <w:bottom w:val="single" w:sz="8" w:space="0" w:color="FFFFFF"/>
                    <w:right w:val="single" w:sz="8" w:space="0" w:color="FFFFFF"/>
                  </w:tcBorders>
                  <w:shd w:val="clear" w:color="000000" w:fill="FDE9D9"/>
                  <w:noWrap/>
                  <w:vAlign w:val="center"/>
                  <w:hideMark/>
                </w:tcPr>
                <w:p w14:paraId="680E1338"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41%</w:t>
                  </w:r>
                </w:p>
              </w:tc>
              <w:tc>
                <w:tcPr>
                  <w:tcW w:w="1040" w:type="dxa"/>
                  <w:tcBorders>
                    <w:top w:val="nil"/>
                    <w:left w:val="nil"/>
                    <w:bottom w:val="single" w:sz="8" w:space="0" w:color="FFFFFF"/>
                    <w:right w:val="single" w:sz="8" w:space="0" w:color="FFFFFF"/>
                  </w:tcBorders>
                  <w:shd w:val="clear" w:color="000000" w:fill="FDE9D9"/>
                  <w:noWrap/>
                  <w:vAlign w:val="center"/>
                  <w:hideMark/>
                </w:tcPr>
                <w:p w14:paraId="7F04410D"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企业债3Y</w:t>
                  </w:r>
                </w:p>
              </w:tc>
              <w:tc>
                <w:tcPr>
                  <w:tcW w:w="1040" w:type="dxa"/>
                  <w:tcBorders>
                    <w:top w:val="nil"/>
                    <w:left w:val="nil"/>
                    <w:bottom w:val="single" w:sz="8" w:space="0" w:color="FFFFFF"/>
                    <w:right w:val="single" w:sz="8" w:space="0" w:color="FFFFFF"/>
                  </w:tcBorders>
                  <w:shd w:val="clear" w:color="000000" w:fill="FDE9D9"/>
                  <w:noWrap/>
                  <w:vAlign w:val="center"/>
                  <w:hideMark/>
                </w:tcPr>
                <w:p w14:paraId="61409DA3"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17%</w:t>
                  </w:r>
                </w:p>
              </w:tc>
              <w:tc>
                <w:tcPr>
                  <w:tcW w:w="1040" w:type="dxa"/>
                  <w:tcBorders>
                    <w:top w:val="nil"/>
                    <w:left w:val="nil"/>
                    <w:bottom w:val="single" w:sz="8" w:space="0" w:color="FFFFFF"/>
                    <w:right w:val="single" w:sz="8" w:space="0" w:color="FFFFFF"/>
                  </w:tcBorders>
                  <w:shd w:val="clear" w:color="000000" w:fill="FDE9D9"/>
                  <w:noWrap/>
                  <w:vAlign w:val="center"/>
                  <w:hideMark/>
                </w:tcPr>
                <w:p w14:paraId="06EC5142"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11%</w:t>
                  </w:r>
                </w:p>
              </w:tc>
              <w:tc>
                <w:tcPr>
                  <w:tcW w:w="1040" w:type="dxa"/>
                  <w:tcBorders>
                    <w:top w:val="nil"/>
                    <w:left w:val="nil"/>
                    <w:bottom w:val="single" w:sz="8" w:space="0" w:color="FFFFFF"/>
                    <w:right w:val="single" w:sz="8" w:space="0" w:color="FFFFFF"/>
                  </w:tcBorders>
                  <w:shd w:val="clear" w:color="000000" w:fill="FDE9D9"/>
                  <w:noWrap/>
                  <w:vAlign w:val="center"/>
                  <w:hideMark/>
                </w:tcPr>
                <w:p w14:paraId="32F5F8B1"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7%</w:t>
                  </w:r>
                </w:p>
              </w:tc>
              <w:tc>
                <w:tcPr>
                  <w:tcW w:w="1040" w:type="dxa"/>
                  <w:tcBorders>
                    <w:top w:val="nil"/>
                    <w:left w:val="nil"/>
                    <w:bottom w:val="single" w:sz="8" w:space="0" w:color="FFFFFF"/>
                    <w:right w:val="single" w:sz="8" w:space="0" w:color="FFFFFF"/>
                  </w:tcBorders>
                  <w:shd w:val="clear" w:color="000000" w:fill="FDE9D9"/>
                  <w:noWrap/>
                  <w:vAlign w:val="center"/>
                  <w:hideMark/>
                </w:tcPr>
                <w:p w14:paraId="21525C1E"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55%</w:t>
                  </w:r>
                </w:p>
              </w:tc>
            </w:tr>
            <w:tr w:rsidR="00051876" w:rsidRPr="00051876" w14:paraId="18F5B35A" w14:textId="77777777" w:rsidTr="00051876">
              <w:trPr>
                <w:trHeight w:val="300"/>
              </w:trPr>
              <w:tc>
                <w:tcPr>
                  <w:tcW w:w="1288" w:type="dxa"/>
                  <w:tcBorders>
                    <w:top w:val="nil"/>
                    <w:left w:val="nil"/>
                    <w:bottom w:val="single" w:sz="8" w:space="0" w:color="FFFFFF"/>
                    <w:right w:val="single" w:sz="8" w:space="0" w:color="FFFFFF"/>
                  </w:tcBorders>
                  <w:shd w:val="clear" w:color="000000" w:fill="FCD5B4"/>
                  <w:noWrap/>
                  <w:vAlign w:val="center"/>
                  <w:hideMark/>
                </w:tcPr>
                <w:p w14:paraId="1E44C209"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企业债5Y</w:t>
                  </w:r>
                </w:p>
              </w:tc>
              <w:tc>
                <w:tcPr>
                  <w:tcW w:w="1040" w:type="dxa"/>
                  <w:tcBorders>
                    <w:top w:val="nil"/>
                    <w:left w:val="nil"/>
                    <w:bottom w:val="single" w:sz="8" w:space="0" w:color="FFFFFF"/>
                    <w:right w:val="single" w:sz="8" w:space="0" w:color="FFFFFF"/>
                  </w:tcBorders>
                  <w:shd w:val="clear" w:color="000000" w:fill="FCD5B4"/>
                  <w:noWrap/>
                  <w:vAlign w:val="center"/>
                  <w:hideMark/>
                </w:tcPr>
                <w:p w14:paraId="4ED4888B"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25%</w:t>
                  </w:r>
                </w:p>
              </w:tc>
              <w:tc>
                <w:tcPr>
                  <w:tcW w:w="1040" w:type="dxa"/>
                  <w:tcBorders>
                    <w:top w:val="nil"/>
                    <w:left w:val="nil"/>
                    <w:bottom w:val="single" w:sz="8" w:space="0" w:color="FFFFFF"/>
                    <w:right w:val="single" w:sz="8" w:space="0" w:color="FFFFFF"/>
                  </w:tcBorders>
                  <w:shd w:val="clear" w:color="000000" w:fill="FCD5B4"/>
                  <w:noWrap/>
                  <w:vAlign w:val="center"/>
                  <w:hideMark/>
                </w:tcPr>
                <w:p w14:paraId="4A871BF4"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20%</w:t>
                  </w:r>
                </w:p>
              </w:tc>
              <w:tc>
                <w:tcPr>
                  <w:tcW w:w="1040" w:type="dxa"/>
                  <w:tcBorders>
                    <w:top w:val="nil"/>
                    <w:left w:val="nil"/>
                    <w:bottom w:val="single" w:sz="8" w:space="0" w:color="FFFFFF"/>
                    <w:right w:val="single" w:sz="8" w:space="0" w:color="FFFFFF"/>
                  </w:tcBorders>
                  <w:shd w:val="clear" w:color="000000" w:fill="FCD5B4"/>
                  <w:noWrap/>
                  <w:vAlign w:val="center"/>
                  <w:hideMark/>
                </w:tcPr>
                <w:p w14:paraId="3C484937"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17%</w:t>
                  </w:r>
                </w:p>
              </w:tc>
              <w:tc>
                <w:tcPr>
                  <w:tcW w:w="1040" w:type="dxa"/>
                  <w:tcBorders>
                    <w:top w:val="nil"/>
                    <w:left w:val="nil"/>
                    <w:bottom w:val="single" w:sz="8" w:space="0" w:color="FFFFFF"/>
                    <w:right w:val="single" w:sz="8" w:space="0" w:color="FFFFFF"/>
                  </w:tcBorders>
                  <w:shd w:val="clear" w:color="000000" w:fill="FCD5B4"/>
                  <w:noWrap/>
                  <w:vAlign w:val="center"/>
                  <w:hideMark/>
                </w:tcPr>
                <w:p w14:paraId="3C2D9A33"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53%</w:t>
                  </w:r>
                </w:p>
              </w:tc>
              <w:tc>
                <w:tcPr>
                  <w:tcW w:w="1040" w:type="dxa"/>
                  <w:tcBorders>
                    <w:top w:val="nil"/>
                    <w:left w:val="nil"/>
                    <w:bottom w:val="single" w:sz="8" w:space="0" w:color="FFFFFF"/>
                    <w:right w:val="single" w:sz="8" w:space="0" w:color="FFFFFF"/>
                  </w:tcBorders>
                  <w:shd w:val="clear" w:color="000000" w:fill="FCD5B4"/>
                  <w:noWrap/>
                  <w:vAlign w:val="center"/>
                  <w:hideMark/>
                </w:tcPr>
                <w:p w14:paraId="3C815A7D"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企业债5Y</w:t>
                  </w:r>
                </w:p>
              </w:tc>
              <w:tc>
                <w:tcPr>
                  <w:tcW w:w="1040" w:type="dxa"/>
                  <w:tcBorders>
                    <w:top w:val="nil"/>
                    <w:left w:val="nil"/>
                    <w:bottom w:val="single" w:sz="8" w:space="0" w:color="FFFFFF"/>
                    <w:right w:val="single" w:sz="8" w:space="0" w:color="FFFFFF"/>
                  </w:tcBorders>
                  <w:shd w:val="clear" w:color="000000" w:fill="FCD5B4"/>
                  <w:noWrap/>
                  <w:vAlign w:val="center"/>
                  <w:hideMark/>
                </w:tcPr>
                <w:p w14:paraId="49793D95"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26%</w:t>
                  </w:r>
                </w:p>
              </w:tc>
              <w:tc>
                <w:tcPr>
                  <w:tcW w:w="1040" w:type="dxa"/>
                  <w:tcBorders>
                    <w:top w:val="nil"/>
                    <w:left w:val="nil"/>
                    <w:bottom w:val="single" w:sz="8" w:space="0" w:color="FFFFFF"/>
                    <w:right w:val="single" w:sz="8" w:space="0" w:color="FFFFFF"/>
                  </w:tcBorders>
                  <w:shd w:val="clear" w:color="000000" w:fill="FCD5B4"/>
                  <w:noWrap/>
                  <w:vAlign w:val="center"/>
                  <w:hideMark/>
                </w:tcPr>
                <w:p w14:paraId="4B3C649B"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16%</w:t>
                  </w:r>
                </w:p>
              </w:tc>
              <w:tc>
                <w:tcPr>
                  <w:tcW w:w="1040" w:type="dxa"/>
                  <w:tcBorders>
                    <w:top w:val="nil"/>
                    <w:left w:val="nil"/>
                    <w:bottom w:val="single" w:sz="8" w:space="0" w:color="FFFFFF"/>
                    <w:right w:val="single" w:sz="8" w:space="0" w:color="FFFFFF"/>
                  </w:tcBorders>
                  <w:shd w:val="clear" w:color="000000" w:fill="FCD5B4"/>
                  <w:noWrap/>
                  <w:vAlign w:val="center"/>
                  <w:hideMark/>
                </w:tcPr>
                <w:p w14:paraId="66EC623A"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12%</w:t>
                  </w:r>
                </w:p>
              </w:tc>
              <w:tc>
                <w:tcPr>
                  <w:tcW w:w="1040" w:type="dxa"/>
                  <w:tcBorders>
                    <w:top w:val="nil"/>
                    <w:left w:val="nil"/>
                    <w:bottom w:val="single" w:sz="8" w:space="0" w:color="FFFFFF"/>
                    <w:right w:val="single" w:sz="8" w:space="0" w:color="FFFFFF"/>
                  </w:tcBorders>
                  <w:shd w:val="clear" w:color="000000" w:fill="FCD5B4"/>
                  <w:noWrap/>
                  <w:vAlign w:val="center"/>
                  <w:hideMark/>
                </w:tcPr>
                <w:p w14:paraId="158135B2"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71%</w:t>
                  </w:r>
                </w:p>
              </w:tc>
            </w:tr>
            <w:tr w:rsidR="00051876" w:rsidRPr="00051876" w14:paraId="0883C9DB" w14:textId="77777777" w:rsidTr="00051876">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24EE3453"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企业债7Y</w:t>
                  </w:r>
                </w:p>
              </w:tc>
              <w:tc>
                <w:tcPr>
                  <w:tcW w:w="1040" w:type="dxa"/>
                  <w:tcBorders>
                    <w:top w:val="nil"/>
                    <w:left w:val="nil"/>
                    <w:bottom w:val="single" w:sz="8" w:space="0" w:color="FFFFFF"/>
                    <w:right w:val="single" w:sz="8" w:space="0" w:color="FFFFFF"/>
                  </w:tcBorders>
                  <w:shd w:val="clear" w:color="000000" w:fill="FDE9D9"/>
                  <w:noWrap/>
                  <w:vAlign w:val="center"/>
                  <w:hideMark/>
                </w:tcPr>
                <w:p w14:paraId="615A2992"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17%</w:t>
                  </w:r>
                </w:p>
              </w:tc>
              <w:tc>
                <w:tcPr>
                  <w:tcW w:w="1040" w:type="dxa"/>
                  <w:tcBorders>
                    <w:top w:val="nil"/>
                    <w:left w:val="nil"/>
                    <w:bottom w:val="single" w:sz="8" w:space="0" w:color="FFFFFF"/>
                    <w:right w:val="single" w:sz="8" w:space="0" w:color="FFFFFF"/>
                  </w:tcBorders>
                  <w:shd w:val="clear" w:color="000000" w:fill="FDE9D9"/>
                  <w:noWrap/>
                  <w:vAlign w:val="center"/>
                  <w:hideMark/>
                </w:tcPr>
                <w:p w14:paraId="5AF9A293"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10%</w:t>
                  </w:r>
                </w:p>
              </w:tc>
              <w:tc>
                <w:tcPr>
                  <w:tcW w:w="1040" w:type="dxa"/>
                  <w:tcBorders>
                    <w:top w:val="nil"/>
                    <w:left w:val="nil"/>
                    <w:bottom w:val="single" w:sz="8" w:space="0" w:color="FFFFFF"/>
                    <w:right w:val="single" w:sz="8" w:space="0" w:color="FFFFFF"/>
                  </w:tcBorders>
                  <w:shd w:val="clear" w:color="000000" w:fill="FDE9D9"/>
                  <w:noWrap/>
                  <w:vAlign w:val="center"/>
                  <w:hideMark/>
                </w:tcPr>
                <w:p w14:paraId="35DEC7C1"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7%</w:t>
                  </w:r>
                </w:p>
              </w:tc>
              <w:tc>
                <w:tcPr>
                  <w:tcW w:w="1040" w:type="dxa"/>
                  <w:tcBorders>
                    <w:top w:val="nil"/>
                    <w:left w:val="nil"/>
                    <w:bottom w:val="single" w:sz="8" w:space="0" w:color="FFFFFF"/>
                    <w:right w:val="single" w:sz="8" w:space="0" w:color="FFFFFF"/>
                  </w:tcBorders>
                  <w:shd w:val="clear" w:color="000000" w:fill="FDE9D9"/>
                  <w:noWrap/>
                  <w:vAlign w:val="center"/>
                  <w:hideMark/>
                </w:tcPr>
                <w:p w14:paraId="3EA21599"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39%</w:t>
                  </w:r>
                </w:p>
              </w:tc>
              <w:tc>
                <w:tcPr>
                  <w:tcW w:w="1040" w:type="dxa"/>
                  <w:tcBorders>
                    <w:top w:val="nil"/>
                    <w:left w:val="nil"/>
                    <w:bottom w:val="single" w:sz="8" w:space="0" w:color="FFFFFF"/>
                    <w:right w:val="single" w:sz="8" w:space="0" w:color="FFFFFF"/>
                  </w:tcBorders>
                  <w:shd w:val="clear" w:color="000000" w:fill="FDE9D9"/>
                  <w:noWrap/>
                  <w:vAlign w:val="center"/>
                  <w:hideMark/>
                </w:tcPr>
                <w:p w14:paraId="6B236A4B" w14:textId="77777777" w:rsidR="00051876" w:rsidRPr="00051876" w:rsidRDefault="00051876" w:rsidP="00051876">
                  <w:pPr>
                    <w:widowControl/>
                    <w:jc w:val="center"/>
                    <w:rPr>
                      <w:rFonts w:ascii="楷体" w:eastAsia="楷体" w:hAnsi="楷体" w:cs="宋体"/>
                      <w:color w:val="000000"/>
                      <w:kern w:val="0"/>
                      <w:sz w:val="16"/>
                      <w:szCs w:val="16"/>
                    </w:rPr>
                  </w:pPr>
                  <w:r w:rsidRPr="00051876">
                    <w:rPr>
                      <w:rFonts w:ascii="楷体" w:eastAsia="楷体" w:hAnsi="楷体" w:cs="宋体" w:hint="eastAsia"/>
                      <w:color w:val="000000"/>
                      <w:kern w:val="0"/>
                      <w:sz w:val="16"/>
                      <w:szCs w:val="16"/>
                    </w:rPr>
                    <w:t>企业债7Y</w:t>
                  </w:r>
                </w:p>
              </w:tc>
              <w:tc>
                <w:tcPr>
                  <w:tcW w:w="1040" w:type="dxa"/>
                  <w:tcBorders>
                    <w:top w:val="nil"/>
                    <w:left w:val="nil"/>
                    <w:bottom w:val="single" w:sz="8" w:space="0" w:color="FFFFFF"/>
                    <w:right w:val="single" w:sz="8" w:space="0" w:color="FFFFFF"/>
                  </w:tcBorders>
                  <w:shd w:val="clear" w:color="000000" w:fill="FDE9D9"/>
                  <w:noWrap/>
                  <w:vAlign w:val="center"/>
                  <w:hideMark/>
                </w:tcPr>
                <w:p w14:paraId="48B1A5AC"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18%</w:t>
                  </w:r>
                </w:p>
              </w:tc>
              <w:tc>
                <w:tcPr>
                  <w:tcW w:w="1040" w:type="dxa"/>
                  <w:tcBorders>
                    <w:top w:val="nil"/>
                    <w:left w:val="nil"/>
                    <w:bottom w:val="single" w:sz="8" w:space="0" w:color="FFFFFF"/>
                    <w:right w:val="single" w:sz="8" w:space="0" w:color="FFFFFF"/>
                  </w:tcBorders>
                  <w:shd w:val="clear" w:color="000000" w:fill="FDE9D9"/>
                  <w:noWrap/>
                  <w:vAlign w:val="center"/>
                  <w:hideMark/>
                </w:tcPr>
                <w:p w14:paraId="622D9D03"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7%</w:t>
                  </w:r>
                </w:p>
              </w:tc>
              <w:tc>
                <w:tcPr>
                  <w:tcW w:w="1040" w:type="dxa"/>
                  <w:tcBorders>
                    <w:top w:val="nil"/>
                    <w:left w:val="nil"/>
                    <w:bottom w:val="single" w:sz="8" w:space="0" w:color="FFFFFF"/>
                    <w:right w:val="single" w:sz="8" w:space="0" w:color="FFFFFF"/>
                  </w:tcBorders>
                  <w:shd w:val="clear" w:color="000000" w:fill="FDE9D9"/>
                  <w:noWrap/>
                  <w:vAlign w:val="center"/>
                  <w:hideMark/>
                </w:tcPr>
                <w:p w14:paraId="0AED5AA7"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4%</w:t>
                  </w:r>
                </w:p>
              </w:tc>
              <w:tc>
                <w:tcPr>
                  <w:tcW w:w="1040" w:type="dxa"/>
                  <w:tcBorders>
                    <w:top w:val="nil"/>
                    <w:left w:val="nil"/>
                    <w:bottom w:val="single" w:sz="8" w:space="0" w:color="FFFFFF"/>
                    <w:right w:val="single" w:sz="8" w:space="0" w:color="FFFFFF"/>
                  </w:tcBorders>
                  <w:shd w:val="clear" w:color="000000" w:fill="FDE9D9"/>
                  <w:noWrap/>
                  <w:vAlign w:val="center"/>
                  <w:hideMark/>
                </w:tcPr>
                <w:p w14:paraId="4EBB74FC"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56%</w:t>
                  </w:r>
                </w:p>
              </w:tc>
            </w:tr>
            <w:tr w:rsidR="00051876" w:rsidRPr="00051876" w14:paraId="2C6FF462" w14:textId="77777777" w:rsidTr="00051876">
              <w:trPr>
                <w:trHeight w:val="300"/>
              </w:trPr>
              <w:tc>
                <w:tcPr>
                  <w:tcW w:w="1288" w:type="dxa"/>
                  <w:tcBorders>
                    <w:top w:val="nil"/>
                    <w:left w:val="nil"/>
                    <w:bottom w:val="single" w:sz="8" w:space="0" w:color="FFFFFF"/>
                    <w:right w:val="single" w:sz="8" w:space="0" w:color="FFFFFF"/>
                  </w:tcBorders>
                  <w:shd w:val="clear" w:color="000000" w:fill="FCD5B4"/>
                  <w:noWrap/>
                  <w:vAlign w:val="center"/>
                  <w:hideMark/>
                </w:tcPr>
                <w:p w14:paraId="42E39606" w14:textId="77777777" w:rsidR="00051876" w:rsidRPr="00051876" w:rsidRDefault="00051876" w:rsidP="00051876">
                  <w:pPr>
                    <w:widowControl/>
                    <w:jc w:val="center"/>
                    <w:rPr>
                      <w:rFonts w:ascii="楷体" w:eastAsia="楷体" w:hAnsi="楷体" w:cs="宋体"/>
                      <w:color w:val="000000"/>
                      <w:kern w:val="0"/>
                      <w:sz w:val="16"/>
                      <w:szCs w:val="16"/>
                    </w:rPr>
                  </w:pPr>
                  <w:proofErr w:type="gramStart"/>
                  <w:r w:rsidRPr="00051876">
                    <w:rPr>
                      <w:rFonts w:ascii="楷体" w:eastAsia="楷体" w:hAnsi="楷体" w:cs="宋体" w:hint="eastAsia"/>
                      <w:color w:val="000000"/>
                      <w:kern w:val="0"/>
                      <w:sz w:val="16"/>
                      <w:szCs w:val="16"/>
                    </w:rPr>
                    <w:t>城投债</w:t>
                  </w:r>
                  <w:proofErr w:type="gramEnd"/>
                  <w:r w:rsidRPr="00051876">
                    <w:rPr>
                      <w:rFonts w:ascii="楷体" w:eastAsia="楷体" w:hAnsi="楷体" w:cs="宋体" w:hint="eastAsia"/>
                      <w:color w:val="000000"/>
                      <w:kern w:val="0"/>
                      <w:sz w:val="16"/>
                      <w:szCs w:val="16"/>
                    </w:rPr>
                    <w:t>3Y</w:t>
                  </w:r>
                </w:p>
              </w:tc>
              <w:tc>
                <w:tcPr>
                  <w:tcW w:w="1040" w:type="dxa"/>
                  <w:tcBorders>
                    <w:top w:val="nil"/>
                    <w:left w:val="nil"/>
                    <w:bottom w:val="single" w:sz="8" w:space="0" w:color="FFFFFF"/>
                    <w:right w:val="single" w:sz="8" w:space="0" w:color="FFFFFF"/>
                  </w:tcBorders>
                  <w:shd w:val="clear" w:color="000000" w:fill="FCD5B4"/>
                  <w:noWrap/>
                  <w:vAlign w:val="center"/>
                  <w:hideMark/>
                </w:tcPr>
                <w:p w14:paraId="2FFF3840"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19%</w:t>
                  </w:r>
                </w:p>
              </w:tc>
              <w:tc>
                <w:tcPr>
                  <w:tcW w:w="1040" w:type="dxa"/>
                  <w:tcBorders>
                    <w:top w:val="nil"/>
                    <w:left w:val="nil"/>
                    <w:bottom w:val="single" w:sz="8" w:space="0" w:color="FFFFFF"/>
                    <w:right w:val="single" w:sz="8" w:space="0" w:color="FFFFFF"/>
                  </w:tcBorders>
                  <w:shd w:val="clear" w:color="000000" w:fill="FCD5B4"/>
                  <w:noWrap/>
                  <w:vAlign w:val="center"/>
                  <w:hideMark/>
                </w:tcPr>
                <w:p w14:paraId="6D1DC172"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17%</w:t>
                  </w:r>
                </w:p>
              </w:tc>
              <w:tc>
                <w:tcPr>
                  <w:tcW w:w="1040" w:type="dxa"/>
                  <w:tcBorders>
                    <w:top w:val="nil"/>
                    <w:left w:val="nil"/>
                    <w:bottom w:val="single" w:sz="8" w:space="0" w:color="FFFFFF"/>
                    <w:right w:val="single" w:sz="8" w:space="0" w:color="FFFFFF"/>
                  </w:tcBorders>
                  <w:shd w:val="clear" w:color="000000" w:fill="FCD5B4"/>
                  <w:noWrap/>
                  <w:vAlign w:val="center"/>
                  <w:hideMark/>
                </w:tcPr>
                <w:p w14:paraId="29931638"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13%</w:t>
                  </w:r>
                </w:p>
              </w:tc>
              <w:tc>
                <w:tcPr>
                  <w:tcW w:w="1040" w:type="dxa"/>
                  <w:tcBorders>
                    <w:top w:val="nil"/>
                    <w:left w:val="nil"/>
                    <w:bottom w:val="single" w:sz="8" w:space="0" w:color="FFFFFF"/>
                    <w:right w:val="single" w:sz="8" w:space="0" w:color="FFFFFF"/>
                  </w:tcBorders>
                  <w:shd w:val="clear" w:color="000000" w:fill="FCD5B4"/>
                  <w:noWrap/>
                  <w:vAlign w:val="center"/>
                  <w:hideMark/>
                </w:tcPr>
                <w:p w14:paraId="0AC83A17"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33%</w:t>
                  </w:r>
                </w:p>
              </w:tc>
              <w:tc>
                <w:tcPr>
                  <w:tcW w:w="1040" w:type="dxa"/>
                  <w:tcBorders>
                    <w:top w:val="nil"/>
                    <w:left w:val="nil"/>
                    <w:bottom w:val="single" w:sz="8" w:space="0" w:color="FFFFFF"/>
                    <w:right w:val="single" w:sz="8" w:space="0" w:color="FFFFFF"/>
                  </w:tcBorders>
                  <w:shd w:val="clear" w:color="000000" w:fill="FCD5B4"/>
                  <w:noWrap/>
                  <w:vAlign w:val="center"/>
                  <w:hideMark/>
                </w:tcPr>
                <w:p w14:paraId="3E692C5E" w14:textId="77777777" w:rsidR="00051876" w:rsidRPr="00051876" w:rsidRDefault="00051876" w:rsidP="00051876">
                  <w:pPr>
                    <w:widowControl/>
                    <w:jc w:val="center"/>
                    <w:rPr>
                      <w:rFonts w:ascii="楷体" w:eastAsia="楷体" w:hAnsi="楷体" w:cs="宋体"/>
                      <w:color w:val="000000"/>
                      <w:kern w:val="0"/>
                      <w:sz w:val="16"/>
                      <w:szCs w:val="16"/>
                    </w:rPr>
                  </w:pPr>
                  <w:proofErr w:type="gramStart"/>
                  <w:r w:rsidRPr="00051876">
                    <w:rPr>
                      <w:rFonts w:ascii="楷体" w:eastAsia="楷体" w:hAnsi="楷体" w:cs="宋体" w:hint="eastAsia"/>
                      <w:color w:val="000000"/>
                      <w:kern w:val="0"/>
                      <w:sz w:val="16"/>
                      <w:szCs w:val="16"/>
                    </w:rPr>
                    <w:t>城投债</w:t>
                  </w:r>
                  <w:proofErr w:type="gramEnd"/>
                  <w:r w:rsidRPr="00051876">
                    <w:rPr>
                      <w:rFonts w:ascii="楷体" w:eastAsia="楷体" w:hAnsi="楷体" w:cs="宋体" w:hint="eastAsia"/>
                      <w:color w:val="000000"/>
                      <w:kern w:val="0"/>
                      <w:sz w:val="16"/>
                      <w:szCs w:val="16"/>
                    </w:rPr>
                    <w:t>3Y</w:t>
                  </w:r>
                </w:p>
              </w:tc>
              <w:tc>
                <w:tcPr>
                  <w:tcW w:w="1040" w:type="dxa"/>
                  <w:tcBorders>
                    <w:top w:val="nil"/>
                    <w:left w:val="nil"/>
                    <w:bottom w:val="single" w:sz="8" w:space="0" w:color="FFFFFF"/>
                    <w:right w:val="single" w:sz="8" w:space="0" w:color="FFFFFF"/>
                  </w:tcBorders>
                  <w:shd w:val="clear" w:color="000000" w:fill="FCD5B4"/>
                  <w:noWrap/>
                  <w:vAlign w:val="center"/>
                  <w:hideMark/>
                </w:tcPr>
                <w:p w14:paraId="63D7EBD6"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12%</w:t>
                  </w:r>
                </w:p>
              </w:tc>
              <w:tc>
                <w:tcPr>
                  <w:tcW w:w="1040" w:type="dxa"/>
                  <w:tcBorders>
                    <w:top w:val="nil"/>
                    <w:left w:val="nil"/>
                    <w:bottom w:val="single" w:sz="8" w:space="0" w:color="FFFFFF"/>
                    <w:right w:val="single" w:sz="8" w:space="0" w:color="FFFFFF"/>
                  </w:tcBorders>
                  <w:shd w:val="clear" w:color="000000" w:fill="FCD5B4"/>
                  <w:noWrap/>
                  <w:vAlign w:val="center"/>
                  <w:hideMark/>
                </w:tcPr>
                <w:p w14:paraId="6D7F5AD7"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14%</w:t>
                  </w:r>
                </w:p>
              </w:tc>
              <w:tc>
                <w:tcPr>
                  <w:tcW w:w="1040" w:type="dxa"/>
                  <w:tcBorders>
                    <w:top w:val="nil"/>
                    <w:left w:val="nil"/>
                    <w:bottom w:val="single" w:sz="8" w:space="0" w:color="FFFFFF"/>
                    <w:right w:val="single" w:sz="8" w:space="0" w:color="FFFFFF"/>
                  </w:tcBorders>
                  <w:shd w:val="clear" w:color="000000" w:fill="FCD5B4"/>
                  <w:noWrap/>
                  <w:vAlign w:val="center"/>
                  <w:hideMark/>
                </w:tcPr>
                <w:p w14:paraId="49CCCBBD"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10%</w:t>
                  </w:r>
                </w:p>
              </w:tc>
              <w:tc>
                <w:tcPr>
                  <w:tcW w:w="1040" w:type="dxa"/>
                  <w:tcBorders>
                    <w:top w:val="nil"/>
                    <w:left w:val="nil"/>
                    <w:bottom w:val="single" w:sz="8" w:space="0" w:color="FFFFFF"/>
                    <w:right w:val="single" w:sz="8" w:space="0" w:color="FFFFFF"/>
                  </w:tcBorders>
                  <w:shd w:val="clear" w:color="000000" w:fill="FCD5B4"/>
                  <w:noWrap/>
                  <w:vAlign w:val="center"/>
                  <w:hideMark/>
                </w:tcPr>
                <w:p w14:paraId="50B0DF36"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38%</w:t>
                  </w:r>
                </w:p>
              </w:tc>
            </w:tr>
            <w:tr w:rsidR="00051876" w:rsidRPr="00051876" w14:paraId="7602F5F1" w14:textId="77777777" w:rsidTr="00051876">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5DFF1E4E" w14:textId="77777777" w:rsidR="00051876" w:rsidRPr="00051876" w:rsidRDefault="00051876" w:rsidP="00051876">
                  <w:pPr>
                    <w:widowControl/>
                    <w:jc w:val="center"/>
                    <w:rPr>
                      <w:rFonts w:ascii="楷体" w:eastAsia="楷体" w:hAnsi="楷体" w:cs="宋体"/>
                      <w:color w:val="000000"/>
                      <w:kern w:val="0"/>
                      <w:sz w:val="16"/>
                      <w:szCs w:val="16"/>
                    </w:rPr>
                  </w:pPr>
                  <w:proofErr w:type="gramStart"/>
                  <w:r w:rsidRPr="00051876">
                    <w:rPr>
                      <w:rFonts w:ascii="楷体" w:eastAsia="楷体" w:hAnsi="楷体" w:cs="宋体" w:hint="eastAsia"/>
                      <w:color w:val="000000"/>
                      <w:kern w:val="0"/>
                      <w:sz w:val="16"/>
                      <w:szCs w:val="16"/>
                    </w:rPr>
                    <w:t>城投债</w:t>
                  </w:r>
                  <w:proofErr w:type="gramEnd"/>
                  <w:r w:rsidRPr="00051876">
                    <w:rPr>
                      <w:rFonts w:ascii="楷体" w:eastAsia="楷体" w:hAnsi="楷体" w:cs="宋体" w:hint="eastAsia"/>
                      <w:color w:val="000000"/>
                      <w:kern w:val="0"/>
                      <w:sz w:val="16"/>
                      <w:szCs w:val="16"/>
                    </w:rPr>
                    <w:t>5Y</w:t>
                  </w:r>
                </w:p>
              </w:tc>
              <w:tc>
                <w:tcPr>
                  <w:tcW w:w="1040" w:type="dxa"/>
                  <w:tcBorders>
                    <w:top w:val="nil"/>
                    <w:left w:val="nil"/>
                    <w:bottom w:val="single" w:sz="8" w:space="0" w:color="FFFFFF"/>
                    <w:right w:val="single" w:sz="8" w:space="0" w:color="FFFFFF"/>
                  </w:tcBorders>
                  <w:shd w:val="clear" w:color="000000" w:fill="FDE9D9"/>
                  <w:noWrap/>
                  <w:vAlign w:val="center"/>
                  <w:hideMark/>
                </w:tcPr>
                <w:p w14:paraId="1F3A73D9"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17%</w:t>
                  </w:r>
                </w:p>
              </w:tc>
              <w:tc>
                <w:tcPr>
                  <w:tcW w:w="1040" w:type="dxa"/>
                  <w:tcBorders>
                    <w:top w:val="nil"/>
                    <w:left w:val="nil"/>
                    <w:bottom w:val="single" w:sz="8" w:space="0" w:color="FFFFFF"/>
                    <w:right w:val="single" w:sz="8" w:space="0" w:color="FFFFFF"/>
                  </w:tcBorders>
                  <w:shd w:val="clear" w:color="000000" w:fill="FDE9D9"/>
                  <w:noWrap/>
                  <w:vAlign w:val="center"/>
                  <w:hideMark/>
                </w:tcPr>
                <w:p w14:paraId="207B19AF"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17%</w:t>
                  </w:r>
                </w:p>
              </w:tc>
              <w:tc>
                <w:tcPr>
                  <w:tcW w:w="1040" w:type="dxa"/>
                  <w:tcBorders>
                    <w:top w:val="nil"/>
                    <w:left w:val="nil"/>
                    <w:bottom w:val="single" w:sz="8" w:space="0" w:color="FFFFFF"/>
                    <w:right w:val="single" w:sz="8" w:space="0" w:color="FFFFFF"/>
                  </w:tcBorders>
                  <w:shd w:val="clear" w:color="000000" w:fill="FDE9D9"/>
                  <w:noWrap/>
                  <w:vAlign w:val="center"/>
                  <w:hideMark/>
                </w:tcPr>
                <w:p w14:paraId="2D951DDA"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15%</w:t>
                  </w:r>
                </w:p>
              </w:tc>
              <w:tc>
                <w:tcPr>
                  <w:tcW w:w="1040" w:type="dxa"/>
                  <w:tcBorders>
                    <w:top w:val="nil"/>
                    <w:left w:val="nil"/>
                    <w:bottom w:val="single" w:sz="8" w:space="0" w:color="FFFFFF"/>
                    <w:right w:val="single" w:sz="8" w:space="0" w:color="FFFFFF"/>
                  </w:tcBorders>
                  <w:shd w:val="clear" w:color="000000" w:fill="FDE9D9"/>
                  <w:noWrap/>
                  <w:vAlign w:val="center"/>
                  <w:hideMark/>
                </w:tcPr>
                <w:p w14:paraId="4CA6EE6A"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45%</w:t>
                  </w:r>
                </w:p>
              </w:tc>
              <w:tc>
                <w:tcPr>
                  <w:tcW w:w="1040" w:type="dxa"/>
                  <w:tcBorders>
                    <w:top w:val="nil"/>
                    <w:left w:val="nil"/>
                    <w:bottom w:val="single" w:sz="8" w:space="0" w:color="FFFFFF"/>
                    <w:right w:val="single" w:sz="8" w:space="0" w:color="FFFFFF"/>
                  </w:tcBorders>
                  <w:shd w:val="clear" w:color="000000" w:fill="FDE9D9"/>
                  <w:noWrap/>
                  <w:vAlign w:val="center"/>
                  <w:hideMark/>
                </w:tcPr>
                <w:p w14:paraId="3B153784" w14:textId="77777777" w:rsidR="00051876" w:rsidRPr="00051876" w:rsidRDefault="00051876" w:rsidP="00051876">
                  <w:pPr>
                    <w:widowControl/>
                    <w:jc w:val="center"/>
                    <w:rPr>
                      <w:rFonts w:ascii="楷体" w:eastAsia="楷体" w:hAnsi="楷体" w:cs="宋体"/>
                      <w:color w:val="000000"/>
                      <w:kern w:val="0"/>
                      <w:sz w:val="16"/>
                      <w:szCs w:val="16"/>
                    </w:rPr>
                  </w:pPr>
                  <w:proofErr w:type="gramStart"/>
                  <w:r w:rsidRPr="00051876">
                    <w:rPr>
                      <w:rFonts w:ascii="楷体" w:eastAsia="楷体" w:hAnsi="楷体" w:cs="宋体" w:hint="eastAsia"/>
                      <w:color w:val="000000"/>
                      <w:kern w:val="0"/>
                      <w:sz w:val="16"/>
                      <w:szCs w:val="16"/>
                    </w:rPr>
                    <w:t>城投债</w:t>
                  </w:r>
                  <w:proofErr w:type="gramEnd"/>
                  <w:r w:rsidRPr="00051876">
                    <w:rPr>
                      <w:rFonts w:ascii="楷体" w:eastAsia="楷体" w:hAnsi="楷体" w:cs="宋体" w:hint="eastAsia"/>
                      <w:color w:val="000000"/>
                      <w:kern w:val="0"/>
                      <w:sz w:val="16"/>
                      <w:szCs w:val="16"/>
                    </w:rPr>
                    <w:t>5Y</w:t>
                  </w:r>
                </w:p>
              </w:tc>
              <w:tc>
                <w:tcPr>
                  <w:tcW w:w="1040" w:type="dxa"/>
                  <w:tcBorders>
                    <w:top w:val="nil"/>
                    <w:left w:val="nil"/>
                    <w:bottom w:val="single" w:sz="8" w:space="0" w:color="FFFFFF"/>
                    <w:right w:val="single" w:sz="8" w:space="0" w:color="FFFFFF"/>
                  </w:tcBorders>
                  <w:shd w:val="clear" w:color="000000" w:fill="FDE9D9"/>
                  <w:noWrap/>
                  <w:vAlign w:val="center"/>
                  <w:hideMark/>
                </w:tcPr>
                <w:p w14:paraId="37FFA915"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19%</w:t>
                  </w:r>
                </w:p>
              </w:tc>
              <w:tc>
                <w:tcPr>
                  <w:tcW w:w="1040" w:type="dxa"/>
                  <w:tcBorders>
                    <w:top w:val="nil"/>
                    <w:left w:val="nil"/>
                    <w:bottom w:val="single" w:sz="8" w:space="0" w:color="FFFFFF"/>
                    <w:right w:val="single" w:sz="8" w:space="0" w:color="FFFFFF"/>
                  </w:tcBorders>
                  <w:shd w:val="clear" w:color="000000" w:fill="FDE9D9"/>
                  <w:noWrap/>
                  <w:vAlign w:val="center"/>
                  <w:hideMark/>
                </w:tcPr>
                <w:p w14:paraId="66065435"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19%</w:t>
                  </w:r>
                </w:p>
              </w:tc>
              <w:tc>
                <w:tcPr>
                  <w:tcW w:w="1040" w:type="dxa"/>
                  <w:tcBorders>
                    <w:top w:val="nil"/>
                    <w:left w:val="nil"/>
                    <w:bottom w:val="single" w:sz="8" w:space="0" w:color="FFFFFF"/>
                    <w:right w:val="single" w:sz="8" w:space="0" w:color="FFFFFF"/>
                  </w:tcBorders>
                  <w:shd w:val="clear" w:color="000000" w:fill="FDE9D9"/>
                  <w:noWrap/>
                  <w:vAlign w:val="center"/>
                  <w:hideMark/>
                </w:tcPr>
                <w:p w14:paraId="1BD95D55"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13%</w:t>
                  </w:r>
                </w:p>
              </w:tc>
              <w:tc>
                <w:tcPr>
                  <w:tcW w:w="1040" w:type="dxa"/>
                  <w:tcBorders>
                    <w:top w:val="nil"/>
                    <w:left w:val="nil"/>
                    <w:bottom w:val="single" w:sz="8" w:space="0" w:color="FFFFFF"/>
                    <w:right w:val="single" w:sz="8" w:space="0" w:color="FFFFFF"/>
                  </w:tcBorders>
                  <w:shd w:val="clear" w:color="000000" w:fill="FDE9D9"/>
                  <w:noWrap/>
                  <w:vAlign w:val="center"/>
                  <w:hideMark/>
                </w:tcPr>
                <w:p w14:paraId="7CDE44D1"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66%</w:t>
                  </w:r>
                </w:p>
              </w:tc>
            </w:tr>
            <w:tr w:rsidR="00051876" w:rsidRPr="00051876" w14:paraId="700BA225" w14:textId="77777777" w:rsidTr="00051876">
              <w:trPr>
                <w:trHeight w:val="300"/>
              </w:trPr>
              <w:tc>
                <w:tcPr>
                  <w:tcW w:w="1288" w:type="dxa"/>
                  <w:tcBorders>
                    <w:top w:val="nil"/>
                    <w:left w:val="nil"/>
                    <w:bottom w:val="nil"/>
                    <w:right w:val="nil"/>
                  </w:tcBorders>
                  <w:shd w:val="clear" w:color="000000" w:fill="FCD5B4"/>
                  <w:noWrap/>
                  <w:vAlign w:val="center"/>
                  <w:hideMark/>
                </w:tcPr>
                <w:p w14:paraId="6AA20DAB" w14:textId="77777777" w:rsidR="00051876" w:rsidRPr="00051876" w:rsidRDefault="00051876" w:rsidP="00051876">
                  <w:pPr>
                    <w:widowControl/>
                    <w:jc w:val="center"/>
                    <w:rPr>
                      <w:rFonts w:ascii="楷体" w:eastAsia="楷体" w:hAnsi="楷体" w:cs="宋体"/>
                      <w:color w:val="000000"/>
                      <w:kern w:val="0"/>
                      <w:sz w:val="16"/>
                      <w:szCs w:val="16"/>
                    </w:rPr>
                  </w:pPr>
                  <w:proofErr w:type="gramStart"/>
                  <w:r w:rsidRPr="00051876">
                    <w:rPr>
                      <w:rFonts w:ascii="楷体" w:eastAsia="楷体" w:hAnsi="楷体" w:cs="宋体" w:hint="eastAsia"/>
                      <w:color w:val="000000"/>
                      <w:kern w:val="0"/>
                      <w:sz w:val="16"/>
                      <w:szCs w:val="16"/>
                    </w:rPr>
                    <w:t>城投债</w:t>
                  </w:r>
                  <w:proofErr w:type="gramEnd"/>
                  <w:r w:rsidRPr="00051876">
                    <w:rPr>
                      <w:rFonts w:ascii="楷体" w:eastAsia="楷体" w:hAnsi="楷体" w:cs="宋体" w:hint="eastAsia"/>
                      <w:color w:val="000000"/>
                      <w:kern w:val="0"/>
                      <w:sz w:val="16"/>
                      <w:szCs w:val="16"/>
                    </w:rPr>
                    <w:t>7Y</w:t>
                  </w:r>
                </w:p>
              </w:tc>
              <w:tc>
                <w:tcPr>
                  <w:tcW w:w="1040" w:type="dxa"/>
                  <w:tcBorders>
                    <w:top w:val="nil"/>
                    <w:left w:val="nil"/>
                    <w:bottom w:val="single" w:sz="8" w:space="0" w:color="FFFFFF"/>
                    <w:right w:val="single" w:sz="8" w:space="0" w:color="FFFFFF"/>
                  </w:tcBorders>
                  <w:shd w:val="clear" w:color="000000" w:fill="FCD5B4"/>
                  <w:noWrap/>
                  <w:vAlign w:val="center"/>
                  <w:hideMark/>
                </w:tcPr>
                <w:p w14:paraId="65F34158"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13%</w:t>
                  </w:r>
                </w:p>
              </w:tc>
              <w:tc>
                <w:tcPr>
                  <w:tcW w:w="1040" w:type="dxa"/>
                  <w:tcBorders>
                    <w:top w:val="nil"/>
                    <w:left w:val="nil"/>
                    <w:bottom w:val="single" w:sz="8" w:space="0" w:color="FFFFFF"/>
                    <w:right w:val="single" w:sz="8" w:space="0" w:color="FFFFFF"/>
                  </w:tcBorders>
                  <w:shd w:val="clear" w:color="000000" w:fill="FCD5B4"/>
                  <w:noWrap/>
                  <w:vAlign w:val="center"/>
                  <w:hideMark/>
                </w:tcPr>
                <w:p w14:paraId="401EC035"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11%</w:t>
                  </w:r>
                </w:p>
              </w:tc>
              <w:tc>
                <w:tcPr>
                  <w:tcW w:w="1040" w:type="dxa"/>
                  <w:tcBorders>
                    <w:top w:val="nil"/>
                    <w:left w:val="nil"/>
                    <w:bottom w:val="single" w:sz="8" w:space="0" w:color="FFFFFF"/>
                    <w:right w:val="single" w:sz="8" w:space="0" w:color="FFFFFF"/>
                  </w:tcBorders>
                  <w:shd w:val="clear" w:color="000000" w:fill="FCD5B4"/>
                  <w:noWrap/>
                  <w:vAlign w:val="center"/>
                  <w:hideMark/>
                </w:tcPr>
                <w:p w14:paraId="76C09907"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10%</w:t>
                  </w:r>
                </w:p>
              </w:tc>
              <w:tc>
                <w:tcPr>
                  <w:tcW w:w="1040" w:type="dxa"/>
                  <w:tcBorders>
                    <w:top w:val="nil"/>
                    <w:left w:val="nil"/>
                    <w:bottom w:val="single" w:sz="8" w:space="0" w:color="FFFFFF"/>
                    <w:right w:val="single" w:sz="8" w:space="0" w:color="FFFFFF"/>
                  </w:tcBorders>
                  <w:shd w:val="clear" w:color="000000" w:fill="FCD5B4"/>
                  <w:noWrap/>
                  <w:vAlign w:val="center"/>
                  <w:hideMark/>
                </w:tcPr>
                <w:p w14:paraId="55BB9156"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41%</w:t>
                  </w:r>
                </w:p>
              </w:tc>
              <w:tc>
                <w:tcPr>
                  <w:tcW w:w="1040" w:type="dxa"/>
                  <w:tcBorders>
                    <w:top w:val="nil"/>
                    <w:left w:val="nil"/>
                    <w:bottom w:val="nil"/>
                    <w:right w:val="nil"/>
                  </w:tcBorders>
                  <w:shd w:val="clear" w:color="000000" w:fill="FCD5B4"/>
                  <w:noWrap/>
                  <w:vAlign w:val="center"/>
                  <w:hideMark/>
                </w:tcPr>
                <w:p w14:paraId="17C36A62" w14:textId="77777777" w:rsidR="00051876" w:rsidRPr="00051876" w:rsidRDefault="00051876" w:rsidP="00051876">
                  <w:pPr>
                    <w:widowControl/>
                    <w:jc w:val="center"/>
                    <w:rPr>
                      <w:rFonts w:ascii="楷体" w:eastAsia="楷体" w:hAnsi="楷体" w:cs="宋体"/>
                      <w:color w:val="000000"/>
                      <w:kern w:val="0"/>
                      <w:sz w:val="16"/>
                      <w:szCs w:val="16"/>
                    </w:rPr>
                  </w:pPr>
                  <w:proofErr w:type="gramStart"/>
                  <w:r w:rsidRPr="00051876">
                    <w:rPr>
                      <w:rFonts w:ascii="楷体" w:eastAsia="楷体" w:hAnsi="楷体" w:cs="宋体" w:hint="eastAsia"/>
                      <w:color w:val="000000"/>
                      <w:kern w:val="0"/>
                      <w:sz w:val="16"/>
                      <w:szCs w:val="16"/>
                    </w:rPr>
                    <w:t>城投债</w:t>
                  </w:r>
                  <w:proofErr w:type="gramEnd"/>
                  <w:r w:rsidRPr="00051876">
                    <w:rPr>
                      <w:rFonts w:ascii="楷体" w:eastAsia="楷体" w:hAnsi="楷体" w:cs="宋体" w:hint="eastAsia"/>
                      <w:color w:val="000000"/>
                      <w:kern w:val="0"/>
                      <w:sz w:val="16"/>
                      <w:szCs w:val="16"/>
                    </w:rPr>
                    <w:t>7Y</w:t>
                  </w:r>
                </w:p>
              </w:tc>
              <w:tc>
                <w:tcPr>
                  <w:tcW w:w="1040" w:type="dxa"/>
                  <w:tcBorders>
                    <w:top w:val="nil"/>
                    <w:left w:val="nil"/>
                    <w:bottom w:val="single" w:sz="8" w:space="0" w:color="FFFFFF"/>
                    <w:right w:val="single" w:sz="8" w:space="0" w:color="FFFFFF"/>
                  </w:tcBorders>
                  <w:shd w:val="clear" w:color="000000" w:fill="FCD5B4"/>
                  <w:noWrap/>
                  <w:vAlign w:val="center"/>
                  <w:hideMark/>
                </w:tcPr>
                <w:p w14:paraId="3ED4F8C9"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12%</w:t>
                  </w:r>
                </w:p>
              </w:tc>
              <w:tc>
                <w:tcPr>
                  <w:tcW w:w="1040" w:type="dxa"/>
                  <w:tcBorders>
                    <w:top w:val="nil"/>
                    <w:left w:val="nil"/>
                    <w:bottom w:val="single" w:sz="8" w:space="0" w:color="FFFFFF"/>
                    <w:right w:val="single" w:sz="8" w:space="0" w:color="FFFFFF"/>
                  </w:tcBorders>
                  <w:shd w:val="clear" w:color="000000" w:fill="FCD5B4"/>
                  <w:noWrap/>
                  <w:vAlign w:val="center"/>
                  <w:hideMark/>
                </w:tcPr>
                <w:p w14:paraId="0B58FFEE"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9%</w:t>
                  </w:r>
                </w:p>
              </w:tc>
              <w:tc>
                <w:tcPr>
                  <w:tcW w:w="1040" w:type="dxa"/>
                  <w:tcBorders>
                    <w:top w:val="nil"/>
                    <w:left w:val="nil"/>
                    <w:bottom w:val="single" w:sz="8" w:space="0" w:color="FFFFFF"/>
                    <w:right w:val="single" w:sz="8" w:space="0" w:color="FFFFFF"/>
                  </w:tcBorders>
                  <w:shd w:val="clear" w:color="000000" w:fill="FCD5B4"/>
                  <w:noWrap/>
                  <w:vAlign w:val="center"/>
                  <w:hideMark/>
                </w:tcPr>
                <w:p w14:paraId="705EF6D2"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5%</w:t>
                  </w:r>
                </w:p>
              </w:tc>
              <w:tc>
                <w:tcPr>
                  <w:tcW w:w="1040" w:type="dxa"/>
                  <w:tcBorders>
                    <w:top w:val="nil"/>
                    <w:left w:val="nil"/>
                    <w:bottom w:val="single" w:sz="8" w:space="0" w:color="FFFFFF"/>
                    <w:right w:val="single" w:sz="8" w:space="0" w:color="FFFFFF"/>
                  </w:tcBorders>
                  <w:shd w:val="clear" w:color="000000" w:fill="FCD5B4"/>
                  <w:noWrap/>
                  <w:vAlign w:val="center"/>
                  <w:hideMark/>
                </w:tcPr>
                <w:p w14:paraId="062FBA52" w14:textId="77777777" w:rsidR="00051876" w:rsidRPr="00051876" w:rsidRDefault="00051876" w:rsidP="00051876">
                  <w:pPr>
                    <w:widowControl/>
                    <w:jc w:val="center"/>
                    <w:rPr>
                      <w:rFonts w:eastAsia="等线" w:cs="Calibri"/>
                      <w:color w:val="000000"/>
                      <w:kern w:val="0"/>
                      <w:sz w:val="16"/>
                      <w:szCs w:val="16"/>
                    </w:rPr>
                  </w:pPr>
                  <w:r w:rsidRPr="00051876">
                    <w:rPr>
                      <w:rFonts w:eastAsia="等线" w:cs="Calibri"/>
                      <w:color w:val="000000"/>
                      <w:kern w:val="0"/>
                      <w:sz w:val="16"/>
                      <w:szCs w:val="16"/>
                    </w:rPr>
                    <w:t>64%</w:t>
                  </w:r>
                </w:p>
              </w:tc>
            </w:tr>
          </w:tbl>
          <w:p w14:paraId="446C7D6E" w14:textId="294F6511" w:rsidR="00E0626C" w:rsidRPr="0069484C" w:rsidRDefault="00E0626C" w:rsidP="0092340D">
            <w:pPr>
              <w:rPr>
                <w:noProof/>
                <w:sz w:val="20"/>
                <w:szCs w:val="16"/>
              </w:rPr>
            </w:pPr>
          </w:p>
        </w:tc>
      </w:tr>
      <w:tr w:rsidR="00E0626C" w:rsidRPr="006A5F34" w14:paraId="01D36A65" w14:textId="77777777" w:rsidTr="00E46B36">
        <w:trPr>
          <w:trHeight w:val="43"/>
          <w:jc w:val="center"/>
        </w:trPr>
        <w:tc>
          <w:tcPr>
            <w:tcW w:w="9881"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B8530C"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7C58D45A" w:rsidR="00C37204" w:rsidRPr="00886D86" w:rsidRDefault="003931FA" w:rsidP="00416C5F">
      <w:pPr>
        <w:pStyle w:val="Body-text"/>
        <w:spacing w:after="240"/>
        <w:ind w:firstLineChars="200" w:firstLine="480"/>
        <w:rPr>
          <w:rFonts w:ascii="华文楷体" w:hAnsi="华文楷体"/>
          <w:sz w:val="24"/>
          <w:szCs w:val="24"/>
          <w:lang w:eastAsia="zh-CN"/>
        </w:rPr>
      </w:pPr>
      <w:r w:rsidRPr="00886D86">
        <w:rPr>
          <w:rFonts w:ascii="华文楷体" w:hAnsi="华文楷体" w:hint="eastAsia"/>
          <w:sz w:val="24"/>
          <w:szCs w:val="24"/>
          <w:lang w:eastAsia="zh-CN"/>
        </w:rPr>
        <w:t>本周</w:t>
      </w:r>
      <w:r w:rsidR="00591DD3" w:rsidRPr="00886D86">
        <w:rPr>
          <w:rFonts w:ascii="华文楷体" w:hAnsi="华文楷体" w:hint="eastAsia"/>
          <w:sz w:val="24"/>
          <w:szCs w:val="24"/>
          <w:lang w:eastAsia="zh-CN"/>
        </w:rPr>
        <w:t>权益市场</w:t>
      </w:r>
      <w:r w:rsidR="00D914AF" w:rsidRPr="00886D86">
        <w:rPr>
          <w:rFonts w:ascii="华文楷体" w:hAnsi="华文楷体" w:hint="eastAsia"/>
          <w:sz w:val="24"/>
          <w:szCs w:val="24"/>
          <w:lang w:eastAsia="zh-CN"/>
        </w:rPr>
        <w:t>继续回调</w:t>
      </w:r>
      <w:r w:rsidR="00E359DD" w:rsidRPr="00886D86">
        <w:rPr>
          <w:rFonts w:ascii="华文楷体" w:hAnsi="华文楷体" w:hint="eastAsia"/>
          <w:sz w:val="24"/>
          <w:szCs w:val="24"/>
          <w:lang w:eastAsia="zh-CN"/>
        </w:rPr>
        <w:t>震荡。</w:t>
      </w:r>
      <w:r w:rsidR="00591DD3" w:rsidRPr="00886D86">
        <w:rPr>
          <w:rFonts w:ascii="华文楷体" w:hAnsi="华文楷体" w:hint="eastAsia"/>
          <w:sz w:val="24"/>
          <w:szCs w:val="24"/>
          <w:lang w:eastAsia="zh-CN"/>
        </w:rPr>
        <w:t>转</w:t>
      </w:r>
      <w:proofErr w:type="gramStart"/>
      <w:r w:rsidR="00591DD3" w:rsidRPr="00886D86">
        <w:rPr>
          <w:rFonts w:ascii="华文楷体" w:hAnsi="华文楷体" w:hint="eastAsia"/>
          <w:sz w:val="24"/>
          <w:szCs w:val="24"/>
          <w:lang w:eastAsia="zh-CN"/>
        </w:rPr>
        <w:t>债指数</w:t>
      </w:r>
      <w:proofErr w:type="gramEnd"/>
      <w:r w:rsidR="00AF3C15" w:rsidRPr="00886D86">
        <w:rPr>
          <w:rFonts w:ascii="华文楷体" w:hAnsi="华文楷体" w:hint="eastAsia"/>
          <w:sz w:val="24"/>
          <w:szCs w:val="24"/>
          <w:lang w:eastAsia="zh-CN"/>
        </w:rPr>
        <w:t>较上周上涨</w:t>
      </w:r>
      <w:r w:rsidR="00886D86" w:rsidRPr="00886D86">
        <w:rPr>
          <w:rFonts w:ascii="华文楷体" w:hAnsi="华文楷体"/>
          <w:sz w:val="24"/>
          <w:szCs w:val="24"/>
          <w:lang w:eastAsia="zh-CN"/>
        </w:rPr>
        <w:t>0.1</w:t>
      </w:r>
      <w:r w:rsidR="00AF3C15" w:rsidRPr="00886D86">
        <w:rPr>
          <w:rFonts w:ascii="华文楷体" w:hAnsi="华文楷体" w:hint="eastAsia"/>
          <w:sz w:val="24"/>
          <w:szCs w:val="24"/>
          <w:lang w:eastAsia="zh-CN"/>
        </w:rPr>
        <w:t>%</w:t>
      </w:r>
      <w:r w:rsidR="00591DD3" w:rsidRPr="00886D86">
        <w:rPr>
          <w:rFonts w:ascii="华文楷体" w:hAnsi="华文楷体" w:hint="eastAsia"/>
          <w:sz w:val="24"/>
          <w:szCs w:val="24"/>
          <w:lang w:eastAsia="zh-CN"/>
        </w:rPr>
        <w:t>。</w:t>
      </w:r>
      <w:r w:rsidR="00591011" w:rsidRPr="00886D86">
        <w:rPr>
          <w:rFonts w:ascii="华文楷体" w:hAnsi="华文楷体" w:hint="eastAsia"/>
          <w:sz w:val="24"/>
          <w:szCs w:val="24"/>
          <w:lang w:eastAsia="zh-CN"/>
        </w:rPr>
        <w:t>市场</w:t>
      </w:r>
      <w:r w:rsidR="00F20D5F" w:rsidRPr="00886D86">
        <w:rPr>
          <w:rFonts w:ascii="华文楷体" w:hAnsi="华文楷体" w:hint="eastAsia"/>
          <w:sz w:val="24"/>
          <w:szCs w:val="24"/>
          <w:lang w:eastAsia="zh-CN"/>
        </w:rPr>
        <w:t>各主要板块</w:t>
      </w:r>
      <w:r w:rsidR="00E359DD" w:rsidRPr="00886D86">
        <w:rPr>
          <w:rFonts w:ascii="华文楷体" w:hAnsi="华文楷体" w:hint="eastAsia"/>
          <w:sz w:val="24"/>
          <w:szCs w:val="24"/>
          <w:lang w:eastAsia="zh-CN"/>
        </w:rPr>
        <w:t>调整明显</w:t>
      </w:r>
      <w:r w:rsidR="007C2CEA" w:rsidRPr="00886D86">
        <w:rPr>
          <w:rFonts w:ascii="华文楷体" w:hAnsi="华文楷体" w:hint="eastAsia"/>
          <w:sz w:val="24"/>
          <w:szCs w:val="24"/>
          <w:lang w:eastAsia="zh-CN"/>
        </w:rPr>
        <w:t>，成交量较上周</w:t>
      </w:r>
      <w:r w:rsidR="00D914AF" w:rsidRPr="00886D86">
        <w:rPr>
          <w:rFonts w:ascii="华文楷体" w:hAnsi="华文楷体" w:hint="eastAsia"/>
          <w:sz w:val="24"/>
          <w:szCs w:val="24"/>
          <w:lang w:eastAsia="zh-CN"/>
        </w:rPr>
        <w:t>继续</w:t>
      </w:r>
      <w:r w:rsidR="00E04BBE" w:rsidRPr="00886D86">
        <w:rPr>
          <w:rFonts w:ascii="华文楷体" w:hAnsi="华文楷体" w:hint="eastAsia"/>
          <w:sz w:val="24"/>
          <w:szCs w:val="24"/>
          <w:lang w:eastAsia="zh-CN"/>
        </w:rPr>
        <w:t>缩减</w:t>
      </w:r>
      <w:r w:rsidR="00DC05C7" w:rsidRPr="00886D86">
        <w:rPr>
          <w:rFonts w:ascii="华文楷体" w:hAnsi="华文楷体" w:hint="eastAsia"/>
          <w:sz w:val="24"/>
          <w:szCs w:val="24"/>
          <w:lang w:eastAsia="zh-CN"/>
        </w:rPr>
        <w:t>。</w:t>
      </w:r>
      <w:r w:rsidR="00AC28BB" w:rsidRPr="00886D86">
        <w:rPr>
          <w:rFonts w:ascii="华文楷体" w:hAnsi="华文楷体" w:hint="eastAsia"/>
          <w:sz w:val="24"/>
          <w:szCs w:val="24"/>
          <w:lang w:eastAsia="zh-CN"/>
        </w:rPr>
        <w:t>上证综指</w:t>
      </w:r>
      <w:r w:rsidR="00AC28BB" w:rsidRPr="00886D86">
        <w:rPr>
          <w:rFonts w:ascii="华文楷体" w:hAnsi="华文楷体"/>
          <w:sz w:val="24"/>
          <w:szCs w:val="24"/>
          <w:lang w:eastAsia="zh-CN"/>
        </w:rPr>
        <w:t>、</w:t>
      </w:r>
      <w:r w:rsidR="00AC28BB" w:rsidRPr="00886D86">
        <w:rPr>
          <w:rFonts w:ascii="华文楷体" w:hAnsi="华文楷体" w:hint="eastAsia"/>
          <w:sz w:val="24"/>
          <w:szCs w:val="24"/>
          <w:lang w:eastAsia="zh-CN"/>
        </w:rPr>
        <w:t>创业板指</w:t>
      </w:r>
      <w:r w:rsidR="00AC28BB" w:rsidRPr="00886D86">
        <w:rPr>
          <w:rFonts w:ascii="华文楷体" w:hAnsi="华文楷体"/>
          <w:sz w:val="24"/>
          <w:szCs w:val="24"/>
          <w:lang w:eastAsia="zh-CN"/>
        </w:rPr>
        <w:t>、上证</w:t>
      </w:r>
      <w:r w:rsidR="00AC28BB" w:rsidRPr="00886D86">
        <w:rPr>
          <w:rFonts w:ascii="华文楷体" w:hAnsi="华文楷体" w:hint="eastAsia"/>
          <w:sz w:val="24"/>
          <w:szCs w:val="24"/>
          <w:lang w:eastAsia="zh-CN"/>
        </w:rPr>
        <w:t>50和</w:t>
      </w:r>
      <w:r w:rsidR="00AC28BB" w:rsidRPr="00886D86">
        <w:rPr>
          <w:rFonts w:ascii="华文楷体" w:hAnsi="华文楷体"/>
          <w:sz w:val="24"/>
          <w:szCs w:val="24"/>
          <w:lang w:eastAsia="zh-CN"/>
        </w:rPr>
        <w:t>沪深</w:t>
      </w:r>
      <w:r w:rsidR="00AC28BB" w:rsidRPr="00886D86">
        <w:rPr>
          <w:rFonts w:ascii="华文楷体" w:hAnsi="华文楷体" w:hint="eastAsia"/>
          <w:sz w:val="24"/>
          <w:szCs w:val="24"/>
          <w:lang w:eastAsia="zh-CN"/>
        </w:rPr>
        <w:t>300</w:t>
      </w:r>
      <w:r w:rsidR="00AC28BB" w:rsidRPr="00886D86">
        <w:rPr>
          <w:rFonts w:ascii="华文楷体" w:hAnsi="华文楷体"/>
          <w:sz w:val="24"/>
          <w:szCs w:val="24"/>
          <w:lang w:eastAsia="zh-CN"/>
        </w:rPr>
        <w:t>分别</w:t>
      </w:r>
      <w:r w:rsidR="007C2CEA" w:rsidRPr="00886D86">
        <w:rPr>
          <w:rFonts w:ascii="华文楷体" w:hAnsi="华文楷体" w:hint="eastAsia"/>
          <w:sz w:val="24"/>
          <w:szCs w:val="24"/>
          <w:lang w:eastAsia="zh-CN"/>
        </w:rPr>
        <w:t>上涨</w:t>
      </w:r>
      <w:r w:rsidR="00D914AF" w:rsidRPr="00886D86">
        <w:rPr>
          <w:rFonts w:ascii="华文楷体" w:hAnsi="华文楷体"/>
          <w:sz w:val="24"/>
          <w:szCs w:val="24"/>
          <w:lang w:eastAsia="zh-CN"/>
        </w:rPr>
        <w:t>0.</w:t>
      </w:r>
      <w:r w:rsidR="00886D86" w:rsidRPr="00886D86">
        <w:rPr>
          <w:rFonts w:ascii="华文楷体" w:hAnsi="华文楷体"/>
          <w:sz w:val="24"/>
          <w:szCs w:val="24"/>
          <w:lang w:eastAsia="zh-CN"/>
        </w:rPr>
        <w:t>6</w:t>
      </w:r>
      <w:r w:rsidR="00AC28BB" w:rsidRPr="00886D86">
        <w:rPr>
          <w:rFonts w:ascii="华文楷体" w:hAnsi="华文楷体"/>
          <w:sz w:val="24"/>
          <w:szCs w:val="24"/>
          <w:lang w:eastAsia="zh-CN"/>
        </w:rPr>
        <w:t>%、</w:t>
      </w:r>
      <w:r w:rsidR="00257267" w:rsidRPr="00886D86">
        <w:rPr>
          <w:rFonts w:ascii="华文楷体" w:hAnsi="华文楷体"/>
          <w:sz w:val="24"/>
          <w:szCs w:val="24"/>
          <w:lang w:eastAsia="zh-CN"/>
        </w:rPr>
        <w:t>-</w:t>
      </w:r>
      <w:r w:rsidR="00886D86" w:rsidRPr="00886D86">
        <w:rPr>
          <w:rFonts w:ascii="华文楷体" w:hAnsi="华文楷体"/>
          <w:sz w:val="24"/>
          <w:szCs w:val="24"/>
          <w:lang w:eastAsia="zh-CN"/>
        </w:rPr>
        <w:t>1.4</w:t>
      </w:r>
      <w:r w:rsidR="00AC28BB" w:rsidRPr="00886D86">
        <w:rPr>
          <w:rFonts w:ascii="华文楷体" w:hAnsi="华文楷体"/>
          <w:sz w:val="24"/>
          <w:szCs w:val="24"/>
          <w:lang w:eastAsia="zh-CN"/>
        </w:rPr>
        <w:t>%、</w:t>
      </w:r>
      <w:r w:rsidR="00886D86" w:rsidRPr="00886D86">
        <w:rPr>
          <w:rFonts w:ascii="华文楷体" w:hAnsi="华文楷体"/>
          <w:sz w:val="24"/>
          <w:szCs w:val="24"/>
          <w:lang w:eastAsia="zh-CN"/>
        </w:rPr>
        <w:t>-0.1</w:t>
      </w:r>
      <w:r w:rsidR="00AC28BB" w:rsidRPr="00886D86">
        <w:rPr>
          <w:rFonts w:ascii="华文楷体" w:hAnsi="华文楷体"/>
          <w:sz w:val="24"/>
          <w:szCs w:val="24"/>
          <w:lang w:eastAsia="zh-CN"/>
        </w:rPr>
        <w:t>%</w:t>
      </w:r>
      <w:r w:rsidR="00AC28BB" w:rsidRPr="00886D86">
        <w:rPr>
          <w:rFonts w:ascii="华文楷体" w:hAnsi="华文楷体" w:hint="eastAsia"/>
          <w:sz w:val="24"/>
          <w:szCs w:val="24"/>
          <w:lang w:eastAsia="zh-CN"/>
        </w:rPr>
        <w:t>和</w:t>
      </w:r>
      <w:r w:rsidR="00886D86" w:rsidRPr="00886D86">
        <w:rPr>
          <w:rFonts w:ascii="华文楷体" w:hAnsi="华文楷体"/>
          <w:sz w:val="24"/>
          <w:szCs w:val="24"/>
          <w:lang w:eastAsia="zh-CN"/>
        </w:rPr>
        <w:t>0.3</w:t>
      </w:r>
      <w:r w:rsidR="00AC28BB" w:rsidRPr="00886D86">
        <w:rPr>
          <w:rFonts w:ascii="华文楷体" w:hAnsi="华文楷体"/>
          <w:sz w:val="24"/>
          <w:szCs w:val="24"/>
          <w:lang w:eastAsia="zh-CN"/>
        </w:rPr>
        <w:t>%</w:t>
      </w:r>
      <w:r w:rsidR="00AC28BB" w:rsidRPr="00886D86">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lastRenderedPageBreak/>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051876">
        <w:tblPrEx>
          <w:tblCellMar>
            <w:left w:w="108" w:type="dxa"/>
            <w:right w:w="108" w:type="dxa"/>
          </w:tblCellMar>
        </w:tblPrEx>
        <w:trPr>
          <w:jc w:val="center"/>
        </w:trPr>
        <w:tc>
          <w:tcPr>
            <w:tcW w:w="4939" w:type="dxa"/>
            <w:vAlign w:val="center"/>
          </w:tcPr>
          <w:p w14:paraId="5C83721A" w14:textId="42E4D90B" w:rsidR="00E0626C" w:rsidRPr="007E0340" w:rsidRDefault="00051876" w:rsidP="009A2BA0">
            <w:pPr>
              <w:jc w:val="center"/>
              <w:rPr>
                <w:noProof/>
              </w:rPr>
            </w:pPr>
            <w:r>
              <w:rPr>
                <w:noProof/>
              </w:rPr>
              <w:drawing>
                <wp:inline distT="0" distB="0" distL="0" distR="0" wp14:anchorId="60675343" wp14:editId="76F20A20">
                  <wp:extent cx="2999105" cy="169989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999105" cy="1699895"/>
                          </a:xfrm>
                          <a:prstGeom prst="rect">
                            <a:avLst/>
                          </a:prstGeom>
                        </pic:spPr>
                      </pic:pic>
                    </a:graphicData>
                  </a:graphic>
                </wp:inline>
              </w:drawing>
            </w:r>
          </w:p>
        </w:tc>
        <w:tc>
          <w:tcPr>
            <w:tcW w:w="4938" w:type="dxa"/>
            <w:vAlign w:val="center"/>
          </w:tcPr>
          <w:p w14:paraId="39BD4383" w14:textId="32C13EEE" w:rsidR="00E0626C" w:rsidRPr="007E0340" w:rsidRDefault="00051876" w:rsidP="009A2BA0">
            <w:pPr>
              <w:jc w:val="center"/>
              <w:rPr>
                <w:noProof/>
                <w:szCs w:val="18"/>
              </w:rPr>
            </w:pPr>
            <w:r>
              <w:rPr>
                <w:noProof/>
              </w:rPr>
              <w:drawing>
                <wp:inline distT="0" distB="0" distL="0" distR="0" wp14:anchorId="3A97F6F8" wp14:editId="72EA5F02">
                  <wp:extent cx="2998470" cy="1654810"/>
                  <wp:effectExtent l="0" t="0" r="0" b="2540"/>
                  <wp:docPr id="10" name="图表 10">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5A1950" w:rsidRDefault="00FF7903" w:rsidP="009A2BA0">
      <w:pPr>
        <w:pStyle w:val="Header2"/>
        <w:rPr>
          <w:rFonts w:ascii="华文楷体" w:hAnsi="华文楷体"/>
          <w:b w:val="0"/>
          <w:szCs w:val="24"/>
          <w:lang w:eastAsia="zh-CN"/>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4F1B125C" w:rsidR="00882FA5" w:rsidRPr="003E42BE" w:rsidRDefault="00E34B22" w:rsidP="003F00C6">
      <w:pPr>
        <w:pStyle w:val="Body-text"/>
        <w:ind w:firstLineChars="200" w:firstLine="480"/>
        <w:rPr>
          <w:rFonts w:ascii="华文楷体" w:hAnsi="华文楷体"/>
          <w:bCs/>
          <w:sz w:val="24"/>
          <w:szCs w:val="24"/>
          <w:lang w:eastAsia="zh-CN"/>
        </w:rPr>
      </w:pPr>
      <w:r w:rsidRPr="005A1950">
        <w:rPr>
          <w:rFonts w:ascii="华文楷体" w:hAnsi="华文楷体" w:hint="eastAsia"/>
          <w:b/>
          <w:bCs/>
          <w:sz w:val="24"/>
          <w:szCs w:val="24"/>
          <w:lang w:eastAsia="zh-CN"/>
        </w:rPr>
        <w:t>生产</w:t>
      </w:r>
      <w:r w:rsidR="00CC2F5D" w:rsidRPr="005A1950">
        <w:rPr>
          <w:rFonts w:ascii="华文楷体" w:hAnsi="华文楷体" w:hint="eastAsia"/>
          <w:b/>
          <w:bCs/>
          <w:sz w:val="24"/>
          <w:szCs w:val="24"/>
          <w:lang w:eastAsia="zh-CN"/>
        </w:rPr>
        <w:t>：</w:t>
      </w:r>
      <w:r w:rsidR="00257267" w:rsidRPr="00257267">
        <w:rPr>
          <w:rFonts w:ascii="华文楷体" w:hAnsi="华文楷体" w:hint="eastAsia"/>
          <w:bCs/>
          <w:sz w:val="24"/>
          <w:szCs w:val="24"/>
          <w:lang w:eastAsia="zh-CN"/>
        </w:rPr>
        <w:t>煤炭价格</w:t>
      </w:r>
      <w:r w:rsidR="003E373E">
        <w:rPr>
          <w:rFonts w:ascii="华文楷体" w:hAnsi="华文楷体" w:hint="eastAsia"/>
          <w:bCs/>
          <w:sz w:val="24"/>
          <w:szCs w:val="24"/>
          <w:lang w:eastAsia="zh-CN"/>
        </w:rPr>
        <w:t>上涨</w:t>
      </w:r>
      <w:r w:rsidR="00257267" w:rsidRPr="00257267">
        <w:rPr>
          <w:rFonts w:ascii="华文楷体" w:hAnsi="华文楷体" w:hint="eastAsia"/>
          <w:bCs/>
          <w:sz w:val="24"/>
          <w:szCs w:val="24"/>
          <w:lang w:eastAsia="zh-CN"/>
        </w:rPr>
        <w:t>，动力煤价格</w:t>
      </w:r>
      <w:r w:rsidR="003E373E">
        <w:rPr>
          <w:rFonts w:ascii="华文楷体" w:hAnsi="华文楷体" w:hint="eastAsia"/>
          <w:bCs/>
          <w:sz w:val="24"/>
          <w:szCs w:val="24"/>
          <w:lang w:eastAsia="zh-CN"/>
        </w:rPr>
        <w:t>基本走平</w:t>
      </w:r>
      <w:r w:rsidR="00430EC8" w:rsidRPr="00430EC8">
        <w:rPr>
          <w:rFonts w:ascii="华文楷体" w:hAnsi="华文楷体" w:hint="eastAsia"/>
          <w:bCs/>
          <w:sz w:val="24"/>
          <w:szCs w:val="24"/>
          <w:lang w:eastAsia="zh-CN"/>
        </w:rPr>
        <w:t>。本周</w:t>
      </w:r>
      <w:proofErr w:type="spellStart"/>
      <w:r w:rsidR="00430EC8" w:rsidRPr="00430EC8">
        <w:rPr>
          <w:rFonts w:ascii="华文楷体" w:hAnsi="华文楷体" w:hint="eastAsia"/>
          <w:bCs/>
          <w:sz w:val="24"/>
          <w:szCs w:val="24"/>
          <w:lang w:eastAsia="zh-CN"/>
        </w:rPr>
        <w:t>Myspic</w:t>
      </w:r>
      <w:proofErr w:type="spellEnd"/>
      <w:r w:rsidR="002627F1">
        <w:rPr>
          <w:rFonts w:ascii="华文楷体" w:hAnsi="华文楷体" w:hint="eastAsia"/>
          <w:bCs/>
          <w:sz w:val="24"/>
          <w:szCs w:val="24"/>
          <w:lang w:eastAsia="zh-CN"/>
        </w:rPr>
        <w:t>普</w:t>
      </w:r>
      <w:proofErr w:type="gramStart"/>
      <w:r w:rsidR="002627F1">
        <w:rPr>
          <w:rFonts w:ascii="华文楷体" w:hAnsi="华文楷体" w:hint="eastAsia"/>
          <w:bCs/>
          <w:sz w:val="24"/>
          <w:szCs w:val="24"/>
          <w:lang w:eastAsia="zh-CN"/>
        </w:rPr>
        <w:t>钢</w:t>
      </w:r>
      <w:r w:rsidR="00430EC8" w:rsidRPr="00430EC8">
        <w:rPr>
          <w:rFonts w:ascii="华文楷体" w:hAnsi="华文楷体" w:hint="eastAsia"/>
          <w:bCs/>
          <w:sz w:val="24"/>
          <w:szCs w:val="24"/>
          <w:lang w:eastAsia="zh-CN"/>
        </w:rPr>
        <w:t>指数</w:t>
      </w:r>
      <w:r w:rsidR="002627F1">
        <w:rPr>
          <w:rFonts w:ascii="华文楷体" w:hAnsi="华文楷体" w:hint="eastAsia"/>
          <w:bCs/>
          <w:sz w:val="24"/>
          <w:szCs w:val="24"/>
          <w:lang w:eastAsia="zh-CN"/>
        </w:rPr>
        <w:t>环</w:t>
      </w:r>
      <w:proofErr w:type="gramEnd"/>
      <w:r w:rsidR="002627F1">
        <w:rPr>
          <w:rFonts w:ascii="华文楷体" w:hAnsi="华文楷体" w:hint="eastAsia"/>
          <w:bCs/>
          <w:sz w:val="24"/>
          <w:szCs w:val="24"/>
          <w:lang w:eastAsia="zh-CN"/>
        </w:rPr>
        <w:t>比</w:t>
      </w:r>
      <w:r w:rsidR="003E373E">
        <w:rPr>
          <w:rFonts w:ascii="华文楷体" w:hAnsi="华文楷体" w:hint="eastAsia"/>
          <w:bCs/>
          <w:sz w:val="24"/>
          <w:szCs w:val="24"/>
          <w:lang w:eastAsia="zh-CN"/>
        </w:rPr>
        <w:t>上涨</w:t>
      </w:r>
      <w:r w:rsidR="003E373E" w:rsidRPr="003E373E">
        <w:rPr>
          <w:rFonts w:ascii="华文楷体" w:hAnsi="华文楷体"/>
          <w:bCs/>
          <w:sz w:val="24"/>
          <w:szCs w:val="24"/>
          <w:lang w:eastAsia="zh-CN"/>
        </w:rPr>
        <w:t>0.46%</w:t>
      </w:r>
      <w:r w:rsidR="00430EC8" w:rsidRPr="00430EC8">
        <w:rPr>
          <w:rFonts w:ascii="华文楷体" w:hAnsi="华文楷体" w:hint="eastAsia"/>
          <w:bCs/>
          <w:sz w:val="24"/>
          <w:szCs w:val="24"/>
          <w:lang w:eastAsia="zh-CN"/>
        </w:rPr>
        <w:t>。主要品种中，螺纹钢、</w:t>
      </w:r>
      <w:proofErr w:type="gramStart"/>
      <w:r w:rsidR="00430EC8" w:rsidRPr="00430EC8">
        <w:rPr>
          <w:rFonts w:ascii="华文楷体" w:hAnsi="华文楷体" w:hint="eastAsia"/>
          <w:bCs/>
          <w:sz w:val="24"/>
          <w:szCs w:val="24"/>
          <w:lang w:eastAsia="zh-CN"/>
        </w:rPr>
        <w:t>热卷价格</w:t>
      </w:r>
      <w:proofErr w:type="gramEnd"/>
      <w:r w:rsidR="00514BF9">
        <w:rPr>
          <w:rFonts w:ascii="华文楷体" w:hAnsi="华文楷体" w:hint="eastAsia"/>
          <w:bCs/>
          <w:sz w:val="24"/>
          <w:szCs w:val="24"/>
          <w:lang w:eastAsia="zh-CN"/>
        </w:rPr>
        <w:t>上涨</w:t>
      </w:r>
      <w:r w:rsidR="00430EC8" w:rsidRPr="00430EC8">
        <w:rPr>
          <w:rFonts w:ascii="华文楷体" w:hAnsi="华文楷体" w:hint="eastAsia"/>
          <w:bCs/>
          <w:sz w:val="24"/>
          <w:szCs w:val="24"/>
          <w:lang w:eastAsia="zh-CN"/>
        </w:rPr>
        <w:t>，分别变动</w:t>
      </w:r>
      <w:r w:rsidR="00514BF9">
        <w:rPr>
          <w:rFonts w:ascii="华文楷体" w:hAnsi="华文楷体"/>
          <w:bCs/>
          <w:sz w:val="24"/>
          <w:szCs w:val="24"/>
          <w:lang w:eastAsia="zh-CN"/>
        </w:rPr>
        <w:t>0.78</w:t>
      </w:r>
      <w:r w:rsidR="00430EC8" w:rsidRPr="00430EC8">
        <w:rPr>
          <w:rFonts w:ascii="华文楷体" w:hAnsi="华文楷体" w:hint="eastAsia"/>
          <w:bCs/>
          <w:sz w:val="24"/>
          <w:szCs w:val="24"/>
          <w:lang w:eastAsia="zh-CN"/>
        </w:rPr>
        <w:t>%、</w:t>
      </w:r>
      <w:r w:rsidR="00514BF9">
        <w:rPr>
          <w:rFonts w:ascii="华文楷体" w:hAnsi="华文楷体"/>
          <w:bCs/>
          <w:sz w:val="24"/>
          <w:szCs w:val="24"/>
          <w:lang w:eastAsia="zh-CN"/>
        </w:rPr>
        <w:t>0.15</w:t>
      </w:r>
      <w:r w:rsidR="00430EC8" w:rsidRPr="00430EC8">
        <w:rPr>
          <w:rFonts w:ascii="华文楷体" w:hAnsi="华文楷体" w:hint="eastAsia"/>
          <w:bCs/>
          <w:sz w:val="24"/>
          <w:szCs w:val="24"/>
          <w:lang w:eastAsia="zh-CN"/>
        </w:rPr>
        <w:t>%；从库存来看，螺纹钢社会库存</w:t>
      </w:r>
      <w:r w:rsidR="0030711F">
        <w:rPr>
          <w:rFonts w:ascii="华文楷体" w:hAnsi="华文楷体" w:hint="eastAsia"/>
          <w:bCs/>
          <w:sz w:val="24"/>
          <w:szCs w:val="24"/>
          <w:lang w:eastAsia="zh-CN"/>
        </w:rPr>
        <w:t>略有去化</w:t>
      </w:r>
      <w:r w:rsidR="00430EC8" w:rsidRPr="00430EC8">
        <w:rPr>
          <w:rFonts w:ascii="华文楷体" w:hAnsi="华文楷体" w:hint="eastAsia"/>
          <w:bCs/>
          <w:sz w:val="24"/>
          <w:szCs w:val="24"/>
          <w:lang w:eastAsia="zh-CN"/>
        </w:rPr>
        <w:t>。本周</w:t>
      </w:r>
      <w:r w:rsidR="005F3962">
        <w:rPr>
          <w:rFonts w:ascii="华文楷体" w:hAnsi="华文楷体" w:hint="eastAsia"/>
          <w:bCs/>
          <w:sz w:val="24"/>
          <w:szCs w:val="24"/>
          <w:lang w:eastAsia="zh-CN"/>
        </w:rPr>
        <w:t>LME</w:t>
      </w:r>
      <w:r w:rsidR="00430EC8" w:rsidRPr="00430EC8">
        <w:rPr>
          <w:rFonts w:ascii="华文楷体" w:hAnsi="华文楷体" w:hint="eastAsia"/>
          <w:bCs/>
          <w:sz w:val="24"/>
          <w:szCs w:val="24"/>
          <w:lang w:eastAsia="zh-CN"/>
        </w:rPr>
        <w:t>有色品种</w:t>
      </w:r>
      <w:r w:rsidR="005F3962">
        <w:rPr>
          <w:rFonts w:ascii="华文楷体" w:hAnsi="华文楷体" w:hint="eastAsia"/>
          <w:bCs/>
          <w:sz w:val="24"/>
          <w:szCs w:val="24"/>
          <w:lang w:eastAsia="zh-CN"/>
        </w:rPr>
        <w:t>铜和铝</w:t>
      </w:r>
      <w:r w:rsidR="00430EC8" w:rsidRPr="00430EC8">
        <w:rPr>
          <w:rFonts w:ascii="华文楷体" w:hAnsi="华文楷体" w:hint="eastAsia"/>
          <w:bCs/>
          <w:sz w:val="24"/>
          <w:szCs w:val="24"/>
          <w:lang w:eastAsia="zh-CN"/>
        </w:rPr>
        <w:t>价格</w:t>
      </w:r>
      <w:r w:rsidR="00514BF9">
        <w:rPr>
          <w:rFonts w:ascii="华文楷体" w:hAnsi="华文楷体" w:hint="eastAsia"/>
          <w:bCs/>
          <w:sz w:val="24"/>
          <w:szCs w:val="24"/>
          <w:lang w:eastAsia="zh-CN"/>
        </w:rPr>
        <w:t>上涨</w:t>
      </w:r>
      <w:r w:rsidR="003C2208">
        <w:rPr>
          <w:rFonts w:ascii="华文楷体" w:hAnsi="华文楷体" w:hint="eastAsia"/>
          <w:bCs/>
          <w:sz w:val="24"/>
          <w:szCs w:val="24"/>
          <w:lang w:eastAsia="zh-CN"/>
        </w:rPr>
        <w:t>，涨幅分别为</w:t>
      </w:r>
      <w:r w:rsidR="00514BF9">
        <w:rPr>
          <w:rFonts w:ascii="华文楷体" w:hAnsi="华文楷体"/>
          <w:bCs/>
          <w:sz w:val="24"/>
          <w:szCs w:val="24"/>
          <w:lang w:eastAsia="zh-CN"/>
        </w:rPr>
        <w:t>1.94</w:t>
      </w:r>
      <w:r w:rsidR="003C2208">
        <w:rPr>
          <w:rFonts w:ascii="华文楷体" w:hAnsi="华文楷体" w:hint="eastAsia"/>
          <w:bCs/>
          <w:sz w:val="24"/>
          <w:szCs w:val="24"/>
          <w:lang w:eastAsia="zh-CN"/>
        </w:rPr>
        <w:t>%和</w:t>
      </w:r>
      <w:r w:rsidR="00514BF9">
        <w:rPr>
          <w:rFonts w:ascii="华文楷体" w:hAnsi="华文楷体"/>
          <w:bCs/>
          <w:sz w:val="24"/>
          <w:szCs w:val="24"/>
          <w:lang w:eastAsia="zh-CN"/>
        </w:rPr>
        <w:t>1.26</w:t>
      </w:r>
      <w:r w:rsidR="003C2208">
        <w:rPr>
          <w:rFonts w:ascii="华文楷体" w:hAnsi="华文楷体" w:hint="eastAsia"/>
          <w:bCs/>
          <w:sz w:val="24"/>
          <w:szCs w:val="24"/>
          <w:lang w:eastAsia="zh-CN"/>
        </w:rPr>
        <w:t>%</w:t>
      </w:r>
      <w:r w:rsidR="005F3962">
        <w:rPr>
          <w:rFonts w:ascii="华文楷体" w:hAnsi="华文楷体" w:hint="eastAsia"/>
          <w:bCs/>
          <w:sz w:val="24"/>
          <w:szCs w:val="24"/>
          <w:lang w:eastAsia="zh-CN"/>
        </w:rPr>
        <w:t>。</w:t>
      </w:r>
    </w:p>
    <w:p w14:paraId="184D73D0" w14:textId="70C5A679" w:rsidR="00257267" w:rsidRPr="0092451C" w:rsidRDefault="00E34B22" w:rsidP="0007254B">
      <w:pPr>
        <w:pStyle w:val="Body-text"/>
        <w:ind w:firstLineChars="200" w:firstLine="480"/>
        <w:rPr>
          <w:rFonts w:ascii="华文楷体" w:hAnsi="华文楷体"/>
          <w:bCs/>
          <w:color w:val="C00000"/>
          <w:sz w:val="24"/>
          <w:szCs w:val="24"/>
          <w:lang w:eastAsia="zh-CN"/>
        </w:rPr>
      </w:pPr>
      <w:r w:rsidRPr="00D67BD7">
        <w:rPr>
          <w:rFonts w:ascii="华文楷体" w:hAnsi="华文楷体" w:hint="eastAsia"/>
          <w:b/>
          <w:bCs/>
          <w:sz w:val="24"/>
          <w:szCs w:val="24"/>
          <w:lang w:eastAsia="zh-CN"/>
        </w:rPr>
        <w:t>地产</w:t>
      </w:r>
      <w:r w:rsidR="00763150">
        <w:rPr>
          <w:rFonts w:ascii="华文楷体" w:hAnsi="华文楷体" w:hint="eastAsia"/>
          <w:b/>
          <w:bCs/>
          <w:sz w:val="24"/>
          <w:szCs w:val="24"/>
          <w:lang w:eastAsia="zh-CN"/>
        </w:rPr>
        <w:t>和消费</w:t>
      </w:r>
      <w:r w:rsidR="00CC2F5D" w:rsidRPr="00D67BD7">
        <w:rPr>
          <w:rFonts w:ascii="华文楷体" w:hAnsi="华文楷体" w:hint="eastAsia"/>
          <w:b/>
          <w:bCs/>
          <w:sz w:val="24"/>
          <w:szCs w:val="24"/>
          <w:lang w:eastAsia="zh-CN"/>
        </w:rPr>
        <w:t>：</w:t>
      </w:r>
      <w:r w:rsidR="00430EC8" w:rsidRPr="0092451C">
        <w:rPr>
          <w:rFonts w:ascii="华文楷体" w:hAnsi="华文楷体" w:hint="eastAsia"/>
          <w:bCs/>
          <w:sz w:val="24"/>
          <w:szCs w:val="24"/>
          <w:lang w:eastAsia="zh-CN"/>
        </w:rPr>
        <w:t>本周30大中城市商品房成交面积较上周继续回落，与近期部分城市地产政策</w:t>
      </w:r>
      <w:r w:rsidR="0092451C" w:rsidRPr="0092451C">
        <w:rPr>
          <w:rFonts w:ascii="华文楷体" w:hAnsi="华文楷体" w:hint="eastAsia"/>
          <w:bCs/>
          <w:sz w:val="24"/>
          <w:szCs w:val="24"/>
          <w:lang w:eastAsia="zh-CN"/>
        </w:rPr>
        <w:t>持续</w:t>
      </w:r>
      <w:r w:rsidR="00A61947" w:rsidRPr="0092451C">
        <w:rPr>
          <w:rFonts w:ascii="华文楷体" w:hAnsi="华文楷体" w:hint="eastAsia"/>
          <w:bCs/>
          <w:sz w:val="24"/>
          <w:szCs w:val="24"/>
          <w:lang w:eastAsia="zh-CN"/>
        </w:rPr>
        <w:t>收紧有关。</w:t>
      </w:r>
      <w:r w:rsidR="00430EC8" w:rsidRPr="0092451C">
        <w:rPr>
          <w:rFonts w:ascii="华文楷体" w:hAnsi="华文楷体" w:hint="eastAsia"/>
          <w:bCs/>
          <w:sz w:val="24"/>
          <w:szCs w:val="24"/>
          <w:lang w:eastAsia="zh-CN"/>
        </w:rPr>
        <w:t>拿地方面，100大中城市土地成交面积继续回落。</w:t>
      </w:r>
      <w:r w:rsidR="0008527D" w:rsidRPr="0092451C">
        <w:rPr>
          <w:rFonts w:ascii="华文楷体" w:hAnsi="华文楷体" w:hint="eastAsia"/>
          <w:bCs/>
          <w:sz w:val="24"/>
          <w:szCs w:val="24"/>
          <w:lang w:eastAsia="zh-CN"/>
        </w:rPr>
        <w:t>乘用车销量上，</w:t>
      </w:r>
      <w:r w:rsidR="0092451C" w:rsidRPr="0092451C">
        <w:rPr>
          <w:rFonts w:ascii="华文楷体" w:hAnsi="华文楷体" w:hint="eastAsia"/>
          <w:bCs/>
          <w:sz w:val="24"/>
          <w:szCs w:val="24"/>
          <w:lang w:eastAsia="zh-CN"/>
        </w:rPr>
        <w:t>8月乘用车市场稳定回升，预计狭义乘用车零售销量169万辆，同比增长8%左右</w:t>
      </w:r>
      <w:r w:rsidR="00257267" w:rsidRPr="0092451C">
        <w:rPr>
          <w:rFonts w:ascii="华文楷体" w:hAnsi="华文楷体" w:hint="eastAsia"/>
          <w:bCs/>
          <w:sz w:val="24"/>
          <w:szCs w:val="24"/>
          <w:lang w:eastAsia="zh-CN"/>
        </w:rPr>
        <w:t>。</w:t>
      </w:r>
    </w:p>
    <w:p w14:paraId="3BDE386D" w14:textId="0A7B049A" w:rsidR="003B54C0" w:rsidRPr="00682A95" w:rsidRDefault="005D478C" w:rsidP="0007254B">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进</w:t>
      </w:r>
      <w:r w:rsidRPr="00C34A52">
        <w:rPr>
          <w:rFonts w:ascii="华文楷体" w:hAnsi="华文楷体" w:hint="eastAsia"/>
          <w:b/>
          <w:bCs/>
          <w:sz w:val="24"/>
          <w:szCs w:val="24"/>
          <w:lang w:eastAsia="zh-CN"/>
        </w:rPr>
        <w:t>出口</w:t>
      </w:r>
      <w:r w:rsidR="00CC2F5D" w:rsidRPr="00C34A52">
        <w:rPr>
          <w:rFonts w:ascii="华文楷体" w:hAnsi="华文楷体" w:hint="eastAsia"/>
          <w:bCs/>
          <w:sz w:val="24"/>
          <w:szCs w:val="24"/>
          <w:lang w:eastAsia="zh-CN"/>
        </w:rPr>
        <w:t>：</w:t>
      </w:r>
      <w:r w:rsidR="00D60F71">
        <w:rPr>
          <w:rFonts w:ascii="华文楷体" w:hAnsi="华文楷体" w:hint="eastAsia"/>
          <w:bCs/>
          <w:sz w:val="24"/>
          <w:szCs w:val="24"/>
          <w:lang w:eastAsia="zh-CN"/>
        </w:rPr>
        <w:t>出口方面，</w:t>
      </w:r>
      <w:r w:rsidR="00A61947" w:rsidRPr="00A61947">
        <w:rPr>
          <w:rFonts w:ascii="华文楷体" w:hAnsi="华文楷体" w:hint="eastAsia"/>
          <w:bCs/>
          <w:sz w:val="24"/>
          <w:szCs w:val="24"/>
          <w:lang w:eastAsia="zh-CN"/>
        </w:rPr>
        <w:t>上海出口集装箱指数（SCFI）本周</w:t>
      </w:r>
      <w:r w:rsidR="005135E2">
        <w:rPr>
          <w:rFonts w:ascii="华文楷体" w:hAnsi="华文楷体" w:hint="eastAsia"/>
          <w:bCs/>
          <w:sz w:val="24"/>
          <w:szCs w:val="24"/>
          <w:lang w:eastAsia="zh-CN"/>
        </w:rPr>
        <w:t>上升</w:t>
      </w:r>
      <w:r w:rsidR="0092451C">
        <w:rPr>
          <w:rFonts w:ascii="华文楷体" w:hAnsi="华文楷体"/>
          <w:bCs/>
          <w:sz w:val="24"/>
          <w:szCs w:val="24"/>
          <w:lang w:eastAsia="zh-CN"/>
        </w:rPr>
        <w:t>1.35</w:t>
      </w:r>
      <w:r w:rsidR="00A61947" w:rsidRPr="00A61947">
        <w:rPr>
          <w:rFonts w:ascii="华文楷体" w:hAnsi="华文楷体" w:hint="eastAsia"/>
          <w:bCs/>
          <w:sz w:val="24"/>
          <w:szCs w:val="24"/>
          <w:lang w:eastAsia="zh-CN"/>
        </w:rPr>
        <w:t>%，中国出口集装箱运价指数（CCFI）</w:t>
      </w:r>
      <w:r w:rsidR="0060189A">
        <w:rPr>
          <w:rFonts w:ascii="华文楷体" w:hAnsi="华文楷体" w:hint="eastAsia"/>
          <w:bCs/>
          <w:sz w:val="24"/>
          <w:szCs w:val="24"/>
          <w:lang w:eastAsia="zh-CN"/>
        </w:rPr>
        <w:t>小幅</w:t>
      </w:r>
      <w:r w:rsidR="0092451C">
        <w:rPr>
          <w:rFonts w:ascii="华文楷体" w:hAnsi="华文楷体" w:hint="eastAsia"/>
          <w:bCs/>
          <w:sz w:val="24"/>
          <w:szCs w:val="24"/>
          <w:lang w:eastAsia="zh-CN"/>
        </w:rPr>
        <w:t>回落-</w:t>
      </w:r>
      <w:r w:rsidR="0092451C">
        <w:rPr>
          <w:rFonts w:ascii="华文楷体" w:hAnsi="华文楷体"/>
          <w:bCs/>
          <w:sz w:val="24"/>
          <w:szCs w:val="24"/>
          <w:lang w:eastAsia="zh-CN"/>
        </w:rPr>
        <w:t>0.9</w:t>
      </w:r>
      <w:r w:rsidR="0060189A">
        <w:rPr>
          <w:rFonts w:ascii="华文楷体" w:hAnsi="华文楷体" w:hint="eastAsia"/>
          <w:bCs/>
          <w:sz w:val="24"/>
          <w:szCs w:val="24"/>
          <w:lang w:eastAsia="zh-CN"/>
        </w:rPr>
        <w:t>%</w:t>
      </w:r>
      <w:r w:rsidR="00797153">
        <w:rPr>
          <w:rFonts w:ascii="华文楷体" w:hAnsi="华文楷体" w:hint="eastAsia"/>
          <w:bCs/>
          <w:sz w:val="24"/>
          <w:szCs w:val="24"/>
          <w:lang w:eastAsia="zh-CN"/>
        </w:rPr>
        <w:t>。进口方面，</w:t>
      </w:r>
      <w:r w:rsidR="00A61947" w:rsidRPr="00A61947">
        <w:rPr>
          <w:rFonts w:ascii="华文楷体" w:hAnsi="华文楷体" w:hint="eastAsia"/>
          <w:bCs/>
          <w:sz w:val="24"/>
          <w:szCs w:val="24"/>
          <w:lang w:eastAsia="zh-CN"/>
        </w:rPr>
        <w:t>波罗的海干散货指数较上周</w:t>
      </w:r>
      <w:r w:rsidR="0060189A">
        <w:rPr>
          <w:rFonts w:ascii="华文楷体" w:hAnsi="华文楷体" w:hint="eastAsia"/>
          <w:bCs/>
          <w:sz w:val="24"/>
          <w:szCs w:val="24"/>
          <w:lang w:eastAsia="zh-CN"/>
        </w:rPr>
        <w:t>上涨</w:t>
      </w:r>
      <w:r w:rsidR="0092451C">
        <w:rPr>
          <w:rFonts w:ascii="华文楷体" w:hAnsi="华文楷体"/>
          <w:bCs/>
          <w:sz w:val="24"/>
          <w:szCs w:val="24"/>
          <w:lang w:eastAsia="zh-CN"/>
        </w:rPr>
        <w:t>7.14</w:t>
      </w:r>
      <w:r w:rsidR="00A61947" w:rsidRPr="00A61947">
        <w:rPr>
          <w:rFonts w:ascii="华文楷体" w:hAnsi="华文楷体" w:hint="eastAsia"/>
          <w:bCs/>
          <w:sz w:val="24"/>
          <w:szCs w:val="24"/>
          <w:lang w:eastAsia="zh-CN"/>
        </w:rPr>
        <w:t>%。</w:t>
      </w:r>
    </w:p>
    <w:p w14:paraId="0542DAC4" w14:textId="7B2E2811" w:rsidR="00756ABD"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25885" w:rsidRPr="00A25885">
        <w:rPr>
          <w:rFonts w:ascii="华文楷体" w:hAnsi="华文楷体" w:hint="eastAsia"/>
          <w:bCs/>
          <w:sz w:val="24"/>
          <w:szCs w:val="24"/>
          <w:lang w:eastAsia="zh-CN"/>
        </w:rPr>
        <w:t>猪肉价格本周</w:t>
      </w:r>
      <w:r w:rsidR="00EC46E1">
        <w:rPr>
          <w:rFonts w:ascii="华文楷体" w:hAnsi="华文楷体" w:hint="eastAsia"/>
          <w:bCs/>
          <w:sz w:val="24"/>
          <w:szCs w:val="24"/>
          <w:lang w:eastAsia="zh-CN"/>
        </w:rPr>
        <w:t>略有</w:t>
      </w:r>
      <w:r w:rsidR="0092451C">
        <w:rPr>
          <w:rFonts w:ascii="华文楷体" w:hAnsi="华文楷体" w:hint="eastAsia"/>
          <w:bCs/>
          <w:sz w:val="24"/>
          <w:szCs w:val="24"/>
          <w:lang w:eastAsia="zh-CN"/>
        </w:rPr>
        <w:t>回升</w:t>
      </w:r>
      <w:r w:rsidR="003C2208">
        <w:rPr>
          <w:rFonts w:ascii="华文楷体" w:hAnsi="华文楷体" w:hint="eastAsia"/>
          <w:bCs/>
          <w:sz w:val="24"/>
          <w:szCs w:val="24"/>
          <w:lang w:eastAsia="zh-CN"/>
        </w:rPr>
        <w:t>。</w:t>
      </w:r>
      <w:r w:rsidR="00A25885" w:rsidRPr="00A25885">
        <w:rPr>
          <w:rFonts w:ascii="华文楷体" w:hAnsi="华文楷体" w:hint="eastAsia"/>
          <w:bCs/>
          <w:sz w:val="24"/>
          <w:szCs w:val="24"/>
          <w:lang w:eastAsia="zh-CN"/>
        </w:rPr>
        <w:t>农业部公布的全国平均批发价较上周末</w:t>
      </w:r>
      <w:r w:rsidR="0030711F">
        <w:rPr>
          <w:rFonts w:ascii="华文楷体" w:hAnsi="华文楷体" w:hint="eastAsia"/>
          <w:bCs/>
          <w:sz w:val="24"/>
          <w:szCs w:val="24"/>
          <w:lang w:eastAsia="zh-CN"/>
        </w:rPr>
        <w:t>略有</w:t>
      </w:r>
      <w:r w:rsidR="0092451C">
        <w:rPr>
          <w:rFonts w:ascii="华文楷体" w:hAnsi="华文楷体" w:hint="eastAsia"/>
          <w:bCs/>
          <w:sz w:val="24"/>
          <w:szCs w:val="24"/>
          <w:lang w:eastAsia="zh-CN"/>
        </w:rPr>
        <w:t>上升</w:t>
      </w:r>
      <w:r w:rsidR="0030711F">
        <w:rPr>
          <w:rFonts w:ascii="华文楷体" w:hAnsi="华文楷体" w:hint="eastAsia"/>
          <w:bCs/>
          <w:sz w:val="24"/>
          <w:szCs w:val="24"/>
          <w:lang w:eastAsia="zh-CN"/>
        </w:rPr>
        <w:t>，至4</w:t>
      </w:r>
      <w:r w:rsidR="0030711F">
        <w:rPr>
          <w:rFonts w:ascii="华文楷体" w:hAnsi="华文楷体"/>
          <w:bCs/>
          <w:sz w:val="24"/>
          <w:szCs w:val="24"/>
          <w:lang w:eastAsia="zh-CN"/>
        </w:rPr>
        <w:t>8.</w:t>
      </w:r>
      <w:r w:rsidR="0092451C">
        <w:rPr>
          <w:rFonts w:ascii="华文楷体" w:hAnsi="华文楷体"/>
          <w:bCs/>
          <w:sz w:val="24"/>
          <w:szCs w:val="24"/>
          <w:lang w:eastAsia="zh-CN"/>
        </w:rPr>
        <w:t>4</w:t>
      </w:r>
      <w:r w:rsidR="00A25885" w:rsidRPr="00A25885">
        <w:rPr>
          <w:rFonts w:ascii="华文楷体" w:hAnsi="华文楷体" w:hint="eastAsia"/>
          <w:bCs/>
          <w:sz w:val="24"/>
          <w:szCs w:val="24"/>
          <w:lang w:eastAsia="zh-CN"/>
        </w:rPr>
        <w:t>元/公斤左右，环比</w:t>
      </w:r>
      <w:r w:rsidR="0092451C">
        <w:rPr>
          <w:rFonts w:ascii="华文楷体" w:hAnsi="华文楷体" w:hint="eastAsia"/>
          <w:bCs/>
          <w:sz w:val="24"/>
          <w:szCs w:val="24"/>
          <w:lang w:eastAsia="zh-CN"/>
        </w:rPr>
        <w:t>上涨0</w:t>
      </w:r>
      <w:r w:rsidR="0092451C">
        <w:rPr>
          <w:rFonts w:ascii="华文楷体" w:hAnsi="华文楷体"/>
          <w:bCs/>
          <w:sz w:val="24"/>
          <w:szCs w:val="24"/>
          <w:lang w:eastAsia="zh-CN"/>
        </w:rPr>
        <w:t>.31</w:t>
      </w:r>
      <w:r w:rsidR="00A25885" w:rsidRPr="00A25885">
        <w:rPr>
          <w:rFonts w:ascii="华文楷体" w:hAnsi="华文楷体" w:hint="eastAsia"/>
          <w:bCs/>
          <w:sz w:val="24"/>
          <w:szCs w:val="24"/>
          <w:lang w:eastAsia="zh-CN"/>
        </w:rPr>
        <w:t>%</w:t>
      </w:r>
      <w:r w:rsidR="00A25885">
        <w:rPr>
          <w:rFonts w:ascii="华文楷体" w:hAnsi="华文楷体" w:hint="eastAsia"/>
          <w:bCs/>
          <w:sz w:val="24"/>
          <w:szCs w:val="24"/>
          <w:lang w:eastAsia="zh-CN"/>
        </w:rPr>
        <w:t>。</w:t>
      </w:r>
      <w:r w:rsidR="00A25885" w:rsidRPr="00A25885">
        <w:rPr>
          <w:rFonts w:ascii="华文楷体" w:hAnsi="华文楷体" w:hint="eastAsia"/>
          <w:bCs/>
          <w:sz w:val="24"/>
          <w:szCs w:val="24"/>
          <w:lang w:eastAsia="zh-CN"/>
        </w:rPr>
        <w:t>蔬菜方面，价格</w:t>
      </w:r>
      <w:r w:rsidR="0092451C">
        <w:rPr>
          <w:rFonts w:ascii="华文楷体" w:hAnsi="华文楷体" w:hint="eastAsia"/>
          <w:bCs/>
          <w:sz w:val="24"/>
          <w:szCs w:val="24"/>
          <w:lang w:eastAsia="zh-CN"/>
        </w:rPr>
        <w:t>小幅上升</w:t>
      </w:r>
      <w:r w:rsidR="00A25885" w:rsidRPr="00A25885">
        <w:rPr>
          <w:rFonts w:ascii="华文楷体" w:hAnsi="华文楷体" w:hint="eastAsia"/>
          <w:bCs/>
          <w:sz w:val="24"/>
          <w:szCs w:val="24"/>
          <w:lang w:eastAsia="zh-CN"/>
        </w:rPr>
        <w:t>；水果价格则较上周</w:t>
      </w:r>
      <w:r w:rsidR="0030711F">
        <w:rPr>
          <w:rFonts w:ascii="华文楷体" w:hAnsi="华文楷体" w:hint="eastAsia"/>
          <w:bCs/>
          <w:sz w:val="24"/>
          <w:szCs w:val="24"/>
          <w:lang w:eastAsia="zh-CN"/>
        </w:rPr>
        <w:t>小幅下跌，跌幅为</w:t>
      </w:r>
      <w:r w:rsidR="00C9534E">
        <w:rPr>
          <w:rFonts w:ascii="华文楷体" w:hAnsi="华文楷体" w:hint="eastAsia"/>
          <w:bCs/>
          <w:sz w:val="24"/>
          <w:szCs w:val="24"/>
          <w:lang w:eastAsia="zh-CN"/>
        </w:rPr>
        <w:t>0</w:t>
      </w:r>
      <w:r w:rsidR="00C9534E">
        <w:rPr>
          <w:rFonts w:ascii="华文楷体" w:hAnsi="华文楷体"/>
          <w:bCs/>
          <w:sz w:val="24"/>
          <w:szCs w:val="24"/>
          <w:lang w:eastAsia="zh-CN"/>
        </w:rPr>
        <w:t>.</w:t>
      </w:r>
      <w:r w:rsidR="0092451C">
        <w:rPr>
          <w:rFonts w:ascii="华文楷体" w:hAnsi="华文楷体"/>
          <w:bCs/>
          <w:sz w:val="24"/>
          <w:szCs w:val="24"/>
          <w:lang w:eastAsia="zh-CN"/>
        </w:rPr>
        <w:t>15</w:t>
      </w:r>
      <w:r w:rsidR="00A25885" w:rsidRPr="00A25885">
        <w:rPr>
          <w:rFonts w:ascii="华文楷体" w:hAnsi="华文楷体" w:hint="eastAsia"/>
          <w:bCs/>
          <w:sz w:val="24"/>
          <w:szCs w:val="24"/>
          <w:lang w:eastAsia="zh-CN"/>
        </w:rPr>
        <w:t>%。</w:t>
      </w:r>
    </w:p>
    <w:p w14:paraId="5DF662A7" w14:textId="37864864" w:rsidR="0015400F" w:rsidRPr="002627F1" w:rsidRDefault="00DC2C5F" w:rsidP="00F07541">
      <w:pPr>
        <w:pStyle w:val="Body-text"/>
        <w:ind w:firstLineChars="200" w:firstLine="480"/>
        <w:rPr>
          <w:rFonts w:ascii="华文楷体" w:hAnsi="华文楷体"/>
          <w:bCs/>
          <w:sz w:val="24"/>
          <w:szCs w:val="24"/>
          <w:lang w:eastAsia="zh-CN"/>
        </w:rPr>
      </w:pPr>
      <w:bookmarkStart w:id="2" w:name="_Hlk21205334"/>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A25885" w:rsidRPr="00A25885">
        <w:rPr>
          <w:rFonts w:ascii="华文楷体" w:hAnsi="华文楷体" w:hint="eastAsia"/>
          <w:bCs/>
          <w:sz w:val="24"/>
          <w:szCs w:val="24"/>
          <w:lang w:eastAsia="zh-CN"/>
        </w:rPr>
        <w:t>本周国际油价</w:t>
      </w:r>
      <w:r w:rsidR="00D07DF0">
        <w:rPr>
          <w:rFonts w:ascii="华文楷体" w:hAnsi="华文楷体" w:hint="eastAsia"/>
          <w:bCs/>
          <w:sz w:val="24"/>
          <w:szCs w:val="24"/>
          <w:lang w:eastAsia="zh-CN"/>
        </w:rPr>
        <w:t>上涨</w:t>
      </w:r>
      <w:r w:rsidR="00A25885" w:rsidRPr="00A25885">
        <w:rPr>
          <w:rFonts w:ascii="华文楷体" w:hAnsi="华文楷体" w:hint="eastAsia"/>
          <w:bCs/>
          <w:sz w:val="24"/>
          <w:szCs w:val="24"/>
          <w:lang w:eastAsia="zh-CN"/>
        </w:rPr>
        <w:t>，WTI原油价格</w:t>
      </w:r>
      <w:r w:rsidR="0001480A">
        <w:rPr>
          <w:rFonts w:ascii="华文楷体" w:hAnsi="华文楷体" w:hint="eastAsia"/>
          <w:bCs/>
          <w:sz w:val="24"/>
          <w:szCs w:val="24"/>
          <w:lang w:eastAsia="zh-CN"/>
        </w:rPr>
        <w:t>环比</w:t>
      </w:r>
      <w:r w:rsidR="0030711F">
        <w:rPr>
          <w:rFonts w:ascii="华文楷体" w:hAnsi="华文楷体" w:hint="eastAsia"/>
          <w:bCs/>
          <w:sz w:val="24"/>
          <w:szCs w:val="24"/>
          <w:lang w:eastAsia="zh-CN"/>
        </w:rPr>
        <w:t>上涨</w:t>
      </w:r>
      <w:r w:rsidR="0092451C">
        <w:rPr>
          <w:rFonts w:ascii="华文楷体" w:hAnsi="华文楷体"/>
          <w:bCs/>
          <w:sz w:val="24"/>
          <w:szCs w:val="24"/>
          <w:lang w:eastAsia="zh-CN"/>
        </w:rPr>
        <w:t>0.57</w:t>
      </w:r>
      <w:r w:rsidR="0001480A">
        <w:rPr>
          <w:rFonts w:ascii="华文楷体" w:hAnsi="华文楷体" w:hint="eastAsia"/>
          <w:bCs/>
          <w:sz w:val="24"/>
          <w:szCs w:val="24"/>
          <w:lang w:eastAsia="zh-CN"/>
        </w:rPr>
        <w:t>%</w:t>
      </w:r>
      <w:r w:rsidR="00A25885" w:rsidRPr="00A25885">
        <w:rPr>
          <w:rFonts w:ascii="华文楷体" w:hAnsi="华文楷体" w:hint="eastAsia"/>
          <w:bCs/>
          <w:sz w:val="24"/>
          <w:szCs w:val="24"/>
          <w:lang w:eastAsia="zh-CN"/>
        </w:rPr>
        <w:t>；</w:t>
      </w:r>
      <w:r w:rsidR="00A25885" w:rsidRPr="002627F1">
        <w:rPr>
          <w:rFonts w:ascii="华文楷体" w:hAnsi="华文楷体" w:hint="eastAsia"/>
          <w:bCs/>
          <w:sz w:val="24"/>
          <w:szCs w:val="24"/>
          <w:lang w:eastAsia="zh-CN"/>
        </w:rPr>
        <w:t>布伦</w:t>
      </w:r>
      <w:proofErr w:type="gramStart"/>
      <w:r w:rsidR="00A25885" w:rsidRPr="002627F1">
        <w:rPr>
          <w:rFonts w:ascii="华文楷体" w:hAnsi="华文楷体" w:hint="eastAsia"/>
          <w:bCs/>
          <w:sz w:val="24"/>
          <w:szCs w:val="24"/>
          <w:lang w:eastAsia="zh-CN"/>
        </w:rPr>
        <w:t>特</w:t>
      </w:r>
      <w:proofErr w:type="gramEnd"/>
      <w:r w:rsidR="00A25885" w:rsidRPr="002627F1">
        <w:rPr>
          <w:rFonts w:ascii="华文楷体" w:hAnsi="华文楷体" w:hint="eastAsia"/>
          <w:bCs/>
          <w:sz w:val="24"/>
          <w:szCs w:val="24"/>
          <w:lang w:eastAsia="zh-CN"/>
        </w:rPr>
        <w:t>原油价格</w:t>
      </w:r>
      <w:r w:rsidR="0001480A" w:rsidRPr="002627F1">
        <w:rPr>
          <w:rFonts w:ascii="华文楷体" w:hAnsi="华文楷体" w:hint="eastAsia"/>
          <w:bCs/>
          <w:sz w:val="24"/>
          <w:szCs w:val="24"/>
          <w:lang w:eastAsia="zh-CN"/>
        </w:rPr>
        <w:t>环比</w:t>
      </w:r>
      <w:r w:rsidR="0030711F" w:rsidRPr="002627F1">
        <w:rPr>
          <w:rFonts w:ascii="华文楷体" w:hAnsi="华文楷体" w:hint="eastAsia"/>
          <w:bCs/>
          <w:sz w:val="24"/>
          <w:szCs w:val="24"/>
          <w:lang w:eastAsia="zh-CN"/>
        </w:rPr>
        <w:t>上涨</w:t>
      </w:r>
      <w:r w:rsidR="0092451C">
        <w:rPr>
          <w:rFonts w:ascii="华文楷体" w:hAnsi="华文楷体"/>
          <w:bCs/>
          <w:sz w:val="24"/>
          <w:szCs w:val="24"/>
          <w:lang w:eastAsia="zh-CN"/>
        </w:rPr>
        <w:t>4.25</w:t>
      </w:r>
      <w:r w:rsidR="0001480A" w:rsidRPr="002627F1">
        <w:rPr>
          <w:rFonts w:ascii="华文楷体" w:hAnsi="华文楷体" w:hint="eastAsia"/>
          <w:bCs/>
          <w:sz w:val="24"/>
          <w:szCs w:val="24"/>
          <w:lang w:eastAsia="zh-CN"/>
        </w:rPr>
        <w:t>%。本周美元指数</w:t>
      </w:r>
      <w:r w:rsidR="0030711F" w:rsidRPr="002627F1">
        <w:rPr>
          <w:rFonts w:ascii="华文楷体" w:hAnsi="华文楷体" w:hint="eastAsia"/>
          <w:bCs/>
          <w:sz w:val="24"/>
          <w:szCs w:val="24"/>
          <w:lang w:eastAsia="zh-CN"/>
        </w:rPr>
        <w:t>小幅</w:t>
      </w:r>
      <w:r w:rsidR="0092451C">
        <w:rPr>
          <w:rFonts w:ascii="华文楷体" w:hAnsi="华文楷体" w:hint="eastAsia"/>
          <w:bCs/>
          <w:sz w:val="24"/>
          <w:szCs w:val="24"/>
          <w:lang w:eastAsia="zh-CN"/>
        </w:rPr>
        <w:t>上涨0</w:t>
      </w:r>
      <w:r w:rsidR="0092451C">
        <w:rPr>
          <w:rFonts w:ascii="华文楷体" w:hAnsi="华文楷体"/>
          <w:bCs/>
          <w:sz w:val="24"/>
          <w:szCs w:val="24"/>
          <w:lang w:eastAsia="zh-CN"/>
        </w:rPr>
        <w:t>.11</w:t>
      </w:r>
      <w:r w:rsidR="0030711F" w:rsidRPr="002627F1">
        <w:rPr>
          <w:rFonts w:ascii="华文楷体" w:hAnsi="华文楷体" w:hint="eastAsia"/>
          <w:bCs/>
          <w:sz w:val="24"/>
          <w:szCs w:val="24"/>
          <w:lang w:eastAsia="zh-CN"/>
        </w:rPr>
        <w:t>%</w:t>
      </w:r>
      <w:r w:rsidR="00A25885" w:rsidRPr="002627F1">
        <w:rPr>
          <w:rFonts w:ascii="华文楷体" w:hAnsi="华文楷体" w:hint="eastAsia"/>
          <w:bCs/>
          <w:sz w:val="24"/>
          <w:szCs w:val="24"/>
          <w:lang w:eastAsia="zh-CN"/>
        </w:rPr>
        <w:t>。</w:t>
      </w:r>
    </w:p>
    <w:p w14:paraId="6197476A" w14:textId="1A95BE7C" w:rsidR="00A058AB" w:rsidRPr="003F15F4" w:rsidRDefault="00A058AB" w:rsidP="00F07541">
      <w:pPr>
        <w:pStyle w:val="Body-text"/>
        <w:ind w:firstLineChars="200" w:firstLine="480"/>
        <w:rPr>
          <w:rFonts w:ascii="华文楷体" w:hAnsi="华文楷体"/>
          <w:bCs/>
          <w:sz w:val="24"/>
          <w:szCs w:val="24"/>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92451C" w:rsidRPr="003F15F4">
        <w:rPr>
          <w:rFonts w:ascii="华文楷体" w:hAnsi="华文楷体"/>
          <w:bCs/>
          <w:sz w:val="24"/>
          <w:szCs w:val="24"/>
          <w:lang w:eastAsia="zh-CN"/>
        </w:rPr>
        <w:t>7</w:t>
      </w:r>
      <w:r w:rsidR="0092451C" w:rsidRPr="003F15F4">
        <w:rPr>
          <w:rFonts w:ascii="华文楷体" w:hAnsi="华文楷体" w:hint="eastAsia"/>
          <w:bCs/>
          <w:sz w:val="24"/>
          <w:szCs w:val="24"/>
          <w:lang w:eastAsia="zh-CN"/>
        </w:rPr>
        <w:t>月芝加哥</w:t>
      </w:r>
      <w:r w:rsidR="0008527D" w:rsidRPr="003F15F4">
        <w:rPr>
          <w:rFonts w:ascii="华文楷体" w:hAnsi="华文楷体" w:hint="eastAsia"/>
          <w:bCs/>
          <w:sz w:val="24"/>
          <w:szCs w:val="24"/>
          <w:lang w:eastAsia="zh-CN"/>
        </w:rPr>
        <w:t>联储</w:t>
      </w:r>
      <w:r w:rsidR="0092451C" w:rsidRPr="003F15F4">
        <w:rPr>
          <w:rFonts w:ascii="华文楷体" w:hAnsi="华文楷体" w:hint="eastAsia"/>
          <w:bCs/>
          <w:sz w:val="24"/>
          <w:szCs w:val="24"/>
          <w:lang w:eastAsia="zh-CN"/>
        </w:rPr>
        <w:t>全国活动</w:t>
      </w:r>
      <w:r w:rsidR="0008527D" w:rsidRPr="003F15F4">
        <w:rPr>
          <w:rFonts w:ascii="华文楷体" w:hAnsi="华文楷体" w:hint="eastAsia"/>
          <w:bCs/>
          <w:sz w:val="24"/>
          <w:szCs w:val="24"/>
          <w:lang w:eastAsia="zh-CN"/>
        </w:rPr>
        <w:t>指数，7月美国</w:t>
      </w:r>
      <w:r w:rsidR="0092451C" w:rsidRPr="003F15F4">
        <w:rPr>
          <w:rFonts w:ascii="华文楷体" w:hAnsi="华文楷体" w:hint="eastAsia"/>
          <w:bCs/>
          <w:sz w:val="24"/>
          <w:szCs w:val="24"/>
          <w:lang w:eastAsia="zh-CN"/>
        </w:rPr>
        <w:t>新屋销售</w:t>
      </w:r>
      <w:r w:rsidR="003F15F4" w:rsidRPr="003F15F4">
        <w:rPr>
          <w:rFonts w:ascii="华文楷体" w:hAnsi="华文楷体" w:hint="eastAsia"/>
          <w:bCs/>
          <w:sz w:val="24"/>
          <w:szCs w:val="24"/>
          <w:lang w:eastAsia="zh-CN"/>
        </w:rPr>
        <w:t>及耐用品订单</w:t>
      </w:r>
      <w:r w:rsidR="0008527D" w:rsidRPr="003F15F4">
        <w:rPr>
          <w:rFonts w:ascii="华文楷体" w:hAnsi="华文楷体" w:hint="eastAsia"/>
          <w:bCs/>
          <w:sz w:val="24"/>
          <w:szCs w:val="24"/>
          <w:lang w:eastAsia="zh-CN"/>
        </w:rPr>
        <w:t>，</w:t>
      </w:r>
      <w:r w:rsidR="003F15F4" w:rsidRPr="003F15F4">
        <w:rPr>
          <w:rFonts w:ascii="华文楷体" w:hAnsi="华文楷体" w:hint="eastAsia"/>
          <w:bCs/>
          <w:sz w:val="24"/>
          <w:szCs w:val="24"/>
          <w:lang w:eastAsia="zh-CN"/>
        </w:rPr>
        <w:t>二季度PCE及实际GDP</w:t>
      </w:r>
      <w:r w:rsidR="0008527D" w:rsidRPr="003F15F4">
        <w:rPr>
          <w:rFonts w:ascii="华文楷体" w:hAnsi="华文楷体" w:hint="eastAsia"/>
          <w:bCs/>
          <w:sz w:val="24"/>
          <w:szCs w:val="24"/>
          <w:lang w:eastAsia="zh-CN"/>
        </w:rPr>
        <w:t>数据；欧元区8月</w:t>
      </w:r>
      <w:r w:rsidR="003F15F4" w:rsidRPr="003F15F4">
        <w:rPr>
          <w:rFonts w:ascii="华文楷体" w:hAnsi="华文楷体" w:hint="eastAsia"/>
          <w:bCs/>
          <w:sz w:val="24"/>
          <w:szCs w:val="24"/>
          <w:lang w:eastAsia="zh-CN"/>
        </w:rPr>
        <w:t>消费者信心数据</w:t>
      </w:r>
      <w:r w:rsidR="0008527D" w:rsidRPr="003F15F4">
        <w:rPr>
          <w:rFonts w:ascii="华文楷体" w:hAnsi="华文楷体" w:hint="eastAsia"/>
          <w:bCs/>
          <w:sz w:val="24"/>
          <w:szCs w:val="24"/>
          <w:lang w:eastAsia="zh-CN"/>
        </w:rPr>
        <w:t>；国内</w:t>
      </w:r>
      <w:r w:rsidR="003F15F4" w:rsidRPr="003F15F4">
        <w:rPr>
          <w:rFonts w:ascii="华文楷体" w:hAnsi="华文楷体"/>
          <w:bCs/>
          <w:sz w:val="24"/>
          <w:szCs w:val="24"/>
          <w:lang w:eastAsia="zh-CN"/>
        </w:rPr>
        <w:t>7</w:t>
      </w:r>
      <w:r w:rsidR="003F15F4" w:rsidRPr="003F15F4">
        <w:rPr>
          <w:rFonts w:ascii="华文楷体" w:hAnsi="华文楷体" w:hint="eastAsia"/>
          <w:bCs/>
          <w:sz w:val="24"/>
          <w:szCs w:val="24"/>
          <w:lang w:eastAsia="zh-CN"/>
        </w:rPr>
        <w:t>月工业企业利润</w:t>
      </w:r>
      <w:r w:rsidR="0008527D" w:rsidRPr="003F15F4">
        <w:rPr>
          <w:rFonts w:ascii="华文楷体" w:hAnsi="华文楷体" w:hint="eastAsia"/>
          <w:bCs/>
          <w:sz w:val="24"/>
          <w:szCs w:val="24"/>
          <w:lang w:eastAsia="zh-CN"/>
        </w:rPr>
        <w:t>；中美摩擦</w:t>
      </w:r>
      <w:r w:rsidR="003F15F4">
        <w:rPr>
          <w:rFonts w:ascii="华文楷体" w:hAnsi="华文楷体" w:hint="eastAsia"/>
          <w:bCs/>
          <w:sz w:val="24"/>
          <w:szCs w:val="24"/>
          <w:lang w:eastAsia="zh-CN"/>
        </w:rPr>
        <w:t>；疫情情况</w:t>
      </w:r>
      <w:r w:rsidR="00257267" w:rsidRPr="003F15F4">
        <w:rPr>
          <w:rFonts w:ascii="华文楷体" w:hAnsi="华文楷体" w:hint="eastAsia"/>
          <w:bCs/>
          <w:sz w:val="24"/>
          <w:szCs w:val="24"/>
          <w:lang w:eastAsia="zh-CN"/>
        </w:rPr>
        <w:t>。</w:t>
      </w:r>
    </w:p>
    <w:p w14:paraId="7C45D262" w14:textId="77777777" w:rsidR="00257267" w:rsidRPr="00CC505E" w:rsidRDefault="00257267" w:rsidP="00F07541">
      <w:pPr>
        <w:pStyle w:val="Body-text"/>
        <w:ind w:firstLineChars="200" w:firstLine="480"/>
        <w:rPr>
          <w:rFonts w:ascii="华文楷体" w:eastAsia="PMingLiU" w:hAnsi="华文楷体"/>
          <w:bCs/>
          <w:sz w:val="24"/>
          <w:szCs w:val="24"/>
          <w:lang w:eastAsia="zh-CN"/>
        </w:rPr>
      </w:pPr>
    </w:p>
    <w:bookmarkEnd w:id="2"/>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2DDC1323" w14:textId="6CEEC71D" w:rsidR="005B3934" w:rsidRPr="002F0176" w:rsidRDefault="006B204A" w:rsidP="00427F0C">
      <w:pPr>
        <w:pStyle w:val="Body-text"/>
        <w:spacing w:after="240"/>
        <w:ind w:firstLineChars="200" w:firstLine="480"/>
        <w:rPr>
          <w:rFonts w:ascii="华文楷体" w:hAnsi="华文楷体"/>
          <w:bCs/>
          <w:sz w:val="24"/>
          <w:szCs w:val="24"/>
          <w:lang w:eastAsia="zh-CN"/>
        </w:rPr>
      </w:pPr>
      <w:r w:rsidRPr="002F0176">
        <w:rPr>
          <w:rFonts w:ascii="华文楷体" w:hAnsi="华文楷体" w:hint="eastAsia"/>
          <w:bCs/>
          <w:sz w:val="24"/>
          <w:szCs w:val="24"/>
          <w:lang w:eastAsia="zh-CN"/>
        </w:rPr>
        <w:t>利率债：</w:t>
      </w:r>
      <w:r w:rsidR="00B817FF" w:rsidRPr="002F0176">
        <w:rPr>
          <w:rFonts w:ascii="华文楷体" w:hAnsi="华文楷体" w:hint="eastAsia"/>
          <w:bCs/>
          <w:sz w:val="24"/>
          <w:szCs w:val="24"/>
          <w:lang w:eastAsia="zh-CN"/>
        </w:rPr>
        <w:t>本周</w:t>
      </w:r>
      <w:r w:rsidR="00C81E50" w:rsidRPr="002F0176">
        <w:rPr>
          <w:rFonts w:ascii="华文楷体" w:hAnsi="华文楷体" w:hint="eastAsia"/>
          <w:bCs/>
          <w:sz w:val="24"/>
          <w:szCs w:val="24"/>
          <w:lang w:eastAsia="zh-CN"/>
        </w:rPr>
        <w:t>地产调控升级，人民银行、住房城乡建设部等部门会议宣布形成了重点房地产企业资金监测和融资管理规则。看待地产调控，需要放在产业结构调整和库存周期的视角下。这一政策的思路仍然是防控风险与产业结构调整。</w:t>
      </w:r>
      <w:r w:rsidR="005B3934" w:rsidRPr="002F0176">
        <w:rPr>
          <w:rFonts w:ascii="华文楷体" w:hAnsi="华文楷体" w:hint="eastAsia"/>
          <w:bCs/>
          <w:sz w:val="24"/>
          <w:szCs w:val="24"/>
          <w:lang w:eastAsia="zh-CN"/>
        </w:rPr>
        <w:t>这一政策会不会对地产销售及开工形成负面影响需要观察。一旦地产在调控下放缓，经济修复的速度下降是大概率事件，库存周期的复苏路径可能出现断裂。</w:t>
      </w:r>
    </w:p>
    <w:p w14:paraId="14C728C3" w14:textId="45CC67DA" w:rsidR="00B817FF" w:rsidRPr="002F0176" w:rsidRDefault="005B3934" w:rsidP="006058CF">
      <w:pPr>
        <w:pStyle w:val="Body-text"/>
        <w:spacing w:after="240"/>
        <w:ind w:firstLineChars="200" w:firstLine="480"/>
        <w:rPr>
          <w:rFonts w:ascii="华文楷体" w:hAnsi="华文楷体"/>
          <w:bCs/>
          <w:sz w:val="24"/>
          <w:szCs w:val="24"/>
          <w:lang w:eastAsia="zh-CN"/>
        </w:rPr>
      </w:pPr>
      <w:r w:rsidRPr="002F0176">
        <w:rPr>
          <w:rFonts w:ascii="华文楷体" w:hAnsi="华文楷体" w:hint="eastAsia"/>
          <w:bCs/>
          <w:sz w:val="24"/>
          <w:szCs w:val="24"/>
          <w:lang w:eastAsia="zh-CN"/>
        </w:rPr>
        <w:t>海外经济，尤其是美国经济的重</w:t>
      </w:r>
      <w:proofErr w:type="gramStart"/>
      <w:r w:rsidRPr="002F0176">
        <w:rPr>
          <w:rFonts w:ascii="华文楷体" w:hAnsi="华文楷体" w:hint="eastAsia"/>
          <w:bCs/>
          <w:sz w:val="24"/>
          <w:szCs w:val="24"/>
          <w:lang w:eastAsia="zh-CN"/>
        </w:rPr>
        <w:t>启带来</w:t>
      </w:r>
      <w:proofErr w:type="gramEnd"/>
      <w:r w:rsidRPr="002F0176">
        <w:rPr>
          <w:rFonts w:ascii="华文楷体" w:hAnsi="华文楷体" w:hint="eastAsia"/>
          <w:bCs/>
          <w:sz w:val="24"/>
          <w:szCs w:val="24"/>
          <w:lang w:eastAsia="zh-CN"/>
        </w:rPr>
        <w:t>的经济数据改善，对美元形成阶段性支撑。虽然FED</w:t>
      </w:r>
      <w:r w:rsidRPr="002F0176">
        <w:rPr>
          <w:rFonts w:ascii="华文楷体" w:hAnsi="华文楷体" w:hint="eastAsia"/>
          <w:bCs/>
          <w:sz w:val="24"/>
          <w:szCs w:val="24"/>
          <w:lang w:eastAsia="zh-CN"/>
        </w:rPr>
        <w:lastRenderedPageBreak/>
        <w:t>不太可能收紧货币和利率，但是边际继续宽松的预期在上次FOMC会议后持续弱化。收益率曲线控制政策短期来看很难出台。这种情况下，美元是否会持续走强就是短期影响市场的一个重要因素。美元走强，不但会影响大宗商品，也直接影响着贵金属甚至国内经济。</w:t>
      </w:r>
    </w:p>
    <w:p w14:paraId="4DB8E086" w14:textId="44B16F2D" w:rsidR="005B3934" w:rsidRPr="002F0176" w:rsidRDefault="005B3934" w:rsidP="006058CF">
      <w:pPr>
        <w:pStyle w:val="Body-text"/>
        <w:spacing w:after="240"/>
        <w:ind w:firstLineChars="200" w:firstLine="480"/>
        <w:rPr>
          <w:rFonts w:ascii="华文楷体" w:hAnsi="华文楷体"/>
          <w:bCs/>
          <w:sz w:val="24"/>
          <w:szCs w:val="24"/>
          <w:lang w:eastAsia="zh-CN"/>
        </w:rPr>
      </w:pPr>
      <w:r w:rsidRPr="002F0176">
        <w:rPr>
          <w:rFonts w:ascii="华文楷体" w:hAnsi="华文楷体" w:hint="eastAsia"/>
          <w:bCs/>
          <w:sz w:val="24"/>
          <w:szCs w:val="24"/>
          <w:lang w:eastAsia="zh-CN"/>
        </w:rPr>
        <w:t>权益市场在经过上周调整后，下周或将出现再次蓄力上冲。在上方阻力较强，短期缺乏突破动力时，这一冲高如果无法有效延伸，回落就是大概率事件。而债券市场持续调整，</w:t>
      </w:r>
      <w:proofErr w:type="gramStart"/>
      <w:r w:rsidRPr="002F0176">
        <w:rPr>
          <w:rFonts w:ascii="华文楷体" w:hAnsi="华文楷体" w:hint="eastAsia"/>
          <w:bCs/>
          <w:sz w:val="24"/>
          <w:szCs w:val="24"/>
          <w:lang w:eastAsia="zh-CN"/>
        </w:rPr>
        <w:t>股债比已经</w:t>
      </w:r>
      <w:proofErr w:type="gramEnd"/>
      <w:r w:rsidRPr="002F0176">
        <w:rPr>
          <w:rFonts w:ascii="华文楷体" w:hAnsi="华文楷体" w:hint="eastAsia"/>
          <w:bCs/>
          <w:sz w:val="24"/>
          <w:szCs w:val="24"/>
          <w:lang w:eastAsia="zh-CN"/>
        </w:rPr>
        <w:t>阶段修复，跷跷板效应也会对利率</w:t>
      </w:r>
      <w:proofErr w:type="gramStart"/>
      <w:r w:rsidRPr="002F0176">
        <w:rPr>
          <w:rFonts w:ascii="华文楷体" w:hAnsi="华文楷体" w:hint="eastAsia"/>
          <w:bCs/>
          <w:sz w:val="24"/>
          <w:szCs w:val="24"/>
          <w:lang w:eastAsia="zh-CN"/>
        </w:rPr>
        <w:t>债产生</w:t>
      </w:r>
      <w:proofErr w:type="gramEnd"/>
      <w:r w:rsidRPr="002F0176">
        <w:rPr>
          <w:rFonts w:ascii="华文楷体" w:hAnsi="华文楷体" w:hint="eastAsia"/>
          <w:bCs/>
          <w:sz w:val="24"/>
          <w:szCs w:val="24"/>
          <w:lang w:eastAsia="zh-CN"/>
        </w:rPr>
        <w:t>正面影响。</w:t>
      </w:r>
    </w:p>
    <w:p w14:paraId="6602F3A7" w14:textId="5102BE6A" w:rsidR="005B3934" w:rsidRPr="002F0176" w:rsidRDefault="005B3934" w:rsidP="006058CF">
      <w:pPr>
        <w:pStyle w:val="Body-text"/>
        <w:spacing w:after="240"/>
        <w:ind w:firstLineChars="200" w:firstLine="480"/>
        <w:rPr>
          <w:rFonts w:ascii="华文楷体" w:hAnsi="华文楷体"/>
          <w:bCs/>
          <w:sz w:val="24"/>
          <w:szCs w:val="24"/>
          <w:lang w:eastAsia="zh-CN"/>
        </w:rPr>
      </w:pPr>
      <w:r w:rsidRPr="002F0176">
        <w:rPr>
          <w:rFonts w:ascii="华文楷体" w:hAnsi="华文楷体" w:hint="eastAsia"/>
          <w:bCs/>
          <w:sz w:val="24"/>
          <w:szCs w:val="24"/>
          <w:lang w:eastAsia="zh-CN"/>
        </w:rPr>
        <w:t>综合来看，我们认为需要密切关注利率债的反弹结束，以及随着权益冲高</w:t>
      </w:r>
      <w:r w:rsidR="002F0176" w:rsidRPr="002F0176">
        <w:rPr>
          <w:rFonts w:ascii="华文楷体" w:hAnsi="华文楷体" w:hint="eastAsia"/>
          <w:bCs/>
          <w:sz w:val="24"/>
          <w:szCs w:val="24"/>
          <w:lang w:eastAsia="zh-CN"/>
        </w:rPr>
        <w:t>债券的</w:t>
      </w:r>
      <w:r w:rsidRPr="002F0176">
        <w:rPr>
          <w:rFonts w:ascii="华文楷体" w:hAnsi="华文楷体" w:hint="eastAsia"/>
          <w:bCs/>
          <w:sz w:val="24"/>
          <w:szCs w:val="24"/>
          <w:lang w:eastAsia="zh-CN"/>
        </w:rPr>
        <w:t>调整，采取相应策略为未来的交易机会做准备。</w:t>
      </w:r>
    </w:p>
    <w:p w14:paraId="431A849C" w14:textId="67E73607" w:rsidR="006B0B01" w:rsidRPr="00C81E50" w:rsidRDefault="00C505BD" w:rsidP="006B0B01">
      <w:pPr>
        <w:pStyle w:val="a8"/>
        <w:shd w:val="clear" w:color="auto" w:fill="FFFFFF"/>
        <w:adjustRightInd w:val="0"/>
        <w:snapToGrid w:val="0"/>
        <w:spacing w:before="0" w:beforeAutospacing="0" w:after="240" w:afterAutospacing="0"/>
        <w:ind w:firstLine="482"/>
        <w:jc w:val="both"/>
        <w:rPr>
          <w:rFonts w:ascii="华文楷体" w:eastAsia="华文楷体" w:hAnsi="华文楷体" w:cs="Times New Roman"/>
          <w:bCs/>
        </w:rPr>
      </w:pPr>
      <w:r w:rsidRPr="00C81E50">
        <w:rPr>
          <w:rFonts w:ascii="华文楷体" w:eastAsia="华文楷体" w:hAnsi="华文楷体" w:cs="Times New Roman" w:hint="eastAsia"/>
          <w:bCs/>
        </w:rPr>
        <w:t>信用债：</w:t>
      </w:r>
      <w:r w:rsidR="006B0B01" w:rsidRPr="00C81E50">
        <w:rPr>
          <w:rFonts w:ascii="华文楷体" w:eastAsia="华文楷体" w:hAnsi="华文楷体" w:cs="Times New Roman" w:hint="eastAsia"/>
          <w:bCs/>
        </w:rPr>
        <w:t>本周各</w:t>
      </w:r>
      <w:r w:rsidR="00314603" w:rsidRPr="00C81E50">
        <w:rPr>
          <w:rFonts w:ascii="华文楷体" w:eastAsia="华文楷体" w:hAnsi="华文楷体" w:cs="Times New Roman" w:hint="eastAsia"/>
          <w:bCs/>
        </w:rPr>
        <w:t>期限品种</w:t>
      </w:r>
      <w:r w:rsidR="003F15F4" w:rsidRPr="00C81E50">
        <w:rPr>
          <w:rFonts w:ascii="华文楷体" w:eastAsia="华文楷体" w:hAnsi="华文楷体" w:cs="Times New Roman" w:hint="eastAsia"/>
          <w:bCs/>
        </w:rPr>
        <w:t>利率上行</w:t>
      </w:r>
      <w:r w:rsidR="00314603" w:rsidRPr="00C81E50">
        <w:rPr>
          <w:rFonts w:ascii="华文楷体" w:eastAsia="华文楷体" w:hAnsi="华文楷体" w:cs="Times New Roman" w:hint="eastAsia"/>
          <w:bCs/>
        </w:rPr>
        <w:t>，</w:t>
      </w:r>
      <w:r w:rsidR="005135E2" w:rsidRPr="00C81E50">
        <w:rPr>
          <w:rFonts w:ascii="华文楷体" w:eastAsia="华文楷体" w:hAnsi="华文楷体" w:cs="Times New Roman" w:hint="eastAsia"/>
          <w:bCs/>
        </w:rPr>
        <w:t>主要</w:t>
      </w:r>
      <w:r w:rsidR="00F063A3" w:rsidRPr="00C81E50">
        <w:rPr>
          <w:rFonts w:ascii="华文楷体" w:eastAsia="华文楷体" w:hAnsi="华文楷体" w:cs="Times New Roman" w:hint="eastAsia"/>
          <w:bCs/>
        </w:rPr>
        <w:t>受到</w:t>
      </w:r>
      <w:r w:rsidR="00F063A3" w:rsidRPr="00C81E50">
        <w:rPr>
          <w:rFonts w:ascii="华文楷体" w:eastAsia="华文楷体" w:hAnsi="华文楷体" w:cs="Times New Roman"/>
          <w:bCs/>
        </w:rPr>
        <w:t>利率</w:t>
      </w:r>
      <w:r w:rsidR="00F063A3" w:rsidRPr="00C81E50">
        <w:rPr>
          <w:rFonts w:ascii="华文楷体" w:eastAsia="华文楷体" w:hAnsi="华文楷体" w:cs="Times New Roman" w:hint="eastAsia"/>
          <w:bCs/>
        </w:rPr>
        <w:t>债</w:t>
      </w:r>
      <w:r w:rsidR="003F15F4" w:rsidRPr="00C81E50">
        <w:rPr>
          <w:rFonts w:ascii="华文楷体" w:eastAsia="华文楷体" w:hAnsi="华文楷体" w:cs="Times New Roman" w:hint="eastAsia"/>
          <w:bCs/>
        </w:rPr>
        <w:t>回调</w:t>
      </w:r>
      <w:r w:rsidR="005135E2" w:rsidRPr="00C81E50">
        <w:rPr>
          <w:rFonts w:ascii="华文楷体" w:eastAsia="华文楷体" w:hAnsi="华文楷体" w:cs="Times New Roman" w:hint="eastAsia"/>
          <w:bCs/>
        </w:rPr>
        <w:t>的</w:t>
      </w:r>
      <w:r w:rsidR="00F063A3" w:rsidRPr="00C81E50">
        <w:rPr>
          <w:rFonts w:ascii="华文楷体" w:eastAsia="华文楷体" w:hAnsi="华文楷体" w:cs="Times New Roman"/>
          <w:bCs/>
        </w:rPr>
        <w:t>影响。</w:t>
      </w:r>
      <w:r w:rsidR="00314603" w:rsidRPr="00C81E50">
        <w:rPr>
          <w:rFonts w:ascii="华文楷体" w:eastAsia="华文楷体" w:hAnsi="华文楷体" w:cs="Times New Roman" w:hint="eastAsia"/>
          <w:bCs/>
        </w:rPr>
        <w:t>整体来看，</w:t>
      </w:r>
      <w:r w:rsidR="00A060AA" w:rsidRPr="00C81E50">
        <w:rPr>
          <w:rFonts w:ascii="华文楷体" w:eastAsia="华文楷体" w:hAnsi="华文楷体" w:cs="Times New Roman" w:hint="eastAsia"/>
          <w:bCs/>
        </w:rPr>
        <w:t>当前利率的绝对水平有一定基本面支撑，配置盘的绝对收益有</w:t>
      </w:r>
      <w:r w:rsidR="00F063A3" w:rsidRPr="00C81E50">
        <w:rPr>
          <w:rFonts w:ascii="华文楷体" w:eastAsia="华文楷体" w:hAnsi="华文楷体" w:cs="Times New Roman" w:hint="eastAsia"/>
          <w:bCs/>
        </w:rPr>
        <w:t>一定</w:t>
      </w:r>
      <w:r w:rsidR="00A060AA" w:rsidRPr="00C81E50">
        <w:rPr>
          <w:rFonts w:ascii="华文楷体" w:eastAsia="华文楷体" w:hAnsi="华文楷体" w:cs="Times New Roman" w:hint="eastAsia"/>
          <w:bCs/>
        </w:rPr>
        <w:t>保障，但后续经济边际改善</w:t>
      </w:r>
      <w:r w:rsidR="00257267" w:rsidRPr="00C81E50">
        <w:rPr>
          <w:rFonts w:ascii="华文楷体" w:eastAsia="华文楷体" w:hAnsi="华文楷体" w:cs="Times New Roman" w:hint="eastAsia"/>
          <w:bCs/>
        </w:rPr>
        <w:t>叠加</w:t>
      </w:r>
      <w:r w:rsidR="00A060AA" w:rsidRPr="00C81E50">
        <w:rPr>
          <w:rFonts w:ascii="华文楷体" w:eastAsia="华文楷体" w:hAnsi="华文楷体" w:cs="Times New Roman" w:hint="eastAsia"/>
          <w:bCs/>
        </w:rPr>
        <w:t>货币政策</w:t>
      </w:r>
      <w:r w:rsidR="00257267" w:rsidRPr="00C81E50">
        <w:rPr>
          <w:rFonts w:ascii="华文楷体" w:eastAsia="华文楷体" w:hAnsi="华文楷体" w:cs="Times New Roman" w:hint="eastAsia"/>
          <w:bCs/>
        </w:rPr>
        <w:t>边际调整</w:t>
      </w:r>
      <w:r w:rsidR="00A060AA" w:rsidRPr="00C81E50">
        <w:rPr>
          <w:rFonts w:ascii="华文楷体" w:eastAsia="华文楷体" w:hAnsi="华文楷体" w:cs="Times New Roman" w:hint="eastAsia"/>
          <w:bCs/>
        </w:rPr>
        <w:t>，票息策略</w:t>
      </w:r>
      <w:r w:rsidR="005135E2" w:rsidRPr="00C81E50">
        <w:rPr>
          <w:rFonts w:ascii="华文楷体" w:eastAsia="华文楷体" w:hAnsi="华文楷体" w:cs="Times New Roman" w:hint="eastAsia"/>
          <w:bCs/>
        </w:rPr>
        <w:t>仍然</w:t>
      </w:r>
      <w:r w:rsidR="00A060AA" w:rsidRPr="00C81E50">
        <w:rPr>
          <w:rFonts w:ascii="华文楷体" w:eastAsia="华文楷体" w:hAnsi="华文楷体" w:cs="Times New Roman" w:hint="eastAsia"/>
          <w:bCs/>
        </w:rPr>
        <w:t>占优</w:t>
      </w:r>
      <w:r w:rsidR="00C81E50" w:rsidRPr="00C81E50">
        <w:rPr>
          <w:rFonts w:ascii="华文楷体" w:eastAsia="华文楷体" w:hAnsi="华文楷体" w:cs="Times New Roman" w:hint="eastAsia"/>
          <w:bCs/>
        </w:rPr>
        <w:t>。高等级信用利差较窄，</w:t>
      </w:r>
      <w:r w:rsidR="00257267" w:rsidRPr="00C81E50">
        <w:rPr>
          <w:rFonts w:ascii="华文楷体" w:eastAsia="华文楷体" w:hAnsi="华文楷体" w:cs="Times New Roman" w:hint="eastAsia"/>
          <w:bCs/>
        </w:rPr>
        <w:t>低等级信用利差拉大，</w:t>
      </w:r>
      <w:r w:rsidR="00C81E50" w:rsidRPr="00C81E50">
        <w:rPr>
          <w:rFonts w:ascii="华文楷体" w:eastAsia="华文楷体" w:hAnsi="华文楷体" w:cs="Times New Roman" w:hint="eastAsia"/>
          <w:bCs/>
        </w:rPr>
        <w:t>后续需</w:t>
      </w:r>
      <w:r w:rsidR="00F063A3" w:rsidRPr="00C81E50">
        <w:rPr>
          <w:rFonts w:ascii="华文楷体" w:eastAsia="华文楷体" w:hAnsi="华文楷体" w:cs="Times New Roman"/>
          <w:bCs/>
        </w:rPr>
        <w:t>关注信用风险暴露</w:t>
      </w:r>
      <w:r w:rsidR="00A060AA" w:rsidRPr="00C81E50">
        <w:rPr>
          <w:rFonts w:ascii="华文楷体" w:eastAsia="华文楷体" w:hAnsi="华文楷体" w:cs="Times New Roman" w:hint="eastAsia"/>
          <w:bCs/>
        </w:rPr>
        <w:t>。</w:t>
      </w:r>
    </w:p>
    <w:p w14:paraId="086F144B" w14:textId="5F97EFE4" w:rsidR="00257267" w:rsidRPr="003F15F4" w:rsidRDefault="00C505BD" w:rsidP="00491B29">
      <w:pPr>
        <w:pStyle w:val="Body-text"/>
        <w:spacing w:after="240"/>
        <w:ind w:firstLineChars="200" w:firstLine="480"/>
        <w:rPr>
          <w:rFonts w:ascii="华文楷体" w:hAnsi="华文楷体"/>
          <w:bCs/>
          <w:sz w:val="24"/>
          <w:szCs w:val="24"/>
          <w:lang w:eastAsia="zh-CN"/>
        </w:rPr>
      </w:pPr>
      <w:r w:rsidRPr="003F15F4">
        <w:rPr>
          <w:rFonts w:ascii="华文楷体" w:hAnsi="华文楷体" w:hint="eastAsia"/>
          <w:bCs/>
          <w:sz w:val="24"/>
          <w:szCs w:val="24"/>
          <w:lang w:eastAsia="zh-CN"/>
        </w:rPr>
        <w:t>可转债：</w:t>
      </w:r>
      <w:r w:rsidR="00654624" w:rsidRPr="003F15F4">
        <w:rPr>
          <w:rFonts w:ascii="华文楷体" w:hAnsi="华文楷体" w:hint="eastAsia"/>
          <w:bCs/>
          <w:sz w:val="24"/>
          <w:szCs w:val="24"/>
          <w:lang w:eastAsia="zh-CN"/>
        </w:rPr>
        <w:t>本周权益市场</w:t>
      </w:r>
      <w:r w:rsidR="00257267" w:rsidRPr="003F15F4">
        <w:rPr>
          <w:rFonts w:ascii="华文楷体" w:hAnsi="华文楷体" w:hint="eastAsia"/>
          <w:bCs/>
          <w:sz w:val="24"/>
          <w:szCs w:val="24"/>
          <w:lang w:eastAsia="zh-CN"/>
        </w:rPr>
        <w:t>震荡，板块调整明显，转债波动增加。</w:t>
      </w:r>
      <w:r w:rsidR="006058CF" w:rsidRPr="003F15F4">
        <w:rPr>
          <w:rFonts w:ascii="华文楷体" w:hAnsi="华文楷体" w:hint="eastAsia"/>
          <w:bCs/>
          <w:sz w:val="24"/>
          <w:szCs w:val="24"/>
          <w:lang w:eastAsia="zh-CN"/>
        </w:rPr>
        <w:t>继续</w:t>
      </w:r>
      <w:r w:rsidR="00257267" w:rsidRPr="003F15F4">
        <w:rPr>
          <w:rFonts w:ascii="华文楷体" w:hAnsi="华文楷体" w:hint="eastAsia"/>
          <w:bCs/>
          <w:sz w:val="24"/>
          <w:szCs w:val="24"/>
          <w:lang w:eastAsia="zh-CN"/>
        </w:rPr>
        <w:t>耐心等待再次介入转债的机会。接下来建议继续关注半年报绩优、正股弹性和逻辑较强品种。</w:t>
      </w:r>
    </w:p>
    <w:p w14:paraId="4C893BAE" w14:textId="6B72F191" w:rsidR="00983C71" w:rsidRPr="005135E2" w:rsidRDefault="00983C71" w:rsidP="00491B29">
      <w:pPr>
        <w:pStyle w:val="Body-text"/>
        <w:spacing w:after="240"/>
        <w:ind w:firstLineChars="200" w:firstLine="480"/>
        <w:rPr>
          <w:rFonts w:ascii="华文楷体" w:hAnsi="华文楷体"/>
          <w:bCs/>
          <w:sz w:val="24"/>
          <w:szCs w:val="24"/>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5EFE0AE9" w:rsidR="001D35B3" w:rsidRPr="006A5F34" w:rsidRDefault="001D35B3" w:rsidP="006E5744">
            <w:pPr>
              <w:pStyle w:val="ChartHeading"/>
              <w:jc w:val="both"/>
            </w:pPr>
            <w:r w:rsidRPr="006A5F34">
              <w:rPr>
                <w:rFonts w:hint="eastAsia"/>
              </w:rPr>
              <w:t>图表</w:t>
            </w:r>
            <w:r w:rsidRPr="006A5F34">
              <w:t>.</w:t>
            </w:r>
            <w:r w:rsidR="003E314A">
              <w:rPr>
                <w:rFonts w:hint="eastAsia"/>
              </w:rPr>
              <w:t>主要钢材库存</w:t>
            </w:r>
            <w:r w:rsidR="0069484C">
              <w:rPr>
                <w:rFonts w:hint="eastAsia"/>
              </w:rPr>
              <w:t>略有去化</w:t>
            </w:r>
          </w:p>
        </w:tc>
        <w:tc>
          <w:tcPr>
            <w:tcW w:w="4938" w:type="dxa"/>
            <w:vAlign w:val="center"/>
          </w:tcPr>
          <w:p w14:paraId="02A10F26" w14:textId="3763A478"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47401E">
              <w:rPr>
                <w:rFonts w:hint="eastAsia"/>
              </w:rPr>
              <w:t>小幅波动</w:t>
            </w:r>
          </w:p>
        </w:tc>
      </w:tr>
      <w:tr w:rsidR="001D35B3" w:rsidRPr="006A5F34" w14:paraId="205667F1" w14:textId="77777777" w:rsidTr="00051876">
        <w:tblPrEx>
          <w:tblCellMar>
            <w:left w:w="108" w:type="dxa"/>
            <w:right w:w="108" w:type="dxa"/>
          </w:tblCellMar>
        </w:tblPrEx>
        <w:trPr>
          <w:jc w:val="center"/>
        </w:trPr>
        <w:tc>
          <w:tcPr>
            <w:tcW w:w="4939" w:type="dxa"/>
            <w:vAlign w:val="center"/>
          </w:tcPr>
          <w:p w14:paraId="56C782C2" w14:textId="7242D092" w:rsidR="001D35B3" w:rsidRPr="007E0340" w:rsidRDefault="00051876" w:rsidP="009A2BA0">
            <w:pPr>
              <w:jc w:val="center"/>
              <w:rPr>
                <w:noProof/>
              </w:rPr>
            </w:pPr>
            <w:r>
              <w:rPr>
                <w:noProof/>
              </w:rPr>
              <w:drawing>
                <wp:inline distT="0" distB="0" distL="0" distR="0" wp14:anchorId="084864CF" wp14:editId="5C4FFEBD">
                  <wp:extent cx="2999105" cy="1626235"/>
                  <wp:effectExtent l="0" t="0" r="0" b="0"/>
                  <wp:docPr id="13" name="图表 13">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9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c>
          <w:tcPr>
            <w:tcW w:w="4938" w:type="dxa"/>
            <w:vAlign w:val="center"/>
          </w:tcPr>
          <w:p w14:paraId="3EF0360D" w14:textId="18168242" w:rsidR="001D35B3" w:rsidRPr="007E0340" w:rsidRDefault="00051876" w:rsidP="009A2BA0">
            <w:pPr>
              <w:jc w:val="center"/>
              <w:rPr>
                <w:noProof/>
                <w:szCs w:val="18"/>
              </w:rPr>
            </w:pPr>
            <w:r>
              <w:rPr>
                <w:noProof/>
              </w:rPr>
              <w:drawing>
                <wp:inline distT="0" distB="0" distL="0" distR="0" wp14:anchorId="328FE409" wp14:editId="552C00BD">
                  <wp:extent cx="2998470" cy="1665605"/>
                  <wp:effectExtent l="0" t="0" r="0" b="0"/>
                  <wp:docPr id="14" name="图表 14">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3393A9C2" w:rsidR="001D35B3" w:rsidRPr="006A5F34" w:rsidRDefault="001D35B3" w:rsidP="00AC74DA">
            <w:pPr>
              <w:pStyle w:val="ChartHeading"/>
              <w:jc w:val="both"/>
            </w:pPr>
            <w:r w:rsidRPr="006A5F34">
              <w:rPr>
                <w:rFonts w:hint="eastAsia"/>
              </w:rPr>
              <w:t>图表</w:t>
            </w:r>
            <w:r w:rsidRPr="006A5F34">
              <w:t>.</w:t>
            </w:r>
            <w:r>
              <w:t xml:space="preserve"> </w:t>
            </w:r>
            <w:r w:rsidR="00AC74DA">
              <w:rPr>
                <w:rFonts w:hint="eastAsia"/>
              </w:rPr>
              <w:t>南华</w:t>
            </w:r>
            <w:r w:rsidR="00AC74DA">
              <w:t>工业品指数</w:t>
            </w:r>
            <w:r w:rsidR="0047401E">
              <w:rPr>
                <w:rFonts w:hint="eastAsia"/>
              </w:rPr>
              <w:t>小幅回落</w:t>
            </w:r>
          </w:p>
        </w:tc>
        <w:tc>
          <w:tcPr>
            <w:tcW w:w="4938" w:type="dxa"/>
            <w:vAlign w:val="center"/>
          </w:tcPr>
          <w:p w14:paraId="07575C0F" w14:textId="0A8321D0" w:rsidR="001D35B3" w:rsidRPr="006A5F34" w:rsidRDefault="001D35B3" w:rsidP="0054686C">
            <w:pPr>
              <w:pStyle w:val="ChartHeading"/>
              <w:jc w:val="both"/>
            </w:pPr>
            <w:r w:rsidRPr="006A5F34">
              <w:rPr>
                <w:rFonts w:hint="eastAsia"/>
              </w:rPr>
              <w:t>图表</w:t>
            </w:r>
            <w:r w:rsidRPr="006A5F34">
              <w:t xml:space="preserve">. </w:t>
            </w:r>
            <w:r w:rsidR="000E190F">
              <w:rPr>
                <w:rFonts w:hint="eastAsia"/>
              </w:rPr>
              <w:t>原油</w:t>
            </w:r>
            <w:r w:rsidR="00AC74DA">
              <w:rPr>
                <w:rFonts w:hint="eastAsia"/>
              </w:rPr>
              <w:t>价格</w:t>
            </w:r>
            <w:r w:rsidR="0054686C">
              <w:rPr>
                <w:rFonts w:hint="eastAsia"/>
              </w:rPr>
              <w:t>相对平稳</w:t>
            </w:r>
          </w:p>
        </w:tc>
      </w:tr>
      <w:tr w:rsidR="001D35B3" w:rsidRPr="006A5F34" w14:paraId="49BBD33E" w14:textId="77777777" w:rsidTr="00C260F4">
        <w:tblPrEx>
          <w:tblCellMar>
            <w:left w:w="108" w:type="dxa"/>
            <w:right w:w="108" w:type="dxa"/>
          </w:tblCellMar>
        </w:tblPrEx>
        <w:trPr>
          <w:jc w:val="center"/>
        </w:trPr>
        <w:tc>
          <w:tcPr>
            <w:tcW w:w="4939" w:type="dxa"/>
            <w:vAlign w:val="center"/>
          </w:tcPr>
          <w:p w14:paraId="0BAC1731" w14:textId="079199C4" w:rsidR="001D35B3" w:rsidRPr="007E0340" w:rsidRDefault="00051876" w:rsidP="009A2BA0">
            <w:pPr>
              <w:jc w:val="center"/>
              <w:rPr>
                <w:noProof/>
              </w:rPr>
            </w:pPr>
            <w:r>
              <w:rPr>
                <w:noProof/>
              </w:rPr>
              <w:drawing>
                <wp:inline distT="0" distB="0" distL="0" distR="0" wp14:anchorId="77C4AB92" wp14:editId="4EF70928">
                  <wp:extent cx="2999105" cy="1640840"/>
                  <wp:effectExtent l="0" t="0" r="0" b="0"/>
                  <wp:docPr id="15" name="图表 15">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c>
          <w:tcPr>
            <w:tcW w:w="4938" w:type="dxa"/>
            <w:vAlign w:val="center"/>
          </w:tcPr>
          <w:p w14:paraId="64025D22" w14:textId="3706B15C" w:rsidR="001D35B3" w:rsidRPr="0047401E" w:rsidRDefault="00C260F4" w:rsidP="009A2BA0">
            <w:pPr>
              <w:jc w:val="center"/>
              <w:rPr>
                <w:noProof/>
                <w:sz w:val="14"/>
                <w:szCs w:val="14"/>
              </w:rPr>
            </w:pPr>
            <w:r>
              <w:rPr>
                <w:noProof/>
              </w:rPr>
              <w:drawing>
                <wp:inline distT="0" distB="0" distL="0" distR="0" wp14:anchorId="16CEF37C" wp14:editId="1C5FA674">
                  <wp:extent cx="2998470" cy="1721485"/>
                  <wp:effectExtent l="0" t="0" r="0" b="0"/>
                  <wp:docPr id="20" name="图表 20">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72538FC9" w:rsidR="004E02E2" w:rsidRPr="004E02E2" w:rsidDel="006D1AD9" w:rsidRDefault="004E02E2" w:rsidP="009A2BA0">
      <w:pPr>
        <w:pStyle w:val="Body-text"/>
        <w:spacing w:after="0"/>
        <w:rPr>
          <w:rFonts w:ascii="华文楷体" w:hAnsi="华文楷体"/>
          <w:sz w:val="24"/>
          <w:szCs w:val="24"/>
          <w:lang w:eastAsia="zh-CN"/>
        </w:rPr>
      </w:pPr>
    </w:p>
    <w:p w14:paraId="40E0E436" w14:textId="77777777" w:rsidR="001A1299" w:rsidRDefault="001A1299" w:rsidP="009A2BA0">
      <w:pPr>
        <w:widowControl/>
        <w:jc w:val="left"/>
      </w:pPr>
      <w:r>
        <w:br w:type="page"/>
      </w:r>
    </w:p>
    <w:p w14:paraId="0E9FBC78" w14:textId="77777777" w:rsidR="002E1393" w:rsidRPr="001D69C6" w:rsidRDefault="002E1393" w:rsidP="009A2BA0">
      <w:pPr>
        <w:widowControl/>
        <w:ind w:firstLineChars="200" w:firstLine="420"/>
      </w:pPr>
    </w:p>
    <w:p w14:paraId="210DFAB2" w14:textId="77777777" w:rsidR="0028459A" w:rsidRDefault="0028459A" w:rsidP="009A2BA0">
      <w:pPr>
        <w:widowControl/>
        <w:jc w:val="center"/>
        <w:rPr>
          <w:rFonts w:ascii="黑体" w:eastAsia="黑体"/>
          <w:b/>
          <w:sz w:val="24"/>
          <w:szCs w:val="24"/>
        </w:rPr>
      </w:pPr>
      <w:r w:rsidRPr="00234AC0">
        <w:rPr>
          <w:rFonts w:ascii="黑体" w:eastAsia="黑体" w:hint="eastAsia"/>
          <w:b/>
          <w:sz w:val="24"/>
          <w:szCs w:val="24"/>
        </w:rPr>
        <w:t>免责声明</w:t>
      </w:r>
    </w:p>
    <w:p w14:paraId="305753DC" w14:textId="77777777" w:rsidR="001A1299" w:rsidRPr="00234AC0" w:rsidRDefault="001A1299" w:rsidP="009A2BA0">
      <w:pPr>
        <w:widowControl/>
        <w:jc w:val="center"/>
        <w:rPr>
          <w:rFonts w:ascii="黑体" w:eastAsia="黑体"/>
          <w:b/>
          <w:sz w:val="24"/>
          <w:szCs w:val="24"/>
        </w:rPr>
      </w:pPr>
    </w:p>
    <w:p w14:paraId="2138E68E" w14:textId="77777777" w:rsidR="0028459A" w:rsidRPr="001A1299" w:rsidRDefault="0028459A" w:rsidP="009A2BA0">
      <w:pPr>
        <w:pStyle w:val="Body-text"/>
        <w:ind w:firstLineChars="200" w:firstLine="480"/>
        <w:rPr>
          <w:rFonts w:ascii="华文楷体" w:hAnsi="华文楷体"/>
          <w:sz w:val="24"/>
          <w:szCs w:val="24"/>
          <w:lang w:eastAsia="zh-CN"/>
        </w:rPr>
      </w:pPr>
      <w:r w:rsidRPr="001A1299">
        <w:rPr>
          <w:rFonts w:ascii="华文楷体" w:hAnsi="华文楷体" w:hint="eastAsia"/>
          <w:sz w:val="24"/>
          <w:szCs w:val="24"/>
          <w:lang w:eastAsia="zh-CN"/>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1A1299">
        <w:rPr>
          <w:rFonts w:ascii="华文楷体" w:hAnsi="华文楷体" w:hint="eastAsia"/>
          <w:sz w:val="24"/>
          <w:szCs w:val="24"/>
          <w:lang w:eastAsia="zh-CN"/>
        </w:rPr>
        <w:t>作出</w:t>
      </w:r>
      <w:proofErr w:type="gramEnd"/>
      <w:r w:rsidRPr="001A1299">
        <w:rPr>
          <w:rFonts w:ascii="华文楷体" w:hAnsi="华文楷体" w:hint="eastAsia"/>
          <w:sz w:val="24"/>
          <w:szCs w:val="24"/>
          <w:lang w:eastAsia="zh-CN"/>
        </w:rPr>
        <w:t>调整。</w:t>
      </w:r>
    </w:p>
    <w:p w14:paraId="1EF1A1F1" w14:textId="77777777" w:rsidR="0028459A" w:rsidRPr="001A1299" w:rsidRDefault="0028459A" w:rsidP="009A2BA0">
      <w:pPr>
        <w:pStyle w:val="Body-text"/>
        <w:ind w:firstLineChars="200" w:firstLine="480"/>
        <w:rPr>
          <w:rFonts w:ascii="华文楷体" w:hAnsi="华文楷体"/>
          <w:sz w:val="24"/>
          <w:szCs w:val="24"/>
          <w:lang w:eastAsia="zh-CN"/>
        </w:rPr>
      </w:pPr>
      <w:r w:rsidRPr="001A1299">
        <w:rPr>
          <w:rFonts w:ascii="华文楷体" w:hAnsi="华文楷体" w:hint="eastAsia"/>
          <w:sz w:val="24"/>
          <w:szCs w:val="24"/>
          <w:lang w:eastAsia="zh-CN"/>
        </w:rPr>
        <w:t>本报告中的资料、观点和预测等仅作为富</w:t>
      </w:r>
      <w:proofErr w:type="gramStart"/>
      <w:r w:rsidRPr="001A1299">
        <w:rPr>
          <w:rFonts w:ascii="华文楷体" w:hAnsi="华文楷体" w:hint="eastAsia"/>
          <w:sz w:val="24"/>
          <w:szCs w:val="24"/>
          <w:lang w:eastAsia="zh-CN"/>
        </w:rPr>
        <w:t>荣基金</w:t>
      </w:r>
      <w:proofErr w:type="gramEnd"/>
      <w:r w:rsidRPr="001A1299">
        <w:rPr>
          <w:rFonts w:ascii="华文楷体" w:hAnsi="华文楷体" w:hint="eastAsia"/>
          <w:sz w:val="24"/>
          <w:szCs w:val="24"/>
          <w:lang w:eastAsia="zh-CN"/>
        </w:rPr>
        <w:t>内部培训、向机构客户和渠道路</w:t>
      </w:r>
      <w:proofErr w:type="gramStart"/>
      <w:r w:rsidRPr="001A1299">
        <w:rPr>
          <w:rFonts w:ascii="华文楷体" w:hAnsi="华文楷体" w:hint="eastAsia"/>
          <w:sz w:val="24"/>
          <w:szCs w:val="24"/>
          <w:lang w:eastAsia="zh-CN"/>
        </w:rPr>
        <w:t>演交流</w:t>
      </w:r>
      <w:proofErr w:type="gramEnd"/>
      <w:r w:rsidRPr="001A1299">
        <w:rPr>
          <w:rFonts w:ascii="华文楷体" w:hAnsi="华文楷体" w:hint="eastAsia"/>
          <w:sz w:val="24"/>
          <w:szCs w:val="24"/>
          <w:lang w:eastAsia="zh-CN"/>
        </w:rPr>
        <w:t>使用，在任何时候均不构成对任何人的个人推荐。请勿外传。</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20"/>
      <w:footerReference w:type="default" r:id="rId21"/>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E067FD" w14:textId="77777777" w:rsidR="00963F8B" w:rsidRDefault="00963F8B">
      <w:r>
        <w:separator/>
      </w:r>
    </w:p>
  </w:endnote>
  <w:endnote w:type="continuationSeparator" w:id="0">
    <w:p w14:paraId="404107FE" w14:textId="77777777" w:rsidR="00963F8B" w:rsidRDefault="00963F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92451C" w:rsidRDefault="0092451C">
        <w:pPr>
          <w:pStyle w:val="a4"/>
          <w:jc w:val="right"/>
        </w:pPr>
        <w:r>
          <w:fldChar w:fldCharType="begin"/>
        </w:r>
        <w:r>
          <w:instrText>PAGE   \* MERGEFORMAT</w:instrText>
        </w:r>
        <w:r>
          <w:fldChar w:fldCharType="separate"/>
        </w:r>
        <w:r w:rsidR="00A52EC6" w:rsidRPr="00A52EC6">
          <w:rPr>
            <w:noProof/>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21B800" w14:textId="77777777" w:rsidR="00963F8B" w:rsidRDefault="00963F8B">
      <w:r>
        <w:separator/>
      </w:r>
    </w:p>
  </w:footnote>
  <w:footnote w:type="continuationSeparator" w:id="0">
    <w:p w14:paraId="33C39B3B" w14:textId="77777777" w:rsidR="00963F8B" w:rsidRDefault="00963F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92451C" w:rsidRDefault="0092451C"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9">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1">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2">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3">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4">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6">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7">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0">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2">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0"/>
  </w:num>
  <w:num w:numId="7">
    <w:abstractNumId w:val="12"/>
  </w:num>
  <w:num w:numId="8">
    <w:abstractNumId w:val="11"/>
  </w:num>
  <w:num w:numId="9">
    <w:abstractNumId w:val="6"/>
  </w:num>
  <w:num w:numId="10">
    <w:abstractNumId w:val="15"/>
  </w:num>
  <w:num w:numId="11">
    <w:abstractNumId w:val="19"/>
  </w:num>
  <w:num w:numId="12">
    <w:abstractNumId w:val="13"/>
  </w:num>
  <w:num w:numId="13">
    <w:abstractNumId w:val="21"/>
  </w:num>
  <w:num w:numId="14">
    <w:abstractNumId w:val="22"/>
  </w:num>
  <w:num w:numId="15">
    <w:abstractNumId w:val="16"/>
  </w:num>
  <w:num w:numId="16">
    <w:abstractNumId w:val="10"/>
  </w:num>
  <w:num w:numId="17">
    <w:abstractNumId w:val="8"/>
  </w:num>
  <w:num w:numId="18">
    <w:abstractNumId w:val="18"/>
  </w:num>
  <w:num w:numId="19">
    <w:abstractNumId w:val="9"/>
  </w:num>
  <w:num w:numId="20">
    <w:abstractNumId w:val="17"/>
  </w:num>
  <w:num w:numId="21">
    <w:abstractNumId w:val="7"/>
  </w:num>
  <w:num w:numId="22">
    <w:abstractNumId w:val="14"/>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0D"/>
    <w:rsid w:val="000022B0"/>
    <w:rsid w:val="0000327C"/>
    <w:rsid w:val="000037AD"/>
    <w:rsid w:val="00003DA4"/>
    <w:rsid w:val="00003F08"/>
    <w:rsid w:val="00003F49"/>
    <w:rsid w:val="00003F92"/>
    <w:rsid w:val="000047B9"/>
    <w:rsid w:val="00004DA9"/>
    <w:rsid w:val="00004DF6"/>
    <w:rsid w:val="00004E5B"/>
    <w:rsid w:val="00004F92"/>
    <w:rsid w:val="00005076"/>
    <w:rsid w:val="00005AF2"/>
    <w:rsid w:val="00005D9A"/>
    <w:rsid w:val="000060AC"/>
    <w:rsid w:val="000060DE"/>
    <w:rsid w:val="00006135"/>
    <w:rsid w:val="0000649D"/>
    <w:rsid w:val="00006593"/>
    <w:rsid w:val="00006787"/>
    <w:rsid w:val="000068CF"/>
    <w:rsid w:val="00006911"/>
    <w:rsid w:val="00006B83"/>
    <w:rsid w:val="00007A5A"/>
    <w:rsid w:val="00007F30"/>
    <w:rsid w:val="00010654"/>
    <w:rsid w:val="000106E3"/>
    <w:rsid w:val="00010B19"/>
    <w:rsid w:val="00010DAA"/>
    <w:rsid w:val="000117D9"/>
    <w:rsid w:val="000119EF"/>
    <w:rsid w:val="00011C5F"/>
    <w:rsid w:val="000128CB"/>
    <w:rsid w:val="00012A25"/>
    <w:rsid w:val="00012DA7"/>
    <w:rsid w:val="00012E48"/>
    <w:rsid w:val="0001311B"/>
    <w:rsid w:val="00013AC4"/>
    <w:rsid w:val="00013D8C"/>
    <w:rsid w:val="00013DBA"/>
    <w:rsid w:val="00014480"/>
    <w:rsid w:val="0001480A"/>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919"/>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0E7F"/>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AB6"/>
    <w:rsid w:val="00047BC0"/>
    <w:rsid w:val="00047BF1"/>
    <w:rsid w:val="00047E2A"/>
    <w:rsid w:val="00047FA6"/>
    <w:rsid w:val="0005003A"/>
    <w:rsid w:val="00050047"/>
    <w:rsid w:val="000504C8"/>
    <w:rsid w:val="000505E2"/>
    <w:rsid w:val="000507BC"/>
    <w:rsid w:val="00050AE2"/>
    <w:rsid w:val="00050E8F"/>
    <w:rsid w:val="0005125C"/>
    <w:rsid w:val="0005155B"/>
    <w:rsid w:val="00051575"/>
    <w:rsid w:val="0005161A"/>
    <w:rsid w:val="00051876"/>
    <w:rsid w:val="00051CD0"/>
    <w:rsid w:val="00051D9D"/>
    <w:rsid w:val="000523C8"/>
    <w:rsid w:val="00052427"/>
    <w:rsid w:val="00053051"/>
    <w:rsid w:val="000537A4"/>
    <w:rsid w:val="00054072"/>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392"/>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71ED"/>
    <w:rsid w:val="000772BD"/>
    <w:rsid w:val="00077790"/>
    <w:rsid w:val="0007794F"/>
    <w:rsid w:val="00077B1B"/>
    <w:rsid w:val="00080318"/>
    <w:rsid w:val="000807AE"/>
    <w:rsid w:val="00080D8B"/>
    <w:rsid w:val="0008119E"/>
    <w:rsid w:val="00081E60"/>
    <w:rsid w:val="00082044"/>
    <w:rsid w:val="00082CE4"/>
    <w:rsid w:val="00083341"/>
    <w:rsid w:val="00083392"/>
    <w:rsid w:val="00083A35"/>
    <w:rsid w:val="00083B64"/>
    <w:rsid w:val="00083E1C"/>
    <w:rsid w:val="00084085"/>
    <w:rsid w:val="000840CD"/>
    <w:rsid w:val="00084873"/>
    <w:rsid w:val="0008490D"/>
    <w:rsid w:val="0008527D"/>
    <w:rsid w:val="000853E5"/>
    <w:rsid w:val="00085AC0"/>
    <w:rsid w:val="00085CBE"/>
    <w:rsid w:val="00086328"/>
    <w:rsid w:val="0008649A"/>
    <w:rsid w:val="000869DB"/>
    <w:rsid w:val="00086E6D"/>
    <w:rsid w:val="00086E99"/>
    <w:rsid w:val="0008719E"/>
    <w:rsid w:val="000875B7"/>
    <w:rsid w:val="0008760B"/>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5DC2"/>
    <w:rsid w:val="000962C2"/>
    <w:rsid w:val="00096648"/>
    <w:rsid w:val="000967FE"/>
    <w:rsid w:val="00096C99"/>
    <w:rsid w:val="0009703A"/>
    <w:rsid w:val="00097104"/>
    <w:rsid w:val="0009729E"/>
    <w:rsid w:val="0009756E"/>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BF8"/>
    <w:rsid w:val="000A51BC"/>
    <w:rsid w:val="000A58A7"/>
    <w:rsid w:val="000A5D4F"/>
    <w:rsid w:val="000A64B9"/>
    <w:rsid w:val="000A6B05"/>
    <w:rsid w:val="000A6DE0"/>
    <w:rsid w:val="000A71BF"/>
    <w:rsid w:val="000A7503"/>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11F7"/>
    <w:rsid w:val="000C183E"/>
    <w:rsid w:val="000C1B8F"/>
    <w:rsid w:val="000C2B22"/>
    <w:rsid w:val="000C3787"/>
    <w:rsid w:val="000C39FF"/>
    <w:rsid w:val="000C4BC7"/>
    <w:rsid w:val="000C5FDB"/>
    <w:rsid w:val="000C60B9"/>
    <w:rsid w:val="000C6120"/>
    <w:rsid w:val="000C64EF"/>
    <w:rsid w:val="000C66E9"/>
    <w:rsid w:val="000C6919"/>
    <w:rsid w:val="000C6997"/>
    <w:rsid w:val="000C715A"/>
    <w:rsid w:val="000C7EFF"/>
    <w:rsid w:val="000C7FD1"/>
    <w:rsid w:val="000D03DB"/>
    <w:rsid w:val="000D0A66"/>
    <w:rsid w:val="000D0C47"/>
    <w:rsid w:val="000D0D13"/>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90F"/>
    <w:rsid w:val="000E1BF0"/>
    <w:rsid w:val="000E2002"/>
    <w:rsid w:val="000E2496"/>
    <w:rsid w:val="000E25F5"/>
    <w:rsid w:val="000E2962"/>
    <w:rsid w:val="000E2A9F"/>
    <w:rsid w:val="000E2AF3"/>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84F"/>
    <w:rsid w:val="000F7D19"/>
    <w:rsid w:val="000F7F35"/>
    <w:rsid w:val="00100559"/>
    <w:rsid w:val="001005A9"/>
    <w:rsid w:val="00100E6A"/>
    <w:rsid w:val="00100F77"/>
    <w:rsid w:val="00101DDE"/>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72C7"/>
    <w:rsid w:val="001072EB"/>
    <w:rsid w:val="001076D5"/>
    <w:rsid w:val="00107E45"/>
    <w:rsid w:val="001101DE"/>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3A3"/>
    <w:rsid w:val="0011651B"/>
    <w:rsid w:val="00116698"/>
    <w:rsid w:val="0011682A"/>
    <w:rsid w:val="0011689A"/>
    <w:rsid w:val="00116B60"/>
    <w:rsid w:val="00116C60"/>
    <w:rsid w:val="00116F1A"/>
    <w:rsid w:val="001170AF"/>
    <w:rsid w:val="001176C7"/>
    <w:rsid w:val="00117AF6"/>
    <w:rsid w:val="00120548"/>
    <w:rsid w:val="001209D6"/>
    <w:rsid w:val="00121000"/>
    <w:rsid w:val="00121021"/>
    <w:rsid w:val="0012177F"/>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30D"/>
    <w:rsid w:val="00126A2D"/>
    <w:rsid w:val="00126DBF"/>
    <w:rsid w:val="00127808"/>
    <w:rsid w:val="00127AE1"/>
    <w:rsid w:val="00127E16"/>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00F"/>
    <w:rsid w:val="001541BE"/>
    <w:rsid w:val="001541EE"/>
    <w:rsid w:val="0015463A"/>
    <w:rsid w:val="00154762"/>
    <w:rsid w:val="00154773"/>
    <w:rsid w:val="00154D0E"/>
    <w:rsid w:val="00154E1C"/>
    <w:rsid w:val="00155063"/>
    <w:rsid w:val="001551C9"/>
    <w:rsid w:val="00155427"/>
    <w:rsid w:val="001556C9"/>
    <w:rsid w:val="00155C96"/>
    <w:rsid w:val="00155CBE"/>
    <w:rsid w:val="00155D06"/>
    <w:rsid w:val="00156190"/>
    <w:rsid w:val="0015634E"/>
    <w:rsid w:val="00156515"/>
    <w:rsid w:val="00156B73"/>
    <w:rsid w:val="0015798B"/>
    <w:rsid w:val="00157A02"/>
    <w:rsid w:val="00157A31"/>
    <w:rsid w:val="00157AEE"/>
    <w:rsid w:val="001602AE"/>
    <w:rsid w:val="00160370"/>
    <w:rsid w:val="0016096D"/>
    <w:rsid w:val="0016107A"/>
    <w:rsid w:val="001611C1"/>
    <w:rsid w:val="0016142C"/>
    <w:rsid w:val="0016155D"/>
    <w:rsid w:val="00161568"/>
    <w:rsid w:val="00161909"/>
    <w:rsid w:val="00161984"/>
    <w:rsid w:val="00161D5D"/>
    <w:rsid w:val="00162129"/>
    <w:rsid w:val="001629D2"/>
    <w:rsid w:val="00162C39"/>
    <w:rsid w:val="001644C8"/>
    <w:rsid w:val="0016453E"/>
    <w:rsid w:val="00166825"/>
    <w:rsid w:val="001668A4"/>
    <w:rsid w:val="00166EF2"/>
    <w:rsid w:val="00167137"/>
    <w:rsid w:val="00167E3A"/>
    <w:rsid w:val="00170521"/>
    <w:rsid w:val="00170F26"/>
    <w:rsid w:val="001715B3"/>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174"/>
    <w:rsid w:val="001763F2"/>
    <w:rsid w:val="00176428"/>
    <w:rsid w:val="00176585"/>
    <w:rsid w:val="0017689A"/>
    <w:rsid w:val="00176B4A"/>
    <w:rsid w:val="00176FCB"/>
    <w:rsid w:val="00177075"/>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1D97"/>
    <w:rsid w:val="001A2799"/>
    <w:rsid w:val="001A2A8D"/>
    <w:rsid w:val="001A2E46"/>
    <w:rsid w:val="001A308F"/>
    <w:rsid w:val="001A351C"/>
    <w:rsid w:val="001A35CF"/>
    <w:rsid w:val="001A3EC3"/>
    <w:rsid w:val="001A3F75"/>
    <w:rsid w:val="001A41C6"/>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997"/>
    <w:rsid w:val="001B7A64"/>
    <w:rsid w:val="001B7FE1"/>
    <w:rsid w:val="001C0755"/>
    <w:rsid w:val="001C090A"/>
    <w:rsid w:val="001C0CD6"/>
    <w:rsid w:val="001C170A"/>
    <w:rsid w:val="001C1BEB"/>
    <w:rsid w:val="001C225E"/>
    <w:rsid w:val="001C23AD"/>
    <w:rsid w:val="001C269A"/>
    <w:rsid w:val="001C2789"/>
    <w:rsid w:val="001C2DB8"/>
    <w:rsid w:val="001C3579"/>
    <w:rsid w:val="001C398F"/>
    <w:rsid w:val="001C44D6"/>
    <w:rsid w:val="001C4E64"/>
    <w:rsid w:val="001C532E"/>
    <w:rsid w:val="001C53EB"/>
    <w:rsid w:val="001C574D"/>
    <w:rsid w:val="001C5AAA"/>
    <w:rsid w:val="001C64E1"/>
    <w:rsid w:val="001C682E"/>
    <w:rsid w:val="001D0BB7"/>
    <w:rsid w:val="001D0BFB"/>
    <w:rsid w:val="001D0EDD"/>
    <w:rsid w:val="001D1897"/>
    <w:rsid w:val="001D19D7"/>
    <w:rsid w:val="001D1D32"/>
    <w:rsid w:val="001D2283"/>
    <w:rsid w:val="001D2EC7"/>
    <w:rsid w:val="001D3429"/>
    <w:rsid w:val="001D3599"/>
    <w:rsid w:val="001D35B3"/>
    <w:rsid w:val="001D4032"/>
    <w:rsid w:val="001D42A4"/>
    <w:rsid w:val="001D435F"/>
    <w:rsid w:val="001D466E"/>
    <w:rsid w:val="001D4BE8"/>
    <w:rsid w:val="001D4C19"/>
    <w:rsid w:val="001D4EA0"/>
    <w:rsid w:val="001D4EEF"/>
    <w:rsid w:val="001D526B"/>
    <w:rsid w:val="001D61B9"/>
    <w:rsid w:val="001D69C6"/>
    <w:rsid w:val="001D6A11"/>
    <w:rsid w:val="001D6ABC"/>
    <w:rsid w:val="001D7492"/>
    <w:rsid w:val="001D7759"/>
    <w:rsid w:val="001D77AD"/>
    <w:rsid w:val="001D7EE8"/>
    <w:rsid w:val="001E0137"/>
    <w:rsid w:val="001E0BE0"/>
    <w:rsid w:val="001E0C27"/>
    <w:rsid w:val="001E0C47"/>
    <w:rsid w:val="001E0DD0"/>
    <w:rsid w:val="001E1007"/>
    <w:rsid w:val="001E1353"/>
    <w:rsid w:val="001E1474"/>
    <w:rsid w:val="001E15BC"/>
    <w:rsid w:val="001E30B3"/>
    <w:rsid w:val="001E3431"/>
    <w:rsid w:val="001E386F"/>
    <w:rsid w:val="001E38AC"/>
    <w:rsid w:val="001E38B1"/>
    <w:rsid w:val="001E40F3"/>
    <w:rsid w:val="001E4679"/>
    <w:rsid w:val="001E4FE8"/>
    <w:rsid w:val="001E5940"/>
    <w:rsid w:val="001E5995"/>
    <w:rsid w:val="001E5DB2"/>
    <w:rsid w:val="001E6075"/>
    <w:rsid w:val="001E6B9A"/>
    <w:rsid w:val="001E7065"/>
    <w:rsid w:val="001E775D"/>
    <w:rsid w:val="001E7A2B"/>
    <w:rsid w:val="001E7ACC"/>
    <w:rsid w:val="001F0039"/>
    <w:rsid w:val="001F00D6"/>
    <w:rsid w:val="001F0325"/>
    <w:rsid w:val="001F0EA2"/>
    <w:rsid w:val="001F1991"/>
    <w:rsid w:val="001F2627"/>
    <w:rsid w:val="001F276D"/>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AFA"/>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471"/>
    <w:rsid w:val="00213D37"/>
    <w:rsid w:val="0021431F"/>
    <w:rsid w:val="0021444E"/>
    <w:rsid w:val="00214544"/>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ABC"/>
    <w:rsid w:val="00234E86"/>
    <w:rsid w:val="00235216"/>
    <w:rsid w:val="00235BF6"/>
    <w:rsid w:val="00235D91"/>
    <w:rsid w:val="00235FFB"/>
    <w:rsid w:val="0023672D"/>
    <w:rsid w:val="00237A86"/>
    <w:rsid w:val="00240018"/>
    <w:rsid w:val="002404F8"/>
    <w:rsid w:val="0024069E"/>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267"/>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7F1"/>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C0B"/>
    <w:rsid w:val="00292EFF"/>
    <w:rsid w:val="00293334"/>
    <w:rsid w:val="0029358E"/>
    <w:rsid w:val="00293978"/>
    <w:rsid w:val="00293DD9"/>
    <w:rsid w:val="00293F65"/>
    <w:rsid w:val="00293F6A"/>
    <w:rsid w:val="00294384"/>
    <w:rsid w:val="00294530"/>
    <w:rsid w:val="00294A4B"/>
    <w:rsid w:val="00295171"/>
    <w:rsid w:val="0029549E"/>
    <w:rsid w:val="0029551B"/>
    <w:rsid w:val="00296316"/>
    <w:rsid w:val="00296658"/>
    <w:rsid w:val="00296FE0"/>
    <w:rsid w:val="00297DC5"/>
    <w:rsid w:val="00297DF3"/>
    <w:rsid w:val="00297FBC"/>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7BC"/>
    <w:rsid w:val="002B2930"/>
    <w:rsid w:val="002B2C83"/>
    <w:rsid w:val="002B2FEC"/>
    <w:rsid w:val="002B33F5"/>
    <w:rsid w:val="002B39EC"/>
    <w:rsid w:val="002B3EFF"/>
    <w:rsid w:val="002B4025"/>
    <w:rsid w:val="002B43E7"/>
    <w:rsid w:val="002B50F8"/>
    <w:rsid w:val="002B5ECD"/>
    <w:rsid w:val="002B69D7"/>
    <w:rsid w:val="002B739B"/>
    <w:rsid w:val="002B773F"/>
    <w:rsid w:val="002B7863"/>
    <w:rsid w:val="002B7968"/>
    <w:rsid w:val="002B7E69"/>
    <w:rsid w:val="002B7E74"/>
    <w:rsid w:val="002C0667"/>
    <w:rsid w:val="002C0898"/>
    <w:rsid w:val="002C1BC4"/>
    <w:rsid w:val="002C2475"/>
    <w:rsid w:val="002C2CA8"/>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D12"/>
    <w:rsid w:val="002D14C6"/>
    <w:rsid w:val="002D19CF"/>
    <w:rsid w:val="002D251D"/>
    <w:rsid w:val="002D27D9"/>
    <w:rsid w:val="002D2B4C"/>
    <w:rsid w:val="002D32D5"/>
    <w:rsid w:val="002D354D"/>
    <w:rsid w:val="002D3DEE"/>
    <w:rsid w:val="002D521C"/>
    <w:rsid w:val="002D5222"/>
    <w:rsid w:val="002D525F"/>
    <w:rsid w:val="002D5DF7"/>
    <w:rsid w:val="002D714B"/>
    <w:rsid w:val="002D7606"/>
    <w:rsid w:val="002D7893"/>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918"/>
    <w:rsid w:val="002E50AB"/>
    <w:rsid w:val="002E5663"/>
    <w:rsid w:val="002E5BED"/>
    <w:rsid w:val="002E5EC9"/>
    <w:rsid w:val="002E68A7"/>
    <w:rsid w:val="002E6DD1"/>
    <w:rsid w:val="002E7231"/>
    <w:rsid w:val="002E7640"/>
    <w:rsid w:val="002E7B6D"/>
    <w:rsid w:val="002F0176"/>
    <w:rsid w:val="002F027E"/>
    <w:rsid w:val="002F047D"/>
    <w:rsid w:val="002F05CB"/>
    <w:rsid w:val="002F1095"/>
    <w:rsid w:val="002F12B1"/>
    <w:rsid w:val="002F15F2"/>
    <w:rsid w:val="002F1E29"/>
    <w:rsid w:val="002F21B5"/>
    <w:rsid w:val="002F236C"/>
    <w:rsid w:val="002F2A1A"/>
    <w:rsid w:val="002F2D06"/>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6187"/>
    <w:rsid w:val="00306416"/>
    <w:rsid w:val="00306942"/>
    <w:rsid w:val="00307024"/>
    <w:rsid w:val="0030704C"/>
    <w:rsid w:val="00307095"/>
    <w:rsid w:val="0030711F"/>
    <w:rsid w:val="00307E61"/>
    <w:rsid w:val="00310328"/>
    <w:rsid w:val="003105CE"/>
    <w:rsid w:val="0031077E"/>
    <w:rsid w:val="00310E5A"/>
    <w:rsid w:val="003110A6"/>
    <w:rsid w:val="00311291"/>
    <w:rsid w:val="003113AE"/>
    <w:rsid w:val="0031171F"/>
    <w:rsid w:val="00311999"/>
    <w:rsid w:val="00311C5D"/>
    <w:rsid w:val="00312492"/>
    <w:rsid w:val="003128C3"/>
    <w:rsid w:val="00312ACA"/>
    <w:rsid w:val="00312C21"/>
    <w:rsid w:val="00312D90"/>
    <w:rsid w:val="00312DE6"/>
    <w:rsid w:val="00313717"/>
    <w:rsid w:val="003141E8"/>
    <w:rsid w:val="003146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6D9"/>
    <w:rsid w:val="00322D22"/>
    <w:rsid w:val="00323C88"/>
    <w:rsid w:val="003246AA"/>
    <w:rsid w:val="003247D4"/>
    <w:rsid w:val="00324996"/>
    <w:rsid w:val="00324AC9"/>
    <w:rsid w:val="00324C9B"/>
    <w:rsid w:val="00325015"/>
    <w:rsid w:val="0032541B"/>
    <w:rsid w:val="003254FF"/>
    <w:rsid w:val="00325646"/>
    <w:rsid w:val="00325660"/>
    <w:rsid w:val="003257D9"/>
    <w:rsid w:val="00325D57"/>
    <w:rsid w:val="00325DEE"/>
    <w:rsid w:val="00325E50"/>
    <w:rsid w:val="00325E69"/>
    <w:rsid w:val="003265C4"/>
    <w:rsid w:val="003273BF"/>
    <w:rsid w:val="0033013A"/>
    <w:rsid w:val="00330401"/>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37E36"/>
    <w:rsid w:val="003401AF"/>
    <w:rsid w:val="00340776"/>
    <w:rsid w:val="00340BAB"/>
    <w:rsid w:val="0034105F"/>
    <w:rsid w:val="00341169"/>
    <w:rsid w:val="003411E9"/>
    <w:rsid w:val="00341DD0"/>
    <w:rsid w:val="00342223"/>
    <w:rsid w:val="00342482"/>
    <w:rsid w:val="00342E46"/>
    <w:rsid w:val="00342F15"/>
    <w:rsid w:val="00343038"/>
    <w:rsid w:val="00343434"/>
    <w:rsid w:val="00343EAD"/>
    <w:rsid w:val="00344169"/>
    <w:rsid w:val="00344EFD"/>
    <w:rsid w:val="00345A51"/>
    <w:rsid w:val="00345EBD"/>
    <w:rsid w:val="00346468"/>
    <w:rsid w:val="0034649F"/>
    <w:rsid w:val="00346B8F"/>
    <w:rsid w:val="00347A0C"/>
    <w:rsid w:val="00347E5A"/>
    <w:rsid w:val="00347EF5"/>
    <w:rsid w:val="00347F2C"/>
    <w:rsid w:val="00347FE3"/>
    <w:rsid w:val="00350034"/>
    <w:rsid w:val="00351448"/>
    <w:rsid w:val="00351F93"/>
    <w:rsid w:val="003525CC"/>
    <w:rsid w:val="00352CF5"/>
    <w:rsid w:val="00352E63"/>
    <w:rsid w:val="003531CB"/>
    <w:rsid w:val="003539D5"/>
    <w:rsid w:val="00353E46"/>
    <w:rsid w:val="003545C9"/>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C0F"/>
    <w:rsid w:val="003630C7"/>
    <w:rsid w:val="00363421"/>
    <w:rsid w:val="003635B8"/>
    <w:rsid w:val="003658B1"/>
    <w:rsid w:val="00365BBD"/>
    <w:rsid w:val="00365C46"/>
    <w:rsid w:val="00365F8E"/>
    <w:rsid w:val="00366556"/>
    <w:rsid w:val="00366CEA"/>
    <w:rsid w:val="003673CA"/>
    <w:rsid w:val="00367DA6"/>
    <w:rsid w:val="00367DC8"/>
    <w:rsid w:val="003708C4"/>
    <w:rsid w:val="00370BFD"/>
    <w:rsid w:val="0037137A"/>
    <w:rsid w:val="00371885"/>
    <w:rsid w:val="00371BBF"/>
    <w:rsid w:val="003721B0"/>
    <w:rsid w:val="003721E5"/>
    <w:rsid w:val="003728F4"/>
    <w:rsid w:val="0037297A"/>
    <w:rsid w:val="003729D4"/>
    <w:rsid w:val="00372BBC"/>
    <w:rsid w:val="00372EDF"/>
    <w:rsid w:val="00372F0C"/>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EEB"/>
    <w:rsid w:val="003852DD"/>
    <w:rsid w:val="00385EA9"/>
    <w:rsid w:val="0038608B"/>
    <w:rsid w:val="00387003"/>
    <w:rsid w:val="0038736E"/>
    <w:rsid w:val="003904DB"/>
    <w:rsid w:val="00391755"/>
    <w:rsid w:val="0039197C"/>
    <w:rsid w:val="00391C66"/>
    <w:rsid w:val="00391F8F"/>
    <w:rsid w:val="0039230E"/>
    <w:rsid w:val="00392565"/>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1F37"/>
    <w:rsid w:val="003C2208"/>
    <w:rsid w:val="003C25F5"/>
    <w:rsid w:val="003C275F"/>
    <w:rsid w:val="003C2A04"/>
    <w:rsid w:val="003C2EED"/>
    <w:rsid w:val="003C3DED"/>
    <w:rsid w:val="003C440F"/>
    <w:rsid w:val="003C441B"/>
    <w:rsid w:val="003C4AD7"/>
    <w:rsid w:val="003C4D9D"/>
    <w:rsid w:val="003C5307"/>
    <w:rsid w:val="003C54D5"/>
    <w:rsid w:val="003C5690"/>
    <w:rsid w:val="003C63C5"/>
    <w:rsid w:val="003C6B0A"/>
    <w:rsid w:val="003C6D25"/>
    <w:rsid w:val="003C6DF2"/>
    <w:rsid w:val="003C7291"/>
    <w:rsid w:val="003C7569"/>
    <w:rsid w:val="003D09B2"/>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14A"/>
    <w:rsid w:val="003E373E"/>
    <w:rsid w:val="003E39D2"/>
    <w:rsid w:val="003E3A33"/>
    <w:rsid w:val="003E3A5E"/>
    <w:rsid w:val="003E42BE"/>
    <w:rsid w:val="003E4804"/>
    <w:rsid w:val="003E4BF7"/>
    <w:rsid w:val="003E578A"/>
    <w:rsid w:val="003E62BD"/>
    <w:rsid w:val="003E64BA"/>
    <w:rsid w:val="003E6A42"/>
    <w:rsid w:val="003E6FC1"/>
    <w:rsid w:val="003E74C3"/>
    <w:rsid w:val="003E767D"/>
    <w:rsid w:val="003E7A03"/>
    <w:rsid w:val="003F00C6"/>
    <w:rsid w:val="003F0557"/>
    <w:rsid w:val="003F074B"/>
    <w:rsid w:val="003F1214"/>
    <w:rsid w:val="003F146C"/>
    <w:rsid w:val="003F15F4"/>
    <w:rsid w:val="003F161C"/>
    <w:rsid w:val="003F168D"/>
    <w:rsid w:val="003F17A9"/>
    <w:rsid w:val="003F1A3E"/>
    <w:rsid w:val="003F1EA2"/>
    <w:rsid w:val="003F2B42"/>
    <w:rsid w:val="003F31F0"/>
    <w:rsid w:val="003F3299"/>
    <w:rsid w:val="003F395F"/>
    <w:rsid w:val="003F3C0E"/>
    <w:rsid w:val="003F481E"/>
    <w:rsid w:val="003F4F77"/>
    <w:rsid w:val="003F5897"/>
    <w:rsid w:val="003F5A02"/>
    <w:rsid w:val="003F5BA2"/>
    <w:rsid w:val="003F6042"/>
    <w:rsid w:val="003F63D6"/>
    <w:rsid w:val="003F66B9"/>
    <w:rsid w:val="003F6779"/>
    <w:rsid w:val="003F680F"/>
    <w:rsid w:val="003F6A5F"/>
    <w:rsid w:val="003F6C70"/>
    <w:rsid w:val="003F73D3"/>
    <w:rsid w:val="003F74D8"/>
    <w:rsid w:val="003F7777"/>
    <w:rsid w:val="0040039A"/>
    <w:rsid w:val="004003D2"/>
    <w:rsid w:val="004013FD"/>
    <w:rsid w:val="0040147C"/>
    <w:rsid w:val="004014B6"/>
    <w:rsid w:val="0040184D"/>
    <w:rsid w:val="00401C45"/>
    <w:rsid w:val="00401ED0"/>
    <w:rsid w:val="004021EE"/>
    <w:rsid w:val="004025FF"/>
    <w:rsid w:val="0040275C"/>
    <w:rsid w:val="00402C1B"/>
    <w:rsid w:val="0040350C"/>
    <w:rsid w:val="00403529"/>
    <w:rsid w:val="0040366C"/>
    <w:rsid w:val="00404169"/>
    <w:rsid w:val="00404517"/>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24BB"/>
    <w:rsid w:val="00412FD1"/>
    <w:rsid w:val="00413398"/>
    <w:rsid w:val="004133A5"/>
    <w:rsid w:val="004134F2"/>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1BC9"/>
    <w:rsid w:val="00422BB3"/>
    <w:rsid w:val="004237FC"/>
    <w:rsid w:val="00423FF5"/>
    <w:rsid w:val="004242D8"/>
    <w:rsid w:val="00424396"/>
    <w:rsid w:val="00424BEC"/>
    <w:rsid w:val="00424FB1"/>
    <w:rsid w:val="00425AC4"/>
    <w:rsid w:val="004260F2"/>
    <w:rsid w:val="004267FF"/>
    <w:rsid w:val="00426CDF"/>
    <w:rsid w:val="004274D3"/>
    <w:rsid w:val="00427E08"/>
    <w:rsid w:val="00427F0C"/>
    <w:rsid w:val="00430EC8"/>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81E"/>
    <w:rsid w:val="00435B2A"/>
    <w:rsid w:val="004361A4"/>
    <w:rsid w:val="00436363"/>
    <w:rsid w:val="00436365"/>
    <w:rsid w:val="004364CA"/>
    <w:rsid w:val="00436E48"/>
    <w:rsid w:val="004372BB"/>
    <w:rsid w:val="00437483"/>
    <w:rsid w:val="0043792E"/>
    <w:rsid w:val="00437B38"/>
    <w:rsid w:val="00437B8B"/>
    <w:rsid w:val="00440218"/>
    <w:rsid w:val="00440425"/>
    <w:rsid w:val="00440CFF"/>
    <w:rsid w:val="00440DC6"/>
    <w:rsid w:val="00441533"/>
    <w:rsid w:val="00441F09"/>
    <w:rsid w:val="00442C1A"/>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18A"/>
    <w:rsid w:val="00473601"/>
    <w:rsid w:val="0047397A"/>
    <w:rsid w:val="00473BCF"/>
    <w:rsid w:val="00473CD0"/>
    <w:rsid w:val="0047401E"/>
    <w:rsid w:val="004740FF"/>
    <w:rsid w:val="004743DC"/>
    <w:rsid w:val="00474549"/>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7D7"/>
    <w:rsid w:val="00482ACC"/>
    <w:rsid w:val="00482AD1"/>
    <w:rsid w:val="00482C84"/>
    <w:rsid w:val="00483575"/>
    <w:rsid w:val="0048361B"/>
    <w:rsid w:val="00483B27"/>
    <w:rsid w:val="00483F4F"/>
    <w:rsid w:val="00484C09"/>
    <w:rsid w:val="00484FE8"/>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730"/>
    <w:rsid w:val="004B5223"/>
    <w:rsid w:val="004B52CB"/>
    <w:rsid w:val="004B56B4"/>
    <w:rsid w:val="004B5ADF"/>
    <w:rsid w:val="004B67CE"/>
    <w:rsid w:val="004B6DC5"/>
    <w:rsid w:val="004B7377"/>
    <w:rsid w:val="004B74ED"/>
    <w:rsid w:val="004B794E"/>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42"/>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814"/>
    <w:rsid w:val="004D6C06"/>
    <w:rsid w:val="004D6D28"/>
    <w:rsid w:val="004D772F"/>
    <w:rsid w:val="004D7863"/>
    <w:rsid w:val="004E02E2"/>
    <w:rsid w:val="004E04AE"/>
    <w:rsid w:val="004E0AA0"/>
    <w:rsid w:val="004E0CBB"/>
    <w:rsid w:val="004E1347"/>
    <w:rsid w:val="004E1893"/>
    <w:rsid w:val="004E1B2F"/>
    <w:rsid w:val="004E1B6E"/>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5E2"/>
    <w:rsid w:val="005137E4"/>
    <w:rsid w:val="00513963"/>
    <w:rsid w:val="00513ACB"/>
    <w:rsid w:val="00514221"/>
    <w:rsid w:val="005146D6"/>
    <w:rsid w:val="00514BF9"/>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86C"/>
    <w:rsid w:val="00546C9F"/>
    <w:rsid w:val="00546D35"/>
    <w:rsid w:val="0054735C"/>
    <w:rsid w:val="00547456"/>
    <w:rsid w:val="00547A4A"/>
    <w:rsid w:val="00547EF5"/>
    <w:rsid w:val="00550BD2"/>
    <w:rsid w:val="00551298"/>
    <w:rsid w:val="00551B85"/>
    <w:rsid w:val="00552161"/>
    <w:rsid w:val="005525C6"/>
    <w:rsid w:val="005529EE"/>
    <w:rsid w:val="005529FF"/>
    <w:rsid w:val="00552B68"/>
    <w:rsid w:val="00553504"/>
    <w:rsid w:val="00553698"/>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4D02"/>
    <w:rsid w:val="00564F41"/>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BA1"/>
    <w:rsid w:val="00570DBD"/>
    <w:rsid w:val="0057151F"/>
    <w:rsid w:val="005715B5"/>
    <w:rsid w:val="005715FD"/>
    <w:rsid w:val="00571840"/>
    <w:rsid w:val="0057185D"/>
    <w:rsid w:val="005718BC"/>
    <w:rsid w:val="00571977"/>
    <w:rsid w:val="0057268E"/>
    <w:rsid w:val="00572CB3"/>
    <w:rsid w:val="0057315D"/>
    <w:rsid w:val="00573EEF"/>
    <w:rsid w:val="00574313"/>
    <w:rsid w:val="00575ED6"/>
    <w:rsid w:val="00575FD5"/>
    <w:rsid w:val="00576744"/>
    <w:rsid w:val="00576DE2"/>
    <w:rsid w:val="00576E56"/>
    <w:rsid w:val="00577012"/>
    <w:rsid w:val="00577282"/>
    <w:rsid w:val="0057740E"/>
    <w:rsid w:val="00577749"/>
    <w:rsid w:val="00577B3B"/>
    <w:rsid w:val="00577E21"/>
    <w:rsid w:val="00577FFE"/>
    <w:rsid w:val="00580B37"/>
    <w:rsid w:val="00580BC5"/>
    <w:rsid w:val="00580F54"/>
    <w:rsid w:val="00581B77"/>
    <w:rsid w:val="00581D26"/>
    <w:rsid w:val="00581D5B"/>
    <w:rsid w:val="00581F07"/>
    <w:rsid w:val="0058229A"/>
    <w:rsid w:val="005822DA"/>
    <w:rsid w:val="00582411"/>
    <w:rsid w:val="0058294C"/>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5FA"/>
    <w:rsid w:val="00591DD3"/>
    <w:rsid w:val="00592A67"/>
    <w:rsid w:val="00592CB3"/>
    <w:rsid w:val="00592DFA"/>
    <w:rsid w:val="00593B52"/>
    <w:rsid w:val="00593E86"/>
    <w:rsid w:val="00594767"/>
    <w:rsid w:val="0059483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950"/>
    <w:rsid w:val="005A1AD1"/>
    <w:rsid w:val="005A24D7"/>
    <w:rsid w:val="005A2E94"/>
    <w:rsid w:val="005A2EBC"/>
    <w:rsid w:val="005A35E3"/>
    <w:rsid w:val="005A3BDC"/>
    <w:rsid w:val="005A3C70"/>
    <w:rsid w:val="005A4826"/>
    <w:rsid w:val="005A4B2B"/>
    <w:rsid w:val="005A4E9D"/>
    <w:rsid w:val="005A5254"/>
    <w:rsid w:val="005A5345"/>
    <w:rsid w:val="005A5810"/>
    <w:rsid w:val="005A59BA"/>
    <w:rsid w:val="005A5F8D"/>
    <w:rsid w:val="005A6231"/>
    <w:rsid w:val="005A6630"/>
    <w:rsid w:val="005A67F9"/>
    <w:rsid w:val="005A69B2"/>
    <w:rsid w:val="005A7F88"/>
    <w:rsid w:val="005B1AA7"/>
    <w:rsid w:val="005B1D9E"/>
    <w:rsid w:val="005B2ACA"/>
    <w:rsid w:val="005B2C07"/>
    <w:rsid w:val="005B2DB2"/>
    <w:rsid w:val="005B2F90"/>
    <w:rsid w:val="005B32BC"/>
    <w:rsid w:val="005B33EC"/>
    <w:rsid w:val="005B354F"/>
    <w:rsid w:val="005B375C"/>
    <w:rsid w:val="005B377B"/>
    <w:rsid w:val="005B3934"/>
    <w:rsid w:val="005B3BDD"/>
    <w:rsid w:val="005B3F76"/>
    <w:rsid w:val="005B44E3"/>
    <w:rsid w:val="005B44E7"/>
    <w:rsid w:val="005B4AB5"/>
    <w:rsid w:val="005B4F1A"/>
    <w:rsid w:val="005B51BC"/>
    <w:rsid w:val="005B5B30"/>
    <w:rsid w:val="005B5F13"/>
    <w:rsid w:val="005B636D"/>
    <w:rsid w:val="005B6E9D"/>
    <w:rsid w:val="005B7230"/>
    <w:rsid w:val="005B7B66"/>
    <w:rsid w:val="005B7F3C"/>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6C18"/>
    <w:rsid w:val="005C7131"/>
    <w:rsid w:val="005C7EBD"/>
    <w:rsid w:val="005D00BE"/>
    <w:rsid w:val="005D086D"/>
    <w:rsid w:val="005D0B01"/>
    <w:rsid w:val="005D0EB0"/>
    <w:rsid w:val="005D10BE"/>
    <w:rsid w:val="005D155F"/>
    <w:rsid w:val="005D160C"/>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811"/>
    <w:rsid w:val="005E4396"/>
    <w:rsid w:val="005E4544"/>
    <w:rsid w:val="005E45CC"/>
    <w:rsid w:val="005E4A97"/>
    <w:rsid w:val="005E51AE"/>
    <w:rsid w:val="005E5580"/>
    <w:rsid w:val="005E5CB1"/>
    <w:rsid w:val="005E5CBA"/>
    <w:rsid w:val="005E70FD"/>
    <w:rsid w:val="005E771B"/>
    <w:rsid w:val="005E7BE3"/>
    <w:rsid w:val="005F0576"/>
    <w:rsid w:val="005F05C5"/>
    <w:rsid w:val="005F0A33"/>
    <w:rsid w:val="005F0DAA"/>
    <w:rsid w:val="005F1732"/>
    <w:rsid w:val="005F2E97"/>
    <w:rsid w:val="005F2EA2"/>
    <w:rsid w:val="005F2FD6"/>
    <w:rsid w:val="005F34B9"/>
    <w:rsid w:val="005F34FB"/>
    <w:rsid w:val="005F3720"/>
    <w:rsid w:val="005F37A1"/>
    <w:rsid w:val="005F3805"/>
    <w:rsid w:val="005F3962"/>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89A"/>
    <w:rsid w:val="00601973"/>
    <w:rsid w:val="00601B5A"/>
    <w:rsid w:val="00601DF1"/>
    <w:rsid w:val="00602033"/>
    <w:rsid w:val="006022A6"/>
    <w:rsid w:val="0060232C"/>
    <w:rsid w:val="00602C49"/>
    <w:rsid w:val="00603349"/>
    <w:rsid w:val="0060370C"/>
    <w:rsid w:val="00603EF0"/>
    <w:rsid w:val="00603F3E"/>
    <w:rsid w:val="00604490"/>
    <w:rsid w:val="00604528"/>
    <w:rsid w:val="00604D15"/>
    <w:rsid w:val="006050AB"/>
    <w:rsid w:val="0060524A"/>
    <w:rsid w:val="006052B5"/>
    <w:rsid w:val="006058CF"/>
    <w:rsid w:val="006059D2"/>
    <w:rsid w:val="006067A9"/>
    <w:rsid w:val="00606BEB"/>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5060"/>
    <w:rsid w:val="00615A9E"/>
    <w:rsid w:val="00615CD5"/>
    <w:rsid w:val="00616128"/>
    <w:rsid w:val="006163CD"/>
    <w:rsid w:val="00616969"/>
    <w:rsid w:val="00616F27"/>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3020A"/>
    <w:rsid w:val="0063050F"/>
    <w:rsid w:val="0063059B"/>
    <w:rsid w:val="00630782"/>
    <w:rsid w:val="00630D51"/>
    <w:rsid w:val="00630D8F"/>
    <w:rsid w:val="00630EBF"/>
    <w:rsid w:val="00630F08"/>
    <w:rsid w:val="00631253"/>
    <w:rsid w:val="00631860"/>
    <w:rsid w:val="0063192C"/>
    <w:rsid w:val="00631A17"/>
    <w:rsid w:val="0063279A"/>
    <w:rsid w:val="00632ECA"/>
    <w:rsid w:val="0063323D"/>
    <w:rsid w:val="00633F3D"/>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8BB"/>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BDC"/>
    <w:rsid w:val="006530B0"/>
    <w:rsid w:val="006531F6"/>
    <w:rsid w:val="0065422F"/>
    <w:rsid w:val="006543FB"/>
    <w:rsid w:val="006545A9"/>
    <w:rsid w:val="00654624"/>
    <w:rsid w:val="00654A5C"/>
    <w:rsid w:val="00654E91"/>
    <w:rsid w:val="00654FB5"/>
    <w:rsid w:val="006554FE"/>
    <w:rsid w:val="00655808"/>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A0E"/>
    <w:rsid w:val="00661D14"/>
    <w:rsid w:val="0066321A"/>
    <w:rsid w:val="0066365D"/>
    <w:rsid w:val="00665168"/>
    <w:rsid w:val="00665997"/>
    <w:rsid w:val="00666EA1"/>
    <w:rsid w:val="006671E7"/>
    <w:rsid w:val="00667451"/>
    <w:rsid w:val="006674F6"/>
    <w:rsid w:val="006675F8"/>
    <w:rsid w:val="00670296"/>
    <w:rsid w:val="0067037F"/>
    <w:rsid w:val="0067170A"/>
    <w:rsid w:val="00672034"/>
    <w:rsid w:val="006723EC"/>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9E7"/>
    <w:rsid w:val="00693AD7"/>
    <w:rsid w:val="0069484C"/>
    <w:rsid w:val="00695437"/>
    <w:rsid w:val="0069562C"/>
    <w:rsid w:val="00695938"/>
    <w:rsid w:val="00695B5A"/>
    <w:rsid w:val="00695D17"/>
    <w:rsid w:val="00695FC7"/>
    <w:rsid w:val="0069695A"/>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3C"/>
    <w:rsid w:val="006A3BED"/>
    <w:rsid w:val="006A4CD1"/>
    <w:rsid w:val="006A4F90"/>
    <w:rsid w:val="006A58DE"/>
    <w:rsid w:val="006A5914"/>
    <w:rsid w:val="006A5CEB"/>
    <w:rsid w:val="006A61A6"/>
    <w:rsid w:val="006A684E"/>
    <w:rsid w:val="006A7297"/>
    <w:rsid w:val="006B0394"/>
    <w:rsid w:val="006B053B"/>
    <w:rsid w:val="006B06D2"/>
    <w:rsid w:val="006B0956"/>
    <w:rsid w:val="006B0A3C"/>
    <w:rsid w:val="006B0A43"/>
    <w:rsid w:val="006B0B01"/>
    <w:rsid w:val="006B0B09"/>
    <w:rsid w:val="006B1396"/>
    <w:rsid w:val="006B139F"/>
    <w:rsid w:val="006B18FC"/>
    <w:rsid w:val="006B1B97"/>
    <w:rsid w:val="006B204A"/>
    <w:rsid w:val="006B2E6D"/>
    <w:rsid w:val="006B30C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3B9F"/>
    <w:rsid w:val="006C425F"/>
    <w:rsid w:val="006C470F"/>
    <w:rsid w:val="006C47C9"/>
    <w:rsid w:val="006C503D"/>
    <w:rsid w:val="006C51C0"/>
    <w:rsid w:val="006C52B5"/>
    <w:rsid w:val="006C5320"/>
    <w:rsid w:val="006C5B23"/>
    <w:rsid w:val="006C65D2"/>
    <w:rsid w:val="006C6917"/>
    <w:rsid w:val="006C6AD9"/>
    <w:rsid w:val="006C7295"/>
    <w:rsid w:val="006C72FD"/>
    <w:rsid w:val="006C7663"/>
    <w:rsid w:val="006C76B5"/>
    <w:rsid w:val="006C78ED"/>
    <w:rsid w:val="006D0530"/>
    <w:rsid w:val="006D0613"/>
    <w:rsid w:val="006D0886"/>
    <w:rsid w:val="006D0D8D"/>
    <w:rsid w:val="006D11D5"/>
    <w:rsid w:val="006D13F5"/>
    <w:rsid w:val="006D1841"/>
    <w:rsid w:val="006D1AD9"/>
    <w:rsid w:val="006D224E"/>
    <w:rsid w:val="006D25C9"/>
    <w:rsid w:val="006D3290"/>
    <w:rsid w:val="006D3471"/>
    <w:rsid w:val="006D3BA9"/>
    <w:rsid w:val="006D409B"/>
    <w:rsid w:val="006D40C6"/>
    <w:rsid w:val="006D4243"/>
    <w:rsid w:val="006D465A"/>
    <w:rsid w:val="006D55C6"/>
    <w:rsid w:val="006D5C49"/>
    <w:rsid w:val="006D61B9"/>
    <w:rsid w:val="006D68AE"/>
    <w:rsid w:val="006D6FB3"/>
    <w:rsid w:val="006D7D68"/>
    <w:rsid w:val="006E06F9"/>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F0A7B"/>
    <w:rsid w:val="006F0CA7"/>
    <w:rsid w:val="006F1138"/>
    <w:rsid w:val="006F1F5D"/>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7070"/>
    <w:rsid w:val="0071710C"/>
    <w:rsid w:val="0071731C"/>
    <w:rsid w:val="00717338"/>
    <w:rsid w:val="00717C6E"/>
    <w:rsid w:val="00720074"/>
    <w:rsid w:val="007206BD"/>
    <w:rsid w:val="0072127C"/>
    <w:rsid w:val="007217CA"/>
    <w:rsid w:val="0072204B"/>
    <w:rsid w:val="00722C10"/>
    <w:rsid w:val="00722F16"/>
    <w:rsid w:val="00723C6E"/>
    <w:rsid w:val="00723D3A"/>
    <w:rsid w:val="0072437F"/>
    <w:rsid w:val="007245BD"/>
    <w:rsid w:val="00724656"/>
    <w:rsid w:val="00724B75"/>
    <w:rsid w:val="00724E18"/>
    <w:rsid w:val="0072565D"/>
    <w:rsid w:val="00726781"/>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85C"/>
    <w:rsid w:val="00737551"/>
    <w:rsid w:val="0073798A"/>
    <w:rsid w:val="00737E37"/>
    <w:rsid w:val="0074000C"/>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1162"/>
    <w:rsid w:val="007512C4"/>
    <w:rsid w:val="00751348"/>
    <w:rsid w:val="007515C2"/>
    <w:rsid w:val="00751991"/>
    <w:rsid w:val="007519F6"/>
    <w:rsid w:val="007523A5"/>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6C5F"/>
    <w:rsid w:val="0075702E"/>
    <w:rsid w:val="007573CC"/>
    <w:rsid w:val="00757B98"/>
    <w:rsid w:val="00757E06"/>
    <w:rsid w:val="00757EB6"/>
    <w:rsid w:val="00757FFB"/>
    <w:rsid w:val="00760230"/>
    <w:rsid w:val="0076035D"/>
    <w:rsid w:val="007609FD"/>
    <w:rsid w:val="00760D20"/>
    <w:rsid w:val="00760D99"/>
    <w:rsid w:val="00761033"/>
    <w:rsid w:val="00761259"/>
    <w:rsid w:val="00761518"/>
    <w:rsid w:val="007615A3"/>
    <w:rsid w:val="007628D2"/>
    <w:rsid w:val="00762936"/>
    <w:rsid w:val="00762B84"/>
    <w:rsid w:val="0076302E"/>
    <w:rsid w:val="00763150"/>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385F"/>
    <w:rsid w:val="00784417"/>
    <w:rsid w:val="007848B8"/>
    <w:rsid w:val="00784956"/>
    <w:rsid w:val="0078510C"/>
    <w:rsid w:val="00785310"/>
    <w:rsid w:val="00785748"/>
    <w:rsid w:val="00785E8E"/>
    <w:rsid w:val="007860DC"/>
    <w:rsid w:val="0078621B"/>
    <w:rsid w:val="0078680D"/>
    <w:rsid w:val="007872AD"/>
    <w:rsid w:val="00787AAD"/>
    <w:rsid w:val="00790010"/>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5B1F"/>
    <w:rsid w:val="00796656"/>
    <w:rsid w:val="00796CE4"/>
    <w:rsid w:val="00797153"/>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78D"/>
    <w:rsid w:val="007B59F8"/>
    <w:rsid w:val="007B5C42"/>
    <w:rsid w:val="007B6DC2"/>
    <w:rsid w:val="007B7519"/>
    <w:rsid w:val="007B768C"/>
    <w:rsid w:val="007C0C38"/>
    <w:rsid w:val="007C0E3D"/>
    <w:rsid w:val="007C185F"/>
    <w:rsid w:val="007C1EE5"/>
    <w:rsid w:val="007C21B7"/>
    <w:rsid w:val="007C2613"/>
    <w:rsid w:val="007C2CEA"/>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249B"/>
    <w:rsid w:val="007D2AAD"/>
    <w:rsid w:val="007D306B"/>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7DA"/>
    <w:rsid w:val="007E59F7"/>
    <w:rsid w:val="007E6905"/>
    <w:rsid w:val="007E6CAA"/>
    <w:rsid w:val="007E6E24"/>
    <w:rsid w:val="007E70D6"/>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CF"/>
    <w:rsid w:val="007F6D26"/>
    <w:rsid w:val="007F780C"/>
    <w:rsid w:val="007F7F46"/>
    <w:rsid w:val="00800139"/>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40"/>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1EC"/>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08F"/>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5C0"/>
    <w:rsid w:val="008406BB"/>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2383"/>
    <w:rsid w:val="00852ECE"/>
    <w:rsid w:val="00853AFB"/>
    <w:rsid w:val="00853B2D"/>
    <w:rsid w:val="00853D0C"/>
    <w:rsid w:val="00854107"/>
    <w:rsid w:val="00854190"/>
    <w:rsid w:val="00854194"/>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84"/>
    <w:rsid w:val="008802EC"/>
    <w:rsid w:val="00880329"/>
    <w:rsid w:val="00880460"/>
    <w:rsid w:val="00880FE2"/>
    <w:rsid w:val="00881083"/>
    <w:rsid w:val="00881AB2"/>
    <w:rsid w:val="0088255E"/>
    <w:rsid w:val="00882963"/>
    <w:rsid w:val="00882FA5"/>
    <w:rsid w:val="0088359C"/>
    <w:rsid w:val="008841AD"/>
    <w:rsid w:val="00884635"/>
    <w:rsid w:val="00884C3C"/>
    <w:rsid w:val="00884FF6"/>
    <w:rsid w:val="008850E6"/>
    <w:rsid w:val="00885228"/>
    <w:rsid w:val="00885793"/>
    <w:rsid w:val="00885AFE"/>
    <w:rsid w:val="008861A9"/>
    <w:rsid w:val="00886D86"/>
    <w:rsid w:val="00887005"/>
    <w:rsid w:val="00887033"/>
    <w:rsid w:val="00887C9F"/>
    <w:rsid w:val="0089089E"/>
    <w:rsid w:val="0089090E"/>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A04"/>
    <w:rsid w:val="008B3D67"/>
    <w:rsid w:val="008B3D73"/>
    <w:rsid w:val="008B4325"/>
    <w:rsid w:val="008B457C"/>
    <w:rsid w:val="008B4CA5"/>
    <w:rsid w:val="008B53FE"/>
    <w:rsid w:val="008B5954"/>
    <w:rsid w:val="008B5E73"/>
    <w:rsid w:val="008B61A1"/>
    <w:rsid w:val="008B6413"/>
    <w:rsid w:val="008B73E0"/>
    <w:rsid w:val="008B7885"/>
    <w:rsid w:val="008B7D39"/>
    <w:rsid w:val="008C013F"/>
    <w:rsid w:val="008C02E9"/>
    <w:rsid w:val="008C103F"/>
    <w:rsid w:val="008C1820"/>
    <w:rsid w:val="008C23BD"/>
    <w:rsid w:val="008C25EA"/>
    <w:rsid w:val="008C29F0"/>
    <w:rsid w:val="008C2D23"/>
    <w:rsid w:val="008C305F"/>
    <w:rsid w:val="008C3522"/>
    <w:rsid w:val="008C41F4"/>
    <w:rsid w:val="008C51CD"/>
    <w:rsid w:val="008C55CF"/>
    <w:rsid w:val="008C5645"/>
    <w:rsid w:val="008C5ADD"/>
    <w:rsid w:val="008C6A31"/>
    <w:rsid w:val="008C6EC6"/>
    <w:rsid w:val="008C736F"/>
    <w:rsid w:val="008C76B8"/>
    <w:rsid w:val="008C79B4"/>
    <w:rsid w:val="008C7F90"/>
    <w:rsid w:val="008D00B5"/>
    <w:rsid w:val="008D0721"/>
    <w:rsid w:val="008D09A9"/>
    <w:rsid w:val="008D0A55"/>
    <w:rsid w:val="008D151F"/>
    <w:rsid w:val="008D1FBA"/>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1E3"/>
    <w:rsid w:val="008D62D9"/>
    <w:rsid w:val="008D6F83"/>
    <w:rsid w:val="008D7AA7"/>
    <w:rsid w:val="008D7EA6"/>
    <w:rsid w:val="008E00FE"/>
    <w:rsid w:val="008E0319"/>
    <w:rsid w:val="008E0862"/>
    <w:rsid w:val="008E0BDA"/>
    <w:rsid w:val="008E11B4"/>
    <w:rsid w:val="008E134C"/>
    <w:rsid w:val="008E17AF"/>
    <w:rsid w:val="008E1BD8"/>
    <w:rsid w:val="008E1D1C"/>
    <w:rsid w:val="008E2314"/>
    <w:rsid w:val="008E273D"/>
    <w:rsid w:val="008E2779"/>
    <w:rsid w:val="008E2920"/>
    <w:rsid w:val="008E3E9D"/>
    <w:rsid w:val="008E3FF4"/>
    <w:rsid w:val="008E45CA"/>
    <w:rsid w:val="008E467A"/>
    <w:rsid w:val="008E4F23"/>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605D"/>
    <w:rsid w:val="00906AF9"/>
    <w:rsid w:val="00907102"/>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51C"/>
    <w:rsid w:val="009249B2"/>
    <w:rsid w:val="009259CD"/>
    <w:rsid w:val="00926C3D"/>
    <w:rsid w:val="00927011"/>
    <w:rsid w:val="009271C8"/>
    <w:rsid w:val="0092766F"/>
    <w:rsid w:val="00927A83"/>
    <w:rsid w:val="00927B47"/>
    <w:rsid w:val="0093009C"/>
    <w:rsid w:val="009313D6"/>
    <w:rsid w:val="0093156F"/>
    <w:rsid w:val="009316FA"/>
    <w:rsid w:val="00931999"/>
    <w:rsid w:val="00931DB7"/>
    <w:rsid w:val="00931E3B"/>
    <w:rsid w:val="009321E9"/>
    <w:rsid w:val="00932956"/>
    <w:rsid w:val="00932DC8"/>
    <w:rsid w:val="0093309D"/>
    <w:rsid w:val="00933219"/>
    <w:rsid w:val="00933F6B"/>
    <w:rsid w:val="00934A6C"/>
    <w:rsid w:val="00934F66"/>
    <w:rsid w:val="00935A5F"/>
    <w:rsid w:val="00935CAF"/>
    <w:rsid w:val="00935EDA"/>
    <w:rsid w:val="00936B4B"/>
    <w:rsid w:val="00936F6A"/>
    <w:rsid w:val="00937436"/>
    <w:rsid w:val="0094023F"/>
    <w:rsid w:val="00940458"/>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67C"/>
    <w:rsid w:val="00947EBF"/>
    <w:rsid w:val="009502B1"/>
    <w:rsid w:val="0095038B"/>
    <w:rsid w:val="00950B66"/>
    <w:rsid w:val="00951A68"/>
    <w:rsid w:val="00951D29"/>
    <w:rsid w:val="00951F47"/>
    <w:rsid w:val="00952227"/>
    <w:rsid w:val="00952635"/>
    <w:rsid w:val="00953179"/>
    <w:rsid w:val="0095317A"/>
    <w:rsid w:val="0095328B"/>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6B9"/>
    <w:rsid w:val="00963D43"/>
    <w:rsid w:val="00963DF0"/>
    <w:rsid w:val="00963EE8"/>
    <w:rsid w:val="00963F8B"/>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6EE1"/>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FE"/>
    <w:rsid w:val="009A0C34"/>
    <w:rsid w:val="009A0FBF"/>
    <w:rsid w:val="009A1430"/>
    <w:rsid w:val="009A1F42"/>
    <w:rsid w:val="009A2397"/>
    <w:rsid w:val="009A23EC"/>
    <w:rsid w:val="009A2A0F"/>
    <w:rsid w:val="009A2BA0"/>
    <w:rsid w:val="009A2C67"/>
    <w:rsid w:val="009A3482"/>
    <w:rsid w:val="009A3EF7"/>
    <w:rsid w:val="009A4077"/>
    <w:rsid w:val="009A4D3B"/>
    <w:rsid w:val="009A5A69"/>
    <w:rsid w:val="009A655A"/>
    <w:rsid w:val="009A67FC"/>
    <w:rsid w:val="009A6EB8"/>
    <w:rsid w:val="009A70C4"/>
    <w:rsid w:val="009A7B93"/>
    <w:rsid w:val="009A7CE1"/>
    <w:rsid w:val="009A7E5C"/>
    <w:rsid w:val="009B013E"/>
    <w:rsid w:val="009B0237"/>
    <w:rsid w:val="009B03A5"/>
    <w:rsid w:val="009B097E"/>
    <w:rsid w:val="009B0D08"/>
    <w:rsid w:val="009B1371"/>
    <w:rsid w:val="009B1D72"/>
    <w:rsid w:val="009B1F76"/>
    <w:rsid w:val="009B25CD"/>
    <w:rsid w:val="009B2F0F"/>
    <w:rsid w:val="009B3DF8"/>
    <w:rsid w:val="009B3F48"/>
    <w:rsid w:val="009B46C8"/>
    <w:rsid w:val="009B4CEE"/>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4E61"/>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275F"/>
    <w:rsid w:val="009E304F"/>
    <w:rsid w:val="009E3553"/>
    <w:rsid w:val="009E4AD6"/>
    <w:rsid w:val="009E510B"/>
    <w:rsid w:val="009E543F"/>
    <w:rsid w:val="009E5700"/>
    <w:rsid w:val="009E5BDB"/>
    <w:rsid w:val="009E5F82"/>
    <w:rsid w:val="009E6CCC"/>
    <w:rsid w:val="009E7209"/>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146"/>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899"/>
    <w:rsid w:val="00A04950"/>
    <w:rsid w:val="00A04B51"/>
    <w:rsid w:val="00A04EA7"/>
    <w:rsid w:val="00A058AB"/>
    <w:rsid w:val="00A0606A"/>
    <w:rsid w:val="00A060AA"/>
    <w:rsid w:val="00A06F24"/>
    <w:rsid w:val="00A071AD"/>
    <w:rsid w:val="00A07267"/>
    <w:rsid w:val="00A0728A"/>
    <w:rsid w:val="00A07AE8"/>
    <w:rsid w:val="00A07B90"/>
    <w:rsid w:val="00A1035E"/>
    <w:rsid w:val="00A1102D"/>
    <w:rsid w:val="00A112DB"/>
    <w:rsid w:val="00A11343"/>
    <w:rsid w:val="00A11791"/>
    <w:rsid w:val="00A11829"/>
    <w:rsid w:val="00A11EDE"/>
    <w:rsid w:val="00A1281A"/>
    <w:rsid w:val="00A1370A"/>
    <w:rsid w:val="00A13DB2"/>
    <w:rsid w:val="00A13F70"/>
    <w:rsid w:val="00A141F8"/>
    <w:rsid w:val="00A142F3"/>
    <w:rsid w:val="00A14C03"/>
    <w:rsid w:val="00A14CC1"/>
    <w:rsid w:val="00A14E0C"/>
    <w:rsid w:val="00A1537F"/>
    <w:rsid w:val="00A15BA0"/>
    <w:rsid w:val="00A15C20"/>
    <w:rsid w:val="00A16FDF"/>
    <w:rsid w:val="00A16FFF"/>
    <w:rsid w:val="00A17B4E"/>
    <w:rsid w:val="00A17C8D"/>
    <w:rsid w:val="00A200E2"/>
    <w:rsid w:val="00A20208"/>
    <w:rsid w:val="00A20619"/>
    <w:rsid w:val="00A20EA7"/>
    <w:rsid w:val="00A2149B"/>
    <w:rsid w:val="00A214CC"/>
    <w:rsid w:val="00A21722"/>
    <w:rsid w:val="00A21807"/>
    <w:rsid w:val="00A22001"/>
    <w:rsid w:val="00A22358"/>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885"/>
    <w:rsid w:val="00A25AE4"/>
    <w:rsid w:val="00A25E9A"/>
    <w:rsid w:val="00A2757F"/>
    <w:rsid w:val="00A27A5B"/>
    <w:rsid w:val="00A301A6"/>
    <w:rsid w:val="00A3045D"/>
    <w:rsid w:val="00A308CE"/>
    <w:rsid w:val="00A30CEE"/>
    <w:rsid w:val="00A31749"/>
    <w:rsid w:val="00A317A1"/>
    <w:rsid w:val="00A31823"/>
    <w:rsid w:val="00A31AFB"/>
    <w:rsid w:val="00A3215D"/>
    <w:rsid w:val="00A321A0"/>
    <w:rsid w:val="00A3225A"/>
    <w:rsid w:val="00A32321"/>
    <w:rsid w:val="00A327C0"/>
    <w:rsid w:val="00A32DC9"/>
    <w:rsid w:val="00A331D7"/>
    <w:rsid w:val="00A33751"/>
    <w:rsid w:val="00A337AE"/>
    <w:rsid w:val="00A33A02"/>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E21"/>
    <w:rsid w:val="00A51159"/>
    <w:rsid w:val="00A51646"/>
    <w:rsid w:val="00A5275E"/>
    <w:rsid w:val="00A52BE0"/>
    <w:rsid w:val="00A52EC6"/>
    <w:rsid w:val="00A53203"/>
    <w:rsid w:val="00A53220"/>
    <w:rsid w:val="00A53735"/>
    <w:rsid w:val="00A53C6A"/>
    <w:rsid w:val="00A549B9"/>
    <w:rsid w:val="00A54A0D"/>
    <w:rsid w:val="00A54C21"/>
    <w:rsid w:val="00A54F07"/>
    <w:rsid w:val="00A550E4"/>
    <w:rsid w:val="00A5540A"/>
    <w:rsid w:val="00A5566F"/>
    <w:rsid w:val="00A557BE"/>
    <w:rsid w:val="00A56A98"/>
    <w:rsid w:val="00A56DA3"/>
    <w:rsid w:val="00A57003"/>
    <w:rsid w:val="00A5730D"/>
    <w:rsid w:val="00A5785F"/>
    <w:rsid w:val="00A57C93"/>
    <w:rsid w:val="00A60100"/>
    <w:rsid w:val="00A601AF"/>
    <w:rsid w:val="00A6087B"/>
    <w:rsid w:val="00A6090E"/>
    <w:rsid w:val="00A61947"/>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8A"/>
    <w:rsid w:val="00A8061F"/>
    <w:rsid w:val="00A8068F"/>
    <w:rsid w:val="00A80BCC"/>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4DB"/>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F5E"/>
    <w:rsid w:val="00AB34FA"/>
    <w:rsid w:val="00AB364A"/>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327"/>
    <w:rsid w:val="00AD25D0"/>
    <w:rsid w:val="00AD2771"/>
    <w:rsid w:val="00AD2AAC"/>
    <w:rsid w:val="00AD2D74"/>
    <w:rsid w:val="00AD33CB"/>
    <w:rsid w:val="00AD3A86"/>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82"/>
    <w:rsid w:val="00AE438F"/>
    <w:rsid w:val="00AE4415"/>
    <w:rsid w:val="00AE4C03"/>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2AF8"/>
    <w:rsid w:val="00AF30A5"/>
    <w:rsid w:val="00AF33EB"/>
    <w:rsid w:val="00AF3429"/>
    <w:rsid w:val="00AF37AC"/>
    <w:rsid w:val="00AF3A14"/>
    <w:rsid w:val="00AF3C15"/>
    <w:rsid w:val="00AF3CD0"/>
    <w:rsid w:val="00AF403A"/>
    <w:rsid w:val="00AF483F"/>
    <w:rsid w:val="00AF610E"/>
    <w:rsid w:val="00AF623B"/>
    <w:rsid w:val="00AF6340"/>
    <w:rsid w:val="00AF6821"/>
    <w:rsid w:val="00AF6B60"/>
    <w:rsid w:val="00AF6F25"/>
    <w:rsid w:val="00AF7950"/>
    <w:rsid w:val="00AF7977"/>
    <w:rsid w:val="00B0077D"/>
    <w:rsid w:val="00B0099E"/>
    <w:rsid w:val="00B00A08"/>
    <w:rsid w:val="00B01951"/>
    <w:rsid w:val="00B019AF"/>
    <w:rsid w:val="00B01EC0"/>
    <w:rsid w:val="00B0298F"/>
    <w:rsid w:val="00B0312C"/>
    <w:rsid w:val="00B03156"/>
    <w:rsid w:val="00B03224"/>
    <w:rsid w:val="00B03A2C"/>
    <w:rsid w:val="00B041FC"/>
    <w:rsid w:val="00B0481D"/>
    <w:rsid w:val="00B0509A"/>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17EC7"/>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4DA6"/>
    <w:rsid w:val="00B254DE"/>
    <w:rsid w:val="00B25AF0"/>
    <w:rsid w:val="00B260BB"/>
    <w:rsid w:val="00B27341"/>
    <w:rsid w:val="00B27B34"/>
    <w:rsid w:val="00B27D60"/>
    <w:rsid w:val="00B3004D"/>
    <w:rsid w:val="00B30549"/>
    <w:rsid w:val="00B306FC"/>
    <w:rsid w:val="00B30B9E"/>
    <w:rsid w:val="00B30CE5"/>
    <w:rsid w:val="00B30D54"/>
    <w:rsid w:val="00B30D6E"/>
    <w:rsid w:val="00B30DBF"/>
    <w:rsid w:val="00B30F41"/>
    <w:rsid w:val="00B3126C"/>
    <w:rsid w:val="00B314F2"/>
    <w:rsid w:val="00B3155E"/>
    <w:rsid w:val="00B31731"/>
    <w:rsid w:val="00B31A7E"/>
    <w:rsid w:val="00B3209B"/>
    <w:rsid w:val="00B3254A"/>
    <w:rsid w:val="00B3294D"/>
    <w:rsid w:val="00B32EEF"/>
    <w:rsid w:val="00B33340"/>
    <w:rsid w:val="00B3337B"/>
    <w:rsid w:val="00B33CE5"/>
    <w:rsid w:val="00B33EB2"/>
    <w:rsid w:val="00B34053"/>
    <w:rsid w:val="00B343F3"/>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1CD"/>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1FE"/>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3DC9"/>
    <w:rsid w:val="00B743C3"/>
    <w:rsid w:val="00B7523B"/>
    <w:rsid w:val="00B75AB6"/>
    <w:rsid w:val="00B76445"/>
    <w:rsid w:val="00B76564"/>
    <w:rsid w:val="00B76B7D"/>
    <w:rsid w:val="00B7743A"/>
    <w:rsid w:val="00B7760C"/>
    <w:rsid w:val="00B77713"/>
    <w:rsid w:val="00B778AC"/>
    <w:rsid w:val="00B77C7F"/>
    <w:rsid w:val="00B77D78"/>
    <w:rsid w:val="00B77F28"/>
    <w:rsid w:val="00B80422"/>
    <w:rsid w:val="00B80489"/>
    <w:rsid w:val="00B8059E"/>
    <w:rsid w:val="00B81132"/>
    <w:rsid w:val="00B817FF"/>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383"/>
    <w:rsid w:val="00BD2727"/>
    <w:rsid w:val="00BD2A63"/>
    <w:rsid w:val="00BD2A6C"/>
    <w:rsid w:val="00BD2B17"/>
    <w:rsid w:val="00BD324B"/>
    <w:rsid w:val="00BD37A6"/>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819"/>
    <w:rsid w:val="00BE2AB0"/>
    <w:rsid w:val="00BE3228"/>
    <w:rsid w:val="00BE3923"/>
    <w:rsid w:val="00BE4138"/>
    <w:rsid w:val="00BE5024"/>
    <w:rsid w:val="00BE55D2"/>
    <w:rsid w:val="00BE5D77"/>
    <w:rsid w:val="00BE5D94"/>
    <w:rsid w:val="00BE6049"/>
    <w:rsid w:val="00BE69B0"/>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86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B23"/>
    <w:rsid w:val="00C20D8A"/>
    <w:rsid w:val="00C20FAA"/>
    <w:rsid w:val="00C214DD"/>
    <w:rsid w:val="00C215DD"/>
    <w:rsid w:val="00C22512"/>
    <w:rsid w:val="00C230D4"/>
    <w:rsid w:val="00C23BE6"/>
    <w:rsid w:val="00C23C02"/>
    <w:rsid w:val="00C24862"/>
    <w:rsid w:val="00C24C46"/>
    <w:rsid w:val="00C24FFF"/>
    <w:rsid w:val="00C25348"/>
    <w:rsid w:val="00C2581A"/>
    <w:rsid w:val="00C260F4"/>
    <w:rsid w:val="00C26518"/>
    <w:rsid w:val="00C265C3"/>
    <w:rsid w:val="00C26EBA"/>
    <w:rsid w:val="00C270DD"/>
    <w:rsid w:val="00C27DF1"/>
    <w:rsid w:val="00C3105E"/>
    <w:rsid w:val="00C318C9"/>
    <w:rsid w:val="00C32E44"/>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1B2"/>
    <w:rsid w:val="00C3644A"/>
    <w:rsid w:val="00C364C5"/>
    <w:rsid w:val="00C36CD0"/>
    <w:rsid w:val="00C36CFD"/>
    <w:rsid w:val="00C37204"/>
    <w:rsid w:val="00C373C0"/>
    <w:rsid w:val="00C374E2"/>
    <w:rsid w:val="00C4086E"/>
    <w:rsid w:val="00C40D38"/>
    <w:rsid w:val="00C40EB9"/>
    <w:rsid w:val="00C4168A"/>
    <w:rsid w:val="00C41E56"/>
    <w:rsid w:val="00C41EBF"/>
    <w:rsid w:val="00C422CF"/>
    <w:rsid w:val="00C4281A"/>
    <w:rsid w:val="00C42D5B"/>
    <w:rsid w:val="00C4320E"/>
    <w:rsid w:val="00C433AF"/>
    <w:rsid w:val="00C4343B"/>
    <w:rsid w:val="00C436F5"/>
    <w:rsid w:val="00C43B36"/>
    <w:rsid w:val="00C44160"/>
    <w:rsid w:val="00C441E7"/>
    <w:rsid w:val="00C4422D"/>
    <w:rsid w:val="00C442B3"/>
    <w:rsid w:val="00C442D6"/>
    <w:rsid w:val="00C444B4"/>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32D"/>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A23"/>
    <w:rsid w:val="00C74B46"/>
    <w:rsid w:val="00C74F68"/>
    <w:rsid w:val="00C755C3"/>
    <w:rsid w:val="00C76122"/>
    <w:rsid w:val="00C76E83"/>
    <w:rsid w:val="00C76E9C"/>
    <w:rsid w:val="00C77A34"/>
    <w:rsid w:val="00C77CEB"/>
    <w:rsid w:val="00C80B82"/>
    <w:rsid w:val="00C80BCF"/>
    <w:rsid w:val="00C80DAB"/>
    <w:rsid w:val="00C810C9"/>
    <w:rsid w:val="00C81201"/>
    <w:rsid w:val="00C812B5"/>
    <w:rsid w:val="00C81392"/>
    <w:rsid w:val="00C81540"/>
    <w:rsid w:val="00C81E50"/>
    <w:rsid w:val="00C81FD2"/>
    <w:rsid w:val="00C827F2"/>
    <w:rsid w:val="00C83A5F"/>
    <w:rsid w:val="00C83E68"/>
    <w:rsid w:val="00C84569"/>
    <w:rsid w:val="00C846B0"/>
    <w:rsid w:val="00C84CA9"/>
    <w:rsid w:val="00C84EB8"/>
    <w:rsid w:val="00C85005"/>
    <w:rsid w:val="00C85750"/>
    <w:rsid w:val="00C858C2"/>
    <w:rsid w:val="00C85CB9"/>
    <w:rsid w:val="00C866C2"/>
    <w:rsid w:val="00C86940"/>
    <w:rsid w:val="00C86996"/>
    <w:rsid w:val="00C86A44"/>
    <w:rsid w:val="00C87B76"/>
    <w:rsid w:val="00C87FED"/>
    <w:rsid w:val="00C90299"/>
    <w:rsid w:val="00C908E2"/>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34E"/>
    <w:rsid w:val="00C9562A"/>
    <w:rsid w:val="00C95ADE"/>
    <w:rsid w:val="00C95C45"/>
    <w:rsid w:val="00C966EE"/>
    <w:rsid w:val="00C96783"/>
    <w:rsid w:val="00C96FF2"/>
    <w:rsid w:val="00C97565"/>
    <w:rsid w:val="00C97C9B"/>
    <w:rsid w:val="00CA008E"/>
    <w:rsid w:val="00CA01A5"/>
    <w:rsid w:val="00CA0A27"/>
    <w:rsid w:val="00CA0CD1"/>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3E0"/>
    <w:rsid w:val="00CA7655"/>
    <w:rsid w:val="00CA7984"/>
    <w:rsid w:val="00CA7A83"/>
    <w:rsid w:val="00CB0299"/>
    <w:rsid w:val="00CB0DC7"/>
    <w:rsid w:val="00CB1453"/>
    <w:rsid w:val="00CB14F4"/>
    <w:rsid w:val="00CB1696"/>
    <w:rsid w:val="00CB16E9"/>
    <w:rsid w:val="00CB16F6"/>
    <w:rsid w:val="00CB19D5"/>
    <w:rsid w:val="00CB19F0"/>
    <w:rsid w:val="00CB1AB3"/>
    <w:rsid w:val="00CB24E8"/>
    <w:rsid w:val="00CB2551"/>
    <w:rsid w:val="00CB255F"/>
    <w:rsid w:val="00CB2B53"/>
    <w:rsid w:val="00CB2E1E"/>
    <w:rsid w:val="00CB32E5"/>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278"/>
    <w:rsid w:val="00CC2861"/>
    <w:rsid w:val="00CC2BDC"/>
    <w:rsid w:val="00CC2F5D"/>
    <w:rsid w:val="00CC31F9"/>
    <w:rsid w:val="00CC3B25"/>
    <w:rsid w:val="00CC4226"/>
    <w:rsid w:val="00CC4255"/>
    <w:rsid w:val="00CC4FC0"/>
    <w:rsid w:val="00CC505E"/>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7D7A"/>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6373"/>
    <w:rsid w:val="00CE673C"/>
    <w:rsid w:val="00CE7ABF"/>
    <w:rsid w:val="00CE7ADB"/>
    <w:rsid w:val="00CE7C10"/>
    <w:rsid w:val="00CE7FF3"/>
    <w:rsid w:val="00CF02E0"/>
    <w:rsid w:val="00CF0418"/>
    <w:rsid w:val="00CF0573"/>
    <w:rsid w:val="00CF165C"/>
    <w:rsid w:val="00CF1761"/>
    <w:rsid w:val="00CF1861"/>
    <w:rsid w:val="00CF26A5"/>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DF0"/>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1148"/>
    <w:rsid w:val="00D22A91"/>
    <w:rsid w:val="00D22B1C"/>
    <w:rsid w:val="00D22D42"/>
    <w:rsid w:val="00D22DC1"/>
    <w:rsid w:val="00D23001"/>
    <w:rsid w:val="00D233EB"/>
    <w:rsid w:val="00D238D4"/>
    <w:rsid w:val="00D2425A"/>
    <w:rsid w:val="00D24451"/>
    <w:rsid w:val="00D24EF0"/>
    <w:rsid w:val="00D25D70"/>
    <w:rsid w:val="00D25E39"/>
    <w:rsid w:val="00D262B3"/>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6363"/>
    <w:rsid w:val="00D464F5"/>
    <w:rsid w:val="00D4717C"/>
    <w:rsid w:val="00D47BE2"/>
    <w:rsid w:val="00D47C39"/>
    <w:rsid w:val="00D504A0"/>
    <w:rsid w:val="00D50A89"/>
    <w:rsid w:val="00D50C96"/>
    <w:rsid w:val="00D50F36"/>
    <w:rsid w:val="00D51923"/>
    <w:rsid w:val="00D51DFD"/>
    <w:rsid w:val="00D51E62"/>
    <w:rsid w:val="00D522B1"/>
    <w:rsid w:val="00D52DAF"/>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0AE"/>
    <w:rsid w:val="00D57447"/>
    <w:rsid w:val="00D60169"/>
    <w:rsid w:val="00D609B2"/>
    <w:rsid w:val="00D60F4F"/>
    <w:rsid w:val="00D60F71"/>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469"/>
    <w:rsid w:val="00D67883"/>
    <w:rsid w:val="00D67BD7"/>
    <w:rsid w:val="00D67C51"/>
    <w:rsid w:val="00D70E3F"/>
    <w:rsid w:val="00D71877"/>
    <w:rsid w:val="00D71DF9"/>
    <w:rsid w:val="00D72154"/>
    <w:rsid w:val="00D723AC"/>
    <w:rsid w:val="00D724AF"/>
    <w:rsid w:val="00D72C22"/>
    <w:rsid w:val="00D732FC"/>
    <w:rsid w:val="00D7370B"/>
    <w:rsid w:val="00D73E84"/>
    <w:rsid w:val="00D747CD"/>
    <w:rsid w:val="00D75FBF"/>
    <w:rsid w:val="00D75FC3"/>
    <w:rsid w:val="00D75FE8"/>
    <w:rsid w:val="00D76ED1"/>
    <w:rsid w:val="00D77474"/>
    <w:rsid w:val="00D77B63"/>
    <w:rsid w:val="00D80C0E"/>
    <w:rsid w:val="00D81149"/>
    <w:rsid w:val="00D812FB"/>
    <w:rsid w:val="00D816AC"/>
    <w:rsid w:val="00D81B7D"/>
    <w:rsid w:val="00D820DF"/>
    <w:rsid w:val="00D825DC"/>
    <w:rsid w:val="00D82608"/>
    <w:rsid w:val="00D8285C"/>
    <w:rsid w:val="00D82A0C"/>
    <w:rsid w:val="00D82CAF"/>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14AF"/>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8C"/>
    <w:rsid w:val="00DA046C"/>
    <w:rsid w:val="00DA0CB6"/>
    <w:rsid w:val="00DA1257"/>
    <w:rsid w:val="00DA16F7"/>
    <w:rsid w:val="00DA1D08"/>
    <w:rsid w:val="00DA1DC8"/>
    <w:rsid w:val="00DA248B"/>
    <w:rsid w:val="00DA2754"/>
    <w:rsid w:val="00DA2BBD"/>
    <w:rsid w:val="00DA30F3"/>
    <w:rsid w:val="00DA3423"/>
    <w:rsid w:val="00DA3692"/>
    <w:rsid w:val="00DA3BB5"/>
    <w:rsid w:val="00DA3FC6"/>
    <w:rsid w:val="00DA4E24"/>
    <w:rsid w:val="00DA50AE"/>
    <w:rsid w:val="00DA55E3"/>
    <w:rsid w:val="00DA645F"/>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22E"/>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B36"/>
    <w:rsid w:val="00DE6A6D"/>
    <w:rsid w:val="00DE6EDA"/>
    <w:rsid w:val="00DE76CC"/>
    <w:rsid w:val="00DE777D"/>
    <w:rsid w:val="00DE7BE2"/>
    <w:rsid w:val="00DE7F13"/>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EC4"/>
    <w:rsid w:val="00E01429"/>
    <w:rsid w:val="00E018D0"/>
    <w:rsid w:val="00E01DF6"/>
    <w:rsid w:val="00E01F1E"/>
    <w:rsid w:val="00E02BEA"/>
    <w:rsid w:val="00E02F63"/>
    <w:rsid w:val="00E03C26"/>
    <w:rsid w:val="00E03D8C"/>
    <w:rsid w:val="00E04783"/>
    <w:rsid w:val="00E04BBE"/>
    <w:rsid w:val="00E04CE7"/>
    <w:rsid w:val="00E052BE"/>
    <w:rsid w:val="00E0575F"/>
    <w:rsid w:val="00E05D98"/>
    <w:rsid w:val="00E0626C"/>
    <w:rsid w:val="00E06492"/>
    <w:rsid w:val="00E06764"/>
    <w:rsid w:val="00E06FF0"/>
    <w:rsid w:val="00E106B0"/>
    <w:rsid w:val="00E10C3C"/>
    <w:rsid w:val="00E10C88"/>
    <w:rsid w:val="00E11883"/>
    <w:rsid w:val="00E11FFF"/>
    <w:rsid w:val="00E12079"/>
    <w:rsid w:val="00E12904"/>
    <w:rsid w:val="00E12EE7"/>
    <w:rsid w:val="00E13285"/>
    <w:rsid w:val="00E1376B"/>
    <w:rsid w:val="00E138F3"/>
    <w:rsid w:val="00E13950"/>
    <w:rsid w:val="00E13978"/>
    <w:rsid w:val="00E13BCF"/>
    <w:rsid w:val="00E14CF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4A"/>
    <w:rsid w:val="00E23F3A"/>
    <w:rsid w:val="00E24967"/>
    <w:rsid w:val="00E24E0E"/>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AD"/>
    <w:rsid w:val="00E33B3E"/>
    <w:rsid w:val="00E33CD1"/>
    <w:rsid w:val="00E33F53"/>
    <w:rsid w:val="00E33F62"/>
    <w:rsid w:val="00E344C2"/>
    <w:rsid w:val="00E34999"/>
    <w:rsid w:val="00E349F9"/>
    <w:rsid w:val="00E34B1C"/>
    <w:rsid w:val="00E34B22"/>
    <w:rsid w:val="00E34C22"/>
    <w:rsid w:val="00E34ED4"/>
    <w:rsid w:val="00E3541C"/>
    <w:rsid w:val="00E359DD"/>
    <w:rsid w:val="00E35ED3"/>
    <w:rsid w:val="00E36B06"/>
    <w:rsid w:val="00E375B4"/>
    <w:rsid w:val="00E37645"/>
    <w:rsid w:val="00E37C02"/>
    <w:rsid w:val="00E4066C"/>
    <w:rsid w:val="00E40782"/>
    <w:rsid w:val="00E40ADC"/>
    <w:rsid w:val="00E41517"/>
    <w:rsid w:val="00E4164F"/>
    <w:rsid w:val="00E41FA5"/>
    <w:rsid w:val="00E42048"/>
    <w:rsid w:val="00E42AEB"/>
    <w:rsid w:val="00E42C34"/>
    <w:rsid w:val="00E42EA0"/>
    <w:rsid w:val="00E43A3A"/>
    <w:rsid w:val="00E44586"/>
    <w:rsid w:val="00E44748"/>
    <w:rsid w:val="00E44A20"/>
    <w:rsid w:val="00E4511E"/>
    <w:rsid w:val="00E45663"/>
    <w:rsid w:val="00E45EF1"/>
    <w:rsid w:val="00E46001"/>
    <w:rsid w:val="00E46126"/>
    <w:rsid w:val="00E46A36"/>
    <w:rsid w:val="00E46B36"/>
    <w:rsid w:val="00E46EE7"/>
    <w:rsid w:val="00E47E77"/>
    <w:rsid w:val="00E501E7"/>
    <w:rsid w:val="00E5020D"/>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28F0"/>
    <w:rsid w:val="00E72EE6"/>
    <w:rsid w:val="00E730AB"/>
    <w:rsid w:val="00E730D7"/>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3C16"/>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491"/>
    <w:rsid w:val="00E8791E"/>
    <w:rsid w:val="00E87F32"/>
    <w:rsid w:val="00E907A3"/>
    <w:rsid w:val="00E9082B"/>
    <w:rsid w:val="00E90D87"/>
    <w:rsid w:val="00E925D9"/>
    <w:rsid w:val="00E92F60"/>
    <w:rsid w:val="00E93233"/>
    <w:rsid w:val="00E935BA"/>
    <w:rsid w:val="00E93A7C"/>
    <w:rsid w:val="00E93DED"/>
    <w:rsid w:val="00E93E57"/>
    <w:rsid w:val="00E946A9"/>
    <w:rsid w:val="00E94CAC"/>
    <w:rsid w:val="00E9501E"/>
    <w:rsid w:val="00E951C2"/>
    <w:rsid w:val="00E958F0"/>
    <w:rsid w:val="00E95B80"/>
    <w:rsid w:val="00E96448"/>
    <w:rsid w:val="00E96596"/>
    <w:rsid w:val="00E969BD"/>
    <w:rsid w:val="00E96A72"/>
    <w:rsid w:val="00E96AD3"/>
    <w:rsid w:val="00E97266"/>
    <w:rsid w:val="00E978D6"/>
    <w:rsid w:val="00E978F0"/>
    <w:rsid w:val="00E97AC4"/>
    <w:rsid w:val="00EA0184"/>
    <w:rsid w:val="00EA0391"/>
    <w:rsid w:val="00EA0518"/>
    <w:rsid w:val="00EA0664"/>
    <w:rsid w:val="00EA0FFA"/>
    <w:rsid w:val="00EA1459"/>
    <w:rsid w:val="00EA2197"/>
    <w:rsid w:val="00EA2340"/>
    <w:rsid w:val="00EA26C8"/>
    <w:rsid w:val="00EA2724"/>
    <w:rsid w:val="00EA2E69"/>
    <w:rsid w:val="00EA301F"/>
    <w:rsid w:val="00EA3900"/>
    <w:rsid w:val="00EA44B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E66"/>
    <w:rsid w:val="00EB4209"/>
    <w:rsid w:val="00EB47DE"/>
    <w:rsid w:val="00EB4F07"/>
    <w:rsid w:val="00EB4F13"/>
    <w:rsid w:val="00EB554C"/>
    <w:rsid w:val="00EB55C6"/>
    <w:rsid w:val="00EB5939"/>
    <w:rsid w:val="00EB5CB3"/>
    <w:rsid w:val="00EB603D"/>
    <w:rsid w:val="00EB62E8"/>
    <w:rsid w:val="00EB6517"/>
    <w:rsid w:val="00EB6DED"/>
    <w:rsid w:val="00EB6EF7"/>
    <w:rsid w:val="00EB7053"/>
    <w:rsid w:val="00EB7175"/>
    <w:rsid w:val="00EB747A"/>
    <w:rsid w:val="00EB78C9"/>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6E1"/>
    <w:rsid w:val="00EC4881"/>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E7787"/>
    <w:rsid w:val="00EF0226"/>
    <w:rsid w:val="00EF03B4"/>
    <w:rsid w:val="00EF07FA"/>
    <w:rsid w:val="00EF089D"/>
    <w:rsid w:val="00EF0CB6"/>
    <w:rsid w:val="00EF0F1A"/>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4D08"/>
    <w:rsid w:val="00EF502B"/>
    <w:rsid w:val="00EF5291"/>
    <w:rsid w:val="00EF539B"/>
    <w:rsid w:val="00EF5CE8"/>
    <w:rsid w:val="00EF5E3C"/>
    <w:rsid w:val="00EF6263"/>
    <w:rsid w:val="00EF6395"/>
    <w:rsid w:val="00EF6595"/>
    <w:rsid w:val="00EF6825"/>
    <w:rsid w:val="00EF6929"/>
    <w:rsid w:val="00EF6EBE"/>
    <w:rsid w:val="00EF6F15"/>
    <w:rsid w:val="00EF7358"/>
    <w:rsid w:val="00F00345"/>
    <w:rsid w:val="00F00CF7"/>
    <w:rsid w:val="00F01853"/>
    <w:rsid w:val="00F02D2D"/>
    <w:rsid w:val="00F0314E"/>
    <w:rsid w:val="00F032F6"/>
    <w:rsid w:val="00F03410"/>
    <w:rsid w:val="00F047D7"/>
    <w:rsid w:val="00F049B9"/>
    <w:rsid w:val="00F052D6"/>
    <w:rsid w:val="00F0533E"/>
    <w:rsid w:val="00F05A78"/>
    <w:rsid w:val="00F05C1E"/>
    <w:rsid w:val="00F05D91"/>
    <w:rsid w:val="00F063A3"/>
    <w:rsid w:val="00F06E09"/>
    <w:rsid w:val="00F06E47"/>
    <w:rsid w:val="00F073BE"/>
    <w:rsid w:val="00F07541"/>
    <w:rsid w:val="00F075AC"/>
    <w:rsid w:val="00F07EEB"/>
    <w:rsid w:val="00F07EFF"/>
    <w:rsid w:val="00F101D6"/>
    <w:rsid w:val="00F102E1"/>
    <w:rsid w:val="00F103D4"/>
    <w:rsid w:val="00F10C2B"/>
    <w:rsid w:val="00F10CCB"/>
    <w:rsid w:val="00F1116C"/>
    <w:rsid w:val="00F114DE"/>
    <w:rsid w:val="00F11A6F"/>
    <w:rsid w:val="00F120EF"/>
    <w:rsid w:val="00F12153"/>
    <w:rsid w:val="00F121F5"/>
    <w:rsid w:val="00F128BE"/>
    <w:rsid w:val="00F12C6F"/>
    <w:rsid w:val="00F12E02"/>
    <w:rsid w:val="00F12EF9"/>
    <w:rsid w:val="00F1378A"/>
    <w:rsid w:val="00F1383A"/>
    <w:rsid w:val="00F14009"/>
    <w:rsid w:val="00F14175"/>
    <w:rsid w:val="00F14439"/>
    <w:rsid w:val="00F14456"/>
    <w:rsid w:val="00F1459D"/>
    <w:rsid w:val="00F14EC9"/>
    <w:rsid w:val="00F156C1"/>
    <w:rsid w:val="00F165B4"/>
    <w:rsid w:val="00F16967"/>
    <w:rsid w:val="00F17124"/>
    <w:rsid w:val="00F2090F"/>
    <w:rsid w:val="00F20D5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C37"/>
    <w:rsid w:val="00F31045"/>
    <w:rsid w:val="00F31073"/>
    <w:rsid w:val="00F31E5C"/>
    <w:rsid w:val="00F31F26"/>
    <w:rsid w:val="00F3229A"/>
    <w:rsid w:val="00F32A15"/>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375C"/>
    <w:rsid w:val="00F63C10"/>
    <w:rsid w:val="00F64726"/>
    <w:rsid w:val="00F65927"/>
    <w:rsid w:val="00F65A0B"/>
    <w:rsid w:val="00F65C21"/>
    <w:rsid w:val="00F66073"/>
    <w:rsid w:val="00F66512"/>
    <w:rsid w:val="00F6681D"/>
    <w:rsid w:val="00F66BB5"/>
    <w:rsid w:val="00F66C8C"/>
    <w:rsid w:val="00F66EE8"/>
    <w:rsid w:val="00F670CB"/>
    <w:rsid w:val="00F67769"/>
    <w:rsid w:val="00F67A1B"/>
    <w:rsid w:val="00F67C58"/>
    <w:rsid w:val="00F67E0C"/>
    <w:rsid w:val="00F703B4"/>
    <w:rsid w:val="00F70769"/>
    <w:rsid w:val="00F713FB"/>
    <w:rsid w:val="00F72061"/>
    <w:rsid w:val="00F72AFF"/>
    <w:rsid w:val="00F72D07"/>
    <w:rsid w:val="00F72EB6"/>
    <w:rsid w:val="00F73295"/>
    <w:rsid w:val="00F737BE"/>
    <w:rsid w:val="00F73C19"/>
    <w:rsid w:val="00F744C0"/>
    <w:rsid w:val="00F7463A"/>
    <w:rsid w:val="00F74ED5"/>
    <w:rsid w:val="00F7514E"/>
    <w:rsid w:val="00F75329"/>
    <w:rsid w:val="00F755ED"/>
    <w:rsid w:val="00F75811"/>
    <w:rsid w:val="00F75B88"/>
    <w:rsid w:val="00F76DC8"/>
    <w:rsid w:val="00F7733A"/>
    <w:rsid w:val="00F774ED"/>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32AB"/>
    <w:rsid w:val="00FC34E5"/>
    <w:rsid w:val="00FC3FC7"/>
    <w:rsid w:val="00FC4351"/>
    <w:rsid w:val="00FC438B"/>
    <w:rsid w:val="00FC453D"/>
    <w:rsid w:val="00FC46C9"/>
    <w:rsid w:val="00FC4D35"/>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F45"/>
    <w:rsid w:val="00FE1F64"/>
    <w:rsid w:val="00FE2372"/>
    <w:rsid w:val="00FE3553"/>
    <w:rsid w:val="00FE4356"/>
    <w:rsid w:val="00FE4757"/>
    <w:rsid w:val="00FE4C70"/>
    <w:rsid w:val="00FE5BF3"/>
    <w:rsid w:val="00FE5D3C"/>
    <w:rsid w:val="00FE5D61"/>
    <w:rsid w:val="00FE5F1D"/>
    <w:rsid w:val="00FE5FC8"/>
    <w:rsid w:val="00FE725C"/>
    <w:rsid w:val="00FE76AB"/>
    <w:rsid w:val="00FE7821"/>
    <w:rsid w:val="00FE7C86"/>
    <w:rsid w:val="00FF0A80"/>
    <w:rsid w:val="00FF0B12"/>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uiPriority w:val="20"/>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uiPriority w:val="20"/>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3948145">
      <w:bodyDiv w:val="1"/>
      <w:marLeft w:val="0"/>
      <w:marRight w:val="0"/>
      <w:marTop w:val="0"/>
      <w:marBottom w:val="0"/>
      <w:divBdr>
        <w:top w:val="none" w:sz="0" w:space="0" w:color="auto"/>
        <w:left w:val="none" w:sz="0" w:space="0" w:color="auto"/>
        <w:bottom w:val="none" w:sz="0" w:space="0" w:color="auto"/>
        <w:right w:val="none" w:sz="0" w:space="0" w:color="auto"/>
      </w:divBdr>
    </w:div>
    <w:div w:id="208425047">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479005821">
      <w:bodyDiv w:val="1"/>
      <w:marLeft w:val="0"/>
      <w:marRight w:val="0"/>
      <w:marTop w:val="0"/>
      <w:marBottom w:val="0"/>
      <w:divBdr>
        <w:top w:val="none" w:sz="0" w:space="0" w:color="auto"/>
        <w:left w:val="none" w:sz="0" w:space="0" w:color="auto"/>
        <w:bottom w:val="none" w:sz="0" w:space="0" w:color="auto"/>
        <w:right w:val="none" w:sz="0" w:space="0" w:color="auto"/>
      </w:divBdr>
    </w:div>
    <w:div w:id="565192339">
      <w:bodyDiv w:val="1"/>
      <w:marLeft w:val="0"/>
      <w:marRight w:val="0"/>
      <w:marTop w:val="0"/>
      <w:marBottom w:val="0"/>
      <w:divBdr>
        <w:top w:val="none" w:sz="0" w:space="0" w:color="auto"/>
        <w:left w:val="none" w:sz="0" w:space="0" w:color="auto"/>
        <w:bottom w:val="none" w:sz="0" w:space="0" w:color="auto"/>
        <w:right w:val="none" w:sz="0" w:space="0" w:color="auto"/>
      </w:divBdr>
    </w:div>
    <w:div w:id="569536904">
      <w:bodyDiv w:val="1"/>
      <w:marLeft w:val="0"/>
      <w:marRight w:val="0"/>
      <w:marTop w:val="0"/>
      <w:marBottom w:val="0"/>
      <w:divBdr>
        <w:top w:val="none" w:sz="0" w:space="0" w:color="auto"/>
        <w:left w:val="none" w:sz="0" w:space="0" w:color="auto"/>
        <w:bottom w:val="none" w:sz="0" w:space="0" w:color="auto"/>
        <w:right w:val="none" w:sz="0" w:space="0" w:color="auto"/>
      </w:divBdr>
    </w:div>
    <w:div w:id="591359552">
      <w:bodyDiv w:val="1"/>
      <w:marLeft w:val="0"/>
      <w:marRight w:val="0"/>
      <w:marTop w:val="0"/>
      <w:marBottom w:val="0"/>
      <w:divBdr>
        <w:top w:val="none" w:sz="0" w:space="0" w:color="auto"/>
        <w:left w:val="none" w:sz="0" w:space="0" w:color="auto"/>
        <w:bottom w:val="none" w:sz="0" w:space="0" w:color="auto"/>
        <w:right w:val="none" w:sz="0" w:space="0" w:color="auto"/>
      </w:divBdr>
    </w:div>
    <w:div w:id="592007635">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29630957">
      <w:bodyDiv w:val="1"/>
      <w:marLeft w:val="0"/>
      <w:marRight w:val="0"/>
      <w:marTop w:val="0"/>
      <w:marBottom w:val="0"/>
      <w:divBdr>
        <w:top w:val="none" w:sz="0" w:space="0" w:color="auto"/>
        <w:left w:val="none" w:sz="0" w:space="0" w:color="auto"/>
        <w:bottom w:val="none" w:sz="0" w:space="0" w:color="auto"/>
        <w:right w:val="none" w:sz="0" w:space="0" w:color="auto"/>
      </w:divBdr>
    </w:div>
    <w:div w:id="802845788">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72760292">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09941786">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5281813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446382348">
      <w:bodyDiv w:val="1"/>
      <w:marLeft w:val="0"/>
      <w:marRight w:val="0"/>
      <w:marTop w:val="0"/>
      <w:marBottom w:val="0"/>
      <w:divBdr>
        <w:top w:val="none" w:sz="0" w:space="0" w:color="auto"/>
        <w:left w:val="none" w:sz="0" w:space="0" w:color="auto"/>
        <w:bottom w:val="none" w:sz="0" w:space="0" w:color="auto"/>
        <w:right w:val="none" w:sz="0" w:space="0" w:color="auto"/>
      </w:divBdr>
    </w:div>
    <w:div w:id="1513030798">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38663169">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7449491">
      <w:bodyDiv w:val="1"/>
      <w:marLeft w:val="0"/>
      <w:marRight w:val="0"/>
      <w:marTop w:val="0"/>
      <w:marBottom w:val="0"/>
      <w:divBdr>
        <w:top w:val="none" w:sz="0" w:space="0" w:color="auto"/>
        <w:left w:val="none" w:sz="0" w:space="0" w:color="auto"/>
        <w:bottom w:val="none" w:sz="0" w:space="0" w:color="auto"/>
        <w:right w:val="none" w:sz="0" w:space="0" w:color="auto"/>
      </w:divBdr>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58750240">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7757174">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chart" Target="charts/chart8.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chart" Target="charts/chart7.xm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theme" Target="theme/theme1.xml"/><Relationship Id="rId10" Type="http://schemas.openxmlformats.org/officeDocument/2006/relationships/chart" Target="charts/chart1.xml"/><Relationship Id="rId19" Type="http://schemas.openxmlformats.org/officeDocument/2006/relationships/chart" Target="charts/chart9.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2.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43910</c:v>
                </c:pt>
                <c:pt idx="1">
                  <c:v>43917</c:v>
                </c:pt>
                <c:pt idx="2">
                  <c:v>43924</c:v>
                </c:pt>
                <c:pt idx="3">
                  <c:v>43931</c:v>
                </c:pt>
                <c:pt idx="4">
                  <c:v>43938</c:v>
                </c:pt>
                <c:pt idx="5">
                  <c:v>43945</c:v>
                </c:pt>
                <c:pt idx="6">
                  <c:v>43952</c:v>
                </c:pt>
                <c:pt idx="7">
                  <c:v>43959</c:v>
                </c:pt>
                <c:pt idx="8">
                  <c:v>43966</c:v>
                </c:pt>
                <c:pt idx="9">
                  <c:v>43973</c:v>
                </c:pt>
                <c:pt idx="10">
                  <c:v>43980</c:v>
                </c:pt>
                <c:pt idx="11">
                  <c:v>43987</c:v>
                </c:pt>
                <c:pt idx="12">
                  <c:v>43994</c:v>
                </c:pt>
                <c:pt idx="13">
                  <c:v>44001</c:v>
                </c:pt>
                <c:pt idx="14">
                  <c:v>44008</c:v>
                </c:pt>
                <c:pt idx="15">
                  <c:v>44015</c:v>
                </c:pt>
                <c:pt idx="16">
                  <c:v>44022</c:v>
                </c:pt>
                <c:pt idx="17">
                  <c:v>44029</c:v>
                </c:pt>
                <c:pt idx="18">
                  <c:v>44036</c:v>
                </c:pt>
                <c:pt idx="19">
                  <c:v>44043</c:v>
                </c:pt>
                <c:pt idx="20">
                  <c:v>44050</c:v>
                </c:pt>
                <c:pt idx="21">
                  <c:v>44057</c:v>
                </c:pt>
                <c:pt idx="22">
                  <c:v>44064</c:v>
                </c:pt>
              </c:numCache>
            </c:numRef>
          </c:cat>
          <c:val>
            <c:numRef>
              <c:f>央行!$B$5:$B$27</c:f>
              <c:numCache>
                <c:formatCode>###,###,###,###,##0.00</c:formatCode>
                <c:ptCount val="23"/>
                <c:pt idx="0">
                  <c:v>0</c:v>
                </c:pt>
                <c:pt idx="1">
                  <c:v>60</c:v>
                </c:pt>
                <c:pt idx="2">
                  <c:v>700</c:v>
                </c:pt>
                <c:pt idx="3">
                  <c:v>0</c:v>
                </c:pt>
                <c:pt idx="4">
                  <c:v>0</c:v>
                </c:pt>
                <c:pt idx="5">
                  <c:v>60</c:v>
                </c:pt>
                <c:pt idx="6">
                  <c:v>0</c:v>
                </c:pt>
                <c:pt idx="7">
                  <c:v>0</c:v>
                </c:pt>
                <c:pt idx="8">
                  <c:v>0</c:v>
                </c:pt>
                <c:pt idx="9">
                  <c:v>0</c:v>
                </c:pt>
                <c:pt idx="10">
                  <c:v>6750</c:v>
                </c:pt>
                <c:pt idx="11">
                  <c:v>2200</c:v>
                </c:pt>
                <c:pt idx="12">
                  <c:v>4200</c:v>
                </c:pt>
                <c:pt idx="13">
                  <c:v>3000</c:v>
                </c:pt>
                <c:pt idx="14">
                  <c:v>5050</c:v>
                </c:pt>
                <c:pt idx="15">
                  <c:v>1025</c:v>
                </c:pt>
                <c:pt idx="16">
                  <c:v>0</c:v>
                </c:pt>
                <c:pt idx="17">
                  <c:v>3300</c:v>
                </c:pt>
                <c:pt idx="18">
                  <c:v>1650</c:v>
                </c:pt>
                <c:pt idx="19">
                  <c:v>2800</c:v>
                </c:pt>
                <c:pt idx="20">
                  <c:v>100</c:v>
                </c:pt>
                <c:pt idx="21">
                  <c:v>5000</c:v>
                </c:pt>
                <c:pt idx="22">
                  <c:v>6600</c:v>
                </c:pt>
              </c:numCache>
            </c:numRef>
          </c:val>
          <c:extLst xmlns:c16r2="http://schemas.microsoft.com/office/drawing/2015/06/chart">
            <c:ext xmlns:c16="http://schemas.microsoft.com/office/drawing/2014/chart" uri="{C3380CC4-5D6E-409C-BE32-E72D297353CC}">
              <c16:uniqueId val="{00000000-D477-4E65-BE78-16E534123FEC}"/>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43910</c:v>
                </c:pt>
                <c:pt idx="1">
                  <c:v>43917</c:v>
                </c:pt>
                <c:pt idx="2">
                  <c:v>43924</c:v>
                </c:pt>
                <c:pt idx="3">
                  <c:v>43931</c:v>
                </c:pt>
                <c:pt idx="4">
                  <c:v>43938</c:v>
                </c:pt>
                <c:pt idx="5">
                  <c:v>43945</c:v>
                </c:pt>
                <c:pt idx="6">
                  <c:v>43952</c:v>
                </c:pt>
                <c:pt idx="7">
                  <c:v>43959</c:v>
                </c:pt>
                <c:pt idx="8">
                  <c:v>43966</c:v>
                </c:pt>
                <c:pt idx="9">
                  <c:v>43973</c:v>
                </c:pt>
                <c:pt idx="10">
                  <c:v>43980</c:v>
                </c:pt>
                <c:pt idx="11">
                  <c:v>43987</c:v>
                </c:pt>
                <c:pt idx="12">
                  <c:v>43994</c:v>
                </c:pt>
                <c:pt idx="13">
                  <c:v>44001</c:v>
                </c:pt>
                <c:pt idx="14">
                  <c:v>44008</c:v>
                </c:pt>
                <c:pt idx="15">
                  <c:v>44015</c:v>
                </c:pt>
                <c:pt idx="16">
                  <c:v>44022</c:v>
                </c:pt>
                <c:pt idx="17">
                  <c:v>44029</c:v>
                </c:pt>
                <c:pt idx="18">
                  <c:v>44036</c:v>
                </c:pt>
                <c:pt idx="19">
                  <c:v>44043</c:v>
                </c:pt>
                <c:pt idx="20">
                  <c:v>44050</c:v>
                </c:pt>
                <c:pt idx="21">
                  <c:v>44057</c:v>
                </c:pt>
                <c:pt idx="22">
                  <c:v>44064</c:v>
                </c:pt>
              </c:numCache>
            </c:numRef>
          </c:cat>
          <c:val>
            <c:numRef>
              <c:f>央行!$C$5:$C$27</c:f>
              <c:numCache>
                <c:formatCode>###,###,###,###,##0.00</c:formatCode>
                <c:ptCount val="23"/>
                <c:pt idx="0">
                  <c:v>0</c:v>
                </c:pt>
                <c:pt idx="1">
                  <c:v>-50</c:v>
                </c:pt>
                <c:pt idx="2">
                  <c:v>0</c:v>
                </c:pt>
                <c:pt idx="3">
                  <c:v>-700</c:v>
                </c:pt>
                <c:pt idx="4">
                  <c:v>0</c:v>
                </c:pt>
                <c:pt idx="5">
                  <c:v>-50</c:v>
                </c:pt>
                <c:pt idx="6">
                  <c:v>0</c:v>
                </c:pt>
                <c:pt idx="7">
                  <c:v>0</c:v>
                </c:pt>
                <c:pt idx="8">
                  <c:v>0</c:v>
                </c:pt>
                <c:pt idx="9">
                  <c:v>0</c:v>
                </c:pt>
                <c:pt idx="10">
                  <c:v>-50</c:v>
                </c:pt>
                <c:pt idx="11">
                  <c:v>-6700</c:v>
                </c:pt>
                <c:pt idx="12">
                  <c:v>-2200</c:v>
                </c:pt>
                <c:pt idx="13">
                  <c:v>-4200</c:v>
                </c:pt>
                <c:pt idx="14">
                  <c:v>-1200</c:v>
                </c:pt>
                <c:pt idx="15">
                  <c:v>-4950</c:v>
                </c:pt>
                <c:pt idx="16">
                  <c:v>-2900</c:v>
                </c:pt>
                <c:pt idx="17">
                  <c:v>0</c:v>
                </c:pt>
                <c:pt idx="18">
                  <c:v>-3300</c:v>
                </c:pt>
                <c:pt idx="19">
                  <c:v>-1650</c:v>
                </c:pt>
                <c:pt idx="20">
                  <c:v>-2800</c:v>
                </c:pt>
                <c:pt idx="21">
                  <c:v>-100</c:v>
                </c:pt>
                <c:pt idx="22">
                  <c:v>-5000</c:v>
                </c:pt>
              </c:numCache>
            </c:numRef>
          </c:val>
          <c:extLst xmlns:c16r2="http://schemas.microsoft.com/office/drawing/2015/06/chart">
            <c:ext xmlns:c16="http://schemas.microsoft.com/office/drawing/2014/chart" uri="{C3380CC4-5D6E-409C-BE32-E72D297353CC}">
              <c16:uniqueId val="{00000001-D477-4E65-BE78-16E534123FEC}"/>
            </c:ext>
          </c:extLst>
        </c:ser>
        <c:dLbls>
          <c:showLegendKey val="0"/>
          <c:showVal val="0"/>
          <c:showCatName val="0"/>
          <c:showSerName val="0"/>
          <c:showPercent val="0"/>
          <c:showBubbleSize val="0"/>
        </c:dLbls>
        <c:gapWidth val="150"/>
        <c:overlap val="100"/>
        <c:axId val="231051648"/>
        <c:axId val="231053568"/>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43910</c:v>
                </c:pt>
                <c:pt idx="1">
                  <c:v>43917</c:v>
                </c:pt>
                <c:pt idx="2">
                  <c:v>43924</c:v>
                </c:pt>
                <c:pt idx="3">
                  <c:v>43931</c:v>
                </c:pt>
                <c:pt idx="4">
                  <c:v>43938</c:v>
                </c:pt>
                <c:pt idx="5">
                  <c:v>43945</c:v>
                </c:pt>
                <c:pt idx="6">
                  <c:v>43952</c:v>
                </c:pt>
                <c:pt idx="7">
                  <c:v>43959</c:v>
                </c:pt>
                <c:pt idx="8">
                  <c:v>43966</c:v>
                </c:pt>
                <c:pt idx="9">
                  <c:v>43973</c:v>
                </c:pt>
                <c:pt idx="10">
                  <c:v>43980</c:v>
                </c:pt>
                <c:pt idx="11">
                  <c:v>43987</c:v>
                </c:pt>
                <c:pt idx="12">
                  <c:v>43994</c:v>
                </c:pt>
                <c:pt idx="13">
                  <c:v>44001</c:v>
                </c:pt>
                <c:pt idx="14">
                  <c:v>44008</c:v>
                </c:pt>
                <c:pt idx="15">
                  <c:v>44015</c:v>
                </c:pt>
                <c:pt idx="16">
                  <c:v>44022</c:v>
                </c:pt>
                <c:pt idx="17">
                  <c:v>44029</c:v>
                </c:pt>
                <c:pt idx="18">
                  <c:v>44036</c:v>
                </c:pt>
                <c:pt idx="19">
                  <c:v>44043</c:v>
                </c:pt>
                <c:pt idx="20">
                  <c:v>44050</c:v>
                </c:pt>
                <c:pt idx="21">
                  <c:v>44057</c:v>
                </c:pt>
                <c:pt idx="22">
                  <c:v>44064</c:v>
                </c:pt>
              </c:numCache>
            </c:numRef>
          </c:cat>
          <c:val>
            <c:numRef>
              <c:f>央行!$D$5:$D$27</c:f>
              <c:numCache>
                <c:formatCode>###,###,###,###,##0.00</c:formatCode>
                <c:ptCount val="23"/>
                <c:pt idx="0">
                  <c:v>0</c:v>
                </c:pt>
                <c:pt idx="1">
                  <c:v>10</c:v>
                </c:pt>
                <c:pt idx="2">
                  <c:v>700</c:v>
                </c:pt>
                <c:pt idx="3">
                  <c:v>-700</c:v>
                </c:pt>
                <c:pt idx="4">
                  <c:v>0</c:v>
                </c:pt>
                <c:pt idx="5">
                  <c:v>10</c:v>
                </c:pt>
                <c:pt idx="6">
                  <c:v>0</c:v>
                </c:pt>
                <c:pt idx="7">
                  <c:v>0</c:v>
                </c:pt>
                <c:pt idx="8">
                  <c:v>0</c:v>
                </c:pt>
                <c:pt idx="9">
                  <c:v>0</c:v>
                </c:pt>
                <c:pt idx="10">
                  <c:v>6700</c:v>
                </c:pt>
                <c:pt idx="11">
                  <c:v>-4500</c:v>
                </c:pt>
                <c:pt idx="12">
                  <c:v>2000</c:v>
                </c:pt>
                <c:pt idx="13">
                  <c:v>-1200</c:v>
                </c:pt>
                <c:pt idx="14">
                  <c:v>3850</c:v>
                </c:pt>
                <c:pt idx="15">
                  <c:v>-3925</c:v>
                </c:pt>
                <c:pt idx="16">
                  <c:v>-2900</c:v>
                </c:pt>
                <c:pt idx="17">
                  <c:v>3300</c:v>
                </c:pt>
                <c:pt idx="18">
                  <c:v>-1650</c:v>
                </c:pt>
                <c:pt idx="19">
                  <c:v>1150</c:v>
                </c:pt>
                <c:pt idx="20">
                  <c:v>-2700</c:v>
                </c:pt>
                <c:pt idx="21">
                  <c:v>4900</c:v>
                </c:pt>
                <c:pt idx="22">
                  <c:v>1600</c:v>
                </c:pt>
              </c:numCache>
            </c:numRef>
          </c:val>
          <c:smooth val="0"/>
          <c:extLst xmlns:c16r2="http://schemas.microsoft.com/office/drawing/2015/06/chart">
            <c:ext xmlns:c16="http://schemas.microsoft.com/office/drawing/2014/chart" uri="{C3380CC4-5D6E-409C-BE32-E72D297353CC}">
              <c16:uniqueId val="{00000002-D477-4E65-BE78-16E534123FEC}"/>
            </c:ext>
          </c:extLst>
        </c:ser>
        <c:dLbls>
          <c:showLegendKey val="0"/>
          <c:showVal val="0"/>
          <c:showCatName val="0"/>
          <c:showSerName val="0"/>
          <c:showPercent val="0"/>
          <c:showBubbleSize val="0"/>
        </c:dLbls>
        <c:marker val="1"/>
        <c:smooth val="0"/>
        <c:axId val="231051648"/>
        <c:axId val="231053568"/>
      </c:lineChart>
      <c:catAx>
        <c:axId val="23105164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31053568"/>
        <c:crosses val="autoZero"/>
        <c:auto val="0"/>
        <c:lblAlgn val="ctr"/>
        <c:lblOffset val="0"/>
        <c:tickMarkSkip val="2"/>
        <c:noMultiLvlLbl val="0"/>
      </c:catAx>
      <c:valAx>
        <c:axId val="231053568"/>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31051648"/>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90856714785651804"/>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44064</c:v>
                </c:pt>
                <c:pt idx="1">
                  <c:v>44063</c:v>
                </c:pt>
                <c:pt idx="2">
                  <c:v>44062</c:v>
                </c:pt>
                <c:pt idx="3">
                  <c:v>44061</c:v>
                </c:pt>
                <c:pt idx="4">
                  <c:v>44060</c:v>
                </c:pt>
                <c:pt idx="5">
                  <c:v>44057</c:v>
                </c:pt>
                <c:pt idx="6">
                  <c:v>44056</c:v>
                </c:pt>
                <c:pt idx="7">
                  <c:v>44055</c:v>
                </c:pt>
                <c:pt idx="8">
                  <c:v>44054</c:v>
                </c:pt>
                <c:pt idx="9">
                  <c:v>44053</c:v>
                </c:pt>
                <c:pt idx="10">
                  <c:v>44050</c:v>
                </c:pt>
                <c:pt idx="11">
                  <c:v>44049</c:v>
                </c:pt>
                <c:pt idx="12">
                  <c:v>44048</c:v>
                </c:pt>
                <c:pt idx="13">
                  <c:v>44047</c:v>
                </c:pt>
                <c:pt idx="14">
                  <c:v>44046</c:v>
                </c:pt>
                <c:pt idx="15">
                  <c:v>44043</c:v>
                </c:pt>
                <c:pt idx="16">
                  <c:v>44042</c:v>
                </c:pt>
                <c:pt idx="17">
                  <c:v>44041</c:v>
                </c:pt>
                <c:pt idx="18">
                  <c:v>44040</c:v>
                </c:pt>
                <c:pt idx="19">
                  <c:v>44039</c:v>
                </c:pt>
                <c:pt idx="20">
                  <c:v>44036</c:v>
                </c:pt>
                <c:pt idx="21">
                  <c:v>44035</c:v>
                </c:pt>
                <c:pt idx="22">
                  <c:v>44034</c:v>
                </c:pt>
                <c:pt idx="23">
                  <c:v>44033</c:v>
                </c:pt>
                <c:pt idx="24">
                  <c:v>44032</c:v>
                </c:pt>
                <c:pt idx="25">
                  <c:v>44029</c:v>
                </c:pt>
                <c:pt idx="26">
                  <c:v>44028</c:v>
                </c:pt>
                <c:pt idx="27">
                  <c:v>44027</c:v>
                </c:pt>
                <c:pt idx="28">
                  <c:v>44026</c:v>
                </c:pt>
                <c:pt idx="29">
                  <c:v>44025</c:v>
                </c:pt>
                <c:pt idx="30">
                  <c:v>44022</c:v>
                </c:pt>
                <c:pt idx="31">
                  <c:v>44021</c:v>
                </c:pt>
                <c:pt idx="32">
                  <c:v>44020</c:v>
                </c:pt>
                <c:pt idx="33">
                  <c:v>44019</c:v>
                </c:pt>
                <c:pt idx="34">
                  <c:v>44018</c:v>
                </c:pt>
                <c:pt idx="35">
                  <c:v>44015</c:v>
                </c:pt>
                <c:pt idx="36">
                  <c:v>44014</c:v>
                </c:pt>
                <c:pt idx="37">
                  <c:v>44013</c:v>
                </c:pt>
                <c:pt idx="38">
                  <c:v>44012</c:v>
                </c:pt>
                <c:pt idx="39">
                  <c:v>44011</c:v>
                </c:pt>
                <c:pt idx="40">
                  <c:v>44010</c:v>
                </c:pt>
                <c:pt idx="41">
                  <c:v>44006</c:v>
                </c:pt>
                <c:pt idx="42">
                  <c:v>44005</c:v>
                </c:pt>
                <c:pt idx="43">
                  <c:v>44004</c:v>
                </c:pt>
                <c:pt idx="44">
                  <c:v>44001</c:v>
                </c:pt>
                <c:pt idx="45">
                  <c:v>44000</c:v>
                </c:pt>
                <c:pt idx="46">
                  <c:v>43999</c:v>
                </c:pt>
                <c:pt idx="47">
                  <c:v>43998</c:v>
                </c:pt>
                <c:pt idx="48">
                  <c:v>43997</c:v>
                </c:pt>
                <c:pt idx="49">
                  <c:v>43994</c:v>
                </c:pt>
                <c:pt idx="50">
                  <c:v>43993</c:v>
                </c:pt>
                <c:pt idx="51">
                  <c:v>43992</c:v>
                </c:pt>
                <c:pt idx="52">
                  <c:v>43991</c:v>
                </c:pt>
                <c:pt idx="53">
                  <c:v>43990</c:v>
                </c:pt>
                <c:pt idx="54">
                  <c:v>43987</c:v>
                </c:pt>
                <c:pt idx="55">
                  <c:v>43986</c:v>
                </c:pt>
                <c:pt idx="56">
                  <c:v>43985</c:v>
                </c:pt>
                <c:pt idx="57">
                  <c:v>43984</c:v>
                </c:pt>
                <c:pt idx="58">
                  <c:v>43983</c:v>
                </c:pt>
              </c:numCache>
            </c:numRef>
          </c:cat>
          <c:val>
            <c:numRef>
              <c:f>资金!$B$3:$B$61</c:f>
              <c:numCache>
                <c:formatCode>###,###,###,###,##0.0000</c:formatCode>
                <c:ptCount val="59"/>
                <c:pt idx="0">
                  <c:v>2.3462000000000001</c:v>
                </c:pt>
                <c:pt idx="1">
                  <c:v>2.2711000000000001</c:v>
                </c:pt>
                <c:pt idx="2">
                  <c:v>2.2111999999999998</c:v>
                </c:pt>
                <c:pt idx="3">
                  <c:v>2.1659000000000002</c:v>
                </c:pt>
                <c:pt idx="4">
                  <c:v>2.1669</c:v>
                </c:pt>
                <c:pt idx="5">
                  <c:v>2.2214999999999998</c:v>
                </c:pt>
                <c:pt idx="6">
                  <c:v>2.2246000000000001</c:v>
                </c:pt>
                <c:pt idx="7">
                  <c:v>2.2063999999999999</c:v>
                </c:pt>
                <c:pt idx="8">
                  <c:v>2.2568999999999999</c:v>
                </c:pt>
                <c:pt idx="9">
                  <c:v>2.1943000000000001</c:v>
                </c:pt>
                <c:pt idx="10">
                  <c:v>2.1122000000000001</c:v>
                </c:pt>
                <c:pt idx="11">
                  <c:v>1.7108000000000001</c:v>
                </c:pt>
                <c:pt idx="12">
                  <c:v>1.7210000000000001</c:v>
                </c:pt>
                <c:pt idx="13">
                  <c:v>1.96</c:v>
                </c:pt>
                <c:pt idx="14">
                  <c:v>1.6277999999999999</c:v>
                </c:pt>
                <c:pt idx="15">
                  <c:v>1.921</c:v>
                </c:pt>
                <c:pt idx="16">
                  <c:v>1.4155</c:v>
                </c:pt>
                <c:pt idx="17">
                  <c:v>1.4807999999999999</c:v>
                </c:pt>
                <c:pt idx="18">
                  <c:v>1.7774000000000001</c:v>
                </c:pt>
                <c:pt idx="19">
                  <c:v>2.0301999999999998</c:v>
                </c:pt>
                <c:pt idx="20">
                  <c:v>1.8781000000000001</c:v>
                </c:pt>
                <c:pt idx="21">
                  <c:v>1.9132</c:v>
                </c:pt>
                <c:pt idx="22">
                  <c:v>1.3838999999999999</c:v>
                </c:pt>
                <c:pt idx="23">
                  <c:v>1.5924</c:v>
                </c:pt>
                <c:pt idx="24">
                  <c:v>1.9733000000000001</c:v>
                </c:pt>
                <c:pt idx="25">
                  <c:v>2.3995000000000002</c:v>
                </c:pt>
                <c:pt idx="26">
                  <c:v>2.3612000000000002</c:v>
                </c:pt>
                <c:pt idx="27">
                  <c:v>2.0855999999999999</c:v>
                </c:pt>
                <c:pt idx="28">
                  <c:v>1.7021999999999999</c:v>
                </c:pt>
                <c:pt idx="29">
                  <c:v>2.1414</c:v>
                </c:pt>
                <c:pt idx="30">
                  <c:v>2.2174</c:v>
                </c:pt>
                <c:pt idx="31">
                  <c:v>2.2547999999999999</c:v>
                </c:pt>
                <c:pt idx="32">
                  <c:v>2.1366000000000001</c:v>
                </c:pt>
                <c:pt idx="33">
                  <c:v>1.7793000000000001</c:v>
                </c:pt>
                <c:pt idx="34">
                  <c:v>1.4025000000000001</c:v>
                </c:pt>
                <c:pt idx="35">
                  <c:v>1.4065000000000001</c:v>
                </c:pt>
                <c:pt idx="36">
                  <c:v>1.7667999999999999</c:v>
                </c:pt>
                <c:pt idx="37">
                  <c:v>2.0270999999999999</c:v>
                </c:pt>
                <c:pt idx="38">
                  <c:v>2.2993999999999999</c:v>
                </c:pt>
                <c:pt idx="39">
                  <c:v>1.0634999999999999</c:v>
                </c:pt>
                <c:pt idx="40">
                  <c:v>1.0626</c:v>
                </c:pt>
                <c:pt idx="41">
                  <c:v>1.4907999999999999</c:v>
                </c:pt>
                <c:pt idx="42">
                  <c:v>1.9904999999999999</c:v>
                </c:pt>
                <c:pt idx="43">
                  <c:v>2.1852999999999998</c:v>
                </c:pt>
                <c:pt idx="44">
                  <c:v>2.1818</c:v>
                </c:pt>
                <c:pt idx="45">
                  <c:v>2.1688999999999998</c:v>
                </c:pt>
                <c:pt idx="46">
                  <c:v>2.1088</c:v>
                </c:pt>
                <c:pt idx="47">
                  <c:v>1.8025</c:v>
                </c:pt>
                <c:pt idx="48">
                  <c:v>1.5213000000000001</c:v>
                </c:pt>
                <c:pt idx="49">
                  <c:v>1.5598000000000001</c:v>
                </c:pt>
                <c:pt idx="50">
                  <c:v>1.7955000000000001</c:v>
                </c:pt>
                <c:pt idx="51">
                  <c:v>1.8873</c:v>
                </c:pt>
                <c:pt idx="52">
                  <c:v>1.883</c:v>
                </c:pt>
                <c:pt idx="53">
                  <c:v>1.9269000000000001</c:v>
                </c:pt>
                <c:pt idx="54">
                  <c:v>1.6131</c:v>
                </c:pt>
                <c:pt idx="55">
                  <c:v>1.9869000000000001</c:v>
                </c:pt>
                <c:pt idx="56">
                  <c:v>1.9258999999999999</c:v>
                </c:pt>
                <c:pt idx="57">
                  <c:v>1.5313000000000001</c:v>
                </c:pt>
                <c:pt idx="58">
                  <c:v>1.6446000000000001</c:v>
                </c:pt>
              </c:numCache>
            </c:numRef>
          </c:val>
          <c:smooth val="1"/>
          <c:extLst xmlns:c16r2="http://schemas.microsoft.com/office/drawing/2015/06/chart">
            <c:ext xmlns:c16="http://schemas.microsoft.com/office/drawing/2014/chart" uri="{C3380CC4-5D6E-409C-BE32-E72D297353CC}">
              <c16:uniqueId val="{00000000-EF0D-4CFC-A141-254269A7849F}"/>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44064</c:v>
                </c:pt>
                <c:pt idx="1">
                  <c:v>44063</c:v>
                </c:pt>
                <c:pt idx="2">
                  <c:v>44062</c:v>
                </c:pt>
                <c:pt idx="3">
                  <c:v>44061</c:v>
                </c:pt>
                <c:pt idx="4">
                  <c:v>44060</c:v>
                </c:pt>
                <c:pt idx="5">
                  <c:v>44057</c:v>
                </c:pt>
                <c:pt idx="6">
                  <c:v>44056</c:v>
                </c:pt>
                <c:pt idx="7">
                  <c:v>44055</c:v>
                </c:pt>
                <c:pt idx="8">
                  <c:v>44054</c:v>
                </c:pt>
                <c:pt idx="9">
                  <c:v>44053</c:v>
                </c:pt>
                <c:pt idx="10">
                  <c:v>44050</c:v>
                </c:pt>
                <c:pt idx="11">
                  <c:v>44049</c:v>
                </c:pt>
                <c:pt idx="12">
                  <c:v>44048</c:v>
                </c:pt>
                <c:pt idx="13">
                  <c:v>44047</c:v>
                </c:pt>
                <c:pt idx="14">
                  <c:v>44046</c:v>
                </c:pt>
                <c:pt idx="15">
                  <c:v>44043</c:v>
                </c:pt>
                <c:pt idx="16">
                  <c:v>44042</c:v>
                </c:pt>
                <c:pt idx="17">
                  <c:v>44041</c:v>
                </c:pt>
                <c:pt idx="18">
                  <c:v>44040</c:v>
                </c:pt>
                <c:pt idx="19">
                  <c:v>44039</c:v>
                </c:pt>
                <c:pt idx="20">
                  <c:v>44036</c:v>
                </c:pt>
                <c:pt idx="21">
                  <c:v>44035</c:v>
                </c:pt>
                <c:pt idx="22">
                  <c:v>44034</c:v>
                </c:pt>
                <c:pt idx="23">
                  <c:v>44033</c:v>
                </c:pt>
                <c:pt idx="24">
                  <c:v>44032</c:v>
                </c:pt>
                <c:pt idx="25">
                  <c:v>44029</c:v>
                </c:pt>
                <c:pt idx="26">
                  <c:v>44028</c:v>
                </c:pt>
                <c:pt idx="27">
                  <c:v>44027</c:v>
                </c:pt>
                <c:pt idx="28">
                  <c:v>44026</c:v>
                </c:pt>
                <c:pt idx="29">
                  <c:v>44025</c:v>
                </c:pt>
                <c:pt idx="30">
                  <c:v>44022</c:v>
                </c:pt>
                <c:pt idx="31">
                  <c:v>44021</c:v>
                </c:pt>
                <c:pt idx="32">
                  <c:v>44020</c:v>
                </c:pt>
                <c:pt idx="33">
                  <c:v>44019</c:v>
                </c:pt>
                <c:pt idx="34">
                  <c:v>44018</c:v>
                </c:pt>
                <c:pt idx="35">
                  <c:v>44015</c:v>
                </c:pt>
                <c:pt idx="36">
                  <c:v>44014</c:v>
                </c:pt>
                <c:pt idx="37">
                  <c:v>44013</c:v>
                </c:pt>
                <c:pt idx="38">
                  <c:v>44012</c:v>
                </c:pt>
                <c:pt idx="39">
                  <c:v>44011</c:v>
                </c:pt>
                <c:pt idx="40">
                  <c:v>44010</c:v>
                </c:pt>
                <c:pt idx="41">
                  <c:v>44006</c:v>
                </c:pt>
                <c:pt idx="42">
                  <c:v>44005</c:v>
                </c:pt>
                <c:pt idx="43">
                  <c:v>44004</c:v>
                </c:pt>
                <c:pt idx="44">
                  <c:v>44001</c:v>
                </c:pt>
                <c:pt idx="45">
                  <c:v>44000</c:v>
                </c:pt>
                <c:pt idx="46">
                  <c:v>43999</c:v>
                </c:pt>
                <c:pt idx="47">
                  <c:v>43998</c:v>
                </c:pt>
                <c:pt idx="48">
                  <c:v>43997</c:v>
                </c:pt>
                <c:pt idx="49">
                  <c:v>43994</c:v>
                </c:pt>
                <c:pt idx="50">
                  <c:v>43993</c:v>
                </c:pt>
                <c:pt idx="51">
                  <c:v>43992</c:v>
                </c:pt>
                <c:pt idx="52">
                  <c:v>43991</c:v>
                </c:pt>
                <c:pt idx="53">
                  <c:v>43990</c:v>
                </c:pt>
                <c:pt idx="54">
                  <c:v>43987</c:v>
                </c:pt>
                <c:pt idx="55">
                  <c:v>43986</c:v>
                </c:pt>
                <c:pt idx="56">
                  <c:v>43985</c:v>
                </c:pt>
                <c:pt idx="57">
                  <c:v>43984</c:v>
                </c:pt>
                <c:pt idx="58">
                  <c:v>43983</c:v>
                </c:pt>
              </c:numCache>
            </c:numRef>
          </c:cat>
          <c:val>
            <c:numRef>
              <c:f>资金!$C$3:$C$61</c:f>
              <c:numCache>
                <c:formatCode>###,###,###,###,##0.0000</c:formatCode>
                <c:ptCount val="59"/>
                <c:pt idx="0">
                  <c:v>2.5731999999999999</c:v>
                </c:pt>
                <c:pt idx="1">
                  <c:v>2.4491000000000001</c:v>
                </c:pt>
                <c:pt idx="2">
                  <c:v>2.3744999999999998</c:v>
                </c:pt>
                <c:pt idx="3">
                  <c:v>2.3515999999999999</c:v>
                </c:pt>
                <c:pt idx="4">
                  <c:v>2.3788999999999998</c:v>
                </c:pt>
                <c:pt idx="5">
                  <c:v>2.3742999999999999</c:v>
                </c:pt>
                <c:pt idx="6">
                  <c:v>2.3693</c:v>
                </c:pt>
                <c:pt idx="7">
                  <c:v>2.3672</c:v>
                </c:pt>
                <c:pt idx="8">
                  <c:v>2.3639000000000001</c:v>
                </c:pt>
                <c:pt idx="9">
                  <c:v>2.2854000000000001</c:v>
                </c:pt>
                <c:pt idx="10">
                  <c:v>2.2219000000000002</c:v>
                </c:pt>
                <c:pt idx="11">
                  <c:v>2.1051000000000002</c:v>
                </c:pt>
                <c:pt idx="12">
                  <c:v>2.1356000000000002</c:v>
                </c:pt>
                <c:pt idx="13">
                  <c:v>2.1785000000000001</c:v>
                </c:pt>
                <c:pt idx="14">
                  <c:v>2.1398000000000001</c:v>
                </c:pt>
                <c:pt idx="15">
                  <c:v>2.3254000000000001</c:v>
                </c:pt>
                <c:pt idx="16">
                  <c:v>2.3382999999999998</c:v>
                </c:pt>
                <c:pt idx="17">
                  <c:v>2.3513000000000002</c:v>
                </c:pt>
                <c:pt idx="18">
                  <c:v>2.4123999999999999</c:v>
                </c:pt>
                <c:pt idx="19">
                  <c:v>2.4384000000000001</c:v>
                </c:pt>
                <c:pt idx="20">
                  <c:v>2.0954000000000002</c:v>
                </c:pt>
                <c:pt idx="21">
                  <c:v>2.2709000000000001</c:v>
                </c:pt>
                <c:pt idx="22">
                  <c:v>2.0026000000000002</c:v>
                </c:pt>
                <c:pt idx="23">
                  <c:v>2.1061999999999999</c:v>
                </c:pt>
                <c:pt idx="24">
                  <c:v>2.2656999999999998</c:v>
                </c:pt>
                <c:pt idx="25">
                  <c:v>2.4668999999999999</c:v>
                </c:pt>
                <c:pt idx="26">
                  <c:v>2.3656000000000001</c:v>
                </c:pt>
                <c:pt idx="27">
                  <c:v>2.2551000000000001</c:v>
                </c:pt>
                <c:pt idx="28">
                  <c:v>2.2277</c:v>
                </c:pt>
                <c:pt idx="29">
                  <c:v>2.3549000000000002</c:v>
                </c:pt>
                <c:pt idx="30">
                  <c:v>2.3384999999999998</c:v>
                </c:pt>
                <c:pt idx="31">
                  <c:v>2.2734999999999999</c:v>
                </c:pt>
                <c:pt idx="32">
                  <c:v>2.2345999999999999</c:v>
                </c:pt>
                <c:pt idx="33">
                  <c:v>2.1484999999999999</c:v>
                </c:pt>
                <c:pt idx="34">
                  <c:v>1.8398000000000001</c:v>
                </c:pt>
                <c:pt idx="35">
                  <c:v>1.857</c:v>
                </c:pt>
                <c:pt idx="36">
                  <c:v>2.0632999999999999</c:v>
                </c:pt>
                <c:pt idx="37">
                  <c:v>2.2721</c:v>
                </c:pt>
                <c:pt idx="38">
                  <c:v>3.0518999999999998</c:v>
                </c:pt>
                <c:pt idx="39">
                  <c:v>2.7978999999999998</c:v>
                </c:pt>
                <c:pt idx="40">
                  <c:v>2.2408999999999999</c:v>
                </c:pt>
                <c:pt idx="41">
                  <c:v>2.3866999999999998</c:v>
                </c:pt>
                <c:pt idx="42">
                  <c:v>2.3123</c:v>
                </c:pt>
                <c:pt idx="43">
                  <c:v>2.2494999999999998</c:v>
                </c:pt>
                <c:pt idx="44">
                  <c:v>2.1716000000000002</c:v>
                </c:pt>
                <c:pt idx="45">
                  <c:v>2.1389</c:v>
                </c:pt>
                <c:pt idx="46">
                  <c:v>2.0489999999999999</c:v>
                </c:pt>
                <c:pt idx="47">
                  <c:v>1.9447000000000001</c:v>
                </c:pt>
                <c:pt idx="48">
                  <c:v>1.8593999999999999</c:v>
                </c:pt>
                <c:pt idx="49">
                  <c:v>1.9265000000000001</c:v>
                </c:pt>
                <c:pt idx="50">
                  <c:v>2.0001000000000002</c:v>
                </c:pt>
                <c:pt idx="51">
                  <c:v>1.9938</c:v>
                </c:pt>
                <c:pt idx="52">
                  <c:v>1.9323999999999999</c:v>
                </c:pt>
                <c:pt idx="53">
                  <c:v>1.88</c:v>
                </c:pt>
                <c:pt idx="54">
                  <c:v>1.8634999999999999</c:v>
                </c:pt>
                <c:pt idx="55">
                  <c:v>1.8980999999999999</c:v>
                </c:pt>
                <c:pt idx="56">
                  <c:v>1.9643999999999999</c:v>
                </c:pt>
                <c:pt idx="57">
                  <c:v>1.5506</c:v>
                </c:pt>
                <c:pt idx="58">
                  <c:v>1.6257999999999999</c:v>
                </c:pt>
              </c:numCache>
            </c:numRef>
          </c:val>
          <c:smooth val="1"/>
          <c:extLst xmlns:c16r2="http://schemas.microsoft.com/office/drawing/2015/06/chart">
            <c:ext xmlns:c16="http://schemas.microsoft.com/office/drawing/2014/chart" uri="{C3380CC4-5D6E-409C-BE32-E72D297353CC}">
              <c16:uniqueId val="{00000001-EF0D-4CFC-A141-254269A7849F}"/>
            </c:ext>
          </c:extLst>
        </c:ser>
        <c:dLbls>
          <c:showLegendKey val="0"/>
          <c:showVal val="0"/>
          <c:showCatName val="0"/>
          <c:showSerName val="0"/>
          <c:showPercent val="0"/>
          <c:showBubbleSize val="0"/>
        </c:dLbls>
        <c:marker val="1"/>
        <c:smooth val="0"/>
        <c:axId val="235734528"/>
        <c:axId val="235736064"/>
      </c:lineChart>
      <c:dateAx>
        <c:axId val="23573452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35736064"/>
        <c:crosses val="autoZero"/>
        <c:auto val="0"/>
        <c:lblOffset val="0"/>
        <c:baseTimeUnit val="days"/>
        <c:majorUnit val="14"/>
        <c:majorTimeUnit val="days"/>
        <c:minorUnit val="7"/>
        <c:minorTimeUnit val="days"/>
      </c:dateAx>
      <c:valAx>
        <c:axId val="235736064"/>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35734528"/>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19.059999999999988</c:v>
                </c:pt>
                <c:pt idx="1">
                  <c:v>6.4200000000000035</c:v>
                </c:pt>
                <c:pt idx="2">
                  <c:v>15.920000000000023</c:v>
                </c:pt>
                <c:pt idx="3">
                  <c:v>7.7199999999999935</c:v>
                </c:pt>
                <c:pt idx="4">
                  <c:v>5.4499999999999993</c:v>
                </c:pt>
                <c:pt idx="5">
                  <c:v>3.4800000000000164</c:v>
                </c:pt>
                <c:pt idx="6">
                  <c:v>4.5399999999999885</c:v>
                </c:pt>
              </c:numCache>
            </c:numRef>
          </c:val>
          <c:extLst xmlns:c16r2="http://schemas.microsoft.com/office/drawing/2015/06/chart">
            <c:ext xmlns:c16="http://schemas.microsoft.com/office/drawing/2014/chart" uri="{C3380CC4-5D6E-409C-BE32-E72D297353CC}">
              <c16:uniqueId val="{00000000-7136-490B-A732-C5FDD42AABC2}"/>
            </c:ext>
          </c:extLst>
        </c:ser>
        <c:dLbls>
          <c:showLegendKey val="0"/>
          <c:showVal val="0"/>
          <c:showCatName val="0"/>
          <c:showSerName val="0"/>
          <c:showPercent val="0"/>
          <c:showBubbleSize val="0"/>
        </c:dLbls>
        <c:gapWidth val="150"/>
        <c:axId val="235767680"/>
        <c:axId val="235782144"/>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7136-490B-A732-C5FDD42AABC2}"/>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7136-490B-A732-C5FDD42AABC2}"/>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7136-490B-A732-C5FDD42AABC2}"/>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7136-490B-A732-C5FDD42AABC2}"/>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7136-490B-A732-C5FDD42AABC2}"/>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7136-490B-A732-C5FDD42AABC2}"/>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2.0901999999999998</c:v>
                </c:pt>
                <c:pt idx="1">
                  <c:v>2.1960999999999999</c:v>
                </c:pt>
                <c:pt idx="2">
                  <c:v>2.4336000000000002</c:v>
                </c:pt>
                <c:pt idx="3">
                  <c:v>2.7517999999999998</c:v>
                </c:pt>
                <c:pt idx="4">
                  <c:v>2.8754</c:v>
                </c:pt>
                <c:pt idx="5">
                  <c:v>3.0291000000000001</c:v>
                </c:pt>
                <c:pt idx="6">
                  <c:v>2.9823</c:v>
                </c:pt>
              </c:numCache>
            </c:numRef>
          </c:val>
          <c:smooth val="0"/>
          <c:extLst xmlns:c16r2="http://schemas.microsoft.com/office/drawing/2015/06/chart">
            <c:ext xmlns:c16="http://schemas.microsoft.com/office/drawing/2014/chart" uri="{C3380CC4-5D6E-409C-BE32-E72D297353CC}">
              <c16:uniqueId val="{00000007-7136-490B-A732-C5FDD42AABC2}"/>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1.8996</c:v>
                </c:pt>
                <c:pt idx="1">
                  <c:v>2.1318999999999999</c:v>
                </c:pt>
                <c:pt idx="2">
                  <c:v>2.2744</c:v>
                </c:pt>
                <c:pt idx="3">
                  <c:v>2.6745999999999999</c:v>
                </c:pt>
                <c:pt idx="4">
                  <c:v>2.8209</c:v>
                </c:pt>
                <c:pt idx="5">
                  <c:v>2.9943</c:v>
                </c:pt>
                <c:pt idx="6">
                  <c:v>2.9369000000000001</c:v>
                </c:pt>
              </c:numCache>
            </c:numRef>
          </c:val>
          <c:smooth val="0"/>
          <c:extLst xmlns:c16r2="http://schemas.microsoft.com/office/drawing/2015/06/chart">
            <c:ext xmlns:c16="http://schemas.microsoft.com/office/drawing/2014/chart" uri="{C3380CC4-5D6E-409C-BE32-E72D297353CC}">
              <c16:uniqueId val="{00000008-7136-490B-A732-C5FDD42AABC2}"/>
            </c:ext>
          </c:extLst>
        </c:ser>
        <c:dLbls>
          <c:showLegendKey val="0"/>
          <c:showVal val="0"/>
          <c:showCatName val="0"/>
          <c:showSerName val="0"/>
          <c:showPercent val="0"/>
          <c:showBubbleSize val="0"/>
        </c:dLbls>
        <c:marker val="1"/>
        <c:smooth val="0"/>
        <c:axId val="235785216"/>
        <c:axId val="235783680"/>
      </c:lineChart>
      <c:dateAx>
        <c:axId val="23576768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35782144"/>
        <c:crosses val="autoZero"/>
        <c:auto val="0"/>
        <c:lblOffset val="0"/>
        <c:baseTimeUnit val="days"/>
      </c:dateAx>
      <c:valAx>
        <c:axId val="23578214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35767680"/>
        <c:crosses val="autoZero"/>
        <c:crossBetween val="between"/>
      </c:valAx>
      <c:valAx>
        <c:axId val="235783680"/>
        <c:scaling>
          <c:orientation val="minMax"/>
        </c:scaling>
        <c:delete val="0"/>
        <c:axPos val="r"/>
        <c:numFmt formatCode="#,##0.0_);[Red]\(#,##0.0\)" sourceLinked="0"/>
        <c:majorTickMark val="out"/>
        <c:minorTickMark val="none"/>
        <c:tickLblPos val="nextTo"/>
        <c:spPr>
          <a:ln w="3175">
            <a:solidFill>
              <a:sysClr val="windowText" lastClr="000000"/>
            </a:solidFill>
          </a:ln>
        </c:spPr>
        <c:crossAx val="235785216"/>
        <c:crosses val="max"/>
        <c:crossBetween val="between"/>
      </c:valAx>
      <c:dateAx>
        <c:axId val="235785216"/>
        <c:scaling>
          <c:orientation val="minMax"/>
        </c:scaling>
        <c:delete val="1"/>
        <c:axPos val="b"/>
        <c:numFmt formatCode="General" sourceLinked="1"/>
        <c:majorTickMark val="out"/>
        <c:minorTickMark val="none"/>
        <c:tickLblPos val="nextTo"/>
        <c:crossAx val="235783680"/>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26.239999999999995</c:v>
                </c:pt>
                <c:pt idx="1">
                  <c:v>9.7599999999999909</c:v>
                </c:pt>
                <c:pt idx="2">
                  <c:v>8.8699999999999779</c:v>
                </c:pt>
                <c:pt idx="3">
                  <c:v>8.2899999999999974</c:v>
                </c:pt>
                <c:pt idx="4">
                  <c:v>9.4799999999999773</c:v>
                </c:pt>
                <c:pt idx="5">
                  <c:v>4.4200000000000017</c:v>
                </c:pt>
                <c:pt idx="6">
                  <c:v>4.7200000000000131</c:v>
                </c:pt>
              </c:numCache>
            </c:numRef>
          </c:val>
          <c:extLst xmlns:c16r2="http://schemas.microsoft.com/office/drawing/2015/06/chart">
            <c:ext xmlns:c16="http://schemas.microsoft.com/office/drawing/2014/chart" uri="{C3380CC4-5D6E-409C-BE32-E72D297353CC}">
              <c16:uniqueId val="{00000000-6CDF-48A9-AF50-099DFCCD34C8}"/>
            </c:ext>
          </c:extLst>
        </c:ser>
        <c:dLbls>
          <c:showLegendKey val="0"/>
          <c:showVal val="0"/>
          <c:showCatName val="0"/>
          <c:showSerName val="0"/>
          <c:showPercent val="0"/>
          <c:showBubbleSize val="0"/>
        </c:dLbls>
        <c:gapWidth val="150"/>
        <c:axId val="245197056"/>
        <c:axId val="245207424"/>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6CDF-48A9-AF50-099DFCCD34C8}"/>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6CDF-48A9-AF50-099DFCCD34C8}"/>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6CDF-48A9-AF50-099DFCCD34C8}"/>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6CDF-48A9-AF50-099DFCCD34C8}"/>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6CDF-48A9-AF50-099DFCCD34C8}"/>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6CDF-48A9-AF50-099DFCCD34C8}"/>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2.1861999999999999</c:v>
                </c:pt>
                <c:pt idx="1">
                  <c:v>2.4474999999999998</c:v>
                </c:pt>
                <c:pt idx="2">
                  <c:v>2.7444999999999999</c:v>
                </c:pt>
                <c:pt idx="3">
                  <c:v>3.1532</c:v>
                </c:pt>
                <c:pt idx="4">
                  <c:v>3.3660999999999999</c:v>
                </c:pt>
                <c:pt idx="5">
                  <c:v>3.456</c:v>
                </c:pt>
                <c:pt idx="6">
                  <c:v>3.4954000000000001</c:v>
                </c:pt>
              </c:numCache>
            </c:numRef>
          </c:val>
          <c:smooth val="0"/>
          <c:extLst xmlns:c16r2="http://schemas.microsoft.com/office/drawing/2015/06/chart">
            <c:ext xmlns:c16="http://schemas.microsoft.com/office/drawing/2014/chart" uri="{C3380CC4-5D6E-409C-BE32-E72D297353CC}">
              <c16:uniqueId val="{00000007-6CDF-48A9-AF50-099DFCCD34C8}"/>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1.9238</c:v>
                </c:pt>
                <c:pt idx="1">
                  <c:v>2.3498999999999999</c:v>
                </c:pt>
                <c:pt idx="2">
                  <c:v>2.6558000000000002</c:v>
                </c:pt>
                <c:pt idx="3">
                  <c:v>3.0703</c:v>
                </c:pt>
                <c:pt idx="4">
                  <c:v>3.2713000000000001</c:v>
                </c:pt>
                <c:pt idx="5">
                  <c:v>3.4117999999999999</c:v>
                </c:pt>
                <c:pt idx="6">
                  <c:v>3.4481999999999999</c:v>
                </c:pt>
              </c:numCache>
            </c:numRef>
          </c:val>
          <c:smooth val="0"/>
          <c:extLst xmlns:c16r2="http://schemas.microsoft.com/office/drawing/2015/06/chart">
            <c:ext xmlns:c16="http://schemas.microsoft.com/office/drawing/2014/chart" uri="{C3380CC4-5D6E-409C-BE32-E72D297353CC}">
              <c16:uniqueId val="{00000008-6CDF-48A9-AF50-099DFCCD34C8}"/>
            </c:ext>
          </c:extLst>
        </c:ser>
        <c:dLbls>
          <c:showLegendKey val="0"/>
          <c:showVal val="0"/>
          <c:showCatName val="0"/>
          <c:showSerName val="0"/>
          <c:showPercent val="0"/>
          <c:showBubbleSize val="0"/>
        </c:dLbls>
        <c:marker val="1"/>
        <c:smooth val="0"/>
        <c:axId val="245210496"/>
        <c:axId val="245208960"/>
      </c:lineChart>
      <c:dateAx>
        <c:axId val="24519705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45207424"/>
        <c:crosses val="autoZero"/>
        <c:auto val="0"/>
        <c:lblOffset val="0"/>
        <c:baseTimeUnit val="days"/>
      </c:dateAx>
      <c:valAx>
        <c:axId val="24520742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45197056"/>
        <c:crosses val="autoZero"/>
        <c:crossBetween val="between"/>
      </c:valAx>
      <c:valAx>
        <c:axId val="245208960"/>
        <c:scaling>
          <c:orientation val="minMax"/>
        </c:scaling>
        <c:delete val="0"/>
        <c:axPos val="r"/>
        <c:numFmt formatCode="#,##0.0_);[Red]\(#,##0.0\)" sourceLinked="0"/>
        <c:majorTickMark val="out"/>
        <c:minorTickMark val="none"/>
        <c:tickLblPos val="nextTo"/>
        <c:spPr>
          <a:ln w="3175">
            <a:solidFill>
              <a:sysClr val="windowText" lastClr="000000"/>
            </a:solidFill>
          </a:ln>
        </c:spPr>
        <c:crossAx val="245210496"/>
        <c:crosses val="max"/>
        <c:crossBetween val="between"/>
      </c:valAx>
      <c:dateAx>
        <c:axId val="245210496"/>
        <c:scaling>
          <c:orientation val="minMax"/>
        </c:scaling>
        <c:delete val="1"/>
        <c:axPos val="b"/>
        <c:numFmt formatCode="General" sourceLinked="1"/>
        <c:majorTickMark val="out"/>
        <c:minorTickMark val="none"/>
        <c:tickLblPos val="nextTo"/>
        <c:crossAx val="245208960"/>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44064</c:v>
                </c:pt>
                <c:pt idx="1">
                  <c:v>44057</c:v>
                </c:pt>
                <c:pt idx="2">
                  <c:v>44050</c:v>
                </c:pt>
                <c:pt idx="3">
                  <c:v>44043</c:v>
                </c:pt>
                <c:pt idx="4">
                  <c:v>44036</c:v>
                </c:pt>
                <c:pt idx="5">
                  <c:v>44029</c:v>
                </c:pt>
                <c:pt idx="6">
                  <c:v>44022</c:v>
                </c:pt>
                <c:pt idx="7">
                  <c:v>44015</c:v>
                </c:pt>
                <c:pt idx="8">
                  <c:v>44006</c:v>
                </c:pt>
                <c:pt idx="9">
                  <c:v>44001</c:v>
                </c:pt>
                <c:pt idx="10">
                  <c:v>43994</c:v>
                </c:pt>
                <c:pt idx="11">
                  <c:v>43987</c:v>
                </c:pt>
                <c:pt idx="12">
                  <c:v>43980</c:v>
                </c:pt>
                <c:pt idx="13">
                  <c:v>43973</c:v>
                </c:pt>
                <c:pt idx="14">
                  <c:v>43966</c:v>
                </c:pt>
                <c:pt idx="15">
                  <c:v>43959</c:v>
                </c:pt>
                <c:pt idx="16">
                  <c:v>43951</c:v>
                </c:pt>
                <c:pt idx="17">
                  <c:v>43945</c:v>
                </c:pt>
                <c:pt idx="18">
                  <c:v>43938</c:v>
                </c:pt>
                <c:pt idx="19">
                  <c:v>43931</c:v>
                </c:pt>
                <c:pt idx="20">
                  <c:v>43924</c:v>
                </c:pt>
                <c:pt idx="21">
                  <c:v>43917</c:v>
                </c:pt>
                <c:pt idx="22">
                  <c:v>43910</c:v>
                </c:pt>
                <c:pt idx="23">
                  <c:v>43903</c:v>
                </c:pt>
              </c:numCache>
            </c:numRef>
          </c:cat>
          <c:val>
            <c:numRef>
              <c:f>转债!$H$5:$H$28</c:f>
              <c:numCache>
                <c:formatCode>General</c:formatCode>
                <c:ptCount val="24"/>
                <c:pt idx="0">
                  <c:v>4.3838822001060596</c:v>
                </c:pt>
                <c:pt idx="1">
                  <c:v>4.2700216890524834</c:v>
                </c:pt>
                <c:pt idx="2">
                  <c:v>4.7111820673903848</c:v>
                </c:pt>
                <c:pt idx="3">
                  <c:v>3.5704445273722518</c:v>
                </c:pt>
                <c:pt idx="4">
                  <c:v>1.2680940850334332</c:v>
                </c:pt>
                <c:pt idx="5">
                  <c:v>0.8179831145255001</c:v>
                </c:pt>
                <c:pt idx="6">
                  <c:v>4.4582927657329741</c:v>
                </c:pt>
                <c:pt idx="7">
                  <c:v>0.44795048274275384</c:v>
                </c:pt>
                <c:pt idx="8">
                  <c:v>-3.6628685104699521</c:v>
                </c:pt>
                <c:pt idx="9">
                  <c:v>-3.166405256999838</c:v>
                </c:pt>
                <c:pt idx="10">
                  <c:v>-4.0034118871720477</c:v>
                </c:pt>
                <c:pt idx="11">
                  <c:v>-3.670668713050762</c:v>
                </c:pt>
                <c:pt idx="12">
                  <c:v>-4.0680020538662927</c:v>
                </c:pt>
                <c:pt idx="13">
                  <c:v>-4.8208618943268995</c:v>
                </c:pt>
                <c:pt idx="14">
                  <c:v>-2.4169404687416796</c:v>
                </c:pt>
                <c:pt idx="15">
                  <c:v>-0.89012095925657952</c:v>
                </c:pt>
                <c:pt idx="16">
                  <c:v>-0.84778101071545375</c:v>
                </c:pt>
                <c:pt idx="17">
                  <c:v>-1.7554664549201626</c:v>
                </c:pt>
                <c:pt idx="18">
                  <c:v>-1.562481586752007</c:v>
                </c:pt>
                <c:pt idx="19">
                  <c:v>-1.6406800205386651</c:v>
                </c:pt>
                <c:pt idx="20">
                  <c:v>-1.9679237712576625</c:v>
                </c:pt>
                <c:pt idx="21">
                  <c:v>-1.3765954640980294</c:v>
                </c:pt>
                <c:pt idx="22">
                  <c:v>-0.92589526965413116</c:v>
                </c:pt>
                <c:pt idx="23">
                  <c:v>0</c:v>
                </c:pt>
              </c:numCache>
            </c:numRef>
          </c:val>
          <c:smooth val="1"/>
          <c:extLst xmlns:c16r2="http://schemas.microsoft.com/office/drawing/2015/06/chart">
            <c:ext xmlns:c16="http://schemas.microsoft.com/office/drawing/2014/chart" uri="{C3380CC4-5D6E-409C-BE32-E72D297353CC}">
              <c16:uniqueId val="{00000000-B331-49EE-86FA-1DA7C16F696D}"/>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44064</c:v>
                </c:pt>
                <c:pt idx="1">
                  <c:v>44057</c:v>
                </c:pt>
                <c:pt idx="2">
                  <c:v>44050</c:v>
                </c:pt>
                <c:pt idx="3">
                  <c:v>44043</c:v>
                </c:pt>
                <c:pt idx="4">
                  <c:v>44036</c:v>
                </c:pt>
                <c:pt idx="5">
                  <c:v>44029</c:v>
                </c:pt>
                <c:pt idx="6">
                  <c:v>44022</c:v>
                </c:pt>
                <c:pt idx="7">
                  <c:v>44015</c:v>
                </c:pt>
                <c:pt idx="8">
                  <c:v>44006</c:v>
                </c:pt>
                <c:pt idx="9">
                  <c:v>44001</c:v>
                </c:pt>
                <c:pt idx="10">
                  <c:v>43994</c:v>
                </c:pt>
                <c:pt idx="11">
                  <c:v>43987</c:v>
                </c:pt>
                <c:pt idx="12">
                  <c:v>43980</c:v>
                </c:pt>
                <c:pt idx="13">
                  <c:v>43973</c:v>
                </c:pt>
                <c:pt idx="14">
                  <c:v>43966</c:v>
                </c:pt>
                <c:pt idx="15">
                  <c:v>43959</c:v>
                </c:pt>
                <c:pt idx="16">
                  <c:v>43951</c:v>
                </c:pt>
                <c:pt idx="17">
                  <c:v>43945</c:v>
                </c:pt>
                <c:pt idx="18">
                  <c:v>43938</c:v>
                </c:pt>
                <c:pt idx="19">
                  <c:v>43931</c:v>
                </c:pt>
                <c:pt idx="20">
                  <c:v>43924</c:v>
                </c:pt>
                <c:pt idx="21">
                  <c:v>43917</c:v>
                </c:pt>
                <c:pt idx="22">
                  <c:v>43910</c:v>
                </c:pt>
                <c:pt idx="23">
                  <c:v>43903</c:v>
                </c:pt>
              </c:numCache>
            </c:numRef>
          </c:cat>
          <c:val>
            <c:numRef>
              <c:f>转债!$I$5:$I$28</c:f>
              <c:numCache>
                <c:formatCode>General</c:formatCode>
                <c:ptCount val="24"/>
                <c:pt idx="0">
                  <c:v>-2.4483999665668388</c:v>
                </c:pt>
                <c:pt idx="1">
                  <c:v>-2.2259535692798815</c:v>
                </c:pt>
                <c:pt idx="2">
                  <c:v>-2.4290352132315896</c:v>
                </c:pt>
                <c:pt idx="3">
                  <c:v>-2.2218158014732037</c:v>
                </c:pt>
                <c:pt idx="4">
                  <c:v>-1.6865541580014853</c:v>
                </c:pt>
                <c:pt idx="5">
                  <c:v>-2.3250944859278699</c:v>
                </c:pt>
                <c:pt idx="6">
                  <c:v>-2.5513476295969562</c:v>
                </c:pt>
                <c:pt idx="7">
                  <c:v>-1.332775010530618</c:v>
                </c:pt>
                <c:pt idx="8">
                  <c:v>-1.3732423796799065</c:v>
                </c:pt>
                <c:pt idx="9">
                  <c:v>-1.3156446518109766</c:v>
                </c:pt>
                <c:pt idx="10">
                  <c:v>-0.80123735808490526</c:v>
                </c:pt>
                <c:pt idx="11">
                  <c:v>-1.2634260220907079</c:v>
                </c:pt>
                <c:pt idx="12">
                  <c:v>-2.9212640715137184E-2</c:v>
                </c:pt>
                <c:pt idx="13">
                  <c:v>0.72501967508593612</c:v>
                </c:pt>
                <c:pt idx="14">
                  <c:v>0.77516942090285479</c:v>
                </c:pt>
                <c:pt idx="15">
                  <c:v>1.1976355139645678</c:v>
                </c:pt>
                <c:pt idx="16">
                  <c:v>1.8000117512605662</c:v>
                </c:pt>
                <c:pt idx="17">
                  <c:v>1.8357620651102691</c:v>
                </c:pt>
                <c:pt idx="18">
                  <c:v>1.5234433510622925</c:v>
                </c:pt>
                <c:pt idx="19">
                  <c:v>1.4125511738433572</c:v>
                </c:pt>
                <c:pt idx="20">
                  <c:v>0.57945300364703467</c:v>
                </c:pt>
                <c:pt idx="21">
                  <c:v>0.31645648185465447</c:v>
                </c:pt>
                <c:pt idx="22">
                  <c:v>-0.15144230172436934</c:v>
                </c:pt>
                <c:pt idx="23">
                  <c:v>0</c:v>
                </c:pt>
              </c:numCache>
            </c:numRef>
          </c:val>
          <c:smooth val="1"/>
          <c:extLst xmlns:c16r2="http://schemas.microsoft.com/office/drawing/2015/06/chart">
            <c:ext xmlns:c16="http://schemas.microsoft.com/office/drawing/2014/chart" uri="{C3380CC4-5D6E-409C-BE32-E72D297353CC}">
              <c16:uniqueId val="{00000001-B331-49EE-86FA-1DA7C16F696D}"/>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44064</c:v>
                </c:pt>
                <c:pt idx="1">
                  <c:v>44057</c:v>
                </c:pt>
                <c:pt idx="2">
                  <c:v>44050</c:v>
                </c:pt>
                <c:pt idx="3">
                  <c:v>44043</c:v>
                </c:pt>
                <c:pt idx="4">
                  <c:v>44036</c:v>
                </c:pt>
                <c:pt idx="5">
                  <c:v>44029</c:v>
                </c:pt>
                <c:pt idx="6">
                  <c:v>44022</c:v>
                </c:pt>
                <c:pt idx="7">
                  <c:v>44015</c:v>
                </c:pt>
                <c:pt idx="8">
                  <c:v>44006</c:v>
                </c:pt>
                <c:pt idx="9">
                  <c:v>44001</c:v>
                </c:pt>
                <c:pt idx="10">
                  <c:v>43994</c:v>
                </c:pt>
                <c:pt idx="11">
                  <c:v>43987</c:v>
                </c:pt>
                <c:pt idx="12">
                  <c:v>43980</c:v>
                </c:pt>
                <c:pt idx="13">
                  <c:v>43973</c:v>
                </c:pt>
                <c:pt idx="14">
                  <c:v>43966</c:v>
                </c:pt>
                <c:pt idx="15">
                  <c:v>43959</c:v>
                </c:pt>
                <c:pt idx="16">
                  <c:v>43951</c:v>
                </c:pt>
                <c:pt idx="17">
                  <c:v>43945</c:v>
                </c:pt>
                <c:pt idx="18">
                  <c:v>43938</c:v>
                </c:pt>
                <c:pt idx="19">
                  <c:v>43931</c:v>
                </c:pt>
                <c:pt idx="20">
                  <c:v>43924</c:v>
                </c:pt>
                <c:pt idx="21">
                  <c:v>43917</c:v>
                </c:pt>
                <c:pt idx="22">
                  <c:v>43910</c:v>
                </c:pt>
                <c:pt idx="23">
                  <c:v>43903</c:v>
                </c:pt>
              </c:numCache>
            </c:numRef>
          </c:cat>
          <c:val>
            <c:numRef>
              <c:f>转债!$J$5:$J$28</c:f>
              <c:numCache>
                <c:formatCode>General</c:formatCode>
                <c:ptCount val="24"/>
                <c:pt idx="0">
                  <c:v>21.14157045359746</c:v>
                </c:pt>
                <c:pt idx="1">
                  <c:v>20.776662659799761</c:v>
                </c:pt>
                <c:pt idx="2">
                  <c:v>20.861313114571956</c:v>
                </c:pt>
                <c:pt idx="3">
                  <c:v>20.530659309311417</c:v>
                </c:pt>
                <c:pt idx="4">
                  <c:v>15.666978015218703</c:v>
                </c:pt>
                <c:pt idx="5">
                  <c:v>16.671007781454673</c:v>
                </c:pt>
                <c:pt idx="6">
                  <c:v>22.021864328841588</c:v>
                </c:pt>
                <c:pt idx="7">
                  <c:v>13.459322188451717</c:v>
                </c:pt>
                <c:pt idx="8">
                  <c:v>6.2556388282861253</c:v>
                </c:pt>
                <c:pt idx="9">
                  <c:v>5.2215755304683142</c:v>
                </c:pt>
                <c:pt idx="10">
                  <c:v>2.7666609983157064</c:v>
                </c:pt>
                <c:pt idx="11">
                  <c:v>2.7196301154556846</c:v>
                </c:pt>
                <c:pt idx="12">
                  <c:v>-0.72624719637406354</c:v>
                </c:pt>
                <c:pt idx="13">
                  <c:v>-1.8290905931867774</c:v>
                </c:pt>
                <c:pt idx="14">
                  <c:v>0.44933747040802885</c:v>
                </c:pt>
                <c:pt idx="15">
                  <c:v>1.75361783526089</c:v>
                </c:pt>
                <c:pt idx="16">
                  <c:v>0.44320959282140304</c:v>
                </c:pt>
                <c:pt idx="17">
                  <c:v>-2.524590579734709</c:v>
                </c:pt>
                <c:pt idx="18">
                  <c:v>-1.4331506317028064</c:v>
                </c:pt>
                <c:pt idx="19">
                  <c:v>-3.2381122255445094</c:v>
                </c:pt>
                <c:pt idx="20">
                  <c:v>-4.6747080234480816</c:v>
                </c:pt>
                <c:pt idx="21">
                  <c:v>-4.7557746838713495</c:v>
                </c:pt>
                <c:pt idx="22">
                  <c:v>-6.2148770183488296</c:v>
                </c:pt>
                <c:pt idx="23">
                  <c:v>0</c:v>
                </c:pt>
              </c:numCache>
            </c:numRef>
          </c:val>
          <c:smooth val="1"/>
          <c:extLst xmlns:c16r2="http://schemas.microsoft.com/office/drawing/2015/06/chart">
            <c:ext xmlns:c16="http://schemas.microsoft.com/office/drawing/2014/chart" uri="{C3380CC4-5D6E-409C-BE32-E72D297353CC}">
              <c16:uniqueId val="{00000002-B331-49EE-86FA-1DA7C16F696D}"/>
            </c:ext>
          </c:extLst>
        </c:ser>
        <c:dLbls>
          <c:showLegendKey val="0"/>
          <c:showVal val="0"/>
          <c:showCatName val="0"/>
          <c:showSerName val="0"/>
          <c:showPercent val="0"/>
          <c:showBubbleSize val="0"/>
        </c:dLbls>
        <c:marker val="1"/>
        <c:smooth val="0"/>
        <c:axId val="246494336"/>
        <c:axId val="246495872"/>
      </c:lineChart>
      <c:dateAx>
        <c:axId val="24649433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46495872"/>
        <c:crosses val="autoZero"/>
        <c:auto val="0"/>
        <c:lblOffset val="0"/>
        <c:baseTimeUnit val="days"/>
        <c:majorUnit val="14"/>
        <c:majorTimeUnit val="days"/>
      </c:dateAx>
      <c:valAx>
        <c:axId val="246495872"/>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46494336"/>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库存!$H$1</c:f>
              <c:strCache>
                <c:ptCount val="1"/>
                <c:pt idx="0">
                  <c:v>2018</c:v>
                </c:pt>
              </c:strCache>
            </c:strRef>
          </c:tx>
          <c:spPr>
            <a:ln w="28575">
              <a:solidFill>
                <a:srgbClr val="E7E6E6">
                  <a:lumMod val="75000"/>
                </a:srgbClr>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库存!$H$2:$H$366</c:f>
              <c:numCache>
                <c:formatCode>General</c:formatCode>
                <c:ptCount val="365"/>
                <c:pt idx="0">
                  <c:v>#N/A</c:v>
                </c:pt>
                <c:pt idx="1">
                  <c:v>#N/A</c:v>
                </c:pt>
                <c:pt idx="2">
                  <c:v>#N/A</c:v>
                </c:pt>
                <c:pt idx="3">
                  <c:v>#N/A</c:v>
                </c:pt>
                <c:pt idx="4">
                  <c:v>835.09839999999997</c:v>
                </c:pt>
                <c:pt idx="5">
                  <c:v>#N/A</c:v>
                </c:pt>
                <c:pt idx="6">
                  <c:v>#N/A</c:v>
                </c:pt>
                <c:pt idx="7">
                  <c:v>#N/A</c:v>
                </c:pt>
                <c:pt idx="8">
                  <c:v>#N/A</c:v>
                </c:pt>
                <c:pt idx="9">
                  <c:v>#N/A</c:v>
                </c:pt>
                <c:pt idx="10">
                  <c:v>#N/A</c:v>
                </c:pt>
                <c:pt idx="11">
                  <c:v>890.60569999999996</c:v>
                </c:pt>
                <c:pt idx="12">
                  <c:v>#N/A</c:v>
                </c:pt>
                <c:pt idx="13">
                  <c:v>#N/A</c:v>
                </c:pt>
                <c:pt idx="14">
                  <c:v>#N/A</c:v>
                </c:pt>
                <c:pt idx="15">
                  <c:v>#N/A</c:v>
                </c:pt>
                <c:pt idx="16">
                  <c:v>#N/A</c:v>
                </c:pt>
                <c:pt idx="17">
                  <c:v>#N/A</c:v>
                </c:pt>
                <c:pt idx="18">
                  <c:v>932.39099999999996</c:v>
                </c:pt>
                <c:pt idx="19">
                  <c:v>#N/A</c:v>
                </c:pt>
                <c:pt idx="20">
                  <c:v>#N/A</c:v>
                </c:pt>
                <c:pt idx="21">
                  <c:v>#N/A</c:v>
                </c:pt>
                <c:pt idx="22">
                  <c:v>#N/A</c:v>
                </c:pt>
                <c:pt idx="23">
                  <c:v>#N/A</c:v>
                </c:pt>
                <c:pt idx="24">
                  <c:v>#N/A</c:v>
                </c:pt>
                <c:pt idx="25">
                  <c:v>972.77679999999998</c:v>
                </c:pt>
                <c:pt idx="26">
                  <c:v>#N/A</c:v>
                </c:pt>
                <c:pt idx="27">
                  <c:v>#N/A</c:v>
                </c:pt>
                <c:pt idx="28">
                  <c:v>#N/A</c:v>
                </c:pt>
                <c:pt idx="29">
                  <c:v>#N/A</c:v>
                </c:pt>
                <c:pt idx="30">
                  <c:v>#N/A</c:v>
                </c:pt>
                <c:pt idx="31">
                  <c:v>#N/A</c:v>
                </c:pt>
                <c:pt idx="32">
                  <c:v>1075.2798</c:v>
                </c:pt>
                <c:pt idx="33">
                  <c:v>#N/A</c:v>
                </c:pt>
                <c:pt idx="34">
                  <c:v>#N/A</c:v>
                </c:pt>
                <c:pt idx="35">
                  <c:v>#N/A</c:v>
                </c:pt>
                <c:pt idx="36">
                  <c:v>#N/A</c:v>
                </c:pt>
                <c:pt idx="37">
                  <c:v>#N/A</c:v>
                </c:pt>
                <c:pt idx="38">
                  <c:v>#N/A</c:v>
                </c:pt>
                <c:pt idx="39">
                  <c:v>1218.9889000000001</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1616.0438999999999</c:v>
                </c:pt>
                <c:pt idx="54">
                  <c:v>#N/A</c:v>
                </c:pt>
                <c:pt idx="55">
                  <c:v>#N/A</c:v>
                </c:pt>
                <c:pt idx="56">
                  <c:v>#N/A</c:v>
                </c:pt>
                <c:pt idx="57">
                  <c:v>#N/A</c:v>
                </c:pt>
                <c:pt idx="58">
                  <c:v>#N/A</c:v>
                </c:pt>
                <c:pt idx="59">
                  <c:v>#N/A</c:v>
                </c:pt>
                <c:pt idx="60">
                  <c:v>1851.7684999999999</c:v>
                </c:pt>
                <c:pt idx="61">
                  <c:v>#N/A</c:v>
                </c:pt>
                <c:pt idx="62">
                  <c:v>#N/A</c:v>
                </c:pt>
                <c:pt idx="63">
                  <c:v>#N/A</c:v>
                </c:pt>
                <c:pt idx="64">
                  <c:v>#N/A</c:v>
                </c:pt>
                <c:pt idx="65">
                  <c:v>#N/A</c:v>
                </c:pt>
                <c:pt idx="66">
                  <c:v>#N/A</c:v>
                </c:pt>
                <c:pt idx="67">
                  <c:v>1965.1591000000001</c:v>
                </c:pt>
                <c:pt idx="68">
                  <c:v>#N/A</c:v>
                </c:pt>
                <c:pt idx="69">
                  <c:v>#N/A</c:v>
                </c:pt>
                <c:pt idx="70">
                  <c:v>#N/A</c:v>
                </c:pt>
                <c:pt idx="71">
                  <c:v>#N/A</c:v>
                </c:pt>
                <c:pt idx="72">
                  <c:v>#N/A</c:v>
                </c:pt>
                <c:pt idx="73">
                  <c:v>#N/A</c:v>
                </c:pt>
                <c:pt idx="74">
                  <c:v>1947.9930999999999</c:v>
                </c:pt>
                <c:pt idx="75">
                  <c:v>#N/A</c:v>
                </c:pt>
                <c:pt idx="76">
                  <c:v>#N/A</c:v>
                </c:pt>
                <c:pt idx="77">
                  <c:v>#N/A</c:v>
                </c:pt>
                <c:pt idx="78">
                  <c:v>#N/A</c:v>
                </c:pt>
                <c:pt idx="79">
                  <c:v>#N/A</c:v>
                </c:pt>
                <c:pt idx="80">
                  <c:v>#N/A</c:v>
                </c:pt>
                <c:pt idx="81">
                  <c:v>1877.1077</c:v>
                </c:pt>
                <c:pt idx="82">
                  <c:v>#N/A</c:v>
                </c:pt>
                <c:pt idx="83">
                  <c:v>#N/A</c:v>
                </c:pt>
                <c:pt idx="84">
                  <c:v>#N/A</c:v>
                </c:pt>
                <c:pt idx="85">
                  <c:v>#N/A</c:v>
                </c:pt>
                <c:pt idx="86">
                  <c:v>#N/A</c:v>
                </c:pt>
                <c:pt idx="87">
                  <c:v>#N/A</c:v>
                </c:pt>
                <c:pt idx="88">
                  <c:v>1797.1663000000001</c:v>
                </c:pt>
                <c:pt idx="89">
                  <c:v>#N/A</c:v>
                </c:pt>
                <c:pt idx="90">
                  <c:v>#N/A</c:v>
                </c:pt>
                <c:pt idx="91">
                  <c:v>#N/A</c:v>
                </c:pt>
                <c:pt idx="92">
                  <c:v>#N/A</c:v>
                </c:pt>
                <c:pt idx="93">
                  <c:v>#N/A</c:v>
                </c:pt>
                <c:pt idx="94">
                  <c:v>1680.1645000000001</c:v>
                </c:pt>
                <c:pt idx="95">
                  <c:v>#N/A</c:v>
                </c:pt>
                <c:pt idx="96">
                  <c:v>#N/A</c:v>
                </c:pt>
                <c:pt idx="97">
                  <c:v>#N/A</c:v>
                </c:pt>
                <c:pt idx="98">
                  <c:v>#N/A</c:v>
                </c:pt>
                <c:pt idx="99">
                  <c:v>#N/A</c:v>
                </c:pt>
                <c:pt idx="100">
                  <c:v>#N/A</c:v>
                </c:pt>
                <c:pt idx="101">
                  <c:v>#N/A</c:v>
                </c:pt>
                <c:pt idx="102">
                  <c:v>1593.9454000000001</c:v>
                </c:pt>
                <c:pt idx="103">
                  <c:v>#N/A</c:v>
                </c:pt>
                <c:pt idx="104">
                  <c:v>#N/A</c:v>
                </c:pt>
                <c:pt idx="105">
                  <c:v>#N/A</c:v>
                </c:pt>
                <c:pt idx="106">
                  <c:v>#N/A</c:v>
                </c:pt>
                <c:pt idx="107">
                  <c:v>#N/A</c:v>
                </c:pt>
                <c:pt idx="108">
                  <c:v>#N/A</c:v>
                </c:pt>
                <c:pt idx="109">
                  <c:v>1500.1545000000001</c:v>
                </c:pt>
                <c:pt idx="110">
                  <c:v>#N/A</c:v>
                </c:pt>
                <c:pt idx="111">
                  <c:v>#N/A</c:v>
                </c:pt>
                <c:pt idx="112">
                  <c:v>#N/A</c:v>
                </c:pt>
                <c:pt idx="113">
                  <c:v>#N/A</c:v>
                </c:pt>
                <c:pt idx="114">
                  <c:v>#N/A</c:v>
                </c:pt>
                <c:pt idx="115">
                  <c:v>#N/A</c:v>
                </c:pt>
                <c:pt idx="116">
                  <c:v>1415.1107</c:v>
                </c:pt>
                <c:pt idx="117">
                  <c:v>#N/A</c:v>
                </c:pt>
                <c:pt idx="118">
                  <c:v>#N/A</c:v>
                </c:pt>
                <c:pt idx="119">
                  <c:v>#N/A</c:v>
                </c:pt>
                <c:pt idx="120">
                  <c:v>#N/A</c:v>
                </c:pt>
                <c:pt idx="121">
                  <c:v>#N/A</c:v>
                </c:pt>
                <c:pt idx="122">
                  <c:v>#N/A</c:v>
                </c:pt>
                <c:pt idx="123">
                  <c:v>1348.7941000000001</c:v>
                </c:pt>
                <c:pt idx="124">
                  <c:v>#N/A</c:v>
                </c:pt>
                <c:pt idx="125">
                  <c:v>#N/A</c:v>
                </c:pt>
                <c:pt idx="126">
                  <c:v>#N/A</c:v>
                </c:pt>
                <c:pt idx="127">
                  <c:v>#N/A</c:v>
                </c:pt>
                <c:pt idx="128">
                  <c:v>#N/A</c:v>
                </c:pt>
                <c:pt idx="129">
                  <c:v>#N/A</c:v>
                </c:pt>
                <c:pt idx="130">
                  <c:v>1270.1989000000001</c:v>
                </c:pt>
                <c:pt idx="131">
                  <c:v>#N/A</c:v>
                </c:pt>
                <c:pt idx="132">
                  <c:v>#N/A</c:v>
                </c:pt>
                <c:pt idx="133">
                  <c:v>#N/A</c:v>
                </c:pt>
                <c:pt idx="134">
                  <c:v>#N/A</c:v>
                </c:pt>
                <c:pt idx="135">
                  <c:v>#N/A</c:v>
                </c:pt>
                <c:pt idx="136">
                  <c:v>#N/A</c:v>
                </c:pt>
                <c:pt idx="137">
                  <c:v>1210.9458999999999</c:v>
                </c:pt>
                <c:pt idx="138">
                  <c:v>#N/A</c:v>
                </c:pt>
                <c:pt idx="139">
                  <c:v>#N/A</c:v>
                </c:pt>
                <c:pt idx="140">
                  <c:v>#N/A</c:v>
                </c:pt>
                <c:pt idx="141">
                  <c:v>#N/A</c:v>
                </c:pt>
                <c:pt idx="142">
                  <c:v>#N/A</c:v>
                </c:pt>
                <c:pt idx="143">
                  <c:v>#N/A</c:v>
                </c:pt>
                <c:pt idx="144">
                  <c:v>1133.2660000000001</c:v>
                </c:pt>
                <c:pt idx="145">
                  <c:v>#N/A</c:v>
                </c:pt>
                <c:pt idx="146">
                  <c:v>#N/A</c:v>
                </c:pt>
                <c:pt idx="147">
                  <c:v>#N/A</c:v>
                </c:pt>
                <c:pt idx="148">
                  <c:v>#N/A</c:v>
                </c:pt>
                <c:pt idx="149">
                  <c:v>#N/A</c:v>
                </c:pt>
                <c:pt idx="150">
                  <c:v>#N/A</c:v>
                </c:pt>
                <c:pt idx="151">
                  <c:v>1075.385</c:v>
                </c:pt>
                <c:pt idx="152">
                  <c:v>#N/A</c:v>
                </c:pt>
                <c:pt idx="153">
                  <c:v>#N/A</c:v>
                </c:pt>
                <c:pt idx="154">
                  <c:v>#N/A</c:v>
                </c:pt>
                <c:pt idx="155">
                  <c:v>#N/A</c:v>
                </c:pt>
                <c:pt idx="156">
                  <c:v>#N/A</c:v>
                </c:pt>
                <c:pt idx="157">
                  <c:v>#N/A</c:v>
                </c:pt>
                <c:pt idx="158">
                  <c:v>1035.886</c:v>
                </c:pt>
                <c:pt idx="159">
                  <c:v>#N/A</c:v>
                </c:pt>
                <c:pt idx="160">
                  <c:v>#N/A</c:v>
                </c:pt>
                <c:pt idx="161">
                  <c:v>#N/A</c:v>
                </c:pt>
                <c:pt idx="162">
                  <c:v>#N/A</c:v>
                </c:pt>
                <c:pt idx="163">
                  <c:v>#N/A</c:v>
                </c:pt>
                <c:pt idx="164">
                  <c:v>#N/A</c:v>
                </c:pt>
                <c:pt idx="165">
                  <c:v>998.59460000000001</c:v>
                </c:pt>
                <c:pt idx="166">
                  <c:v>#N/A</c:v>
                </c:pt>
                <c:pt idx="167">
                  <c:v>#N/A</c:v>
                </c:pt>
                <c:pt idx="168">
                  <c:v>#N/A</c:v>
                </c:pt>
                <c:pt idx="169">
                  <c:v>#N/A</c:v>
                </c:pt>
                <c:pt idx="170">
                  <c:v>#N/A</c:v>
                </c:pt>
                <c:pt idx="171">
                  <c:v>#N/A</c:v>
                </c:pt>
                <c:pt idx="172">
                  <c:v>1009.6992</c:v>
                </c:pt>
                <c:pt idx="173">
                  <c:v>#N/A</c:v>
                </c:pt>
                <c:pt idx="174">
                  <c:v>#N/A</c:v>
                </c:pt>
                <c:pt idx="175">
                  <c:v>#N/A</c:v>
                </c:pt>
                <c:pt idx="176">
                  <c:v>#N/A</c:v>
                </c:pt>
                <c:pt idx="177">
                  <c:v>#N/A</c:v>
                </c:pt>
                <c:pt idx="178">
                  <c:v>#N/A</c:v>
                </c:pt>
                <c:pt idx="179">
                  <c:v>1025.2517</c:v>
                </c:pt>
                <c:pt idx="180">
                  <c:v>#N/A</c:v>
                </c:pt>
                <c:pt idx="181">
                  <c:v>#N/A</c:v>
                </c:pt>
                <c:pt idx="182">
                  <c:v>#N/A</c:v>
                </c:pt>
                <c:pt idx="183">
                  <c:v>#N/A</c:v>
                </c:pt>
                <c:pt idx="184">
                  <c:v>#N/A</c:v>
                </c:pt>
                <c:pt idx="185">
                  <c:v>#N/A</c:v>
                </c:pt>
                <c:pt idx="186">
                  <c:v>1009.8008</c:v>
                </c:pt>
                <c:pt idx="187">
                  <c:v>#N/A</c:v>
                </c:pt>
                <c:pt idx="188">
                  <c:v>#N/A</c:v>
                </c:pt>
                <c:pt idx="189">
                  <c:v>#N/A</c:v>
                </c:pt>
                <c:pt idx="190">
                  <c:v>#N/A</c:v>
                </c:pt>
                <c:pt idx="191">
                  <c:v>#N/A</c:v>
                </c:pt>
                <c:pt idx="192">
                  <c:v>#N/A</c:v>
                </c:pt>
                <c:pt idx="193">
                  <c:v>996.97540000000004</c:v>
                </c:pt>
                <c:pt idx="194">
                  <c:v>#N/A</c:v>
                </c:pt>
                <c:pt idx="195">
                  <c:v>#N/A</c:v>
                </c:pt>
                <c:pt idx="196">
                  <c:v>#N/A</c:v>
                </c:pt>
                <c:pt idx="197">
                  <c:v>#N/A</c:v>
                </c:pt>
                <c:pt idx="198">
                  <c:v>#N/A</c:v>
                </c:pt>
                <c:pt idx="199">
                  <c:v>#N/A</c:v>
                </c:pt>
                <c:pt idx="200">
                  <c:v>999.93079999999998</c:v>
                </c:pt>
                <c:pt idx="201">
                  <c:v>#N/A</c:v>
                </c:pt>
                <c:pt idx="202">
                  <c:v>#N/A</c:v>
                </c:pt>
                <c:pt idx="203">
                  <c:v>#N/A</c:v>
                </c:pt>
                <c:pt idx="204">
                  <c:v>#N/A</c:v>
                </c:pt>
                <c:pt idx="205">
                  <c:v>#N/A</c:v>
                </c:pt>
                <c:pt idx="206">
                  <c:v>#N/A</c:v>
                </c:pt>
                <c:pt idx="207">
                  <c:v>987.18</c:v>
                </c:pt>
                <c:pt idx="208">
                  <c:v>#N/A</c:v>
                </c:pt>
                <c:pt idx="209">
                  <c:v>#N/A</c:v>
                </c:pt>
                <c:pt idx="210">
                  <c:v>#N/A</c:v>
                </c:pt>
                <c:pt idx="211">
                  <c:v>#N/A</c:v>
                </c:pt>
                <c:pt idx="212">
                  <c:v>#N/A</c:v>
                </c:pt>
                <c:pt idx="213">
                  <c:v>#N/A</c:v>
                </c:pt>
                <c:pt idx="214">
                  <c:v>1001.82</c:v>
                </c:pt>
                <c:pt idx="215">
                  <c:v>#N/A</c:v>
                </c:pt>
                <c:pt idx="216">
                  <c:v>#N/A</c:v>
                </c:pt>
                <c:pt idx="217">
                  <c:v>#N/A</c:v>
                </c:pt>
                <c:pt idx="218">
                  <c:v>#N/A</c:v>
                </c:pt>
                <c:pt idx="219">
                  <c:v>#N/A</c:v>
                </c:pt>
                <c:pt idx="220">
                  <c:v>#N/A</c:v>
                </c:pt>
                <c:pt idx="221">
                  <c:v>1001.2</c:v>
                </c:pt>
                <c:pt idx="222">
                  <c:v>#N/A</c:v>
                </c:pt>
                <c:pt idx="223">
                  <c:v>#N/A</c:v>
                </c:pt>
                <c:pt idx="224">
                  <c:v>#N/A</c:v>
                </c:pt>
                <c:pt idx="225">
                  <c:v>#N/A</c:v>
                </c:pt>
                <c:pt idx="226">
                  <c:v>#N/A</c:v>
                </c:pt>
                <c:pt idx="227">
                  <c:v>#N/A</c:v>
                </c:pt>
                <c:pt idx="228">
                  <c:v>1008.52</c:v>
                </c:pt>
                <c:pt idx="229">
                  <c:v>#N/A</c:v>
                </c:pt>
                <c:pt idx="230">
                  <c:v>#N/A</c:v>
                </c:pt>
                <c:pt idx="231">
                  <c:v>#N/A</c:v>
                </c:pt>
                <c:pt idx="232">
                  <c:v>#N/A</c:v>
                </c:pt>
                <c:pt idx="233">
                  <c:v>#N/A</c:v>
                </c:pt>
                <c:pt idx="234">
                  <c:v>#N/A</c:v>
                </c:pt>
                <c:pt idx="235">
                  <c:v>1004.18</c:v>
                </c:pt>
                <c:pt idx="236">
                  <c:v>#N/A</c:v>
                </c:pt>
                <c:pt idx="237">
                  <c:v>#N/A</c:v>
                </c:pt>
                <c:pt idx="238">
                  <c:v>#N/A</c:v>
                </c:pt>
                <c:pt idx="239">
                  <c:v>#N/A</c:v>
                </c:pt>
                <c:pt idx="240">
                  <c:v>#N/A</c:v>
                </c:pt>
                <c:pt idx="241">
                  <c:v>#N/A</c:v>
                </c:pt>
                <c:pt idx="242">
                  <c:v>995.88</c:v>
                </c:pt>
                <c:pt idx="243">
                  <c:v>#N/A</c:v>
                </c:pt>
                <c:pt idx="244">
                  <c:v>#N/A</c:v>
                </c:pt>
                <c:pt idx="245">
                  <c:v>#N/A</c:v>
                </c:pt>
                <c:pt idx="246">
                  <c:v>#N/A</c:v>
                </c:pt>
                <c:pt idx="247">
                  <c:v>#N/A</c:v>
                </c:pt>
                <c:pt idx="248">
                  <c:v>#N/A</c:v>
                </c:pt>
                <c:pt idx="249">
                  <c:v>999.49</c:v>
                </c:pt>
                <c:pt idx="250">
                  <c:v>#N/A</c:v>
                </c:pt>
                <c:pt idx="251">
                  <c:v>#N/A</c:v>
                </c:pt>
                <c:pt idx="252">
                  <c:v>#N/A</c:v>
                </c:pt>
                <c:pt idx="253">
                  <c:v>#N/A</c:v>
                </c:pt>
                <c:pt idx="254">
                  <c:v>#N/A</c:v>
                </c:pt>
                <c:pt idx="255">
                  <c:v>#N/A</c:v>
                </c:pt>
                <c:pt idx="256">
                  <c:v>1001.47</c:v>
                </c:pt>
                <c:pt idx="257">
                  <c:v>#N/A</c:v>
                </c:pt>
                <c:pt idx="258">
                  <c:v>#N/A</c:v>
                </c:pt>
                <c:pt idx="259">
                  <c:v>#N/A</c:v>
                </c:pt>
                <c:pt idx="260">
                  <c:v>#N/A</c:v>
                </c:pt>
                <c:pt idx="261">
                  <c:v>#N/A</c:v>
                </c:pt>
                <c:pt idx="262">
                  <c:v>#N/A</c:v>
                </c:pt>
                <c:pt idx="263">
                  <c:v>984.59</c:v>
                </c:pt>
                <c:pt idx="264">
                  <c:v>#N/A</c:v>
                </c:pt>
                <c:pt idx="265">
                  <c:v>#N/A</c:v>
                </c:pt>
                <c:pt idx="266">
                  <c:v>#N/A</c:v>
                </c:pt>
                <c:pt idx="267">
                  <c:v>#N/A</c:v>
                </c:pt>
                <c:pt idx="268">
                  <c:v>#N/A</c:v>
                </c:pt>
                <c:pt idx="269">
                  <c:v>#N/A</c:v>
                </c:pt>
                <c:pt idx="270">
                  <c:v>1001.28</c:v>
                </c:pt>
                <c:pt idx="271">
                  <c:v>#N/A</c:v>
                </c:pt>
                <c:pt idx="272">
                  <c:v>#N/A</c:v>
                </c:pt>
                <c:pt idx="273">
                  <c:v>#N/A</c:v>
                </c:pt>
                <c:pt idx="274">
                  <c:v>#N/A</c:v>
                </c:pt>
                <c:pt idx="275">
                  <c:v>#N/A</c:v>
                </c:pt>
                <c:pt idx="276">
                  <c:v>#N/A</c:v>
                </c:pt>
                <c:pt idx="277">
                  <c:v>#N/A</c:v>
                </c:pt>
                <c:pt idx="278">
                  <c:v>#N/A</c:v>
                </c:pt>
                <c:pt idx="279">
                  <c:v>#N/A</c:v>
                </c:pt>
                <c:pt idx="280">
                  <c:v>1086.1099999999999</c:v>
                </c:pt>
                <c:pt idx="281">
                  <c:v>#N/A</c:v>
                </c:pt>
                <c:pt idx="282">
                  <c:v>#N/A</c:v>
                </c:pt>
                <c:pt idx="283">
                  <c:v>#N/A</c:v>
                </c:pt>
                <c:pt idx="284">
                  <c:v>1066.73</c:v>
                </c:pt>
                <c:pt idx="285">
                  <c:v>#N/A</c:v>
                </c:pt>
                <c:pt idx="286">
                  <c:v>#N/A</c:v>
                </c:pt>
                <c:pt idx="287">
                  <c:v>#N/A</c:v>
                </c:pt>
                <c:pt idx="288">
                  <c:v>#N/A</c:v>
                </c:pt>
                <c:pt idx="289">
                  <c:v>#N/A</c:v>
                </c:pt>
                <c:pt idx="290">
                  <c:v>#N/A</c:v>
                </c:pt>
                <c:pt idx="291">
                  <c:v>1029.99</c:v>
                </c:pt>
                <c:pt idx="292">
                  <c:v>#N/A</c:v>
                </c:pt>
                <c:pt idx="293">
                  <c:v>#N/A</c:v>
                </c:pt>
                <c:pt idx="294">
                  <c:v>#N/A</c:v>
                </c:pt>
                <c:pt idx="295">
                  <c:v>#N/A</c:v>
                </c:pt>
                <c:pt idx="296">
                  <c:v>#N/A</c:v>
                </c:pt>
                <c:pt idx="297">
                  <c:v>#N/A</c:v>
                </c:pt>
                <c:pt idx="298">
                  <c:v>980.96</c:v>
                </c:pt>
                <c:pt idx="299">
                  <c:v>#N/A</c:v>
                </c:pt>
                <c:pt idx="300">
                  <c:v>#N/A</c:v>
                </c:pt>
                <c:pt idx="301">
                  <c:v>#N/A</c:v>
                </c:pt>
                <c:pt idx="302">
                  <c:v>#N/A</c:v>
                </c:pt>
                <c:pt idx="303">
                  <c:v>#N/A</c:v>
                </c:pt>
                <c:pt idx="304">
                  <c:v>#N/A</c:v>
                </c:pt>
                <c:pt idx="305">
                  <c:v>938.9</c:v>
                </c:pt>
                <c:pt idx="306">
                  <c:v>#N/A</c:v>
                </c:pt>
                <c:pt idx="307">
                  <c:v>#N/A</c:v>
                </c:pt>
                <c:pt idx="308">
                  <c:v>#N/A</c:v>
                </c:pt>
                <c:pt idx="309">
                  <c:v>#N/A</c:v>
                </c:pt>
                <c:pt idx="310">
                  <c:v>#N/A</c:v>
                </c:pt>
                <c:pt idx="311">
                  <c:v>#N/A</c:v>
                </c:pt>
                <c:pt idx="312">
                  <c:v>891.22</c:v>
                </c:pt>
                <c:pt idx="313">
                  <c:v>#N/A</c:v>
                </c:pt>
                <c:pt idx="314">
                  <c:v>#N/A</c:v>
                </c:pt>
                <c:pt idx="315">
                  <c:v>#N/A</c:v>
                </c:pt>
                <c:pt idx="316">
                  <c:v>#N/A</c:v>
                </c:pt>
                <c:pt idx="317">
                  <c:v>#N/A</c:v>
                </c:pt>
                <c:pt idx="318">
                  <c:v>#N/A</c:v>
                </c:pt>
                <c:pt idx="319">
                  <c:v>862.79</c:v>
                </c:pt>
                <c:pt idx="320">
                  <c:v>#N/A</c:v>
                </c:pt>
                <c:pt idx="321">
                  <c:v>#N/A</c:v>
                </c:pt>
                <c:pt idx="322">
                  <c:v>#N/A</c:v>
                </c:pt>
                <c:pt idx="323">
                  <c:v>#N/A</c:v>
                </c:pt>
                <c:pt idx="324">
                  <c:v>#N/A</c:v>
                </c:pt>
                <c:pt idx="325">
                  <c:v>842.36</c:v>
                </c:pt>
                <c:pt idx="326">
                  <c:v>#N/A</c:v>
                </c:pt>
                <c:pt idx="327">
                  <c:v>#N/A</c:v>
                </c:pt>
                <c:pt idx="328">
                  <c:v>#N/A</c:v>
                </c:pt>
                <c:pt idx="329">
                  <c:v>#N/A</c:v>
                </c:pt>
                <c:pt idx="330">
                  <c:v>#N/A</c:v>
                </c:pt>
                <c:pt idx="331">
                  <c:v>#N/A</c:v>
                </c:pt>
                <c:pt idx="332">
                  <c:v>#N/A</c:v>
                </c:pt>
                <c:pt idx="333">
                  <c:v>822.83</c:v>
                </c:pt>
                <c:pt idx="334">
                  <c:v>#N/A</c:v>
                </c:pt>
                <c:pt idx="335">
                  <c:v>#N/A</c:v>
                </c:pt>
                <c:pt idx="336">
                  <c:v>#N/A</c:v>
                </c:pt>
                <c:pt idx="337">
                  <c:v>#N/A</c:v>
                </c:pt>
                <c:pt idx="338">
                  <c:v>#N/A</c:v>
                </c:pt>
                <c:pt idx="339">
                  <c:v>#N/A</c:v>
                </c:pt>
                <c:pt idx="340">
                  <c:v>797.77</c:v>
                </c:pt>
                <c:pt idx="341">
                  <c:v>#N/A</c:v>
                </c:pt>
                <c:pt idx="342">
                  <c:v>#N/A</c:v>
                </c:pt>
                <c:pt idx="343">
                  <c:v>#N/A</c:v>
                </c:pt>
                <c:pt idx="344">
                  <c:v>#N/A</c:v>
                </c:pt>
                <c:pt idx="345">
                  <c:v>#N/A</c:v>
                </c:pt>
                <c:pt idx="346">
                  <c:v>#N/A</c:v>
                </c:pt>
                <c:pt idx="347">
                  <c:v>796.7</c:v>
                </c:pt>
                <c:pt idx="348">
                  <c:v>#N/A</c:v>
                </c:pt>
                <c:pt idx="349">
                  <c:v>#N/A</c:v>
                </c:pt>
                <c:pt idx="350">
                  <c:v>#N/A</c:v>
                </c:pt>
                <c:pt idx="351">
                  <c:v>#N/A</c:v>
                </c:pt>
                <c:pt idx="352">
                  <c:v>#N/A</c:v>
                </c:pt>
                <c:pt idx="353">
                  <c:v>#N/A</c:v>
                </c:pt>
                <c:pt idx="354">
                  <c:v>789.91</c:v>
                </c:pt>
                <c:pt idx="355">
                  <c:v>#N/A</c:v>
                </c:pt>
                <c:pt idx="356">
                  <c:v>#N/A</c:v>
                </c:pt>
                <c:pt idx="357">
                  <c:v>#N/A</c:v>
                </c:pt>
                <c:pt idx="358">
                  <c:v>#N/A</c:v>
                </c:pt>
                <c:pt idx="359">
                  <c:v>#N/A</c:v>
                </c:pt>
                <c:pt idx="360">
                  <c:v>#N/A</c:v>
                </c:pt>
                <c:pt idx="361">
                  <c:v>797.56</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3E5-4CA0-9E17-C09B23CECC7E}"/>
            </c:ext>
          </c:extLst>
        </c:ser>
        <c:ser>
          <c:idx val="2"/>
          <c:order val="1"/>
          <c:tx>
            <c:strRef>
              <c:f>库存!$I$1</c:f>
              <c:strCache>
                <c:ptCount val="1"/>
                <c:pt idx="0">
                  <c:v>2019</c:v>
                </c:pt>
              </c:strCache>
            </c:strRef>
          </c:tx>
          <c:spPr>
            <a:ln w="28575">
              <a:solidFill>
                <a:srgbClr val="F8CBAD"/>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库存!$I$2:$I$366</c:f>
              <c:numCache>
                <c:formatCode>General</c:formatCode>
                <c:ptCount val="365"/>
                <c:pt idx="0">
                  <c:v>#N/A</c:v>
                </c:pt>
                <c:pt idx="1">
                  <c:v>#N/A</c:v>
                </c:pt>
                <c:pt idx="2">
                  <c:v>#N/A</c:v>
                </c:pt>
                <c:pt idx="3">
                  <c:v>839.2</c:v>
                </c:pt>
                <c:pt idx="4">
                  <c:v>#N/A</c:v>
                </c:pt>
                <c:pt idx="5">
                  <c:v>#N/A</c:v>
                </c:pt>
                <c:pt idx="6">
                  <c:v>#N/A</c:v>
                </c:pt>
                <c:pt idx="7">
                  <c:v>#N/A</c:v>
                </c:pt>
                <c:pt idx="8">
                  <c:v>#N/A</c:v>
                </c:pt>
                <c:pt idx="9">
                  <c:v>#N/A</c:v>
                </c:pt>
                <c:pt idx="10">
                  <c:v>884.63</c:v>
                </c:pt>
                <c:pt idx="11">
                  <c:v>#N/A</c:v>
                </c:pt>
                <c:pt idx="12">
                  <c:v>#N/A</c:v>
                </c:pt>
                <c:pt idx="13">
                  <c:v>#N/A</c:v>
                </c:pt>
                <c:pt idx="14">
                  <c:v>#N/A</c:v>
                </c:pt>
                <c:pt idx="15">
                  <c:v>#N/A</c:v>
                </c:pt>
                <c:pt idx="16">
                  <c:v>#N/A</c:v>
                </c:pt>
                <c:pt idx="17">
                  <c:v>925.35</c:v>
                </c:pt>
                <c:pt idx="18">
                  <c:v>#N/A</c:v>
                </c:pt>
                <c:pt idx="19">
                  <c:v>#N/A</c:v>
                </c:pt>
                <c:pt idx="20">
                  <c:v>#N/A</c:v>
                </c:pt>
                <c:pt idx="21">
                  <c:v>#N/A</c:v>
                </c:pt>
                <c:pt idx="22">
                  <c:v>#N/A</c:v>
                </c:pt>
                <c:pt idx="23">
                  <c:v>#N/A</c:v>
                </c:pt>
                <c:pt idx="24">
                  <c:v>992.71</c:v>
                </c:pt>
                <c:pt idx="25">
                  <c:v>#N/A</c:v>
                </c:pt>
                <c:pt idx="26">
                  <c:v>#N/A</c:v>
                </c:pt>
                <c:pt idx="27">
                  <c:v>#N/A</c:v>
                </c:pt>
                <c:pt idx="28">
                  <c:v>#N/A</c:v>
                </c:pt>
                <c:pt idx="29">
                  <c:v>#N/A</c:v>
                </c:pt>
                <c:pt idx="30">
                  <c:v>#N/A</c:v>
                </c:pt>
                <c:pt idx="31">
                  <c:v>1117.96</c:v>
                </c:pt>
                <c:pt idx="32">
                  <c:v>#N/A</c:v>
                </c:pt>
                <c:pt idx="33">
                  <c:v>#N/A</c:v>
                </c:pt>
                <c:pt idx="34">
                  <c:v>#N/A</c:v>
                </c:pt>
                <c:pt idx="35">
                  <c:v>#N/A</c:v>
                </c:pt>
                <c:pt idx="36">
                  <c:v>#N/A</c:v>
                </c:pt>
                <c:pt idx="37">
                  <c:v>#N/A</c:v>
                </c:pt>
                <c:pt idx="38">
                  <c:v>1458.05</c:v>
                </c:pt>
                <c:pt idx="39">
                  <c:v>#N/A</c:v>
                </c:pt>
                <c:pt idx="40">
                  <c:v>#N/A</c:v>
                </c:pt>
                <c:pt idx="41">
                  <c:v>#N/A</c:v>
                </c:pt>
                <c:pt idx="42">
                  <c:v>#N/A</c:v>
                </c:pt>
                <c:pt idx="43">
                  <c:v>#N/A</c:v>
                </c:pt>
                <c:pt idx="44">
                  <c:v>#N/A</c:v>
                </c:pt>
                <c:pt idx="45">
                  <c:v>1619.91</c:v>
                </c:pt>
                <c:pt idx="46">
                  <c:v>#N/A</c:v>
                </c:pt>
                <c:pt idx="47">
                  <c:v>#N/A</c:v>
                </c:pt>
                <c:pt idx="48">
                  <c:v>#N/A</c:v>
                </c:pt>
                <c:pt idx="49">
                  <c:v>#N/A</c:v>
                </c:pt>
                <c:pt idx="50">
                  <c:v>#N/A</c:v>
                </c:pt>
                <c:pt idx="51">
                  <c:v>#N/A</c:v>
                </c:pt>
                <c:pt idx="52">
                  <c:v>1799.15</c:v>
                </c:pt>
                <c:pt idx="53">
                  <c:v>#N/A</c:v>
                </c:pt>
                <c:pt idx="54">
                  <c:v>#N/A</c:v>
                </c:pt>
                <c:pt idx="55">
                  <c:v>#N/A</c:v>
                </c:pt>
                <c:pt idx="56">
                  <c:v>#N/A</c:v>
                </c:pt>
                <c:pt idx="57">
                  <c:v>#N/A</c:v>
                </c:pt>
                <c:pt idx="58">
                  <c:v>#N/A</c:v>
                </c:pt>
                <c:pt idx="59">
                  <c:v>1868.66</c:v>
                </c:pt>
                <c:pt idx="60">
                  <c:v>#N/A</c:v>
                </c:pt>
                <c:pt idx="61">
                  <c:v>#N/A</c:v>
                </c:pt>
                <c:pt idx="62">
                  <c:v>#N/A</c:v>
                </c:pt>
                <c:pt idx="63">
                  <c:v>#N/A</c:v>
                </c:pt>
                <c:pt idx="64">
                  <c:v>#N/A</c:v>
                </c:pt>
                <c:pt idx="65">
                  <c:v>#N/A</c:v>
                </c:pt>
                <c:pt idx="66">
                  <c:v>1851.82</c:v>
                </c:pt>
                <c:pt idx="67">
                  <c:v>#N/A</c:v>
                </c:pt>
                <c:pt idx="68">
                  <c:v>#N/A</c:v>
                </c:pt>
                <c:pt idx="69">
                  <c:v>#N/A</c:v>
                </c:pt>
                <c:pt idx="70">
                  <c:v>#N/A</c:v>
                </c:pt>
                <c:pt idx="71">
                  <c:v>#N/A</c:v>
                </c:pt>
                <c:pt idx="72">
                  <c:v>#N/A</c:v>
                </c:pt>
                <c:pt idx="73">
                  <c:v>1781.91</c:v>
                </c:pt>
                <c:pt idx="74">
                  <c:v>#N/A</c:v>
                </c:pt>
                <c:pt idx="75">
                  <c:v>#N/A</c:v>
                </c:pt>
                <c:pt idx="76">
                  <c:v>#N/A</c:v>
                </c:pt>
                <c:pt idx="77">
                  <c:v>#N/A</c:v>
                </c:pt>
                <c:pt idx="78">
                  <c:v>#N/A</c:v>
                </c:pt>
                <c:pt idx="79">
                  <c:v>#N/A</c:v>
                </c:pt>
                <c:pt idx="80">
                  <c:v>1681.29</c:v>
                </c:pt>
                <c:pt idx="81">
                  <c:v>#N/A</c:v>
                </c:pt>
                <c:pt idx="82">
                  <c:v>#N/A</c:v>
                </c:pt>
                <c:pt idx="83">
                  <c:v>#N/A</c:v>
                </c:pt>
                <c:pt idx="84">
                  <c:v>#N/A</c:v>
                </c:pt>
                <c:pt idx="85">
                  <c:v>#N/A</c:v>
                </c:pt>
                <c:pt idx="86">
                  <c:v>#N/A</c:v>
                </c:pt>
                <c:pt idx="87">
                  <c:v>1602.53</c:v>
                </c:pt>
                <c:pt idx="88">
                  <c:v>#N/A</c:v>
                </c:pt>
                <c:pt idx="89">
                  <c:v>#N/A</c:v>
                </c:pt>
                <c:pt idx="90">
                  <c:v>#N/A</c:v>
                </c:pt>
                <c:pt idx="91">
                  <c:v>#N/A</c:v>
                </c:pt>
                <c:pt idx="92">
                  <c:v>#N/A</c:v>
                </c:pt>
                <c:pt idx="93">
                  <c:v>#N/A</c:v>
                </c:pt>
                <c:pt idx="94">
                  <c:v>1514.02</c:v>
                </c:pt>
                <c:pt idx="95">
                  <c:v>#N/A</c:v>
                </c:pt>
                <c:pt idx="96">
                  <c:v>#N/A</c:v>
                </c:pt>
                <c:pt idx="97">
                  <c:v>#N/A</c:v>
                </c:pt>
                <c:pt idx="98">
                  <c:v>#N/A</c:v>
                </c:pt>
                <c:pt idx="99">
                  <c:v>#N/A</c:v>
                </c:pt>
                <c:pt idx="100">
                  <c:v>#N/A</c:v>
                </c:pt>
                <c:pt idx="101">
                  <c:v>1426.38</c:v>
                </c:pt>
                <c:pt idx="102">
                  <c:v>#N/A</c:v>
                </c:pt>
                <c:pt idx="103">
                  <c:v>#N/A</c:v>
                </c:pt>
                <c:pt idx="104">
                  <c:v>#N/A</c:v>
                </c:pt>
                <c:pt idx="105">
                  <c:v>#N/A</c:v>
                </c:pt>
                <c:pt idx="106">
                  <c:v>#N/A</c:v>
                </c:pt>
                <c:pt idx="107">
                  <c:v>#N/A</c:v>
                </c:pt>
                <c:pt idx="108">
                  <c:v>1334.84</c:v>
                </c:pt>
                <c:pt idx="109">
                  <c:v>#N/A</c:v>
                </c:pt>
                <c:pt idx="110">
                  <c:v>#N/A</c:v>
                </c:pt>
                <c:pt idx="111">
                  <c:v>#N/A</c:v>
                </c:pt>
                <c:pt idx="112">
                  <c:v>#N/A</c:v>
                </c:pt>
                <c:pt idx="113">
                  <c:v>#N/A</c:v>
                </c:pt>
                <c:pt idx="114">
                  <c:v>#N/A</c:v>
                </c:pt>
                <c:pt idx="115">
                  <c:v>1273.6400000000001</c:v>
                </c:pt>
                <c:pt idx="116">
                  <c:v>#N/A</c:v>
                </c:pt>
                <c:pt idx="117">
                  <c:v>#N/A</c:v>
                </c:pt>
                <c:pt idx="118">
                  <c:v>#N/A</c:v>
                </c:pt>
                <c:pt idx="119">
                  <c:v>#N/A</c:v>
                </c:pt>
                <c:pt idx="120">
                  <c:v>#N/A</c:v>
                </c:pt>
                <c:pt idx="121">
                  <c:v>#N/A</c:v>
                </c:pt>
                <c:pt idx="122">
                  <c:v>1242.76</c:v>
                </c:pt>
                <c:pt idx="123">
                  <c:v>#N/A</c:v>
                </c:pt>
                <c:pt idx="124">
                  <c:v>#N/A</c:v>
                </c:pt>
                <c:pt idx="125">
                  <c:v>#N/A</c:v>
                </c:pt>
                <c:pt idx="126">
                  <c:v>#N/A</c:v>
                </c:pt>
                <c:pt idx="127">
                  <c:v>#N/A</c:v>
                </c:pt>
                <c:pt idx="128">
                  <c:v>#N/A</c:v>
                </c:pt>
                <c:pt idx="129">
                  <c:v>1215.52</c:v>
                </c:pt>
                <c:pt idx="130">
                  <c:v>#N/A</c:v>
                </c:pt>
                <c:pt idx="131">
                  <c:v>#N/A</c:v>
                </c:pt>
                <c:pt idx="132">
                  <c:v>#N/A</c:v>
                </c:pt>
                <c:pt idx="133">
                  <c:v>#N/A</c:v>
                </c:pt>
                <c:pt idx="134">
                  <c:v>#N/A</c:v>
                </c:pt>
                <c:pt idx="135">
                  <c:v>#N/A</c:v>
                </c:pt>
                <c:pt idx="136">
                  <c:v>1164.0899999999999</c:v>
                </c:pt>
                <c:pt idx="137">
                  <c:v>#N/A</c:v>
                </c:pt>
                <c:pt idx="138">
                  <c:v>#N/A</c:v>
                </c:pt>
                <c:pt idx="139">
                  <c:v>#N/A</c:v>
                </c:pt>
                <c:pt idx="140">
                  <c:v>#N/A</c:v>
                </c:pt>
                <c:pt idx="141">
                  <c:v>#N/A</c:v>
                </c:pt>
                <c:pt idx="142">
                  <c:v>#N/A</c:v>
                </c:pt>
                <c:pt idx="143">
                  <c:v>1123.3699999999999</c:v>
                </c:pt>
                <c:pt idx="144">
                  <c:v>#N/A</c:v>
                </c:pt>
                <c:pt idx="145">
                  <c:v>#N/A</c:v>
                </c:pt>
                <c:pt idx="146">
                  <c:v>#N/A</c:v>
                </c:pt>
                <c:pt idx="147">
                  <c:v>#N/A</c:v>
                </c:pt>
                <c:pt idx="148">
                  <c:v>#N/A</c:v>
                </c:pt>
                <c:pt idx="149">
                  <c:v>#N/A</c:v>
                </c:pt>
                <c:pt idx="150">
                  <c:v>1104.6300000000001</c:v>
                </c:pt>
                <c:pt idx="151">
                  <c:v>#N/A</c:v>
                </c:pt>
                <c:pt idx="152">
                  <c:v>#N/A</c:v>
                </c:pt>
                <c:pt idx="153">
                  <c:v>#N/A</c:v>
                </c:pt>
                <c:pt idx="154">
                  <c:v>#N/A</c:v>
                </c:pt>
                <c:pt idx="155">
                  <c:v>#N/A</c:v>
                </c:pt>
                <c:pt idx="156">
                  <c:v>#N/A</c:v>
                </c:pt>
                <c:pt idx="157">
                  <c:v>1091.19</c:v>
                </c:pt>
                <c:pt idx="158">
                  <c:v>#N/A</c:v>
                </c:pt>
                <c:pt idx="159">
                  <c:v>#N/A</c:v>
                </c:pt>
                <c:pt idx="160">
                  <c:v>#N/A</c:v>
                </c:pt>
                <c:pt idx="161">
                  <c:v>#N/A</c:v>
                </c:pt>
                <c:pt idx="162">
                  <c:v>#N/A</c:v>
                </c:pt>
                <c:pt idx="163">
                  <c:v>#N/A</c:v>
                </c:pt>
                <c:pt idx="164">
                  <c:v>1122.04</c:v>
                </c:pt>
                <c:pt idx="165">
                  <c:v>#N/A</c:v>
                </c:pt>
                <c:pt idx="166">
                  <c:v>#N/A</c:v>
                </c:pt>
                <c:pt idx="167">
                  <c:v>#N/A</c:v>
                </c:pt>
                <c:pt idx="168">
                  <c:v>#N/A</c:v>
                </c:pt>
                <c:pt idx="169">
                  <c:v>#N/A</c:v>
                </c:pt>
                <c:pt idx="170">
                  <c:v>#N/A</c:v>
                </c:pt>
                <c:pt idx="171">
                  <c:v>1135.0899999999999</c:v>
                </c:pt>
                <c:pt idx="172">
                  <c:v>#N/A</c:v>
                </c:pt>
                <c:pt idx="173">
                  <c:v>#N/A</c:v>
                </c:pt>
                <c:pt idx="174">
                  <c:v>#N/A</c:v>
                </c:pt>
                <c:pt idx="175">
                  <c:v>#N/A</c:v>
                </c:pt>
                <c:pt idx="176">
                  <c:v>#N/A</c:v>
                </c:pt>
                <c:pt idx="177">
                  <c:v>#N/A</c:v>
                </c:pt>
                <c:pt idx="178">
                  <c:v>1146.04</c:v>
                </c:pt>
                <c:pt idx="179">
                  <c:v>#N/A</c:v>
                </c:pt>
                <c:pt idx="180">
                  <c:v>#N/A</c:v>
                </c:pt>
                <c:pt idx="181">
                  <c:v>#N/A</c:v>
                </c:pt>
                <c:pt idx="182">
                  <c:v>#N/A</c:v>
                </c:pt>
                <c:pt idx="183">
                  <c:v>#N/A</c:v>
                </c:pt>
                <c:pt idx="184">
                  <c:v>#N/A</c:v>
                </c:pt>
                <c:pt idx="185">
                  <c:v>1163.48</c:v>
                </c:pt>
                <c:pt idx="186">
                  <c:v>#N/A</c:v>
                </c:pt>
                <c:pt idx="187">
                  <c:v>#N/A</c:v>
                </c:pt>
                <c:pt idx="188">
                  <c:v>#N/A</c:v>
                </c:pt>
                <c:pt idx="189">
                  <c:v>#N/A</c:v>
                </c:pt>
                <c:pt idx="190">
                  <c:v>#N/A</c:v>
                </c:pt>
                <c:pt idx="191">
                  <c:v>#N/A</c:v>
                </c:pt>
                <c:pt idx="192">
                  <c:v>1183.68</c:v>
                </c:pt>
                <c:pt idx="193">
                  <c:v>#N/A</c:v>
                </c:pt>
                <c:pt idx="194">
                  <c:v>#N/A</c:v>
                </c:pt>
                <c:pt idx="195">
                  <c:v>#N/A</c:v>
                </c:pt>
                <c:pt idx="196">
                  <c:v>#N/A</c:v>
                </c:pt>
                <c:pt idx="197">
                  <c:v>#N/A</c:v>
                </c:pt>
                <c:pt idx="198">
                  <c:v>#N/A</c:v>
                </c:pt>
                <c:pt idx="199">
                  <c:v>1215.78</c:v>
                </c:pt>
                <c:pt idx="200">
                  <c:v>#N/A</c:v>
                </c:pt>
                <c:pt idx="201">
                  <c:v>#N/A</c:v>
                </c:pt>
                <c:pt idx="202">
                  <c:v>#N/A</c:v>
                </c:pt>
                <c:pt idx="203">
                  <c:v>#N/A</c:v>
                </c:pt>
                <c:pt idx="204">
                  <c:v>#N/A</c:v>
                </c:pt>
                <c:pt idx="205">
                  <c:v>#N/A</c:v>
                </c:pt>
                <c:pt idx="206">
                  <c:v>1254.53</c:v>
                </c:pt>
                <c:pt idx="207">
                  <c:v>#N/A</c:v>
                </c:pt>
                <c:pt idx="208">
                  <c:v>#N/A</c:v>
                </c:pt>
                <c:pt idx="209">
                  <c:v>#N/A</c:v>
                </c:pt>
                <c:pt idx="210">
                  <c:v>#N/A</c:v>
                </c:pt>
                <c:pt idx="211">
                  <c:v>#N/A</c:v>
                </c:pt>
                <c:pt idx="212">
                  <c:v>#N/A</c:v>
                </c:pt>
                <c:pt idx="213">
                  <c:v>1284.53</c:v>
                </c:pt>
                <c:pt idx="214">
                  <c:v>#N/A</c:v>
                </c:pt>
                <c:pt idx="215">
                  <c:v>#N/A</c:v>
                </c:pt>
                <c:pt idx="216">
                  <c:v>#N/A</c:v>
                </c:pt>
                <c:pt idx="217">
                  <c:v>#N/A</c:v>
                </c:pt>
                <c:pt idx="218">
                  <c:v>#N/A</c:v>
                </c:pt>
                <c:pt idx="219">
                  <c:v>#N/A</c:v>
                </c:pt>
                <c:pt idx="220">
                  <c:v>1299.98</c:v>
                </c:pt>
                <c:pt idx="221">
                  <c:v>#N/A</c:v>
                </c:pt>
                <c:pt idx="222">
                  <c:v>#N/A</c:v>
                </c:pt>
                <c:pt idx="223">
                  <c:v>#N/A</c:v>
                </c:pt>
                <c:pt idx="224">
                  <c:v>#N/A</c:v>
                </c:pt>
                <c:pt idx="225">
                  <c:v>#N/A</c:v>
                </c:pt>
                <c:pt idx="226">
                  <c:v>#N/A</c:v>
                </c:pt>
                <c:pt idx="227">
                  <c:v>1288.44</c:v>
                </c:pt>
                <c:pt idx="228">
                  <c:v>#N/A</c:v>
                </c:pt>
                <c:pt idx="229">
                  <c:v>#N/A</c:v>
                </c:pt>
                <c:pt idx="230">
                  <c:v>#N/A</c:v>
                </c:pt>
                <c:pt idx="231">
                  <c:v>#N/A</c:v>
                </c:pt>
                <c:pt idx="232">
                  <c:v>#N/A</c:v>
                </c:pt>
                <c:pt idx="233">
                  <c:v>#N/A</c:v>
                </c:pt>
                <c:pt idx="234">
                  <c:v>1277.81</c:v>
                </c:pt>
                <c:pt idx="235">
                  <c:v>#N/A</c:v>
                </c:pt>
                <c:pt idx="236">
                  <c:v>#N/A</c:v>
                </c:pt>
                <c:pt idx="237">
                  <c:v>#N/A</c:v>
                </c:pt>
                <c:pt idx="238">
                  <c:v>#N/A</c:v>
                </c:pt>
                <c:pt idx="239">
                  <c:v>#N/A</c:v>
                </c:pt>
                <c:pt idx="240">
                  <c:v>#N/A</c:v>
                </c:pt>
                <c:pt idx="241">
                  <c:v>1248.1300000000001</c:v>
                </c:pt>
                <c:pt idx="242">
                  <c:v>#N/A</c:v>
                </c:pt>
                <c:pt idx="243">
                  <c:v>#N/A</c:v>
                </c:pt>
                <c:pt idx="244">
                  <c:v>#N/A</c:v>
                </c:pt>
                <c:pt idx="245">
                  <c:v>#N/A</c:v>
                </c:pt>
                <c:pt idx="246">
                  <c:v>#N/A</c:v>
                </c:pt>
                <c:pt idx="247">
                  <c:v>#N/A</c:v>
                </c:pt>
                <c:pt idx="248">
                  <c:v>1214.21</c:v>
                </c:pt>
                <c:pt idx="249">
                  <c:v>#N/A</c:v>
                </c:pt>
                <c:pt idx="250">
                  <c:v>#N/A</c:v>
                </c:pt>
                <c:pt idx="251">
                  <c:v>#N/A</c:v>
                </c:pt>
                <c:pt idx="252">
                  <c:v>#N/A</c:v>
                </c:pt>
                <c:pt idx="253">
                  <c:v>#N/A</c:v>
                </c:pt>
                <c:pt idx="254">
                  <c:v>#N/A</c:v>
                </c:pt>
                <c:pt idx="255">
                  <c:v>1161.48</c:v>
                </c:pt>
                <c:pt idx="256">
                  <c:v>#N/A</c:v>
                </c:pt>
                <c:pt idx="257">
                  <c:v>#N/A</c:v>
                </c:pt>
                <c:pt idx="258">
                  <c:v>#N/A</c:v>
                </c:pt>
                <c:pt idx="259">
                  <c:v>#N/A</c:v>
                </c:pt>
                <c:pt idx="260">
                  <c:v>#N/A</c:v>
                </c:pt>
                <c:pt idx="261">
                  <c:v>#N/A</c:v>
                </c:pt>
                <c:pt idx="262">
                  <c:v>1142.67</c:v>
                </c:pt>
                <c:pt idx="263">
                  <c:v>#N/A</c:v>
                </c:pt>
                <c:pt idx="264">
                  <c:v>#N/A</c:v>
                </c:pt>
                <c:pt idx="265">
                  <c:v>#N/A</c:v>
                </c:pt>
                <c:pt idx="266">
                  <c:v>#N/A</c:v>
                </c:pt>
                <c:pt idx="267">
                  <c:v>#N/A</c:v>
                </c:pt>
                <c:pt idx="268">
                  <c:v>#N/A</c:v>
                </c:pt>
                <c:pt idx="269">
                  <c:v>1083.17</c:v>
                </c:pt>
                <c:pt idx="270">
                  <c:v>#N/A</c:v>
                </c:pt>
                <c:pt idx="271">
                  <c:v>#N/A</c:v>
                </c:pt>
                <c:pt idx="272">
                  <c:v>#N/A</c:v>
                </c:pt>
                <c:pt idx="273">
                  <c:v>#N/A</c:v>
                </c:pt>
                <c:pt idx="274">
                  <c:v>#N/A</c:v>
                </c:pt>
                <c:pt idx="275">
                  <c:v>#N/A</c:v>
                </c:pt>
                <c:pt idx="276">
                  <c:v>1142.6300000000001</c:v>
                </c:pt>
                <c:pt idx="277">
                  <c:v>#N/A</c:v>
                </c:pt>
                <c:pt idx="278">
                  <c:v>#N/A</c:v>
                </c:pt>
                <c:pt idx="279">
                  <c:v>#N/A</c:v>
                </c:pt>
                <c:pt idx="280">
                  <c:v>#N/A</c:v>
                </c:pt>
                <c:pt idx="281">
                  <c:v>#N/A</c:v>
                </c:pt>
                <c:pt idx="282">
                  <c:v>#N/A</c:v>
                </c:pt>
                <c:pt idx="283">
                  <c:v>1125.8900000000001</c:v>
                </c:pt>
                <c:pt idx="284">
                  <c:v>#N/A</c:v>
                </c:pt>
                <c:pt idx="285">
                  <c:v>#N/A</c:v>
                </c:pt>
                <c:pt idx="286">
                  <c:v>#N/A</c:v>
                </c:pt>
                <c:pt idx="287">
                  <c:v>#N/A</c:v>
                </c:pt>
                <c:pt idx="288">
                  <c:v>#N/A</c:v>
                </c:pt>
                <c:pt idx="289">
                  <c:v>#N/A</c:v>
                </c:pt>
                <c:pt idx="290">
                  <c:v>1046.56</c:v>
                </c:pt>
                <c:pt idx="291">
                  <c:v>#N/A</c:v>
                </c:pt>
                <c:pt idx="292">
                  <c:v>#N/A</c:v>
                </c:pt>
                <c:pt idx="293">
                  <c:v>#N/A</c:v>
                </c:pt>
                <c:pt idx="294">
                  <c:v>#N/A</c:v>
                </c:pt>
                <c:pt idx="295">
                  <c:v>#N/A</c:v>
                </c:pt>
                <c:pt idx="296">
                  <c:v>#N/A</c:v>
                </c:pt>
                <c:pt idx="297">
                  <c:v>986.63</c:v>
                </c:pt>
                <c:pt idx="298">
                  <c:v>#N/A</c:v>
                </c:pt>
                <c:pt idx="299">
                  <c:v>#N/A</c:v>
                </c:pt>
                <c:pt idx="300">
                  <c:v>#N/A</c:v>
                </c:pt>
                <c:pt idx="301">
                  <c:v>#N/A</c:v>
                </c:pt>
                <c:pt idx="302">
                  <c:v>#N/A</c:v>
                </c:pt>
                <c:pt idx="303">
                  <c:v>#N/A</c:v>
                </c:pt>
                <c:pt idx="304">
                  <c:v>938.47</c:v>
                </c:pt>
                <c:pt idx="305">
                  <c:v>#N/A</c:v>
                </c:pt>
                <c:pt idx="306">
                  <c:v>#N/A</c:v>
                </c:pt>
                <c:pt idx="307">
                  <c:v>#N/A</c:v>
                </c:pt>
                <c:pt idx="308">
                  <c:v>#N/A</c:v>
                </c:pt>
                <c:pt idx="309">
                  <c:v>#N/A</c:v>
                </c:pt>
                <c:pt idx="310">
                  <c:v>#N/A</c:v>
                </c:pt>
                <c:pt idx="311">
                  <c:v>887.3</c:v>
                </c:pt>
                <c:pt idx="312">
                  <c:v>#N/A</c:v>
                </c:pt>
                <c:pt idx="313">
                  <c:v>#N/A</c:v>
                </c:pt>
                <c:pt idx="314">
                  <c:v>#N/A</c:v>
                </c:pt>
                <c:pt idx="315">
                  <c:v>#N/A</c:v>
                </c:pt>
                <c:pt idx="316">
                  <c:v>#N/A</c:v>
                </c:pt>
                <c:pt idx="317">
                  <c:v>#N/A</c:v>
                </c:pt>
                <c:pt idx="318">
                  <c:v>833.81</c:v>
                </c:pt>
                <c:pt idx="319">
                  <c:v>#N/A</c:v>
                </c:pt>
                <c:pt idx="320">
                  <c:v>#N/A</c:v>
                </c:pt>
                <c:pt idx="321">
                  <c:v>#N/A</c:v>
                </c:pt>
                <c:pt idx="322">
                  <c:v>#N/A</c:v>
                </c:pt>
                <c:pt idx="323">
                  <c:v>#N/A</c:v>
                </c:pt>
                <c:pt idx="324">
                  <c:v>#N/A</c:v>
                </c:pt>
                <c:pt idx="325">
                  <c:v>780.49</c:v>
                </c:pt>
                <c:pt idx="326">
                  <c:v>#N/A</c:v>
                </c:pt>
                <c:pt idx="327">
                  <c:v>#N/A</c:v>
                </c:pt>
                <c:pt idx="328">
                  <c:v>#N/A</c:v>
                </c:pt>
                <c:pt idx="329">
                  <c:v>#N/A</c:v>
                </c:pt>
                <c:pt idx="330">
                  <c:v>#N/A</c:v>
                </c:pt>
                <c:pt idx="331">
                  <c:v>#N/A</c:v>
                </c:pt>
                <c:pt idx="332">
                  <c:v>757.68</c:v>
                </c:pt>
                <c:pt idx="333">
                  <c:v>#N/A</c:v>
                </c:pt>
                <c:pt idx="334">
                  <c:v>#N/A</c:v>
                </c:pt>
                <c:pt idx="335">
                  <c:v>#N/A</c:v>
                </c:pt>
                <c:pt idx="336">
                  <c:v>#N/A</c:v>
                </c:pt>
                <c:pt idx="337">
                  <c:v>#N/A</c:v>
                </c:pt>
                <c:pt idx="338">
                  <c:v>#N/A</c:v>
                </c:pt>
                <c:pt idx="339">
                  <c:v>756.05</c:v>
                </c:pt>
                <c:pt idx="340">
                  <c:v>#N/A</c:v>
                </c:pt>
                <c:pt idx="341">
                  <c:v>#N/A</c:v>
                </c:pt>
                <c:pt idx="342">
                  <c:v>#N/A</c:v>
                </c:pt>
                <c:pt idx="343">
                  <c:v>#N/A</c:v>
                </c:pt>
                <c:pt idx="344">
                  <c:v>#N/A</c:v>
                </c:pt>
                <c:pt idx="345">
                  <c:v>#N/A</c:v>
                </c:pt>
                <c:pt idx="346">
                  <c:v>743.54</c:v>
                </c:pt>
                <c:pt idx="347">
                  <c:v>#N/A</c:v>
                </c:pt>
                <c:pt idx="348">
                  <c:v>#N/A</c:v>
                </c:pt>
                <c:pt idx="349">
                  <c:v>#N/A</c:v>
                </c:pt>
                <c:pt idx="350">
                  <c:v>#N/A</c:v>
                </c:pt>
                <c:pt idx="351">
                  <c:v>#N/A</c:v>
                </c:pt>
                <c:pt idx="352">
                  <c:v>#N/A</c:v>
                </c:pt>
                <c:pt idx="353">
                  <c:v>748.81</c:v>
                </c:pt>
                <c:pt idx="354">
                  <c:v>#N/A</c:v>
                </c:pt>
                <c:pt idx="355">
                  <c:v>#N/A</c:v>
                </c:pt>
                <c:pt idx="356">
                  <c:v>#N/A</c:v>
                </c:pt>
                <c:pt idx="357">
                  <c:v>#N/A</c:v>
                </c:pt>
                <c:pt idx="358">
                  <c:v>#N/A</c:v>
                </c:pt>
                <c:pt idx="359">
                  <c:v>#N/A</c:v>
                </c:pt>
                <c:pt idx="360">
                  <c:v>772.26</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3E5-4CA0-9E17-C09B23CECC7E}"/>
            </c:ext>
          </c:extLst>
        </c:ser>
        <c:ser>
          <c:idx val="1"/>
          <c:order val="2"/>
          <c:tx>
            <c:strRef>
              <c:f>库存!$J$1</c:f>
              <c:strCache>
                <c:ptCount val="1"/>
                <c:pt idx="0">
                  <c:v>2020</c:v>
                </c:pt>
              </c:strCache>
            </c:strRef>
          </c:tx>
          <c:spPr>
            <a:ln w="28575">
              <a:solidFill>
                <a:srgbClr val="BF5711"/>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库存!$J$2:$J$366</c:f>
              <c:numCache>
                <c:formatCode>General</c:formatCode>
                <c:ptCount val="365"/>
                <c:pt idx="0">
                  <c:v>#N/A</c:v>
                </c:pt>
                <c:pt idx="1">
                  <c:v>#N/A</c:v>
                </c:pt>
                <c:pt idx="2">
                  <c:v>826.25</c:v>
                </c:pt>
                <c:pt idx="3">
                  <c:v>#N/A</c:v>
                </c:pt>
                <c:pt idx="4">
                  <c:v>#N/A</c:v>
                </c:pt>
                <c:pt idx="5">
                  <c:v>#N/A</c:v>
                </c:pt>
                <c:pt idx="6">
                  <c:v>#N/A</c:v>
                </c:pt>
                <c:pt idx="7">
                  <c:v>#N/A</c:v>
                </c:pt>
                <c:pt idx="8">
                  <c:v>#N/A</c:v>
                </c:pt>
                <c:pt idx="9">
                  <c:v>903.67</c:v>
                </c:pt>
                <c:pt idx="10">
                  <c:v>#N/A</c:v>
                </c:pt>
                <c:pt idx="11">
                  <c:v>#N/A</c:v>
                </c:pt>
                <c:pt idx="12">
                  <c:v>#N/A</c:v>
                </c:pt>
                <c:pt idx="13">
                  <c:v>#N/A</c:v>
                </c:pt>
                <c:pt idx="14">
                  <c:v>#N/A</c:v>
                </c:pt>
                <c:pt idx="15">
                  <c:v>#N/A</c:v>
                </c:pt>
                <c:pt idx="16">
                  <c:v>1024.3800000000001</c:v>
                </c:pt>
                <c:pt idx="17">
                  <c:v>#N/A</c:v>
                </c:pt>
                <c:pt idx="18">
                  <c:v>#N/A</c:v>
                </c:pt>
                <c:pt idx="19">
                  <c:v>#N/A</c:v>
                </c:pt>
                <c:pt idx="20">
                  <c:v>#N/A</c:v>
                </c:pt>
                <c:pt idx="21">
                  <c:v>#N/A</c:v>
                </c:pt>
                <c:pt idx="22">
                  <c:v>#N/A</c:v>
                </c:pt>
                <c:pt idx="23">
                  <c:v>1184.82</c:v>
                </c:pt>
                <c:pt idx="24">
                  <c:v>#N/A</c:v>
                </c:pt>
                <c:pt idx="25">
                  <c:v>#N/A</c:v>
                </c:pt>
                <c:pt idx="26">
                  <c:v>#N/A</c:v>
                </c:pt>
                <c:pt idx="27">
                  <c:v>#N/A</c:v>
                </c:pt>
                <c:pt idx="28">
                  <c:v>#N/A</c:v>
                </c:pt>
                <c:pt idx="29">
                  <c:v>#N/A</c:v>
                </c:pt>
                <c:pt idx="30">
                  <c:v>1504.49</c:v>
                </c:pt>
                <c:pt idx="31">
                  <c:v>#N/A</c:v>
                </c:pt>
                <c:pt idx="32">
                  <c:v>#N/A</c:v>
                </c:pt>
                <c:pt idx="33">
                  <c:v>#N/A</c:v>
                </c:pt>
                <c:pt idx="34">
                  <c:v>#N/A</c:v>
                </c:pt>
                <c:pt idx="35">
                  <c:v>#N/A</c:v>
                </c:pt>
                <c:pt idx="36">
                  <c:v>#N/A</c:v>
                </c:pt>
                <c:pt idx="37">
                  <c:v>1634.4</c:v>
                </c:pt>
                <c:pt idx="38">
                  <c:v>#N/A</c:v>
                </c:pt>
                <c:pt idx="39">
                  <c:v>#N/A</c:v>
                </c:pt>
                <c:pt idx="40">
                  <c:v>#N/A</c:v>
                </c:pt>
                <c:pt idx="41">
                  <c:v>#N/A</c:v>
                </c:pt>
                <c:pt idx="42">
                  <c:v>#N/A</c:v>
                </c:pt>
                <c:pt idx="43">
                  <c:v>#N/A</c:v>
                </c:pt>
                <c:pt idx="44">
                  <c:v>1893.68</c:v>
                </c:pt>
                <c:pt idx="45">
                  <c:v>#N/A</c:v>
                </c:pt>
                <c:pt idx="46">
                  <c:v>#N/A</c:v>
                </c:pt>
                <c:pt idx="47">
                  <c:v>#N/A</c:v>
                </c:pt>
                <c:pt idx="48">
                  <c:v>#N/A</c:v>
                </c:pt>
                <c:pt idx="49">
                  <c:v>#N/A</c:v>
                </c:pt>
                <c:pt idx="50">
                  <c:v>#N/A</c:v>
                </c:pt>
                <c:pt idx="51">
                  <c:v>2145.41</c:v>
                </c:pt>
                <c:pt idx="52">
                  <c:v>#N/A</c:v>
                </c:pt>
                <c:pt idx="53">
                  <c:v>#N/A</c:v>
                </c:pt>
                <c:pt idx="54">
                  <c:v>#N/A</c:v>
                </c:pt>
                <c:pt idx="55">
                  <c:v>#N/A</c:v>
                </c:pt>
                <c:pt idx="56">
                  <c:v>#N/A</c:v>
                </c:pt>
                <c:pt idx="57">
                  <c:v>#N/A</c:v>
                </c:pt>
                <c:pt idx="58">
                  <c:v>2375.88</c:v>
                </c:pt>
                <c:pt idx="59">
                  <c:v>#N/A</c:v>
                </c:pt>
                <c:pt idx="60">
                  <c:v>#N/A</c:v>
                </c:pt>
                <c:pt idx="61">
                  <c:v>#N/A</c:v>
                </c:pt>
                <c:pt idx="62">
                  <c:v>#N/A</c:v>
                </c:pt>
                <c:pt idx="63">
                  <c:v>#N/A</c:v>
                </c:pt>
                <c:pt idx="64">
                  <c:v>#N/A</c:v>
                </c:pt>
                <c:pt idx="65">
                  <c:v>2529.56</c:v>
                </c:pt>
                <c:pt idx="66">
                  <c:v>#N/A</c:v>
                </c:pt>
                <c:pt idx="67">
                  <c:v>#N/A</c:v>
                </c:pt>
                <c:pt idx="68">
                  <c:v>#N/A</c:v>
                </c:pt>
                <c:pt idx="69">
                  <c:v>#N/A</c:v>
                </c:pt>
                <c:pt idx="70">
                  <c:v>#N/A</c:v>
                </c:pt>
                <c:pt idx="71">
                  <c:v>#N/A</c:v>
                </c:pt>
                <c:pt idx="72">
                  <c:v>2600.52</c:v>
                </c:pt>
                <c:pt idx="73">
                  <c:v>#N/A</c:v>
                </c:pt>
                <c:pt idx="74">
                  <c:v>#N/A</c:v>
                </c:pt>
                <c:pt idx="75">
                  <c:v>#N/A</c:v>
                </c:pt>
                <c:pt idx="76">
                  <c:v>#N/A</c:v>
                </c:pt>
                <c:pt idx="77">
                  <c:v>#N/A</c:v>
                </c:pt>
                <c:pt idx="78">
                  <c:v>#N/A</c:v>
                </c:pt>
                <c:pt idx="79">
                  <c:v>2537.65</c:v>
                </c:pt>
                <c:pt idx="80">
                  <c:v>#N/A</c:v>
                </c:pt>
                <c:pt idx="81">
                  <c:v>#N/A</c:v>
                </c:pt>
                <c:pt idx="82">
                  <c:v>#N/A</c:v>
                </c:pt>
                <c:pt idx="83">
                  <c:v>#N/A</c:v>
                </c:pt>
                <c:pt idx="84">
                  <c:v>#N/A</c:v>
                </c:pt>
                <c:pt idx="85">
                  <c:v>#N/A</c:v>
                </c:pt>
                <c:pt idx="86">
                  <c:v>2430.63</c:v>
                </c:pt>
                <c:pt idx="87">
                  <c:v>#N/A</c:v>
                </c:pt>
                <c:pt idx="88">
                  <c:v>#N/A</c:v>
                </c:pt>
                <c:pt idx="89">
                  <c:v>#N/A</c:v>
                </c:pt>
                <c:pt idx="90">
                  <c:v>#N/A</c:v>
                </c:pt>
                <c:pt idx="91">
                  <c:v>#N/A</c:v>
                </c:pt>
                <c:pt idx="92">
                  <c:v>#N/A</c:v>
                </c:pt>
                <c:pt idx="93">
                  <c:v>2347.5700000000002</c:v>
                </c:pt>
                <c:pt idx="94">
                  <c:v>#N/A</c:v>
                </c:pt>
                <c:pt idx="95">
                  <c:v>#N/A</c:v>
                </c:pt>
                <c:pt idx="96">
                  <c:v>#N/A</c:v>
                </c:pt>
                <c:pt idx="97">
                  <c:v>#N/A</c:v>
                </c:pt>
                <c:pt idx="98">
                  <c:v>#N/A</c:v>
                </c:pt>
                <c:pt idx="99">
                  <c:v>#N/A</c:v>
                </c:pt>
                <c:pt idx="100">
                  <c:v>2241.2600000000002</c:v>
                </c:pt>
                <c:pt idx="101">
                  <c:v>#N/A</c:v>
                </c:pt>
                <c:pt idx="102">
                  <c:v>#N/A</c:v>
                </c:pt>
                <c:pt idx="103">
                  <c:v>#N/A</c:v>
                </c:pt>
                <c:pt idx="104">
                  <c:v>#N/A</c:v>
                </c:pt>
                <c:pt idx="105">
                  <c:v>#N/A</c:v>
                </c:pt>
                <c:pt idx="106">
                  <c:v>#N/A</c:v>
                </c:pt>
                <c:pt idx="107">
                  <c:v>2127.75</c:v>
                </c:pt>
                <c:pt idx="108">
                  <c:v>#N/A</c:v>
                </c:pt>
                <c:pt idx="109">
                  <c:v>#N/A</c:v>
                </c:pt>
                <c:pt idx="110">
                  <c:v>#N/A</c:v>
                </c:pt>
                <c:pt idx="111">
                  <c:v>#N/A</c:v>
                </c:pt>
                <c:pt idx="112">
                  <c:v>#N/A</c:v>
                </c:pt>
                <c:pt idx="113">
                  <c:v>#N/A</c:v>
                </c:pt>
                <c:pt idx="114">
                  <c:v>2013.22</c:v>
                </c:pt>
                <c:pt idx="115">
                  <c:v>#N/A</c:v>
                </c:pt>
                <c:pt idx="116">
                  <c:v>#N/A</c:v>
                </c:pt>
                <c:pt idx="117">
                  <c:v>#N/A</c:v>
                </c:pt>
                <c:pt idx="118">
                  <c:v>#N/A</c:v>
                </c:pt>
                <c:pt idx="119">
                  <c:v>#N/A</c:v>
                </c:pt>
                <c:pt idx="120">
                  <c:v>#N/A</c:v>
                </c:pt>
                <c:pt idx="121">
                  <c:v>1876.34</c:v>
                </c:pt>
                <c:pt idx="122">
                  <c:v>#N/A</c:v>
                </c:pt>
                <c:pt idx="123">
                  <c:v>#N/A</c:v>
                </c:pt>
                <c:pt idx="124">
                  <c:v>#N/A</c:v>
                </c:pt>
                <c:pt idx="125">
                  <c:v>#N/A</c:v>
                </c:pt>
                <c:pt idx="126">
                  <c:v>#N/A</c:v>
                </c:pt>
                <c:pt idx="127">
                  <c:v>#N/A</c:v>
                </c:pt>
                <c:pt idx="128">
                  <c:v>1810.51</c:v>
                </c:pt>
                <c:pt idx="129">
                  <c:v>#N/A</c:v>
                </c:pt>
                <c:pt idx="130">
                  <c:v>#N/A</c:v>
                </c:pt>
                <c:pt idx="131">
                  <c:v>#N/A</c:v>
                </c:pt>
                <c:pt idx="132">
                  <c:v>#N/A</c:v>
                </c:pt>
                <c:pt idx="133">
                  <c:v>#N/A</c:v>
                </c:pt>
                <c:pt idx="134">
                  <c:v>#N/A</c:v>
                </c:pt>
                <c:pt idx="135">
                  <c:v>1710.44</c:v>
                </c:pt>
                <c:pt idx="136">
                  <c:v>#N/A</c:v>
                </c:pt>
                <c:pt idx="137">
                  <c:v>#N/A</c:v>
                </c:pt>
                <c:pt idx="138">
                  <c:v>#N/A</c:v>
                </c:pt>
                <c:pt idx="139">
                  <c:v>#N/A</c:v>
                </c:pt>
                <c:pt idx="140">
                  <c:v>#N/A</c:v>
                </c:pt>
                <c:pt idx="141">
                  <c:v>#N/A</c:v>
                </c:pt>
                <c:pt idx="142">
                  <c:v>1608.84</c:v>
                </c:pt>
                <c:pt idx="143">
                  <c:v>#N/A</c:v>
                </c:pt>
                <c:pt idx="144">
                  <c:v>#N/A</c:v>
                </c:pt>
                <c:pt idx="145">
                  <c:v>#N/A</c:v>
                </c:pt>
                <c:pt idx="146">
                  <c:v>#N/A</c:v>
                </c:pt>
                <c:pt idx="147">
                  <c:v>#N/A</c:v>
                </c:pt>
                <c:pt idx="148">
                  <c:v>#N/A</c:v>
                </c:pt>
                <c:pt idx="149">
                  <c:v>1549.23</c:v>
                </c:pt>
                <c:pt idx="150">
                  <c:v>#N/A</c:v>
                </c:pt>
                <c:pt idx="151">
                  <c:v>#N/A</c:v>
                </c:pt>
                <c:pt idx="152">
                  <c:v>#N/A</c:v>
                </c:pt>
                <c:pt idx="153">
                  <c:v>#N/A</c:v>
                </c:pt>
                <c:pt idx="154">
                  <c:v>#N/A</c:v>
                </c:pt>
                <c:pt idx="155">
                  <c:v>#N/A</c:v>
                </c:pt>
                <c:pt idx="156">
                  <c:v>1488.27</c:v>
                </c:pt>
                <c:pt idx="157">
                  <c:v>#N/A</c:v>
                </c:pt>
                <c:pt idx="158">
                  <c:v>#N/A</c:v>
                </c:pt>
                <c:pt idx="159">
                  <c:v>#N/A</c:v>
                </c:pt>
                <c:pt idx="160">
                  <c:v>#N/A</c:v>
                </c:pt>
                <c:pt idx="161">
                  <c:v>#N/A</c:v>
                </c:pt>
                <c:pt idx="162">
                  <c:v>#N/A</c:v>
                </c:pt>
                <c:pt idx="163">
                  <c:v>1449.52</c:v>
                </c:pt>
                <c:pt idx="164">
                  <c:v>#N/A</c:v>
                </c:pt>
                <c:pt idx="165">
                  <c:v>#N/A</c:v>
                </c:pt>
                <c:pt idx="166">
                  <c:v>#N/A</c:v>
                </c:pt>
                <c:pt idx="167">
                  <c:v>#N/A</c:v>
                </c:pt>
                <c:pt idx="168">
                  <c:v>#N/A</c:v>
                </c:pt>
                <c:pt idx="169">
                  <c:v>#N/A</c:v>
                </c:pt>
                <c:pt idx="170">
                  <c:v>1423.43</c:v>
                </c:pt>
                <c:pt idx="171">
                  <c:v>#N/A</c:v>
                </c:pt>
                <c:pt idx="172">
                  <c:v>#N/A</c:v>
                </c:pt>
                <c:pt idx="173">
                  <c:v>#N/A</c:v>
                </c:pt>
                <c:pt idx="174">
                  <c:v>#N/A</c:v>
                </c:pt>
                <c:pt idx="175">
                  <c:v>#N/A</c:v>
                </c:pt>
                <c:pt idx="176">
                  <c:v>#N/A</c:v>
                </c:pt>
                <c:pt idx="177">
                  <c:v>1432.71</c:v>
                </c:pt>
                <c:pt idx="178">
                  <c:v>#N/A</c:v>
                </c:pt>
                <c:pt idx="179">
                  <c:v>#N/A</c:v>
                </c:pt>
                <c:pt idx="180">
                  <c:v>#N/A</c:v>
                </c:pt>
                <c:pt idx="181">
                  <c:v>#N/A</c:v>
                </c:pt>
                <c:pt idx="182">
                  <c:v>#N/A</c:v>
                </c:pt>
                <c:pt idx="183">
                  <c:v>#N/A</c:v>
                </c:pt>
                <c:pt idx="184">
                  <c:v>1477.38</c:v>
                </c:pt>
                <c:pt idx="185">
                  <c:v>#N/A</c:v>
                </c:pt>
                <c:pt idx="186">
                  <c:v>#N/A</c:v>
                </c:pt>
                <c:pt idx="187">
                  <c:v>#N/A</c:v>
                </c:pt>
                <c:pt idx="188">
                  <c:v>#N/A</c:v>
                </c:pt>
                <c:pt idx="189">
                  <c:v>#N/A</c:v>
                </c:pt>
                <c:pt idx="190">
                  <c:v>#N/A</c:v>
                </c:pt>
                <c:pt idx="191">
                  <c:v>1505.75</c:v>
                </c:pt>
                <c:pt idx="192">
                  <c:v>#N/A</c:v>
                </c:pt>
                <c:pt idx="193">
                  <c:v>#N/A</c:v>
                </c:pt>
                <c:pt idx="194">
                  <c:v>#N/A</c:v>
                </c:pt>
                <c:pt idx="195">
                  <c:v>#N/A</c:v>
                </c:pt>
                <c:pt idx="196">
                  <c:v>#N/A</c:v>
                </c:pt>
                <c:pt idx="197">
                  <c:v>#N/A</c:v>
                </c:pt>
                <c:pt idx="198">
                  <c:v>1535.68</c:v>
                </c:pt>
                <c:pt idx="199">
                  <c:v>#N/A</c:v>
                </c:pt>
                <c:pt idx="200">
                  <c:v>#N/A</c:v>
                </c:pt>
                <c:pt idx="201">
                  <c:v>#N/A</c:v>
                </c:pt>
                <c:pt idx="202">
                  <c:v>#N/A</c:v>
                </c:pt>
                <c:pt idx="203">
                  <c:v>#N/A</c:v>
                </c:pt>
                <c:pt idx="204">
                  <c:v>#N/A</c:v>
                </c:pt>
                <c:pt idx="205">
                  <c:v>1548.97</c:v>
                </c:pt>
                <c:pt idx="206">
                  <c:v>#N/A</c:v>
                </c:pt>
                <c:pt idx="207">
                  <c:v>#N/A</c:v>
                </c:pt>
                <c:pt idx="208">
                  <c:v>#N/A</c:v>
                </c:pt>
                <c:pt idx="209">
                  <c:v>#N/A</c:v>
                </c:pt>
                <c:pt idx="210">
                  <c:v>#N/A</c:v>
                </c:pt>
                <c:pt idx="211">
                  <c:v>#N/A</c:v>
                </c:pt>
                <c:pt idx="212">
                  <c:v>1562.48</c:v>
                </c:pt>
                <c:pt idx="213">
                  <c:v>#N/A</c:v>
                </c:pt>
                <c:pt idx="214">
                  <c:v>#N/A</c:v>
                </c:pt>
                <c:pt idx="215">
                  <c:v>#N/A</c:v>
                </c:pt>
                <c:pt idx="216">
                  <c:v>#N/A</c:v>
                </c:pt>
                <c:pt idx="217">
                  <c:v>#N/A</c:v>
                </c:pt>
                <c:pt idx="218">
                  <c:v>#N/A</c:v>
                </c:pt>
                <c:pt idx="219">
                  <c:v>1560.25</c:v>
                </c:pt>
                <c:pt idx="220">
                  <c:v>#N/A</c:v>
                </c:pt>
                <c:pt idx="221">
                  <c:v>#N/A</c:v>
                </c:pt>
                <c:pt idx="222">
                  <c:v>#N/A</c:v>
                </c:pt>
                <c:pt idx="223">
                  <c:v>#N/A</c:v>
                </c:pt>
                <c:pt idx="224">
                  <c:v>#N/A</c:v>
                </c:pt>
                <c:pt idx="225">
                  <c:v>#N/A</c:v>
                </c:pt>
                <c:pt idx="226">
                  <c:v>1541.62</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13E5-4CA0-9E17-C09B23CECC7E}"/>
            </c:ext>
          </c:extLst>
        </c:ser>
        <c:dLbls>
          <c:showLegendKey val="0"/>
          <c:showVal val="0"/>
          <c:showCatName val="0"/>
          <c:showSerName val="0"/>
          <c:showPercent val="0"/>
          <c:showBubbleSize val="0"/>
        </c:dLbls>
        <c:marker val="1"/>
        <c:smooth val="0"/>
        <c:axId val="246524928"/>
        <c:axId val="246530816"/>
      </c:lineChart>
      <c:dateAx>
        <c:axId val="24652492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46530816"/>
        <c:crosses val="autoZero"/>
        <c:auto val="0"/>
        <c:lblOffset val="0"/>
        <c:baseTimeUnit val="days"/>
        <c:majorUnit val="1"/>
        <c:majorTimeUnit val="months"/>
      </c:dateAx>
      <c:valAx>
        <c:axId val="246530816"/>
        <c:scaling>
          <c:orientation val="minMax"/>
          <c:min val="5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4652492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2018</c:v>
                </c:pt>
              </c:strCache>
            </c:strRef>
          </c:tx>
          <c:spPr>
            <a:ln w="28575">
              <a:solidFill>
                <a:srgbClr val="E7E6E6">
                  <a:lumMod val="75000"/>
                </a:srgbClr>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水泥!$H$2:$H$366</c:f>
              <c:numCache>
                <c:formatCode>General</c:formatCode>
                <c:ptCount val="365"/>
                <c:pt idx="0">
                  <c:v>#N/A</c:v>
                </c:pt>
                <c:pt idx="1">
                  <c:v>150.18</c:v>
                </c:pt>
                <c:pt idx="2">
                  <c:v>150.68</c:v>
                </c:pt>
                <c:pt idx="3">
                  <c:v>150.66999999999999</c:v>
                </c:pt>
                <c:pt idx="4">
                  <c:v>150.76</c:v>
                </c:pt>
                <c:pt idx="5">
                  <c:v>#N/A</c:v>
                </c:pt>
                <c:pt idx="6">
                  <c:v>#N/A</c:v>
                </c:pt>
                <c:pt idx="7">
                  <c:v>150.9</c:v>
                </c:pt>
                <c:pt idx="8">
                  <c:v>150.83000000000001</c:v>
                </c:pt>
                <c:pt idx="9">
                  <c:v>150.83000000000001</c:v>
                </c:pt>
                <c:pt idx="10">
                  <c:v>150.72999999999999</c:v>
                </c:pt>
                <c:pt idx="11">
                  <c:v>148.5</c:v>
                </c:pt>
                <c:pt idx="12">
                  <c:v>#N/A</c:v>
                </c:pt>
                <c:pt idx="13">
                  <c:v>#N/A</c:v>
                </c:pt>
                <c:pt idx="14">
                  <c:v>147.31</c:v>
                </c:pt>
                <c:pt idx="15">
                  <c:v>145.79</c:v>
                </c:pt>
                <c:pt idx="16">
                  <c:v>145.1</c:v>
                </c:pt>
                <c:pt idx="17">
                  <c:v>144.66</c:v>
                </c:pt>
                <c:pt idx="18">
                  <c:v>144.57</c:v>
                </c:pt>
                <c:pt idx="19">
                  <c:v>#N/A</c:v>
                </c:pt>
                <c:pt idx="20">
                  <c:v>#N/A</c:v>
                </c:pt>
                <c:pt idx="21">
                  <c:v>143.91</c:v>
                </c:pt>
                <c:pt idx="22">
                  <c:v>142.71</c:v>
                </c:pt>
                <c:pt idx="23">
                  <c:v>142.54</c:v>
                </c:pt>
                <c:pt idx="24">
                  <c:v>141.97</c:v>
                </c:pt>
                <c:pt idx="25">
                  <c:v>141.56</c:v>
                </c:pt>
                <c:pt idx="26">
                  <c:v>#N/A</c:v>
                </c:pt>
                <c:pt idx="27">
                  <c:v>#N/A</c:v>
                </c:pt>
                <c:pt idx="28">
                  <c:v>141.44999999999999</c:v>
                </c:pt>
                <c:pt idx="29">
                  <c:v>141.30000000000001</c:v>
                </c:pt>
                <c:pt idx="30">
                  <c:v>141.28</c:v>
                </c:pt>
                <c:pt idx="31">
                  <c:v>141.22999999999999</c:v>
                </c:pt>
                <c:pt idx="32">
                  <c:v>140.58000000000001</c:v>
                </c:pt>
                <c:pt idx="33">
                  <c:v>#N/A</c:v>
                </c:pt>
                <c:pt idx="34">
                  <c:v>#N/A</c:v>
                </c:pt>
                <c:pt idx="35">
                  <c:v>138.84</c:v>
                </c:pt>
                <c:pt idx="36">
                  <c:v>138.85</c:v>
                </c:pt>
                <c:pt idx="37">
                  <c:v>138.52000000000001</c:v>
                </c:pt>
                <c:pt idx="38">
                  <c:v>137.16</c:v>
                </c:pt>
                <c:pt idx="39">
                  <c:v>137.11000000000001</c:v>
                </c:pt>
                <c:pt idx="40">
                  <c:v>#N/A</c:v>
                </c:pt>
                <c:pt idx="41">
                  <c:v>#N/A</c:v>
                </c:pt>
                <c:pt idx="42">
                  <c:v>136.53</c:v>
                </c:pt>
                <c:pt idx="43">
                  <c:v>#N/A</c:v>
                </c:pt>
                <c:pt idx="44">
                  <c:v>#N/A</c:v>
                </c:pt>
                <c:pt idx="45">
                  <c:v>#N/A</c:v>
                </c:pt>
                <c:pt idx="46">
                  <c:v>#N/A</c:v>
                </c:pt>
                <c:pt idx="47">
                  <c:v>#N/A</c:v>
                </c:pt>
                <c:pt idx="48">
                  <c:v>#N/A</c:v>
                </c:pt>
                <c:pt idx="49">
                  <c:v>#N/A</c:v>
                </c:pt>
                <c:pt idx="50">
                  <c:v>#N/A</c:v>
                </c:pt>
                <c:pt idx="51">
                  <c:v>#N/A</c:v>
                </c:pt>
                <c:pt idx="52">
                  <c:v>#N/A</c:v>
                </c:pt>
                <c:pt idx="53">
                  <c:v>136.44</c:v>
                </c:pt>
                <c:pt idx="54">
                  <c:v>#N/A</c:v>
                </c:pt>
                <c:pt idx="55">
                  <c:v>#N/A</c:v>
                </c:pt>
                <c:pt idx="56">
                  <c:v>136.19</c:v>
                </c:pt>
                <c:pt idx="57">
                  <c:v>135.83000000000001</c:v>
                </c:pt>
                <c:pt idx="58">
                  <c:v>134.84</c:v>
                </c:pt>
                <c:pt idx="59">
                  <c:v>134.28</c:v>
                </c:pt>
                <c:pt idx="60">
                  <c:v>134.16999999999999</c:v>
                </c:pt>
                <c:pt idx="61">
                  <c:v>#N/A</c:v>
                </c:pt>
                <c:pt idx="62">
                  <c:v>#N/A</c:v>
                </c:pt>
                <c:pt idx="63">
                  <c:v>133.91999999999999</c:v>
                </c:pt>
                <c:pt idx="64">
                  <c:v>133.34</c:v>
                </c:pt>
                <c:pt idx="65">
                  <c:v>133.08000000000001</c:v>
                </c:pt>
                <c:pt idx="66">
                  <c:v>132.44999999999999</c:v>
                </c:pt>
                <c:pt idx="67">
                  <c:v>132.5</c:v>
                </c:pt>
                <c:pt idx="68">
                  <c:v>#N/A</c:v>
                </c:pt>
                <c:pt idx="69">
                  <c:v>#N/A</c:v>
                </c:pt>
                <c:pt idx="70">
                  <c:v>132.57</c:v>
                </c:pt>
                <c:pt idx="71">
                  <c:v>132.66</c:v>
                </c:pt>
                <c:pt idx="72">
                  <c:v>132.36000000000001</c:v>
                </c:pt>
                <c:pt idx="73">
                  <c:v>132.44999999999999</c:v>
                </c:pt>
                <c:pt idx="74">
                  <c:v>132.30000000000001</c:v>
                </c:pt>
                <c:pt idx="75">
                  <c:v>#N/A</c:v>
                </c:pt>
                <c:pt idx="76">
                  <c:v>#N/A</c:v>
                </c:pt>
                <c:pt idx="77">
                  <c:v>131.63</c:v>
                </c:pt>
                <c:pt idx="78">
                  <c:v>131.26</c:v>
                </c:pt>
                <c:pt idx="79">
                  <c:v>131.24</c:v>
                </c:pt>
                <c:pt idx="80">
                  <c:v>131.19999999999999</c:v>
                </c:pt>
                <c:pt idx="81">
                  <c:v>131.24</c:v>
                </c:pt>
                <c:pt idx="82">
                  <c:v>#N/A</c:v>
                </c:pt>
                <c:pt idx="83">
                  <c:v>#N/A</c:v>
                </c:pt>
                <c:pt idx="84">
                  <c:v>131.59</c:v>
                </c:pt>
                <c:pt idx="85">
                  <c:v>131.59</c:v>
                </c:pt>
                <c:pt idx="86">
                  <c:v>131.59</c:v>
                </c:pt>
                <c:pt idx="87">
                  <c:v>131.78</c:v>
                </c:pt>
                <c:pt idx="88">
                  <c:v>132.03</c:v>
                </c:pt>
                <c:pt idx="89">
                  <c:v>#N/A</c:v>
                </c:pt>
                <c:pt idx="90">
                  <c:v>#N/A</c:v>
                </c:pt>
                <c:pt idx="91">
                  <c:v>133.16</c:v>
                </c:pt>
                <c:pt idx="92">
                  <c:v>133.41</c:v>
                </c:pt>
                <c:pt idx="93">
                  <c:v>133.84</c:v>
                </c:pt>
                <c:pt idx="94">
                  <c:v>#N/A</c:v>
                </c:pt>
                <c:pt idx="95">
                  <c:v>#N/A</c:v>
                </c:pt>
                <c:pt idx="96">
                  <c:v>#N/A</c:v>
                </c:pt>
                <c:pt idx="97">
                  <c:v>#N/A</c:v>
                </c:pt>
                <c:pt idx="98">
                  <c:v>134.12</c:v>
                </c:pt>
                <c:pt idx="99">
                  <c:v>134.05000000000001</c:v>
                </c:pt>
                <c:pt idx="100">
                  <c:v>134.52000000000001</c:v>
                </c:pt>
                <c:pt idx="101">
                  <c:v>134.55000000000001</c:v>
                </c:pt>
                <c:pt idx="102">
                  <c:v>135.08000000000001</c:v>
                </c:pt>
                <c:pt idx="103">
                  <c:v>#N/A</c:v>
                </c:pt>
                <c:pt idx="104">
                  <c:v>#N/A</c:v>
                </c:pt>
                <c:pt idx="105">
                  <c:v>135.91</c:v>
                </c:pt>
                <c:pt idx="106">
                  <c:v>136.09</c:v>
                </c:pt>
                <c:pt idx="107">
                  <c:v>136.29</c:v>
                </c:pt>
                <c:pt idx="108">
                  <c:v>136.88</c:v>
                </c:pt>
                <c:pt idx="109">
                  <c:v>137.5</c:v>
                </c:pt>
                <c:pt idx="110">
                  <c:v>#N/A</c:v>
                </c:pt>
                <c:pt idx="111">
                  <c:v>#N/A</c:v>
                </c:pt>
                <c:pt idx="112">
                  <c:v>138.1</c:v>
                </c:pt>
                <c:pt idx="113">
                  <c:v>138.43</c:v>
                </c:pt>
                <c:pt idx="114">
                  <c:v>138.52000000000001</c:v>
                </c:pt>
                <c:pt idx="115">
                  <c:v>139.25</c:v>
                </c:pt>
                <c:pt idx="116">
                  <c:v>137.24</c:v>
                </c:pt>
                <c:pt idx="117">
                  <c:v>#N/A</c:v>
                </c:pt>
                <c:pt idx="118">
                  <c:v>#N/A</c:v>
                </c:pt>
                <c:pt idx="119">
                  <c:v>#N/A</c:v>
                </c:pt>
                <c:pt idx="120">
                  <c:v>#N/A</c:v>
                </c:pt>
                <c:pt idx="121">
                  <c:v>139.96</c:v>
                </c:pt>
                <c:pt idx="122">
                  <c:v>140.47999999999999</c:v>
                </c:pt>
                <c:pt idx="123">
                  <c:v>141.27000000000001</c:v>
                </c:pt>
                <c:pt idx="124">
                  <c:v>#N/A</c:v>
                </c:pt>
                <c:pt idx="125">
                  <c:v>#N/A</c:v>
                </c:pt>
                <c:pt idx="126">
                  <c:v>141.84</c:v>
                </c:pt>
                <c:pt idx="127">
                  <c:v>142.32</c:v>
                </c:pt>
                <c:pt idx="128">
                  <c:v>142.13</c:v>
                </c:pt>
                <c:pt idx="129">
                  <c:v>142.15</c:v>
                </c:pt>
                <c:pt idx="130">
                  <c:v>142.36000000000001</c:v>
                </c:pt>
                <c:pt idx="131">
                  <c:v>#N/A</c:v>
                </c:pt>
                <c:pt idx="132">
                  <c:v>#N/A</c:v>
                </c:pt>
                <c:pt idx="133">
                  <c:v>142.19999999999999</c:v>
                </c:pt>
                <c:pt idx="134">
                  <c:v>142.15</c:v>
                </c:pt>
                <c:pt idx="135">
                  <c:v>142.18</c:v>
                </c:pt>
                <c:pt idx="136">
                  <c:v>142.54</c:v>
                </c:pt>
                <c:pt idx="137">
                  <c:v>142.61000000000001</c:v>
                </c:pt>
                <c:pt idx="138">
                  <c:v>#N/A</c:v>
                </c:pt>
                <c:pt idx="139">
                  <c:v>#N/A</c:v>
                </c:pt>
                <c:pt idx="140">
                  <c:v>142.62</c:v>
                </c:pt>
                <c:pt idx="141">
                  <c:v>142.78</c:v>
                </c:pt>
                <c:pt idx="142">
                  <c:v>142.99</c:v>
                </c:pt>
                <c:pt idx="143">
                  <c:v>143.08000000000001</c:v>
                </c:pt>
                <c:pt idx="144">
                  <c:v>143.19</c:v>
                </c:pt>
                <c:pt idx="145">
                  <c:v>#N/A</c:v>
                </c:pt>
                <c:pt idx="146">
                  <c:v>#N/A</c:v>
                </c:pt>
                <c:pt idx="147">
                  <c:v>143.18</c:v>
                </c:pt>
                <c:pt idx="148">
                  <c:v>143.16999999999999</c:v>
                </c:pt>
                <c:pt idx="149">
                  <c:v>143.21</c:v>
                </c:pt>
                <c:pt idx="150">
                  <c:v>143.22</c:v>
                </c:pt>
                <c:pt idx="151">
                  <c:v>143.34</c:v>
                </c:pt>
                <c:pt idx="152">
                  <c:v>#N/A</c:v>
                </c:pt>
                <c:pt idx="153">
                  <c:v>#N/A</c:v>
                </c:pt>
                <c:pt idx="154">
                  <c:v>143.27000000000001</c:v>
                </c:pt>
                <c:pt idx="155">
                  <c:v>142.72</c:v>
                </c:pt>
                <c:pt idx="156">
                  <c:v>142.71</c:v>
                </c:pt>
                <c:pt idx="157">
                  <c:v>142.63999999999999</c:v>
                </c:pt>
                <c:pt idx="158">
                  <c:v>142.66999999999999</c:v>
                </c:pt>
                <c:pt idx="159">
                  <c:v>#N/A</c:v>
                </c:pt>
                <c:pt idx="160">
                  <c:v>#N/A</c:v>
                </c:pt>
                <c:pt idx="161">
                  <c:v>142.63</c:v>
                </c:pt>
                <c:pt idx="162">
                  <c:v>142.65</c:v>
                </c:pt>
                <c:pt idx="163">
                  <c:v>142.66999999999999</c:v>
                </c:pt>
                <c:pt idx="164">
                  <c:v>142.69</c:v>
                </c:pt>
                <c:pt idx="165">
                  <c:v>142.68</c:v>
                </c:pt>
                <c:pt idx="166">
                  <c:v>#N/A</c:v>
                </c:pt>
                <c:pt idx="167">
                  <c:v>#N/A</c:v>
                </c:pt>
                <c:pt idx="168">
                  <c:v>#N/A</c:v>
                </c:pt>
                <c:pt idx="169">
                  <c:v>142.52000000000001</c:v>
                </c:pt>
                <c:pt idx="170">
                  <c:v>142.53</c:v>
                </c:pt>
                <c:pt idx="171">
                  <c:v>142.51</c:v>
                </c:pt>
                <c:pt idx="172">
                  <c:v>142.56</c:v>
                </c:pt>
                <c:pt idx="173">
                  <c:v>#N/A</c:v>
                </c:pt>
                <c:pt idx="174">
                  <c:v>#N/A</c:v>
                </c:pt>
                <c:pt idx="175">
                  <c:v>142.57</c:v>
                </c:pt>
                <c:pt idx="176">
                  <c:v>142.53</c:v>
                </c:pt>
                <c:pt idx="177">
                  <c:v>142.46</c:v>
                </c:pt>
                <c:pt idx="178">
                  <c:v>141.96</c:v>
                </c:pt>
                <c:pt idx="179">
                  <c:v>141.97999999999999</c:v>
                </c:pt>
                <c:pt idx="180">
                  <c:v>#N/A</c:v>
                </c:pt>
                <c:pt idx="181">
                  <c:v>#N/A</c:v>
                </c:pt>
                <c:pt idx="182">
                  <c:v>141.72999999999999</c:v>
                </c:pt>
                <c:pt idx="183">
                  <c:v>141.63</c:v>
                </c:pt>
                <c:pt idx="184">
                  <c:v>141.44</c:v>
                </c:pt>
                <c:pt idx="185">
                  <c:v>141.30000000000001</c:v>
                </c:pt>
                <c:pt idx="186">
                  <c:v>140.9</c:v>
                </c:pt>
                <c:pt idx="187">
                  <c:v>#N/A</c:v>
                </c:pt>
                <c:pt idx="188">
                  <c:v>#N/A</c:v>
                </c:pt>
                <c:pt idx="189">
                  <c:v>140.93</c:v>
                </c:pt>
                <c:pt idx="190">
                  <c:v>140.68</c:v>
                </c:pt>
                <c:pt idx="191">
                  <c:v>140.46</c:v>
                </c:pt>
                <c:pt idx="192">
                  <c:v>140.38</c:v>
                </c:pt>
                <c:pt idx="193">
                  <c:v>140.28</c:v>
                </c:pt>
                <c:pt idx="194">
                  <c:v>#N/A</c:v>
                </c:pt>
                <c:pt idx="195">
                  <c:v>#N/A</c:v>
                </c:pt>
                <c:pt idx="196">
                  <c:v>140.13999999999999</c:v>
                </c:pt>
                <c:pt idx="197">
                  <c:v>139.96</c:v>
                </c:pt>
                <c:pt idx="198">
                  <c:v>139.72999999999999</c:v>
                </c:pt>
                <c:pt idx="199">
                  <c:v>139.77000000000001</c:v>
                </c:pt>
                <c:pt idx="200">
                  <c:v>139.63999999999999</c:v>
                </c:pt>
                <c:pt idx="201">
                  <c:v>#N/A</c:v>
                </c:pt>
                <c:pt idx="202">
                  <c:v>#N/A</c:v>
                </c:pt>
                <c:pt idx="203">
                  <c:v>139.79</c:v>
                </c:pt>
                <c:pt idx="204">
                  <c:v>139.82</c:v>
                </c:pt>
                <c:pt idx="205">
                  <c:v>139.80000000000001</c:v>
                </c:pt>
                <c:pt idx="206">
                  <c:v>139.71</c:v>
                </c:pt>
                <c:pt idx="207">
                  <c:v>139.69</c:v>
                </c:pt>
                <c:pt idx="208">
                  <c:v>#N/A</c:v>
                </c:pt>
                <c:pt idx="209">
                  <c:v>#N/A</c:v>
                </c:pt>
                <c:pt idx="210">
                  <c:v>139.69</c:v>
                </c:pt>
                <c:pt idx="211">
                  <c:v>139.58000000000001</c:v>
                </c:pt>
                <c:pt idx="212">
                  <c:v>139.38</c:v>
                </c:pt>
                <c:pt idx="213">
                  <c:v>139.35</c:v>
                </c:pt>
                <c:pt idx="214">
                  <c:v>138.99</c:v>
                </c:pt>
                <c:pt idx="215">
                  <c:v>#N/A</c:v>
                </c:pt>
                <c:pt idx="216">
                  <c:v>#N/A</c:v>
                </c:pt>
                <c:pt idx="217">
                  <c:v>138.99</c:v>
                </c:pt>
                <c:pt idx="218">
                  <c:v>138.91</c:v>
                </c:pt>
                <c:pt idx="219">
                  <c:v>138.97</c:v>
                </c:pt>
                <c:pt idx="220">
                  <c:v>139.01</c:v>
                </c:pt>
                <c:pt idx="221">
                  <c:v>139.01</c:v>
                </c:pt>
                <c:pt idx="222">
                  <c:v>#N/A</c:v>
                </c:pt>
                <c:pt idx="223">
                  <c:v>#N/A</c:v>
                </c:pt>
                <c:pt idx="224">
                  <c:v>138.99</c:v>
                </c:pt>
                <c:pt idx="225">
                  <c:v>138.97999999999999</c:v>
                </c:pt>
                <c:pt idx="226">
                  <c:v>139.32</c:v>
                </c:pt>
                <c:pt idx="227">
                  <c:v>139.31</c:v>
                </c:pt>
                <c:pt idx="228">
                  <c:v>139.36000000000001</c:v>
                </c:pt>
                <c:pt idx="229">
                  <c:v>#N/A</c:v>
                </c:pt>
                <c:pt idx="230">
                  <c:v>#N/A</c:v>
                </c:pt>
                <c:pt idx="231">
                  <c:v>139.27000000000001</c:v>
                </c:pt>
                <c:pt idx="232">
                  <c:v>139.31</c:v>
                </c:pt>
                <c:pt idx="233">
                  <c:v>139.44</c:v>
                </c:pt>
                <c:pt idx="234">
                  <c:v>139.28</c:v>
                </c:pt>
                <c:pt idx="235">
                  <c:v>139.26</c:v>
                </c:pt>
                <c:pt idx="236">
                  <c:v>#N/A</c:v>
                </c:pt>
                <c:pt idx="237">
                  <c:v>#N/A</c:v>
                </c:pt>
                <c:pt idx="238">
                  <c:v>139.91999999999999</c:v>
                </c:pt>
                <c:pt idx="239">
                  <c:v>139.97</c:v>
                </c:pt>
                <c:pt idx="240">
                  <c:v>139.96</c:v>
                </c:pt>
                <c:pt idx="241">
                  <c:v>140.16999999999999</c:v>
                </c:pt>
                <c:pt idx="242">
                  <c:v>139.99</c:v>
                </c:pt>
                <c:pt idx="243">
                  <c:v>#N/A</c:v>
                </c:pt>
                <c:pt idx="244">
                  <c:v>#N/A</c:v>
                </c:pt>
                <c:pt idx="245">
                  <c:v>141.19999999999999</c:v>
                </c:pt>
                <c:pt idx="246">
                  <c:v>141.44</c:v>
                </c:pt>
                <c:pt idx="247">
                  <c:v>142.13</c:v>
                </c:pt>
                <c:pt idx="248">
                  <c:v>142.22</c:v>
                </c:pt>
                <c:pt idx="249">
                  <c:v>142.36000000000001</c:v>
                </c:pt>
                <c:pt idx="250">
                  <c:v>#N/A</c:v>
                </c:pt>
                <c:pt idx="251">
                  <c:v>#N/A</c:v>
                </c:pt>
                <c:pt idx="252">
                  <c:v>142.38999999999999</c:v>
                </c:pt>
                <c:pt idx="253">
                  <c:v>142.43</c:v>
                </c:pt>
                <c:pt idx="254">
                  <c:v>142.4</c:v>
                </c:pt>
                <c:pt idx="255">
                  <c:v>142.57</c:v>
                </c:pt>
                <c:pt idx="256">
                  <c:v>142.72999999999999</c:v>
                </c:pt>
                <c:pt idx="257">
                  <c:v>#N/A</c:v>
                </c:pt>
                <c:pt idx="258">
                  <c:v>#N/A</c:v>
                </c:pt>
                <c:pt idx="259">
                  <c:v>142.88</c:v>
                </c:pt>
                <c:pt idx="260">
                  <c:v>143.31</c:v>
                </c:pt>
                <c:pt idx="261">
                  <c:v>143.24</c:v>
                </c:pt>
                <c:pt idx="262">
                  <c:v>143.22999999999999</c:v>
                </c:pt>
                <c:pt idx="263">
                  <c:v>143.38999999999999</c:v>
                </c:pt>
                <c:pt idx="264">
                  <c:v>#N/A</c:v>
                </c:pt>
                <c:pt idx="265">
                  <c:v>#N/A</c:v>
                </c:pt>
                <c:pt idx="266">
                  <c:v>#N/A</c:v>
                </c:pt>
                <c:pt idx="267">
                  <c:v>143.56</c:v>
                </c:pt>
                <c:pt idx="268">
                  <c:v>143.49</c:v>
                </c:pt>
                <c:pt idx="269">
                  <c:v>143.72999999999999</c:v>
                </c:pt>
                <c:pt idx="270">
                  <c:v>143.75</c:v>
                </c:pt>
                <c:pt idx="271">
                  <c:v>#N/A</c:v>
                </c:pt>
                <c:pt idx="272">
                  <c:v>#N/A</c:v>
                </c:pt>
                <c:pt idx="273">
                  <c:v>#N/A</c:v>
                </c:pt>
                <c:pt idx="274">
                  <c:v>#N/A</c:v>
                </c:pt>
                <c:pt idx="275">
                  <c:v>#N/A</c:v>
                </c:pt>
                <c:pt idx="276">
                  <c:v>#N/A</c:v>
                </c:pt>
                <c:pt idx="277">
                  <c:v>#N/A</c:v>
                </c:pt>
                <c:pt idx="278">
                  <c:v>#N/A</c:v>
                </c:pt>
                <c:pt idx="279">
                  <c:v>#N/A</c:v>
                </c:pt>
                <c:pt idx="280">
                  <c:v>144.69</c:v>
                </c:pt>
                <c:pt idx="281">
                  <c:v>144.93</c:v>
                </c:pt>
                <c:pt idx="282">
                  <c:v>145.12</c:v>
                </c:pt>
                <c:pt idx="283">
                  <c:v>145.13999999999999</c:v>
                </c:pt>
                <c:pt idx="284">
                  <c:v>144.88</c:v>
                </c:pt>
                <c:pt idx="285">
                  <c:v>#N/A</c:v>
                </c:pt>
                <c:pt idx="286">
                  <c:v>#N/A</c:v>
                </c:pt>
                <c:pt idx="287">
                  <c:v>145.71</c:v>
                </c:pt>
                <c:pt idx="288">
                  <c:v>145.86000000000001</c:v>
                </c:pt>
                <c:pt idx="289">
                  <c:v>145.99</c:v>
                </c:pt>
                <c:pt idx="290">
                  <c:v>146.4</c:v>
                </c:pt>
                <c:pt idx="291">
                  <c:v>146.49</c:v>
                </c:pt>
                <c:pt idx="292">
                  <c:v>#N/A</c:v>
                </c:pt>
                <c:pt idx="293">
                  <c:v>#N/A</c:v>
                </c:pt>
                <c:pt idx="294">
                  <c:v>147.97</c:v>
                </c:pt>
                <c:pt idx="295">
                  <c:v>148.21</c:v>
                </c:pt>
                <c:pt idx="296">
                  <c:v>148.31</c:v>
                </c:pt>
                <c:pt idx="297">
                  <c:v>148.82</c:v>
                </c:pt>
                <c:pt idx="298">
                  <c:v>148.83000000000001</c:v>
                </c:pt>
                <c:pt idx="299">
                  <c:v>#N/A</c:v>
                </c:pt>
                <c:pt idx="300">
                  <c:v>#N/A</c:v>
                </c:pt>
                <c:pt idx="301">
                  <c:v>149.24</c:v>
                </c:pt>
                <c:pt idx="302">
                  <c:v>149.29</c:v>
                </c:pt>
                <c:pt idx="303">
                  <c:v>149.47999999999999</c:v>
                </c:pt>
                <c:pt idx="304">
                  <c:v>151.63</c:v>
                </c:pt>
                <c:pt idx="305">
                  <c:v>155.09</c:v>
                </c:pt>
                <c:pt idx="306">
                  <c:v>#N/A</c:v>
                </c:pt>
                <c:pt idx="307">
                  <c:v>#N/A</c:v>
                </c:pt>
                <c:pt idx="308">
                  <c:v>155.74</c:v>
                </c:pt>
                <c:pt idx="309">
                  <c:v>155.82</c:v>
                </c:pt>
                <c:pt idx="310">
                  <c:v>156.05000000000001</c:v>
                </c:pt>
                <c:pt idx="311">
                  <c:v>156.25</c:v>
                </c:pt>
                <c:pt idx="312">
                  <c:v>156.79</c:v>
                </c:pt>
                <c:pt idx="313">
                  <c:v>#N/A</c:v>
                </c:pt>
                <c:pt idx="314">
                  <c:v>#N/A</c:v>
                </c:pt>
                <c:pt idx="315">
                  <c:v>157.08000000000001</c:v>
                </c:pt>
                <c:pt idx="316">
                  <c:v>157.19999999999999</c:v>
                </c:pt>
                <c:pt idx="317">
                  <c:v>157.22</c:v>
                </c:pt>
                <c:pt idx="318">
                  <c:v>158.04</c:v>
                </c:pt>
                <c:pt idx="319">
                  <c:v>158.47</c:v>
                </c:pt>
                <c:pt idx="320">
                  <c:v>#N/A</c:v>
                </c:pt>
                <c:pt idx="321">
                  <c:v>#N/A</c:v>
                </c:pt>
                <c:pt idx="322">
                  <c:v>159.16999999999999</c:v>
                </c:pt>
                <c:pt idx="323">
                  <c:v>159.59</c:v>
                </c:pt>
                <c:pt idx="324">
                  <c:v>160.61000000000001</c:v>
                </c:pt>
                <c:pt idx="325">
                  <c:v>160.84</c:v>
                </c:pt>
                <c:pt idx="326">
                  <c:v>160.84</c:v>
                </c:pt>
                <c:pt idx="327">
                  <c:v>#N/A</c:v>
                </c:pt>
                <c:pt idx="328">
                  <c:v>#N/A</c:v>
                </c:pt>
                <c:pt idx="329">
                  <c:v>161.01</c:v>
                </c:pt>
                <c:pt idx="330">
                  <c:v>161.01</c:v>
                </c:pt>
                <c:pt idx="331">
                  <c:v>161.25</c:v>
                </c:pt>
                <c:pt idx="332">
                  <c:v>161.35</c:v>
                </c:pt>
                <c:pt idx="333">
                  <c:v>161.37</c:v>
                </c:pt>
                <c:pt idx="334">
                  <c:v>#N/A</c:v>
                </c:pt>
                <c:pt idx="335">
                  <c:v>#N/A</c:v>
                </c:pt>
                <c:pt idx="336">
                  <c:v>161.68</c:v>
                </c:pt>
                <c:pt idx="337">
                  <c:v>162</c:v>
                </c:pt>
                <c:pt idx="338">
                  <c:v>162.09</c:v>
                </c:pt>
                <c:pt idx="339">
                  <c:v>162.41</c:v>
                </c:pt>
                <c:pt idx="340">
                  <c:v>162.44</c:v>
                </c:pt>
                <c:pt idx="341">
                  <c:v>#N/A</c:v>
                </c:pt>
                <c:pt idx="342">
                  <c:v>#N/A</c:v>
                </c:pt>
                <c:pt idx="343">
                  <c:v>162.51</c:v>
                </c:pt>
                <c:pt idx="344">
                  <c:v>162.51</c:v>
                </c:pt>
                <c:pt idx="345">
                  <c:v>161.9</c:v>
                </c:pt>
                <c:pt idx="346">
                  <c:v>161.9</c:v>
                </c:pt>
                <c:pt idx="347">
                  <c:v>161.88999999999999</c:v>
                </c:pt>
                <c:pt idx="348">
                  <c:v>#N/A</c:v>
                </c:pt>
                <c:pt idx="349">
                  <c:v>#N/A</c:v>
                </c:pt>
                <c:pt idx="350">
                  <c:v>162.35</c:v>
                </c:pt>
                <c:pt idx="351">
                  <c:v>162.36000000000001</c:v>
                </c:pt>
                <c:pt idx="352">
                  <c:v>162.31</c:v>
                </c:pt>
                <c:pt idx="353">
                  <c:v>162.32</c:v>
                </c:pt>
                <c:pt idx="354">
                  <c:v>162.30000000000001</c:v>
                </c:pt>
                <c:pt idx="355">
                  <c:v>#N/A</c:v>
                </c:pt>
                <c:pt idx="356">
                  <c:v>#N/A</c:v>
                </c:pt>
                <c:pt idx="357">
                  <c:v>162.34</c:v>
                </c:pt>
                <c:pt idx="358">
                  <c:v>162.30000000000001</c:v>
                </c:pt>
                <c:pt idx="359">
                  <c:v>162.32</c:v>
                </c:pt>
                <c:pt idx="360">
                  <c:v>162.33000000000001</c:v>
                </c:pt>
                <c:pt idx="361">
                  <c:v>162.27000000000001</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7BC5-4A55-81C5-AF914C726489}"/>
            </c:ext>
          </c:extLst>
        </c:ser>
        <c:ser>
          <c:idx val="2"/>
          <c:order val="1"/>
          <c:tx>
            <c:strRef>
              <c:f>水泥!$I$1</c:f>
              <c:strCache>
                <c:ptCount val="1"/>
                <c:pt idx="0">
                  <c:v>2019</c:v>
                </c:pt>
              </c:strCache>
            </c:strRef>
          </c:tx>
          <c:spPr>
            <a:ln w="28575">
              <a:solidFill>
                <a:srgbClr val="F8CBAD"/>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水泥!$I$2:$I$366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1-7BC5-4A55-81C5-AF914C726489}"/>
            </c:ext>
          </c:extLst>
        </c:ser>
        <c:ser>
          <c:idx val="1"/>
          <c:order val="2"/>
          <c:tx>
            <c:strRef>
              <c:f>水泥!$J$1</c:f>
              <c:strCache>
                <c:ptCount val="1"/>
                <c:pt idx="0">
                  <c:v>2020</c:v>
                </c:pt>
              </c:strCache>
            </c:strRef>
          </c:tx>
          <c:spPr>
            <a:ln w="28575">
              <a:solidFill>
                <a:srgbClr val="BF5711"/>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水泥!$J$2:$J$366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7BC5-4A55-81C5-AF914C726489}"/>
            </c:ext>
          </c:extLst>
        </c:ser>
        <c:dLbls>
          <c:showLegendKey val="0"/>
          <c:showVal val="0"/>
          <c:showCatName val="0"/>
          <c:showSerName val="0"/>
          <c:showPercent val="0"/>
          <c:showBubbleSize val="0"/>
        </c:dLbls>
        <c:marker val="1"/>
        <c:smooth val="0"/>
        <c:axId val="246545792"/>
        <c:axId val="250107008"/>
      </c:lineChart>
      <c:dateAx>
        <c:axId val="24654579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50107008"/>
        <c:crosses val="autoZero"/>
        <c:auto val="0"/>
        <c:lblOffset val="0"/>
        <c:baseTimeUnit val="days"/>
        <c:majorUnit val="1"/>
        <c:majorTimeUnit val="months"/>
      </c:dateAx>
      <c:valAx>
        <c:axId val="250107008"/>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4654579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2018</c:v>
                </c:pt>
              </c:strCache>
            </c:strRef>
          </c:tx>
          <c:spPr>
            <a:ln w="28575">
              <a:solidFill>
                <a:srgbClr val="E7E6E6">
                  <a:lumMod val="75000"/>
                </a:srgbClr>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南华!$H$2:$H$366</c:f>
              <c:numCache>
                <c:formatCode>General</c:formatCode>
                <c:ptCount val="365"/>
                <c:pt idx="0">
                  <c:v>#N/A</c:v>
                </c:pt>
                <c:pt idx="1">
                  <c:v>#N/A</c:v>
                </c:pt>
                <c:pt idx="2">
                  <c:v>#N/A</c:v>
                </c:pt>
                <c:pt idx="3">
                  <c:v>#N/A</c:v>
                </c:pt>
                <c:pt idx="4">
                  <c:v>#N/A</c:v>
                </c:pt>
                <c:pt idx="5">
                  <c:v>2100.85</c:v>
                </c:pt>
                <c:pt idx="6">
                  <c:v>#N/A</c:v>
                </c:pt>
                <c:pt idx="7">
                  <c:v>#N/A</c:v>
                </c:pt>
                <c:pt idx="8">
                  <c:v>#N/A</c:v>
                </c:pt>
                <c:pt idx="9">
                  <c:v>#N/A</c:v>
                </c:pt>
                <c:pt idx="10">
                  <c:v>#N/A</c:v>
                </c:pt>
                <c:pt idx="11">
                  <c:v>#N/A</c:v>
                </c:pt>
                <c:pt idx="12">
                  <c:v>2106.14</c:v>
                </c:pt>
                <c:pt idx="13">
                  <c:v>#N/A</c:v>
                </c:pt>
                <c:pt idx="14">
                  <c:v>#N/A</c:v>
                </c:pt>
                <c:pt idx="15">
                  <c:v>#N/A</c:v>
                </c:pt>
                <c:pt idx="16">
                  <c:v>#N/A</c:v>
                </c:pt>
                <c:pt idx="17">
                  <c:v>#N/A</c:v>
                </c:pt>
                <c:pt idx="18">
                  <c:v>#N/A</c:v>
                </c:pt>
                <c:pt idx="19">
                  <c:v>2086.31</c:v>
                </c:pt>
                <c:pt idx="20">
                  <c:v>#N/A</c:v>
                </c:pt>
                <c:pt idx="21">
                  <c:v>#N/A</c:v>
                </c:pt>
                <c:pt idx="22">
                  <c:v>#N/A</c:v>
                </c:pt>
                <c:pt idx="23">
                  <c:v>#N/A</c:v>
                </c:pt>
                <c:pt idx="24">
                  <c:v>#N/A</c:v>
                </c:pt>
                <c:pt idx="25">
                  <c:v>#N/A</c:v>
                </c:pt>
                <c:pt idx="26">
                  <c:v>2095.38</c:v>
                </c:pt>
                <c:pt idx="27">
                  <c:v>#N/A</c:v>
                </c:pt>
                <c:pt idx="28">
                  <c:v>#N/A</c:v>
                </c:pt>
                <c:pt idx="29">
                  <c:v>#N/A</c:v>
                </c:pt>
                <c:pt idx="30">
                  <c:v>#N/A</c:v>
                </c:pt>
                <c:pt idx="31">
                  <c:v>#N/A</c:v>
                </c:pt>
                <c:pt idx="32">
                  <c:v>#N/A</c:v>
                </c:pt>
                <c:pt idx="33">
                  <c:v>2077.0700000000002</c:v>
                </c:pt>
                <c:pt idx="34">
                  <c:v>#N/A</c:v>
                </c:pt>
                <c:pt idx="35">
                  <c:v>#N/A</c:v>
                </c:pt>
                <c:pt idx="36">
                  <c:v>#N/A</c:v>
                </c:pt>
                <c:pt idx="37">
                  <c:v>#N/A</c:v>
                </c:pt>
                <c:pt idx="38">
                  <c:v>#N/A</c:v>
                </c:pt>
                <c:pt idx="39">
                  <c:v>#N/A</c:v>
                </c:pt>
                <c:pt idx="40">
                  <c:v>2046.71</c:v>
                </c:pt>
                <c:pt idx="41">
                  <c:v>#N/A</c:v>
                </c:pt>
                <c:pt idx="42">
                  <c:v>#N/A</c:v>
                </c:pt>
                <c:pt idx="43">
                  <c:v>#N/A</c:v>
                </c:pt>
                <c:pt idx="44">
                  <c:v>#N/A</c:v>
                </c:pt>
                <c:pt idx="45">
                  <c:v>#N/A</c:v>
                </c:pt>
                <c:pt idx="46">
                  <c:v>#N/A</c:v>
                </c:pt>
                <c:pt idx="47">
                  <c:v>2071.9299999999998</c:v>
                </c:pt>
                <c:pt idx="48">
                  <c:v>#N/A</c:v>
                </c:pt>
                <c:pt idx="49">
                  <c:v>#N/A</c:v>
                </c:pt>
                <c:pt idx="50">
                  <c:v>#N/A</c:v>
                </c:pt>
                <c:pt idx="51">
                  <c:v>#N/A</c:v>
                </c:pt>
                <c:pt idx="52">
                  <c:v>#N/A</c:v>
                </c:pt>
                <c:pt idx="53">
                  <c:v>#N/A</c:v>
                </c:pt>
                <c:pt idx="54">
                  <c:v>2103.08</c:v>
                </c:pt>
                <c:pt idx="55">
                  <c:v>#N/A</c:v>
                </c:pt>
                <c:pt idx="56">
                  <c:v>#N/A</c:v>
                </c:pt>
                <c:pt idx="57">
                  <c:v>#N/A</c:v>
                </c:pt>
                <c:pt idx="58">
                  <c:v>#N/A</c:v>
                </c:pt>
                <c:pt idx="59">
                  <c:v>#N/A</c:v>
                </c:pt>
                <c:pt idx="60">
                  <c:v>#N/A</c:v>
                </c:pt>
                <c:pt idx="61">
                  <c:v>2098.15</c:v>
                </c:pt>
                <c:pt idx="62">
                  <c:v>#N/A</c:v>
                </c:pt>
                <c:pt idx="63">
                  <c:v>#N/A</c:v>
                </c:pt>
                <c:pt idx="64">
                  <c:v>#N/A</c:v>
                </c:pt>
                <c:pt idx="65">
                  <c:v>#N/A</c:v>
                </c:pt>
                <c:pt idx="66">
                  <c:v>#N/A</c:v>
                </c:pt>
                <c:pt idx="67">
                  <c:v>#N/A</c:v>
                </c:pt>
                <c:pt idx="68">
                  <c:v>1999.3</c:v>
                </c:pt>
                <c:pt idx="69">
                  <c:v>#N/A</c:v>
                </c:pt>
                <c:pt idx="70">
                  <c:v>#N/A</c:v>
                </c:pt>
                <c:pt idx="71">
                  <c:v>#N/A</c:v>
                </c:pt>
                <c:pt idx="72">
                  <c:v>#N/A</c:v>
                </c:pt>
                <c:pt idx="73">
                  <c:v>#N/A</c:v>
                </c:pt>
                <c:pt idx="74">
                  <c:v>#N/A</c:v>
                </c:pt>
                <c:pt idx="75">
                  <c:v>2001.46</c:v>
                </c:pt>
                <c:pt idx="76">
                  <c:v>#N/A</c:v>
                </c:pt>
                <c:pt idx="77">
                  <c:v>#N/A</c:v>
                </c:pt>
                <c:pt idx="78">
                  <c:v>#N/A</c:v>
                </c:pt>
                <c:pt idx="79">
                  <c:v>#N/A</c:v>
                </c:pt>
                <c:pt idx="80">
                  <c:v>#N/A</c:v>
                </c:pt>
                <c:pt idx="81">
                  <c:v>#N/A</c:v>
                </c:pt>
                <c:pt idx="82">
                  <c:v>1898.76</c:v>
                </c:pt>
                <c:pt idx="83">
                  <c:v>#N/A</c:v>
                </c:pt>
                <c:pt idx="84">
                  <c:v>#N/A</c:v>
                </c:pt>
                <c:pt idx="85">
                  <c:v>#N/A</c:v>
                </c:pt>
                <c:pt idx="86">
                  <c:v>#N/A</c:v>
                </c:pt>
                <c:pt idx="87">
                  <c:v>#N/A</c:v>
                </c:pt>
                <c:pt idx="88">
                  <c:v>#N/A</c:v>
                </c:pt>
                <c:pt idx="89">
                  <c:v>1921.33</c:v>
                </c:pt>
                <c:pt idx="90">
                  <c:v>#N/A</c:v>
                </c:pt>
                <c:pt idx="91">
                  <c:v>#N/A</c:v>
                </c:pt>
                <c:pt idx="92">
                  <c:v>#N/A</c:v>
                </c:pt>
                <c:pt idx="93">
                  <c:v>#N/A</c:v>
                </c:pt>
                <c:pt idx="94">
                  <c:v>#N/A</c:v>
                </c:pt>
                <c:pt idx="95">
                  <c:v>#N/A</c:v>
                </c:pt>
                <c:pt idx="96">
                  <c:v>1914.14</c:v>
                </c:pt>
                <c:pt idx="97">
                  <c:v>#N/A</c:v>
                </c:pt>
                <c:pt idx="98">
                  <c:v>#N/A</c:v>
                </c:pt>
                <c:pt idx="99">
                  <c:v>#N/A</c:v>
                </c:pt>
                <c:pt idx="100">
                  <c:v>#N/A</c:v>
                </c:pt>
                <c:pt idx="101">
                  <c:v>#N/A</c:v>
                </c:pt>
                <c:pt idx="102">
                  <c:v>#N/A</c:v>
                </c:pt>
                <c:pt idx="103">
                  <c:v>1965.75</c:v>
                </c:pt>
                <c:pt idx="104">
                  <c:v>#N/A</c:v>
                </c:pt>
                <c:pt idx="105">
                  <c:v>#N/A</c:v>
                </c:pt>
                <c:pt idx="106">
                  <c:v>#N/A</c:v>
                </c:pt>
                <c:pt idx="107">
                  <c:v>#N/A</c:v>
                </c:pt>
                <c:pt idx="108">
                  <c:v>#N/A</c:v>
                </c:pt>
                <c:pt idx="109">
                  <c:v>#N/A</c:v>
                </c:pt>
                <c:pt idx="110">
                  <c:v>1994.47</c:v>
                </c:pt>
                <c:pt idx="111">
                  <c:v>#N/A</c:v>
                </c:pt>
                <c:pt idx="112">
                  <c:v>#N/A</c:v>
                </c:pt>
                <c:pt idx="113">
                  <c:v>#N/A</c:v>
                </c:pt>
                <c:pt idx="114">
                  <c:v>#N/A</c:v>
                </c:pt>
                <c:pt idx="115">
                  <c:v>#N/A</c:v>
                </c:pt>
                <c:pt idx="116">
                  <c:v>#N/A</c:v>
                </c:pt>
                <c:pt idx="117">
                  <c:v>2012.85</c:v>
                </c:pt>
                <c:pt idx="118">
                  <c:v>#N/A</c:v>
                </c:pt>
                <c:pt idx="119">
                  <c:v>#N/A</c:v>
                </c:pt>
                <c:pt idx="120">
                  <c:v>#N/A</c:v>
                </c:pt>
                <c:pt idx="121">
                  <c:v>#N/A</c:v>
                </c:pt>
                <c:pt idx="122">
                  <c:v>#N/A</c:v>
                </c:pt>
                <c:pt idx="123">
                  <c:v>#N/A</c:v>
                </c:pt>
                <c:pt idx="124">
                  <c:v>2047.97</c:v>
                </c:pt>
                <c:pt idx="125">
                  <c:v>#N/A</c:v>
                </c:pt>
                <c:pt idx="126">
                  <c:v>#N/A</c:v>
                </c:pt>
                <c:pt idx="127">
                  <c:v>#N/A</c:v>
                </c:pt>
                <c:pt idx="128">
                  <c:v>#N/A</c:v>
                </c:pt>
                <c:pt idx="129">
                  <c:v>#N/A</c:v>
                </c:pt>
                <c:pt idx="130">
                  <c:v>#N/A</c:v>
                </c:pt>
                <c:pt idx="131">
                  <c:v>2072.7600000000002</c:v>
                </c:pt>
                <c:pt idx="132">
                  <c:v>#N/A</c:v>
                </c:pt>
                <c:pt idx="133">
                  <c:v>#N/A</c:v>
                </c:pt>
                <c:pt idx="134">
                  <c:v>#N/A</c:v>
                </c:pt>
                <c:pt idx="135">
                  <c:v>#N/A</c:v>
                </c:pt>
                <c:pt idx="136">
                  <c:v>#N/A</c:v>
                </c:pt>
                <c:pt idx="137">
                  <c:v>#N/A</c:v>
                </c:pt>
                <c:pt idx="138">
                  <c:v>2079.2800000000002</c:v>
                </c:pt>
                <c:pt idx="139">
                  <c:v>#N/A</c:v>
                </c:pt>
                <c:pt idx="140">
                  <c:v>#N/A</c:v>
                </c:pt>
                <c:pt idx="141">
                  <c:v>#N/A</c:v>
                </c:pt>
                <c:pt idx="142">
                  <c:v>#N/A</c:v>
                </c:pt>
                <c:pt idx="143">
                  <c:v>#N/A</c:v>
                </c:pt>
                <c:pt idx="144">
                  <c:v>#N/A</c:v>
                </c:pt>
                <c:pt idx="145">
                  <c:v>2039.69</c:v>
                </c:pt>
                <c:pt idx="146">
                  <c:v>#N/A</c:v>
                </c:pt>
                <c:pt idx="147">
                  <c:v>#N/A</c:v>
                </c:pt>
                <c:pt idx="148">
                  <c:v>#N/A</c:v>
                </c:pt>
                <c:pt idx="149">
                  <c:v>#N/A</c:v>
                </c:pt>
                <c:pt idx="150">
                  <c:v>#N/A</c:v>
                </c:pt>
                <c:pt idx="151">
                  <c:v>#N/A</c:v>
                </c:pt>
                <c:pt idx="152">
                  <c:v>2085.89</c:v>
                </c:pt>
                <c:pt idx="153">
                  <c:v>#N/A</c:v>
                </c:pt>
                <c:pt idx="154">
                  <c:v>#N/A</c:v>
                </c:pt>
                <c:pt idx="155">
                  <c:v>#N/A</c:v>
                </c:pt>
                <c:pt idx="156">
                  <c:v>#N/A</c:v>
                </c:pt>
                <c:pt idx="157">
                  <c:v>#N/A</c:v>
                </c:pt>
                <c:pt idx="158">
                  <c:v>#N/A</c:v>
                </c:pt>
                <c:pt idx="159">
                  <c:v>2099.5082000000002</c:v>
                </c:pt>
                <c:pt idx="160">
                  <c:v>#N/A</c:v>
                </c:pt>
                <c:pt idx="161">
                  <c:v>#N/A</c:v>
                </c:pt>
                <c:pt idx="162">
                  <c:v>#N/A</c:v>
                </c:pt>
                <c:pt idx="163">
                  <c:v>#N/A</c:v>
                </c:pt>
                <c:pt idx="164">
                  <c:v>#N/A</c:v>
                </c:pt>
                <c:pt idx="165">
                  <c:v>#N/A</c:v>
                </c:pt>
                <c:pt idx="166">
                  <c:v>2108.4513999999999</c:v>
                </c:pt>
                <c:pt idx="167">
                  <c:v>#N/A</c:v>
                </c:pt>
                <c:pt idx="168">
                  <c:v>#N/A</c:v>
                </c:pt>
                <c:pt idx="169">
                  <c:v>#N/A</c:v>
                </c:pt>
                <c:pt idx="170">
                  <c:v>#N/A</c:v>
                </c:pt>
                <c:pt idx="171">
                  <c:v>#N/A</c:v>
                </c:pt>
                <c:pt idx="172">
                  <c:v>#N/A</c:v>
                </c:pt>
                <c:pt idx="173">
                  <c:v>2045.25</c:v>
                </c:pt>
                <c:pt idx="174">
                  <c:v>#N/A</c:v>
                </c:pt>
                <c:pt idx="175">
                  <c:v>#N/A</c:v>
                </c:pt>
                <c:pt idx="176">
                  <c:v>#N/A</c:v>
                </c:pt>
                <c:pt idx="177">
                  <c:v>#N/A</c:v>
                </c:pt>
                <c:pt idx="178">
                  <c:v>#N/A</c:v>
                </c:pt>
                <c:pt idx="179">
                  <c:v>#N/A</c:v>
                </c:pt>
                <c:pt idx="180">
                  <c:v>2087.83</c:v>
                </c:pt>
                <c:pt idx="181">
                  <c:v>#N/A</c:v>
                </c:pt>
                <c:pt idx="182">
                  <c:v>#N/A</c:v>
                </c:pt>
                <c:pt idx="183">
                  <c:v>#N/A</c:v>
                </c:pt>
                <c:pt idx="184">
                  <c:v>#N/A</c:v>
                </c:pt>
                <c:pt idx="185">
                  <c:v>#N/A</c:v>
                </c:pt>
                <c:pt idx="186">
                  <c:v>#N/A</c:v>
                </c:pt>
                <c:pt idx="187">
                  <c:v>2034.98</c:v>
                </c:pt>
                <c:pt idx="188">
                  <c:v>#N/A</c:v>
                </c:pt>
                <c:pt idx="189">
                  <c:v>#N/A</c:v>
                </c:pt>
                <c:pt idx="190">
                  <c:v>#N/A</c:v>
                </c:pt>
                <c:pt idx="191">
                  <c:v>#N/A</c:v>
                </c:pt>
                <c:pt idx="192">
                  <c:v>#N/A</c:v>
                </c:pt>
                <c:pt idx="193">
                  <c:v>#N/A</c:v>
                </c:pt>
                <c:pt idx="194">
                  <c:v>2045.87</c:v>
                </c:pt>
                <c:pt idx="195">
                  <c:v>#N/A</c:v>
                </c:pt>
                <c:pt idx="196">
                  <c:v>#N/A</c:v>
                </c:pt>
                <c:pt idx="197">
                  <c:v>#N/A</c:v>
                </c:pt>
                <c:pt idx="198">
                  <c:v>#N/A</c:v>
                </c:pt>
                <c:pt idx="199">
                  <c:v>#N/A</c:v>
                </c:pt>
                <c:pt idx="200">
                  <c:v>#N/A</c:v>
                </c:pt>
                <c:pt idx="201">
                  <c:v>2060.85</c:v>
                </c:pt>
                <c:pt idx="202">
                  <c:v>#N/A</c:v>
                </c:pt>
                <c:pt idx="203">
                  <c:v>#N/A</c:v>
                </c:pt>
                <c:pt idx="204">
                  <c:v>#N/A</c:v>
                </c:pt>
                <c:pt idx="205">
                  <c:v>#N/A</c:v>
                </c:pt>
                <c:pt idx="206">
                  <c:v>#N/A</c:v>
                </c:pt>
                <c:pt idx="207">
                  <c:v>#N/A</c:v>
                </c:pt>
                <c:pt idx="208">
                  <c:v>2120.34</c:v>
                </c:pt>
                <c:pt idx="209">
                  <c:v>#N/A</c:v>
                </c:pt>
                <c:pt idx="210">
                  <c:v>#N/A</c:v>
                </c:pt>
                <c:pt idx="211">
                  <c:v>#N/A</c:v>
                </c:pt>
                <c:pt idx="212">
                  <c:v>#N/A</c:v>
                </c:pt>
                <c:pt idx="213">
                  <c:v>#N/A</c:v>
                </c:pt>
                <c:pt idx="214">
                  <c:v>#N/A</c:v>
                </c:pt>
                <c:pt idx="215">
                  <c:v>2149.58</c:v>
                </c:pt>
                <c:pt idx="216">
                  <c:v>#N/A</c:v>
                </c:pt>
                <c:pt idx="217">
                  <c:v>#N/A</c:v>
                </c:pt>
                <c:pt idx="218">
                  <c:v>#N/A</c:v>
                </c:pt>
                <c:pt idx="219">
                  <c:v>#N/A</c:v>
                </c:pt>
                <c:pt idx="220">
                  <c:v>#N/A</c:v>
                </c:pt>
                <c:pt idx="221">
                  <c:v>#N/A</c:v>
                </c:pt>
                <c:pt idx="222">
                  <c:v>2182.56</c:v>
                </c:pt>
                <c:pt idx="223">
                  <c:v>#N/A</c:v>
                </c:pt>
                <c:pt idx="224">
                  <c:v>#N/A</c:v>
                </c:pt>
                <c:pt idx="225">
                  <c:v>#N/A</c:v>
                </c:pt>
                <c:pt idx="226">
                  <c:v>#N/A</c:v>
                </c:pt>
                <c:pt idx="227">
                  <c:v>#N/A</c:v>
                </c:pt>
                <c:pt idx="228">
                  <c:v>#N/A</c:v>
                </c:pt>
                <c:pt idx="229">
                  <c:v>2194.0500000000002</c:v>
                </c:pt>
                <c:pt idx="230">
                  <c:v>#N/A</c:v>
                </c:pt>
                <c:pt idx="231">
                  <c:v>#N/A</c:v>
                </c:pt>
                <c:pt idx="232">
                  <c:v>#N/A</c:v>
                </c:pt>
                <c:pt idx="233">
                  <c:v>#N/A</c:v>
                </c:pt>
                <c:pt idx="234">
                  <c:v>#N/A</c:v>
                </c:pt>
                <c:pt idx="235">
                  <c:v>#N/A</c:v>
                </c:pt>
                <c:pt idx="236">
                  <c:v>2212.41</c:v>
                </c:pt>
                <c:pt idx="237">
                  <c:v>#N/A</c:v>
                </c:pt>
                <c:pt idx="238">
                  <c:v>#N/A</c:v>
                </c:pt>
                <c:pt idx="239">
                  <c:v>#N/A</c:v>
                </c:pt>
                <c:pt idx="240">
                  <c:v>#N/A</c:v>
                </c:pt>
                <c:pt idx="241">
                  <c:v>#N/A</c:v>
                </c:pt>
                <c:pt idx="242">
                  <c:v>#N/A</c:v>
                </c:pt>
                <c:pt idx="243">
                  <c:v>2184.73</c:v>
                </c:pt>
                <c:pt idx="244">
                  <c:v>#N/A</c:v>
                </c:pt>
                <c:pt idx="245">
                  <c:v>#N/A</c:v>
                </c:pt>
                <c:pt idx="246">
                  <c:v>#N/A</c:v>
                </c:pt>
                <c:pt idx="247">
                  <c:v>#N/A</c:v>
                </c:pt>
                <c:pt idx="248">
                  <c:v>#N/A</c:v>
                </c:pt>
                <c:pt idx="249">
                  <c:v>#N/A</c:v>
                </c:pt>
                <c:pt idx="250">
                  <c:v>2166.48</c:v>
                </c:pt>
                <c:pt idx="251">
                  <c:v>#N/A</c:v>
                </c:pt>
                <c:pt idx="252">
                  <c:v>#N/A</c:v>
                </c:pt>
                <c:pt idx="253">
                  <c:v>#N/A</c:v>
                </c:pt>
                <c:pt idx="254">
                  <c:v>#N/A</c:v>
                </c:pt>
                <c:pt idx="255">
                  <c:v>#N/A</c:v>
                </c:pt>
                <c:pt idx="256">
                  <c:v>#N/A</c:v>
                </c:pt>
                <c:pt idx="257">
                  <c:v>2169.17</c:v>
                </c:pt>
                <c:pt idx="258">
                  <c:v>#N/A</c:v>
                </c:pt>
                <c:pt idx="259">
                  <c:v>#N/A</c:v>
                </c:pt>
                <c:pt idx="260">
                  <c:v>#N/A</c:v>
                </c:pt>
                <c:pt idx="261">
                  <c:v>#N/A</c:v>
                </c:pt>
                <c:pt idx="262">
                  <c:v>#N/A</c:v>
                </c:pt>
                <c:pt idx="263">
                  <c:v>#N/A</c:v>
                </c:pt>
                <c:pt idx="264">
                  <c:v>2205.2199999999998</c:v>
                </c:pt>
                <c:pt idx="265">
                  <c:v>#N/A</c:v>
                </c:pt>
                <c:pt idx="266">
                  <c:v>#N/A</c:v>
                </c:pt>
                <c:pt idx="267">
                  <c:v>#N/A</c:v>
                </c:pt>
                <c:pt idx="268">
                  <c:v>#N/A</c:v>
                </c:pt>
                <c:pt idx="269">
                  <c:v>#N/A</c:v>
                </c:pt>
                <c:pt idx="270">
                  <c:v>#N/A</c:v>
                </c:pt>
                <c:pt idx="271">
                  <c:v>2186.4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2260.4299999999998</c:v>
                </c:pt>
                <c:pt idx="286">
                  <c:v>#N/A</c:v>
                </c:pt>
                <c:pt idx="287">
                  <c:v>#N/A</c:v>
                </c:pt>
                <c:pt idx="288">
                  <c:v>#N/A</c:v>
                </c:pt>
                <c:pt idx="289">
                  <c:v>#N/A</c:v>
                </c:pt>
                <c:pt idx="290">
                  <c:v>#N/A</c:v>
                </c:pt>
                <c:pt idx="291">
                  <c:v>#N/A</c:v>
                </c:pt>
                <c:pt idx="292">
                  <c:v>2208.63</c:v>
                </c:pt>
                <c:pt idx="293">
                  <c:v>#N/A</c:v>
                </c:pt>
                <c:pt idx="294">
                  <c:v>#N/A</c:v>
                </c:pt>
                <c:pt idx="295">
                  <c:v>#N/A</c:v>
                </c:pt>
                <c:pt idx="296">
                  <c:v>#N/A</c:v>
                </c:pt>
                <c:pt idx="297">
                  <c:v>#N/A</c:v>
                </c:pt>
                <c:pt idx="298">
                  <c:v>#N/A</c:v>
                </c:pt>
                <c:pt idx="299">
                  <c:v>2220.85</c:v>
                </c:pt>
                <c:pt idx="300">
                  <c:v>#N/A</c:v>
                </c:pt>
                <c:pt idx="301">
                  <c:v>#N/A</c:v>
                </c:pt>
                <c:pt idx="302">
                  <c:v>#N/A</c:v>
                </c:pt>
                <c:pt idx="303">
                  <c:v>#N/A</c:v>
                </c:pt>
                <c:pt idx="304">
                  <c:v>#N/A</c:v>
                </c:pt>
                <c:pt idx="305">
                  <c:v>#N/A</c:v>
                </c:pt>
                <c:pt idx="306">
                  <c:v>2157.69</c:v>
                </c:pt>
                <c:pt idx="307">
                  <c:v>#N/A</c:v>
                </c:pt>
                <c:pt idx="308">
                  <c:v>#N/A</c:v>
                </c:pt>
                <c:pt idx="309">
                  <c:v>#N/A</c:v>
                </c:pt>
                <c:pt idx="310">
                  <c:v>#N/A</c:v>
                </c:pt>
                <c:pt idx="311">
                  <c:v>#N/A</c:v>
                </c:pt>
                <c:pt idx="312">
                  <c:v>#N/A</c:v>
                </c:pt>
                <c:pt idx="313">
                  <c:v>2126.17</c:v>
                </c:pt>
                <c:pt idx="314">
                  <c:v>#N/A</c:v>
                </c:pt>
                <c:pt idx="315">
                  <c:v>#N/A</c:v>
                </c:pt>
                <c:pt idx="316">
                  <c:v>#N/A</c:v>
                </c:pt>
                <c:pt idx="317">
                  <c:v>#N/A</c:v>
                </c:pt>
                <c:pt idx="318">
                  <c:v>#N/A</c:v>
                </c:pt>
                <c:pt idx="319">
                  <c:v>#N/A</c:v>
                </c:pt>
                <c:pt idx="320">
                  <c:v>2116.79</c:v>
                </c:pt>
                <c:pt idx="321">
                  <c:v>#N/A</c:v>
                </c:pt>
                <c:pt idx="322">
                  <c:v>#N/A</c:v>
                </c:pt>
                <c:pt idx="323">
                  <c:v>#N/A</c:v>
                </c:pt>
                <c:pt idx="324">
                  <c:v>#N/A</c:v>
                </c:pt>
                <c:pt idx="325">
                  <c:v>#N/A</c:v>
                </c:pt>
                <c:pt idx="326">
                  <c:v>#N/A</c:v>
                </c:pt>
                <c:pt idx="327">
                  <c:v>2003.97</c:v>
                </c:pt>
                <c:pt idx="328">
                  <c:v>#N/A</c:v>
                </c:pt>
                <c:pt idx="329">
                  <c:v>#N/A</c:v>
                </c:pt>
                <c:pt idx="330">
                  <c:v>#N/A</c:v>
                </c:pt>
                <c:pt idx="331">
                  <c:v>#N/A</c:v>
                </c:pt>
                <c:pt idx="332">
                  <c:v>#N/A</c:v>
                </c:pt>
                <c:pt idx="333">
                  <c:v>#N/A</c:v>
                </c:pt>
                <c:pt idx="334">
                  <c:v>1988.09</c:v>
                </c:pt>
                <c:pt idx="335">
                  <c:v>#N/A</c:v>
                </c:pt>
                <c:pt idx="336">
                  <c:v>#N/A</c:v>
                </c:pt>
                <c:pt idx="337">
                  <c:v>#N/A</c:v>
                </c:pt>
                <c:pt idx="338">
                  <c:v>#N/A</c:v>
                </c:pt>
                <c:pt idx="339">
                  <c:v>#N/A</c:v>
                </c:pt>
                <c:pt idx="340">
                  <c:v>#N/A</c:v>
                </c:pt>
                <c:pt idx="341">
                  <c:v>2059.87</c:v>
                </c:pt>
                <c:pt idx="342">
                  <c:v>#N/A</c:v>
                </c:pt>
                <c:pt idx="343">
                  <c:v>#N/A</c:v>
                </c:pt>
                <c:pt idx="344">
                  <c:v>#N/A</c:v>
                </c:pt>
                <c:pt idx="345">
                  <c:v>#N/A</c:v>
                </c:pt>
                <c:pt idx="346">
                  <c:v>#N/A</c:v>
                </c:pt>
                <c:pt idx="347">
                  <c:v>#N/A</c:v>
                </c:pt>
                <c:pt idx="348">
                  <c:v>2064.35</c:v>
                </c:pt>
                <c:pt idx="349">
                  <c:v>#N/A</c:v>
                </c:pt>
                <c:pt idx="350">
                  <c:v>#N/A</c:v>
                </c:pt>
                <c:pt idx="351">
                  <c:v>#N/A</c:v>
                </c:pt>
                <c:pt idx="352">
                  <c:v>#N/A</c:v>
                </c:pt>
                <c:pt idx="353">
                  <c:v>#N/A</c:v>
                </c:pt>
                <c:pt idx="354">
                  <c:v>#N/A</c:v>
                </c:pt>
                <c:pt idx="355">
                  <c:v>2046.16</c:v>
                </c:pt>
                <c:pt idx="356">
                  <c:v>#N/A</c:v>
                </c:pt>
                <c:pt idx="357">
                  <c:v>#N/A</c:v>
                </c:pt>
                <c:pt idx="358">
                  <c:v>#N/A</c:v>
                </c:pt>
                <c:pt idx="359">
                  <c:v>#N/A</c:v>
                </c:pt>
                <c:pt idx="360">
                  <c:v>#N/A</c:v>
                </c:pt>
                <c:pt idx="361">
                  <c:v>#N/A</c:v>
                </c:pt>
                <c:pt idx="362">
                  <c:v>2011.89</c:v>
                </c:pt>
                <c:pt idx="363">
                  <c:v>#N/A</c:v>
                </c:pt>
                <c:pt idx="364">
                  <c:v>#N/A</c:v>
                </c:pt>
              </c:numCache>
            </c:numRef>
          </c:val>
          <c:smooth val="1"/>
          <c:extLst xmlns:c16r2="http://schemas.microsoft.com/office/drawing/2015/06/chart">
            <c:ext xmlns:c16="http://schemas.microsoft.com/office/drawing/2014/chart" uri="{C3380CC4-5D6E-409C-BE32-E72D297353CC}">
              <c16:uniqueId val="{00000000-910E-4D39-962A-232B5B20E889}"/>
            </c:ext>
          </c:extLst>
        </c:ser>
        <c:ser>
          <c:idx val="2"/>
          <c:order val="1"/>
          <c:tx>
            <c:strRef>
              <c:f>南华!$I$1</c:f>
              <c:strCache>
                <c:ptCount val="1"/>
                <c:pt idx="0">
                  <c:v>2019</c:v>
                </c:pt>
              </c:strCache>
            </c:strRef>
          </c:tx>
          <c:spPr>
            <a:ln w="28575">
              <a:solidFill>
                <a:srgbClr val="F8CBAD"/>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南华!$I$2:$I$366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910E-4D39-962A-232B5B20E889}"/>
            </c:ext>
          </c:extLst>
        </c:ser>
        <c:ser>
          <c:idx val="1"/>
          <c:order val="2"/>
          <c:tx>
            <c:strRef>
              <c:f>南华!$J$1</c:f>
              <c:strCache>
                <c:ptCount val="1"/>
                <c:pt idx="0">
                  <c:v>2020</c:v>
                </c:pt>
              </c:strCache>
            </c:strRef>
          </c:tx>
          <c:spPr>
            <a:ln w="28575">
              <a:solidFill>
                <a:srgbClr val="BF5711"/>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南华!$J$2:$J$366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910E-4D39-962A-232B5B20E889}"/>
            </c:ext>
          </c:extLst>
        </c:ser>
        <c:dLbls>
          <c:showLegendKey val="0"/>
          <c:showVal val="0"/>
          <c:showCatName val="0"/>
          <c:showSerName val="0"/>
          <c:showPercent val="0"/>
          <c:showBubbleSize val="0"/>
        </c:dLbls>
        <c:marker val="1"/>
        <c:smooth val="0"/>
        <c:axId val="250133888"/>
        <c:axId val="250135680"/>
      </c:lineChart>
      <c:dateAx>
        <c:axId val="25013388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50135680"/>
        <c:crosses val="autoZero"/>
        <c:auto val="0"/>
        <c:lblOffset val="0"/>
        <c:baseTimeUnit val="days"/>
        <c:majorUnit val="1"/>
        <c:majorTimeUnit val="months"/>
      </c:dateAx>
      <c:valAx>
        <c:axId val="250135680"/>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5013388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原油!$I$1</c:f>
              <c:strCache>
                <c:ptCount val="1"/>
                <c:pt idx="0">
                  <c:v>2019</c:v>
                </c:pt>
              </c:strCache>
            </c:strRef>
          </c:tx>
          <c:spPr>
            <a:ln w="28575">
              <a:solidFill>
                <a:srgbClr val="F8CBAD"/>
              </a:solidFill>
              <a:prstDash val="solid"/>
            </a:ln>
          </c:spPr>
          <c:marker>
            <c:symbol val="none"/>
          </c:marker>
          <c:cat>
            <c:numRef>
              <c:f>原油!$G$2:$G$366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原油!$I$2:$I$366</c:f>
              <c:numCache>
                <c:formatCode>General</c:formatCode>
                <c:ptCount val="365"/>
                <c:pt idx="0">
                  <c:v>#N/A</c:v>
                </c:pt>
                <c:pt idx="1">
                  <c:v>#N/A</c:v>
                </c:pt>
                <c:pt idx="2">
                  <c:v>#N/A</c:v>
                </c:pt>
                <c:pt idx="3">
                  <c:v>#N/A</c:v>
                </c:pt>
                <c:pt idx="4">
                  <c:v>47.96</c:v>
                </c:pt>
                <c:pt idx="5">
                  <c:v>#N/A</c:v>
                </c:pt>
                <c:pt idx="6">
                  <c:v>#N/A</c:v>
                </c:pt>
                <c:pt idx="7">
                  <c:v>#N/A</c:v>
                </c:pt>
                <c:pt idx="8">
                  <c:v>#N/A</c:v>
                </c:pt>
                <c:pt idx="9">
                  <c:v>#N/A</c:v>
                </c:pt>
                <c:pt idx="10">
                  <c:v>#N/A</c:v>
                </c:pt>
                <c:pt idx="11">
                  <c:v>51.91</c:v>
                </c:pt>
                <c:pt idx="12">
                  <c:v>#N/A</c:v>
                </c:pt>
                <c:pt idx="13">
                  <c:v>#N/A</c:v>
                </c:pt>
                <c:pt idx="14">
                  <c:v>#N/A</c:v>
                </c:pt>
                <c:pt idx="15">
                  <c:v>#N/A</c:v>
                </c:pt>
                <c:pt idx="16">
                  <c:v>#N/A</c:v>
                </c:pt>
                <c:pt idx="17">
                  <c:v>#N/A</c:v>
                </c:pt>
                <c:pt idx="18">
                  <c:v>54.04</c:v>
                </c:pt>
                <c:pt idx="19">
                  <c:v>#N/A</c:v>
                </c:pt>
                <c:pt idx="20">
                  <c:v>#N/A</c:v>
                </c:pt>
                <c:pt idx="21">
                  <c:v>#N/A</c:v>
                </c:pt>
                <c:pt idx="22">
                  <c:v>#N/A</c:v>
                </c:pt>
                <c:pt idx="23">
                  <c:v>#N/A</c:v>
                </c:pt>
                <c:pt idx="24">
                  <c:v>#N/A</c:v>
                </c:pt>
                <c:pt idx="25">
                  <c:v>53.69</c:v>
                </c:pt>
                <c:pt idx="26">
                  <c:v>#N/A</c:v>
                </c:pt>
                <c:pt idx="27">
                  <c:v>#N/A</c:v>
                </c:pt>
                <c:pt idx="28">
                  <c:v>#N/A</c:v>
                </c:pt>
                <c:pt idx="29">
                  <c:v>#N/A</c:v>
                </c:pt>
                <c:pt idx="30">
                  <c:v>#N/A</c:v>
                </c:pt>
                <c:pt idx="31">
                  <c:v>#N/A</c:v>
                </c:pt>
                <c:pt idx="32">
                  <c:v>55.26</c:v>
                </c:pt>
                <c:pt idx="33">
                  <c:v>#N/A</c:v>
                </c:pt>
                <c:pt idx="34">
                  <c:v>#N/A</c:v>
                </c:pt>
                <c:pt idx="35">
                  <c:v>#N/A</c:v>
                </c:pt>
                <c:pt idx="36">
                  <c:v>#N/A</c:v>
                </c:pt>
                <c:pt idx="37">
                  <c:v>#N/A</c:v>
                </c:pt>
                <c:pt idx="38">
                  <c:v>#N/A</c:v>
                </c:pt>
                <c:pt idx="39">
                  <c:v>52.72</c:v>
                </c:pt>
                <c:pt idx="40">
                  <c:v>#N/A</c:v>
                </c:pt>
                <c:pt idx="41">
                  <c:v>#N/A</c:v>
                </c:pt>
                <c:pt idx="42">
                  <c:v>#N/A</c:v>
                </c:pt>
                <c:pt idx="43">
                  <c:v>#N/A</c:v>
                </c:pt>
                <c:pt idx="44">
                  <c:v>#N/A</c:v>
                </c:pt>
                <c:pt idx="45">
                  <c:v>#N/A</c:v>
                </c:pt>
                <c:pt idx="46">
                  <c:v>55.98</c:v>
                </c:pt>
                <c:pt idx="47">
                  <c:v>#N/A</c:v>
                </c:pt>
                <c:pt idx="48">
                  <c:v>#N/A</c:v>
                </c:pt>
                <c:pt idx="49">
                  <c:v>#N/A</c:v>
                </c:pt>
                <c:pt idx="50">
                  <c:v>#N/A</c:v>
                </c:pt>
                <c:pt idx="51">
                  <c:v>#N/A</c:v>
                </c:pt>
                <c:pt idx="52">
                  <c:v>#N/A</c:v>
                </c:pt>
                <c:pt idx="53">
                  <c:v>57.26</c:v>
                </c:pt>
                <c:pt idx="54">
                  <c:v>#N/A</c:v>
                </c:pt>
                <c:pt idx="55">
                  <c:v>#N/A</c:v>
                </c:pt>
                <c:pt idx="56">
                  <c:v>#N/A</c:v>
                </c:pt>
                <c:pt idx="57">
                  <c:v>#N/A</c:v>
                </c:pt>
                <c:pt idx="58">
                  <c:v>#N/A</c:v>
                </c:pt>
                <c:pt idx="59">
                  <c:v>#N/A</c:v>
                </c:pt>
                <c:pt idx="60">
                  <c:v>55.8</c:v>
                </c:pt>
                <c:pt idx="61">
                  <c:v>#N/A</c:v>
                </c:pt>
                <c:pt idx="62">
                  <c:v>#N/A</c:v>
                </c:pt>
                <c:pt idx="63">
                  <c:v>#N/A</c:v>
                </c:pt>
                <c:pt idx="64">
                  <c:v>#N/A</c:v>
                </c:pt>
                <c:pt idx="65">
                  <c:v>#N/A</c:v>
                </c:pt>
                <c:pt idx="66">
                  <c:v>#N/A</c:v>
                </c:pt>
                <c:pt idx="67">
                  <c:v>56.07</c:v>
                </c:pt>
                <c:pt idx="68">
                  <c:v>#N/A</c:v>
                </c:pt>
                <c:pt idx="69">
                  <c:v>#N/A</c:v>
                </c:pt>
                <c:pt idx="70">
                  <c:v>#N/A</c:v>
                </c:pt>
                <c:pt idx="71">
                  <c:v>#N/A</c:v>
                </c:pt>
                <c:pt idx="72">
                  <c:v>#N/A</c:v>
                </c:pt>
                <c:pt idx="73">
                  <c:v>#N/A</c:v>
                </c:pt>
                <c:pt idx="74">
                  <c:v>58.82</c:v>
                </c:pt>
                <c:pt idx="75">
                  <c:v>#N/A</c:v>
                </c:pt>
                <c:pt idx="76">
                  <c:v>#N/A</c:v>
                </c:pt>
                <c:pt idx="77">
                  <c:v>#N/A</c:v>
                </c:pt>
                <c:pt idx="78">
                  <c:v>#N/A</c:v>
                </c:pt>
                <c:pt idx="79">
                  <c:v>#N/A</c:v>
                </c:pt>
                <c:pt idx="80">
                  <c:v>#N/A</c:v>
                </c:pt>
                <c:pt idx="81">
                  <c:v>59.04</c:v>
                </c:pt>
                <c:pt idx="82">
                  <c:v>#N/A</c:v>
                </c:pt>
                <c:pt idx="83">
                  <c:v>#N/A</c:v>
                </c:pt>
                <c:pt idx="84">
                  <c:v>#N/A</c:v>
                </c:pt>
                <c:pt idx="85">
                  <c:v>#N/A</c:v>
                </c:pt>
                <c:pt idx="86">
                  <c:v>#N/A</c:v>
                </c:pt>
                <c:pt idx="87">
                  <c:v>#N/A</c:v>
                </c:pt>
                <c:pt idx="88">
                  <c:v>60.14</c:v>
                </c:pt>
                <c:pt idx="89">
                  <c:v>#N/A</c:v>
                </c:pt>
                <c:pt idx="90">
                  <c:v>#N/A</c:v>
                </c:pt>
                <c:pt idx="91">
                  <c:v>#N/A</c:v>
                </c:pt>
                <c:pt idx="92">
                  <c:v>#N/A</c:v>
                </c:pt>
                <c:pt idx="93">
                  <c:v>#N/A</c:v>
                </c:pt>
                <c:pt idx="94">
                  <c:v>#N/A</c:v>
                </c:pt>
                <c:pt idx="95">
                  <c:v>63.08</c:v>
                </c:pt>
                <c:pt idx="96">
                  <c:v>#N/A</c:v>
                </c:pt>
                <c:pt idx="97">
                  <c:v>#N/A</c:v>
                </c:pt>
                <c:pt idx="98">
                  <c:v>#N/A</c:v>
                </c:pt>
                <c:pt idx="99">
                  <c:v>#N/A</c:v>
                </c:pt>
                <c:pt idx="100">
                  <c:v>#N/A</c:v>
                </c:pt>
                <c:pt idx="101">
                  <c:v>#N/A</c:v>
                </c:pt>
                <c:pt idx="102">
                  <c:v>64.02</c:v>
                </c:pt>
                <c:pt idx="103">
                  <c:v>#N/A</c:v>
                </c:pt>
                <c:pt idx="104">
                  <c:v>#N/A</c:v>
                </c:pt>
                <c:pt idx="105">
                  <c:v>#N/A</c:v>
                </c:pt>
                <c:pt idx="106">
                  <c:v>#N/A</c:v>
                </c:pt>
                <c:pt idx="107">
                  <c:v>#N/A</c:v>
                </c:pt>
                <c:pt idx="108">
                  <c:v>#N/A</c:v>
                </c:pt>
                <c:pt idx="109">
                  <c:v>64.069999999999993</c:v>
                </c:pt>
                <c:pt idx="110">
                  <c:v>#N/A</c:v>
                </c:pt>
                <c:pt idx="111">
                  <c:v>#N/A</c:v>
                </c:pt>
                <c:pt idx="112">
                  <c:v>#N/A</c:v>
                </c:pt>
                <c:pt idx="113">
                  <c:v>#N/A</c:v>
                </c:pt>
                <c:pt idx="114">
                  <c:v>#N/A</c:v>
                </c:pt>
                <c:pt idx="115">
                  <c:v>#N/A</c:v>
                </c:pt>
                <c:pt idx="116">
                  <c:v>63.3</c:v>
                </c:pt>
                <c:pt idx="117">
                  <c:v>#N/A</c:v>
                </c:pt>
                <c:pt idx="118">
                  <c:v>#N/A</c:v>
                </c:pt>
                <c:pt idx="119">
                  <c:v>#N/A</c:v>
                </c:pt>
                <c:pt idx="120">
                  <c:v>#N/A</c:v>
                </c:pt>
                <c:pt idx="121">
                  <c:v>#N/A</c:v>
                </c:pt>
                <c:pt idx="122">
                  <c:v>#N/A</c:v>
                </c:pt>
                <c:pt idx="123">
                  <c:v>61.94</c:v>
                </c:pt>
                <c:pt idx="124">
                  <c:v>#N/A</c:v>
                </c:pt>
                <c:pt idx="125">
                  <c:v>#N/A</c:v>
                </c:pt>
                <c:pt idx="126">
                  <c:v>#N/A</c:v>
                </c:pt>
                <c:pt idx="127">
                  <c:v>#N/A</c:v>
                </c:pt>
                <c:pt idx="128">
                  <c:v>#N/A</c:v>
                </c:pt>
                <c:pt idx="129">
                  <c:v>#N/A</c:v>
                </c:pt>
                <c:pt idx="130">
                  <c:v>61.66</c:v>
                </c:pt>
                <c:pt idx="131">
                  <c:v>#N/A</c:v>
                </c:pt>
                <c:pt idx="132">
                  <c:v>#N/A</c:v>
                </c:pt>
                <c:pt idx="133">
                  <c:v>#N/A</c:v>
                </c:pt>
                <c:pt idx="134">
                  <c:v>#N/A</c:v>
                </c:pt>
                <c:pt idx="135">
                  <c:v>#N/A</c:v>
                </c:pt>
                <c:pt idx="136">
                  <c:v>#N/A</c:v>
                </c:pt>
                <c:pt idx="137">
                  <c:v>62.92</c:v>
                </c:pt>
                <c:pt idx="138">
                  <c:v>#N/A</c:v>
                </c:pt>
                <c:pt idx="139">
                  <c:v>#N/A</c:v>
                </c:pt>
                <c:pt idx="140">
                  <c:v>#N/A</c:v>
                </c:pt>
                <c:pt idx="141">
                  <c:v>#N/A</c:v>
                </c:pt>
                <c:pt idx="142">
                  <c:v>#N/A</c:v>
                </c:pt>
                <c:pt idx="143">
                  <c:v>#N/A</c:v>
                </c:pt>
                <c:pt idx="144">
                  <c:v>58.63</c:v>
                </c:pt>
                <c:pt idx="145">
                  <c:v>#N/A</c:v>
                </c:pt>
                <c:pt idx="146">
                  <c:v>#N/A</c:v>
                </c:pt>
                <c:pt idx="147">
                  <c:v>#N/A</c:v>
                </c:pt>
                <c:pt idx="148">
                  <c:v>#N/A</c:v>
                </c:pt>
                <c:pt idx="149">
                  <c:v>#N/A</c:v>
                </c:pt>
                <c:pt idx="150">
                  <c:v>#N/A</c:v>
                </c:pt>
                <c:pt idx="151">
                  <c:v>53.5</c:v>
                </c:pt>
                <c:pt idx="152">
                  <c:v>#N/A</c:v>
                </c:pt>
                <c:pt idx="153">
                  <c:v>#N/A</c:v>
                </c:pt>
                <c:pt idx="154">
                  <c:v>#N/A</c:v>
                </c:pt>
                <c:pt idx="155">
                  <c:v>#N/A</c:v>
                </c:pt>
                <c:pt idx="156">
                  <c:v>#N/A</c:v>
                </c:pt>
                <c:pt idx="157">
                  <c:v>#N/A</c:v>
                </c:pt>
                <c:pt idx="158">
                  <c:v>53.99</c:v>
                </c:pt>
                <c:pt idx="159">
                  <c:v>#N/A</c:v>
                </c:pt>
                <c:pt idx="160">
                  <c:v>#N/A</c:v>
                </c:pt>
                <c:pt idx="161">
                  <c:v>#N/A</c:v>
                </c:pt>
                <c:pt idx="162">
                  <c:v>#N/A</c:v>
                </c:pt>
                <c:pt idx="163">
                  <c:v>#N/A</c:v>
                </c:pt>
                <c:pt idx="164">
                  <c:v>#N/A</c:v>
                </c:pt>
                <c:pt idx="165">
                  <c:v>52.77</c:v>
                </c:pt>
                <c:pt idx="166">
                  <c:v>#N/A</c:v>
                </c:pt>
                <c:pt idx="167">
                  <c:v>#N/A</c:v>
                </c:pt>
                <c:pt idx="168">
                  <c:v>#N/A</c:v>
                </c:pt>
                <c:pt idx="169">
                  <c:v>#N/A</c:v>
                </c:pt>
                <c:pt idx="170">
                  <c:v>#N/A</c:v>
                </c:pt>
                <c:pt idx="171">
                  <c:v>#N/A</c:v>
                </c:pt>
                <c:pt idx="172">
                  <c:v>57.43</c:v>
                </c:pt>
                <c:pt idx="173">
                  <c:v>#N/A</c:v>
                </c:pt>
                <c:pt idx="174">
                  <c:v>#N/A</c:v>
                </c:pt>
                <c:pt idx="175">
                  <c:v>#N/A</c:v>
                </c:pt>
                <c:pt idx="176">
                  <c:v>#N/A</c:v>
                </c:pt>
                <c:pt idx="177">
                  <c:v>#N/A</c:v>
                </c:pt>
                <c:pt idx="178">
                  <c:v>#N/A</c:v>
                </c:pt>
                <c:pt idx="179">
                  <c:v>58.47</c:v>
                </c:pt>
                <c:pt idx="180">
                  <c:v>#N/A</c:v>
                </c:pt>
                <c:pt idx="181">
                  <c:v>#N/A</c:v>
                </c:pt>
                <c:pt idx="182">
                  <c:v>#N/A</c:v>
                </c:pt>
                <c:pt idx="183">
                  <c:v>#N/A</c:v>
                </c:pt>
                <c:pt idx="184">
                  <c:v>#N/A</c:v>
                </c:pt>
                <c:pt idx="185">
                  <c:v>#N/A</c:v>
                </c:pt>
                <c:pt idx="186">
                  <c:v>57.51</c:v>
                </c:pt>
                <c:pt idx="187">
                  <c:v>#N/A</c:v>
                </c:pt>
                <c:pt idx="188">
                  <c:v>#N/A</c:v>
                </c:pt>
                <c:pt idx="189">
                  <c:v>#N/A</c:v>
                </c:pt>
                <c:pt idx="190">
                  <c:v>#N/A</c:v>
                </c:pt>
                <c:pt idx="191">
                  <c:v>#N/A</c:v>
                </c:pt>
                <c:pt idx="192">
                  <c:v>#N/A</c:v>
                </c:pt>
                <c:pt idx="193">
                  <c:v>60.3</c:v>
                </c:pt>
                <c:pt idx="194">
                  <c:v>#N/A</c:v>
                </c:pt>
                <c:pt idx="195">
                  <c:v>#N/A</c:v>
                </c:pt>
                <c:pt idx="196">
                  <c:v>#N/A</c:v>
                </c:pt>
                <c:pt idx="197">
                  <c:v>#N/A</c:v>
                </c:pt>
                <c:pt idx="198">
                  <c:v>#N/A</c:v>
                </c:pt>
                <c:pt idx="199">
                  <c:v>#N/A</c:v>
                </c:pt>
                <c:pt idx="200">
                  <c:v>55.76</c:v>
                </c:pt>
                <c:pt idx="201">
                  <c:v>#N/A</c:v>
                </c:pt>
                <c:pt idx="202">
                  <c:v>#N/A</c:v>
                </c:pt>
                <c:pt idx="203">
                  <c:v>#N/A</c:v>
                </c:pt>
                <c:pt idx="204">
                  <c:v>#N/A</c:v>
                </c:pt>
                <c:pt idx="205">
                  <c:v>#N/A</c:v>
                </c:pt>
                <c:pt idx="206">
                  <c:v>#N/A</c:v>
                </c:pt>
                <c:pt idx="207">
                  <c:v>56.2</c:v>
                </c:pt>
                <c:pt idx="208">
                  <c:v>#N/A</c:v>
                </c:pt>
                <c:pt idx="209">
                  <c:v>#N/A</c:v>
                </c:pt>
                <c:pt idx="210">
                  <c:v>#N/A</c:v>
                </c:pt>
                <c:pt idx="211">
                  <c:v>#N/A</c:v>
                </c:pt>
                <c:pt idx="212">
                  <c:v>#N/A</c:v>
                </c:pt>
                <c:pt idx="213">
                  <c:v>#N/A</c:v>
                </c:pt>
                <c:pt idx="214">
                  <c:v>55.66</c:v>
                </c:pt>
                <c:pt idx="215">
                  <c:v>#N/A</c:v>
                </c:pt>
                <c:pt idx="216">
                  <c:v>#N/A</c:v>
                </c:pt>
                <c:pt idx="217">
                  <c:v>#N/A</c:v>
                </c:pt>
                <c:pt idx="218">
                  <c:v>#N/A</c:v>
                </c:pt>
                <c:pt idx="219">
                  <c:v>#N/A</c:v>
                </c:pt>
                <c:pt idx="220">
                  <c:v>#N/A</c:v>
                </c:pt>
                <c:pt idx="221">
                  <c:v>54.5</c:v>
                </c:pt>
                <c:pt idx="222">
                  <c:v>#N/A</c:v>
                </c:pt>
                <c:pt idx="223">
                  <c:v>#N/A</c:v>
                </c:pt>
                <c:pt idx="224">
                  <c:v>#N/A</c:v>
                </c:pt>
                <c:pt idx="225">
                  <c:v>#N/A</c:v>
                </c:pt>
                <c:pt idx="226">
                  <c:v>#N/A</c:v>
                </c:pt>
                <c:pt idx="227">
                  <c:v>#N/A</c:v>
                </c:pt>
                <c:pt idx="228">
                  <c:v>54.81</c:v>
                </c:pt>
                <c:pt idx="229">
                  <c:v>#N/A</c:v>
                </c:pt>
                <c:pt idx="230">
                  <c:v>#N/A</c:v>
                </c:pt>
                <c:pt idx="231">
                  <c:v>#N/A</c:v>
                </c:pt>
                <c:pt idx="232">
                  <c:v>#N/A</c:v>
                </c:pt>
                <c:pt idx="233">
                  <c:v>#N/A</c:v>
                </c:pt>
                <c:pt idx="234">
                  <c:v>#N/A</c:v>
                </c:pt>
                <c:pt idx="235">
                  <c:v>54.17</c:v>
                </c:pt>
                <c:pt idx="236">
                  <c:v>#N/A</c:v>
                </c:pt>
                <c:pt idx="237">
                  <c:v>#N/A</c:v>
                </c:pt>
                <c:pt idx="238">
                  <c:v>#N/A</c:v>
                </c:pt>
                <c:pt idx="239">
                  <c:v>#N/A</c:v>
                </c:pt>
                <c:pt idx="240">
                  <c:v>#N/A</c:v>
                </c:pt>
                <c:pt idx="241">
                  <c:v>#N/A</c:v>
                </c:pt>
                <c:pt idx="242">
                  <c:v>55.1</c:v>
                </c:pt>
                <c:pt idx="243">
                  <c:v>#N/A</c:v>
                </c:pt>
                <c:pt idx="244">
                  <c:v>#N/A</c:v>
                </c:pt>
                <c:pt idx="245">
                  <c:v>#N/A</c:v>
                </c:pt>
                <c:pt idx="246">
                  <c:v>#N/A</c:v>
                </c:pt>
                <c:pt idx="247">
                  <c:v>#N/A</c:v>
                </c:pt>
                <c:pt idx="248">
                  <c:v>#N/A</c:v>
                </c:pt>
                <c:pt idx="249">
                  <c:v>56.52</c:v>
                </c:pt>
                <c:pt idx="250">
                  <c:v>#N/A</c:v>
                </c:pt>
                <c:pt idx="251">
                  <c:v>#N/A</c:v>
                </c:pt>
                <c:pt idx="252">
                  <c:v>#N/A</c:v>
                </c:pt>
                <c:pt idx="253">
                  <c:v>#N/A</c:v>
                </c:pt>
                <c:pt idx="254">
                  <c:v>#N/A</c:v>
                </c:pt>
                <c:pt idx="255">
                  <c:v>#N/A</c:v>
                </c:pt>
                <c:pt idx="256">
                  <c:v>54.8</c:v>
                </c:pt>
                <c:pt idx="257">
                  <c:v>#N/A</c:v>
                </c:pt>
                <c:pt idx="258">
                  <c:v>#N/A</c:v>
                </c:pt>
                <c:pt idx="259">
                  <c:v>#N/A</c:v>
                </c:pt>
                <c:pt idx="260">
                  <c:v>#N/A</c:v>
                </c:pt>
                <c:pt idx="261">
                  <c:v>#N/A</c:v>
                </c:pt>
                <c:pt idx="262">
                  <c:v>#N/A</c:v>
                </c:pt>
                <c:pt idx="263">
                  <c:v>58.09</c:v>
                </c:pt>
                <c:pt idx="264">
                  <c:v>#N/A</c:v>
                </c:pt>
                <c:pt idx="265">
                  <c:v>#N/A</c:v>
                </c:pt>
                <c:pt idx="266">
                  <c:v>#N/A</c:v>
                </c:pt>
                <c:pt idx="267">
                  <c:v>#N/A</c:v>
                </c:pt>
                <c:pt idx="268">
                  <c:v>#N/A</c:v>
                </c:pt>
                <c:pt idx="269">
                  <c:v>#N/A</c:v>
                </c:pt>
                <c:pt idx="270">
                  <c:v>55.91</c:v>
                </c:pt>
                <c:pt idx="271">
                  <c:v>#N/A</c:v>
                </c:pt>
                <c:pt idx="272">
                  <c:v>#N/A</c:v>
                </c:pt>
                <c:pt idx="273">
                  <c:v>#N/A</c:v>
                </c:pt>
                <c:pt idx="274">
                  <c:v>#N/A</c:v>
                </c:pt>
                <c:pt idx="275">
                  <c:v>#N/A</c:v>
                </c:pt>
                <c:pt idx="276">
                  <c:v>#N/A</c:v>
                </c:pt>
                <c:pt idx="277">
                  <c:v>52.81</c:v>
                </c:pt>
                <c:pt idx="278">
                  <c:v>#N/A</c:v>
                </c:pt>
                <c:pt idx="279">
                  <c:v>#N/A</c:v>
                </c:pt>
                <c:pt idx="280">
                  <c:v>#N/A</c:v>
                </c:pt>
                <c:pt idx="281">
                  <c:v>#N/A</c:v>
                </c:pt>
                <c:pt idx="282">
                  <c:v>#N/A</c:v>
                </c:pt>
                <c:pt idx="283">
                  <c:v>#N/A</c:v>
                </c:pt>
                <c:pt idx="284">
                  <c:v>54.78</c:v>
                </c:pt>
                <c:pt idx="285">
                  <c:v>#N/A</c:v>
                </c:pt>
                <c:pt idx="286">
                  <c:v>#N/A</c:v>
                </c:pt>
                <c:pt idx="287">
                  <c:v>#N/A</c:v>
                </c:pt>
                <c:pt idx="288">
                  <c:v>#N/A</c:v>
                </c:pt>
                <c:pt idx="289">
                  <c:v>#N/A</c:v>
                </c:pt>
                <c:pt idx="290">
                  <c:v>#N/A</c:v>
                </c:pt>
                <c:pt idx="291">
                  <c:v>53.87</c:v>
                </c:pt>
                <c:pt idx="292">
                  <c:v>#N/A</c:v>
                </c:pt>
                <c:pt idx="293">
                  <c:v>#N/A</c:v>
                </c:pt>
                <c:pt idx="294">
                  <c:v>#N/A</c:v>
                </c:pt>
                <c:pt idx="295">
                  <c:v>#N/A</c:v>
                </c:pt>
                <c:pt idx="296">
                  <c:v>#N/A</c:v>
                </c:pt>
                <c:pt idx="297">
                  <c:v>#N/A</c:v>
                </c:pt>
                <c:pt idx="298">
                  <c:v>56.66</c:v>
                </c:pt>
                <c:pt idx="299">
                  <c:v>#N/A</c:v>
                </c:pt>
                <c:pt idx="300">
                  <c:v>#N/A</c:v>
                </c:pt>
                <c:pt idx="301">
                  <c:v>#N/A</c:v>
                </c:pt>
                <c:pt idx="302">
                  <c:v>#N/A</c:v>
                </c:pt>
                <c:pt idx="303">
                  <c:v>#N/A</c:v>
                </c:pt>
                <c:pt idx="304">
                  <c:v>#N/A</c:v>
                </c:pt>
                <c:pt idx="305">
                  <c:v>56.2</c:v>
                </c:pt>
                <c:pt idx="306">
                  <c:v>#N/A</c:v>
                </c:pt>
                <c:pt idx="307">
                  <c:v>#N/A</c:v>
                </c:pt>
                <c:pt idx="308">
                  <c:v>#N/A</c:v>
                </c:pt>
                <c:pt idx="309">
                  <c:v>#N/A</c:v>
                </c:pt>
                <c:pt idx="310">
                  <c:v>#N/A</c:v>
                </c:pt>
                <c:pt idx="311">
                  <c:v>#N/A</c:v>
                </c:pt>
                <c:pt idx="312">
                  <c:v>57.24</c:v>
                </c:pt>
                <c:pt idx="313">
                  <c:v>#N/A</c:v>
                </c:pt>
                <c:pt idx="314">
                  <c:v>#N/A</c:v>
                </c:pt>
                <c:pt idx="315">
                  <c:v>#N/A</c:v>
                </c:pt>
                <c:pt idx="316">
                  <c:v>#N/A</c:v>
                </c:pt>
                <c:pt idx="317">
                  <c:v>#N/A</c:v>
                </c:pt>
                <c:pt idx="318">
                  <c:v>#N/A</c:v>
                </c:pt>
                <c:pt idx="319">
                  <c:v>57.83</c:v>
                </c:pt>
                <c:pt idx="320">
                  <c:v>#N/A</c:v>
                </c:pt>
                <c:pt idx="321">
                  <c:v>#N/A</c:v>
                </c:pt>
                <c:pt idx="322">
                  <c:v>#N/A</c:v>
                </c:pt>
                <c:pt idx="323">
                  <c:v>#N/A</c:v>
                </c:pt>
                <c:pt idx="324">
                  <c:v>#N/A</c:v>
                </c:pt>
                <c:pt idx="325">
                  <c:v>#N/A</c:v>
                </c:pt>
                <c:pt idx="326">
                  <c:v>57.77</c:v>
                </c:pt>
                <c:pt idx="327">
                  <c:v>#N/A</c:v>
                </c:pt>
                <c:pt idx="328">
                  <c:v>#N/A</c:v>
                </c:pt>
                <c:pt idx="329">
                  <c:v>#N/A</c:v>
                </c:pt>
                <c:pt idx="330">
                  <c:v>#N/A</c:v>
                </c:pt>
                <c:pt idx="331">
                  <c:v>#N/A</c:v>
                </c:pt>
                <c:pt idx="332">
                  <c:v>#N/A</c:v>
                </c:pt>
                <c:pt idx="333">
                  <c:v>55.17</c:v>
                </c:pt>
                <c:pt idx="334">
                  <c:v>#N/A</c:v>
                </c:pt>
                <c:pt idx="335">
                  <c:v>#N/A</c:v>
                </c:pt>
                <c:pt idx="336">
                  <c:v>#N/A</c:v>
                </c:pt>
                <c:pt idx="337">
                  <c:v>#N/A</c:v>
                </c:pt>
                <c:pt idx="338">
                  <c:v>#N/A</c:v>
                </c:pt>
                <c:pt idx="339">
                  <c:v>#N/A</c:v>
                </c:pt>
                <c:pt idx="340">
                  <c:v>59.2</c:v>
                </c:pt>
                <c:pt idx="341">
                  <c:v>#N/A</c:v>
                </c:pt>
                <c:pt idx="342">
                  <c:v>#N/A</c:v>
                </c:pt>
                <c:pt idx="343">
                  <c:v>#N/A</c:v>
                </c:pt>
                <c:pt idx="344">
                  <c:v>#N/A</c:v>
                </c:pt>
                <c:pt idx="345">
                  <c:v>#N/A</c:v>
                </c:pt>
                <c:pt idx="346">
                  <c:v>#N/A</c:v>
                </c:pt>
                <c:pt idx="347">
                  <c:v>59.98</c:v>
                </c:pt>
                <c:pt idx="348">
                  <c:v>#N/A</c:v>
                </c:pt>
                <c:pt idx="349">
                  <c:v>#N/A</c:v>
                </c:pt>
                <c:pt idx="350">
                  <c:v>#N/A</c:v>
                </c:pt>
                <c:pt idx="351">
                  <c:v>#N/A</c:v>
                </c:pt>
                <c:pt idx="352">
                  <c:v>#N/A</c:v>
                </c:pt>
                <c:pt idx="353">
                  <c:v>#N/A</c:v>
                </c:pt>
                <c:pt idx="354">
                  <c:v>60.44</c:v>
                </c:pt>
                <c:pt idx="355">
                  <c:v>#N/A</c:v>
                </c:pt>
                <c:pt idx="356">
                  <c:v>#N/A</c:v>
                </c:pt>
                <c:pt idx="357">
                  <c:v>#N/A</c:v>
                </c:pt>
                <c:pt idx="358">
                  <c:v>#N/A</c:v>
                </c:pt>
                <c:pt idx="359">
                  <c:v>#N/A</c:v>
                </c:pt>
                <c:pt idx="360">
                  <c:v>#N/A</c:v>
                </c:pt>
                <c:pt idx="361">
                  <c:v>61.72</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F6F2-47AD-B65E-892810771299}"/>
            </c:ext>
          </c:extLst>
        </c:ser>
        <c:ser>
          <c:idx val="2"/>
          <c:order val="1"/>
          <c:tx>
            <c:strRef>
              <c:f>原油!$J$1</c:f>
              <c:strCache>
                <c:ptCount val="1"/>
                <c:pt idx="0">
                  <c:v>2020</c:v>
                </c:pt>
              </c:strCache>
            </c:strRef>
          </c:tx>
          <c:spPr>
            <a:ln w="28575">
              <a:solidFill>
                <a:srgbClr val="BF5711"/>
              </a:solidFill>
              <a:prstDash val="solid"/>
            </a:ln>
          </c:spPr>
          <c:marker>
            <c:symbol val="none"/>
          </c:marker>
          <c:cat>
            <c:numRef>
              <c:f>原油!$G$2:$G$366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原油!$J$2:$J$366</c:f>
              <c:numCache>
                <c:formatCode>General</c:formatCode>
                <c:ptCount val="365"/>
                <c:pt idx="0">
                  <c:v>#N/A</c:v>
                </c:pt>
                <c:pt idx="1">
                  <c:v>#N/A</c:v>
                </c:pt>
                <c:pt idx="2">
                  <c:v>#N/A</c:v>
                </c:pt>
                <c:pt idx="3">
                  <c:v>63.05</c:v>
                </c:pt>
                <c:pt idx="4">
                  <c:v>#N/A</c:v>
                </c:pt>
                <c:pt idx="5">
                  <c:v>#N/A</c:v>
                </c:pt>
                <c:pt idx="6">
                  <c:v>#N/A</c:v>
                </c:pt>
                <c:pt idx="7">
                  <c:v>#N/A</c:v>
                </c:pt>
                <c:pt idx="8">
                  <c:v>#N/A</c:v>
                </c:pt>
                <c:pt idx="9">
                  <c:v>#N/A</c:v>
                </c:pt>
                <c:pt idx="10">
                  <c:v>59.04</c:v>
                </c:pt>
                <c:pt idx="11">
                  <c:v>#N/A</c:v>
                </c:pt>
                <c:pt idx="12">
                  <c:v>#N/A</c:v>
                </c:pt>
                <c:pt idx="13">
                  <c:v>#N/A</c:v>
                </c:pt>
                <c:pt idx="14">
                  <c:v>#N/A</c:v>
                </c:pt>
                <c:pt idx="15">
                  <c:v>#N/A</c:v>
                </c:pt>
                <c:pt idx="16">
                  <c:v>#N/A</c:v>
                </c:pt>
                <c:pt idx="17">
                  <c:v>58.58</c:v>
                </c:pt>
                <c:pt idx="18">
                  <c:v>#N/A</c:v>
                </c:pt>
                <c:pt idx="19">
                  <c:v>#N/A</c:v>
                </c:pt>
                <c:pt idx="20">
                  <c:v>#N/A</c:v>
                </c:pt>
                <c:pt idx="21">
                  <c:v>#N/A</c:v>
                </c:pt>
                <c:pt idx="22">
                  <c:v>#N/A</c:v>
                </c:pt>
                <c:pt idx="23">
                  <c:v>#N/A</c:v>
                </c:pt>
                <c:pt idx="24">
                  <c:v>54.19</c:v>
                </c:pt>
                <c:pt idx="25">
                  <c:v>#N/A</c:v>
                </c:pt>
                <c:pt idx="26">
                  <c:v>#N/A</c:v>
                </c:pt>
                <c:pt idx="27">
                  <c:v>#N/A</c:v>
                </c:pt>
                <c:pt idx="28">
                  <c:v>#N/A</c:v>
                </c:pt>
                <c:pt idx="29">
                  <c:v>#N/A</c:v>
                </c:pt>
                <c:pt idx="30">
                  <c:v>#N/A</c:v>
                </c:pt>
                <c:pt idx="31">
                  <c:v>51.56</c:v>
                </c:pt>
                <c:pt idx="32">
                  <c:v>#N/A</c:v>
                </c:pt>
                <c:pt idx="33">
                  <c:v>#N/A</c:v>
                </c:pt>
                <c:pt idx="34">
                  <c:v>#N/A</c:v>
                </c:pt>
                <c:pt idx="35">
                  <c:v>#N/A</c:v>
                </c:pt>
                <c:pt idx="36">
                  <c:v>#N/A</c:v>
                </c:pt>
                <c:pt idx="37">
                  <c:v>#N/A</c:v>
                </c:pt>
                <c:pt idx="38">
                  <c:v>50.32</c:v>
                </c:pt>
                <c:pt idx="39">
                  <c:v>#N/A</c:v>
                </c:pt>
                <c:pt idx="40">
                  <c:v>#N/A</c:v>
                </c:pt>
                <c:pt idx="41">
                  <c:v>#N/A</c:v>
                </c:pt>
                <c:pt idx="42">
                  <c:v>#N/A</c:v>
                </c:pt>
                <c:pt idx="43">
                  <c:v>#N/A</c:v>
                </c:pt>
                <c:pt idx="44">
                  <c:v>#N/A</c:v>
                </c:pt>
                <c:pt idx="45">
                  <c:v>52.32</c:v>
                </c:pt>
                <c:pt idx="46">
                  <c:v>#N/A</c:v>
                </c:pt>
                <c:pt idx="47">
                  <c:v>#N/A</c:v>
                </c:pt>
                <c:pt idx="48">
                  <c:v>#N/A</c:v>
                </c:pt>
                <c:pt idx="49">
                  <c:v>#N/A</c:v>
                </c:pt>
                <c:pt idx="50">
                  <c:v>#N/A</c:v>
                </c:pt>
                <c:pt idx="51">
                  <c:v>#N/A</c:v>
                </c:pt>
                <c:pt idx="52">
                  <c:v>53.38</c:v>
                </c:pt>
                <c:pt idx="53">
                  <c:v>#N/A</c:v>
                </c:pt>
                <c:pt idx="54">
                  <c:v>#N/A</c:v>
                </c:pt>
                <c:pt idx="55">
                  <c:v>#N/A</c:v>
                </c:pt>
                <c:pt idx="56">
                  <c:v>#N/A</c:v>
                </c:pt>
                <c:pt idx="57">
                  <c:v>#N/A</c:v>
                </c:pt>
                <c:pt idx="58">
                  <c:v>#N/A</c:v>
                </c:pt>
                <c:pt idx="59">
                  <c:v>44.76</c:v>
                </c:pt>
                <c:pt idx="60">
                  <c:v>#N/A</c:v>
                </c:pt>
                <c:pt idx="61">
                  <c:v>#N/A</c:v>
                </c:pt>
                <c:pt idx="62">
                  <c:v>#N/A</c:v>
                </c:pt>
                <c:pt idx="63">
                  <c:v>#N/A</c:v>
                </c:pt>
                <c:pt idx="64">
                  <c:v>#N/A</c:v>
                </c:pt>
                <c:pt idx="65">
                  <c:v>#N/A</c:v>
                </c:pt>
                <c:pt idx="66">
                  <c:v>41.28</c:v>
                </c:pt>
                <c:pt idx="67">
                  <c:v>#N/A</c:v>
                </c:pt>
                <c:pt idx="68">
                  <c:v>#N/A</c:v>
                </c:pt>
                <c:pt idx="69">
                  <c:v>#N/A</c:v>
                </c:pt>
                <c:pt idx="70">
                  <c:v>#N/A</c:v>
                </c:pt>
                <c:pt idx="71">
                  <c:v>#N/A</c:v>
                </c:pt>
                <c:pt idx="72">
                  <c:v>#N/A</c:v>
                </c:pt>
                <c:pt idx="73">
                  <c:v>32.11</c:v>
                </c:pt>
                <c:pt idx="74">
                  <c:v>#N/A</c:v>
                </c:pt>
                <c:pt idx="75">
                  <c:v>#N/A</c:v>
                </c:pt>
                <c:pt idx="76">
                  <c:v>#N/A</c:v>
                </c:pt>
                <c:pt idx="77">
                  <c:v>#N/A</c:v>
                </c:pt>
                <c:pt idx="78">
                  <c:v>#N/A</c:v>
                </c:pt>
                <c:pt idx="79">
                  <c:v>#N/A</c:v>
                </c:pt>
                <c:pt idx="80">
                  <c:v>22.63</c:v>
                </c:pt>
                <c:pt idx="81">
                  <c:v>#N/A</c:v>
                </c:pt>
                <c:pt idx="82">
                  <c:v>#N/A</c:v>
                </c:pt>
                <c:pt idx="83">
                  <c:v>#N/A</c:v>
                </c:pt>
                <c:pt idx="84">
                  <c:v>#N/A</c:v>
                </c:pt>
                <c:pt idx="85">
                  <c:v>#N/A</c:v>
                </c:pt>
                <c:pt idx="86">
                  <c:v>#N/A</c:v>
                </c:pt>
                <c:pt idx="87">
                  <c:v>21.51</c:v>
                </c:pt>
                <c:pt idx="88">
                  <c:v>#N/A</c:v>
                </c:pt>
                <c:pt idx="89">
                  <c:v>#N/A</c:v>
                </c:pt>
                <c:pt idx="90">
                  <c:v>#N/A</c:v>
                </c:pt>
                <c:pt idx="91">
                  <c:v>#N/A</c:v>
                </c:pt>
                <c:pt idx="92">
                  <c:v>#N/A</c:v>
                </c:pt>
                <c:pt idx="93">
                  <c:v>#N/A</c:v>
                </c:pt>
                <c:pt idx="94">
                  <c:v>28.34</c:v>
                </c:pt>
                <c:pt idx="95">
                  <c:v>#N/A</c:v>
                </c:pt>
                <c:pt idx="96">
                  <c:v>#N/A</c:v>
                </c:pt>
                <c:pt idx="97">
                  <c:v>#N/A</c:v>
                </c:pt>
                <c:pt idx="98">
                  <c:v>#N/A</c:v>
                </c:pt>
                <c:pt idx="99">
                  <c:v>#N/A</c:v>
                </c:pt>
                <c:pt idx="100">
                  <c:v>#N/A</c:v>
                </c:pt>
                <c:pt idx="101">
                  <c:v>22.76</c:v>
                </c:pt>
                <c:pt idx="102">
                  <c:v>#N/A</c:v>
                </c:pt>
                <c:pt idx="103">
                  <c:v>#N/A</c:v>
                </c:pt>
                <c:pt idx="104">
                  <c:v>#N/A</c:v>
                </c:pt>
                <c:pt idx="105">
                  <c:v>#N/A</c:v>
                </c:pt>
                <c:pt idx="106">
                  <c:v>#N/A</c:v>
                </c:pt>
                <c:pt idx="107">
                  <c:v>#N/A</c:v>
                </c:pt>
                <c:pt idx="108">
                  <c:v>25.03</c:v>
                </c:pt>
                <c:pt idx="109">
                  <c:v>#N/A</c:v>
                </c:pt>
                <c:pt idx="110">
                  <c:v>#N/A</c:v>
                </c:pt>
                <c:pt idx="111">
                  <c:v>#N/A</c:v>
                </c:pt>
                <c:pt idx="112">
                  <c:v>#N/A</c:v>
                </c:pt>
                <c:pt idx="113">
                  <c:v>#N/A</c:v>
                </c:pt>
                <c:pt idx="114">
                  <c:v>#N/A</c:v>
                </c:pt>
                <c:pt idx="115">
                  <c:v>16.940000000000001</c:v>
                </c:pt>
                <c:pt idx="116">
                  <c:v>#N/A</c:v>
                </c:pt>
                <c:pt idx="117">
                  <c:v>#N/A</c:v>
                </c:pt>
                <c:pt idx="118">
                  <c:v>#N/A</c:v>
                </c:pt>
                <c:pt idx="119">
                  <c:v>#N/A</c:v>
                </c:pt>
                <c:pt idx="120">
                  <c:v>#N/A</c:v>
                </c:pt>
                <c:pt idx="121">
                  <c:v>#N/A</c:v>
                </c:pt>
                <c:pt idx="122">
                  <c:v>22.29</c:v>
                </c:pt>
                <c:pt idx="123">
                  <c:v>#N/A</c:v>
                </c:pt>
                <c:pt idx="124">
                  <c:v>#N/A</c:v>
                </c:pt>
                <c:pt idx="125">
                  <c:v>#N/A</c:v>
                </c:pt>
                <c:pt idx="126">
                  <c:v>#N/A</c:v>
                </c:pt>
                <c:pt idx="127">
                  <c:v>#N/A</c:v>
                </c:pt>
                <c:pt idx="128">
                  <c:v>#N/A</c:v>
                </c:pt>
                <c:pt idx="129">
                  <c:v>26.17</c:v>
                </c:pt>
                <c:pt idx="130">
                  <c:v>#N/A</c:v>
                </c:pt>
                <c:pt idx="131">
                  <c:v>#N/A</c:v>
                </c:pt>
                <c:pt idx="132">
                  <c:v>#N/A</c:v>
                </c:pt>
                <c:pt idx="133">
                  <c:v>#N/A</c:v>
                </c:pt>
                <c:pt idx="134">
                  <c:v>#N/A</c:v>
                </c:pt>
                <c:pt idx="135">
                  <c:v>#N/A</c:v>
                </c:pt>
                <c:pt idx="136">
                  <c:v>29.52</c:v>
                </c:pt>
                <c:pt idx="137">
                  <c:v>#N/A</c:v>
                </c:pt>
                <c:pt idx="138">
                  <c:v>#N/A</c:v>
                </c:pt>
                <c:pt idx="139">
                  <c:v>#N/A</c:v>
                </c:pt>
                <c:pt idx="140">
                  <c:v>#N/A</c:v>
                </c:pt>
                <c:pt idx="141">
                  <c:v>#N/A</c:v>
                </c:pt>
                <c:pt idx="142">
                  <c:v>#N/A</c:v>
                </c:pt>
                <c:pt idx="143">
                  <c:v>33.25</c:v>
                </c:pt>
                <c:pt idx="144">
                  <c:v>#N/A</c:v>
                </c:pt>
                <c:pt idx="145">
                  <c:v>#N/A</c:v>
                </c:pt>
                <c:pt idx="146">
                  <c:v>#N/A</c:v>
                </c:pt>
                <c:pt idx="147">
                  <c:v>#N/A</c:v>
                </c:pt>
                <c:pt idx="148">
                  <c:v>#N/A</c:v>
                </c:pt>
                <c:pt idx="149">
                  <c:v>#N/A</c:v>
                </c:pt>
                <c:pt idx="150">
                  <c:v>35.49</c:v>
                </c:pt>
                <c:pt idx="151">
                  <c:v>#N/A</c:v>
                </c:pt>
                <c:pt idx="152">
                  <c:v>#N/A</c:v>
                </c:pt>
                <c:pt idx="153">
                  <c:v>#N/A</c:v>
                </c:pt>
                <c:pt idx="154">
                  <c:v>#N/A</c:v>
                </c:pt>
                <c:pt idx="155">
                  <c:v>#N/A</c:v>
                </c:pt>
                <c:pt idx="156">
                  <c:v>#N/A</c:v>
                </c:pt>
                <c:pt idx="157">
                  <c:v>39.549999999999997</c:v>
                </c:pt>
                <c:pt idx="158">
                  <c:v>#N/A</c:v>
                </c:pt>
                <c:pt idx="159">
                  <c:v>#N/A</c:v>
                </c:pt>
                <c:pt idx="160">
                  <c:v>#N/A</c:v>
                </c:pt>
                <c:pt idx="161">
                  <c:v>#N/A</c:v>
                </c:pt>
                <c:pt idx="162">
                  <c:v>#N/A</c:v>
                </c:pt>
                <c:pt idx="163">
                  <c:v>#N/A</c:v>
                </c:pt>
                <c:pt idx="164">
                  <c:v>36.26</c:v>
                </c:pt>
                <c:pt idx="165">
                  <c:v>#N/A</c:v>
                </c:pt>
                <c:pt idx="166">
                  <c:v>#N/A</c:v>
                </c:pt>
                <c:pt idx="167">
                  <c:v>#N/A</c:v>
                </c:pt>
                <c:pt idx="168">
                  <c:v>#N/A</c:v>
                </c:pt>
                <c:pt idx="169">
                  <c:v>#N/A</c:v>
                </c:pt>
                <c:pt idx="170">
                  <c:v>#N/A</c:v>
                </c:pt>
                <c:pt idx="171">
                  <c:v>39.83</c:v>
                </c:pt>
                <c:pt idx="172">
                  <c:v>#N/A</c:v>
                </c:pt>
                <c:pt idx="173">
                  <c:v>#N/A</c:v>
                </c:pt>
                <c:pt idx="174">
                  <c:v>#N/A</c:v>
                </c:pt>
                <c:pt idx="175">
                  <c:v>#N/A</c:v>
                </c:pt>
                <c:pt idx="176">
                  <c:v>#N/A</c:v>
                </c:pt>
                <c:pt idx="177">
                  <c:v>#N/A</c:v>
                </c:pt>
                <c:pt idx="178">
                  <c:v>38.49</c:v>
                </c:pt>
                <c:pt idx="179">
                  <c:v>#N/A</c:v>
                </c:pt>
                <c:pt idx="180">
                  <c:v>#N/A</c:v>
                </c:pt>
                <c:pt idx="181">
                  <c:v>#N/A</c:v>
                </c:pt>
                <c:pt idx="182">
                  <c:v>#N/A</c:v>
                </c:pt>
                <c:pt idx="183">
                  <c:v>#N/A</c:v>
                </c:pt>
                <c:pt idx="184">
                  <c:v>#N/A</c:v>
                </c:pt>
                <c:pt idx="185">
                  <c:v>40.65</c:v>
                </c:pt>
                <c:pt idx="186">
                  <c:v>#N/A</c:v>
                </c:pt>
                <c:pt idx="187">
                  <c:v>#N/A</c:v>
                </c:pt>
                <c:pt idx="188">
                  <c:v>#N/A</c:v>
                </c:pt>
                <c:pt idx="189">
                  <c:v>#N/A</c:v>
                </c:pt>
                <c:pt idx="190">
                  <c:v>#N/A</c:v>
                </c:pt>
                <c:pt idx="191">
                  <c:v>#N/A</c:v>
                </c:pt>
                <c:pt idx="192">
                  <c:v>40.549999999999997</c:v>
                </c:pt>
                <c:pt idx="193">
                  <c:v>#N/A</c:v>
                </c:pt>
                <c:pt idx="194">
                  <c:v>#N/A</c:v>
                </c:pt>
                <c:pt idx="195">
                  <c:v>#N/A</c:v>
                </c:pt>
                <c:pt idx="196">
                  <c:v>#N/A</c:v>
                </c:pt>
                <c:pt idx="197">
                  <c:v>#N/A</c:v>
                </c:pt>
                <c:pt idx="198">
                  <c:v>#N/A</c:v>
                </c:pt>
                <c:pt idx="199">
                  <c:v>40.75</c:v>
                </c:pt>
                <c:pt idx="200">
                  <c:v>#N/A</c:v>
                </c:pt>
                <c:pt idx="201">
                  <c:v>#N/A</c:v>
                </c:pt>
                <c:pt idx="202">
                  <c:v>#N/A</c:v>
                </c:pt>
                <c:pt idx="203">
                  <c:v>#N/A</c:v>
                </c:pt>
                <c:pt idx="204">
                  <c:v>#N/A</c:v>
                </c:pt>
                <c:pt idx="205">
                  <c:v>#N/A</c:v>
                </c:pt>
                <c:pt idx="206">
                  <c:v>41.29</c:v>
                </c:pt>
                <c:pt idx="207">
                  <c:v>#N/A</c:v>
                </c:pt>
                <c:pt idx="208">
                  <c:v>#N/A</c:v>
                </c:pt>
                <c:pt idx="209">
                  <c:v>#N/A</c:v>
                </c:pt>
                <c:pt idx="210">
                  <c:v>#N/A</c:v>
                </c:pt>
                <c:pt idx="211">
                  <c:v>#N/A</c:v>
                </c:pt>
                <c:pt idx="212">
                  <c:v>#N/A</c:v>
                </c:pt>
                <c:pt idx="213">
                  <c:v>40.270000000000003</c:v>
                </c:pt>
                <c:pt idx="214">
                  <c:v>#N/A</c:v>
                </c:pt>
                <c:pt idx="215">
                  <c:v>#N/A</c:v>
                </c:pt>
                <c:pt idx="216">
                  <c:v>#N/A</c:v>
                </c:pt>
                <c:pt idx="217">
                  <c:v>#N/A</c:v>
                </c:pt>
                <c:pt idx="218">
                  <c:v>#N/A</c:v>
                </c:pt>
                <c:pt idx="219">
                  <c:v>#N/A</c:v>
                </c:pt>
                <c:pt idx="220">
                  <c:v>41.22</c:v>
                </c:pt>
                <c:pt idx="221">
                  <c:v>#N/A</c:v>
                </c:pt>
                <c:pt idx="222">
                  <c:v>#N/A</c:v>
                </c:pt>
                <c:pt idx="223">
                  <c:v>#N/A</c:v>
                </c:pt>
                <c:pt idx="224">
                  <c:v>#N/A</c:v>
                </c:pt>
                <c:pt idx="225">
                  <c:v>#N/A</c:v>
                </c:pt>
                <c:pt idx="226">
                  <c:v>#N/A</c:v>
                </c:pt>
                <c:pt idx="227">
                  <c:v>42.01</c:v>
                </c:pt>
                <c:pt idx="228">
                  <c:v>#N/A</c:v>
                </c:pt>
                <c:pt idx="229">
                  <c:v>#N/A</c:v>
                </c:pt>
                <c:pt idx="230">
                  <c:v>#N/A</c:v>
                </c:pt>
                <c:pt idx="231">
                  <c:v>#N/A</c:v>
                </c:pt>
                <c:pt idx="232">
                  <c:v>#N/A</c:v>
                </c:pt>
                <c:pt idx="233">
                  <c:v>#N/A</c:v>
                </c:pt>
                <c:pt idx="234">
                  <c:v>42.34</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F6F2-47AD-B65E-892810771299}"/>
            </c:ext>
          </c:extLst>
        </c:ser>
        <c:dLbls>
          <c:showLegendKey val="0"/>
          <c:showVal val="0"/>
          <c:showCatName val="0"/>
          <c:showSerName val="0"/>
          <c:showPercent val="0"/>
          <c:showBubbleSize val="0"/>
        </c:dLbls>
        <c:marker val="1"/>
        <c:smooth val="0"/>
        <c:axId val="246368512"/>
        <c:axId val="246374400"/>
      </c:lineChart>
      <c:dateAx>
        <c:axId val="24636851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46374400"/>
        <c:crosses val="autoZero"/>
        <c:auto val="0"/>
        <c:lblOffset val="0"/>
        <c:baseTimeUnit val="days"/>
        <c:majorUnit val="1"/>
        <c:majorTimeUnit val="months"/>
      </c:dateAx>
      <c:valAx>
        <c:axId val="246374400"/>
        <c:scaling>
          <c:orientation val="minMax"/>
          <c:min val="15"/>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4636851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万吨</a:t>
          </a: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3.64538E-7</cdr:y>
    </cdr:from>
    <cdr:to>
      <cdr:x>0.10119</cdr:x>
      <cdr:y>0.08168</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462642" cy="224064"/>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美元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桶</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1D795A-8A1F-4206-9871-B195861BB0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688</Words>
  <Characters>3923</Characters>
  <Application>Microsoft Office Word</Application>
  <DocSecurity>0</DocSecurity>
  <Lines>32</Lines>
  <Paragraphs>9</Paragraphs>
  <ScaleCrop>false</ScaleCrop>
  <Company>Microsoft</Company>
  <LinksUpToDate>false</LinksUpToDate>
  <CharactersWithSpaces>4602</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Administrator</dc:creator>
  <cp:lastModifiedBy>Administrator</cp:lastModifiedBy>
  <cp:revision>2</cp:revision>
  <cp:lastPrinted>2020-08-23T13:04:00Z</cp:lastPrinted>
  <dcterms:created xsi:type="dcterms:W3CDTF">2020-08-24T02:43:00Z</dcterms:created>
  <dcterms:modified xsi:type="dcterms:W3CDTF">2020-08-24T02:43:00Z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