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36876" w:rsidRDefault="00EA6880">
      <w:pPr>
        <w:spacing w:beforeLines="100" w:before="312"/>
        <w:jc w:val="center"/>
        <w:rPr>
          <w:rFonts w:ascii="楷体" w:eastAsia="楷体" w:hAnsi="楷体"/>
          <w:b/>
          <w:sz w:val="44"/>
          <w:szCs w:val="44"/>
        </w:rPr>
      </w:pPr>
      <w:r>
        <w:rPr>
          <w:rFonts w:ascii="楷体" w:eastAsia="楷体" w:hAnsi="楷体" w:hint="eastAsia"/>
          <w:b/>
          <w:sz w:val="44"/>
          <w:szCs w:val="44"/>
        </w:rPr>
        <w:t>富荣基金固定收益周报</w:t>
      </w:r>
    </w:p>
    <w:p w:rsidR="00A36876" w:rsidRDefault="00EA6880">
      <w:pPr>
        <w:widowControl/>
        <w:jc w:val="center"/>
        <w:rPr>
          <w:rFonts w:ascii="楷体" w:eastAsia="楷体" w:hAnsi="楷体"/>
          <w:sz w:val="28"/>
          <w:szCs w:val="28"/>
        </w:rPr>
      </w:pPr>
      <w:r>
        <w:rPr>
          <w:rFonts w:ascii="楷体" w:eastAsia="楷体" w:hAnsi="楷体" w:hint="eastAsia"/>
          <w:sz w:val="28"/>
          <w:szCs w:val="28"/>
        </w:rPr>
        <w:t>——股市震荡走强，债市大幅回调</w:t>
      </w:r>
    </w:p>
    <w:p w:rsidR="00A36876" w:rsidRDefault="00EA688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2020年8月28</w:t>
      </w:r>
      <w:r>
        <w:rPr>
          <w:rFonts w:ascii="楷体" w:eastAsia="楷体" w:hAnsi="楷体" w:hint="eastAsia"/>
          <w:sz w:val="28"/>
          <w:szCs w:val="28"/>
        </w:rPr>
        <w:t>日</w:t>
      </w:r>
    </w:p>
    <w:p w:rsidR="00A36876" w:rsidRDefault="00EA6880">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一、本周关注：</w:t>
      </w:r>
      <w:r>
        <w:rPr>
          <w:color w:val="C45911" w:themeColor="accent2" w:themeShade="BF"/>
        </w:rPr>
        <w:t xml:space="preserve"> </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超储率8月份据估算下降至1%以下，存单利率不断走高，同时资金面略显紧张，在这个背景下，本周国债发行放量的传言导致利率快速上行，市场情绪极度悲观。那么，利率债的供给会不会导致资金利率再次大幅上行？</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回顾历史，历次利率债净融资高峰，央行均会进行流动性投放以平抑资金波动。本年6月和7月份稍特殊，是经济阶段改善同时前期降准导致资金极度宽松后的边际收紧，但是这种收紧表现在央行公开市场操作上也是相对克制的。这与央行提及的资金利率围绕政策利率波动是合意状态一致。此外，在资金面出现明显上行后，8月下半月央行持续进行资金投放，维持资金相对稳定的态度彰显无疑。</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此外，央行再次收紧货币，主要的触发因素只有下面几种：（1）经济过热，通胀快速上行；（2）部分市场，如地产和股票市场泡沫化明显；（3）金融监管力度加大；（4）汇率出现快速贬值。这些条件目前来看均不具备。</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综上，我们认为，伴随利率债融资放量，央行仍会进行适度货币投放，资金利率波动增加但是中枢再次大幅上移的概率不大。另外，9月也是财政支出发力的月份，财政投放亦将对银行间流动性起到补充作用。</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当下债市整体处于承压状态，8-10月利率债供给高峰下债市一级市场的承接能力依旧较弱。短期内利率快速下跌突破关键点位，</w:t>
      </w:r>
      <w:r w:rsidR="00E27529">
        <w:rPr>
          <w:rFonts w:ascii="华文楷体" w:hAnsi="华文楷体" w:hint="eastAsia"/>
          <w:bCs/>
          <w:sz w:val="24"/>
          <w:szCs w:val="24"/>
          <w:lang w:eastAsia="zh-CN"/>
        </w:rPr>
        <w:t>蕴含</w:t>
      </w:r>
      <w:r>
        <w:rPr>
          <w:rFonts w:ascii="华文楷体" w:hAnsi="华文楷体" w:hint="eastAsia"/>
          <w:bCs/>
          <w:sz w:val="24"/>
          <w:szCs w:val="24"/>
          <w:lang w:eastAsia="zh-CN"/>
        </w:rPr>
        <w:t>市场对于资金利率的恐慌情绪，其中存在一定的预期差。如果经济数据没有超预期的改善，利率债阶段性的交易价值或已经出现，可以谨慎博弈超跌反弹。</w:t>
      </w:r>
    </w:p>
    <w:p w:rsidR="00A36876" w:rsidRDefault="00A36876">
      <w:pPr>
        <w:pStyle w:val="Body-text"/>
        <w:spacing w:after="240"/>
        <w:ind w:firstLineChars="200" w:firstLine="480"/>
        <w:rPr>
          <w:rFonts w:ascii="华文楷体" w:hAnsi="华文楷体"/>
          <w:bCs/>
          <w:sz w:val="24"/>
          <w:szCs w:val="24"/>
          <w:lang w:eastAsia="zh-CN"/>
        </w:rPr>
      </w:pPr>
    </w:p>
    <w:tbl>
      <w:tblPr>
        <w:tblW w:w="9881" w:type="dxa"/>
        <w:jc w:val="center"/>
        <w:tblCellMar>
          <w:left w:w="0" w:type="dxa"/>
          <w:right w:w="0" w:type="dxa"/>
        </w:tblCellMar>
        <w:tblLook w:val="04A0" w:firstRow="1" w:lastRow="0" w:firstColumn="1" w:lastColumn="0" w:noHBand="0" w:noVBand="1"/>
      </w:tblPr>
      <w:tblGrid>
        <w:gridCol w:w="10086"/>
      </w:tblGrid>
      <w:tr w:rsidR="00A36876">
        <w:trPr>
          <w:trHeight w:val="269"/>
          <w:jc w:val="center"/>
        </w:trPr>
        <w:tc>
          <w:tcPr>
            <w:tcW w:w="9881" w:type="dxa"/>
            <w:vAlign w:val="center"/>
          </w:tcPr>
          <w:p w:rsidR="00A36876" w:rsidRDefault="00EA6880">
            <w:pPr>
              <w:pStyle w:val="ChartHeading"/>
              <w:jc w:val="both"/>
            </w:pPr>
            <w:r>
              <w:rPr>
                <w:rFonts w:hint="eastAsia"/>
              </w:rPr>
              <w:lastRenderedPageBreak/>
              <w:t>图表</w:t>
            </w:r>
            <w:r>
              <w:t xml:space="preserve">. </w:t>
            </w:r>
            <w:r>
              <w:rPr>
                <w:rFonts w:hint="eastAsia"/>
              </w:rPr>
              <w:t>利率债净融资与央行投放</w:t>
            </w:r>
          </w:p>
        </w:tc>
      </w:tr>
      <w:tr w:rsidR="00A36876">
        <w:tblPrEx>
          <w:tblCellMar>
            <w:left w:w="108" w:type="dxa"/>
            <w:right w:w="108" w:type="dxa"/>
          </w:tblCellMar>
        </w:tblPrEx>
        <w:trPr>
          <w:trHeight w:val="391"/>
          <w:jc w:val="center"/>
        </w:trPr>
        <w:tc>
          <w:tcPr>
            <w:tcW w:w="9881" w:type="dxa"/>
            <w:vAlign w:val="center"/>
          </w:tcPr>
          <w:p w:rsidR="00A36876" w:rsidRDefault="00EA6880">
            <w:pPr>
              <w:rPr>
                <w:sz w:val="20"/>
                <w:szCs w:val="16"/>
              </w:rPr>
            </w:pPr>
            <w:r>
              <w:rPr>
                <w:noProof/>
              </w:rPr>
              <w:drawing>
                <wp:inline distT="0" distB="0" distL="0" distR="0">
                  <wp:extent cx="6263640" cy="2954020"/>
                  <wp:effectExtent l="0" t="0" r="381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A36876">
        <w:trPr>
          <w:trHeight w:val="43"/>
          <w:jc w:val="center"/>
        </w:trPr>
        <w:tc>
          <w:tcPr>
            <w:tcW w:w="9881" w:type="dxa"/>
            <w:vAlign w:val="center"/>
          </w:tcPr>
          <w:p w:rsidR="00A36876" w:rsidRDefault="00EA6880">
            <w:pPr>
              <w:pStyle w:val="Source"/>
              <w:jc w:val="both"/>
              <w:rPr>
                <w:kern w:val="0"/>
              </w:rPr>
            </w:pPr>
            <w:r>
              <w:rPr>
                <w:rFonts w:hint="eastAsia"/>
                <w:kern w:val="0"/>
              </w:rPr>
              <w:t>资料来源：万得，富荣基金</w:t>
            </w:r>
          </w:p>
        </w:tc>
      </w:tr>
    </w:tbl>
    <w:p w:rsidR="00A36876" w:rsidRDefault="00A36876">
      <w:pPr>
        <w:pStyle w:val="Body-text"/>
        <w:spacing w:after="240"/>
        <w:rPr>
          <w:rFonts w:ascii="华文楷体" w:hAnsi="华文楷体"/>
          <w:bCs/>
          <w:sz w:val="24"/>
          <w:szCs w:val="24"/>
          <w:lang w:eastAsia="zh-CN"/>
        </w:rPr>
      </w:pPr>
    </w:p>
    <w:p w:rsidR="00A36876" w:rsidRDefault="00A36876">
      <w:pPr>
        <w:pStyle w:val="Body-text"/>
        <w:spacing w:after="240"/>
        <w:rPr>
          <w:rFonts w:ascii="华文楷体" w:hAnsi="华文楷体"/>
          <w:bCs/>
          <w:sz w:val="24"/>
          <w:szCs w:val="24"/>
          <w:lang w:eastAsia="zh-CN"/>
        </w:rPr>
      </w:pPr>
    </w:p>
    <w:p w:rsidR="00A36876" w:rsidRDefault="00A36876">
      <w:pPr>
        <w:pStyle w:val="Body-text"/>
        <w:spacing w:after="240"/>
        <w:ind w:firstLine="480"/>
        <w:rPr>
          <w:sz w:val="23"/>
          <w:szCs w:val="23"/>
          <w:lang w:eastAsia="zh-CN"/>
        </w:rPr>
      </w:pPr>
    </w:p>
    <w:p w:rsidR="00A36876" w:rsidRDefault="00EA6880">
      <w:pPr>
        <w:pStyle w:val="Header1"/>
        <w:spacing w:before="240"/>
        <w:rPr>
          <w:color w:val="C45911" w:themeColor="accent2" w:themeShade="BF"/>
        </w:rPr>
      </w:pPr>
      <w:r>
        <w:rPr>
          <w:rFonts w:hint="eastAsia"/>
          <w:color w:val="C45911" w:themeColor="accent2" w:themeShade="BF"/>
        </w:rPr>
        <w:t>二、上周市场回顾</w:t>
      </w:r>
    </w:p>
    <w:p w:rsidR="00A36876" w:rsidRDefault="00EA688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rsidR="00A36876" w:rsidRDefault="00EA688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本周央行公开市场持续投放流动性，公开市场操作净投放</w:t>
      </w:r>
      <w:r>
        <w:rPr>
          <w:rFonts w:ascii="华文楷体" w:hAnsi="华文楷体"/>
          <w:sz w:val="24"/>
          <w:szCs w:val="24"/>
          <w:lang w:eastAsia="zh-CN"/>
        </w:rPr>
        <w:t>2000</w:t>
      </w:r>
      <w:r>
        <w:rPr>
          <w:rFonts w:ascii="华文楷体" w:hAnsi="华文楷体" w:hint="eastAsia"/>
          <w:sz w:val="24"/>
          <w:szCs w:val="24"/>
          <w:lang w:eastAsia="zh-CN"/>
        </w:rPr>
        <w:t>亿,其中逆回购合计到期</w:t>
      </w:r>
      <w:r>
        <w:rPr>
          <w:rFonts w:ascii="华文楷体" w:hAnsi="华文楷体"/>
          <w:sz w:val="24"/>
          <w:szCs w:val="24"/>
          <w:lang w:eastAsia="zh-CN"/>
        </w:rPr>
        <w:t>6100</w:t>
      </w:r>
      <w:r>
        <w:rPr>
          <w:rFonts w:ascii="华文楷体" w:hAnsi="华文楷体" w:hint="eastAsia"/>
          <w:sz w:val="24"/>
          <w:szCs w:val="24"/>
          <w:lang w:eastAsia="zh-CN"/>
        </w:rPr>
        <w:t>亿，逆回购投放</w:t>
      </w:r>
      <w:r>
        <w:rPr>
          <w:rFonts w:ascii="华文楷体" w:hAnsi="华文楷体"/>
          <w:sz w:val="24"/>
          <w:szCs w:val="24"/>
          <w:lang w:eastAsia="zh-CN"/>
        </w:rPr>
        <w:t>8100</w:t>
      </w:r>
      <w:r>
        <w:rPr>
          <w:rFonts w:ascii="华文楷体" w:hAnsi="华文楷体" w:hint="eastAsia"/>
          <w:sz w:val="24"/>
          <w:szCs w:val="24"/>
          <w:lang w:eastAsia="zh-CN"/>
        </w:rPr>
        <w:t>亿。本周另有1</w:t>
      </w:r>
      <w:r>
        <w:rPr>
          <w:rFonts w:ascii="华文楷体" w:hAnsi="华文楷体"/>
          <w:sz w:val="24"/>
          <w:szCs w:val="24"/>
          <w:lang w:eastAsia="zh-CN"/>
        </w:rPr>
        <w:t>500</w:t>
      </w:r>
      <w:r>
        <w:rPr>
          <w:rFonts w:ascii="华文楷体" w:hAnsi="华文楷体" w:hint="eastAsia"/>
          <w:sz w:val="24"/>
          <w:szCs w:val="24"/>
          <w:lang w:eastAsia="zh-CN"/>
        </w:rPr>
        <w:t>亿MLF到期，央行已于月中续作。本周资金宽松，隔夜利率下行明显，7天回购利率小幅上行。周隔夜加权较上周下行4</w:t>
      </w:r>
      <w:r>
        <w:rPr>
          <w:rFonts w:ascii="华文楷体" w:hAnsi="华文楷体"/>
          <w:sz w:val="24"/>
          <w:szCs w:val="24"/>
          <w:lang w:eastAsia="zh-CN"/>
        </w:rPr>
        <w:t>4</w:t>
      </w:r>
      <w:r>
        <w:rPr>
          <w:rFonts w:ascii="华文楷体" w:hAnsi="华文楷体" w:hint="eastAsia"/>
          <w:sz w:val="24"/>
          <w:szCs w:val="24"/>
          <w:lang w:eastAsia="zh-CN"/>
        </w:rPr>
        <w:t>bp至</w:t>
      </w:r>
      <w:r>
        <w:rPr>
          <w:rFonts w:ascii="华文楷体" w:hAnsi="华文楷体"/>
          <w:sz w:val="24"/>
          <w:szCs w:val="24"/>
          <w:lang w:eastAsia="zh-CN"/>
        </w:rPr>
        <w:t>1.79</w:t>
      </w:r>
      <w:r>
        <w:rPr>
          <w:rFonts w:ascii="华文楷体" w:hAnsi="华文楷体" w:hint="eastAsia"/>
          <w:sz w:val="24"/>
          <w:szCs w:val="24"/>
          <w:lang w:eastAsia="zh-CN"/>
        </w:rPr>
        <w:t>%，7天较上周上行</w:t>
      </w:r>
      <w:r>
        <w:rPr>
          <w:rFonts w:ascii="华文楷体" w:hAnsi="华文楷体"/>
          <w:sz w:val="24"/>
          <w:szCs w:val="24"/>
          <w:lang w:eastAsia="zh-CN"/>
        </w:rPr>
        <w:t>8.62</w:t>
      </w:r>
      <w:r>
        <w:rPr>
          <w:rFonts w:ascii="华文楷体" w:hAnsi="华文楷体" w:hint="eastAsia"/>
          <w:sz w:val="24"/>
          <w:szCs w:val="24"/>
          <w:lang w:eastAsia="zh-CN"/>
        </w:rPr>
        <w:t>bp至2.</w:t>
      </w:r>
      <w:r>
        <w:rPr>
          <w:rFonts w:ascii="华文楷体" w:hAnsi="华文楷体"/>
          <w:sz w:val="24"/>
          <w:szCs w:val="24"/>
          <w:lang w:eastAsia="zh-CN"/>
        </w:rPr>
        <w:t>51</w:t>
      </w:r>
      <w:r>
        <w:rPr>
          <w:rFonts w:ascii="华文楷体" w:hAnsi="华文楷体" w:hint="eastAsia"/>
          <w:sz w:val="24"/>
          <w:szCs w:val="24"/>
          <w:lang w:eastAsia="zh-CN"/>
        </w:rPr>
        <w:t>%。下周逆回购到期</w:t>
      </w:r>
      <w:r>
        <w:rPr>
          <w:rFonts w:ascii="华文楷体" w:hAnsi="华文楷体"/>
          <w:sz w:val="24"/>
          <w:szCs w:val="24"/>
          <w:lang w:eastAsia="zh-CN"/>
        </w:rPr>
        <w:t>7500</w:t>
      </w:r>
      <w:r>
        <w:rPr>
          <w:rFonts w:ascii="华文楷体" w:hAnsi="华文楷体" w:hint="eastAsia"/>
          <w:sz w:val="24"/>
          <w:szCs w:val="24"/>
          <w:lang w:eastAsia="zh-CN"/>
        </w:rPr>
        <w:t>亿，关注跨月后资金能否继续维持宽松。</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A36876">
        <w:trPr>
          <w:jc w:val="center"/>
        </w:trPr>
        <w:tc>
          <w:tcPr>
            <w:tcW w:w="4939" w:type="dxa"/>
            <w:vAlign w:val="center"/>
          </w:tcPr>
          <w:p w:rsidR="00A36876" w:rsidRDefault="00EA6880">
            <w:pPr>
              <w:pStyle w:val="ChartHeading"/>
              <w:jc w:val="both"/>
            </w:pPr>
            <w:bookmarkStart w:id="0" w:name="_Hlk12804578"/>
            <w:r>
              <w:rPr>
                <w:rFonts w:hint="eastAsia"/>
              </w:rPr>
              <w:t>图表</w:t>
            </w:r>
            <w:r>
              <w:t xml:space="preserve">. </w:t>
            </w:r>
            <w:r>
              <w:rPr>
                <w:rFonts w:hint="eastAsia"/>
              </w:rPr>
              <w:t>央行公开市场逆回购操作</w:t>
            </w:r>
          </w:p>
        </w:tc>
        <w:tc>
          <w:tcPr>
            <w:tcW w:w="4938" w:type="dxa"/>
            <w:vAlign w:val="center"/>
          </w:tcPr>
          <w:p w:rsidR="00A36876" w:rsidRDefault="00EA6880">
            <w:pPr>
              <w:pStyle w:val="ChartHeading"/>
              <w:jc w:val="both"/>
            </w:pPr>
            <w:r>
              <w:rPr>
                <w:rFonts w:hint="eastAsia"/>
              </w:rPr>
              <w:t>图表</w:t>
            </w:r>
            <w:r>
              <w:t xml:space="preserve">. </w:t>
            </w:r>
            <w:r>
              <w:rPr>
                <w:rFonts w:hint="eastAsia"/>
              </w:rPr>
              <w:t>DR</w:t>
            </w:r>
            <w:r>
              <w:t>007</w:t>
            </w:r>
            <w:r>
              <w:rPr>
                <w:rFonts w:hint="eastAsia"/>
              </w:rPr>
              <w:t>与</w:t>
            </w:r>
            <w:r>
              <w:rPr>
                <w:rFonts w:hint="eastAsia"/>
              </w:rPr>
              <w:t>R</w:t>
            </w:r>
            <w:r>
              <w:t>007</w:t>
            </w:r>
            <w:r>
              <w:rPr>
                <w:rFonts w:hint="eastAsia"/>
              </w:rPr>
              <w:t>走势</w:t>
            </w:r>
          </w:p>
        </w:tc>
      </w:tr>
      <w:tr w:rsidR="00A36876">
        <w:tblPrEx>
          <w:tblCellMar>
            <w:left w:w="108" w:type="dxa"/>
            <w:right w:w="108" w:type="dxa"/>
          </w:tblCellMar>
        </w:tblPrEx>
        <w:trPr>
          <w:jc w:val="center"/>
        </w:trPr>
        <w:tc>
          <w:tcPr>
            <w:tcW w:w="4939" w:type="dxa"/>
            <w:vAlign w:val="center"/>
          </w:tcPr>
          <w:p w:rsidR="00A36876" w:rsidRDefault="00EA6880">
            <w:pPr>
              <w:jc w:val="center"/>
              <w:rPr>
                <w:sz w:val="14"/>
                <w:szCs w:val="14"/>
              </w:rPr>
            </w:pPr>
            <w:r>
              <w:rPr>
                <w:noProof/>
              </w:rPr>
              <w:drawing>
                <wp:inline distT="0" distB="0" distL="0" distR="0">
                  <wp:extent cx="2999105" cy="164528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rsidR="00A36876" w:rsidRDefault="00EA6880">
            <w:pPr>
              <w:jc w:val="center"/>
              <w:rPr>
                <w:sz w:val="18"/>
                <w:szCs w:val="15"/>
              </w:rPr>
            </w:pPr>
            <w:r>
              <w:rPr>
                <w:noProof/>
              </w:rPr>
              <w:drawing>
                <wp:inline distT="0" distB="0" distL="0" distR="0">
                  <wp:extent cx="2998470" cy="1694815"/>
                  <wp:effectExtent l="0" t="0" r="0" b="63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A36876">
        <w:trPr>
          <w:trHeight w:val="64"/>
          <w:jc w:val="center"/>
        </w:trPr>
        <w:tc>
          <w:tcPr>
            <w:tcW w:w="4939" w:type="dxa"/>
            <w:vAlign w:val="center"/>
          </w:tcPr>
          <w:p w:rsidR="00A36876" w:rsidRDefault="00EA6880">
            <w:pPr>
              <w:pStyle w:val="Source"/>
              <w:jc w:val="both"/>
              <w:rPr>
                <w:kern w:val="0"/>
              </w:rPr>
            </w:pPr>
            <w:r>
              <w:rPr>
                <w:rFonts w:hint="eastAsia"/>
                <w:kern w:val="0"/>
              </w:rPr>
              <w:t>资料来源：万得，富荣基金</w:t>
            </w:r>
          </w:p>
        </w:tc>
        <w:tc>
          <w:tcPr>
            <w:tcW w:w="4938" w:type="dxa"/>
            <w:vAlign w:val="center"/>
          </w:tcPr>
          <w:p w:rsidR="00A36876" w:rsidRDefault="00EA6880">
            <w:pPr>
              <w:pStyle w:val="Source"/>
              <w:jc w:val="both"/>
              <w:rPr>
                <w:kern w:val="0"/>
              </w:rPr>
            </w:pPr>
            <w:r>
              <w:rPr>
                <w:rFonts w:hint="eastAsia"/>
                <w:kern w:val="0"/>
              </w:rPr>
              <w:t>资料来源：万得，富荣基金</w:t>
            </w:r>
          </w:p>
        </w:tc>
      </w:tr>
      <w:bookmarkEnd w:id="0"/>
    </w:tbl>
    <w:p w:rsidR="00A36876" w:rsidRDefault="00A36876">
      <w:pPr>
        <w:pStyle w:val="Body-text"/>
        <w:spacing w:after="0"/>
        <w:rPr>
          <w:lang w:eastAsia="zh-CN"/>
        </w:rPr>
      </w:pPr>
    </w:p>
    <w:p w:rsidR="00A36876" w:rsidRDefault="00EA688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rsidR="00A36876" w:rsidRDefault="00EA688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本周债市利率</w:t>
      </w:r>
      <w:r>
        <w:rPr>
          <w:rFonts w:ascii="华文楷体" w:hAnsi="华文楷体"/>
          <w:sz w:val="24"/>
          <w:szCs w:val="24"/>
          <w:lang w:eastAsia="zh-CN"/>
        </w:rPr>
        <w:t>债</w:t>
      </w:r>
      <w:r>
        <w:rPr>
          <w:rFonts w:ascii="华文楷体" w:hAnsi="华文楷体" w:hint="eastAsia"/>
          <w:sz w:val="24"/>
          <w:szCs w:val="24"/>
          <w:lang w:eastAsia="zh-CN"/>
        </w:rPr>
        <w:t>曲线整体上行，国债表现略好于国开。短端利率宽松未能有效传导，市场</w:t>
      </w:r>
      <w:r>
        <w:rPr>
          <w:rFonts w:ascii="华文楷体" w:hAnsi="华文楷体" w:hint="eastAsia"/>
          <w:sz w:val="24"/>
          <w:szCs w:val="24"/>
          <w:lang w:eastAsia="zh-CN"/>
        </w:rPr>
        <w:lastRenderedPageBreak/>
        <w:t>仍担忧1</w:t>
      </w:r>
      <w:r>
        <w:rPr>
          <w:rFonts w:ascii="华文楷体" w:hAnsi="华文楷体"/>
          <w:sz w:val="24"/>
          <w:szCs w:val="24"/>
          <w:lang w:eastAsia="zh-CN"/>
        </w:rPr>
        <w:t>4</w:t>
      </w:r>
      <w:r>
        <w:rPr>
          <w:rFonts w:ascii="华文楷体" w:hAnsi="华文楷体" w:hint="eastAsia"/>
          <w:sz w:val="24"/>
          <w:szCs w:val="24"/>
          <w:lang w:eastAsia="zh-CN"/>
        </w:rPr>
        <w:t>天回购是否为2</w:t>
      </w:r>
      <w:r>
        <w:rPr>
          <w:rFonts w:ascii="华文楷体" w:hAnsi="华文楷体"/>
          <w:sz w:val="24"/>
          <w:szCs w:val="24"/>
          <w:lang w:eastAsia="zh-CN"/>
        </w:rPr>
        <w:t>016</w:t>
      </w:r>
      <w:r>
        <w:rPr>
          <w:rFonts w:ascii="华文楷体" w:hAnsi="华文楷体" w:hint="eastAsia"/>
          <w:sz w:val="24"/>
          <w:szCs w:val="24"/>
          <w:lang w:eastAsia="zh-CN"/>
        </w:rPr>
        <w:t>年末的锁短放长和国债发行放量。</w:t>
      </w:r>
      <w:r>
        <w:rPr>
          <w:rFonts w:ascii="华文楷体" w:hAnsi="华文楷体"/>
          <w:sz w:val="24"/>
          <w:szCs w:val="24"/>
          <w:lang w:eastAsia="zh-CN"/>
        </w:rPr>
        <w:t>3</w:t>
      </w:r>
      <w:r>
        <w:rPr>
          <w:rFonts w:ascii="华文楷体" w:hAnsi="华文楷体" w:hint="eastAsia"/>
          <w:sz w:val="24"/>
          <w:szCs w:val="24"/>
          <w:lang w:eastAsia="zh-CN"/>
        </w:rPr>
        <w:t>y国债利率上行</w:t>
      </w:r>
      <w:r>
        <w:rPr>
          <w:rFonts w:ascii="华文楷体" w:hAnsi="华文楷体"/>
          <w:sz w:val="24"/>
          <w:szCs w:val="24"/>
          <w:lang w:eastAsia="zh-CN"/>
        </w:rPr>
        <w:t>15.6</w:t>
      </w:r>
      <w:r>
        <w:rPr>
          <w:rFonts w:ascii="华文楷体" w:hAnsi="华文楷体" w:hint="eastAsia"/>
          <w:sz w:val="24"/>
          <w:szCs w:val="24"/>
          <w:lang w:eastAsia="zh-CN"/>
        </w:rPr>
        <w:t>bp，</w:t>
      </w:r>
      <w:r>
        <w:rPr>
          <w:rFonts w:ascii="华文楷体" w:hAnsi="华文楷体"/>
          <w:sz w:val="24"/>
          <w:szCs w:val="24"/>
          <w:lang w:eastAsia="zh-CN"/>
        </w:rPr>
        <w:t>3</w:t>
      </w:r>
      <w:r>
        <w:rPr>
          <w:rFonts w:ascii="华文楷体" w:hAnsi="华文楷体" w:hint="eastAsia"/>
          <w:sz w:val="24"/>
          <w:szCs w:val="24"/>
          <w:lang w:eastAsia="zh-CN"/>
        </w:rPr>
        <w:t>y国开利率上行</w:t>
      </w:r>
      <w:r>
        <w:rPr>
          <w:rFonts w:ascii="华文楷体" w:hAnsi="华文楷体"/>
          <w:sz w:val="24"/>
          <w:szCs w:val="24"/>
          <w:lang w:eastAsia="zh-CN"/>
        </w:rPr>
        <w:t>14.3</w:t>
      </w:r>
      <w:r>
        <w:rPr>
          <w:rFonts w:ascii="华文楷体" w:hAnsi="华文楷体" w:hint="eastAsia"/>
          <w:sz w:val="24"/>
          <w:szCs w:val="24"/>
          <w:lang w:eastAsia="zh-CN"/>
        </w:rPr>
        <w:t>bp；1</w:t>
      </w:r>
      <w:r>
        <w:rPr>
          <w:rFonts w:ascii="华文楷体" w:hAnsi="华文楷体"/>
          <w:sz w:val="24"/>
          <w:szCs w:val="24"/>
          <w:lang w:eastAsia="zh-CN"/>
        </w:rPr>
        <w:t>0</w:t>
      </w:r>
      <w:r>
        <w:rPr>
          <w:rFonts w:ascii="华文楷体" w:hAnsi="华文楷体" w:hint="eastAsia"/>
          <w:sz w:val="24"/>
          <w:szCs w:val="24"/>
          <w:lang w:eastAsia="zh-CN"/>
        </w:rPr>
        <w:t>y国债利率上行8</w:t>
      </w:r>
      <w:r>
        <w:rPr>
          <w:rFonts w:ascii="华文楷体" w:hAnsi="华文楷体"/>
          <w:sz w:val="24"/>
          <w:szCs w:val="24"/>
          <w:lang w:eastAsia="zh-CN"/>
        </w:rPr>
        <w:t>.5bp</w:t>
      </w:r>
      <w:r>
        <w:rPr>
          <w:rFonts w:ascii="华文楷体" w:hAnsi="华文楷体" w:hint="eastAsia"/>
          <w:sz w:val="24"/>
          <w:szCs w:val="24"/>
          <w:lang w:eastAsia="zh-CN"/>
        </w:rPr>
        <w:t>，1</w:t>
      </w:r>
      <w:r>
        <w:rPr>
          <w:rFonts w:ascii="华文楷体" w:hAnsi="华文楷体"/>
          <w:sz w:val="24"/>
          <w:szCs w:val="24"/>
          <w:lang w:eastAsia="zh-CN"/>
        </w:rPr>
        <w:t>0</w:t>
      </w:r>
      <w:r>
        <w:rPr>
          <w:rFonts w:ascii="华文楷体" w:hAnsi="华文楷体" w:hint="eastAsia"/>
          <w:sz w:val="24"/>
          <w:szCs w:val="24"/>
          <w:lang w:eastAsia="zh-CN"/>
        </w:rPr>
        <w:t>y国开债利率上行1</w:t>
      </w:r>
      <w:r>
        <w:rPr>
          <w:rFonts w:ascii="华文楷体" w:hAnsi="华文楷体"/>
          <w:sz w:val="24"/>
          <w:szCs w:val="24"/>
          <w:lang w:eastAsia="zh-CN"/>
        </w:rPr>
        <w:t>2.3</w:t>
      </w:r>
      <w:r>
        <w:rPr>
          <w:rFonts w:ascii="华文楷体" w:hAnsi="华文楷体" w:hint="eastAsia"/>
          <w:sz w:val="24"/>
          <w:szCs w:val="24"/>
          <w:lang w:eastAsia="zh-CN"/>
        </w:rPr>
        <w:t>bp。10y-3y国债利差下行</w:t>
      </w:r>
      <w:r>
        <w:rPr>
          <w:rFonts w:ascii="华文楷体" w:hAnsi="华文楷体"/>
          <w:sz w:val="24"/>
          <w:szCs w:val="24"/>
          <w:lang w:eastAsia="zh-CN"/>
        </w:rPr>
        <w:t>7</w:t>
      </w:r>
      <w:r>
        <w:rPr>
          <w:rFonts w:ascii="华文楷体" w:hAnsi="华文楷体" w:hint="eastAsia"/>
          <w:sz w:val="24"/>
          <w:szCs w:val="24"/>
          <w:lang w:eastAsia="zh-CN"/>
        </w:rPr>
        <w:t>bp，位于历史数据</w:t>
      </w:r>
      <w:r>
        <w:rPr>
          <w:rFonts w:ascii="华文楷体" w:hAnsi="华文楷体"/>
          <w:sz w:val="24"/>
          <w:szCs w:val="24"/>
          <w:lang w:eastAsia="zh-CN"/>
        </w:rPr>
        <w:t>4</w:t>
      </w:r>
      <w:r>
        <w:rPr>
          <w:rFonts w:ascii="华文楷体" w:hAnsi="华文楷体" w:hint="eastAsia"/>
          <w:sz w:val="24"/>
          <w:szCs w:val="24"/>
          <w:lang w:eastAsia="zh-CN"/>
        </w:rPr>
        <w:t>%分位；10y-5y国债利差小幅下降</w:t>
      </w:r>
      <w:r>
        <w:rPr>
          <w:rFonts w:ascii="华文楷体" w:hAnsi="华文楷体"/>
          <w:sz w:val="24"/>
          <w:szCs w:val="24"/>
          <w:lang w:eastAsia="zh-CN"/>
        </w:rPr>
        <w:t>3</w:t>
      </w:r>
      <w:r>
        <w:rPr>
          <w:rFonts w:ascii="华文楷体" w:hAnsi="华文楷体" w:hint="eastAsia"/>
          <w:sz w:val="24"/>
          <w:szCs w:val="24"/>
          <w:lang w:eastAsia="zh-CN"/>
        </w:rPr>
        <w:t>bp，位于</w:t>
      </w:r>
      <w:r>
        <w:rPr>
          <w:rFonts w:ascii="华文楷体" w:hAnsi="华文楷体"/>
          <w:sz w:val="24"/>
          <w:szCs w:val="24"/>
          <w:lang w:eastAsia="zh-CN"/>
        </w:rPr>
        <w:t>5</w:t>
      </w:r>
      <w:r>
        <w:rPr>
          <w:rFonts w:ascii="华文楷体" w:hAnsi="华文楷体" w:hint="eastAsia"/>
          <w:sz w:val="24"/>
          <w:szCs w:val="24"/>
          <w:lang w:eastAsia="zh-CN"/>
        </w:rPr>
        <w:t>%分位；曲线较上周走平。10y国开债与10y国债利差上行4bp，继续维持高位。</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A36876">
        <w:trPr>
          <w:jc w:val="center"/>
        </w:trPr>
        <w:tc>
          <w:tcPr>
            <w:tcW w:w="4939" w:type="dxa"/>
            <w:vAlign w:val="center"/>
          </w:tcPr>
          <w:p w:rsidR="00A36876" w:rsidRDefault="00EA6880">
            <w:pPr>
              <w:pStyle w:val="ChartHeading"/>
              <w:jc w:val="both"/>
            </w:pPr>
            <w:r>
              <w:rPr>
                <w:rFonts w:hint="eastAsia"/>
              </w:rPr>
              <w:t>图表</w:t>
            </w:r>
            <w:r>
              <w:t xml:space="preserve">. </w:t>
            </w:r>
            <w:r>
              <w:rPr>
                <w:rFonts w:hint="eastAsia"/>
              </w:rPr>
              <w:t>国债收益率曲线和变化</w:t>
            </w:r>
          </w:p>
        </w:tc>
        <w:tc>
          <w:tcPr>
            <w:tcW w:w="4938" w:type="dxa"/>
            <w:vAlign w:val="center"/>
          </w:tcPr>
          <w:p w:rsidR="00A36876" w:rsidRDefault="00EA6880">
            <w:pPr>
              <w:pStyle w:val="ChartHeading"/>
              <w:jc w:val="both"/>
            </w:pPr>
            <w:r>
              <w:rPr>
                <w:rFonts w:hint="eastAsia"/>
              </w:rPr>
              <w:t>图表</w:t>
            </w:r>
            <w:r>
              <w:t xml:space="preserve">. </w:t>
            </w:r>
            <w:r>
              <w:rPr>
                <w:rFonts w:hint="eastAsia"/>
              </w:rPr>
              <w:t>国开债收益率曲线和变化</w:t>
            </w:r>
          </w:p>
        </w:tc>
      </w:tr>
      <w:tr w:rsidR="00A36876">
        <w:tblPrEx>
          <w:tblCellMar>
            <w:left w:w="108" w:type="dxa"/>
            <w:right w:w="108" w:type="dxa"/>
          </w:tblCellMar>
        </w:tblPrEx>
        <w:trPr>
          <w:jc w:val="center"/>
        </w:trPr>
        <w:tc>
          <w:tcPr>
            <w:tcW w:w="4939" w:type="dxa"/>
            <w:vAlign w:val="center"/>
          </w:tcPr>
          <w:p w:rsidR="00A36876" w:rsidRDefault="00EA6880">
            <w:r>
              <w:rPr>
                <w:noProof/>
              </w:rPr>
              <w:drawing>
                <wp:inline distT="0" distB="0" distL="0" distR="0">
                  <wp:extent cx="2999105" cy="1652270"/>
                  <wp:effectExtent l="0" t="0" r="10795" b="508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rsidR="00A36876" w:rsidRDefault="00EA6880">
            <w:pPr>
              <w:jc w:val="center"/>
              <w:rPr>
                <w:sz w:val="14"/>
                <w:szCs w:val="14"/>
              </w:rPr>
            </w:pPr>
            <w:r>
              <w:rPr>
                <w:noProof/>
              </w:rPr>
              <w:drawing>
                <wp:inline distT="0" distB="0" distL="0" distR="0">
                  <wp:extent cx="2998470" cy="1670685"/>
                  <wp:effectExtent l="0" t="0" r="0" b="571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A36876">
        <w:trPr>
          <w:trHeight w:val="64"/>
          <w:jc w:val="center"/>
        </w:trPr>
        <w:tc>
          <w:tcPr>
            <w:tcW w:w="4939" w:type="dxa"/>
            <w:vAlign w:val="center"/>
          </w:tcPr>
          <w:p w:rsidR="00A36876" w:rsidRDefault="00EA6880">
            <w:pPr>
              <w:pStyle w:val="Source"/>
              <w:jc w:val="both"/>
              <w:rPr>
                <w:kern w:val="0"/>
              </w:rPr>
            </w:pPr>
            <w:r>
              <w:rPr>
                <w:rFonts w:hint="eastAsia"/>
                <w:kern w:val="0"/>
              </w:rPr>
              <w:t>资料来源：万得，富荣基金</w:t>
            </w:r>
          </w:p>
        </w:tc>
        <w:tc>
          <w:tcPr>
            <w:tcW w:w="4938" w:type="dxa"/>
            <w:vAlign w:val="center"/>
          </w:tcPr>
          <w:p w:rsidR="00A36876" w:rsidRDefault="00EA6880">
            <w:pPr>
              <w:pStyle w:val="Source"/>
              <w:jc w:val="both"/>
              <w:rPr>
                <w:kern w:val="0"/>
              </w:rPr>
            </w:pPr>
            <w:r>
              <w:rPr>
                <w:rFonts w:hint="eastAsia"/>
                <w:kern w:val="0"/>
              </w:rPr>
              <w:t>资料来源：万得，富荣基金</w:t>
            </w:r>
          </w:p>
        </w:tc>
      </w:tr>
    </w:tbl>
    <w:p w:rsidR="00A36876" w:rsidRDefault="00A36876">
      <w:pPr>
        <w:pStyle w:val="Body-text"/>
        <w:spacing w:after="0"/>
        <w:rPr>
          <w:lang w:eastAsia="zh-CN"/>
        </w:rPr>
      </w:pPr>
    </w:p>
    <w:p w:rsidR="00A36876" w:rsidRDefault="00EA688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rsidR="00A36876" w:rsidRDefault="00EA688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本周信用品种整体利率跟随利率品种上行。企业债中， AA+</w:t>
      </w:r>
      <w:r>
        <w:rPr>
          <w:rFonts w:ascii="华文楷体" w:hAnsi="华文楷体"/>
          <w:sz w:val="24"/>
          <w:szCs w:val="24"/>
          <w:lang w:eastAsia="zh-CN"/>
        </w:rPr>
        <w:t>3</w:t>
      </w:r>
      <w:r>
        <w:rPr>
          <w:rFonts w:ascii="华文楷体" w:hAnsi="华文楷体" w:hint="eastAsia"/>
          <w:sz w:val="24"/>
          <w:szCs w:val="24"/>
          <w:lang w:eastAsia="zh-CN"/>
        </w:rPr>
        <w:t>y企业债利率上行1</w:t>
      </w:r>
      <w:r>
        <w:rPr>
          <w:rFonts w:ascii="华文楷体" w:hAnsi="华文楷体"/>
          <w:sz w:val="24"/>
          <w:szCs w:val="24"/>
          <w:lang w:eastAsia="zh-CN"/>
        </w:rPr>
        <w:t>6.1</w:t>
      </w:r>
      <w:r>
        <w:rPr>
          <w:rFonts w:ascii="华文楷体" w:hAnsi="华文楷体" w:hint="eastAsia"/>
          <w:sz w:val="24"/>
          <w:szCs w:val="24"/>
          <w:lang w:eastAsia="zh-CN"/>
        </w:rPr>
        <w:t>bp，AAA企业债利率上行1</w:t>
      </w:r>
      <w:r>
        <w:rPr>
          <w:rFonts w:ascii="华文楷体" w:hAnsi="华文楷体"/>
          <w:sz w:val="24"/>
          <w:szCs w:val="24"/>
          <w:lang w:eastAsia="zh-CN"/>
        </w:rPr>
        <w:t>7.1</w:t>
      </w:r>
      <w:r>
        <w:rPr>
          <w:rFonts w:ascii="华文楷体" w:hAnsi="华文楷体" w:hint="eastAsia"/>
          <w:sz w:val="24"/>
          <w:szCs w:val="24"/>
          <w:lang w:eastAsia="zh-CN"/>
        </w:rPr>
        <w:t>bp。城投方面，各期限品种利率亦全面上行，其中AAA</w:t>
      </w:r>
      <w:r>
        <w:rPr>
          <w:rFonts w:ascii="华文楷体" w:hAnsi="华文楷体"/>
          <w:sz w:val="24"/>
          <w:szCs w:val="24"/>
          <w:lang w:eastAsia="zh-CN"/>
        </w:rPr>
        <w:t>3</w:t>
      </w:r>
      <w:r>
        <w:rPr>
          <w:rFonts w:ascii="华文楷体" w:hAnsi="华文楷体" w:hint="eastAsia"/>
          <w:sz w:val="24"/>
          <w:szCs w:val="24"/>
          <w:lang w:eastAsia="zh-CN"/>
        </w:rPr>
        <w:t>y品种利率上行幅度最大，为</w:t>
      </w:r>
      <w:r>
        <w:rPr>
          <w:rFonts w:ascii="华文楷体" w:hAnsi="华文楷体"/>
          <w:sz w:val="24"/>
          <w:szCs w:val="24"/>
          <w:lang w:eastAsia="zh-CN"/>
        </w:rPr>
        <w:t>19.7</w:t>
      </w:r>
      <w:r>
        <w:rPr>
          <w:rFonts w:ascii="华文楷体" w:hAnsi="华文楷体" w:hint="eastAsia"/>
          <w:sz w:val="24"/>
          <w:szCs w:val="24"/>
          <w:lang w:eastAsia="zh-CN"/>
        </w:rPr>
        <w:t>bp。收益率绝对水平来看，大部分期限品种上升至1</w:t>
      </w:r>
      <w:r>
        <w:rPr>
          <w:rFonts w:ascii="华文楷体" w:hAnsi="华文楷体"/>
          <w:sz w:val="24"/>
          <w:szCs w:val="24"/>
          <w:lang w:eastAsia="zh-CN"/>
        </w:rPr>
        <w:t>3</w:t>
      </w:r>
      <w:r>
        <w:rPr>
          <w:rFonts w:ascii="华文楷体" w:hAnsi="华文楷体" w:hint="eastAsia"/>
          <w:sz w:val="24"/>
          <w:szCs w:val="24"/>
          <w:lang w:eastAsia="zh-CN"/>
        </w:rPr>
        <w:t>%-</w:t>
      </w:r>
      <w:r>
        <w:rPr>
          <w:rFonts w:ascii="华文楷体" w:hAnsi="华文楷体"/>
          <w:sz w:val="24"/>
          <w:szCs w:val="24"/>
          <w:lang w:eastAsia="zh-CN"/>
        </w:rPr>
        <w:t>35</w:t>
      </w:r>
      <w:r>
        <w:rPr>
          <w:rFonts w:ascii="华文楷体" w:hAnsi="华文楷体" w:hint="eastAsia"/>
          <w:sz w:val="24"/>
          <w:szCs w:val="24"/>
          <w:lang w:eastAsia="zh-CN"/>
        </w:rPr>
        <w:t>%分位区间。</w:t>
      </w:r>
    </w:p>
    <w:tbl>
      <w:tblPr>
        <w:tblW w:w="9881" w:type="dxa"/>
        <w:jc w:val="center"/>
        <w:tblCellMar>
          <w:left w:w="0" w:type="dxa"/>
          <w:right w:w="0" w:type="dxa"/>
        </w:tblCellMar>
        <w:tblLook w:val="04A0" w:firstRow="1" w:lastRow="0" w:firstColumn="1" w:lastColumn="0" w:noHBand="0" w:noVBand="1"/>
      </w:tblPr>
      <w:tblGrid>
        <w:gridCol w:w="11026"/>
      </w:tblGrid>
      <w:tr w:rsidR="00A36876">
        <w:trPr>
          <w:trHeight w:val="269"/>
          <w:jc w:val="center"/>
        </w:trPr>
        <w:tc>
          <w:tcPr>
            <w:tcW w:w="9881" w:type="dxa"/>
            <w:vAlign w:val="center"/>
          </w:tcPr>
          <w:p w:rsidR="00A36876" w:rsidRDefault="00EA6880">
            <w:pPr>
              <w:pStyle w:val="ChartHeading"/>
              <w:jc w:val="both"/>
            </w:pPr>
            <w:r>
              <w:rPr>
                <w:rFonts w:hint="eastAsia"/>
              </w:rPr>
              <w:t>图表</w:t>
            </w:r>
            <w:r>
              <w:t xml:space="preserve">. </w:t>
            </w:r>
            <w:r>
              <w:rPr>
                <w:rFonts w:hint="eastAsia"/>
              </w:rPr>
              <w:t>信用债收益率、利差变化情况</w:t>
            </w:r>
          </w:p>
        </w:tc>
      </w:tr>
      <w:tr w:rsidR="00A36876">
        <w:tblPrEx>
          <w:tblCellMar>
            <w:left w:w="108" w:type="dxa"/>
            <w:right w:w="108" w:type="dxa"/>
          </w:tblCellMar>
        </w:tblPrEx>
        <w:trPr>
          <w:trHeight w:val="391"/>
          <w:jc w:val="center"/>
        </w:trPr>
        <w:tc>
          <w:tcPr>
            <w:tcW w:w="9881" w:type="dxa"/>
            <w:vAlign w:val="center"/>
          </w:tcPr>
          <w:tbl>
            <w:tblPr>
              <w:tblW w:w="10800" w:type="dxa"/>
              <w:tblLook w:val="04A0" w:firstRow="1" w:lastRow="0" w:firstColumn="1" w:lastColumn="0" w:noHBand="0" w:noVBand="1"/>
            </w:tblPr>
            <w:tblGrid>
              <w:gridCol w:w="1296"/>
              <w:gridCol w:w="1056"/>
              <w:gridCol w:w="1056"/>
              <w:gridCol w:w="1056"/>
              <w:gridCol w:w="1056"/>
              <w:gridCol w:w="1056"/>
              <w:gridCol w:w="1056"/>
              <w:gridCol w:w="1056"/>
              <w:gridCol w:w="1056"/>
              <w:gridCol w:w="1056"/>
            </w:tblGrid>
            <w:tr w:rsidR="00A36876">
              <w:trPr>
                <w:trHeight w:val="290"/>
              </w:trPr>
              <w:tc>
                <w:tcPr>
                  <w:tcW w:w="129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收益率(%)</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息差</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r>
            <w:tr w:rsidR="00A36876">
              <w:trPr>
                <w:trHeight w:val="30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3.08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3.24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3.38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5.46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0.60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0.76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2.98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3.69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3.83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3.97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6.06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0.79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0.93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3.16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3.97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4.22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4.60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6.77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1.23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1.61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3.78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3.68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3.83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3.98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6.07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0.77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3.16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3.97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4.22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4.60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6.77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1.23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1.61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3.78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4.01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4.31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4.71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6.88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0.87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1.17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1.57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3.74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3.72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3.84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3.95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5.66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0.82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2.75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4.01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4.19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4.38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6.65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1.20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1.39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3.66 </w:t>
                  </w:r>
                </w:p>
              </w:tc>
            </w:tr>
            <w:tr w:rsidR="00A36876">
              <w:trPr>
                <w:trHeight w:val="290"/>
              </w:trPr>
              <w:tc>
                <w:tcPr>
                  <w:tcW w:w="129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4.05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4.23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4.55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6.95 </w:t>
                  </w:r>
                </w:p>
              </w:tc>
              <w:tc>
                <w:tcPr>
                  <w:tcW w:w="105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0.91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1.09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1.41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3.81 </w:t>
                  </w:r>
                </w:p>
              </w:tc>
            </w:tr>
            <w:tr w:rsidR="00A36876">
              <w:trPr>
                <w:trHeight w:val="150"/>
              </w:trPr>
              <w:tc>
                <w:tcPr>
                  <w:tcW w:w="1296" w:type="dxa"/>
                  <w:tcBorders>
                    <w:top w:val="nil"/>
                    <w:left w:val="nil"/>
                    <w:bottom w:val="nil"/>
                    <w:right w:val="nil"/>
                  </w:tcBorders>
                  <w:shd w:val="clear" w:color="auto" w:fill="auto"/>
                  <w:noWrap/>
                  <w:vAlign w:val="center"/>
                </w:tcPr>
                <w:p w:rsidR="00A36876" w:rsidRDefault="00A36876">
                  <w:pPr>
                    <w:widowControl/>
                    <w:jc w:val="center"/>
                    <w:rPr>
                      <w:rFonts w:eastAsia="等线" w:cs="Calibri"/>
                      <w:color w:val="000000"/>
                      <w:kern w:val="0"/>
                      <w:sz w:val="18"/>
                      <w:szCs w:val="21"/>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r>
            <w:tr w:rsidR="00A36876">
              <w:trPr>
                <w:trHeight w:val="290"/>
              </w:trPr>
              <w:tc>
                <w:tcPr>
                  <w:tcW w:w="129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周变化(BP)</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息差</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r>
            <w:tr w:rsidR="00A36876">
              <w:trPr>
                <w:trHeight w:val="30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14.0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12.0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8.7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6.7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18.4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17.4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10.4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2.8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-6.2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-5.2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-1.1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17.1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16.1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8.1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1.5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0.5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-7.5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-6.5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9.4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-1.1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-2.1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19.7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18.7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15.7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9.7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4.1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3.1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0.1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-5.9 </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13.1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13.1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12.1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10.1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1.6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1.6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0.6 </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-1.4 </w:t>
                  </w:r>
                </w:p>
              </w:tc>
            </w:tr>
            <w:tr w:rsidR="00A36876">
              <w:trPr>
                <w:trHeight w:val="290"/>
              </w:trPr>
              <w:tc>
                <w:tcPr>
                  <w:tcW w:w="129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lastRenderedPageBreak/>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 xml:space="preserve">5.2 </w:t>
                  </w:r>
                </w:p>
              </w:tc>
              <w:tc>
                <w:tcPr>
                  <w:tcW w:w="105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FF0000"/>
                      <w:kern w:val="0"/>
                      <w:sz w:val="18"/>
                      <w:szCs w:val="21"/>
                    </w:rPr>
                    <w:t xml:space="preserve">-5.8 </w:t>
                  </w:r>
                </w:p>
              </w:tc>
            </w:tr>
            <w:tr w:rsidR="00A36876">
              <w:trPr>
                <w:trHeight w:val="150"/>
              </w:trPr>
              <w:tc>
                <w:tcPr>
                  <w:tcW w:w="1296" w:type="dxa"/>
                  <w:tcBorders>
                    <w:top w:val="nil"/>
                    <w:left w:val="nil"/>
                    <w:bottom w:val="nil"/>
                    <w:right w:val="nil"/>
                  </w:tcBorders>
                  <w:shd w:val="clear" w:color="auto" w:fill="auto"/>
                  <w:noWrap/>
                  <w:vAlign w:val="center"/>
                </w:tcPr>
                <w:p w:rsidR="00A36876" w:rsidRDefault="00A36876">
                  <w:pPr>
                    <w:widowControl/>
                    <w:jc w:val="center"/>
                    <w:rPr>
                      <w:rFonts w:eastAsia="等线" w:cs="Calibri"/>
                      <w:color w:val="000000"/>
                      <w:kern w:val="0"/>
                      <w:sz w:val="18"/>
                      <w:szCs w:val="21"/>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c>
                <w:tcPr>
                  <w:tcW w:w="1056" w:type="dxa"/>
                  <w:tcBorders>
                    <w:top w:val="nil"/>
                    <w:left w:val="nil"/>
                    <w:bottom w:val="nil"/>
                    <w:right w:val="nil"/>
                  </w:tcBorders>
                  <w:shd w:val="clear" w:color="auto" w:fill="auto"/>
                  <w:noWrap/>
                  <w:vAlign w:val="center"/>
                </w:tcPr>
                <w:p w:rsidR="00A36876" w:rsidRDefault="00A36876">
                  <w:pPr>
                    <w:widowControl/>
                    <w:jc w:val="center"/>
                    <w:rPr>
                      <w:rFonts w:ascii="Times New Roman" w:eastAsia="Times New Roman" w:hAnsi="Times New Roman"/>
                      <w:kern w:val="0"/>
                      <w:sz w:val="18"/>
                      <w:szCs w:val="20"/>
                    </w:rPr>
                  </w:pPr>
                </w:p>
              </w:tc>
            </w:tr>
            <w:tr w:rsidR="00A36876">
              <w:trPr>
                <w:trHeight w:val="290"/>
              </w:trPr>
              <w:tc>
                <w:tcPr>
                  <w:tcW w:w="129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收益率分位</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息差</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c>
                <w:tcPr>
                  <w:tcW w:w="1056" w:type="dxa"/>
                  <w:tcBorders>
                    <w:top w:val="nil"/>
                    <w:left w:val="nil"/>
                    <w:bottom w:val="single" w:sz="12" w:space="0" w:color="FFFFFF"/>
                    <w:right w:val="single" w:sz="8" w:space="0" w:color="FFFFFF"/>
                  </w:tcBorders>
                  <w:shd w:val="clear" w:color="000000" w:fill="F79646"/>
                  <w:noWrap/>
                  <w:vAlign w:val="center"/>
                </w:tcPr>
                <w:p w:rsidR="00A36876" w:rsidRDefault="00EA6880">
                  <w:pPr>
                    <w:widowControl/>
                    <w:jc w:val="center"/>
                    <w:rPr>
                      <w:rFonts w:ascii="楷体" w:eastAsia="楷体" w:hAnsi="楷体" w:cs="宋体"/>
                      <w:b/>
                      <w:bCs/>
                      <w:color w:val="FFFFFF"/>
                      <w:kern w:val="0"/>
                      <w:sz w:val="18"/>
                      <w:szCs w:val="20"/>
                    </w:rPr>
                  </w:pPr>
                  <w:r>
                    <w:rPr>
                      <w:rFonts w:ascii="楷体" w:eastAsia="楷体" w:hAnsi="楷体" w:cs="宋体" w:hint="eastAsia"/>
                      <w:b/>
                      <w:bCs/>
                      <w:color w:val="FFFFFF"/>
                      <w:kern w:val="0"/>
                      <w:sz w:val="18"/>
                      <w:szCs w:val="20"/>
                    </w:rPr>
                    <w:t>AA-</w:t>
                  </w:r>
                </w:p>
              </w:tc>
            </w:tr>
            <w:tr w:rsidR="00A36876">
              <w:trPr>
                <w:trHeight w:val="30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30%</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26%</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23%</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52%</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CP</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9%</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7%</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62%</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32%</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28%</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18%</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50%</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17%</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12%</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49%</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28%</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23%</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22%</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59%</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MTN5Y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17%</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12%</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70%</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33%</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26%</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17%</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47%</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企业债3Y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18%</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11%</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49%</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29%</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21%</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55%</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企业债5Y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25%</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15%</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11%</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70%</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20%</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12%</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10%</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42%</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企业债7Y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52%</w:t>
                  </w:r>
                </w:p>
              </w:tc>
            </w:tr>
            <w:tr w:rsidR="00A36876">
              <w:trPr>
                <w:trHeight w:val="290"/>
              </w:trPr>
              <w:tc>
                <w:tcPr>
                  <w:tcW w:w="129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29%</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17%</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38%</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城投债3Y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16%</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15%</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10%</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34%</w:t>
                  </w:r>
                </w:p>
              </w:tc>
            </w:tr>
            <w:tr w:rsidR="00A36876">
              <w:trPr>
                <w:trHeight w:val="290"/>
              </w:trPr>
              <w:tc>
                <w:tcPr>
                  <w:tcW w:w="129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20%</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17%</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51%</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城投债5Y</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21%</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20%</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14%</w:t>
                  </w:r>
                </w:p>
              </w:tc>
              <w:tc>
                <w:tcPr>
                  <w:tcW w:w="1056" w:type="dxa"/>
                  <w:tcBorders>
                    <w:top w:val="nil"/>
                    <w:left w:val="nil"/>
                    <w:bottom w:val="single" w:sz="8" w:space="0" w:color="FFFFFF"/>
                    <w:right w:val="single" w:sz="8" w:space="0" w:color="FFFFFF"/>
                  </w:tcBorders>
                  <w:shd w:val="clear" w:color="000000" w:fill="FDE9D9"/>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66%</w:t>
                  </w:r>
                </w:p>
              </w:tc>
            </w:tr>
            <w:tr w:rsidR="00A36876">
              <w:trPr>
                <w:trHeight w:val="290"/>
              </w:trPr>
              <w:tc>
                <w:tcPr>
                  <w:tcW w:w="129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13%</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12%</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44%</w:t>
                  </w:r>
                </w:p>
              </w:tc>
              <w:tc>
                <w:tcPr>
                  <w:tcW w:w="1056" w:type="dxa"/>
                  <w:tcBorders>
                    <w:top w:val="nil"/>
                    <w:left w:val="nil"/>
                    <w:bottom w:val="nil"/>
                    <w:right w:val="nil"/>
                  </w:tcBorders>
                  <w:shd w:val="clear" w:color="000000" w:fill="FCD5B4"/>
                  <w:noWrap/>
                  <w:vAlign w:val="center"/>
                </w:tcPr>
                <w:p w:rsidR="00A36876" w:rsidRDefault="00EA6880">
                  <w:pPr>
                    <w:widowControl/>
                    <w:jc w:val="center"/>
                    <w:rPr>
                      <w:rFonts w:ascii="楷体" w:eastAsia="楷体" w:hAnsi="楷体" w:cs="宋体"/>
                      <w:color w:val="000000"/>
                      <w:kern w:val="0"/>
                      <w:sz w:val="18"/>
                      <w:szCs w:val="20"/>
                    </w:rPr>
                  </w:pPr>
                  <w:r>
                    <w:rPr>
                      <w:rFonts w:ascii="楷体" w:eastAsia="楷体" w:hAnsi="楷体" w:cs="宋体" w:hint="eastAsia"/>
                      <w:color w:val="000000"/>
                      <w:kern w:val="0"/>
                      <w:sz w:val="18"/>
                      <w:szCs w:val="20"/>
                    </w:rPr>
                    <w:t>城投债7Y</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10%</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7%</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4%</w:t>
                  </w:r>
                </w:p>
              </w:tc>
              <w:tc>
                <w:tcPr>
                  <w:tcW w:w="1056" w:type="dxa"/>
                  <w:tcBorders>
                    <w:top w:val="nil"/>
                    <w:left w:val="nil"/>
                    <w:bottom w:val="single" w:sz="8" w:space="0" w:color="FFFFFF"/>
                    <w:right w:val="single" w:sz="8" w:space="0" w:color="FFFFFF"/>
                  </w:tcBorders>
                  <w:shd w:val="clear" w:color="000000" w:fill="FCD5B4"/>
                  <w:noWrap/>
                  <w:vAlign w:val="center"/>
                </w:tcPr>
                <w:p w:rsidR="00A36876" w:rsidRDefault="00EA6880">
                  <w:pPr>
                    <w:widowControl/>
                    <w:jc w:val="center"/>
                    <w:rPr>
                      <w:rFonts w:eastAsia="等线" w:cs="Calibri"/>
                      <w:color w:val="000000"/>
                      <w:kern w:val="0"/>
                      <w:sz w:val="18"/>
                      <w:szCs w:val="21"/>
                    </w:rPr>
                  </w:pPr>
                  <w:r>
                    <w:rPr>
                      <w:rFonts w:eastAsia="等线" w:cs="Calibri"/>
                      <w:color w:val="000000"/>
                      <w:kern w:val="0"/>
                      <w:sz w:val="18"/>
                      <w:szCs w:val="21"/>
                    </w:rPr>
                    <w:t>60%</w:t>
                  </w:r>
                </w:p>
              </w:tc>
            </w:tr>
          </w:tbl>
          <w:p w:rsidR="00A36876" w:rsidRDefault="00A36876">
            <w:pPr>
              <w:rPr>
                <w:sz w:val="20"/>
                <w:szCs w:val="16"/>
              </w:rPr>
            </w:pPr>
          </w:p>
        </w:tc>
      </w:tr>
      <w:tr w:rsidR="00A36876">
        <w:trPr>
          <w:trHeight w:val="43"/>
          <w:jc w:val="center"/>
        </w:trPr>
        <w:tc>
          <w:tcPr>
            <w:tcW w:w="9881" w:type="dxa"/>
            <w:vAlign w:val="center"/>
          </w:tcPr>
          <w:p w:rsidR="00A36876" w:rsidRDefault="00EA6880">
            <w:pPr>
              <w:pStyle w:val="Source"/>
              <w:jc w:val="both"/>
              <w:rPr>
                <w:kern w:val="0"/>
              </w:rPr>
            </w:pPr>
            <w:r>
              <w:rPr>
                <w:rFonts w:hint="eastAsia"/>
                <w:kern w:val="0"/>
              </w:rPr>
              <w:lastRenderedPageBreak/>
              <w:t>资料来源：万得，富荣基金；利差基准为同期限国债</w:t>
            </w:r>
          </w:p>
        </w:tc>
      </w:tr>
    </w:tbl>
    <w:p w:rsidR="00A36876" w:rsidRDefault="00A36876">
      <w:pPr>
        <w:pStyle w:val="Body-text"/>
        <w:spacing w:after="0"/>
        <w:rPr>
          <w:lang w:eastAsia="zh-CN"/>
        </w:rPr>
      </w:pPr>
    </w:p>
    <w:p w:rsidR="00A36876" w:rsidRDefault="00EA688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rsidR="00A36876" w:rsidRDefault="00EA688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本周权益市场震荡向上。转债指数较上周下跌0</w:t>
      </w:r>
      <w:r>
        <w:rPr>
          <w:rFonts w:ascii="华文楷体" w:hAnsi="华文楷体"/>
          <w:sz w:val="24"/>
          <w:szCs w:val="24"/>
          <w:lang w:eastAsia="zh-CN"/>
        </w:rPr>
        <w:t>.1</w:t>
      </w:r>
      <w:r>
        <w:rPr>
          <w:rFonts w:ascii="华文楷体" w:hAnsi="华文楷体" w:hint="eastAsia"/>
          <w:sz w:val="24"/>
          <w:szCs w:val="24"/>
          <w:lang w:eastAsia="zh-CN"/>
        </w:rPr>
        <w:t>%。市场主要板块轮动明显，成交量较上周继续缩减。上证综指</w:t>
      </w:r>
      <w:r>
        <w:rPr>
          <w:rFonts w:ascii="华文楷体" w:hAnsi="华文楷体"/>
          <w:sz w:val="24"/>
          <w:szCs w:val="24"/>
          <w:lang w:eastAsia="zh-CN"/>
        </w:rPr>
        <w:t>、</w:t>
      </w:r>
      <w:r>
        <w:rPr>
          <w:rFonts w:ascii="华文楷体" w:hAnsi="华文楷体" w:hint="eastAsia"/>
          <w:sz w:val="24"/>
          <w:szCs w:val="24"/>
          <w:lang w:eastAsia="zh-CN"/>
        </w:rPr>
        <w:t>创业板指</w:t>
      </w:r>
      <w:r>
        <w:rPr>
          <w:rFonts w:ascii="华文楷体" w:hAnsi="华文楷体"/>
          <w:sz w:val="24"/>
          <w:szCs w:val="24"/>
          <w:lang w:eastAsia="zh-CN"/>
        </w:rPr>
        <w:t>、上证</w:t>
      </w:r>
      <w:r>
        <w:rPr>
          <w:rFonts w:ascii="华文楷体" w:hAnsi="华文楷体" w:hint="eastAsia"/>
          <w:sz w:val="24"/>
          <w:szCs w:val="24"/>
          <w:lang w:eastAsia="zh-CN"/>
        </w:rPr>
        <w:t>50和</w:t>
      </w:r>
      <w:r>
        <w:rPr>
          <w:rFonts w:ascii="华文楷体" w:hAnsi="华文楷体"/>
          <w:sz w:val="24"/>
          <w:szCs w:val="24"/>
          <w:lang w:eastAsia="zh-CN"/>
        </w:rPr>
        <w:t>沪深</w:t>
      </w:r>
      <w:r>
        <w:rPr>
          <w:rFonts w:ascii="华文楷体" w:hAnsi="华文楷体" w:hint="eastAsia"/>
          <w:sz w:val="24"/>
          <w:szCs w:val="24"/>
          <w:lang w:eastAsia="zh-CN"/>
        </w:rPr>
        <w:t>300</w:t>
      </w:r>
      <w:r>
        <w:rPr>
          <w:rFonts w:ascii="华文楷体" w:hAnsi="华文楷体"/>
          <w:sz w:val="24"/>
          <w:szCs w:val="24"/>
          <w:lang w:eastAsia="zh-CN"/>
        </w:rPr>
        <w:t>分别</w:t>
      </w:r>
      <w:r>
        <w:rPr>
          <w:rFonts w:ascii="华文楷体" w:hAnsi="华文楷体" w:hint="eastAsia"/>
          <w:sz w:val="24"/>
          <w:szCs w:val="24"/>
          <w:lang w:eastAsia="zh-CN"/>
        </w:rPr>
        <w:t>上涨</w:t>
      </w:r>
      <w:r>
        <w:rPr>
          <w:rFonts w:ascii="华文楷体" w:hAnsi="华文楷体"/>
          <w:sz w:val="24"/>
          <w:szCs w:val="24"/>
          <w:lang w:eastAsia="zh-CN"/>
        </w:rPr>
        <w:t>0.7%、</w:t>
      </w:r>
      <w:r>
        <w:rPr>
          <w:rFonts w:ascii="华文楷体" w:hAnsi="华文楷体" w:hint="eastAsia"/>
          <w:sz w:val="24"/>
          <w:szCs w:val="24"/>
          <w:lang w:eastAsia="zh-CN"/>
        </w:rPr>
        <w:t>-</w:t>
      </w:r>
      <w:r>
        <w:rPr>
          <w:rFonts w:ascii="华文楷体" w:hAnsi="华文楷体"/>
          <w:sz w:val="24"/>
          <w:szCs w:val="24"/>
          <w:lang w:eastAsia="zh-CN"/>
        </w:rPr>
        <w:t>1.4%、2.5%</w:t>
      </w:r>
      <w:r>
        <w:rPr>
          <w:rFonts w:ascii="华文楷体" w:hAnsi="华文楷体" w:hint="eastAsia"/>
          <w:sz w:val="24"/>
          <w:szCs w:val="24"/>
          <w:lang w:eastAsia="zh-CN"/>
        </w:rPr>
        <w:t>和</w:t>
      </w:r>
      <w:r>
        <w:rPr>
          <w:rFonts w:ascii="华文楷体" w:hAnsi="华文楷体"/>
          <w:sz w:val="24"/>
          <w:szCs w:val="24"/>
          <w:lang w:eastAsia="zh-CN"/>
        </w:rPr>
        <w:t>2.7%</w:t>
      </w:r>
      <w:r>
        <w:rPr>
          <w:rFonts w:ascii="华文楷体" w:hAnsi="华文楷体" w:hint="eastAsia"/>
          <w:sz w:val="24"/>
          <w:szCs w:val="24"/>
          <w:lang w:eastAsia="zh-CN"/>
        </w:rPr>
        <w:t>。</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A36876">
        <w:trPr>
          <w:jc w:val="center"/>
        </w:trPr>
        <w:tc>
          <w:tcPr>
            <w:tcW w:w="4939" w:type="dxa"/>
            <w:vAlign w:val="center"/>
          </w:tcPr>
          <w:p w:rsidR="00A36876" w:rsidRDefault="00EA6880">
            <w:pPr>
              <w:pStyle w:val="ChartHeading"/>
              <w:jc w:val="both"/>
            </w:pPr>
            <w:r>
              <w:rPr>
                <w:rFonts w:hint="eastAsia"/>
              </w:rPr>
              <w:t>图表</w:t>
            </w:r>
            <w:r>
              <w:t xml:space="preserve">. </w:t>
            </w:r>
            <w:r>
              <w:rPr>
                <w:rFonts w:hint="eastAsia"/>
              </w:rPr>
              <w:t>A</w:t>
            </w:r>
            <w:r>
              <w:rPr>
                <w:rFonts w:hint="eastAsia"/>
              </w:rPr>
              <w:t>股主要指数交易和估值情况</w:t>
            </w:r>
          </w:p>
        </w:tc>
        <w:tc>
          <w:tcPr>
            <w:tcW w:w="4938" w:type="dxa"/>
            <w:vAlign w:val="center"/>
          </w:tcPr>
          <w:p w:rsidR="00A36876" w:rsidRDefault="00EA6880">
            <w:pPr>
              <w:pStyle w:val="ChartHeading"/>
              <w:jc w:val="both"/>
            </w:pPr>
            <w:r>
              <w:rPr>
                <w:rFonts w:hint="eastAsia"/>
              </w:rPr>
              <w:t>图表</w:t>
            </w:r>
            <w:r>
              <w:t xml:space="preserve">. </w:t>
            </w:r>
            <w:r>
              <w:rPr>
                <w:rFonts w:hint="eastAsia"/>
              </w:rPr>
              <w:t>转债指数与股指累计变化</w:t>
            </w:r>
          </w:p>
        </w:tc>
      </w:tr>
      <w:tr w:rsidR="00A36876">
        <w:tblPrEx>
          <w:tblCellMar>
            <w:left w:w="108" w:type="dxa"/>
            <w:right w:w="108" w:type="dxa"/>
          </w:tblCellMar>
        </w:tblPrEx>
        <w:trPr>
          <w:jc w:val="center"/>
        </w:trPr>
        <w:tc>
          <w:tcPr>
            <w:tcW w:w="4939" w:type="dxa"/>
            <w:vAlign w:val="center"/>
          </w:tcPr>
          <w:p w:rsidR="00A36876" w:rsidRDefault="00EA6880">
            <w:pPr>
              <w:jc w:val="center"/>
            </w:pPr>
            <w:r>
              <w:rPr>
                <w:noProof/>
              </w:rPr>
              <w:drawing>
                <wp:inline distT="0" distB="0" distL="0" distR="0">
                  <wp:extent cx="2999105" cy="173863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2999105" cy="1738630"/>
                          </a:xfrm>
                          <a:prstGeom prst="rect">
                            <a:avLst/>
                          </a:prstGeom>
                        </pic:spPr>
                      </pic:pic>
                    </a:graphicData>
                  </a:graphic>
                </wp:inline>
              </w:drawing>
            </w:r>
          </w:p>
        </w:tc>
        <w:tc>
          <w:tcPr>
            <w:tcW w:w="4938" w:type="dxa"/>
            <w:vAlign w:val="center"/>
          </w:tcPr>
          <w:p w:rsidR="00A36876" w:rsidRDefault="00EA6880">
            <w:pPr>
              <w:jc w:val="center"/>
              <w:rPr>
                <w:szCs w:val="18"/>
              </w:rPr>
            </w:pPr>
            <w:r>
              <w:rPr>
                <w:noProof/>
              </w:rPr>
              <w:drawing>
                <wp:inline distT="0" distB="0" distL="0" distR="0">
                  <wp:extent cx="2998470" cy="1691005"/>
                  <wp:effectExtent l="0" t="0" r="0" b="44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A36876">
        <w:trPr>
          <w:trHeight w:val="64"/>
          <w:jc w:val="center"/>
        </w:trPr>
        <w:tc>
          <w:tcPr>
            <w:tcW w:w="4939" w:type="dxa"/>
            <w:vAlign w:val="center"/>
          </w:tcPr>
          <w:p w:rsidR="00A36876" w:rsidRDefault="00EA6880">
            <w:pPr>
              <w:pStyle w:val="Source"/>
              <w:jc w:val="both"/>
              <w:rPr>
                <w:kern w:val="0"/>
              </w:rPr>
            </w:pPr>
            <w:r>
              <w:rPr>
                <w:rFonts w:hint="eastAsia"/>
                <w:kern w:val="0"/>
              </w:rPr>
              <w:t>资料来源：万得，富荣基金</w:t>
            </w:r>
          </w:p>
        </w:tc>
        <w:tc>
          <w:tcPr>
            <w:tcW w:w="4938" w:type="dxa"/>
            <w:vAlign w:val="center"/>
          </w:tcPr>
          <w:p w:rsidR="00A36876" w:rsidRDefault="00EA6880">
            <w:pPr>
              <w:pStyle w:val="Source"/>
              <w:jc w:val="both"/>
              <w:rPr>
                <w:kern w:val="0"/>
              </w:rPr>
            </w:pPr>
            <w:r>
              <w:rPr>
                <w:rFonts w:hint="eastAsia"/>
                <w:kern w:val="0"/>
              </w:rPr>
              <w:t>资料来源：万得，富荣基金</w:t>
            </w:r>
          </w:p>
        </w:tc>
      </w:tr>
    </w:tbl>
    <w:p w:rsidR="00A36876" w:rsidRDefault="00A36876">
      <w:pPr>
        <w:pStyle w:val="Body-text"/>
        <w:spacing w:after="0"/>
        <w:rPr>
          <w:lang w:eastAsia="zh-CN"/>
        </w:rPr>
      </w:pPr>
    </w:p>
    <w:p w:rsidR="00A36876" w:rsidRDefault="00EA6880">
      <w:pPr>
        <w:pStyle w:val="Header1"/>
        <w:spacing w:before="240"/>
        <w:rPr>
          <w:color w:val="C45911" w:themeColor="accent2" w:themeShade="BF"/>
        </w:rPr>
      </w:pPr>
      <w:r>
        <w:rPr>
          <w:rFonts w:hint="eastAsia"/>
          <w:color w:val="C45911" w:themeColor="accent2" w:themeShade="BF"/>
        </w:rPr>
        <w:t>三、本周市场展望</w:t>
      </w:r>
    </w:p>
    <w:p w:rsidR="00A36876" w:rsidRDefault="00EA688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Pr>
          <w:rFonts w:hint="eastAsia"/>
          <w:sz w:val="28"/>
          <w:szCs w:val="21"/>
        </w:rPr>
        <w:t>基本面变化</w:t>
      </w:r>
    </w:p>
    <w:p w:rsidR="00A36876" w:rsidRDefault="00EA6880">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生产：</w:t>
      </w:r>
      <w:r>
        <w:rPr>
          <w:rFonts w:ascii="华文楷体" w:hAnsi="华文楷体" w:hint="eastAsia"/>
          <w:bCs/>
          <w:sz w:val="24"/>
          <w:szCs w:val="24"/>
          <w:lang w:eastAsia="zh-CN"/>
        </w:rPr>
        <w:t>焦炭现货价格走平，动力煤价格小幅下跌。本周Myspic普钢指数环比下跌0</w:t>
      </w:r>
      <w:r>
        <w:rPr>
          <w:rFonts w:ascii="华文楷体" w:hAnsi="华文楷体"/>
          <w:bCs/>
          <w:sz w:val="24"/>
          <w:szCs w:val="24"/>
          <w:lang w:eastAsia="zh-CN"/>
        </w:rPr>
        <w:t>.15%</w:t>
      </w:r>
      <w:r>
        <w:rPr>
          <w:rFonts w:ascii="华文楷体" w:hAnsi="华文楷体" w:hint="eastAsia"/>
          <w:bCs/>
          <w:sz w:val="24"/>
          <w:szCs w:val="24"/>
          <w:lang w:eastAsia="zh-CN"/>
        </w:rPr>
        <w:t>。主要品种中，螺纹钢和热卷价格分化，分别变动</w:t>
      </w:r>
      <w:r>
        <w:rPr>
          <w:rFonts w:ascii="华文楷体" w:hAnsi="华文楷体"/>
          <w:bCs/>
          <w:sz w:val="24"/>
          <w:szCs w:val="24"/>
          <w:lang w:eastAsia="zh-CN"/>
        </w:rPr>
        <w:t>0.35</w:t>
      </w:r>
      <w:r>
        <w:rPr>
          <w:rFonts w:ascii="华文楷体" w:hAnsi="华文楷体" w:hint="eastAsia"/>
          <w:bCs/>
          <w:sz w:val="24"/>
          <w:szCs w:val="24"/>
          <w:lang w:eastAsia="zh-CN"/>
        </w:rPr>
        <w:t>%、-</w:t>
      </w:r>
      <w:r>
        <w:rPr>
          <w:rFonts w:ascii="华文楷体" w:hAnsi="华文楷体"/>
          <w:bCs/>
          <w:sz w:val="24"/>
          <w:szCs w:val="24"/>
          <w:lang w:eastAsia="zh-CN"/>
        </w:rPr>
        <w:t>1.08</w:t>
      </w:r>
      <w:r>
        <w:rPr>
          <w:rFonts w:ascii="华文楷体" w:hAnsi="华文楷体" w:hint="eastAsia"/>
          <w:bCs/>
          <w:sz w:val="24"/>
          <w:szCs w:val="24"/>
          <w:lang w:eastAsia="zh-CN"/>
        </w:rPr>
        <w:t>%；从库存来看，螺纹钢社会库存略有累积。本周LME有色品种铜和铝价格上涨，涨幅分别为</w:t>
      </w:r>
      <w:r>
        <w:rPr>
          <w:rFonts w:ascii="华文楷体" w:hAnsi="华文楷体"/>
          <w:bCs/>
          <w:sz w:val="24"/>
          <w:szCs w:val="24"/>
          <w:lang w:eastAsia="zh-CN"/>
        </w:rPr>
        <w:t>2.84</w:t>
      </w:r>
      <w:r>
        <w:rPr>
          <w:rFonts w:ascii="华文楷体" w:hAnsi="华文楷体" w:hint="eastAsia"/>
          <w:bCs/>
          <w:sz w:val="24"/>
          <w:szCs w:val="24"/>
          <w:lang w:eastAsia="zh-CN"/>
        </w:rPr>
        <w:t>%和</w:t>
      </w:r>
      <w:r>
        <w:rPr>
          <w:rFonts w:ascii="华文楷体" w:hAnsi="华文楷体"/>
          <w:bCs/>
          <w:sz w:val="24"/>
          <w:szCs w:val="24"/>
          <w:lang w:eastAsia="zh-CN"/>
        </w:rPr>
        <w:t>1.87</w:t>
      </w:r>
      <w:r>
        <w:rPr>
          <w:rFonts w:ascii="华文楷体" w:hAnsi="华文楷体" w:hint="eastAsia"/>
          <w:bCs/>
          <w:sz w:val="24"/>
          <w:szCs w:val="24"/>
          <w:lang w:eastAsia="zh-CN"/>
        </w:rPr>
        <w:t>%。</w:t>
      </w:r>
    </w:p>
    <w:p w:rsidR="00A36876" w:rsidRDefault="00EA6880">
      <w:pPr>
        <w:pStyle w:val="Body-text"/>
        <w:ind w:firstLineChars="200" w:firstLine="480"/>
        <w:rPr>
          <w:rFonts w:ascii="华文楷体" w:hAnsi="华文楷体"/>
          <w:bCs/>
          <w:color w:val="C00000"/>
          <w:sz w:val="24"/>
          <w:szCs w:val="24"/>
          <w:lang w:eastAsia="zh-CN"/>
        </w:rPr>
      </w:pPr>
      <w:r>
        <w:rPr>
          <w:rFonts w:ascii="华文楷体" w:hAnsi="华文楷体" w:hint="eastAsia"/>
          <w:b/>
          <w:bCs/>
          <w:sz w:val="24"/>
          <w:szCs w:val="24"/>
          <w:lang w:eastAsia="zh-CN"/>
        </w:rPr>
        <w:t>地产和消费：</w:t>
      </w:r>
      <w:r>
        <w:rPr>
          <w:rFonts w:ascii="华文楷体" w:hAnsi="华文楷体" w:hint="eastAsia"/>
          <w:bCs/>
          <w:sz w:val="24"/>
          <w:szCs w:val="24"/>
          <w:lang w:eastAsia="zh-CN"/>
        </w:rPr>
        <w:t>本周30大中城市商品房成交面积较上周继续回落，与近期部分城市地产政策持续收紧有关。拿地方面，100大中城市土地成交面积继续回落。乘用车销量上，8月的一至三周的乘用车零售达到日均3.7万辆，同比去年8月增长12%，消费环境相对平稳。</w:t>
      </w:r>
    </w:p>
    <w:p w:rsidR="00A36876" w:rsidRDefault="00EA6880">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进出口</w:t>
      </w:r>
      <w:r>
        <w:rPr>
          <w:rFonts w:ascii="华文楷体" w:hAnsi="华文楷体" w:hint="eastAsia"/>
          <w:bCs/>
          <w:sz w:val="24"/>
          <w:szCs w:val="24"/>
          <w:lang w:eastAsia="zh-CN"/>
        </w:rPr>
        <w:t>：出口方面，上海出口集装箱指数（SCFI）本周上升</w:t>
      </w:r>
      <w:r>
        <w:rPr>
          <w:rFonts w:ascii="华文楷体" w:hAnsi="华文楷体"/>
          <w:bCs/>
          <w:sz w:val="24"/>
          <w:szCs w:val="24"/>
          <w:lang w:eastAsia="zh-CN"/>
        </w:rPr>
        <w:t>6.72</w:t>
      </w:r>
      <w:r>
        <w:rPr>
          <w:rFonts w:ascii="华文楷体" w:hAnsi="华文楷体" w:hint="eastAsia"/>
          <w:bCs/>
          <w:sz w:val="24"/>
          <w:szCs w:val="24"/>
          <w:lang w:eastAsia="zh-CN"/>
        </w:rPr>
        <w:t>%，中国出口集装箱运价指数（CCFI）上升2</w:t>
      </w:r>
      <w:r>
        <w:rPr>
          <w:rFonts w:ascii="华文楷体" w:hAnsi="华文楷体"/>
          <w:bCs/>
          <w:sz w:val="24"/>
          <w:szCs w:val="24"/>
          <w:lang w:eastAsia="zh-CN"/>
        </w:rPr>
        <w:t>.2</w:t>
      </w:r>
      <w:r>
        <w:rPr>
          <w:rFonts w:ascii="华文楷体" w:hAnsi="华文楷体" w:hint="eastAsia"/>
          <w:bCs/>
          <w:sz w:val="24"/>
          <w:szCs w:val="24"/>
          <w:lang w:eastAsia="zh-CN"/>
        </w:rPr>
        <w:t>%。进口方面，波罗的海干散货指数较上周上涨</w:t>
      </w:r>
      <w:r>
        <w:rPr>
          <w:rFonts w:ascii="华文楷体" w:hAnsi="华文楷体"/>
          <w:bCs/>
          <w:sz w:val="24"/>
          <w:szCs w:val="24"/>
          <w:lang w:eastAsia="zh-CN"/>
        </w:rPr>
        <w:t>0.47</w:t>
      </w:r>
      <w:r>
        <w:rPr>
          <w:rFonts w:ascii="华文楷体" w:hAnsi="华文楷体" w:hint="eastAsia"/>
          <w:bCs/>
          <w:sz w:val="24"/>
          <w:szCs w:val="24"/>
          <w:lang w:eastAsia="zh-CN"/>
        </w:rPr>
        <w:t>%。</w:t>
      </w:r>
    </w:p>
    <w:p w:rsidR="00A36876" w:rsidRDefault="00EA6880">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lastRenderedPageBreak/>
        <w:t>通胀：</w:t>
      </w:r>
      <w:r>
        <w:rPr>
          <w:rFonts w:ascii="华文楷体" w:hAnsi="华文楷体" w:hint="eastAsia"/>
          <w:bCs/>
          <w:sz w:val="24"/>
          <w:szCs w:val="24"/>
          <w:lang w:eastAsia="zh-CN"/>
        </w:rPr>
        <w:t>猪肉价格本周略有回升。农业部公布的全国平均批发价较上周末基本走平，至4</w:t>
      </w:r>
      <w:r>
        <w:rPr>
          <w:rFonts w:ascii="华文楷体" w:hAnsi="华文楷体"/>
          <w:bCs/>
          <w:sz w:val="24"/>
          <w:szCs w:val="24"/>
          <w:lang w:eastAsia="zh-CN"/>
        </w:rPr>
        <w:t>8.41</w:t>
      </w:r>
      <w:r>
        <w:rPr>
          <w:rFonts w:ascii="华文楷体" w:hAnsi="华文楷体" w:hint="eastAsia"/>
          <w:bCs/>
          <w:sz w:val="24"/>
          <w:szCs w:val="24"/>
          <w:lang w:eastAsia="zh-CN"/>
        </w:rPr>
        <w:t>元/公斤左右，环比上涨0</w:t>
      </w:r>
      <w:r>
        <w:rPr>
          <w:rFonts w:ascii="华文楷体" w:hAnsi="华文楷体"/>
          <w:bCs/>
          <w:sz w:val="24"/>
          <w:szCs w:val="24"/>
          <w:lang w:eastAsia="zh-CN"/>
        </w:rPr>
        <w:t>.02</w:t>
      </w:r>
      <w:r>
        <w:rPr>
          <w:rFonts w:ascii="华文楷体" w:hAnsi="华文楷体" w:hint="eastAsia"/>
          <w:bCs/>
          <w:sz w:val="24"/>
          <w:szCs w:val="24"/>
          <w:lang w:eastAsia="zh-CN"/>
        </w:rPr>
        <w:t>%。蔬菜方面，价格上升，涨幅为2</w:t>
      </w:r>
      <w:r>
        <w:rPr>
          <w:rFonts w:ascii="华文楷体" w:hAnsi="华文楷体"/>
          <w:bCs/>
          <w:sz w:val="24"/>
          <w:szCs w:val="24"/>
          <w:lang w:eastAsia="zh-CN"/>
        </w:rPr>
        <w:t>.51</w:t>
      </w:r>
      <w:r>
        <w:rPr>
          <w:rFonts w:ascii="华文楷体" w:hAnsi="华文楷体" w:hint="eastAsia"/>
          <w:bCs/>
          <w:sz w:val="24"/>
          <w:szCs w:val="24"/>
          <w:lang w:eastAsia="zh-CN"/>
        </w:rPr>
        <w:t>%；水果价格则较上周小幅下跌，跌幅为0</w:t>
      </w:r>
      <w:r>
        <w:rPr>
          <w:rFonts w:ascii="华文楷体" w:hAnsi="华文楷体"/>
          <w:bCs/>
          <w:sz w:val="24"/>
          <w:szCs w:val="24"/>
          <w:lang w:eastAsia="zh-CN"/>
        </w:rPr>
        <w:t>.19</w:t>
      </w:r>
      <w:r>
        <w:rPr>
          <w:rFonts w:ascii="华文楷体" w:hAnsi="华文楷体" w:hint="eastAsia"/>
          <w:bCs/>
          <w:sz w:val="24"/>
          <w:szCs w:val="24"/>
          <w:lang w:eastAsia="zh-CN"/>
        </w:rPr>
        <w:t>%。</w:t>
      </w:r>
    </w:p>
    <w:p w:rsidR="00A36876" w:rsidRDefault="00EA6880">
      <w:pPr>
        <w:pStyle w:val="Body-text"/>
        <w:ind w:firstLineChars="200" w:firstLine="480"/>
        <w:rPr>
          <w:rFonts w:ascii="华文楷体" w:hAnsi="华文楷体"/>
          <w:bCs/>
          <w:sz w:val="24"/>
          <w:szCs w:val="24"/>
          <w:lang w:eastAsia="zh-CN"/>
        </w:rPr>
      </w:pPr>
      <w:bookmarkStart w:id="1" w:name="_Hlk21205334"/>
      <w:r>
        <w:rPr>
          <w:rFonts w:ascii="华文楷体" w:hAnsi="华文楷体" w:hint="eastAsia"/>
          <w:b/>
          <w:bCs/>
          <w:sz w:val="24"/>
          <w:szCs w:val="24"/>
          <w:lang w:eastAsia="zh-CN"/>
        </w:rPr>
        <w:t>海外</w:t>
      </w:r>
      <w:r>
        <w:rPr>
          <w:rFonts w:ascii="华文楷体" w:hAnsi="华文楷体" w:hint="eastAsia"/>
          <w:bCs/>
          <w:sz w:val="24"/>
          <w:szCs w:val="24"/>
          <w:lang w:eastAsia="zh-CN"/>
        </w:rPr>
        <w:t>：本周国际油价上涨，WTI原油价格环比上涨</w:t>
      </w:r>
      <w:r>
        <w:rPr>
          <w:rFonts w:ascii="华文楷体" w:hAnsi="华文楷体"/>
          <w:bCs/>
          <w:sz w:val="24"/>
          <w:szCs w:val="24"/>
          <w:lang w:eastAsia="zh-CN"/>
        </w:rPr>
        <w:t>1.39</w:t>
      </w:r>
      <w:r>
        <w:rPr>
          <w:rFonts w:ascii="华文楷体" w:hAnsi="华文楷体" w:hint="eastAsia"/>
          <w:bCs/>
          <w:sz w:val="24"/>
          <w:szCs w:val="24"/>
          <w:lang w:eastAsia="zh-CN"/>
        </w:rPr>
        <w:t>%；布伦特原油价格环比上涨</w:t>
      </w:r>
      <w:r>
        <w:rPr>
          <w:rFonts w:ascii="华文楷体" w:hAnsi="华文楷体"/>
          <w:bCs/>
          <w:sz w:val="24"/>
          <w:szCs w:val="24"/>
          <w:lang w:eastAsia="zh-CN"/>
        </w:rPr>
        <w:t>0.42</w:t>
      </w:r>
      <w:r>
        <w:rPr>
          <w:rFonts w:ascii="华文楷体" w:hAnsi="华文楷体" w:hint="eastAsia"/>
          <w:bCs/>
          <w:sz w:val="24"/>
          <w:szCs w:val="24"/>
          <w:lang w:eastAsia="zh-CN"/>
        </w:rPr>
        <w:t>%。本周美元指数下跌-</w:t>
      </w:r>
      <w:r>
        <w:rPr>
          <w:rFonts w:ascii="华文楷体" w:hAnsi="华文楷体"/>
          <w:bCs/>
          <w:sz w:val="24"/>
          <w:szCs w:val="24"/>
          <w:lang w:eastAsia="zh-CN"/>
        </w:rPr>
        <w:t>0.99</w:t>
      </w:r>
      <w:r>
        <w:rPr>
          <w:rFonts w:ascii="华文楷体" w:hAnsi="华文楷体" w:hint="eastAsia"/>
          <w:bCs/>
          <w:sz w:val="24"/>
          <w:szCs w:val="24"/>
          <w:lang w:eastAsia="zh-CN"/>
        </w:rPr>
        <w:t>%。</w:t>
      </w:r>
    </w:p>
    <w:p w:rsidR="00A36876" w:rsidRDefault="00EA6880">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下周关注</w:t>
      </w:r>
      <w:r>
        <w:rPr>
          <w:rFonts w:ascii="华文楷体" w:hAnsi="华文楷体" w:hint="eastAsia"/>
          <w:bCs/>
          <w:sz w:val="24"/>
          <w:szCs w:val="24"/>
          <w:lang w:eastAsia="zh-CN"/>
        </w:rPr>
        <w:t>：中国8月官方PMI及财新PMI；欧元区PMI；美国PMI及周度失业数据；中美摩擦；疫情情况。</w:t>
      </w:r>
    </w:p>
    <w:p w:rsidR="00A36876" w:rsidRDefault="00A36876">
      <w:pPr>
        <w:pStyle w:val="Body-text"/>
        <w:ind w:firstLineChars="200" w:firstLine="480"/>
        <w:rPr>
          <w:rFonts w:ascii="华文楷体" w:eastAsia="PMingLiU" w:hAnsi="华文楷体"/>
          <w:bCs/>
          <w:sz w:val="24"/>
          <w:szCs w:val="24"/>
          <w:lang w:eastAsia="zh-CN"/>
        </w:rPr>
      </w:pPr>
    </w:p>
    <w:bookmarkEnd w:id="1"/>
    <w:p w:rsidR="00A36876" w:rsidRDefault="00EA6880">
      <w:pPr>
        <w:pStyle w:val="Header2"/>
        <w:spacing w:before="120"/>
        <w:rPr>
          <w:rFonts w:eastAsia="PMingLiU"/>
          <w:sz w:val="28"/>
          <w:szCs w:val="21"/>
          <w:lang w:eastAsia="zh-CN"/>
        </w:rPr>
      </w:pPr>
      <w:r>
        <w:rPr>
          <w:sz w:val="28"/>
          <w:szCs w:val="21"/>
          <w:lang w:eastAsia="zh-CN"/>
        </w:rPr>
        <w:t>2</w:t>
      </w:r>
      <w:r>
        <w:rPr>
          <w:rFonts w:hint="eastAsia"/>
          <w:sz w:val="28"/>
          <w:szCs w:val="21"/>
          <w:lang w:eastAsia="zh-CN"/>
        </w:rPr>
        <w:t>、下周债市判断</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利率债：超储率8月份据估算下降至1%以下，存单利率不断走高，同时资金面略显紧张，在这个背景下，本周国债发行放量的传言导致利率快速上行，市场情绪极度悲观。那么，利率债的供给会不会导致资金利率再次大幅上行？</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回顾历史，历次利率债净融资高峰，央行均会进行流动性投放以平抑资金波动。本年6月和7月份稍特殊，是经济阶段改善同时前期降准导致资金极度宽松后的边际收紧，但是这种收紧表现在央行公开市场操作上也是相对克制的。这与央行提及的资金利率围绕政策利率波动是合意状态一致。此外，在资金面出现明显上行后，8月下半月央行持续进行资金投放，维持资金相对稳定的态度彰显无疑。</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此外，央行再次收紧货币，主要的触发因素只有下面几种：（1）经济过热，通胀快速上行；（2）部分市场，如地产和股票市场泡沫化明显；（3）金融监管力度加大；（4）汇率出现快速贬值。这些条件目前来看均不具备。</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综上，我们认为，伴随利率债融资放量，央行仍会进行适度货币投放，资金利率波动增加但是中枢再次大幅上移的概率不大。另外，9月也是财政支出发力的月份，财政投放亦将对银行间流动性起到补充作用。</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当下债市整体处于承压状态，8-10月利率债供给高峰下债市一级市场的承接能力依旧偏弱。短期内利率快速下跌突破关键点位，</w:t>
      </w:r>
      <w:r w:rsidR="00E27529">
        <w:rPr>
          <w:rFonts w:ascii="华文楷体" w:hAnsi="华文楷体" w:hint="eastAsia"/>
          <w:bCs/>
          <w:sz w:val="24"/>
          <w:szCs w:val="24"/>
          <w:lang w:eastAsia="zh-CN"/>
        </w:rPr>
        <w:t>蕴含市场</w:t>
      </w:r>
      <w:bookmarkStart w:id="2" w:name="_GoBack"/>
      <w:bookmarkEnd w:id="2"/>
      <w:r>
        <w:rPr>
          <w:rFonts w:ascii="华文楷体" w:hAnsi="华文楷体" w:hint="eastAsia"/>
          <w:bCs/>
          <w:sz w:val="24"/>
          <w:szCs w:val="24"/>
          <w:lang w:eastAsia="zh-CN"/>
        </w:rPr>
        <w:t>对于资金利率的恐慌情绪，其中存在一定的预期差。如果经济数据没有超预期的改善，利率债阶段性的交易价值或已经出现，可以谨慎博弈超跌反弹。</w:t>
      </w:r>
    </w:p>
    <w:p w:rsidR="00A36876" w:rsidRDefault="00EA6880">
      <w:pPr>
        <w:pStyle w:val="a9"/>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Pr>
          <w:rFonts w:ascii="华文楷体" w:eastAsia="华文楷体" w:hAnsi="华文楷体" w:cs="Times New Roman" w:hint="eastAsia"/>
          <w:bCs/>
        </w:rPr>
        <w:t>信用债：本周各期限品种利率上行</w:t>
      </w:r>
      <w:r>
        <w:rPr>
          <w:rFonts w:ascii="华文楷体" w:eastAsia="华文楷体" w:hAnsi="华文楷体" w:cs="Times New Roman"/>
          <w:bCs/>
        </w:rPr>
        <w:t>。</w:t>
      </w:r>
      <w:r>
        <w:rPr>
          <w:rFonts w:ascii="华文楷体" w:eastAsia="华文楷体" w:hAnsi="华文楷体" w:cs="Times New Roman" w:hint="eastAsia"/>
          <w:bCs/>
        </w:rPr>
        <w:t>整体来看，当前利率的绝对水平有一定基本面支撑，配置盘的绝对收益有一定保障，但后续经济边际改善叠加货币政策边际调整，票息策略仍然占优。高等级信用利差较窄，低等级信用利差拉大，后续需</w:t>
      </w:r>
      <w:r>
        <w:rPr>
          <w:rFonts w:ascii="华文楷体" w:eastAsia="华文楷体" w:hAnsi="华文楷体" w:cs="Times New Roman"/>
          <w:bCs/>
        </w:rPr>
        <w:t>关注信用风险暴露</w:t>
      </w:r>
      <w:r>
        <w:rPr>
          <w:rFonts w:ascii="华文楷体" w:eastAsia="华文楷体" w:hAnsi="华文楷体" w:cs="Times New Roman" w:hint="eastAsia"/>
          <w:bCs/>
        </w:rPr>
        <w:t>。</w:t>
      </w:r>
    </w:p>
    <w:p w:rsidR="00A36876" w:rsidRDefault="00EA688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可转债：本周权益市场震荡向上，板块调整明显，转债波动增加。建议继续关注半年报绩优、正股弹性和逻辑较强品种。</w:t>
      </w:r>
    </w:p>
    <w:p w:rsidR="00A36876" w:rsidRDefault="00A36876">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A36876">
        <w:trPr>
          <w:jc w:val="center"/>
        </w:trPr>
        <w:tc>
          <w:tcPr>
            <w:tcW w:w="4939" w:type="dxa"/>
            <w:vAlign w:val="center"/>
          </w:tcPr>
          <w:p w:rsidR="00A36876" w:rsidRDefault="00EA6880">
            <w:pPr>
              <w:pStyle w:val="ChartHeading"/>
              <w:jc w:val="both"/>
            </w:pPr>
            <w:r>
              <w:rPr>
                <w:rFonts w:hint="eastAsia"/>
              </w:rPr>
              <w:lastRenderedPageBreak/>
              <w:t>图表</w:t>
            </w:r>
            <w:r>
              <w:t>.</w:t>
            </w:r>
            <w:r>
              <w:rPr>
                <w:rFonts w:hint="eastAsia"/>
              </w:rPr>
              <w:t>主要钢材库存略有累积</w:t>
            </w:r>
          </w:p>
        </w:tc>
        <w:tc>
          <w:tcPr>
            <w:tcW w:w="4938" w:type="dxa"/>
            <w:vAlign w:val="center"/>
          </w:tcPr>
          <w:p w:rsidR="00A36876" w:rsidRDefault="00EA6880">
            <w:pPr>
              <w:pStyle w:val="ChartHeading"/>
              <w:jc w:val="both"/>
            </w:pPr>
            <w:r>
              <w:rPr>
                <w:rFonts w:hint="eastAsia"/>
              </w:rPr>
              <w:t>图表</w:t>
            </w:r>
            <w:r>
              <w:t xml:space="preserve">. </w:t>
            </w:r>
            <w:r>
              <w:rPr>
                <w:rFonts w:hint="eastAsia"/>
              </w:rPr>
              <w:t>水泥价格小幅上涨</w:t>
            </w:r>
          </w:p>
        </w:tc>
      </w:tr>
      <w:tr w:rsidR="00A36876">
        <w:tblPrEx>
          <w:tblCellMar>
            <w:left w:w="108" w:type="dxa"/>
            <w:right w:w="108" w:type="dxa"/>
          </w:tblCellMar>
        </w:tblPrEx>
        <w:trPr>
          <w:jc w:val="center"/>
        </w:trPr>
        <w:tc>
          <w:tcPr>
            <w:tcW w:w="4939" w:type="dxa"/>
            <w:vAlign w:val="center"/>
          </w:tcPr>
          <w:p w:rsidR="00A36876" w:rsidRDefault="00EA6880">
            <w:pPr>
              <w:jc w:val="center"/>
            </w:pPr>
            <w:r>
              <w:rPr>
                <w:noProof/>
              </w:rPr>
              <w:drawing>
                <wp:inline distT="0" distB="0" distL="0" distR="0">
                  <wp:extent cx="2999105" cy="1717675"/>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rsidR="00A36876" w:rsidRDefault="00EA6880">
            <w:pPr>
              <w:jc w:val="center"/>
              <w:rPr>
                <w:szCs w:val="18"/>
              </w:rPr>
            </w:pPr>
            <w:r>
              <w:rPr>
                <w:noProof/>
              </w:rPr>
              <w:drawing>
                <wp:inline distT="0" distB="0" distL="0" distR="0">
                  <wp:extent cx="2998470" cy="1736090"/>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A36876">
        <w:trPr>
          <w:trHeight w:val="64"/>
          <w:jc w:val="center"/>
        </w:trPr>
        <w:tc>
          <w:tcPr>
            <w:tcW w:w="4939" w:type="dxa"/>
            <w:vAlign w:val="center"/>
          </w:tcPr>
          <w:p w:rsidR="00A36876" w:rsidRDefault="00EA6880">
            <w:pPr>
              <w:pStyle w:val="Source"/>
              <w:jc w:val="both"/>
              <w:rPr>
                <w:kern w:val="0"/>
              </w:rPr>
            </w:pPr>
            <w:r>
              <w:rPr>
                <w:rFonts w:hint="eastAsia"/>
                <w:kern w:val="0"/>
              </w:rPr>
              <w:t>资料来源：万得，富荣基金</w:t>
            </w:r>
          </w:p>
        </w:tc>
        <w:tc>
          <w:tcPr>
            <w:tcW w:w="4938" w:type="dxa"/>
            <w:vAlign w:val="center"/>
          </w:tcPr>
          <w:p w:rsidR="00A36876" w:rsidRDefault="00EA6880">
            <w:pPr>
              <w:pStyle w:val="Source"/>
              <w:jc w:val="both"/>
              <w:rPr>
                <w:kern w:val="0"/>
              </w:rPr>
            </w:pPr>
            <w:r>
              <w:rPr>
                <w:rFonts w:hint="eastAsia"/>
                <w:kern w:val="0"/>
              </w:rPr>
              <w:t>资料来源：万得，富荣基金</w:t>
            </w:r>
          </w:p>
        </w:tc>
      </w:tr>
    </w:tbl>
    <w:p w:rsidR="00A36876" w:rsidRDefault="00A36876">
      <w:pPr>
        <w:pStyle w:val="Body-text"/>
        <w:spacing w:after="0"/>
        <w:rPr>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A36876">
        <w:trPr>
          <w:jc w:val="center"/>
        </w:trPr>
        <w:tc>
          <w:tcPr>
            <w:tcW w:w="4939" w:type="dxa"/>
            <w:vAlign w:val="center"/>
          </w:tcPr>
          <w:p w:rsidR="00A36876" w:rsidRDefault="00EA6880">
            <w:pPr>
              <w:pStyle w:val="ChartHeading"/>
              <w:jc w:val="both"/>
            </w:pPr>
            <w:r>
              <w:rPr>
                <w:rFonts w:hint="eastAsia"/>
              </w:rPr>
              <w:t>图表</w:t>
            </w:r>
            <w:r>
              <w:t xml:space="preserve">. </w:t>
            </w:r>
            <w:r>
              <w:rPr>
                <w:rFonts w:hint="eastAsia"/>
              </w:rPr>
              <w:t>南华</w:t>
            </w:r>
            <w:r>
              <w:t>工业品指数</w:t>
            </w:r>
            <w:r>
              <w:rPr>
                <w:rFonts w:hint="eastAsia"/>
              </w:rPr>
              <w:t>回升</w:t>
            </w:r>
          </w:p>
        </w:tc>
        <w:tc>
          <w:tcPr>
            <w:tcW w:w="4938" w:type="dxa"/>
            <w:vAlign w:val="center"/>
          </w:tcPr>
          <w:p w:rsidR="00A36876" w:rsidRDefault="00EA6880">
            <w:pPr>
              <w:pStyle w:val="ChartHeading"/>
              <w:jc w:val="both"/>
            </w:pPr>
            <w:r>
              <w:rPr>
                <w:rFonts w:hint="eastAsia"/>
              </w:rPr>
              <w:t>图表</w:t>
            </w:r>
            <w:r>
              <w:t xml:space="preserve">. </w:t>
            </w:r>
            <w:r>
              <w:rPr>
                <w:rFonts w:hint="eastAsia"/>
              </w:rPr>
              <w:t>原油价格相对平稳</w:t>
            </w:r>
          </w:p>
        </w:tc>
      </w:tr>
      <w:tr w:rsidR="00A36876">
        <w:tblPrEx>
          <w:tblCellMar>
            <w:left w:w="108" w:type="dxa"/>
            <w:right w:w="108" w:type="dxa"/>
          </w:tblCellMar>
        </w:tblPrEx>
        <w:trPr>
          <w:jc w:val="center"/>
        </w:trPr>
        <w:tc>
          <w:tcPr>
            <w:tcW w:w="4939" w:type="dxa"/>
            <w:vAlign w:val="center"/>
          </w:tcPr>
          <w:p w:rsidR="00A36876" w:rsidRDefault="00EA6880">
            <w:pPr>
              <w:jc w:val="center"/>
            </w:pPr>
            <w:r>
              <w:rPr>
                <w:noProof/>
              </w:rPr>
              <w:drawing>
                <wp:inline distT="0" distB="0" distL="0" distR="0">
                  <wp:extent cx="2999105" cy="1710055"/>
                  <wp:effectExtent l="0" t="0" r="0" b="4445"/>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rsidR="00A36876" w:rsidRDefault="00EA6880">
            <w:pPr>
              <w:jc w:val="center"/>
              <w:rPr>
                <w:sz w:val="14"/>
                <w:szCs w:val="14"/>
              </w:rPr>
            </w:pPr>
            <w:r>
              <w:rPr>
                <w:noProof/>
              </w:rPr>
              <w:drawing>
                <wp:inline distT="0" distB="0" distL="0" distR="0">
                  <wp:extent cx="2998470" cy="1791335"/>
                  <wp:effectExtent l="0" t="0" r="0" b="0"/>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A36876">
        <w:trPr>
          <w:trHeight w:val="64"/>
          <w:jc w:val="center"/>
        </w:trPr>
        <w:tc>
          <w:tcPr>
            <w:tcW w:w="4939" w:type="dxa"/>
            <w:vAlign w:val="center"/>
          </w:tcPr>
          <w:p w:rsidR="00A36876" w:rsidRDefault="00EA6880">
            <w:pPr>
              <w:pStyle w:val="Source"/>
              <w:jc w:val="both"/>
              <w:rPr>
                <w:kern w:val="0"/>
              </w:rPr>
            </w:pPr>
            <w:r>
              <w:rPr>
                <w:rFonts w:hint="eastAsia"/>
                <w:kern w:val="0"/>
              </w:rPr>
              <w:t>资料来源：万得，富荣基金</w:t>
            </w:r>
          </w:p>
        </w:tc>
        <w:tc>
          <w:tcPr>
            <w:tcW w:w="4938" w:type="dxa"/>
            <w:vAlign w:val="center"/>
          </w:tcPr>
          <w:p w:rsidR="00A36876" w:rsidRDefault="00EA6880">
            <w:pPr>
              <w:pStyle w:val="Source"/>
              <w:jc w:val="both"/>
              <w:rPr>
                <w:kern w:val="0"/>
              </w:rPr>
            </w:pPr>
            <w:r>
              <w:rPr>
                <w:rFonts w:hint="eastAsia"/>
                <w:kern w:val="0"/>
              </w:rPr>
              <w:t>资料来源：万得，富荣基金</w:t>
            </w:r>
          </w:p>
        </w:tc>
      </w:tr>
    </w:tbl>
    <w:p w:rsidR="00A36876" w:rsidRDefault="00A36876">
      <w:pPr>
        <w:pStyle w:val="Body-text"/>
        <w:spacing w:after="0"/>
        <w:rPr>
          <w:rFonts w:ascii="华文楷体" w:hAnsi="华文楷体"/>
          <w:sz w:val="24"/>
          <w:szCs w:val="24"/>
          <w:lang w:eastAsia="zh-CN"/>
        </w:rPr>
      </w:pPr>
    </w:p>
    <w:p w:rsidR="00A36876" w:rsidRDefault="00EA6880">
      <w:pPr>
        <w:widowControl/>
        <w:jc w:val="left"/>
      </w:pPr>
      <w:r>
        <w:br w:type="page"/>
      </w:r>
    </w:p>
    <w:p w:rsidR="00A36876" w:rsidRDefault="00A36876">
      <w:pPr>
        <w:widowControl/>
        <w:ind w:firstLineChars="200" w:firstLine="420"/>
      </w:pPr>
    </w:p>
    <w:p w:rsidR="00A36876" w:rsidRDefault="00EA6880">
      <w:pPr>
        <w:widowControl/>
        <w:jc w:val="center"/>
        <w:rPr>
          <w:rFonts w:ascii="黑体" w:eastAsia="黑体"/>
          <w:b/>
          <w:sz w:val="24"/>
          <w:szCs w:val="24"/>
        </w:rPr>
      </w:pPr>
      <w:r>
        <w:rPr>
          <w:rFonts w:ascii="黑体" w:eastAsia="黑体" w:hint="eastAsia"/>
          <w:b/>
          <w:sz w:val="24"/>
          <w:szCs w:val="24"/>
        </w:rPr>
        <w:t>免责声明</w:t>
      </w:r>
    </w:p>
    <w:p w:rsidR="00A36876" w:rsidRDefault="00A36876">
      <w:pPr>
        <w:widowControl/>
        <w:jc w:val="center"/>
        <w:rPr>
          <w:rFonts w:ascii="黑体" w:eastAsia="黑体"/>
          <w:b/>
          <w:sz w:val="24"/>
          <w:szCs w:val="24"/>
        </w:rPr>
      </w:pPr>
    </w:p>
    <w:p w:rsidR="00A36876" w:rsidRDefault="00EA6880">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p>
    <w:p w:rsidR="00A36876" w:rsidRDefault="00EA6880">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本报告中的资料、观点和预测等仅作为富荣基金内部培训、向机构客户和渠道路演交流使用，在任何时候均不构成对任何人的个人推荐。请勿外传。</w:t>
      </w:r>
    </w:p>
    <w:p w:rsidR="00A36876" w:rsidRDefault="00A36876">
      <w:pPr>
        <w:pStyle w:val="Body-text"/>
        <w:ind w:firstLineChars="200" w:firstLine="480"/>
        <w:rPr>
          <w:rFonts w:ascii="华文楷体" w:hAnsi="华文楷体"/>
          <w:sz w:val="24"/>
          <w:szCs w:val="24"/>
          <w:lang w:eastAsia="zh-CN"/>
        </w:rPr>
      </w:pPr>
    </w:p>
    <w:sectPr w:rsidR="00A36876">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D8F" w:rsidRDefault="00473D8F">
      <w:r>
        <w:separator/>
      </w:r>
    </w:p>
  </w:endnote>
  <w:endnote w:type="continuationSeparator" w:id="0">
    <w:p w:rsidR="00473D8F" w:rsidRDefault="00473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default"/>
    <w:sig w:usb0="00000000" w:usb1="38CF7CFA" w:usb2="00000016" w:usb3="00000000" w:csb0="0004000F" w:csb1="00000000"/>
  </w:font>
  <w:font w:name="等线 Light">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AutoText"/>
      </w:docPartObj>
    </w:sdtPr>
    <w:sdtEndPr/>
    <w:sdtContent>
      <w:p w:rsidR="00A36876" w:rsidRDefault="00EA6880">
        <w:pPr>
          <w:pStyle w:val="a7"/>
          <w:jc w:val="right"/>
        </w:pPr>
        <w:r>
          <w:fldChar w:fldCharType="begin"/>
        </w:r>
        <w:r>
          <w:instrText>PAGE   \* MERGEFORMAT</w:instrText>
        </w:r>
        <w:r>
          <w:fldChar w:fldCharType="separate"/>
        </w:r>
        <w:r w:rsidR="00E27529" w:rsidRPr="00E27529">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D8F" w:rsidRDefault="00473D8F">
      <w:r>
        <w:separator/>
      </w:r>
    </w:p>
  </w:footnote>
  <w:footnote w:type="continuationSeparator" w:id="0">
    <w:p w:rsidR="00473D8F" w:rsidRDefault="00473D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6876" w:rsidRDefault="00EA6880">
    <w:pPr>
      <w:pStyle w:val="a8"/>
      <w:jc w:val="left"/>
    </w:pPr>
    <w:r>
      <w:rPr>
        <w:noProof/>
      </w:rPr>
      <w:drawing>
        <wp:inline distT="0" distB="0" distL="0" distR="0">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12140" cy="53276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67"/>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03"/>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C2A"/>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590"/>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418"/>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3D8F"/>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293"/>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2A"/>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B2D"/>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7F"/>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795"/>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6876"/>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1A6E"/>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9A1"/>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036"/>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4F43"/>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4E3"/>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A9B"/>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529"/>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880"/>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2C"/>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13D"/>
    <w:rsid w:val="00FF6233"/>
    <w:rsid w:val="00FF6527"/>
    <w:rsid w:val="00FF654F"/>
    <w:rsid w:val="00FF67B9"/>
    <w:rsid w:val="00FF68DF"/>
    <w:rsid w:val="00FF6919"/>
    <w:rsid w:val="00FF6C53"/>
    <w:rsid w:val="00FF723B"/>
    <w:rsid w:val="00FF72A1"/>
    <w:rsid w:val="00FF7545"/>
    <w:rsid w:val="00FF7903"/>
    <w:rsid w:val="00FF7D42"/>
    <w:rsid w:val="00FF7D79"/>
    <w:rsid w:val="702136A8"/>
    <w:rsid w:val="79C57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qFormat/>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qFormat/>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1.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4701;&#36164;&#19982;&#25237;&#25918;.xlsx"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oleObject" Target="file:///E:\ssssb\&#21608;&#25253;&#25968;&#25454;&#34920;.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oleObject" Target="file:///E:\ssssb\&#21608;&#25253;&#25968;&#25454;&#34920;.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'净融资-月'!$E$1</c:f>
              <c:strCache>
                <c:ptCount val="1"/>
                <c:pt idx="0">
                  <c:v>净融资额(亿元)</c:v>
                </c:pt>
              </c:strCache>
            </c:strRef>
          </c:tx>
          <c:spPr>
            <a:solidFill>
              <a:schemeClr val="accent1"/>
            </a:solidFill>
            <a:ln>
              <a:noFill/>
            </a:ln>
            <a:effectLst/>
          </c:spPr>
          <c:invertIfNegative val="0"/>
          <c:cat>
            <c:numRef>
              <c:f>'净融资-月'!$A$195:$A$213</c:f>
              <c:numCache>
                <c:formatCode>yyyy\-mm\-dd</c:formatCode>
                <c:ptCount val="19"/>
                <c:pt idx="0">
                  <c:v>43497</c:v>
                </c:pt>
                <c:pt idx="1">
                  <c:v>43525</c:v>
                </c:pt>
                <c:pt idx="2">
                  <c:v>43556</c:v>
                </c:pt>
                <c:pt idx="3">
                  <c:v>43586</c:v>
                </c:pt>
                <c:pt idx="4">
                  <c:v>43617</c:v>
                </c:pt>
                <c:pt idx="5">
                  <c:v>43647</c:v>
                </c:pt>
                <c:pt idx="6">
                  <c:v>43678</c:v>
                </c:pt>
                <c:pt idx="7">
                  <c:v>43709</c:v>
                </c:pt>
                <c:pt idx="8">
                  <c:v>43739</c:v>
                </c:pt>
                <c:pt idx="9">
                  <c:v>43770</c:v>
                </c:pt>
                <c:pt idx="10">
                  <c:v>43800</c:v>
                </c:pt>
                <c:pt idx="11">
                  <c:v>43831</c:v>
                </c:pt>
                <c:pt idx="12">
                  <c:v>43862</c:v>
                </c:pt>
                <c:pt idx="13">
                  <c:v>43891</c:v>
                </c:pt>
                <c:pt idx="14">
                  <c:v>43922</c:v>
                </c:pt>
                <c:pt idx="15">
                  <c:v>43952</c:v>
                </c:pt>
                <c:pt idx="16">
                  <c:v>43983</c:v>
                </c:pt>
                <c:pt idx="17">
                  <c:v>44013</c:v>
                </c:pt>
                <c:pt idx="18">
                  <c:v>44044</c:v>
                </c:pt>
              </c:numCache>
              <c:extLst>
                <c:ext xmlns:c15="http://schemas.microsoft.com/office/drawing/2012/chart" uri="{02D57815-91ED-43cb-92C2-25804820EDAC}">
                  <c15:fullRef>
                    <c15:sqref>'净融资-月'!$A$194:$A$213</c15:sqref>
                  </c15:fullRef>
                </c:ext>
              </c:extLst>
            </c:numRef>
          </c:cat>
          <c:val>
            <c:numRef>
              <c:f>'净融资-月'!$E$195:$E$213</c:f>
              <c:numCache>
                <c:formatCode>#,##0.00</c:formatCode>
                <c:ptCount val="19"/>
                <c:pt idx="0">
                  <c:v>4928.4276</c:v>
                </c:pt>
                <c:pt idx="1">
                  <c:v>4765.8732</c:v>
                </c:pt>
                <c:pt idx="2">
                  <c:v>2875.5805</c:v>
                </c:pt>
                <c:pt idx="3">
                  <c:v>6124.3326999999999</c:v>
                </c:pt>
                <c:pt idx="4">
                  <c:v>9708.8246999999901</c:v>
                </c:pt>
                <c:pt idx="5">
                  <c:v>5825.116</c:v>
                </c:pt>
                <c:pt idx="6">
                  <c:v>7856.7141000000001</c:v>
                </c:pt>
                <c:pt idx="7">
                  <c:v>3415.1714999999999</c:v>
                </c:pt>
                <c:pt idx="8">
                  <c:v>2864.3546000000001</c:v>
                </c:pt>
                <c:pt idx="9">
                  <c:v>2849.3463000000002</c:v>
                </c:pt>
                <c:pt idx="10">
                  <c:v>4602.6605</c:v>
                </c:pt>
                <c:pt idx="11">
                  <c:v>6615.9378000000097</c:v>
                </c:pt>
                <c:pt idx="12">
                  <c:v>6095.72</c:v>
                </c:pt>
                <c:pt idx="13">
                  <c:v>7556.6128000000099</c:v>
                </c:pt>
                <c:pt idx="14">
                  <c:v>3001.2261000000099</c:v>
                </c:pt>
                <c:pt idx="15">
                  <c:v>18693.921999999999</c:v>
                </c:pt>
                <c:pt idx="16">
                  <c:v>8862.7785999999996</c:v>
                </c:pt>
                <c:pt idx="17">
                  <c:v>9977.2822000000106</c:v>
                </c:pt>
                <c:pt idx="18">
                  <c:v>15603.702799999999</c:v>
                </c:pt>
              </c:numCache>
              <c:extLst>
                <c:ext xmlns:c15="http://schemas.microsoft.com/office/drawing/2012/chart" uri="{02D57815-91ED-43cb-92C2-25804820EDAC}">
                  <c15:fullRef>
                    <c15:sqref>'净融资-月'!$E$194:$E$213</c15:sqref>
                  </c15:fullRef>
                </c:ext>
              </c:extLst>
            </c:numRef>
          </c:val>
        </c:ser>
        <c:dLbls>
          <c:showLegendKey val="0"/>
          <c:showVal val="0"/>
          <c:showCatName val="0"/>
          <c:showSerName val="0"/>
          <c:showPercent val="0"/>
          <c:showBubbleSize val="0"/>
        </c:dLbls>
        <c:gapWidth val="150"/>
        <c:axId val="336128256"/>
        <c:axId val="336130432"/>
      </c:barChart>
      <c:lineChart>
        <c:grouping val="standard"/>
        <c:varyColors val="0"/>
        <c:ser>
          <c:idx val="1"/>
          <c:order val="1"/>
          <c:tx>
            <c:strRef>
              <c:f>'净融资-月'!$N$1</c:f>
              <c:strCache>
                <c:ptCount val="1"/>
                <c:pt idx="0">
                  <c:v>净投放量</c:v>
                </c:pt>
              </c:strCache>
            </c:strRef>
          </c:tx>
          <c:spPr>
            <a:ln w="15875" cap="rnd">
              <a:solidFill>
                <a:schemeClr val="accent2"/>
              </a:solidFill>
              <a:round/>
            </a:ln>
            <a:effectLst/>
          </c:spPr>
          <c:marker>
            <c:symbol val="diamond"/>
            <c:size val="5"/>
            <c:spPr>
              <a:solidFill>
                <a:schemeClr val="accent2"/>
              </a:solidFill>
              <a:ln w="9525">
                <a:solidFill>
                  <a:schemeClr val="accent2"/>
                </a:solidFill>
              </a:ln>
              <a:effectLst/>
            </c:spPr>
          </c:marker>
          <c:cat>
            <c:numRef>
              <c:f>'净融资-月'!$A$195:$A$213</c:f>
              <c:numCache>
                <c:formatCode>yyyy\-mm\-dd</c:formatCode>
                <c:ptCount val="19"/>
                <c:pt idx="0">
                  <c:v>43497</c:v>
                </c:pt>
                <c:pt idx="1">
                  <c:v>43525</c:v>
                </c:pt>
                <c:pt idx="2">
                  <c:v>43556</c:v>
                </c:pt>
                <c:pt idx="3">
                  <c:v>43586</c:v>
                </c:pt>
                <c:pt idx="4">
                  <c:v>43617</c:v>
                </c:pt>
                <c:pt idx="5">
                  <c:v>43647</c:v>
                </c:pt>
                <c:pt idx="6">
                  <c:v>43678</c:v>
                </c:pt>
                <c:pt idx="7">
                  <c:v>43709</c:v>
                </c:pt>
                <c:pt idx="8">
                  <c:v>43739</c:v>
                </c:pt>
                <c:pt idx="9">
                  <c:v>43770</c:v>
                </c:pt>
                <c:pt idx="10">
                  <c:v>43800</c:v>
                </c:pt>
                <c:pt idx="11">
                  <c:v>43831</c:v>
                </c:pt>
                <c:pt idx="12">
                  <c:v>43862</c:v>
                </c:pt>
                <c:pt idx="13">
                  <c:v>43891</c:v>
                </c:pt>
                <c:pt idx="14">
                  <c:v>43922</c:v>
                </c:pt>
                <c:pt idx="15">
                  <c:v>43952</c:v>
                </c:pt>
                <c:pt idx="16">
                  <c:v>43983</c:v>
                </c:pt>
                <c:pt idx="17">
                  <c:v>44013</c:v>
                </c:pt>
                <c:pt idx="18">
                  <c:v>44044</c:v>
                </c:pt>
              </c:numCache>
              <c:extLst>
                <c:ext xmlns:c15="http://schemas.microsoft.com/office/drawing/2012/chart" uri="{02D57815-91ED-43cb-92C2-25804820EDAC}">
                  <c15:fullRef>
                    <c15:sqref>'净融资-月'!$A$194:$A$213</c15:sqref>
                  </c15:fullRef>
                </c:ext>
              </c:extLst>
            </c:numRef>
          </c:cat>
          <c:val>
            <c:numRef>
              <c:f>'净融资-月'!$N$195:$N$214</c:f>
              <c:numCache>
                <c:formatCode>#,##0.0000</c:formatCode>
                <c:ptCount val="20"/>
                <c:pt idx="0">
                  <c:v>-7330</c:v>
                </c:pt>
                <c:pt idx="1">
                  <c:v>-6925</c:v>
                </c:pt>
                <c:pt idx="2">
                  <c:v>999</c:v>
                </c:pt>
                <c:pt idx="3">
                  <c:v>5740</c:v>
                </c:pt>
                <c:pt idx="4">
                  <c:v>1070</c:v>
                </c:pt>
                <c:pt idx="5">
                  <c:v>-5528</c:v>
                </c:pt>
                <c:pt idx="6">
                  <c:v>1580</c:v>
                </c:pt>
                <c:pt idx="7">
                  <c:v>-615</c:v>
                </c:pt>
                <c:pt idx="8">
                  <c:v>-900</c:v>
                </c:pt>
                <c:pt idx="9">
                  <c:v>1665</c:v>
                </c:pt>
                <c:pt idx="10">
                  <c:v>7265</c:v>
                </c:pt>
                <c:pt idx="11">
                  <c:v>2630</c:v>
                </c:pt>
                <c:pt idx="12">
                  <c:v>-3800</c:v>
                </c:pt>
                <c:pt idx="13">
                  <c:v>1700</c:v>
                </c:pt>
                <c:pt idx="14">
                  <c:v>-3813</c:v>
                </c:pt>
                <c:pt idx="15">
                  <c:v>5700</c:v>
                </c:pt>
                <c:pt idx="16">
                  <c:v>-5600</c:v>
                </c:pt>
                <c:pt idx="17">
                  <c:v>-6677</c:v>
                </c:pt>
                <c:pt idx="18">
                  <c:v>4800</c:v>
                </c:pt>
              </c:numCache>
              <c:extLst>
                <c:ext xmlns:c15="http://schemas.microsoft.com/office/drawing/2012/chart" uri="{02D57815-91ED-43cb-92C2-25804820EDAC}">
                  <c15:fullRef>
                    <c15:sqref>'净融资-月'!$N$194:$N$214</c15:sqref>
                  </c15:fullRef>
                </c:ext>
              </c:extLst>
            </c:numRef>
          </c:val>
          <c:smooth val="0"/>
        </c:ser>
        <c:dLbls>
          <c:showLegendKey val="0"/>
          <c:showVal val="0"/>
          <c:showCatName val="0"/>
          <c:showSerName val="0"/>
          <c:showPercent val="0"/>
          <c:showBubbleSize val="0"/>
        </c:dLbls>
        <c:marker val="1"/>
        <c:smooth val="0"/>
        <c:axId val="336128256"/>
        <c:axId val="336130432"/>
      </c:lineChart>
      <c:dateAx>
        <c:axId val="336128256"/>
        <c:scaling>
          <c:orientation val="minMax"/>
        </c:scaling>
        <c:delete val="0"/>
        <c:axPos val="b"/>
        <c:numFmt formatCode="yy\-mm;@" sourceLinked="0"/>
        <c:majorTickMark val="none"/>
        <c:minorTickMark val="none"/>
        <c:tickLblPos val="low"/>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6130432"/>
        <c:crosses val="autoZero"/>
        <c:auto val="1"/>
        <c:lblOffset val="100"/>
        <c:baseTimeUnit val="months"/>
      </c:dateAx>
      <c:valAx>
        <c:axId val="336130432"/>
        <c:scaling>
          <c:orientation val="minMax"/>
        </c:scaling>
        <c:delete val="0"/>
        <c:axPos val="l"/>
        <c:numFmt formatCode="#,##0.00" sourceLinked="1"/>
        <c:majorTickMark val="out"/>
        <c:minorTickMark val="none"/>
        <c:tickLblPos val="nextTo"/>
        <c:spPr>
          <a:noFill/>
          <a:ln w="3175">
            <a:solidFill>
              <a:schemeClr val="bg1">
                <a:lumMod val="50000"/>
              </a:schemeClr>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6128256"/>
        <c:crosses val="autoZero"/>
        <c:crossBetween val="between"/>
      </c:valAx>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9.8077063283756205E-2"/>
          <c:w val="0.86467847769028905"/>
          <c:h val="0.82798009623796998"/>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43917</c:v>
                </c:pt>
                <c:pt idx="1">
                  <c:v>43924</c:v>
                </c:pt>
                <c:pt idx="2">
                  <c:v>43931</c:v>
                </c:pt>
                <c:pt idx="3">
                  <c:v>43938</c:v>
                </c:pt>
                <c:pt idx="4">
                  <c:v>43945</c:v>
                </c:pt>
                <c:pt idx="5">
                  <c:v>43952</c:v>
                </c:pt>
                <c:pt idx="6">
                  <c:v>43959</c:v>
                </c:pt>
                <c:pt idx="7">
                  <c:v>43966</c:v>
                </c:pt>
                <c:pt idx="8">
                  <c:v>43973</c:v>
                </c:pt>
                <c:pt idx="9">
                  <c:v>43980</c:v>
                </c:pt>
                <c:pt idx="10">
                  <c:v>43987</c:v>
                </c:pt>
                <c:pt idx="11">
                  <c:v>43994</c:v>
                </c:pt>
                <c:pt idx="12">
                  <c:v>44001</c:v>
                </c:pt>
                <c:pt idx="13">
                  <c:v>44008</c:v>
                </c:pt>
                <c:pt idx="14">
                  <c:v>44015</c:v>
                </c:pt>
                <c:pt idx="15">
                  <c:v>44022</c:v>
                </c:pt>
                <c:pt idx="16">
                  <c:v>44029</c:v>
                </c:pt>
                <c:pt idx="17">
                  <c:v>44036</c:v>
                </c:pt>
                <c:pt idx="18">
                  <c:v>44043</c:v>
                </c:pt>
                <c:pt idx="19">
                  <c:v>44050</c:v>
                </c:pt>
                <c:pt idx="20">
                  <c:v>44057</c:v>
                </c:pt>
                <c:pt idx="21">
                  <c:v>44064</c:v>
                </c:pt>
                <c:pt idx="22">
                  <c:v>44071</c:v>
                </c:pt>
              </c:numCache>
            </c:numRef>
          </c:cat>
          <c:val>
            <c:numRef>
              <c:f>央行!$B$5:$B$27</c:f>
              <c:numCache>
                <c:formatCode>###,###,###,###,##0.00</c:formatCode>
                <c:ptCount val="23"/>
                <c:pt idx="0">
                  <c:v>60</c:v>
                </c:pt>
                <c:pt idx="1">
                  <c:v>700</c:v>
                </c:pt>
                <c:pt idx="2">
                  <c:v>0</c:v>
                </c:pt>
                <c:pt idx="3">
                  <c:v>0</c:v>
                </c:pt>
                <c:pt idx="4">
                  <c:v>60</c:v>
                </c:pt>
                <c:pt idx="5">
                  <c:v>0</c:v>
                </c:pt>
                <c:pt idx="6">
                  <c:v>0</c:v>
                </c:pt>
                <c:pt idx="7">
                  <c:v>0</c:v>
                </c:pt>
                <c:pt idx="8">
                  <c:v>0</c:v>
                </c:pt>
                <c:pt idx="9">
                  <c:v>6750</c:v>
                </c:pt>
                <c:pt idx="10">
                  <c:v>2200</c:v>
                </c:pt>
                <c:pt idx="11">
                  <c:v>4200</c:v>
                </c:pt>
                <c:pt idx="12">
                  <c:v>3000</c:v>
                </c:pt>
                <c:pt idx="13">
                  <c:v>5050</c:v>
                </c:pt>
                <c:pt idx="14">
                  <c:v>1025</c:v>
                </c:pt>
                <c:pt idx="15">
                  <c:v>0</c:v>
                </c:pt>
                <c:pt idx="16">
                  <c:v>3300</c:v>
                </c:pt>
                <c:pt idx="17">
                  <c:v>1650</c:v>
                </c:pt>
                <c:pt idx="18">
                  <c:v>2800</c:v>
                </c:pt>
                <c:pt idx="19">
                  <c:v>100</c:v>
                </c:pt>
                <c:pt idx="20">
                  <c:v>5000</c:v>
                </c:pt>
                <c:pt idx="21">
                  <c:v>6600</c:v>
                </c:pt>
                <c:pt idx="22">
                  <c:v>8150</c:v>
                </c:pt>
              </c:numCache>
            </c:numRef>
          </c:val>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43917</c:v>
                </c:pt>
                <c:pt idx="1">
                  <c:v>43924</c:v>
                </c:pt>
                <c:pt idx="2">
                  <c:v>43931</c:v>
                </c:pt>
                <c:pt idx="3">
                  <c:v>43938</c:v>
                </c:pt>
                <c:pt idx="4">
                  <c:v>43945</c:v>
                </c:pt>
                <c:pt idx="5">
                  <c:v>43952</c:v>
                </c:pt>
                <c:pt idx="6">
                  <c:v>43959</c:v>
                </c:pt>
                <c:pt idx="7">
                  <c:v>43966</c:v>
                </c:pt>
                <c:pt idx="8">
                  <c:v>43973</c:v>
                </c:pt>
                <c:pt idx="9">
                  <c:v>43980</c:v>
                </c:pt>
                <c:pt idx="10">
                  <c:v>43987</c:v>
                </c:pt>
                <c:pt idx="11">
                  <c:v>43994</c:v>
                </c:pt>
                <c:pt idx="12">
                  <c:v>44001</c:v>
                </c:pt>
                <c:pt idx="13">
                  <c:v>44008</c:v>
                </c:pt>
                <c:pt idx="14">
                  <c:v>44015</c:v>
                </c:pt>
                <c:pt idx="15">
                  <c:v>44022</c:v>
                </c:pt>
                <c:pt idx="16">
                  <c:v>44029</c:v>
                </c:pt>
                <c:pt idx="17">
                  <c:v>44036</c:v>
                </c:pt>
                <c:pt idx="18">
                  <c:v>44043</c:v>
                </c:pt>
                <c:pt idx="19">
                  <c:v>44050</c:v>
                </c:pt>
                <c:pt idx="20">
                  <c:v>44057</c:v>
                </c:pt>
                <c:pt idx="21">
                  <c:v>44064</c:v>
                </c:pt>
                <c:pt idx="22">
                  <c:v>44071</c:v>
                </c:pt>
              </c:numCache>
            </c:numRef>
          </c:cat>
          <c:val>
            <c:numRef>
              <c:f>央行!$C$5:$C$27</c:f>
              <c:numCache>
                <c:formatCode>###,###,###,###,##0.00</c:formatCode>
                <c:ptCount val="23"/>
                <c:pt idx="0">
                  <c:v>-50</c:v>
                </c:pt>
                <c:pt idx="1">
                  <c:v>0</c:v>
                </c:pt>
                <c:pt idx="2">
                  <c:v>-700</c:v>
                </c:pt>
                <c:pt idx="3">
                  <c:v>0</c:v>
                </c:pt>
                <c:pt idx="4">
                  <c:v>-50</c:v>
                </c:pt>
                <c:pt idx="5">
                  <c:v>0</c:v>
                </c:pt>
                <c:pt idx="6">
                  <c:v>0</c:v>
                </c:pt>
                <c:pt idx="7">
                  <c:v>0</c:v>
                </c:pt>
                <c:pt idx="8">
                  <c:v>0</c:v>
                </c:pt>
                <c:pt idx="9">
                  <c:v>-50</c:v>
                </c:pt>
                <c:pt idx="10">
                  <c:v>-6700</c:v>
                </c:pt>
                <c:pt idx="11">
                  <c:v>-2200</c:v>
                </c:pt>
                <c:pt idx="12">
                  <c:v>-4200</c:v>
                </c:pt>
                <c:pt idx="13">
                  <c:v>-1200</c:v>
                </c:pt>
                <c:pt idx="14">
                  <c:v>-4950</c:v>
                </c:pt>
                <c:pt idx="15">
                  <c:v>-2900</c:v>
                </c:pt>
                <c:pt idx="16">
                  <c:v>0</c:v>
                </c:pt>
                <c:pt idx="17">
                  <c:v>-3300</c:v>
                </c:pt>
                <c:pt idx="18">
                  <c:v>-1650</c:v>
                </c:pt>
                <c:pt idx="19">
                  <c:v>-2800</c:v>
                </c:pt>
                <c:pt idx="20">
                  <c:v>-100</c:v>
                </c:pt>
                <c:pt idx="21">
                  <c:v>-5000</c:v>
                </c:pt>
                <c:pt idx="22">
                  <c:v>-6150</c:v>
                </c:pt>
              </c:numCache>
            </c:numRef>
          </c:val>
        </c:ser>
        <c:dLbls>
          <c:showLegendKey val="0"/>
          <c:showVal val="0"/>
          <c:showCatName val="0"/>
          <c:showSerName val="0"/>
          <c:showPercent val="0"/>
          <c:showBubbleSize val="0"/>
        </c:dLbls>
        <c:gapWidth val="150"/>
        <c:overlap val="100"/>
        <c:axId val="354709504"/>
        <c:axId val="354711424"/>
      </c:barChart>
      <c:lineChart>
        <c:grouping val="standard"/>
        <c:varyColors val="0"/>
        <c:ser>
          <c:idx val="1"/>
          <c:order val="2"/>
          <c:tx>
            <c:strRef>
              <c:f>央行!$D$4</c:f>
              <c:strCache>
                <c:ptCount val="1"/>
                <c:pt idx="0">
                  <c:v>货币净投放</c:v>
                </c:pt>
              </c:strCache>
            </c:strRef>
          </c:tx>
          <c:spPr>
            <a:ln w="22225" cap="rnd" cmpd="sng" algn="ctr">
              <a:solidFill>
                <a:srgbClr val="BF5711"/>
              </a:solidFill>
              <a:prstDash val="sysDash"/>
              <a:round/>
            </a:ln>
          </c:spPr>
          <c:marker>
            <c:symbol val="diamond"/>
            <c:size val="7"/>
            <c:spPr>
              <a:solidFill>
                <a:sysClr val="window" lastClr="FFFFFF"/>
              </a:solidFill>
              <a:ln w="15875" cap="flat" cmpd="sng" algn="ctr">
                <a:solidFill>
                  <a:srgbClr val="BF5711"/>
                </a:solidFill>
                <a:prstDash val="solid"/>
                <a:round/>
              </a:ln>
            </c:spPr>
          </c:marker>
          <c:cat>
            <c:numRef>
              <c:f>央行!$A$5:$A$27</c:f>
              <c:numCache>
                <c:formatCode>yyyy\-mm\-dd;@</c:formatCode>
                <c:ptCount val="23"/>
                <c:pt idx="0">
                  <c:v>43917</c:v>
                </c:pt>
                <c:pt idx="1">
                  <c:v>43924</c:v>
                </c:pt>
                <c:pt idx="2">
                  <c:v>43931</c:v>
                </c:pt>
                <c:pt idx="3">
                  <c:v>43938</c:v>
                </c:pt>
                <c:pt idx="4">
                  <c:v>43945</c:v>
                </c:pt>
                <c:pt idx="5">
                  <c:v>43952</c:v>
                </c:pt>
                <c:pt idx="6">
                  <c:v>43959</c:v>
                </c:pt>
                <c:pt idx="7">
                  <c:v>43966</c:v>
                </c:pt>
                <c:pt idx="8">
                  <c:v>43973</c:v>
                </c:pt>
                <c:pt idx="9">
                  <c:v>43980</c:v>
                </c:pt>
                <c:pt idx="10">
                  <c:v>43987</c:v>
                </c:pt>
                <c:pt idx="11">
                  <c:v>43994</c:v>
                </c:pt>
                <c:pt idx="12">
                  <c:v>44001</c:v>
                </c:pt>
                <c:pt idx="13">
                  <c:v>44008</c:v>
                </c:pt>
                <c:pt idx="14">
                  <c:v>44015</c:v>
                </c:pt>
                <c:pt idx="15">
                  <c:v>44022</c:v>
                </c:pt>
                <c:pt idx="16">
                  <c:v>44029</c:v>
                </c:pt>
                <c:pt idx="17">
                  <c:v>44036</c:v>
                </c:pt>
                <c:pt idx="18">
                  <c:v>44043</c:v>
                </c:pt>
                <c:pt idx="19">
                  <c:v>44050</c:v>
                </c:pt>
                <c:pt idx="20">
                  <c:v>44057</c:v>
                </c:pt>
                <c:pt idx="21">
                  <c:v>44064</c:v>
                </c:pt>
                <c:pt idx="22">
                  <c:v>44071</c:v>
                </c:pt>
              </c:numCache>
            </c:numRef>
          </c:cat>
          <c:val>
            <c:numRef>
              <c:f>央行!$D$5:$D$27</c:f>
              <c:numCache>
                <c:formatCode>###,###,###,###,##0.00</c:formatCode>
                <c:ptCount val="23"/>
                <c:pt idx="0">
                  <c:v>10</c:v>
                </c:pt>
                <c:pt idx="1">
                  <c:v>700</c:v>
                </c:pt>
                <c:pt idx="2">
                  <c:v>-700</c:v>
                </c:pt>
                <c:pt idx="3">
                  <c:v>0</c:v>
                </c:pt>
                <c:pt idx="4">
                  <c:v>10</c:v>
                </c:pt>
                <c:pt idx="5">
                  <c:v>0</c:v>
                </c:pt>
                <c:pt idx="6">
                  <c:v>0</c:v>
                </c:pt>
                <c:pt idx="7">
                  <c:v>0</c:v>
                </c:pt>
                <c:pt idx="8">
                  <c:v>0</c:v>
                </c:pt>
                <c:pt idx="9">
                  <c:v>6700</c:v>
                </c:pt>
                <c:pt idx="10">
                  <c:v>-4500</c:v>
                </c:pt>
                <c:pt idx="11">
                  <c:v>2000</c:v>
                </c:pt>
                <c:pt idx="12">
                  <c:v>-1200</c:v>
                </c:pt>
                <c:pt idx="13">
                  <c:v>3850</c:v>
                </c:pt>
                <c:pt idx="14">
                  <c:v>-3925</c:v>
                </c:pt>
                <c:pt idx="15">
                  <c:v>-2900</c:v>
                </c:pt>
                <c:pt idx="16">
                  <c:v>3300</c:v>
                </c:pt>
                <c:pt idx="17">
                  <c:v>-1650</c:v>
                </c:pt>
                <c:pt idx="18">
                  <c:v>1150</c:v>
                </c:pt>
                <c:pt idx="19">
                  <c:v>-2700</c:v>
                </c:pt>
                <c:pt idx="20">
                  <c:v>4900</c:v>
                </c:pt>
                <c:pt idx="21">
                  <c:v>1600</c:v>
                </c:pt>
                <c:pt idx="22">
                  <c:v>2000</c:v>
                </c:pt>
              </c:numCache>
            </c:numRef>
          </c:val>
          <c:smooth val="0"/>
        </c:ser>
        <c:dLbls>
          <c:showLegendKey val="0"/>
          <c:showVal val="0"/>
          <c:showCatName val="0"/>
          <c:showSerName val="0"/>
          <c:showPercent val="0"/>
          <c:showBubbleSize val="0"/>
        </c:dLbls>
        <c:marker val="1"/>
        <c:smooth val="0"/>
        <c:axId val="354709504"/>
        <c:axId val="354711424"/>
      </c:lineChart>
      <c:catAx>
        <c:axId val="354709504"/>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54711424"/>
        <c:crosses val="autoZero"/>
        <c:auto val="0"/>
        <c:lblAlgn val="ctr"/>
        <c:lblOffset val="0"/>
        <c:tickMarkSkip val="2"/>
        <c:noMultiLvlLbl val="0"/>
      </c:catAx>
      <c:valAx>
        <c:axId val="354711424"/>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54709504"/>
        <c:crosses val="autoZero"/>
        <c:crossBetween val="between"/>
      </c:valAx>
    </c:plotArea>
    <c:legend>
      <c:legendPos val="r"/>
      <c:layout>
        <c:manualLayout>
          <c:xMode val="edge"/>
          <c:yMode val="edge"/>
          <c:x val="0.15225"/>
          <c:y val="2.3337707786526699E-3"/>
          <c:w val="0.81834886264216999"/>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6432852143482102E-2"/>
          <c:y val="0.111965952172645"/>
          <c:w val="0.90856714785651804"/>
          <c:h val="0.81409120734908103"/>
        </c:manualLayout>
      </c:layout>
      <c:lineChart>
        <c:grouping val="standard"/>
        <c:varyColors val="0"/>
        <c:ser>
          <c:idx val="0"/>
          <c:order val="0"/>
          <c:tx>
            <c:strRef>
              <c:f>资金!$B$2</c:f>
              <c:strCache>
                <c:ptCount val="1"/>
                <c:pt idx="0">
                  <c:v>银行间质押式回购加权利率:1天</c:v>
                </c:pt>
              </c:strCache>
            </c:strRef>
          </c:tx>
          <c:spPr>
            <a:ln w="25400" cap="rnd" cmpd="sng" algn="ctr">
              <a:solidFill>
                <a:srgbClr val="ED7D31">
                  <a:lumMod val="75000"/>
                </a:srgbClr>
              </a:solidFill>
              <a:prstDash val="solid"/>
              <a:round/>
            </a:ln>
          </c:spPr>
          <c:marker>
            <c:symbol val="none"/>
          </c:marker>
          <c:cat>
            <c:numRef>
              <c:f>资金!$A$3:$A$61</c:f>
              <c:numCache>
                <c:formatCode>yyyy\-mm\-dd;@</c:formatCode>
                <c:ptCount val="59"/>
                <c:pt idx="0">
                  <c:v>44071</c:v>
                </c:pt>
                <c:pt idx="1">
                  <c:v>44070</c:v>
                </c:pt>
                <c:pt idx="2">
                  <c:v>44069</c:v>
                </c:pt>
                <c:pt idx="3">
                  <c:v>44068</c:v>
                </c:pt>
                <c:pt idx="4">
                  <c:v>44067</c:v>
                </c:pt>
                <c:pt idx="5">
                  <c:v>44064</c:v>
                </c:pt>
                <c:pt idx="6">
                  <c:v>44063</c:v>
                </c:pt>
                <c:pt idx="7">
                  <c:v>44062</c:v>
                </c:pt>
                <c:pt idx="8">
                  <c:v>44061</c:v>
                </c:pt>
                <c:pt idx="9">
                  <c:v>44060</c:v>
                </c:pt>
                <c:pt idx="10">
                  <c:v>44057</c:v>
                </c:pt>
                <c:pt idx="11">
                  <c:v>44056</c:v>
                </c:pt>
                <c:pt idx="12">
                  <c:v>44055</c:v>
                </c:pt>
                <c:pt idx="13">
                  <c:v>44054</c:v>
                </c:pt>
                <c:pt idx="14">
                  <c:v>44053</c:v>
                </c:pt>
                <c:pt idx="15">
                  <c:v>44050</c:v>
                </c:pt>
                <c:pt idx="16">
                  <c:v>44049</c:v>
                </c:pt>
                <c:pt idx="17">
                  <c:v>44048</c:v>
                </c:pt>
                <c:pt idx="18">
                  <c:v>44047</c:v>
                </c:pt>
                <c:pt idx="19">
                  <c:v>44046</c:v>
                </c:pt>
                <c:pt idx="20">
                  <c:v>44043</c:v>
                </c:pt>
                <c:pt idx="21">
                  <c:v>44042</c:v>
                </c:pt>
                <c:pt idx="22">
                  <c:v>44041</c:v>
                </c:pt>
                <c:pt idx="23">
                  <c:v>44040</c:v>
                </c:pt>
                <c:pt idx="24">
                  <c:v>44039</c:v>
                </c:pt>
                <c:pt idx="25">
                  <c:v>44036</c:v>
                </c:pt>
                <c:pt idx="26">
                  <c:v>44035</c:v>
                </c:pt>
                <c:pt idx="27">
                  <c:v>44034</c:v>
                </c:pt>
                <c:pt idx="28">
                  <c:v>44033</c:v>
                </c:pt>
                <c:pt idx="29">
                  <c:v>44032</c:v>
                </c:pt>
                <c:pt idx="30">
                  <c:v>44029</c:v>
                </c:pt>
                <c:pt idx="31">
                  <c:v>44028</c:v>
                </c:pt>
                <c:pt idx="32">
                  <c:v>44027</c:v>
                </c:pt>
                <c:pt idx="33">
                  <c:v>44026</c:v>
                </c:pt>
                <c:pt idx="34">
                  <c:v>44025</c:v>
                </c:pt>
                <c:pt idx="35">
                  <c:v>44022</c:v>
                </c:pt>
                <c:pt idx="36">
                  <c:v>44021</c:v>
                </c:pt>
                <c:pt idx="37">
                  <c:v>44020</c:v>
                </c:pt>
                <c:pt idx="38">
                  <c:v>44019</c:v>
                </c:pt>
                <c:pt idx="39">
                  <c:v>44018</c:v>
                </c:pt>
                <c:pt idx="40">
                  <c:v>44015</c:v>
                </c:pt>
                <c:pt idx="41">
                  <c:v>44014</c:v>
                </c:pt>
                <c:pt idx="42">
                  <c:v>44013</c:v>
                </c:pt>
                <c:pt idx="43">
                  <c:v>44012</c:v>
                </c:pt>
                <c:pt idx="44">
                  <c:v>44011</c:v>
                </c:pt>
                <c:pt idx="45">
                  <c:v>44010</c:v>
                </c:pt>
                <c:pt idx="46">
                  <c:v>44006</c:v>
                </c:pt>
                <c:pt idx="47">
                  <c:v>44005</c:v>
                </c:pt>
                <c:pt idx="48">
                  <c:v>44004</c:v>
                </c:pt>
                <c:pt idx="49">
                  <c:v>44001</c:v>
                </c:pt>
                <c:pt idx="50">
                  <c:v>44000</c:v>
                </c:pt>
                <c:pt idx="51">
                  <c:v>43999</c:v>
                </c:pt>
                <c:pt idx="52">
                  <c:v>43998</c:v>
                </c:pt>
                <c:pt idx="53">
                  <c:v>43997</c:v>
                </c:pt>
                <c:pt idx="54">
                  <c:v>43994</c:v>
                </c:pt>
                <c:pt idx="55">
                  <c:v>43993</c:v>
                </c:pt>
                <c:pt idx="56">
                  <c:v>43992</c:v>
                </c:pt>
                <c:pt idx="57">
                  <c:v>43991</c:v>
                </c:pt>
                <c:pt idx="58">
                  <c:v>43990</c:v>
                </c:pt>
              </c:numCache>
            </c:numRef>
          </c:cat>
          <c:val>
            <c:numRef>
              <c:f>资金!$B$3:$B$61</c:f>
              <c:numCache>
                <c:formatCode>###,###,###,###,##0.0000</c:formatCode>
                <c:ptCount val="59"/>
                <c:pt idx="0">
                  <c:v>1.3997999999999999</c:v>
                </c:pt>
                <c:pt idx="1">
                  <c:v>1.5077</c:v>
                </c:pt>
                <c:pt idx="2">
                  <c:v>1.6649</c:v>
                </c:pt>
                <c:pt idx="3">
                  <c:v>1.9847999999999999</c:v>
                </c:pt>
                <c:pt idx="4">
                  <c:v>2.4039999999999999</c:v>
                </c:pt>
                <c:pt idx="5">
                  <c:v>2.3462000000000001</c:v>
                </c:pt>
                <c:pt idx="6">
                  <c:v>2.2711000000000001</c:v>
                </c:pt>
                <c:pt idx="7">
                  <c:v>2.2111999999999998</c:v>
                </c:pt>
                <c:pt idx="8">
                  <c:v>2.1659000000000002</c:v>
                </c:pt>
                <c:pt idx="9">
                  <c:v>2.1669</c:v>
                </c:pt>
                <c:pt idx="10">
                  <c:v>2.2214999999999998</c:v>
                </c:pt>
                <c:pt idx="11">
                  <c:v>2.2246000000000001</c:v>
                </c:pt>
                <c:pt idx="12">
                  <c:v>2.2063999999999999</c:v>
                </c:pt>
                <c:pt idx="13">
                  <c:v>2.2568999999999999</c:v>
                </c:pt>
                <c:pt idx="14">
                  <c:v>2.1943000000000001</c:v>
                </c:pt>
                <c:pt idx="15">
                  <c:v>2.1122000000000001</c:v>
                </c:pt>
                <c:pt idx="16">
                  <c:v>1.7108000000000001</c:v>
                </c:pt>
                <c:pt idx="17">
                  <c:v>1.7210000000000001</c:v>
                </c:pt>
                <c:pt idx="18">
                  <c:v>1.96</c:v>
                </c:pt>
                <c:pt idx="19">
                  <c:v>1.6277999999999999</c:v>
                </c:pt>
                <c:pt idx="20">
                  <c:v>1.921</c:v>
                </c:pt>
                <c:pt idx="21">
                  <c:v>1.4155</c:v>
                </c:pt>
                <c:pt idx="22">
                  <c:v>1.4807999999999999</c:v>
                </c:pt>
                <c:pt idx="23">
                  <c:v>1.7774000000000001</c:v>
                </c:pt>
                <c:pt idx="24">
                  <c:v>2.0301999999999998</c:v>
                </c:pt>
                <c:pt idx="25">
                  <c:v>1.8781000000000001</c:v>
                </c:pt>
                <c:pt idx="26">
                  <c:v>1.9132</c:v>
                </c:pt>
                <c:pt idx="27">
                  <c:v>1.3838999999999999</c:v>
                </c:pt>
                <c:pt idx="28">
                  <c:v>1.5924</c:v>
                </c:pt>
                <c:pt idx="29">
                  <c:v>1.9733000000000001</c:v>
                </c:pt>
                <c:pt idx="30">
                  <c:v>2.3995000000000002</c:v>
                </c:pt>
                <c:pt idx="31">
                  <c:v>2.3612000000000002</c:v>
                </c:pt>
                <c:pt idx="32">
                  <c:v>2.0855999999999999</c:v>
                </c:pt>
                <c:pt idx="33">
                  <c:v>1.7021999999999999</c:v>
                </c:pt>
                <c:pt idx="34">
                  <c:v>2.1414</c:v>
                </c:pt>
                <c:pt idx="35">
                  <c:v>2.2174</c:v>
                </c:pt>
                <c:pt idx="36">
                  <c:v>2.2547999999999999</c:v>
                </c:pt>
                <c:pt idx="37">
                  <c:v>2.1366000000000001</c:v>
                </c:pt>
                <c:pt idx="38">
                  <c:v>1.7793000000000001</c:v>
                </c:pt>
                <c:pt idx="39">
                  <c:v>1.4025000000000001</c:v>
                </c:pt>
                <c:pt idx="40">
                  <c:v>1.4065000000000001</c:v>
                </c:pt>
                <c:pt idx="41">
                  <c:v>1.7667999999999999</c:v>
                </c:pt>
                <c:pt idx="42">
                  <c:v>2.0270999999999999</c:v>
                </c:pt>
                <c:pt idx="43">
                  <c:v>2.2993999999999999</c:v>
                </c:pt>
                <c:pt idx="44">
                  <c:v>1.0634999999999999</c:v>
                </c:pt>
                <c:pt idx="45">
                  <c:v>1.0626</c:v>
                </c:pt>
                <c:pt idx="46">
                  <c:v>1.4907999999999999</c:v>
                </c:pt>
                <c:pt idx="47">
                  <c:v>1.9904999999999999</c:v>
                </c:pt>
                <c:pt idx="48">
                  <c:v>2.1852999999999998</c:v>
                </c:pt>
                <c:pt idx="49">
                  <c:v>2.1818</c:v>
                </c:pt>
                <c:pt idx="50">
                  <c:v>2.1688999999999998</c:v>
                </c:pt>
                <c:pt idx="51">
                  <c:v>2.1088</c:v>
                </c:pt>
                <c:pt idx="52">
                  <c:v>1.8025</c:v>
                </c:pt>
                <c:pt idx="53">
                  <c:v>1.5213000000000001</c:v>
                </c:pt>
                <c:pt idx="54">
                  <c:v>1.5598000000000001</c:v>
                </c:pt>
                <c:pt idx="55">
                  <c:v>1.7955000000000001</c:v>
                </c:pt>
                <c:pt idx="56">
                  <c:v>1.8873</c:v>
                </c:pt>
                <c:pt idx="57">
                  <c:v>1.883</c:v>
                </c:pt>
                <c:pt idx="58">
                  <c:v>1.9269000000000001</c:v>
                </c:pt>
              </c:numCache>
            </c:numRef>
          </c:val>
          <c:smooth val="1"/>
        </c:ser>
        <c:ser>
          <c:idx val="2"/>
          <c:order val="1"/>
          <c:tx>
            <c:strRef>
              <c:f>资金!$C$2</c:f>
              <c:strCache>
                <c:ptCount val="1"/>
                <c:pt idx="0">
                  <c:v>银行间质押式回购加权利率:7天</c:v>
                </c:pt>
              </c:strCache>
            </c:strRef>
          </c:tx>
          <c:spPr>
            <a:ln w="25400" cap="rnd" cmpd="sng" algn="ctr">
              <a:solidFill>
                <a:srgbClr val="ED7D31"/>
              </a:solidFill>
              <a:prstDash val="sysDash"/>
              <a:round/>
            </a:ln>
          </c:spPr>
          <c:marker>
            <c:symbol val="none"/>
          </c:marker>
          <c:cat>
            <c:numRef>
              <c:f>资金!$A$3:$A$61</c:f>
              <c:numCache>
                <c:formatCode>yyyy\-mm\-dd;@</c:formatCode>
                <c:ptCount val="59"/>
                <c:pt idx="0">
                  <c:v>44071</c:v>
                </c:pt>
                <c:pt idx="1">
                  <c:v>44070</c:v>
                </c:pt>
                <c:pt idx="2">
                  <c:v>44069</c:v>
                </c:pt>
                <c:pt idx="3">
                  <c:v>44068</c:v>
                </c:pt>
                <c:pt idx="4">
                  <c:v>44067</c:v>
                </c:pt>
                <c:pt idx="5">
                  <c:v>44064</c:v>
                </c:pt>
                <c:pt idx="6">
                  <c:v>44063</c:v>
                </c:pt>
                <c:pt idx="7">
                  <c:v>44062</c:v>
                </c:pt>
                <c:pt idx="8">
                  <c:v>44061</c:v>
                </c:pt>
                <c:pt idx="9">
                  <c:v>44060</c:v>
                </c:pt>
                <c:pt idx="10">
                  <c:v>44057</c:v>
                </c:pt>
                <c:pt idx="11">
                  <c:v>44056</c:v>
                </c:pt>
                <c:pt idx="12">
                  <c:v>44055</c:v>
                </c:pt>
                <c:pt idx="13">
                  <c:v>44054</c:v>
                </c:pt>
                <c:pt idx="14">
                  <c:v>44053</c:v>
                </c:pt>
                <c:pt idx="15">
                  <c:v>44050</c:v>
                </c:pt>
                <c:pt idx="16">
                  <c:v>44049</c:v>
                </c:pt>
                <c:pt idx="17">
                  <c:v>44048</c:v>
                </c:pt>
                <c:pt idx="18">
                  <c:v>44047</c:v>
                </c:pt>
                <c:pt idx="19">
                  <c:v>44046</c:v>
                </c:pt>
                <c:pt idx="20">
                  <c:v>44043</c:v>
                </c:pt>
                <c:pt idx="21">
                  <c:v>44042</c:v>
                </c:pt>
                <c:pt idx="22">
                  <c:v>44041</c:v>
                </c:pt>
                <c:pt idx="23">
                  <c:v>44040</c:v>
                </c:pt>
                <c:pt idx="24">
                  <c:v>44039</c:v>
                </c:pt>
                <c:pt idx="25">
                  <c:v>44036</c:v>
                </c:pt>
                <c:pt idx="26">
                  <c:v>44035</c:v>
                </c:pt>
                <c:pt idx="27">
                  <c:v>44034</c:v>
                </c:pt>
                <c:pt idx="28">
                  <c:v>44033</c:v>
                </c:pt>
                <c:pt idx="29">
                  <c:v>44032</c:v>
                </c:pt>
                <c:pt idx="30">
                  <c:v>44029</c:v>
                </c:pt>
                <c:pt idx="31">
                  <c:v>44028</c:v>
                </c:pt>
                <c:pt idx="32">
                  <c:v>44027</c:v>
                </c:pt>
                <c:pt idx="33">
                  <c:v>44026</c:v>
                </c:pt>
                <c:pt idx="34">
                  <c:v>44025</c:v>
                </c:pt>
                <c:pt idx="35">
                  <c:v>44022</c:v>
                </c:pt>
                <c:pt idx="36">
                  <c:v>44021</c:v>
                </c:pt>
                <c:pt idx="37">
                  <c:v>44020</c:v>
                </c:pt>
                <c:pt idx="38">
                  <c:v>44019</c:v>
                </c:pt>
                <c:pt idx="39">
                  <c:v>44018</c:v>
                </c:pt>
                <c:pt idx="40">
                  <c:v>44015</c:v>
                </c:pt>
                <c:pt idx="41">
                  <c:v>44014</c:v>
                </c:pt>
                <c:pt idx="42">
                  <c:v>44013</c:v>
                </c:pt>
                <c:pt idx="43">
                  <c:v>44012</c:v>
                </c:pt>
                <c:pt idx="44">
                  <c:v>44011</c:v>
                </c:pt>
                <c:pt idx="45">
                  <c:v>44010</c:v>
                </c:pt>
                <c:pt idx="46">
                  <c:v>44006</c:v>
                </c:pt>
                <c:pt idx="47">
                  <c:v>44005</c:v>
                </c:pt>
                <c:pt idx="48">
                  <c:v>44004</c:v>
                </c:pt>
                <c:pt idx="49">
                  <c:v>44001</c:v>
                </c:pt>
                <c:pt idx="50">
                  <c:v>44000</c:v>
                </c:pt>
                <c:pt idx="51">
                  <c:v>43999</c:v>
                </c:pt>
                <c:pt idx="52">
                  <c:v>43998</c:v>
                </c:pt>
                <c:pt idx="53">
                  <c:v>43997</c:v>
                </c:pt>
                <c:pt idx="54">
                  <c:v>43994</c:v>
                </c:pt>
                <c:pt idx="55">
                  <c:v>43993</c:v>
                </c:pt>
                <c:pt idx="56">
                  <c:v>43992</c:v>
                </c:pt>
                <c:pt idx="57">
                  <c:v>43991</c:v>
                </c:pt>
                <c:pt idx="58">
                  <c:v>43990</c:v>
                </c:pt>
              </c:numCache>
            </c:numRef>
          </c:cat>
          <c:val>
            <c:numRef>
              <c:f>资金!$C$3:$C$61</c:f>
              <c:numCache>
                <c:formatCode>###,###,###,###,##0.0000</c:formatCode>
                <c:ptCount val="59"/>
                <c:pt idx="0">
                  <c:v>2.4836999999999998</c:v>
                </c:pt>
                <c:pt idx="1">
                  <c:v>2.4744999999999999</c:v>
                </c:pt>
                <c:pt idx="2">
                  <c:v>2.4973999999999998</c:v>
                </c:pt>
                <c:pt idx="3">
                  <c:v>2.5918000000000001</c:v>
                </c:pt>
                <c:pt idx="4">
                  <c:v>2.5108000000000001</c:v>
                </c:pt>
                <c:pt idx="5">
                  <c:v>2.5731999999999999</c:v>
                </c:pt>
                <c:pt idx="6">
                  <c:v>2.4491000000000001</c:v>
                </c:pt>
                <c:pt idx="7">
                  <c:v>2.3744999999999998</c:v>
                </c:pt>
                <c:pt idx="8">
                  <c:v>2.3515999999999999</c:v>
                </c:pt>
                <c:pt idx="9">
                  <c:v>2.3788999999999998</c:v>
                </c:pt>
                <c:pt idx="10">
                  <c:v>2.3742999999999999</c:v>
                </c:pt>
                <c:pt idx="11">
                  <c:v>2.3693</c:v>
                </c:pt>
                <c:pt idx="12">
                  <c:v>2.3672</c:v>
                </c:pt>
                <c:pt idx="13">
                  <c:v>2.3639000000000001</c:v>
                </c:pt>
                <c:pt idx="14">
                  <c:v>2.2854000000000001</c:v>
                </c:pt>
                <c:pt idx="15">
                  <c:v>2.2219000000000002</c:v>
                </c:pt>
                <c:pt idx="16">
                  <c:v>2.1051000000000002</c:v>
                </c:pt>
                <c:pt idx="17">
                  <c:v>2.1356000000000002</c:v>
                </c:pt>
                <c:pt idx="18">
                  <c:v>2.1785000000000001</c:v>
                </c:pt>
                <c:pt idx="19">
                  <c:v>2.1398000000000001</c:v>
                </c:pt>
                <c:pt idx="20">
                  <c:v>2.3254000000000001</c:v>
                </c:pt>
                <c:pt idx="21">
                  <c:v>2.3382999999999998</c:v>
                </c:pt>
                <c:pt idx="22">
                  <c:v>2.3513000000000002</c:v>
                </c:pt>
                <c:pt idx="23">
                  <c:v>2.4123999999999999</c:v>
                </c:pt>
                <c:pt idx="24">
                  <c:v>2.4384000000000001</c:v>
                </c:pt>
                <c:pt idx="25">
                  <c:v>2.0954000000000002</c:v>
                </c:pt>
                <c:pt idx="26">
                  <c:v>2.2709000000000001</c:v>
                </c:pt>
                <c:pt idx="27">
                  <c:v>2.0026000000000002</c:v>
                </c:pt>
                <c:pt idx="28">
                  <c:v>2.1061999999999999</c:v>
                </c:pt>
                <c:pt idx="29">
                  <c:v>2.2656999999999998</c:v>
                </c:pt>
                <c:pt idx="30">
                  <c:v>2.4668999999999999</c:v>
                </c:pt>
                <c:pt idx="31">
                  <c:v>2.3656000000000001</c:v>
                </c:pt>
                <c:pt idx="32">
                  <c:v>2.2551000000000001</c:v>
                </c:pt>
                <c:pt idx="33">
                  <c:v>2.2277</c:v>
                </c:pt>
                <c:pt idx="34">
                  <c:v>2.3549000000000002</c:v>
                </c:pt>
                <c:pt idx="35">
                  <c:v>2.3384999999999998</c:v>
                </c:pt>
                <c:pt idx="36">
                  <c:v>2.2734999999999999</c:v>
                </c:pt>
                <c:pt idx="37">
                  <c:v>2.2345999999999999</c:v>
                </c:pt>
                <c:pt idx="38">
                  <c:v>2.1484999999999999</c:v>
                </c:pt>
                <c:pt idx="39">
                  <c:v>1.8398000000000001</c:v>
                </c:pt>
                <c:pt idx="40">
                  <c:v>1.857</c:v>
                </c:pt>
                <c:pt idx="41">
                  <c:v>2.0632999999999999</c:v>
                </c:pt>
                <c:pt idx="42">
                  <c:v>2.2721</c:v>
                </c:pt>
                <c:pt idx="43">
                  <c:v>3.0518999999999998</c:v>
                </c:pt>
                <c:pt idx="44">
                  <c:v>2.7978999999999998</c:v>
                </c:pt>
                <c:pt idx="45">
                  <c:v>2.2408999999999999</c:v>
                </c:pt>
                <c:pt idx="46">
                  <c:v>2.3866999999999998</c:v>
                </c:pt>
                <c:pt idx="47">
                  <c:v>2.3123</c:v>
                </c:pt>
                <c:pt idx="48">
                  <c:v>2.2494999999999998</c:v>
                </c:pt>
                <c:pt idx="49">
                  <c:v>2.1716000000000002</c:v>
                </c:pt>
                <c:pt idx="50">
                  <c:v>2.1389</c:v>
                </c:pt>
                <c:pt idx="51">
                  <c:v>2.0489999999999999</c:v>
                </c:pt>
                <c:pt idx="52">
                  <c:v>1.9447000000000001</c:v>
                </c:pt>
                <c:pt idx="53">
                  <c:v>1.8593999999999999</c:v>
                </c:pt>
                <c:pt idx="54">
                  <c:v>1.9265000000000001</c:v>
                </c:pt>
                <c:pt idx="55">
                  <c:v>2.0001000000000002</c:v>
                </c:pt>
                <c:pt idx="56">
                  <c:v>1.9938</c:v>
                </c:pt>
                <c:pt idx="57">
                  <c:v>1.9323999999999999</c:v>
                </c:pt>
                <c:pt idx="58">
                  <c:v>1.88</c:v>
                </c:pt>
              </c:numCache>
            </c:numRef>
          </c:val>
          <c:smooth val="1"/>
        </c:ser>
        <c:dLbls>
          <c:showLegendKey val="0"/>
          <c:showVal val="0"/>
          <c:showCatName val="0"/>
          <c:showSerName val="0"/>
          <c:showPercent val="0"/>
          <c:showBubbleSize val="0"/>
        </c:dLbls>
        <c:marker val="1"/>
        <c:smooth val="0"/>
        <c:axId val="342167936"/>
        <c:axId val="342169472"/>
      </c:lineChart>
      <c:dateAx>
        <c:axId val="342167936"/>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2169472"/>
        <c:crosses val="autoZero"/>
        <c:auto val="0"/>
        <c:lblOffset val="0"/>
        <c:baseTimeUnit val="days"/>
        <c:majorUnit val="14"/>
        <c:majorTimeUnit val="days"/>
        <c:minorUnit val="7"/>
        <c:minorTimeUnit val="days"/>
      </c:dateAx>
      <c:valAx>
        <c:axId val="342169472"/>
        <c:scaling>
          <c:orientation val="minMax"/>
        </c:scaling>
        <c:delete val="0"/>
        <c:axPos val="l"/>
        <c:numFmt formatCode="#,##0.0_);[Red]\(#,##0.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2167936"/>
        <c:crosses val="autoZero"/>
        <c:crossBetween val="between"/>
      </c:valAx>
    </c:plotArea>
    <c:legend>
      <c:legendPos val="r"/>
      <c:layout>
        <c:manualLayout>
          <c:xMode val="edge"/>
          <c:yMode val="edge"/>
          <c:x val="0.15502777777777799"/>
          <c:y val="2.3337707786526699E-3"/>
          <c:w val="0.690571084864392"/>
          <c:h val="0.12288604549431301"/>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8363429571303598"/>
          <c:h val="0.81409120734908103"/>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-5.43</c:v>
                </c:pt>
                <c:pt idx="1">
                  <c:v>5.1699999999999902</c:v>
                </c:pt>
                <c:pt idx="2">
                  <c:v>5.3299999999999699</c:v>
                </c:pt>
                <c:pt idx="3">
                  <c:v>15.59</c:v>
                </c:pt>
                <c:pt idx="4">
                  <c:v>11.48</c:v>
                </c:pt>
                <c:pt idx="5">
                  <c:v>10.96</c:v>
                </c:pt>
                <c:pt idx="6">
                  <c:v>8.4900000000000198</c:v>
                </c:pt>
              </c:numCache>
            </c:numRef>
          </c:val>
        </c:ser>
        <c:dLbls>
          <c:showLegendKey val="0"/>
          <c:showVal val="0"/>
          <c:showCatName val="0"/>
          <c:showSerName val="0"/>
          <c:showPercent val="0"/>
          <c:showBubbleSize val="0"/>
        </c:dLbls>
        <c:gapWidth val="150"/>
        <c:axId val="342197376"/>
        <c:axId val="342199296"/>
      </c:barChart>
      <c:lineChart>
        <c:grouping val="standard"/>
        <c:varyColors val="0"/>
        <c:ser>
          <c:idx val="2"/>
          <c:order val="1"/>
          <c:tx>
            <c:strRef>
              <c:f>国债!$J$4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dLbl>
            <c:dLbl>
              <c:idx val="1"/>
              <c:delete val="1"/>
            </c:dLbl>
            <c:dLbl>
              <c:idx val="2"/>
              <c:delete val="1"/>
            </c:dLbl>
            <c:dLbl>
              <c:idx val="3"/>
              <c:delete val="1"/>
            </c:dLbl>
            <c:dLbl>
              <c:idx val="4"/>
              <c:delete val="1"/>
            </c:dLbl>
            <c:dLbl>
              <c:idx val="5"/>
              <c:delete val="1"/>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2.0358999999999998</c:v>
                </c:pt>
                <c:pt idx="1">
                  <c:v>2.2477999999999998</c:v>
                </c:pt>
                <c:pt idx="2">
                  <c:v>2.4868999999999999</c:v>
                </c:pt>
                <c:pt idx="3">
                  <c:v>2.9077000000000002</c:v>
                </c:pt>
                <c:pt idx="4">
                  <c:v>2.9902000000000002</c:v>
                </c:pt>
                <c:pt idx="5">
                  <c:v>3.1387</c:v>
                </c:pt>
                <c:pt idx="6">
                  <c:v>3.0672000000000001</c:v>
                </c:pt>
              </c:numCache>
            </c:numRef>
          </c:val>
          <c:smooth val="0"/>
        </c:ser>
        <c:ser>
          <c:idx val="1"/>
          <c:order val="2"/>
          <c:tx>
            <c:strRef>
              <c:f>国债!$J$5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2.0901999999999998</c:v>
                </c:pt>
                <c:pt idx="1">
                  <c:v>2.1960999999999999</c:v>
                </c:pt>
                <c:pt idx="2">
                  <c:v>2.4336000000000002</c:v>
                </c:pt>
                <c:pt idx="3">
                  <c:v>2.7517999999999998</c:v>
                </c:pt>
                <c:pt idx="4">
                  <c:v>2.8754</c:v>
                </c:pt>
                <c:pt idx="5">
                  <c:v>3.0291000000000001</c:v>
                </c:pt>
                <c:pt idx="6">
                  <c:v>2.9823</c:v>
                </c:pt>
              </c:numCache>
            </c:numRef>
          </c:val>
          <c:smooth val="0"/>
        </c:ser>
        <c:dLbls>
          <c:showLegendKey val="0"/>
          <c:showVal val="0"/>
          <c:showCatName val="0"/>
          <c:showSerName val="0"/>
          <c:showPercent val="0"/>
          <c:showBubbleSize val="0"/>
        </c:dLbls>
        <c:marker val="1"/>
        <c:smooth val="0"/>
        <c:axId val="342217472"/>
        <c:axId val="342219008"/>
      </c:lineChart>
      <c:dateAx>
        <c:axId val="342197376"/>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2199296"/>
        <c:crosses val="autoZero"/>
        <c:auto val="0"/>
        <c:lblOffset val="0"/>
        <c:baseTimeUnit val="days"/>
      </c:dateAx>
      <c:valAx>
        <c:axId val="342199296"/>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2197376"/>
        <c:crosses val="autoZero"/>
        <c:crossBetween val="between"/>
      </c:valAx>
      <c:dateAx>
        <c:axId val="342217472"/>
        <c:scaling>
          <c:orientation val="minMax"/>
        </c:scaling>
        <c:delete val="1"/>
        <c:axPos val="b"/>
        <c:numFmt formatCode="General" sourceLinked="1"/>
        <c:majorTickMark val="out"/>
        <c:minorTickMark val="none"/>
        <c:tickLblPos val="nextTo"/>
        <c:crossAx val="342219008"/>
        <c:crosses val="autoZero"/>
        <c:auto val="0"/>
        <c:lblOffset val="100"/>
        <c:baseTimeUnit val="days"/>
      </c:dateAx>
      <c:valAx>
        <c:axId val="342219008"/>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2217472"/>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6463429571303596"/>
          <c:h val="0.81409120734908103"/>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-6.29</c:v>
                </c:pt>
                <c:pt idx="1">
                  <c:v>3.3700000000000099</c:v>
                </c:pt>
                <c:pt idx="2">
                  <c:v>8.1700000000000106</c:v>
                </c:pt>
                <c:pt idx="3">
                  <c:v>14.26</c:v>
                </c:pt>
                <c:pt idx="4">
                  <c:v>12.47</c:v>
                </c:pt>
                <c:pt idx="5">
                  <c:v>1.25000000000002</c:v>
                </c:pt>
                <c:pt idx="6">
                  <c:v>12.32</c:v>
                </c:pt>
              </c:numCache>
            </c:numRef>
          </c:val>
        </c:ser>
        <c:dLbls>
          <c:showLegendKey val="0"/>
          <c:showVal val="0"/>
          <c:showCatName val="0"/>
          <c:showSerName val="0"/>
          <c:showPercent val="0"/>
          <c:showBubbleSize val="0"/>
        </c:dLbls>
        <c:gapWidth val="150"/>
        <c:axId val="343885696"/>
        <c:axId val="343891968"/>
      </c:barChart>
      <c:lineChart>
        <c:grouping val="standard"/>
        <c:varyColors val="0"/>
        <c:ser>
          <c:idx val="2"/>
          <c:order val="1"/>
          <c:tx>
            <c:strRef>
              <c:f>国开!$J$4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dLbl>
            <c:dLbl>
              <c:idx val="1"/>
              <c:delete val="1"/>
            </c:dLbl>
            <c:dLbl>
              <c:idx val="2"/>
              <c:delete val="1"/>
            </c:dLbl>
            <c:dLbl>
              <c:idx val="3"/>
              <c:delete val="1"/>
            </c:dLbl>
            <c:dLbl>
              <c:idx val="4"/>
              <c:delete val="1"/>
            </c:dLbl>
            <c:dLbl>
              <c:idx val="5"/>
              <c:delete val="1"/>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2.1233</c:v>
                </c:pt>
                <c:pt idx="1">
                  <c:v>2.4811999999999999</c:v>
                </c:pt>
                <c:pt idx="2">
                  <c:v>2.8262</c:v>
                </c:pt>
                <c:pt idx="3">
                  <c:v>3.2957999999999998</c:v>
                </c:pt>
                <c:pt idx="4">
                  <c:v>3.4908000000000001</c:v>
                </c:pt>
                <c:pt idx="5">
                  <c:v>3.4685000000000001</c:v>
                </c:pt>
                <c:pt idx="6">
                  <c:v>3.6185999999999998</c:v>
                </c:pt>
              </c:numCache>
            </c:numRef>
          </c:val>
          <c:smooth val="0"/>
        </c:ser>
        <c:ser>
          <c:idx val="1"/>
          <c:order val="2"/>
          <c:tx>
            <c:strRef>
              <c:f>国开!$J$5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2.1861999999999999</c:v>
                </c:pt>
                <c:pt idx="1">
                  <c:v>2.4474999999999998</c:v>
                </c:pt>
                <c:pt idx="2">
                  <c:v>2.7444999999999999</c:v>
                </c:pt>
                <c:pt idx="3">
                  <c:v>3.1532</c:v>
                </c:pt>
                <c:pt idx="4">
                  <c:v>3.3660999999999999</c:v>
                </c:pt>
                <c:pt idx="5">
                  <c:v>3.456</c:v>
                </c:pt>
                <c:pt idx="6">
                  <c:v>3.4954000000000001</c:v>
                </c:pt>
              </c:numCache>
            </c:numRef>
          </c:val>
          <c:smooth val="0"/>
        </c:ser>
        <c:dLbls>
          <c:showLegendKey val="0"/>
          <c:showVal val="0"/>
          <c:showCatName val="0"/>
          <c:showSerName val="0"/>
          <c:showPercent val="0"/>
          <c:showBubbleSize val="0"/>
        </c:dLbls>
        <c:marker val="1"/>
        <c:smooth val="0"/>
        <c:axId val="343893504"/>
        <c:axId val="343895040"/>
      </c:lineChart>
      <c:dateAx>
        <c:axId val="343885696"/>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891968"/>
        <c:crosses val="autoZero"/>
        <c:auto val="0"/>
        <c:lblOffset val="0"/>
        <c:baseTimeUnit val="days"/>
      </c:dateAx>
      <c:valAx>
        <c:axId val="343891968"/>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885696"/>
        <c:crosses val="autoZero"/>
        <c:crossBetween val="between"/>
      </c:valAx>
      <c:dateAx>
        <c:axId val="343893504"/>
        <c:scaling>
          <c:orientation val="minMax"/>
        </c:scaling>
        <c:delete val="1"/>
        <c:axPos val="b"/>
        <c:numFmt formatCode="General" sourceLinked="1"/>
        <c:majorTickMark val="out"/>
        <c:minorTickMark val="none"/>
        <c:tickLblPos val="nextTo"/>
        <c:crossAx val="343895040"/>
        <c:crosses val="autoZero"/>
        <c:auto val="0"/>
        <c:lblOffset val="100"/>
        <c:baseTimeUnit val="days"/>
      </c:dateAx>
      <c:valAx>
        <c:axId val="343895040"/>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893504"/>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0270669291338599"/>
          <c:w val="0.91250459317585297"/>
          <c:h val="0.81409120734908103"/>
        </c:manualLayout>
      </c:layout>
      <c:lineChart>
        <c:grouping val="standard"/>
        <c:varyColors val="0"/>
        <c:ser>
          <c:idx val="0"/>
          <c:order val="0"/>
          <c:tx>
            <c:strRef>
              <c:f>转债!$H$4</c:f>
              <c:strCache>
                <c:ptCount val="1"/>
                <c:pt idx="0">
                  <c:v>中证转债</c:v>
                </c:pt>
              </c:strCache>
            </c:strRef>
          </c:tx>
          <c:spPr>
            <a:ln w="25400" cap="rnd" cmpd="sng" algn="ctr">
              <a:solidFill>
                <a:srgbClr val="ED7D31">
                  <a:lumMod val="75000"/>
                </a:srgbClr>
              </a:solidFill>
              <a:prstDash val="solid"/>
              <a:round/>
            </a:ln>
          </c:spPr>
          <c:marker>
            <c:symbol val="none"/>
          </c:marker>
          <c:cat>
            <c:numRef>
              <c:f>转债!$G$5:$G$28</c:f>
              <c:numCache>
                <c:formatCode>yyyy\-mm\-dd</c:formatCode>
                <c:ptCount val="24"/>
                <c:pt idx="0">
                  <c:v>44071</c:v>
                </c:pt>
                <c:pt idx="1">
                  <c:v>44064</c:v>
                </c:pt>
                <c:pt idx="2">
                  <c:v>44057</c:v>
                </c:pt>
                <c:pt idx="3">
                  <c:v>44050</c:v>
                </c:pt>
                <c:pt idx="4">
                  <c:v>44043</c:v>
                </c:pt>
                <c:pt idx="5">
                  <c:v>44036</c:v>
                </c:pt>
                <c:pt idx="6">
                  <c:v>44029</c:v>
                </c:pt>
                <c:pt idx="7">
                  <c:v>44022</c:v>
                </c:pt>
                <c:pt idx="8">
                  <c:v>44015</c:v>
                </c:pt>
                <c:pt idx="9">
                  <c:v>44006</c:v>
                </c:pt>
                <c:pt idx="10">
                  <c:v>44001</c:v>
                </c:pt>
                <c:pt idx="11">
                  <c:v>43994</c:v>
                </c:pt>
                <c:pt idx="12">
                  <c:v>43987</c:v>
                </c:pt>
                <c:pt idx="13">
                  <c:v>43980</c:v>
                </c:pt>
                <c:pt idx="14">
                  <c:v>43973</c:v>
                </c:pt>
                <c:pt idx="15">
                  <c:v>43966</c:v>
                </c:pt>
                <c:pt idx="16">
                  <c:v>43959</c:v>
                </c:pt>
                <c:pt idx="17">
                  <c:v>43951</c:v>
                </c:pt>
                <c:pt idx="18">
                  <c:v>43945</c:v>
                </c:pt>
                <c:pt idx="19">
                  <c:v>43938</c:v>
                </c:pt>
                <c:pt idx="20">
                  <c:v>43931</c:v>
                </c:pt>
                <c:pt idx="21">
                  <c:v>43924</c:v>
                </c:pt>
                <c:pt idx="22">
                  <c:v>43917</c:v>
                </c:pt>
                <c:pt idx="23">
                  <c:v>43910</c:v>
                </c:pt>
              </c:numCache>
            </c:numRef>
          </c:cat>
          <c:val>
            <c:numRef>
              <c:f>转债!$H$5:$H$28</c:f>
              <c:numCache>
                <c:formatCode>General</c:formatCode>
                <c:ptCount val="24"/>
                <c:pt idx="0">
                  <c:v>5.2484968186165402</c:v>
                </c:pt>
                <c:pt idx="1">
                  <c:v>5.3593998999153598</c:v>
                </c:pt>
                <c:pt idx="2">
                  <c:v>5.2444753074969199</c:v>
                </c:pt>
                <c:pt idx="3">
                  <c:v>5.6897585422418704</c:v>
                </c:pt>
                <c:pt idx="4">
                  <c:v>4.5383602599935502</c:v>
                </c:pt>
                <c:pt idx="5">
                  <c:v>2.2144932428701098</c:v>
                </c:pt>
                <c:pt idx="6">
                  <c:v>1.7601757683564301</c:v>
                </c:pt>
                <c:pt idx="7">
                  <c:v>5.4345058681493796</c:v>
                </c:pt>
                <c:pt idx="8">
                  <c:v>1.38668500324695</c:v>
                </c:pt>
                <c:pt idx="9">
                  <c:v>-2.7625515751720902</c:v>
                </c:pt>
                <c:pt idx="10">
                  <c:v>-2.26144863326678</c:v>
                </c:pt>
                <c:pt idx="11">
                  <c:v>-3.1062774938962301</c:v>
                </c:pt>
                <c:pt idx="12">
                  <c:v>-2.7704246744062799</c:v>
                </c:pt>
                <c:pt idx="13">
                  <c:v>-3.1714712868353998</c:v>
                </c:pt>
                <c:pt idx="14">
                  <c:v>-3.9313669654384999</c:v>
                </c:pt>
                <c:pt idx="15">
                  <c:v>-1.50497973526562</c:v>
                </c:pt>
                <c:pt idx="16">
                  <c:v>3.6108638574061699E-2</c:v>
                </c:pt>
                <c:pt idx="17">
                  <c:v>7.8844274345235596E-2</c:v>
                </c:pt>
                <c:pt idx="18">
                  <c:v>-0.83732392790619703</c:v>
                </c:pt>
                <c:pt idx="19">
                  <c:v>-0.64253552311221995</c:v>
                </c:pt>
                <c:pt idx="20">
                  <c:v>-0.72146475895995499</c:v>
                </c:pt>
                <c:pt idx="21">
                  <c:v>-1.0517667602848</c:v>
                </c:pt>
                <c:pt idx="22">
                  <c:v>-0.45491220503135499</c:v>
                </c:pt>
                <c:pt idx="23">
                  <c:v>0</c:v>
                </c:pt>
              </c:numCache>
            </c:numRef>
          </c:val>
          <c:smooth val="1"/>
        </c:ser>
        <c:ser>
          <c:idx val="2"/>
          <c:order val="1"/>
          <c:tx>
            <c:strRef>
              <c:f>转债!$I$4</c:f>
              <c:strCache>
                <c:ptCount val="1"/>
                <c:pt idx="0">
                  <c:v>中债总净价</c:v>
                </c:pt>
              </c:strCache>
            </c:strRef>
          </c:tx>
          <c:spPr>
            <a:ln w="25400" cap="rnd" cmpd="sng" algn="ctr">
              <a:solidFill>
                <a:srgbClr val="ED7D31"/>
              </a:solidFill>
              <a:prstDash val="sysDash"/>
              <a:round/>
            </a:ln>
          </c:spPr>
          <c:marker>
            <c:symbol val="none"/>
          </c:marker>
          <c:cat>
            <c:numRef>
              <c:f>转债!$G$5:$G$28</c:f>
              <c:numCache>
                <c:formatCode>yyyy\-mm\-dd</c:formatCode>
                <c:ptCount val="24"/>
                <c:pt idx="0">
                  <c:v>44071</c:v>
                </c:pt>
                <c:pt idx="1">
                  <c:v>44064</c:v>
                </c:pt>
                <c:pt idx="2">
                  <c:v>44057</c:v>
                </c:pt>
                <c:pt idx="3">
                  <c:v>44050</c:v>
                </c:pt>
                <c:pt idx="4">
                  <c:v>44043</c:v>
                </c:pt>
                <c:pt idx="5">
                  <c:v>44036</c:v>
                </c:pt>
                <c:pt idx="6">
                  <c:v>44029</c:v>
                </c:pt>
                <c:pt idx="7">
                  <c:v>44022</c:v>
                </c:pt>
                <c:pt idx="8">
                  <c:v>44015</c:v>
                </c:pt>
                <c:pt idx="9">
                  <c:v>44006</c:v>
                </c:pt>
                <c:pt idx="10">
                  <c:v>44001</c:v>
                </c:pt>
                <c:pt idx="11">
                  <c:v>43994</c:v>
                </c:pt>
                <c:pt idx="12">
                  <c:v>43987</c:v>
                </c:pt>
                <c:pt idx="13">
                  <c:v>43980</c:v>
                </c:pt>
                <c:pt idx="14">
                  <c:v>43973</c:v>
                </c:pt>
                <c:pt idx="15">
                  <c:v>43966</c:v>
                </c:pt>
                <c:pt idx="16">
                  <c:v>43959</c:v>
                </c:pt>
                <c:pt idx="17">
                  <c:v>43951</c:v>
                </c:pt>
                <c:pt idx="18">
                  <c:v>43945</c:v>
                </c:pt>
                <c:pt idx="19">
                  <c:v>43938</c:v>
                </c:pt>
                <c:pt idx="20">
                  <c:v>43931</c:v>
                </c:pt>
                <c:pt idx="21">
                  <c:v>43924</c:v>
                </c:pt>
                <c:pt idx="22">
                  <c:v>43917</c:v>
                </c:pt>
                <c:pt idx="23">
                  <c:v>43910</c:v>
                </c:pt>
              </c:numCache>
            </c:numRef>
          </c:cat>
          <c:val>
            <c:numRef>
              <c:f>转债!$I$5:$I$28</c:f>
              <c:numCache>
                <c:formatCode>General</c:formatCode>
                <c:ptCount val="24"/>
                <c:pt idx="0">
                  <c:v>-2.7800731175060198</c:v>
                </c:pt>
                <c:pt idx="1">
                  <c:v>-2.3004415064096002</c:v>
                </c:pt>
                <c:pt idx="2">
                  <c:v>-2.0776577202289901</c:v>
                </c:pt>
                <c:pt idx="3">
                  <c:v>-2.2810473821661899</c:v>
                </c:pt>
                <c:pt idx="4">
                  <c:v>-2.0735136765872402</c:v>
                </c:pt>
                <c:pt idx="5">
                  <c:v>-1.5374401910901401</c:v>
                </c:pt>
                <c:pt idx="6">
                  <c:v>-2.1769490058853802</c:v>
                </c:pt>
                <c:pt idx="7">
                  <c:v>-2.4035453122163899</c:v>
                </c:pt>
                <c:pt idx="8">
                  <c:v>-1.1831244597203201</c:v>
                </c:pt>
                <c:pt idx="9">
                  <c:v>-1.2236532065366501</c:v>
                </c:pt>
                <c:pt idx="10">
                  <c:v>-1.1659681190434601</c:v>
                </c:pt>
                <c:pt idx="11">
                  <c:v>-0.65078061350080096</c:v>
                </c:pt>
                <c:pt idx="12">
                  <c:v>-1.11367028828454</c:v>
                </c:pt>
                <c:pt idx="13">
                  <c:v>0.12241504917736</c:v>
                </c:pt>
                <c:pt idx="14">
                  <c:v>0.87779132419598704</c:v>
                </c:pt>
                <c:pt idx="15">
                  <c:v>0.92801713313401801</c:v>
                </c:pt>
                <c:pt idx="16">
                  <c:v>1.35112398895696</c:v>
                </c:pt>
                <c:pt idx="17">
                  <c:v>1.9544138623232701</c:v>
                </c:pt>
                <c:pt idx="18">
                  <c:v>1.990218399388</c:v>
                </c:pt>
                <c:pt idx="19">
                  <c:v>1.67742598530853</c:v>
                </c:pt>
                <c:pt idx="20">
                  <c:v>1.56636561570958</c:v>
                </c:pt>
                <c:pt idx="21">
                  <c:v>0.73200386887915003</c:v>
                </c:pt>
                <c:pt idx="22">
                  <c:v>0.468608455009356</c:v>
                </c:pt>
                <c:pt idx="23">
                  <c:v>0</c:v>
                </c:pt>
              </c:numCache>
            </c:numRef>
          </c:val>
          <c:smooth val="1"/>
        </c:ser>
        <c:ser>
          <c:idx val="1"/>
          <c:order val="2"/>
          <c:tx>
            <c:strRef>
              <c:f>转债!$J$4</c:f>
              <c:strCache>
                <c:ptCount val="1"/>
                <c:pt idx="0">
                  <c:v>沪深300</c:v>
                </c:pt>
              </c:strCache>
            </c:strRef>
          </c:tx>
          <c:spPr>
            <a:ln w="25400" cap="rnd" cmpd="sng" algn="ctr">
              <a:solidFill>
                <a:sysClr val="windowText" lastClr="000000">
                  <a:lumMod val="50000"/>
                  <a:lumOff val="50000"/>
                </a:sysClr>
              </a:solidFill>
              <a:prstDash val="sysDash"/>
              <a:round/>
            </a:ln>
          </c:spPr>
          <c:marker>
            <c:symbol val="none"/>
          </c:marker>
          <c:cat>
            <c:numRef>
              <c:f>转债!$G$5:$G$28</c:f>
              <c:numCache>
                <c:formatCode>yyyy\-mm\-dd</c:formatCode>
                <c:ptCount val="24"/>
                <c:pt idx="0">
                  <c:v>44071</c:v>
                </c:pt>
                <c:pt idx="1">
                  <c:v>44064</c:v>
                </c:pt>
                <c:pt idx="2">
                  <c:v>44057</c:v>
                </c:pt>
                <c:pt idx="3">
                  <c:v>44050</c:v>
                </c:pt>
                <c:pt idx="4">
                  <c:v>44043</c:v>
                </c:pt>
                <c:pt idx="5">
                  <c:v>44036</c:v>
                </c:pt>
                <c:pt idx="6">
                  <c:v>44029</c:v>
                </c:pt>
                <c:pt idx="7">
                  <c:v>44022</c:v>
                </c:pt>
                <c:pt idx="8">
                  <c:v>44015</c:v>
                </c:pt>
                <c:pt idx="9">
                  <c:v>44006</c:v>
                </c:pt>
                <c:pt idx="10">
                  <c:v>44001</c:v>
                </c:pt>
                <c:pt idx="11">
                  <c:v>43994</c:v>
                </c:pt>
                <c:pt idx="12">
                  <c:v>43987</c:v>
                </c:pt>
                <c:pt idx="13">
                  <c:v>43980</c:v>
                </c:pt>
                <c:pt idx="14">
                  <c:v>43973</c:v>
                </c:pt>
                <c:pt idx="15">
                  <c:v>43966</c:v>
                </c:pt>
                <c:pt idx="16">
                  <c:v>43959</c:v>
                </c:pt>
                <c:pt idx="17">
                  <c:v>43951</c:v>
                </c:pt>
                <c:pt idx="18">
                  <c:v>43945</c:v>
                </c:pt>
                <c:pt idx="19">
                  <c:v>43938</c:v>
                </c:pt>
                <c:pt idx="20">
                  <c:v>43931</c:v>
                </c:pt>
                <c:pt idx="21">
                  <c:v>43924</c:v>
                </c:pt>
                <c:pt idx="22">
                  <c:v>43917</c:v>
                </c:pt>
                <c:pt idx="23">
                  <c:v>43910</c:v>
                </c:pt>
              </c:numCache>
            </c:numRef>
          </c:cat>
          <c:val>
            <c:numRef>
              <c:f>转债!$J$5:$J$28</c:f>
              <c:numCache>
                <c:formatCode>General</c:formatCode>
                <c:ptCount val="24"/>
                <c:pt idx="0">
                  <c:v>32.602472024777903</c:v>
                </c:pt>
                <c:pt idx="1">
                  <c:v>29.169282506883899</c:v>
                </c:pt>
                <c:pt idx="2">
                  <c:v>28.780193297213501</c:v>
                </c:pt>
                <c:pt idx="3">
                  <c:v>28.870453300165899</c:v>
                </c:pt>
                <c:pt idx="4">
                  <c:v>28.517887994765399</c:v>
                </c:pt>
                <c:pt idx="5">
                  <c:v>23.331904184684699</c:v>
                </c:pt>
                <c:pt idx="6">
                  <c:v>24.402468187071701</c:v>
                </c:pt>
                <c:pt idx="7">
                  <c:v>30.107910987881102</c:v>
                </c:pt>
                <c:pt idx="8">
                  <c:v>20.977953199090798</c:v>
                </c:pt>
                <c:pt idx="9">
                  <c:v>13.296901950083001</c:v>
                </c:pt>
                <c:pt idx="10">
                  <c:v>12.1943141782249</c:v>
                </c:pt>
                <c:pt idx="11">
                  <c:v>9.5767193464380895</c:v>
                </c:pt>
                <c:pt idx="12">
                  <c:v>9.5265718588997608</c:v>
                </c:pt>
                <c:pt idx="13">
                  <c:v>5.8523459238290796</c:v>
                </c:pt>
                <c:pt idx="14">
                  <c:v>4.6764201887543804</c:v>
                </c:pt>
                <c:pt idx="15">
                  <c:v>7.1058332887836499</c:v>
                </c:pt>
                <c:pt idx="16">
                  <c:v>8.4965446547089698</c:v>
                </c:pt>
                <c:pt idx="17">
                  <c:v>7.0992993339390003</c:v>
                </c:pt>
                <c:pt idx="18">
                  <c:v>3.9348313690819698</c:v>
                </c:pt>
                <c:pt idx="19">
                  <c:v>5.0985979808135999</c:v>
                </c:pt>
                <c:pt idx="20">
                  <c:v>3.1740266453419399</c:v>
                </c:pt>
                <c:pt idx="21">
                  <c:v>1.6422316737827001</c:v>
                </c:pt>
                <c:pt idx="22">
                  <c:v>1.5557929531776</c:v>
                </c:pt>
                <c:pt idx="23">
                  <c:v>0</c:v>
                </c:pt>
              </c:numCache>
            </c:numRef>
          </c:val>
          <c:smooth val="1"/>
        </c:ser>
        <c:dLbls>
          <c:showLegendKey val="0"/>
          <c:showVal val="0"/>
          <c:showCatName val="0"/>
          <c:showSerName val="0"/>
          <c:showPercent val="0"/>
          <c:showBubbleSize val="0"/>
        </c:dLbls>
        <c:marker val="1"/>
        <c:smooth val="0"/>
        <c:axId val="343940480"/>
        <c:axId val="343942272"/>
      </c:lineChart>
      <c:dateAx>
        <c:axId val="343940480"/>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942272"/>
        <c:crosses val="autoZero"/>
        <c:auto val="0"/>
        <c:lblOffset val="0"/>
        <c:baseTimeUnit val="days"/>
        <c:majorUnit val="14"/>
        <c:majorTimeUnit val="days"/>
      </c:dateAx>
      <c:valAx>
        <c:axId val="343942272"/>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940480"/>
        <c:crosses val="autoZero"/>
        <c:crossBetween val="between"/>
      </c:valAx>
    </c:plotArea>
    <c:legend>
      <c:legendPos val="r"/>
      <c:layout>
        <c:manualLayout>
          <c:xMode val="edge"/>
          <c:yMode val="edge"/>
          <c:x val="9.9472222222222198E-2"/>
          <c:y val="2.3337707786526699E-3"/>
          <c:w val="0.86834886264217004"/>
          <c:h val="8.1219378827646599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库存!$H$1</c:f>
              <c:strCache>
                <c:ptCount val="1"/>
                <c:pt idx="0">
                  <c:v>2018</c:v>
                </c:pt>
              </c:strCache>
            </c:strRef>
          </c:tx>
          <c:spPr>
            <a:ln w="28575" cap="rnd" cmpd="sng" algn="ctr">
              <a:solidFill>
                <a:srgbClr val="E7E6E6">
                  <a:lumMod val="75000"/>
                </a:srgbClr>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ser>
        <c:ser>
          <c:idx val="2"/>
          <c:order val="1"/>
          <c:tx>
            <c:strRef>
              <c:f>库存!$I$1</c:f>
              <c:strCache>
                <c:ptCount val="1"/>
                <c:pt idx="0">
                  <c:v>2019</c:v>
                </c:pt>
              </c:strCache>
            </c:strRef>
          </c:tx>
          <c:spPr>
            <a:ln w="28575" cap="rnd" cmpd="sng" algn="ctr">
              <a:solidFill>
                <a:srgbClr val="F8CBAD"/>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ser>
        <c:ser>
          <c:idx val="1"/>
          <c:order val="2"/>
          <c:tx>
            <c:strRef>
              <c:f>库存!$J$1</c:f>
              <c:strCache>
                <c:ptCount val="1"/>
                <c:pt idx="0">
                  <c:v>2020</c:v>
                </c:pt>
              </c:strCache>
            </c:strRef>
          </c:tx>
          <c:spPr>
            <a:ln w="28575" cap="rnd" cmpd="sng" algn="ctr">
              <a:solidFill>
                <a:srgbClr val="BF5711"/>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1540.18</c:v>
                </c:pt>
                <c:pt idx="234">
                  <c:v>#N/A</c:v>
                </c:pt>
                <c:pt idx="235">
                  <c:v>#N/A</c:v>
                </c:pt>
                <c:pt idx="236">
                  <c:v>#N/A</c:v>
                </c:pt>
                <c:pt idx="237">
                  <c:v>#N/A</c:v>
                </c:pt>
                <c:pt idx="238">
                  <c:v>#N/A</c:v>
                </c:pt>
                <c:pt idx="239">
                  <c:v>#N/A</c:v>
                </c:pt>
                <c:pt idx="240">
                  <c:v>1549.58</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343970176"/>
        <c:axId val="343971712"/>
      </c:lineChart>
      <c:dateAx>
        <c:axId val="34397017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971712"/>
        <c:crosses val="autoZero"/>
        <c:auto val="0"/>
        <c:lblOffset val="0"/>
        <c:baseTimeUnit val="days"/>
        <c:majorUnit val="1"/>
        <c:majorTimeUnit val="months"/>
      </c:dateAx>
      <c:valAx>
        <c:axId val="343971712"/>
        <c:scaling>
          <c:orientation val="minMax"/>
          <c:min val="5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97017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水泥!$H$1</c:f>
              <c:strCache>
                <c:ptCount val="1"/>
                <c:pt idx="0">
                  <c:v>2018</c:v>
                </c:pt>
              </c:strCache>
            </c:strRef>
          </c:tx>
          <c:spPr>
            <a:ln w="28575" cap="rnd" cmpd="sng" algn="ctr">
              <a:solidFill>
                <a:srgbClr val="E7E6E6">
                  <a:lumMod val="75000"/>
                </a:srgbClr>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ser>
        <c:ser>
          <c:idx val="2"/>
          <c:order val="1"/>
          <c:tx>
            <c:strRef>
              <c:f>水泥!$I$1</c:f>
              <c:strCache>
                <c:ptCount val="1"/>
                <c:pt idx="0">
                  <c:v>2019</c:v>
                </c:pt>
              </c:strCache>
            </c:strRef>
          </c:tx>
          <c:spPr>
            <a:ln w="28575" cap="rnd" cmpd="sng" algn="ctr">
              <a:solidFill>
                <a:srgbClr val="F8CBAD"/>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ser>
        <c:ser>
          <c:idx val="1"/>
          <c:order val="2"/>
          <c:tx>
            <c:strRef>
              <c:f>水泥!$J$1</c:f>
              <c:strCache>
                <c:ptCount val="1"/>
                <c:pt idx="0">
                  <c:v>2020</c:v>
                </c:pt>
              </c:strCache>
            </c:strRef>
          </c:tx>
          <c:spPr>
            <a:ln w="28575" cap="rnd" cmpd="sng" algn="ctr">
              <a:solidFill>
                <a:srgbClr val="BF5711"/>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343981440"/>
        <c:axId val="348079232"/>
      </c:lineChart>
      <c:dateAx>
        <c:axId val="343981440"/>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8079232"/>
        <c:crosses val="autoZero"/>
        <c:auto val="0"/>
        <c:lblOffset val="0"/>
        <c:baseTimeUnit val="days"/>
        <c:majorUnit val="1"/>
        <c:majorTimeUnit val="months"/>
      </c:dateAx>
      <c:valAx>
        <c:axId val="348079232"/>
        <c:scaling>
          <c:orientation val="minMax"/>
          <c:max val="170"/>
          <c:min val="9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3981440"/>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南华!$H$1</c:f>
              <c:strCache>
                <c:ptCount val="1"/>
                <c:pt idx="0">
                  <c:v>2018</c:v>
                </c:pt>
              </c:strCache>
            </c:strRef>
          </c:tx>
          <c:spPr>
            <a:ln w="28575" cap="rnd" cmpd="sng" algn="ctr">
              <a:solidFill>
                <a:srgbClr val="E7E6E6">
                  <a:lumMod val="75000"/>
                </a:srgbClr>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ser>
        <c:ser>
          <c:idx val="2"/>
          <c:order val="1"/>
          <c:tx>
            <c:strRef>
              <c:f>南华!$I$1</c:f>
              <c:strCache>
                <c:ptCount val="1"/>
                <c:pt idx="0">
                  <c:v>2019</c:v>
                </c:pt>
              </c:strCache>
            </c:strRef>
          </c:tx>
          <c:spPr>
            <a:ln w="28575" cap="rnd" cmpd="sng" algn="ctr">
              <a:solidFill>
                <a:srgbClr val="F8CBAD"/>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ser>
        <c:ser>
          <c:idx val="1"/>
          <c:order val="2"/>
          <c:tx>
            <c:strRef>
              <c:f>南华!$J$1</c:f>
              <c:strCache>
                <c:ptCount val="1"/>
                <c:pt idx="0">
                  <c:v>2020</c:v>
                </c:pt>
              </c:strCache>
            </c:strRef>
          </c:tx>
          <c:spPr>
            <a:ln w="28575" cap="rnd" cmpd="sng" algn="ctr">
              <a:solidFill>
                <a:srgbClr val="BF5711"/>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348105344"/>
        <c:axId val="348107136"/>
      </c:lineChart>
      <c:dateAx>
        <c:axId val="348105344"/>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8107136"/>
        <c:crosses val="autoZero"/>
        <c:auto val="0"/>
        <c:lblOffset val="0"/>
        <c:baseTimeUnit val="days"/>
        <c:majorUnit val="1"/>
        <c:majorTimeUnit val="months"/>
      </c:dateAx>
      <c:valAx>
        <c:axId val="348107136"/>
        <c:scaling>
          <c:orientation val="minMax"/>
          <c:min val="17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8105344"/>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原油!$I$1</c:f>
              <c:strCache>
                <c:ptCount val="1"/>
                <c:pt idx="0">
                  <c:v>2019</c:v>
                </c:pt>
              </c:strCache>
            </c:strRef>
          </c:tx>
          <c:spPr>
            <a:ln w="28575" cap="rnd" cmpd="sng" algn="ctr">
              <a:solidFill>
                <a:srgbClr val="F8CBAD"/>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ser>
        <c:ser>
          <c:idx val="2"/>
          <c:order val="1"/>
          <c:tx>
            <c:strRef>
              <c:f>原油!$J$1</c:f>
              <c:strCache>
                <c:ptCount val="1"/>
                <c:pt idx="0">
                  <c:v>2020</c:v>
                </c:pt>
              </c:strCache>
            </c:strRef>
          </c:tx>
          <c:spPr>
            <a:ln w="28575" cap="rnd" cmpd="sng" algn="ctr">
              <a:solidFill>
                <a:srgbClr val="BF5711"/>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42.34</c:v>
                </c:pt>
                <c:pt idx="235">
                  <c:v>#N/A</c:v>
                </c:pt>
                <c:pt idx="236">
                  <c:v>#N/A</c:v>
                </c:pt>
                <c:pt idx="237">
                  <c:v>#N/A</c:v>
                </c:pt>
                <c:pt idx="238">
                  <c:v>#N/A</c:v>
                </c:pt>
                <c:pt idx="239">
                  <c:v>#N/A</c:v>
                </c:pt>
                <c:pt idx="240">
                  <c:v>#N/A</c:v>
                </c:pt>
                <c:pt idx="241">
                  <c:v>42.97</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348136576"/>
        <c:axId val="348138112"/>
      </c:lineChart>
      <c:dateAx>
        <c:axId val="34813657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8138112"/>
        <c:crosses val="autoZero"/>
        <c:auto val="0"/>
        <c:lblOffset val="0"/>
        <c:baseTimeUnit val="days"/>
        <c:majorUnit val="1"/>
        <c:majorTimeUnit val="months"/>
      </c:dateAx>
      <c:valAx>
        <c:axId val="348138112"/>
        <c:scaling>
          <c:orientation val="minMax"/>
          <c:min val="15"/>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4813657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2" name="矩形 1"/>
        <cdr:cNvSpPr/>
      </cdr:nvSpPr>
      <cdr:spPr>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2" name="矩形 1"/>
        <cdr:cNvSpPr/>
      </cdr:nvSpPr>
      <cdr:spPr>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美元</a:t>
          </a:r>
          <a:r>
            <a:rPr lang="en-US" altLang="zh-CN" sz="700" b="0" i="0" u="none" strike="noStrike" baseline="0">
              <a:solidFill>
                <a:srgbClr val="000000"/>
              </a:solidFill>
              <a:latin typeface="楷体" panose="02010609060101010101" pitchFamily="3" charset="-122"/>
              <a:ea typeface="楷体" panose="02010609060101010101" pitchFamily="3" charset="-122"/>
            </a:rPr>
            <a:t>/</a:t>
          </a:r>
          <a:r>
            <a:rPr lang="zh-CN" altLang="en-US" sz="700" b="0" i="0" u="none" strike="noStrike" baseline="0">
              <a:solidFill>
                <a:srgbClr val="000000"/>
              </a:solidFill>
              <a:latin typeface="楷体" panose="02010609060101010101" pitchFamily="3" charset="-122"/>
              <a:ea typeface="楷体" panose="02010609060101010101" pitchFamily="3"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886EC8-44A0-4BE3-AD17-6D850D994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724</Words>
  <Characters>4131</Characters>
  <Application>Microsoft Office Word</Application>
  <DocSecurity>0</DocSecurity>
  <Lines>34</Lines>
  <Paragraphs>9</Paragraphs>
  <ScaleCrop>false</ScaleCrop>
  <Company>Microsoft</Company>
  <LinksUpToDate>false</LinksUpToDate>
  <CharactersWithSpaces>4846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Lenovo</dc:creator>
  <cp:lastModifiedBy>Administrator</cp:lastModifiedBy>
  <cp:revision>2</cp:revision>
  <cp:lastPrinted>2020-08-23T13:04:00Z</cp:lastPrinted>
  <dcterms:created xsi:type="dcterms:W3CDTF">2020-08-31T06:56:00Z</dcterms:created>
  <dcterms:modified xsi:type="dcterms:W3CDTF">2020-08-31T06:56:00Z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