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72779D" w:rsidRDefault="00F61B6E">
      <w:pPr>
        <w:spacing w:beforeLines="100" w:before="312"/>
        <w:jc w:val="center"/>
        <w:rPr>
          <w:rFonts w:ascii="楷体" w:eastAsia="楷体" w:hAnsi="楷体"/>
          <w:b/>
          <w:sz w:val="44"/>
          <w:szCs w:val="44"/>
        </w:rPr>
      </w:pPr>
      <w:r>
        <w:rPr>
          <w:rFonts w:ascii="楷体" w:eastAsia="楷体" w:hAnsi="楷体" w:hint="eastAsia"/>
          <w:b/>
          <w:sz w:val="44"/>
          <w:szCs w:val="44"/>
        </w:rPr>
        <w:t>富荣基金固定收益周报</w:t>
      </w:r>
    </w:p>
    <w:p w:rsidR="0072779D" w:rsidRDefault="00F61B6E">
      <w:pPr>
        <w:widowControl/>
        <w:jc w:val="center"/>
        <w:rPr>
          <w:rFonts w:ascii="楷体" w:eastAsia="楷体" w:hAnsi="楷体"/>
          <w:sz w:val="28"/>
          <w:szCs w:val="28"/>
        </w:rPr>
      </w:pPr>
      <w:r>
        <w:rPr>
          <w:rFonts w:ascii="楷体" w:eastAsia="楷体" w:hAnsi="楷体" w:hint="eastAsia"/>
          <w:sz w:val="28"/>
          <w:szCs w:val="28"/>
        </w:rPr>
        <w:t>——股市显著回调，债市反弹后回落</w:t>
      </w:r>
    </w:p>
    <w:p w:rsidR="0072779D" w:rsidRDefault="00F61B6E">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Pr>
          <w:rFonts w:ascii="楷体" w:eastAsia="楷体" w:hAnsi="楷体"/>
          <w:sz w:val="28"/>
          <w:szCs w:val="28"/>
        </w:rPr>
        <w:t>年</w:t>
      </w:r>
      <w:r>
        <w:rPr>
          <w:rFonts w:ascii="楷体" w:eastAsia="楷体" w:hAnsi="楷体"/>
          <w:sz w:val="28"/>
          <w:szCs w:val="28"/>
        </w:rPr>
        <w:t>9</w:t>
      </w:r>
      <w:r>
        <w:rPr>
          <w:rFonts w:ascii="楷体" w:eastAsia="楷体" w:hAnsi="楷体"/>
          <w:sz w:val="28"/>
          <w:szCs w:val="28"/>
        </w:rPr>
        <w:t>月</w:t>
      </w:r>
      <w:r>
        <w:rPr>
          <w:rFonts w:ascii="楷体" w:eastAsia="楷体" w:hAnsi="楷体"/>
          <w:sz w:val="28"/>
          <w:szCs w:val="28"/>
        </w:rPr>
        <w:t>1</w:t>
      </w:r>
      <w:r>
        <w:rPr>
          <w:rFonts w:ascii="楷体" w:eastAsia="楷体" w:hAnsi="楷体" w:hint="eastAsia"/>
          <w:sz w:val="28"/>
          <w:szCs w:val="28"/>
        </w:rPr>
        <w:t>1</w:t>
      </w:r>
      <w:r>
        <w:rPr>
          <w:rFonts w:ascii="楷体" w:eastAsia="楷体" w:hAnsi="楷体" w:hint="eastAsia"/>
          <w:sz w:val="28"/>
          <w:szCs w:val="28"/>
        </w:rPr>
        <w:t>日</w:t>
      </w:r>
    </w:p>
    <w:p w:rsidR="0072779D" w:rsidRDefault="00F61B6E">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一、本周关注：</w:t>
      </w:r>
      <w:r>
        <w:rPr>
          <w:color w:val="C45911" w:themeColor="accent2" w:themeShade="BF"/>
        </w:rPr>
        <w:t xml:space="preserve"> </w:t>
      </w:r>
    </w:p>
    <w:p w:rsidR="0072779D" w:rsidRPr="00F46B74" w:rsidRDefault="00F61B6E">
      <w:pPr>
        <w:pStyle w:val="Body-text"/>
        <w:spacing w:after="240"/>
        <w:ind w:firstLineChars="200" w:firstLine="480"/>
        <w:rPr>
          <w:rFonts w:ascii="华文楷体" w:hAnsi="华文楷体"/>
          <w:bCs/>
          <w:sz w:val="24"/>
          <w:szCs w:val="24"/>
          <w:lang w:eastAsia="zh-CN"/>
        </w:rPr>
      </w:pPr>
      <w:r w:rsidRPr="00F46B74">
        <w:rPr>
          <w:rFonts w:ascii="华文楷体" w:hAnsi="华文楷体" w:hint="eastAsia"/>
          <w:bCs/>
          <w:sz w:val="24"/>
          <w:szCs w:val="24"/>
          <w:lang w:eastAsia="zh-CN"/>
        </w:rPr>
        <w:t>本周公布</w:t>
      </w:r>
      <w:r w:rsidRPr="00F46B74">
        <w:rPr>
          <w:rFonts w:ascii="华文楷体" w:hAnsi="华文楷体" w:hint="eastAsia"/>
          <w:bCs/>
          <w:sz w:val="24"/>
          <w:szCs w:val="24"/>
          <w:lang w:eastAsia="zh-CN"/>
        </w:rPr>
        <w:t>8</w:t>
      </w:r>
      <w:r w:rsidRPr="00F46B74">
        <w:rPr>
          <w:rFonts w:ascii="华文楷体" w:hAnsi="华文楷体" w:hint="eastAsia"/>
          <w:bCs/>
          <w:sz w:val="24"/>
          <w:szCs w:val="24"/>
          <w:lang w:eastAsia="zh-CN"/>
        </w:rPr>
        <w:t>月份金融数据</w:t>
      </w:r>
      <w:r w:rsidR="00534B8A" w:rsidRPr="00F46B74">
        <w:rPr>
          <w:rFonts w:ascii="华文楷体" w:hAnsi="华文楷体" w:hint="eastAsia"/>
          <w:bCs/>
          <w:sz w:val="24"/>
          <w:szCs w:val="24"/>
          <w:lang w:eastAsia="zh-CN"/>
        </w:rPr>
        <w:t>，社会融资规模存量同比增长13.3%。其中，对实体经济发放的人民币贷款余额同比增长13.3%，政府债券余额同比增长18.7%。人民币贷款同比增速持续维持较高增速，显示信用扩张仍维持在较高水平。地方政府债和国债持续大量发行，同时上半年财政支出节奏偏慢，支出累计同比增速位于低位</w:t>
      </w:r>
      <w:r w:rsidR="002004E4" w:rsidRPr="00F46B74">
        <w:rPr>
          <w:rFonts w:ascii="华文楷体" w:hAnsi="华文楷体" w:hint="eastAsia"/>
          <w:bCs/>
          <w:sz w:val="24"/>
          <w:szCs w:val="24"/>
          <w:lang w:eastAsia="zh-CN"/>
        </w:rPr>
        <w:t>。后续财政加快支出是大概率事件。</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F46B74" w:rsidRPr="00F46B74" w:rsidTr="005A5AB1">
        <w:trPr>
          <w:jc w:val="center"/>
        </w:trPr>
        <w:tc>
          <w:tcPr>
            <w:tcW w:w="4939" w:type="dxa"/>
            <w:vAlign w:val="center"/>
          </w:tcPr>
          <w:p w:rsidR="00534B8A" w:rsidRPr="00F46B74" w:rsidRDefault="00534B8A" w:rsidP="005A5AB1">
            <w:pPr>
              <w:pStyle w:val="ChartHeading"/>
              <w:jc w:val="both"/>
            </w:pPr>
            <w:r w:rsidRPr="00F46B74">
              <w:rPr>
                <w:rFonts w:hint="eastAsia"/>
              </w:rPr>
              <w:t>图表</w:t>
            </w:r>
            <w:r w:rsidRPr="00F46B74">
              <w:t xml:space="preserve">. </w:t>
            </w:r>
            <w:r w:rsidRPr="00F46B74">
              <w:rPr>
                <w:rFonts w:hint="eastAsia"/>
              </w:rPr>
              <w:t>财政支出累计同比增速仍位于低位</w:t>
            </w:r>
          </w:p>
        </w:tc>
        <w:tc>
          <w:tcPr>
            <w:tcW w:w="4938" w:type="dxa"/>
            <w:vAlign w:val="center"/>
          </w:tcPr>
          <w:p w:rsidR="00534B8A" w:rsidRPr="00F46B74" w:rsidRDefault="00534B8A" w:rsidP="005A5AB1">
            <w:pPr>
              <w:pStyle w:val="ChartHeading"/>
              <w:jc w:val="both"/>
              <w:rPr>
                <w:rFonts w:hint="eastAsia"/>
              </w:rPr>
            </w:pPr>
            <w:r w:rsidRPr="00F46B74">
              <w:rPr>
                <w:rFonts w:hint="eastAsia"/>
              </w:rPr>
              <w:t>图表</w:t>
            </w:r>
            <w:r w:rsidRPr="00F46B74">
              <w:t xml:space="preserve">. </w:t>
            </w:r>
            <w:r w:rsidRPr="00F46B74">
              <w:rPr>
                <w:rFonts w:hint="eastAsia"/>
              </w:rPr>
              <w:t>社融存量中政府债券增速同比持续回升</w:t>
            </w:r>
          </w:p>
        </w:tc>
      </w:tr>
      <w:tr w:rsidR="00F46B74" w:rsidRPr="00F46B74" w:rsidTr="005A5AB1">
        <w:tblPrEx>
          <w:tblCellMar>
            <w:left w:w="108" w:type="dxa"/>
            <w:right w:w="108" w:type="dxa"/>
          </w:tblCellMar>
        </w:tblPrEx>
        <w:trPr>
          <w:jc w:val="center"/>
        </w:trPr>
        <w:tc>
          <w:tcPr>
            <w:tcW w:w="4939" w:type="dxa"/>
            <w:vAlign w:val="center"/>
          </w:tcPr>
          <w:p w:rsidR="00534B8A" w:rsidRPr="00F46B74" w:rsidRDefault="00534B8A" w:rsidP="005A5AB1">
            <w:pPr>
              <w:jc w:val="center"/>
              <w:rPr>
                <w:sz w:val="14"/>
                <w:szCs w:val="14"/>
              </w:rPr>
            </w:pPr>
            <w:r w:rsidRPr="00F46B74">
              <w:rPr>
                <w:noProof/>
              </w:rPr>
              <w:drawing>
                <wp:inline distT="0" distB="0" distL="0" distR="0" wp14:anchorId="1C15BAD2" wp14:editId="08ACD260">
                  <wp:extent cx="2863215" cy="1579240"/>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17200" cy="1609016"/>
                          </a:xfrm>
                          <a:prstGeom prst="rect">
                            <a:avLst/>
                          </a:prstGeom>
                        </pic:spPr>
                      </pic:pic>
                    </a:graphicData>
                  </a:graphic>
                </wp:inline>
              </w:drawing>
            </w:r>
          </w:p>
        </w:tc>
        <w:tc>
          <w:tcPr>
            <w:tcW w:w="4938" w:type="dxa"/>
            <w:vAlign w:val="center"/>
          </w:tcPr>
          <w:p w:rsidR="00534B8A" w:rsidRPr="00F46B74" w:rsidRDefault="00534B8A" w:rsidP="005A5AB1">
            <w:pPr>
              <w:jc w:val="center"/>
              <w:rPr>
                <w:sz w:val="18"/>
                <w:szCs w:val="15"/>
              </w:rPr>
            </w:pPr>
            <w:r w:rsidRPr="00F46B74">
              <w:rPr>
                <w:noProof/>
              </w:rPr>
              <w:drawing>
                <wp:inline distT="0" distB="0" distL="0" distR="0" wp14:anchorId="690F564F" wp14:editId="0C6EFFB3">
                  <wp:extent cx="2838450" cy="1483897"/>
                  <wp:effectExtent l="0" t="0" r="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99926" cy="1516036"/>
                          </a:xfrm>
                          <a:prstGeom prst="rect">
                            <a:avLst/>
                          </a:prstGeom>
                        </pic:spPr>
                      </pic:pic>
                    </a:graphicData>
                  </a:graphic>
                </wp:inline>
              </w:drawing>
            </w:r>
          </w:p>
        </w:tc>
      </w:tr>
      <w:tr w:rsidR="00F46B74" w:rsidRPr="00F46B74" w:rsidTr="005A5AB1">
        <w:trPr>
          <w:trHeight w:val="64"/>
          <w:jc w:val="center"/>
        </w:trPr>
        <w:tc>
          <w:tcPr>
            <w:tcW w:w="4939" w:type="dxa"/>
            <w:vAlign w:val="center"/>
          </w:tcPr>
          <w:p w:rsidR="00534B8A" w:rsidRPr="00F46B74" w:rsidRDefault="00534B8A" w:rsidP="005A5AB1">
            <w:pPr>
              <w:pStyle w:val="Source"/>
              <w:jc w:val="both"/>
              <w:rPr>
                <w:kern w:val="0"/>
              </w:rPr>
            </w:pPr>
            <w:r w:rsidRPr="00F46B74">
              <w:rPr>
                <w:rFonts w:hint="eastAsia"/>
                <w:kern w:val="0"/>
              </w:rPr>
              <w:t>资料来源：万得，富荣基金</w:t>
            </w:r>
          </w:p>
        </w:tc>
        <w:tc>
          <w:tcPr>
            <w:tcW w:w="4938" w:type="dxa"/>
            <w:vAlign w:val="center"/>
          </w:tcPr>
          <w:p w:rsidR="00534B8A" w:rsidRPr="00F46B74" w:rsidRDefault="00534B8A" w:rsidP="005A5AB1">
            <w:pPr>
              <w:pStyle w:val="Source"/>
              <w:jc w:val="both"/>
              <w:rPr>
                <w:kern w:val="0"/>
              </w:rPr>
            </w:pPr>
            <w:r w:rsidRPr="00F46B74">
              <w:rPr>
                <w:rFonts w:hint="eastAsia"/>
                <w:kern w:val="0"/>
              </w:rPr>
              <w:t>资料来源：万得，富荣基金</w:t>
            </w:r>
          </w:p>
        </w:tc>
      </w:tr>
    </w:tbl>
    <w:p w:rsidR="00534B8A" w:rsidRPr="00F46B74" w:rsidRDefault="00534B8A">
      <w:pPr>
        <w:pStyle w:val="Body-text"/>
        <w:spacing w:after="240"/>
        <w:ind w:firstLineChars="200" w:firstLine="480"/>
        <w:rPr>
          <w:rFonts w:ascii="华文楷体" w:hAnsi="华文楷体" w:hint="eastAsia"/>
          <w:bCs/>
          <w:sz w:val="24"/>
          <w:szCs w:val="24"/>
          <w:lang w:eastAsia="zh-CN"/>
        </w:rPr>
      </w:pPr>
    </w:p>
    <w:p w:rsidR="00F46B74" w:rsidRPr="00F46B74" w:rsidRDefault="002004E4">
      <w:pPr>
        <w:pStyle w:val="Body-text"/>
        <w:spacing w:after="240"/>
        <w:rPr>
          <w:rFonts w:ascii="华文楷体" w:hAnsi="华文楷体" w:hint="eastAsia"/>
          <w:bCs/>
          <w:sz w:val="24"/>
          <w:szCs w:val="24"/>
          <w:lang w:eastAsia="zh-CN"/>
        </w:rPr>
      </w:pPr>
      <w:r w:rsidRPr="00F46B74">
        <w:rPr>
          <w:rFonts w:ascii="华文楷体" w:hAnsi="华文楷体"/>
          <w:bCs/>
          <w:sz w:val="24"/>
          <w:szCs w:val="24"/>
          <w:lang w:eastAsia="zh-CN"/>
        </w:rPr>
        <w:tab/>
      </w:r>
      <w:r w:rsidRPr="00F46B74">
        <w:rPr>
          <w:rFonts w:ascii="华文楷体" w:hAnsi="华文楷体" w:hint="eastAsia"/>
          <w:bCs/>
          <w:sz w:val="24"/>
          <w:szCs w:val="24"/>
          <w:lang w:eastAsia="zh-CN"/>
        </w:rPr>
        <w:t xml:space="preserve"> </w:t>
      </w:r>
      <w:r w:rsidR="00F46B74" w:rsidRPr="00F46B74">
        <w:rPr>
          <w:rFonts w:ascii="华文楷体" w:hAnsi="华文楷体" w:hint="eastAsia"/>
          <w:bCs/>
          <w:sz w:val="24"/>
          <w:szCs w:val="24"/>
          <w:lang w:eastAsia="zh-CN"/>
        </w:rPr>
        <w:t>按照</w:t>
      </w:r>
      <w:r w:rsidRPr="00F46B74">
        <w:rPr>
          <w:rFonts w:ascii="华文楷体" w:hAnsi="华文楷体" w:hint="eastAsia"/>
          <w:bCs/>
          <w:sz w:val="24"/>
          <w:szCs w:val="24"/>
          <w:lang w:eastAsia="zh-CN"/>
        </w:rPr>
        <w:t>一般公共预算支出</w:t>
      </w:r>
      <w:r w:rsidR="00D014E2" w:rsidRPr="00F46B74">
        <w:rPr>
          <w:rFonts w:ascii="华文楷体" w:hAnsi="华文楷体" w:hint="eastAsia"/>
          <w:bCs/>
          <w:sz w:val="24"/>
          <w:szCs w:val="24"/>
          <w:lang w:eastAsia="zh-CN"/>
        </w:rPr>
        <w:t>预算和政府性基金支出预算计算，全年财政支出规模约为3</w:t>
      </w:r>
      <w:r w:rsidR="00D014E2" w:rsidRPr="00F46B74">
        <w:rPr>
          <w:rFonts w:ascii="华文楷体" w:hAnsi="华文楷体"/>
          <w:bCs/>
          <w:sz w:val="24"/>
          <w:szCs w:val="24"/>
          <w:lang w:eastAsia="zh-CN"/>
        </w:rPr>
        <w:t>7.4</w:t>
      </w:r>
      <w:r w:rsidR="00D014E2" w:rsidRPr="00F46B74">
        <w:rPr>
          <w:rFonts w:ascii="华文楷体" w:hAnsi="华文楷体" w:hint="eastAsia"/>
          <w:bCs/>
          <w:sz w:val="24"/>
          <w:szCs w:val="24"/>
          <w:lang w:eastAsia="zh-CN"/>
        </w:rPr>
        <w:t>万亿。截止至7月份，两者支出总数约为1</w:t>
      </w:r>
      <w:r w:rsidR="00D014E2" w:rsidRPr="00F46B74">
        <w:rPr>
          <w:rFonts w:ascii="华文楷体" w:hAnsi="华文楷体"/>
          <w:bCs/>
          <w:sz w:val="24"/>
          <w:szCs w:val="24"/>
          <w:lang w:eastAsia="zh-CN"/>
        </w:rPr>
        <w:t>8.65</w:t>
      </w:r>
      <w:r w:rsidR="00D014E2" w:rsidRPr="00F46B74">
        <w:rPr>
          <w:rFonts w:ascii="华文楷体" w:hAnsi="华文楷体" w:hint="eastAsia"/>
          <w:bCs/>
          <w:sz w:val="24"/>
          <w:szCs w:val="24"/>
          <w:lang w:eastAsia="zh-CN"/>
        </w:rPr>
        <w:t>万亿，全年支出进度约为4</w:t>
      </w:r>
      <w:r w:rsidR="00D014E2" w:rsidRPr="00F46B74">
        <w:rPr>
          <w:rFonts w:ascii="华文楷体" w:hAnsi="华文楷体"/>
          <w:bCs/>
          <w:sz w:val="24"/>
          <w:szCs w:val="24"/>
          <w:lang w:eastAsia="zh-CN"/>
        </w:rPr>
        <w:t>9.8</w:t>
      </w:r>
      <w:r w:rsidR="00D014E2" w:rsidRPr="00F46B74">
        <w:rPr>
          <w:rFonts w:ascii="华文楷体" w:hAnsi="华文楷体" w:hint="eastAsia"/>
          <w:bCs/>
          <w:sz w:val="24"/>
          <w:szCs w:val="24"/>
          <w:lang w:eastAsia="zh-CN"/>
        </w:rPr>
        <w:t>%。即使按照一些机构的估算，剔除两种预算的重叠部分，全年支出规模约为3</w:t>
      </w:r>
      <w:r w:rsidR="00D014E2" w:rsidRPr="00F46B74">
        <w:rPr>
          <w:rFonts w:ascii="华文楷体" w:hAnsi="华文楷体"/>
          <w:bCs/>
          <w:sz w:val="24"/>
          <w:szCs w:val="24"/>
          <w:lang w:eastAsia="zh-CN"/>
        </w:rPr>
        <w:t>5</w:t>
      </w:r>
      <w:r w:rsidR="00D014E2" w:rsidRPr="00F46B74">
        <w:rPr>
          <w:rFonts w:ascii="华文楷体" w:hAnsi="华文楷体" w:hint="eastAsia"/>
          <w:bCs/>
          <w:sz w:val="24"/>
          <w:szCs w:val="24"/>
          <w:lang w:eastAsia="zh-CN"/>
        </w:rPr>
        <w:t>万亿</w:t>
      </w:r>
      <w:r w:rsidR="00F46B74" w:rsidRPr="00F46B74">
        <w:rPr>
          <w:rFonts w:ascii="华文楷体" w:hAnsi="华文楷体" w:hint="eastAsia"/>
          <w:bCs/>
          <w:sz w:val="24"/>
          <w:szCs w:val="24"/>
          <w:lang w:eastAsia="zh-CN"/>
        </w:rPr>
        <w:t>，计算得到的支出进度仍然偏慢</w:t>
      </w:r>
      <w:r w:rsidR="00F46B74">
        <w:rPr>
          <w:rFonts w:ascii="华文楷体" w:hAnsi="华文楷体" w:hint="eastAsia"/>
          <w:bCs/>
          <w:sz w:val="24"/>
          <w:szCs w:val="24"/>
          <w:lang w:eastAsia="zh-CN"/>
        </w:rPr>
        <w:t>，</w:t>
      </w:r>
      <w:r w:rsidR="00F46B74" w:rsidRPr="00F46B74">
        <w:rPr>
          <w:rFonts w:ascii="华文楷体" w:hAnsi="华文楷体" w:hint="eastAsia"/>
          <w:bCs/>
          <w:sz w:val="24"/>
          <w:szCs w:val="24"/>
          <w:lang w:eastAsia="zh-CN"/>
        </w:rPr>
        <w:t>三四季度</w:t>
      </w:r>
      <w:r w:rsidR="00F46B74" w:rsidRPr="00F46B74">
        <w:rPr>
          <w:rFonts w:ascii="华文楷体" w:hAnsi="华文楷体" w:hint="eastAsia"/>
          <w:bCs/>
          <w:sz w:val="24"/>
          <w:szCs w:val="24"/>
          <w:lang w:eastAsia="zh-CN"/>
        </w:rPr>
        <w:t>财政支出同比增速将维持在</w:t>
      </w:r>
      <w:r w:rsidR="00F46B74" w:rsidRPr="00F46B74">
        <w:rPr>
          <w:rFonts w:ascii="华文楷体" w:hAnsi="华文楷体"/>
          <w:bCs/>
          <w:sz w:val="24"/>
          <w:szCs w:val="24"/>
          <w:lang w:eastAsia="zh-CN"/>
        </w:rPr>
        <w:t>13</w:t>
      </w:r>
      <w:r w:rsidR="00F46B74" w:rsidRPr="00F46B74">
        <w:rPr>
          <w:rFonts w:ascii="华文楷体" w:hAnsi="华文楷体" w:hint="eastAsia"/>
          <w:bCs/>
          <w:sz w:val="24"/>
          <w:szCs w:val="24"/>
          <w:lang w:eastAsia="zh-CN"/>
        </w:rPr>
        <w:t>%</w:t>
      </w:r>
      <w:r w:rsidR="00F46B74">
        <w:rPr>
          <w:rFonts w:ascii="华文楷体" w:hAnsi="华文楷体" w:hint="eastAsia"/>
          <w:bCs/>
          <w:sz w:val="24"/>
          <w:szCs w:val="24"/>
          <w:lang w:eastAsia="zh-CN"/>
        </w:rPr>
        <w:t>-</w:t>
      </w:r>
      <w:r w:rsidR="00F46B74">
        <w:rPr>
          <w:rFonts w:ascii="华文楷体" w:hAnsi="华文楷体"/>
          <w:bCs/>
          <w:sz w:val="24"/>
          <w:szCs w:val="24"/>
          <w:lang w:eastAsia="zh-CN"/>
        </w:rPr>
        <w:t>15</w:t>
      </w:r>
      <w:r w:rsidR="00F46B74">
        <w:rPr>
          <w:rFonts w:ascii="华文楷体" w:hAnsi="华文楷体" w:hint="eastAsia"/>
          <w:bCs/>
          <w:sz w:val="24"/>
          <w:szCs w:val="24"/>
          <w:lang w:eastAsia="zh-CN"/>
        </w:rPr>
        <w:t>%</w:t>
      </w:r>
      <w:r w:rsidR="00F46B74" w:rsidRPr="00F46B74">
        <w:rPr>
          <w:rFonts w:ascii="华文楷体" w:hAnsi="华文楷体" w:hint="eastAsia"/>
          <w:bCs/>
          <w:sz w:val="24"/>
          <w:szCs w:val="24"/>
          <w:lang w:eastAsia="zh-CN"/>
        </w:rPr>
        <w:t>左右。</w:t>
      </w:r>
      <w:r w:rsidR="00F46B74" w:rsidRPr="00F46B74">
        <w:rPr>
          <w:rFonts w:ascii="华文楷体" w:hAnsi="华文楷体" w:hint="eastAsia"/>
          <w:bCs/>
          <w:sz w:val="24"/>
          <w:szCs w:val="24"/>
          <w:lang w:eastAsia="zh-CN"/>
        </w:rPr>
        <w:t>传统的财政支出大月是6月、9月和1</w:t>
      </w:r>
      <w:r w:rsidR="00F46B74" w:rsidRPr="00F46B74">
        <w:rPr>
          <w:rFonts w:ascii="华文楷体" w:hAnsi="华文楷体"/>
          <w:bCs/>
          <w:sz w:val="24"/>
          <w:szCs w:val="24"/>
          <w:lang w:eastAsia="zh-CN"/>
        </w:rPr>
        <w:t>2</w:t>
      </w:r>
      <w:r w:rsidR="00F46B74" w:rsidRPr="00F46B74">
        <w:rPr>
          <w:rFonts w:ascii="华文楷体" w:hAnsi="华文楷体" w:hint="eastAsia"/>
          <w:bCs/>
          <w:sz w:val="24"/>
          <w:szCs w:val="24"/>
          <w:lang w:eastAsia="zh-CN"/>
        </w:rPr>
        <w:t>月</w:t>
      </w:r>
      <w:r w:rsidR="00AB4826">
        <w:rPr>
          <w:rFonts w:ascii="华文楷体" w:hAnsi="华文楷体" w:hint="eastAsia"/>
          <w:bCs/>
          <w:sz w:val="24"/>
          <w:szCs w:val="24"/>
          <w:lang w:eastAsia="zh-CN"/>
        </w:rPr>
        <w:t>，这意味着三四季度与财政相关的基建将对</w:t>
      </w:r>
      <w:r w:rsidR="00F46B74">
        <w:rPr>
          <w:rFonts w:ascii="华文楷体" w:hAnsi="华文楷体" w:hint="eastAsia"/>
          <w:bCs/>
          <w:sz w:val="24"/>
          <w:szCs w:val="24"/>
          <w:lang w:eastAsia="zh-CN"/>
        </w:rPr>
        <w:t>经济将形成较强支撑。</w:t>
      </w:r>
      <w:bookmarkStart w:id="0" w:name="_GoBack"/>
      <w:bookmarkEnd w:id="0"/>
    </w:p>
    <w:p w:rsidR="0072779D" w:rsidRPr="00F46B74" w:rsidRDefault="00F46B74">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考虑到外需的阶段性修复对净出口有正向影响，没有黑天鹅事件的情况下，年内经济仍将维持修复态势。在信用扩张拐点未到，经济阶段仍维持修复的状态下，央行放量宽松的概率下降。若央行仍维持资金少量投放，资金利率预计仍将围绕政策利率波动。银行流动性仍有压力，叠加缴税影响，资金利率或仍将趋紧。</w:t>
      </w:r>
      <w:r>
        <w:rPr>
          <w:rFonts w:ascii="华文楷体" w:hAnsi="华文楷体" w:hint="eastAsia"/>
          <w:bCs/>
          <w:sz w:val="24"/>
          <w:szCs w:val="24"/>
          <w:lang w:eastAsia="zh-CN"/>
        </w:rPr>
        <w:t>债券整体仍维持</w:t>
      </w:r>
      <w:r>
        <w:rPr>
          <w:rFonts w:ascii="华文楷体" w:hAnsi="华文楷体" w:hint="eastAsia"/>
          <w:bCs/>
          <w:sz w:val="24"/>
          <w:szCs w:val="24"/>
          <w:lang w:eastAsia="zh-CN"/>
        </w:rPr>
        <w:t>谨慎判断，</w:t>
      </w:r>
      <w:r>
        <w:rPr>
          <w:rFonts w:ascii="华文楷体" w:hAnsi="华文楷体" w:hint="eastAsia"/>
          <w:bCs/>
          <w:sz w:val="24"/>
          <w:szCs w:val="24"/>
          <w:lang w:eastAsia="zh-CN"/>
        </w:rPr>
        <w:t>做多需</w:t>
      </w:r>
      <w:r>
        <w:rPr>
          <w:rFonts w:ascii="华文楷体" w:hAnsi="华文楷体" w:hint="eastAsia"/>
          <w:bCs/>
          <w:sz w:val="24"/>
          <w:szCs w:val="24"/>
          <w:lang w:eastAsia="zh-CN"/>
        </w:rPr>
        <w:t>等待基本面和货币政策更明确的信号。</w:t>
      </w:r>
    </w:p>
    <w:p w:rsidR="0072779D" w:rsidRPr="00F46B74" w:rsidRDefault="0072779D">
      <w:pPr>
        <w:pStyle w:val="Body-text"/>
        <w:spacing w:after="240"/>
        <w:ind w:firstLine="480"/>
        <w:rPr>
          <w:sz w:val="23"/>
          <w:szCs w:val="23"/>
          <w:lang w:eastAsia="zh-CN"/>
        </w:rPr>
      </w:pPr>
    </w:p>
    <w:p w:rsidR="0072779D" w:rsidRDefault="00F61B6E">
      <w:pPr>
        <w:pStyle w:val="Header1"/>
        <w:spacing w:before="240"/>
        <w:rPr>
          <w:color w:val="C45911" w:themeColor="accent2" w:themeShade="BF"/>
        </w:rPr>
      </w:pPr>
      <w:r>
        <w:rPr>
          <w:rFonts w:hint="eastAsia"/>
          <w:color w:val="C45911" w:themeColor="accent2" w:themeShade="BF"/>
        </w:rPr>
        <w:t>二、上周市场回顾</w:t>
      </w:r>
    </w:p>
    <w:p w:rsidR="0072779D" w:rsidRDefault="00F61B6E">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rsidR="0072779D" w:rsidRDefault="00F61B6E">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lastRenderedPageBreak/>
        <w:t>本周公开市场操作净投放</w:t>
      </w:r>
      <w:r>
        <w:rPr>
          <w:rFonts w:ascii="华文楷体" w:hAnsi="华文楷体"/>
          <w:sz w:val="24"/>
          <w:szCs w:val="24"/>
          <w:lang w:eastAsia="zh-CN"/>
        </w:rPr>
        <w:t>2300</w:t>
      </w:r>
      <w:r>
        <w:rPr>
          <w:rFonts w:ascii="华文楷体" w:hAnsi="华文楷体" w:hint="eastAsia"/>
          <w:sz w:val="24"/>
          <w:szCs w:val="24"/>
          <w:lang w:eastAsia="zh-CN"/>
        </w:rPr>
        <w:t>亿</w:t>
      </w:r>
      <w:r>
        <w:rPr>
          <w:rFonts w:ascii="华文楷体" w:hAnsi="华文楷体" w:hint="eastAsia"/>
          <w:sz w:val="24"/>
          <w:szCs w:val="24"/>
          <w:lang w:eastAsia="zh-CN"/>
        </w:rPr>
        <w:t>,</w:t>
      </w:r>
      <w:r>
        <w:rPr>
          <w:rFonts w:ascii="华文楷体" w:hAnsi="华文楷体" w:hint="eastAsia"/>
          <w:sz w:val="24"/>
          <w:szCs w:val="24"/>
          <w:lang w:eastAsia="zh-CN"/>
        </w:rPr>
        <w:t>其中逆回购合计到期</w:t>
      </w:r>
      <w:r>
        <w:rPr>
          <w:rFonts w:ascii="华文楷体" w:hAnsi="华文楷体"/>
          <w:sz w:val="24"/>
          <w:szCs w:val="24"/>
          <w:lang w:eastAsia="zh-CN"/>
        </w:rPr>
        <w:t>3900</w:t>
      </w:r>
      <w:r>
        <w:rPr>
          <w:rFonts w:ascii="华文楷体" w:hAnsi="华文楷体" w:hint="eastAsia"/>
          <w:sz w:val="24"/>
          <w:szCs w:val="24"/>
          <w:lang w:eastAsia="zh-CN"/>
        </w:rPr>
        <w:t>亿，逆回购投放</w:t>
      </w:r>
      <w:r>
        <w:rPr>
          <w:rFonts w:ascii="华文楷体" w:hAnsi="华文楷体"/>
          <w:sz w:val="24"/>
          <w:szCs w:val="24"/>
          <w:lang w:eastAsia="zh-CN"/>
        </w:rPr>
        <w:t>6200</w:t>
      </w:r>
      <w:r>
        <w:rPr>
          <w:rFonts w:ascii="华文楷体" w:hAnsi="华文楷体" w:hint="eastAsia"/>
          <w:sz w:val="24"/>
          <w:szCs w:val="24"/>
          <w:lang w:eastAsia="zh-CN"/>
        </w:rPr>
        <w:t>亿。本周资金利率下降明显，周隔夜加权较上周下行</w:t>
      </w:r>
      <w:r>
        <w:rPr>
          <w:rFonts w:ascii="华文楷体" w:hAnsi="华文楷体"/>
          <w:sz w:val="24"/>
          <w:szCs w:val="24"/>
          <w:lang w:eastAsia="zh-CN"/>
        </w:rPr>
        <w:t>28.24</w:t>
      </w:r>
      <w:r>
        <w:rPr>
          <w:rFonts w:ascii="华文楷体" w:hAnsi="华文楷体" w:hint="eastAsia"/>
          <w:sz w:val="24"/>
          <w:szCs w:val="24"/>
          <w:lang w:eastAsia="zh-CN"/>
        </w:rPr>
        <w:t>bp</w:t>
      </w:r>
      <w:r>
        <w:rPr>
          <w:rFonts w:ascii="华文楷体" w:hAnsi="华文楷体" w:hint="eastAsia"/>
          <w:sz w:val="24"/>
          <w:szCs w:val="24"/>
          <w:lang w:eastAsia="zh-CN"/>
        </w:rPr>
        <w:t>至</w:t>
      </w:r>
      <w:r>
        <w:rPr>
          <w:rFonts w:ascii="华文楷体" w:hAnsi="华文楷体"/>
          <w:sz w:val="24"/>
          <w:szCs w:val="24"/>
          <w:lang w:eastAsia="zh-CN"/>
        </w:rPr>
        <w:t>1.75</w:t>
      </w:r>
      <w:r>
        <w:rPr>
          <w:rFonts w:ascii="华文楷体" w:hAnsi="华文楷体" w:hint="eastAsia"/>
          <w:sz w:val="24"/>
          <w:szCs w:val="24"/>
          <w:lang w:eastAsia="zh-CN"/>
        </w:rPr>
        <w:t>%</w:t>
      </w:r>
      <w:r>
        <w:rPr>
          <w:rFonts w:ascii="华文楷体" w:hAnsi="华文楷体" w:hint="eastAsia"/>
          <w:sz w:val="24"/>
          <w:szCs w:val="24"/>
          <w:lang w:eastAsia="zh-CN"/>
        </w:rPr>
        <w:t>，</w:t>
      </w:r>
      <w:r>
        <w:rPr>
          <w:rFonts w:ascii="华文楷体" w:hAnsi="华文楷体" w:hint="eastAsia"/>
          <w:sz w:val="24"/>
          <w:szCs w:val="24"/>
          <w:lang w:eastAsia="zh-CN"/>
        </w:rPr>
        <w:t>7</w:t>
      </w:r>
      <w:r>
        <w:rPr>
          <w:rFonts w:ascii="华文楷体" w:hAnsi="华文楷体" w:hint="eastAsia"/>
          <w:sz w:val="24"/>
          <w:szCs w:val="24"/>
          <w:lang w:eastAsia="zh-CN"/>
        </w:rPr>
        <w:t>天较上周下行</w:t>
      </w:r>
      <w:r>
        <w:rPr>
          <w:rFonts w:ascii="华文楷体" w:hAnsi="华文楷体"/>
          <w:sz w:val="24"/>
          <w:szCs w:val="24"/>
          <w:lang w:eastAsia="zh-CN"/>
        </w:rPr>
        <w:t>13.06</w:t>
      </w:r>
      <w:r>
        <w:rPr>
          <w:rFonts w:ascii="华文楷体" w:hAnsi="华文楷体" w:hint="eastAsia"/>
          <w:sz w:val="24"/>
          <w:szCs w:val="24"/>
          <w:lang w:eastAsia="zh-CN"/>
        </w:rPr>
        <w:t>bp</w:t>
      </w:r>
      <w:r>
        <w:rPr>
          <w:rFonts w:ascii="华文楷体" w:hAnsi="华文楷体" w:hint="eastAsia"/>
          <w:sz w:val="24"/>
          <w:szCs w:val="24"/>
          <w:lang w:eastAsia="zh-CN"/>
        </w:rPr>
        <w:t>至</w:t>
      </w:r>
      <w:r>
        <w:rPr>
          <w:rFonts w:ascii="华文楷体" w:hAnsi="华文楷体"/>
          <w:sz w:val="24"/>
          <w:szCs w:val="24"/>
          <w:lang w:eastAsia="zh-CN"/>
        </w:rPr>
        <w:t>2.26</w:t>
      </w:r>
      <w:r>
        <w:rPr>
          <w:rFonts w:ascii="华文楷体" w:hAnsi="华文楷体" w:hint="eastAsia"/>
          <w:sz w:val="24"/>
          <w:szCs w:val="24"/>
          <w:lang w:eastAsia="zh-CN"/>
        </w:rPr>
        <w:t>%</w:t>
      </w:r>
      <w:r>
        <w:rPr>
          <w:rFonts w:ascii="华文楷体" w:hAnsi="华文楷体" w:hint="eastAsia"/>
          <w:sz w:val="24"/>
          <w:szCs w:val="24"/>
          <w:lang w:eastAsia="zh-CN"/>
        </w:rPr>
        <w:t>。下周逆回购到期</w:t>
      </w:r>
      <w:r>
        <w:rPr>
          <w:rFonts w:ascii="华文楷体" w:hAnsi="华文楷体"/>
          <w:sz w:val="24"/>
          <w:szCs w:val="24"/>
          <w:lang w:eastAsia="zh-CN"/>
        </w:rPr>
        <w:t>7000</w:t>
      </w:r>
      <w:r>
        <w:rPr>
          <w:rFonts w:ascii="华文楷体" w:hAnsi="华文楷体" w:hint="eastAsia"/>
          <w:sz w:val="24"/>
          <w:szCs w:val="24"/>
          <w:lang w:eastAsia="zh-CN"/>
        </w:rPr>
        <w:t>亿，</w:t>
      </w:r>
      <w:r>
        <w:rPr>
          <w:rFonts w:ascii="华文楷体" w:hAnsi="华文楷体" w:hint="eastAsia"/>
          <w:sz w:val="24"/>
          <w:szCs w:val="24"/>
          <w:lang w:eastAsia="zh-CN"/>
        </w:rPr>
        <w:t>MLF</w:t>
      </w:r>
      <w:r>
        <w:rPr>
          <w:rFonts w:ascii="华文楷体" w:hAnsi="华文楷体" w:hint="eastAsia"/>
          <w:sz w:val="24"/>
          <w:szCs w:val="24"/>
          <w:lang w:eastAsia="zh-CN"/>
        </w:rPr>
        <w:t>到期</w:t>
      </w:r>
      <w:r>
        <w:rPr>
          <w:rFonts w:ascii="华文楷体" w:hAnsi="华文楷体" w:hint="eastAsia"/>
          <w:sz w:val="24"/>
          <w:szCs w:val="24"/>
          <w:lang w:eastAsia="zh-CN"/>
        </w:rPr>
        <w:t>2</w:t>
      </w:r>
      <w:r>
        <w:rPr>
          <w:rFonts w:ascii="华文楷体" w:hAnsi="华文楷体"/>
          <w:sz w:val="24"/>
          <w:szCs w:val="24"/>
          <w:lang w:eastAsia="zh-CN"/>
        </w:rPr>
        <w:t>000</w:t>
      </w:r>
      <w:r>
        <w:rPr>
          <w:rFonts w:ascii="华文楷体" w:hAnsi="华文楷体" w:hint="eastAsia"/>
          <w:sz w:val="24"/>
          <w:szCs w:val="24"/>
          <w:lang w:eastAsia="zh-CN"/>
        </w:rPr>
        <w:t>亿，需重点关注央行投放和续作情况。</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72779D">
        <w:trPr>
          <w:jc w:val="center"/>
        </w:trPr>
        <w:tc>
          <w:tcPr>
            <w:tcW w:w="4939" w:type="dxa"/>
            <w:vAlign w:val="center"/>
          </w:tcPr>
          <w:p w:rsidR="0072779D" w:rsidRDefault="00F61B6E">
            <w:pPr>
              <w:pStyle w:val="ChartHeading"/>
              <w:jc w:val="both"/>
            </w:pPr>
            <w:bookmarkStart w:id="1" w:name="_Hlk12804578"/>
            <w:r>
              <w:rPr>
                <w:rFonts w:hint="eastAsia"/>
              </w:rPr>
              <w:t>图表</w:t>
            </w:r>
            <w:r>
              <w:t xml:space="preserve">. </w:t>
            </w:r>
            <w:r>
              <w:rPr>
                <w:rFonts w:hint="eastAsia"/>
              </w:rPr>
              <w:t>央行公开市场逆回购操作</w:t>
            </w:r>
          </w:p>
        </w:tc>
        <w:tc>
          <w:tcPr>
            <w:tcW w:w="4938" w:type="dxa"/>
            <w:vAlign w:val="center"/>
          </w:tcPr>
          <w:p w:rsidR="0072779D" w:rsidRDefault="00F61B6E">
            <w:pPr>
              <w:pStyle w:val="ChartHeading"/>
              <w:jc w:val="both"/>
            </w:pPr>
            <w:r>
              <w:rPr>
                <w:rFonts w:hint="eastAsia"/>
              </w:rPr>
              <w:t>图表</w:t>
            </w:r>
            <w:r>
              <w:t xml:space="preserve">. </w:t>
            </w:r>
            <w:r>
              <w:rPr>
                <w:rFonts w:hint="eastAsia"/>
              </w:rPr>
              <w:t>DR</w:t>
            </w:r>
            <w:r>
              <w:t>007</w:t>
            </w:r>
            <w:r>
              <w:rPr>
                <w:rFonts w:hint="eastAsia"/>
              </w:rPr>
              <w:t>与</w:t>
            </w:r>
            <w:r>
              <w:rPr>
                <w:rFonts w:hint="eastAsia"/>
              </w:rPr>
              <w:t>R</w:t>
            </w:r>
            <w:r>
              <w:t>007</w:t>
            </w:r>
            <w:r>
              <w:rPr>
                <w:rFonts w:hint="eastAsia"/>
              </w:rPr>
              <w:t>走势</w:t>
            </w:r>
          </w:p>
        </w:tc>
      </w:tr>
      <w:tr w:rsidR="0072779D">
        <w:tblPrEx>
          <w:tblCellMar>
            <w:left w:w="108" w:type="dxa"/>
            <w:right w:w="108" w:type="dxa"/>
          </w:tblCellMar>
        </w:tblPrEx>
        <w:trPr>
          <w:jc w:val="center"/>
        </w:trPr>
        <w:tc>
          <w:tcPr>
            <w:tcW w:w="4939" w:type="dxa"/>
            <w:vAlign w:val="center"/>
          </w:tcPr>
          <w:p w:rsidR="0072779D" w:rsidRDefault="00F61B6E">
            <w:pPr>
              <w:jc w:val="center"/>
              <w:rPr>
                <w:sz w:val="14"/>
                <w:szCs w:val="14"/>
              </w:rPr>
            </w:pPr>
            <w:r>
              <w:rPr>
                <w:noProof/>
              </w:rPr>
              <w:drawing>
                <wp:inline distT="0" distB="0" distL="0" distR="0">
                  <wp:extent cx="2999105" cy="1668145"/>
                  <wp:effectExtent l="0" t="0" r="0" b="825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938" w:type="dxa"/>
            <w:vAlign w:val="center"/>
          </w:tcPr>
          <w:p w:rsidR="0072779D" w:rsidRDefault="00F61B6E">
            <w:pPr>
              <w:jc w:val="center"/>
              <w:rPr>
                <w:sz w:val="18"/>
                <w:szCs w:val="15"/>
              </w:rPr>
            </w:pPr>
            <w:r>
              <w:rPr>
                <w:noProof/>
              </w:rPr>
              <w:drawing>
                <wp:inline distT="0" distB="0" distL="0" distR="0">
                  <wp:extent cx="2998470" cy="1663700"/>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72779D">
        <w:trPr>
          <w:trHeight w:val="64"/>
          <w:jc w:val="center"/>
        </w:trPr>
        <w:tc>
          <w:tcPr>
            <w:tcW w:w="4939" w:type="dxa"/>
            <w:vAlign w:val="center"/>
          </w:tcPr>
          <w:p w:rsidR="0072779D" w:rsidRDefault="00F61B6E">
            <w:pPr>
              <w:pStyle w:val="Source"/>
              <w:jc w:val="both"/>
              <w:rPr>
                <w:kern w:val="0"/>
              </w:rPr>
            </w:pPr>
            <w:r>
              <w:rPr>
                <w:rFonts w:hint="eastAsia"/>
                <w:kern w:val="0"/>
              </w:rPr>
              <w:t>资料来源：万得，富荣基金</w:t>
            </w:r>
          </w:p>
        </w:tc>
        <w:tc>
          <w:tcPr>
            <w:tcW w:w="4938" w:type="dxa"/>
            <w:vAlign w:val="center"/>
          </w:tcPr>
          <w:p w:rsidR="0072779D" w:rsidRDefault="00F61B6E">
            <w:pPr>
              <w:pStyle w:val="Source"/>
              <w:jc w:val="both"/>
              <w:rPr>
                <w:kern w:val="0"/>
              </w:rPr>
            </w:pPr>
            <w:r>
              <w:rPr>
                <w:rFonts w:hint="eastAsia"/>
                <w:kern w:val="0"/>
              </w:rPr>
              <w:t>资料来源：万得，富荣基金</w:t>
            </w:r>
          </w:p>
        </w:tc>
      </w:tr>
      <w:bookmarkEnd w:id="1"/>
    </w:tbl>
    <w:p w:rsidR="0072779D" w:rsidRDefault="0072779D">
      <w:pPr>
        <w:pStyle w:val="Body-text"/>
        <w:spacing w:after="0"/>
        <w:rPr>
          <w:lang w:eastAsia="zh-CN"/>
        </w:rPr>
      </w:pPr>
    </w:p>
    <w:p w:rsidR="0072779D" w:rsidRDefault="00F61B6E">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rsidR="0072779D" w:rsidRDefault="00F61B6E">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本周债市利率债曲线整体趋平，受风险资产调整影响，上半周利率下行明显。整周来看，</w:t>
      </w:r>
      <w:r>
        <w:rPr>
          <w:rFonts w:ascii="华文楷体" w:hAnsi="华文楷体" w:hint="eastAsia"/>
          <w:sz w:val="24"/>
          <w:szCs w:val="24"/>
          <w:lang w:eastAsia="zh-CN"/>
        </w:rPr>
        <w:t>3y</w:t>
      </w:r>
      <w:r>
        <w:rPr>
          <w:rFonts w:ascii="华文楷体" w:hAnsi="华文楷体" w:hint="eastAsia"/>
          <w:sz w:val="24"/>
          <w:szCs w:val="24"/>
          <w:lang w:eastAsia="zh-CN"/>
        </w:rPr>
        <w:t>至</w:t>
      </w:r>
      <w:r>
        <w:rPr>
          <w:rFonts w:ascii="华文楷体" w:hAnsi="华文楷体" w:hint="eastAsia"/>
          <w:sz w:val="24"/>
          <w:szCs w:val="24"/>
          <w:lang w:eastAsia="zh-CN"/>
        </w:rPr>
        <w:t>5y</w:t>
      </w:r>
      <w:r>
        <w:rPr>
          <w:rFonts w:ascii="华文楷体" w:hAnsi="华文楷体" w:hint="eastAsia"/>
          <w:sz w:val="24"/>
          <w:szCs w:val="24"/>
          <w:lang w:eastAsia="zh-CN"/>
        </w:rPr>
        <w:t>品种利率下行明显。短端利率相对稳定，</w:t>
      </w:r>
      <w:r>
        <w:rPr>
          <w:rFonts w:ascii="华文楷体" w:hAnsi="华文楷体" w:hint="eastAsia"/>
          <w:sz w:val="24"/>
          <w:szCs w:val="24"/>
          <w:lang w:eastAsia="zh-CN"/>
        </w:rPr>
        <w:t>1y</w:t>
      </w:r>
      <w:r>
        <w:rPr>
          <w:rFonts w:ascii="华文楷体" w:hAnsi="华文楷体" w:hint="eastAsia"/>
          <w:sz w:val="24"/>
          <w:szCs w:val="24"/>
          <w:lang w:eastAsia="zh-CN"/>
        </w:rPr>
        <w:t>国债利率上行</w:t>
      </w:r>
      <w:r>
        <w:rPr>
          <w:rFonts w:ascii="华文楷体" w:hAnsi="华文楷体" w:hint="eastAsia"/>
          <w:sz w:val="24"/>
          <w:szCs w:val="24"/>
          <w:lang w:eastAsia="zh-CN"/>
        </w:rPr>
        <w:t>0.8bp</w:t>
      </w:r>
      <w:r>
        <w:rPr>
          <w:rFonts w:ascii="华文楷体" w:hAnsi="华文楷体" w:hint="eastAsia"/>
          <w:sz w:val="24"/>
          <w:szCs w:val="24"/>
          <w:lang w:eastAsia="zh-CN"/>
        </w:rPr>
        <w:t>，</w:t>
      </w:r>
      <w:r>
        <w:rPr>
          <w:rFonts w:ascii="华文楷体" w:hAnsi="华文楷体" w:hint="eastAsia"/>
          <w:sz w:val="24"/>
          <w:szCs w:val="24"/>
          <w:lang w:eastAsia="zh-CN"/>
        </w:rPr>
        <w:t>1y</w:t>
      </w:r>
      <w:r>
        <w:rPr>
          <w:rFonts w:ascii="华文楷体" w:hAnsi="华文楷体" w:hint="eastAsia"/>
          <w:sz w:val="24"/>
          <w:szCs w:val="24"/>
          <w:lang w:eastAsia="zh-CN"/>
        </w:rPr>
        <w:t>国开利率下行</w:t>
      </w:r>
      <w:r>
        <w:rPr>
          <w:rFonts w:ascii="华文楷体" w:hAnsi="华文楷体" w:hint="eastAsia"/>
          <w:sz w:val="24"/>
          <w:szCs w:val="24"/>
          <w:lang w:eastAsia="zh-CN"/>
        </w:rPr>
        <w:t>3.9bp</w:t>
      </w:r>
      <w:r>
        <w:rPr>
          <w:rFonts w:ascii="华文楷体" w:hAnsi="华文楷体" w:hint="eastAsia"/>
          <w:sz w:val="24"/>
          <w:szCs w:val="24"/>
          <w:lang w:eastAsia="zh-CN"/>
        </w:rPr>
        <w:t>；</w:t>
      </w:r>
      <w:r>
        <w:rPr>
          <w:rFonts w:ascii="华文楷体" w:hAnsi="华文楷体" w:hint="eastAsia"/>
          <w:sz w:val="24"/>
          <w:szCs w:val="24"/>
          <w:lang w:eastAsia="zh-CN"/>
        </w:rPr>
        <w:t>3y</w:t>
      </w:r>
      <w:r>
        <w:rPr>
          <w:rFonts w:ascii="华文楷体" w:hAnsi="华文楷体" w:hint="eastAsia"/>
          <w:sz w:val="24"/>
          <w:szCs w:val="24"/>
          <w:lang w:eastAsia="zh-CN"/>
        </w:rPr>
        <w:t>国债下行</w:t>
      </w:r>
      <w:r>
        <w:rPr>
          <w:rFonts w:ascii="华文楷体" w:hAnsi="华文楷体" w:hint="eastAsia"/>
          <w:sz w:val="24"/>
          <w:szCs w:val="24"/>
          <w:lang w:eastAsia="zh-CN"/>
        </w:rPr>
        <w:t>7.8bp</w:t>
      </w:r>
      <w:r>
        <w:rPr>
          <w:rFonts w:ascii="华文楷体" w:hAnsi="华文楷体" w:hint="eastAsia"/>
          <w:sz w:val="24"/>
          <w:szCs w:val="24"/>
          <w:lang w:eastAsia="zh-CN"/>
        </w:rPr>
        <w:t>，</w:t>
      </w:r>
      <w:r>
        <w:rPr>
          <w:rFonts w:ascii="华文楷体" w:hAnsi="华文楷体" w:hint="eastAsia"/>
          <w:sz w:val="24"/>
          <w:szCs w:val="24"/>
          <w:lang w:eastAsia="zh-CN"/>
        </w:rPr>
        <w:t>3y</w:t>
      </w:r>
      <w:r>
        <w:rPr>
          <w:rFonts w:ascii="华文楷体" w:hAnsi="华文楷体" w:hint="eastAsia"/>
          <w:sz w:val="24"/>
          <w:szCs w:val="24"/>
          <w:lang w:eastAsia="zh-CN"/>
        </w:rPr>
        <w:t>国开债下行</w:t>
      </w:r>
      <w:r>
        <w:rPr>
          <w:rFonts w:ascii="华文楷体" w:hAnsi="华文楷体" w:hint="eastAsia"/>
          <w:sz w:val="24"/>
          <w:szCs w:val="24"/>
          <w:lang w:eastAsia="zh-CN"/>
        </w:rPr>
        <w:t>2.3bp</w:t>
      </w:r>
      <w:r>
        <w:rPr>
          <w:rFonts w:ascii="华文楷体" w:hAnsi="华文楷体" w:hint="eastAsia"/>
          <w:sz w:val="24"/>
          <w:szCs w:val="24"/>
          <w:lang w:eastAsia="zh-CN"/>
        </w:rPr>
        <w:t>；</w:t>
      </w:r>
      <w:r>
        <w:rPr>
          <w:rFonts w:ascii="华文楷体" w:hAnsi="华文楷体" w:hint="eastAsia"/>
          <w:sz w:val="24"/>
          <w:szCs w:val="24"/>
          <w:lang w:eastAsia="zh-CN"/>
        </w:rPr>
        <w:t>5y</w:t>
      </w:r>
      <w:r>
        <w:rPr>
          <w:rFonts w:ascii="华文楷体" w:hAnsi="华文楷体" w:hint="eastAsia"/>
          <w:sz w:val="24"/>
          <w:szCs w:val="24"/>
          <w:lang w:eastAsia="zh-CN"/>
        </w:rPr>
        <w:t>国债和国开债分别下行</w:t>
      </w:r>
      <w:r>
        <w:rPr>
          <w:rFonts w:ascii="华文楷体" w:hAnsi="华文楷体" w:hint="eastAsia"/>
          <w:sz w:val="24"/>
          <w:szCs w:val="24"/>
          <w:lang w:eastAsia="zh-CN"/>
        </w:rPr>
        <w:t>6.4</w:t>
      </w:r>
      <w:r>
        <w:rPr>
          <w:rFonts w:ascii="华文楷体" w:hAnsi="华文楷体" w:hint="eastAsia"/>
          <w:sz w:val="24"/>
          <w:szCs w:val="24"/>
          <w:lang w:eastAsia="zh-CN"/>
        </w:rPr>
        <w:t>和</w:t>
      </w:r>
      <w:r>
        <w:rPr>
          <w:rFonts w:ascii="华文楷体" w:hAnsi="华文楷体" w:hint="eastAsia"/>
          <w:sz w:val="24"/>
          <w:szCs w:val="24"/>
          <w:lang w:eastAsia="zh-CN"/>
        </w:rPr>
        <w:t>6bp</w:t>
      </w:r>
      <w:r>
        <w:rPr>
          <w:rFonts w:ascii="华文楷体" w:hAnsi="华文楷体" w:hint="eastAsia"/>
          <w:sz w:val="24"/>
          <w:szCs w:val="24"/>
          <w:lang w:eastAsia="zh-CN"/>
        </w:rPr>
        <w:t>。</w:t>
      </w:r>
      <w:r>
        <w:rPr>
          <w:rFonts w:ascii="华文楷体" w:hAnsi="华文楷体" w:hint="eastAsia"/>
          <w:sz w:val="24"/>
          <w:szCs w:val="24"/>
          <w:lang w:eastAsia="zh-CN"/>
        </w:rPr>
        <w:t>10y-3y</w:t>
      </w:r>
      <w:r>
        <w:rPr>
          <w:rFonts w:ascii="华文楷体" w:hAnsi="华文楷体" w:hint="eastAsia"/>
          <w:sz w:val="24"/>
          <w:szCs w:val="24"/>
          <w:lang w:eastAsia="zh-CN"/>
        </w:rPr>
        <w:t>国债利差上行</w:t>
      </w:r>
      <w:r>
        <w:rPr>
          <w:rFonts w:ascii="华文楷体" w:hAnsi="华文楷体" w:hint="eastAsia"/>
          <w:sz w:val="24"/>
          <w:szCs w:val="24"/>
          <w:lang w:eastAsia="zh-CN"/>
        </w:rPr>
        <w:t>9bp</w:t>
      </w:r>
      <w:r>
        <w:rPr>
          <w:rFonts w:ascii="华文楷体" w:hAnsi="华文楷体" w:hint="eastAsia"/>
          <w:sz w:val="24"/>
          <w:szCs w:val="24"/>
          <w:lang w:eastAsia="zh-CN"/>
        </w:rPr>
        <w:t>，位于历史数据</w:t>
      </w:r>
      <w:r>
        <w:rPr>
          <w:rFonts w:ascii="华文楷体" w:hAnsi="华文楷体" w:hint="eastAsia"/>
          <w:sz w:val="24"/>
          <w:szCs w:val="24"/>
          <w:lang w:eastAsia="zh-CN"/>
        </w:rPr>
        <w:t>9%</w:t>
      </w:r>
      <w:r>
        <w:rPr>
          <w:rFonts w:ascii="华文楷体" w:hAnsi="华文楷体" w:hint="eastAsia"/>
          <w:sz w:val="24"/>
          <w:szCs w:val="24"/>
          <w:lang w:eastAsia="zh-CN"/>
        </w:rPr>
        <w:t>分位；</w:t>
      </w:r>
      <w:r>
        <w:rPr>
          <w:rFonts w:ascii="华文楷体" w:hAnsi="华文楷体" w:hint="eastAsia"/>
          <w:sz w:val="24"/>
          <w:szCs w:val="24"/>
          <w:lang w:eastAsia="zh-CN"/>
        </w:rPr>
        <w:t>10y-5y</w:t>
      </w:r>
      <w:r>
        <w:rPr>
          <w:rFonts w:ascii="华文楷体" w:hAnsi="华文楷体" w:hint="eastAsia"/>
          <w:sz w:val="24"/>
          <w:szCs w:val="24"/>
          <w:lang w:eastAsia="zh-CN"/>
        </w:rPr>
        <w:t>国债利差上行</w:t>
      </w:r>
      <w:r>
        <w:rPr>
          <w:rFonts w:ascii="华文楷体" w:hAnsi="华文楷体" w:hint="eastAsia"/>
          <w:sz w:val="24"/>
          <w:szCs w:val="24"/>
          <w:lang w:eastAsia="zh-CN"/>
        </w:rPr>
        <w:t>8bp</w:t>
      </w:r>
      <w:r>
        <w:rPr>
          <w:rFonts w:ascii="华文楷体" w:hAnsi="华文楷体" w:hint="eastAsia"/>
          <w:sz w:val="24"/>
          <w:szCs w:val="24"/>
          <w:lang w:eastAsia="zh-CN"/>
        </w:rPr>
        <w:t>，位于</w:t>
      </w:r>
      <w:r>
        <w:rPr>
          <w:rFonts w:ascii="华文楷体" w:hAnsi="华文楷体" w:hint="eastAsia"/>
          <w:sz w:val="24"/>
          <w:szCs w:val="24"/>
          <w:lang w:eastAsia="zh-CN"/>
        </w:rPr>
        <w:t>7%</w:t>
      </w:r>
      <w:r>
        <w:rPr>
          <w:rFonts w:ascii="华文楷体" w:hAnsi="华文楷体" w:hint="eastAsia"/>
          <w:sz w:val="24"/>
          <w:szCs w:val="24"/>
          <w:lang w:eastAsia="zh-CN"/>
        </w:rPr>
        <w:t>分位。</w:t>
      </w:r>
      <w:r>
        <w:rPr>
          <w:rFonts w:ascii="华文楷体" w:hAnsi="华文楷体" w:hint="eastAsia"/>
          <w:sz w:val="24"/>
          <w:szCs w:val="24"/>
          <w:lang w:eastAsia="zh-CN"/>
        </w:rPr>
        <w:t>10y</w:t>
      </w:r>
      <w:r>
        <w:rPr>
          <w:rFonts w:ascii="华文楷体" w:hAnsi="华文楷体" w:hint="eastAsia"/>
          <w:sz w:val="24"/>
          <w:szCs w:val="24"/>
          <w:lang w:eastAsia="zh-CN"/>
        </w:rPr>
        <w:t>国开债与</w:t>
      </w:r>
      <w:r>
        <w:rPr>
          <w:rFonts w:ascii="华文楷体" w:hAnsi="华文楷体" w:hint="eastAsia"/>
          <w:sz w:val="24"/>
          <w:szCs w:val="24"/>
          <w:lang w:eastAsia="zh-CN"/>
        </w:rPr>
        <w:t>10y</w:t>
      </w:r>
      <w:r>
        <w:rPr>
          <w:rFonts w:ascii="华文楷体" w:hAnsi="华文楷体" w:hint="eastAsia"/>
          <w:sz w:val="24"/>
          <w:szCs w:val="24"/>
          <w:lang w:eastAsia="zh-CN"/>
        </w:rPr>
        <w:t>国债利差下行</w:t>
      </w:r>
      <w:r>
        <w:rPr>
          <w:rFonts w:ascii="华文楷体" w:hAnsi="华文楷体" w:hint="eastAsia"/>
          <w:sz w:val="24"/>
          <w:szCs w:val="24"/>
          <w:lang w:eastAsia="zh-CN"/>
        </w:rPr>
        <w:t>2bp</w:t>
      </w:r>
      <w:r>
        <w:rPr>
          <w:rFonts w:ascii="华文楷体" w:hAnsi="华文楷体" w:hint="eastAsia"/>
          <w:sz w:val="24"/>
          <w:szCs w:val="24"/>
          <w:lang w:eastAsia="zh-CN"/>
        </w:rPr>
        <w:t>，继续维持高位。</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72779D">
        <w:trPr>
          <w:jc w:val="center"/>
        </w:trPr>
        <w:tc>
          <w:tcPr>
            <w:tcW w:w="4939" w:type="dxa"/>
            <w:vAlign w:val="center"/>
          </w:tcPr>
          <w:p w:rsidR="0072779D" w:rsidRDefault="00F61B6E">
            <w:pPr>
              <w:pStyle w:val="ChartHeading"/>
              <w:jc w:val="both"/>
            </w:pPr>
            <w:r>
              <w:rPr>
                <w:rFonts w:hint="eastAsia"/>
              </w:rPr>
              <w:t>图表</w:t>
            </w:r>
            <w:r>
              <w:t xml:space="preserve">. </w:t>
            </w:r>
            <w:r>
              <w:rPr>
                <w:rFonts w:hint="eastAsia"/>
              </w:rPr>
              <w:t>国债收益率</w:t>
            </w:r>
            <w:r>
              <w:rPr>
                <w:rFonts w:hint="eastAsia"/>
              </w:rPr>
              <w:t>曲线和变化</w:t>
            </w:r>
          </w:p>
        </w:tc>
        <w:tc>
          <w:tcPr>
            <w:tcW w:w="4938" w:type="dxa"/>
            <w:vAlign w:val="center"/>
          </w:tcPr>
          <w:p w:rsidR="0072779D" w:rsidRDefault="00F61B6E">
            <w:pPr>
              <w:pStyle w:val="ChartHeading"/>
              <w:jc w:val="both"/>
            </w:pPr>
            <w:r>
              <w:rPr>
                <w:rFonts w:hint="eastAsia"/>
              </w:rPr>
              <w:t>图表</w:t>
            </w:r>
            <w:r>
              <w:t xml:space="preserve">. </w:t>
            </w:r>
            <w:r>
              <w:rPr>
                <w:rFonts w:hint="eastAsia"/>
              </w:rPr>
              <w:t>国开债收益率曲线和变化</w:t>
            </w:r>
          </w:p>
        </w:tc>
      </w:tr>
      <w:tr w:rsidR="0072779D">
        <w:tblPrEx>
          <w:tblCellMar>
            <w:left w:w="108" w:type="dxa"/>
            <w:right w:w="108" w:type="dxa"/>
          </w:tblCellMar>
        </w:tblPrEx>
        <w:trPr>
          <w:jc w:val="center"/>
        </w:trPr>
        <w:tc>
          <w:tcPr>
            <w:tcW w:w="4939" w:type="dxa"/>
            <w:vAlign w:val="center"/>
          </w:tcPr>
          <w:p w:rsidR="0072779D" w:rsidRDefault="00F61B6E">
            <w:r>
              <w:rPr>
                <w:noProof/>
              </w:rPr>
              <w:drawing>
                <wp:inline distT="0" distB="0" distL="0" distR="0">
                  <wp:extent cx="2999105" cy="1621790"/>
                  <wp:effectExtent l="0" t="0" r="10795"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rsidR="0072779D" w:rsidRDefault="00F61B6E">
            <w:pPr>
              <w:jc w:val="center"/>
              <w:rPr>
                <w:sz w:val="14"/>
                <w:szCs w:val="14"/>
              </w:rPr>
            </w:pPr>
            <w:r>
              <w:rPr>
                <w:noProof/>
              </w:rPr>
              <w:drawing>
                <wp:inline distT="0" distB="0" distL="0" distR="0">
                  <wp:extent cx="2998470" cy="1657350"/>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72779D">
        <w:trPr>
          <w:trHeight w:val="64"/>
          <w:jc w:val="center"/>
        </w:trPr>
        <w:tc>
          <w:tcPr>
            <w:tcW w:w="4939" w:type="dxa"/>
            <w:vAlign w:val="center"/>
          </w:tcPr>
          <w:p w:rsidR="0072779D" w:rsidRDefault="00F61B6E">
            <w:pPr>
              <w:pStyle w:val="Source"/>
              <w:jc w:val="both"/>
              <w:rPr>
                <w:kern w:val="0"/>
              </w:rPr>
            </w:pPr>
            <w:r>
              <w:rPr>
                <w:rFonts w:hint="eastAsia"/>
                <w:kern w:val="0"/>
              </w:rPr>
              <w:t>资料来源：万得，富荣基金</w:t>
            </w:r>
          </w:p>
        </w:tc>
        <w:tc>
          <w:tcPr>
            <w:tcW w:w="4938" w:type="dxa"/>
            <w:vAlign w:val="center"/>
          </w:tcPr>
          <w:p w:rsidR="0072779D" w:rsidRDefault="00F61B6E">
            <w:pPr>
              <w:pStyle w:val="Source"/>
              <w:jc w:val="both"/>
              <w:rPr>
                <w:kern w:val="0"/>
              </w:rPr>
            </w:pPr>
            <w:r>
              <w:rPr>
                <w:rFonts w:hint="eastAsia"/>
                <w:kern w:val="0"/>
              </w:rPr>
              <w:t>资料来源：万得，富荣基金</w:t>
            </w:r>
          </w:p>
        </w:tc>
      </w:tr>
    </w:tbl>
    <w:p w:rsidR="0072779D" w:rsidRDefault="0072779D">
      <w:pPr>
        <w:pStyle w:val="Body-text"/>
        <w:spacing w:after="0"/>
        <w:rPr>
          <w:lang w:eastAsia="zh-CN"/>
        </w:rPr>
      </w:pPr>
    </w:p>
    <w:p w:rsidR="0072779D" w:rsidRDefault="00F61B6E">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rsidR="0072779D" w:rsidRDefault="00F61B6E">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本周信用品种整体利率跟随利率品种下行，</w:t>
      </w:r>
      <w:r>
        <w:rPr>
          <w:rFonts w:ascii="华文楷体" w:hAnsi="华文楷体" w:hint="eastAsia"/>
          <w:sz w:val="24"/>
          <w:szCs w:val="24"/>
          <w:lang w:eastAsia="zh-CN"/>
        </w:rPr>
        <w:t>AAA</w:t>
      </w:r>
      <w:r>
        <w:rPr>
          <w:rFonts w:ascii="华文楷体" w:hAnsi="华文楷体" w:hint="eastAsia"/>
          <w:sz w:val="24"/>
          <w:szCs w:val="24"/>
          <w:lang w:eastAsia="zh-CN"/>
        </w:rPr>
        <w:t>品种表现好于</w:t>
      </w:r>
      <w:r>
        <w:rPr>
          <w:rFonts w:ascii="华文楷体" w:hAnsi="华文楷体" w:hint="eastAsia"/>
          <w:sz w:val="24"/>
          <w:szCs w:val="24"/>
          <w:lang w:eastAsia="zh-CN"/>
        </w:rPr>
        <w:t>AA+</w:t>
      </w:r>
      <w:r>
        <w:rPr>
          <w:rFonts w:ascii="华文楷体" w:hAnsi="华文楷体" w:hint="eastAsia"/>
          <w:sz w:val="24"/>
          <w:szCs w:val="24"/>
          <w:lang w:eastAsia="zh-CN"/>
        </w:rPr>
        <w:t>品种。企业债中，</w:t>
      </w:r>
      <w:r>
        <w:rPr>
          <w:rFonts w:ascii="华文楷体" w:hAnsi="华文楷体" w:hint="eastAsia"/>
          <w:sz w:val="24"/>
          <w:szCs w:val="24"/>
          <w:lang w:eastAsia="zh-CN"/>
        </w:rPr>
        <w:t xml:space="preserve"> AAA3y</w:t>
      </w:r>
      <w:r>
        <w:rPr>
          <w:rFonts w:ascii="华文楷体" w:hAnsi="华文楷体" w:hint="eastAsia"/>
          <w:sz w:val="24"/>
          <w:szCs w:val="24"/>
          <w:lang w:eastAsia="zh-CN"/>
        </w:rPr>
        <w:t>企业债利率下降</w:t>
      </w:r>
      <w:r>
        <w:rPr>
          <w:rFonts w:ascii="华文楷体" w:hAnsi="华文楷体" w:hint="eastAsia"/>
          <w:sz w:val="24"/>
          <w:szCs w:val="24"/>
          <w:lang w:eastAsia="zh-CN"/>
        </w:rPr>
        <w:t>1.5bp</w:t>
      </w:r>
      <w:r>
        <w:rPr>
          <w:rFonts w:ascii="华文楷体" w:hAnsi="华文楷体" w:hint="eastAsia"/>
          <w:sz w:val="24"/>
          <w:szCs w:val="24"/>
          <w:lang w:eastAsia="zh-CN"/>
        </w:rPr>
        <w:t>。城投方面，各期限品种利率分化，</w:t>
      </w:r>
      <w:r>
        <w:rPr>
          <w:rFonts w:ascii="华文楷体" w:hAnsi="华文楷体" w:hint="eastAsia"/>
          <w:sz w:val="24"/>
          <w:szCs w:val="24"/>
          <w:lang w:eastAsia="zh-CN"/>
        </w:rPr>
        <w:t>3y</w:t>
      </w:r>
      <w:r>
        <w:rPr>
          <w:rFonts w:ascii="华文楷体" w:hAnsi="华文楷体" w:hint="eastAsia"/>
          <w:sz w:val="24"/>
          <w:szCs w:val="24"/>
          <w:lang w:eastAsia="zh-CN"/>
        </w:rPr>
        <w:t>品种受利率债影响均有下行，其中</w:t>
      </w:r>
      <w:r>
        <w:rPr>
          <w:rFonts w:ascii="华文楷体" w:hAnsi="华文楷体" w:hint="eastAsia"/>
          <w:sz w:val="24"/>
          <w:szCs w:val="24"/>
          <w:lang w:eastAsia="zh-CN"/>
        </w:rPr>
        <w:t>AAA3y</w:t>
      </w:r>
      <w:r>
        <w:rPr>
          <w:rFonts w:ascii="华文楷体" w:hAnsi="华文楷体" w:hint="eastAsia"/>
          <w:sz w:val="24"/>
          <w:szCs w:val="24"/>
          <w:lang w:eastAsia="zh-CN"/>
        </w:rPr>
        <w:t>品种利率下行</w:t>
      </w:r>
      <w:r>
        <w:rPr>
          <w:rFonts w:ascii="华文楷体" w:hAnsi="华文楷体" w:hint="eastAsia"/>
          <w:sz w:val="24"/>
          <w:szCs w:val="24"/>
          <w:lang w:eastAsia="zh-CN"/>
        </w:rPr>
        <w:t>3.3bp</w:t>
      </w:r>
      <w:r>
        <w:rPr>
          <w:rFonts w:ascii="华文楷体" w:hAnsi="华文楷体" w:hint="eastAsia"/>
          <w:sz w:val="24"/>
          <w:szCs w:val="24"/>
          <w:lang w:eastAsia="zh-CN"/>
        </w:rPr>
        <w:t>。</w:t>
      </w:r>
    </w:p>
    <w:tbl>
      <w:tblPr>
        <w:tblW w:w="9881" w:type="dxa"/>
        <w:jc w:val="center"/>
        <w:tblCellMar>
          <w:left w:w="0" w:type="dxa"/>
          <w:right w:w="0" w:type="dxa"/>
        </w:tblCellMar>
        <w:tblLook w:val="04A0" w:firstRow="1" w:lastRow="0" w:firstColumn="1" w:lastColumn="0" w:noHBand="0" w:noVBand="1"/>
      </w:tblPr>
      <w:tblGrid>
        <w:gridCol w:w="10874"/>
      </w:tblGrid>
      <w:tr w:rsidR="0072779D">
        <w:trPr>
          <w:trHeight w:val="269"/>
          <w:jc w:val="center"/>
        </w:trPr>
        <w:tc>
          <w:tcPr>
            <w:tcW w:w="9881" w:type="dxa"/>
            <w:vAlign w:val="center"/>
          </w:tcPr>
          <w:p w:rsidR="0072779D" w:rsidRDefault="00F61B6E">
            <w:pPr>
              <w:pStyle w:val="ChartHeading"/>
              <w:jc w:val="both"/>
            </w:pPr>
            <w:r>
              <w:rPr>
                <w:rFonts w:hint="eastAsia"/>
              </w:rPr>
              <w:t>图表</w:t>
            </w:r>
            <w:r>
              <w:t xml:space="preserve">. </w:t>
            </w:r>
            <w:r>
              <w:rPr>
                <w:rFonts w:hint="eastAsia"/>
              </w:rPr>
              <w:t>信用债收益率、利差变化情况</w:t>
            </w:r>
          </w:p>
        </w:tc>
      </w:tr>
      <w:tr w:rsidR="0072779D">
        <w:tblPrEx>
          <w:tblCellMar>
            <w:left w:w="108" w:type="dxa"/>
            <w:right w:w="108" w:type="dxa"/>
          </w:tblCellMar>
        </w:tblPrEx>
        <w:trPr>
          <w:trHeight w:val="391"/>
          <w:jc w:val="center"/>
        </w:trPr>
        <w:tc>
          <w:tcPr>
            <w:tcW w:w="9881" w:type="dxa"/>
            <w:vAlign w:val="center"/>
          </w:tcPr>
          <w:tbl>
            <w:tblPr>
              <w:tblW w:w="10648" w:type="dxa"/>
              <w:tblLook w:val="04A0" w:firstRow="1" w:lastRow="0" w:firstColumn="1" w:lastColumn="0" w:noHBand="0" w:noVBand="1"/>
            </w:tblPr>
            <w:tblGrid>
              <w:gridCol w:w="1288"/>
              <w:gridCol w:w="1040"/>
              <w:gridCol w:w="1040"/>
              <w:gridCol w:w="1040"/>
              <w:gridCol w:w="1040"/>
              <w:gridCol w:w="1040"/>
              <w:gridCol w:w="1040"/>
              <w:gridCol w:w="1040"/>
              <w:gridCol w:w="1040"/>
              <w:gridCol w:w="1040"/>
            </w:tblGrid>
            <w:tr w:rsidR="0072779D">
              <w:trPr>
                <w:trHeight w:val="300"/>
              </w:trPr>
              <w:tc>
                <w:tcPr>
                  <w:tcW w:w="1288"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收益率</w:t>
                  </w:r>
                  <w:r>
                    <w:rPr>
                      <w:rFonts w:ascii="楷体" w:eastAsia="楷体" w:hAnsi="楷体" w:cs="宋体" w:hint="eastAsia"/>
                      <w:b/>
                      <w:bCs/>
                      <w:color w:val="FFFFFF"/>
                      <w:kern w:val="0"/>
                      <w:sz w:val="18"/>
                      <w:szCs w:val="18"/>
                    </w:rPr>
                    <w:t>(%)</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息差</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r>
            <w:tr w:rsidR="0072779D">
              <w:trPr>
                <w:trHeight w:val="315"/>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3.25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3.38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3.50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5.59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0.65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0.78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0.90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2.99 </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3.72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3.93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4.06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6.15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0.81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1.02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1.15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3.24 </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lastRenderedPageBreak/>
                    <w:t>MTN5Y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3.97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4.23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4.62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6.79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0.93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1.19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1.58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3.75 </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3.71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3.92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4.05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6.14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0.80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1.01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1.14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3.23 </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3.97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4.23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4.62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6.79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0.93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1.19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1.58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3.75 </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4.07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4.39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4.78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6.96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0.89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1.21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1.60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3.78 </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3.72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3.88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4.01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5.71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0.81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0.97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1.10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2.80 </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4.05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4.24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4.43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6.66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1.02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1.21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1.39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3.62 </w:t>
                  </w:r>
                </w:p>
              </w:tc>
            </w:tr>
            <w:tr w:rsidR="0072779D">
              <w:trPr>
                <w:trHeight w:val="300"/>
              </w:trPr>
              <w:tc>
                <w:tcPr>
                  <w:tcW w:w="1288" w:type="dxa"/>
                  <w:tcBorders>
                    <w:top w:val="nil"/>
                    <w:left w:val="nil"/>
                    <w:bottom w:val="nil"/>
                    <w:right w:val="nil"/>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4.12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4.30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4.62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7.02 </w:t>
                  </w:r>
                </w:p>
              </w:tc>
              <w:tc>
                <w:tcPr>
                  <w:tcW w:w="1040" w:type="dxa"/>
                  <w:tcBorders>
                    <w:top w:val="nil"/>
                    <w:left w:val="nil"/>
                    <w:bottom w:val="nil"/>
                    <w:right w:val="nil"/>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0.93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1.11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1.43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3.83 </w:t>
                  </w:r>
                </w:p>
              </w:tc>
            </w:tr>
            <w:tr w:rsidR="0072779D">
              <w:trPr>
                <w:trHeight w:val="150"/>
              </w:trPr>
              <w:tc>
                <w:tcPr>
                  <w:tcW w:w="1288" w:type="dxa"/>
                  <w:tcBorders>
                    <w:top w:val="nil"/>
                    <w:left w:val="nil"/>
                    <w:bottom w:val="nil"/>
                    <w:right w:val="nil"/>
                  </w:tcBorders>
                  <w:shd w:val="clear" w:color="auto" w:fill="auto"/>
                  <w:noWrap/>
                  <w:vAlign w:val="center"/>
                </w:tcPr>
                <w:p w:rsidR="0072779D" w:rsidRDefault="0072779D">
                  <w:pPr>
                    <w:widowControl/>
                    <w:jc w:val="center"/>
                    <w:rPr>
                      <w:rFonts w:eastAsia="等线" w:cs="Calibri"/>
                      <w:color w:val="000000"/>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r>
            <w:tr w:rsidR="0072779D">
              <w:trPr>
                <w:trHeight w:val="300"/>
              </w:trPr>
              <w:tc>
                <w:tcPr>
                  <w:tcW w:w="1288"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周变化</w:t>
                  </w:r>
                  <w:r>
                    <w:rPr>
                      <w:rFonts w:ascii="楷体" w:eastAsia="楷体" w:hAnsi="楷体" w:cs="宋体" w:hint="eastAsia"/>
                      <w:b/>
                      <w:bCs/>
                      <w:color w:val="FFFFFF"/>
                      <w:kern w:val="0"/>
                      <w:sz w:val="18"/>
                      <w:szCs w:val="18"/>
                    </w:rPr>
                    <w:t>(BP)</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息差</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r>
            <w:tr w:rsidR="0072779D">
              <w:trPr>
                <w:trHeight w:val="315"/>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7.8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4.8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7.0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4.0 </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-2.9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1.1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2.1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2.1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4.9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8.9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9.9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9.9 </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-0.3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-0.3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6.0 </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-1.5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1.6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1.6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1.6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6.3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9.3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9.3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9.3 </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-0.3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-0.3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6.0 </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3.0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4.0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4.9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7.0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6.0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7.0 </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-3.3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0.7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4.5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6.5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6.5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8.5 </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-0.7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0.3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-0.7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FF0000"/>
                      <w:kern w:val="0"/>
                      <w:sz w:val="18"/>
                      <w:szCs w:val="18"/>
                    </w:rPr>
                    <w:t xml:space="preserve">-2.7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5.7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6.7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5.7 </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3.7 </w:t>
                  </w:r>
                </w:p>
              </w:tc>
            </w:tr>
            <w:tr w:rsidR="0072779D">
              <w:trPr>
                <w:trHeight w:val="300"/>
              </w:trPr>
              <w:tc>
                <w:tcPr>
                  <w:tcW w:w="1288" w:type="dxa"/>
                  <w:tcBorders>
                    <w:top w:val="nil"/>
                    <w:left w:val="nil"/>
                    <w:bottom w:val="nil"/>
                    <w:right w:val="nil"/>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3.0 </w:t>
                  </w:r>
                </w:p>
              </w:tc>
              <w:tc>
                <w:tcPr>
                  <w:tcW w:w="1040" w:type="dxa"/>
                  <w:tcBorders>
                    <w:top w:val="nil"/>
                    <w:left w:val="nil"/>
                    <w:bottom w:val="nil"/>
                    <w:right w:val="nil"/>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4.9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 xml:space="preserve">5.0 </w:t>
                  </w:r>
                </w:p>
              </w:tc>
            </w:tr>
            <w:tr w:rsidR="0072779D">
              <w:trPr>
                <w:trHeight w:val="150"/>
              </w:trPr>
              <w:tc>
                <w:tcPr>
                  <w:tcW w:w="1288" w:type="dxa"/>
                  <w:tcBorders>
                    <w:top w:val="nil"/>
                    <w:left w:val="nil"/>
                    <w:bottom w:val="nil"/>
                    <w:right w:val="nil"/>
                  </w:tcBorders>
                  <w:shd w:val="clear" w:color="auto" w:fill="auto"/>
                  <w:noWrap/>
                  <w:vAlign w:val="center"/>
                </w:tcPr>
                <w:p w:rsidR="0072779D" w:rsidRDefault="0072779D">
                  <w:pPr>
                    <w:widowControl/>
                    <w:jc w:val="center"/>
                    <w:rPr>
                      <w:rFonts w:eastAsia="等线" w:cs="Calibri"/>
                      <w:color w:val="000000"/>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tcPr>
                <w:p w:rsidR="0072779D" w:rsidRDefault="0072779D">
                  <w:pPr>
                    <w:widowControl/>
                    <w:jc w:val="center"/>
                    <w:rPr>
                      <w:rFonts w:ascii="Times New Roman" w:eastAsia="Times New Roman" w:hAnsi="Times New Roman"/>
                      <w:kern w:val="0"/>
                      <w:sz w:val="18"/>
                      <w:szCs w:val="18"/>
                    </w:rPr>
                  </w:pPr>
                </w:p>
              </w:tc>
            </w:tr>
            <w:tr w:rsidR="0072779D">
              <w:trPr>
                <w:trHeight w:val="300"/>
              </w:trPr>
              <w:tc>
                <w:tcPr>
                  <w:tcW w:w="1288"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收益率分位</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息差</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tcPr>
                <w:p w:rsidR="0072779D" w:rsidRDefault="00F61B6E">
                  <w:pPr>
                    <w:widowControl/>
                    <w:jc w:val="center"/>
                    <w:rPr>
                      <w:rFonts w:ascii="楷体" w:eastAsia="楷体" w:hAnsi="楷体" w:cs="宋体"/>
                      <w:b/>
                      <w:bCs/>
                      <w:color w:val="FFFFFF"/>
                      <w:kern w:val="0"/>
                      <w:sz w:val="18"/>
                      <w:szCs w:val="18"/>
                    </w:rPr>
                  </w:pPr>
                  <w:r>
                    <w:rPr>
                      <w:rFonts w:ascii="楷体" w:eastAsia="楷体" w:hAnsi="楷体" w:cs="宋体" w:hint="eastAsia"/>
                      <w:b/>
                      <w:bCs/>
                      <w:color w:val="FFFFFF"/>
                      <w:kern w:val="0"/>
                      <w:sz w:val="18"/>
                      <w:szCs w:val="18"/>
                    </w:rPr>
                    <w:t>AA-</w:t>
                  </w:r>
                </w:p>
              </w:tc>
            </w:tr>
            <w:tr w:rsidR="0072779D">
              <w:trPr>
                <w:trHeight w:val="315"/>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37%</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34%</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28%</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60%</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10%</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64%</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33%</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31%</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57%</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18%</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7%</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57%</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28%</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24%</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23%</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61%</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20%</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11%</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70%</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35%</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31%</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52%</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7%</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56%</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29%</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25%</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23%</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56%</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20%</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13%</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10%</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68%</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22%</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13%</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47%</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企业债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6%</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4%</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55%</w:t>
                  </w:r>
                </w:p>
              </w:tc>
            </w:tr>
            <w:tr w:rsidR="0072779D">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29%</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25%</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19%</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41%</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16%</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18%</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12%</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38%</w:t>
                  </w:r>
                </w:p>
              </w:tc>
            </w:tr>
            <w:tr w:rsidR="0072779D">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25%</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22%</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18%</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51%</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20%</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14%</w:t>
                  </w:r>
                </w:p>
              </w:tc>
              <w:tc>
                <w:tcPr>
                  <w:tcW w:w="1040" w:type="dxa"/>
                  <w:tcBorders>
                    <w:top w:val="nil"/>
                    <w:left w:val="nil"/>
                    <w:bottom w:val="single" w:sz="8" w:space="0" w:color="FFFFFF"/>
                    <w:right w:val="single" w:sz="8" w:space="0" w:color="FFFFFF"/>
                  </w:tcBorders>
                  <w:shd w:val="clear" w:color="000000" w:fill="FDE9D9"/>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65%</w:t>
                  </w:r>
                </w:p>
              </w:tc>
            </w:tr>
            <w:tr w:rsidR="0072779D">
              <w:trPr>
                <w:trHeight w:val="300"/>
              </w:trPr>
              <w:tc>
                <w:tcPr>
                  <w:tcW w:w="1288" w:type="dxa"/>
                  <w:tcBorders>
                    <w:top w:val="nil"/>
                    <w:left w:val="nil"/>
                    <w:bottom w:val="nil"/>
                    <w:right w:val="nil"/>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13%</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48%</w:t>
                  </w:r>
                </w:p>
              </w:tc>
              <w:tc>
                <w:tcPr>
                  <w:tcW w:w="1040" w:type="dxa"/>
                  <w:tcBorders>
                    <w:top w:val="nil"/>
                    <w:left w:val="nil"/>
                    <w:bottom w:val="nil"/>
                    <w:right w:val="nil"/>
                  </w:tcBorders>
                  <w:shd w:val="clear" w:color="000000" w:fill="FCD5B4"/>
                  <w:noWrap/>
                  <w:vAlign w:val="center"/>
                </w:tcPr>
                <w:p w:rsidR="0072779D" w:rsidRDefault="00F61B6E">
                  <w:pPr>
                    <w:widowControl/>
                    <w:jc w:val="center"/>
                    <w:rPr>
                      <w:rFonts w:ascii="楷体" w:eastAsia="楷体" w:hAnsi="楷体" w:cs="宋体"/>
                      <w:color w:val="000000"/>
                      <w:kern w:val="0"/>
                      <w:sz w:val="18"/>
                      <w:szCs w:val="18"/>
                    </w:rPr>
                  </w:pPr>
                  <w:r>
                    <w:rPr>
                      <w:rFonts w:ascii="楷体" w:eastAsia="楷体" w:hAnsi="楷体" w:cs="宋体" w:hint="eastAsia"/>
                      <w:color w:val="000000"/>
                      <w:kern w:val="0"/>
                      <w:sz w:val="18"/>
                      <w:szCs w:val="18"/>
                    </w:rPr>
                    <w:t>城投债</w:t>
                  </w:r>
                  <w:r>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11%</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7%</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5%</w:t>
                  </w:r>
                </w:p>
              </w:tc>
              <w:tc>
                <w:tcPr>
                  <w:tcW w:w="1040" w:type="dxa"/>
                  <w:tcBorders>
                    <w:top w:val="nil"/>
                    <w:left w:val="nil"/>
                    <w:bottom w:val="single" w:sz="8" w:space="0" w:color="FFFFFF"/>
                    <w:right w:val="single" w:sz="8" w:space="0" w:color="FFFFFF"/>
                  </w:tcBorders>
                  <w:shd w:val="clear" w:color="000000" w:fill="FCD5B4"/>
                  <w:noWrap/>
                  <w:vAlign w:val="center"/>
                </w:tcPr>
                <w:p w:rsidR="0072779D" w:rsidRDefault="00F61B6E">
                  <w:pPr>
                    <w:widowControl/>
                    <w:jc w:val="center"/>
                    <w:rPr>
                      <w:rFonts w:eastAsia="等线" w:cs="Calibri"/>
                      <w:color w:val="000000"/>
                      <w:kern w:val="0"/>
                      <w:sz w:val="18"/>
                      <w:szCs w:val="18"/>
                    </w:rPr>
                  </w:pPr>
                  <w:r>
                    <w:rPr>
                      <w:rFonts w:eastAsia="等线" w:cs="Calibri"/>
                      <w:color w:val="000000"/>
                      <w:kern w:val="0"/>
                      <w:sz w:val="18"/>
                      <w:szCs w:val="18"/>
                    </w:rPr>
                    <w:t>61%</w:t>
                  </w:r>
                </w:p>
              </w:tc>
            </w:tr>
          </w:tbl>
          <w:p w:rsidR="0072779D" w:rsidRDefault="0072779D">
            <w:pPr>
              <w:rPr>
                <w:sz w:val="20"/>
                <w:szCs w:val="16"/>
              </w:rPr>
            </w:pPr>
          </w:p>
        </w:tc>
      </w:tr>
      <w:tr w:rsidR="0072779D">
        <w:trPr>
          <w:trHeight w:val="43"/>
          <w:jc w:val="center"/>
        </w:trPr>
        <w:tc>
          <w:tcPr>
            <w:tcW w:w="9881" w:type="dxa"/>
            <w:vAlign w:val="center"/>
          </w:tcPr>
          <w:p w:rsidR="0072779D" w:rsidRDefault="00F61B6E">
            <w:pPr>
              <w:pStyle w:val="Source"/>
              <w:jc w:val="both"/>
              <w:rPr>
                <w:kern w:val="0"/>
              </w:rPr>
            </w:pPr>
            <w:r>
              <w:rPr>
                <w:rFonts w:hint="eastAsia"/>
                <w:kern w:val="0"/>
              </w:rPr>
              <w:lastRenderedPageBreak/>
              <w:t>资料来源：万得，富荣基金；利差基准为同期限国债</w:t>
            </w:r>
          </w:p>
        </w:tc>
      </w:tr>
    </w:tbl>
    <w:p w:rsidR="0072779D" w:rsidRDefault="0072779D">
      <w:pPr>
        <w:pStyle w:val="Body-text"/>
        <w:spacing w:after="0"/>
        <w:rPr>
          <w:lang w:eastAsia="zh-CN"/>
        </w:rPr>
      </w:pPr>
    </w:p>
    <w:p w:rsidR="0072779D" w:rsidRDefault="00F61B6E">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rsidR="0072779D" w:rsidRDefault="00F61B6E">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权益市场回调明显。转债指数较上周下跌</w:t>
      </w:r>
      <w:r>
        <w:rPr>
          <w:rFonts w:ascii="华文楷体" w:hAnsi="华文楷体" w:hint="eastAsia"/>
          <w:sz w:val="24"/>
          <w:szCs w:val="24"/>
          <w:lang w:eastAsia="zh-CN"/>
        </w:rPr>
        <w:t>2.6%</w:t>
      </w:r>
      <w:r>
        <w:rPr>
          <w:rFonts w:ascii="华文楷体" w:hAnsi="华文楷体" w:hint="eastAsia"/>
          <w:sz w:val="24"/>
          <w:szCs w:val="24"/>
          <w:lang w:eastAsia="zh-CN"/>
        </w:rPr>
        <w:t>。市场各主要板块延续调整，成交量较上周缩减。上证综指、创业板指、上证</w:t>
      </w:r>
      <w:r>
        <w:rPr>
          <w:rFonts w:ascii="华文楷体" w:hAnsi="华文楷体" w:hint="eastAsia"/>
          <w:sz w:val="24"/>
          <w:szCs w:val="24"/>
          <w:lang w:eastAsia="zh-CN"/>
        </w:rPr>
        <w:t>50</w:t>
      </w:r>
      <w:r>
        <w:rPr>
          <w:rFonts w:ascii="华文楷体" w:hAnsi="华文楷体" w:hint="eastAsia"/>
          <w:sz w:val="24"/>
          <w:szCs w:val="24"/>
          <w:lang w:eastAsia="zh-CN"/>
        </w:rPr>
        <w:t>和沪深</w:t>
      </w:r>
      <w:r>
        <w:rPr>
          <w:rFonts w:ascii="华文楷体" w:hAnsi="华文楷体" w:hint="eastAsia"/>
          <w:sz w:val="24"/>
          <w:szCs w:val="24"/>
          <w:lang w:eastAsia="zh-CN"/>
        </w:rPr>
        <w:t>300</w:t>
      </w:r>
      <w:r>
        <w:rPr>
          <w:rFonts w:ascii="华文楷体" w:hAnsi="华文楷体" w:hint="eastAsia"/>
          <w:sz w:val="24"/>
          <w:szCs w:val="24"/>
          <w:lang w:eastAsia="zh-CN"/>
        </w:rPr>
        <w:t>分别下跌</w:t>
      </w:r>
      <w:r>
        <w:rPr>
          <w:rFonts w:ascii="华文楷体" w:hAnsi="华文楷体" w:hint="eastAsia"/>
          <w:sz w:val="24"/>
          <w:szCs w:val="24"/>
          <w:lang w:eastAsia="zh-CN"/>
        </w:rPr>
        <w:t>2.8%</w:t>
      </w:r>
      <w:r>
        <w:rPr>
          <w:rFonts w:ascii="华文楷体" w:hAnsi="华文楷体" w:hint="eastAsia"/>
          <w:sz w:val="24"/>
          <w:szCs w:val="24"/>
          <w:lang w:eastAsia="zh-CN"/>
        </w:rPr>
        <w:t>、</w:t>
      </w:r>
      <w:r>
        <w:rPr>
          <w:rFonts w:ascii="华文楷体" w:hAnsi="华文楷体" w:hint="eastAsia"/>
          <w:sz w:val="24"/>
          <w:szCs w:val="24"/>
          <w:lang w:eastAsia="zh-CN"/>
        </w:rPr>
        <w:t>7.2%</w:t>
      </w:r>
      <w:r>
        <w:rPr>
          <w:rFonts w:ascii="华文楷体" w:hAnsi="华文楷体" w:hint="eastAsia"/>
          <w:sz w:val="24"/>
          <w:szCs w:val="24"/>
          <w:lang w:eastAsia="zh-CN"/>
        </w:rPr>
        <w:t>、</w:t>
      </w:r>
      <w:r>
        <w:rPr>
          <w:rFonts w:ascii="华文楷体" w:hAnsi="华文楷体" w:hint="eastAsia"/>
          <w:sz w:val="24"/>
          <w:szCs w:val="24"/>
          <w:lang w:eastAsia="zh-CN"/>
        </w:rPr>
        <w:t>1.3%</w:t>
      </w:r>
      <w:r>
        <w:rPr>
          <w:rFonts w:ascii="华文楷体" w:hAnsi="华文楷体" w:hint="eastAsia"/>
          <w:sz w:val="24"/>
          <w:szCs w:val="24"/>
          <w:lang w:eastAsia="zh-CN"/>
        </w:rPr>
        <w:t>和</w:t>
      </w:r>
      <w:r>
        <w:rPr>
          <w:rFonts w:ascii="华文楷体" w:hAnsi="华文楷体" w:hint="eastAsia"/>
          <w:sz w:val="24"/>
          <w:szCs w:val="24"/>
          <w:lang w:eastAsia="zh-CN"/>
        </w:rPr>
        <w:t>3.0%</w:t>
      </w:r>
      <w:r>
        <w:rPr>
          <w:rFonts w:ascii="华文楷体" w:hAnsi="华文楷体" w:hint="eastAsia"/>
          <w:sz w:val="24"/>
          <w:szCs w:val="24"/>
          <w:lang w:eastAsia="zh-CN"/>
        </w:rPr>
        <w:t>。</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72779D">
        <w:trPr>
          <w:jc w:val="center"/>
        </w:trPr>
        <w:tc>
          <w:tcPr>
            <w:tcW w:w="4939" w:type="dxa"/>
            <w:vAlign w:val="center"/>
          </w:tcPr>
          <w:p w:rsidR="0072779D" w:rsidRDefault="00F61B6E">
            <w:pPr>
              <w:pStyle w:val="ChartHeading"/>
              <w:jc w:val="both"/>
            </w:pPr>
            <w:r>
              <w:rPr>
                <w:rFonts w:hint="eastAsia"/>
              </w:rPr>
              <w:lastRenderedPageBreak/>
              <w:t>图表</w:t>
            </w:r>
            <w:r>
              <w:t xml:space="preserve">. </w:t>
            </w:r>
            <w:r>
              <w:rPr>
                <w:rFonts w:hint="eastAsia"/>
              </w:rPr>
              <w:t>A</w:t>
            </w:r>
            <w:r>
              <w:rPr>
                <w:rFonts w:hint="eastAsia"/>
              </w:rPr>
              <w:t>股主要指数交易和估值情况</w:t>
            </w:r>
          </w:p>
        </w:tc>
        <w:tc>
          <w:tcPr>
            <w:tcW w:w="4938" w:type="dxa"/>
            <w:vAlign w:val="center"/>
          </w:tcPr>
          <w:p w:rsidR="0072779D" w:rsidRDefault="00F61B6E">
            <w:pPr>
              <w:pStyle w:val="ChartHeading"/>
              <w:jc w:val="both"/>
            </w:pPr>
            <w:r>
              <w:rPr>
                <w:rFonts w:hint="eastAsia"/>
              </w:rPr>
              <w:t>图表</w:t>
            </w:r>
            <w:r>
              <w:t xml:space="preserve">. </w:t>
            </w:r>
            <w:r>
              <w:rPr>
                <w:rFonts w:hint="eastAsia"/>
              </w:rPr>
              <w:t>转债指数与股指累计变化</w:t>
            </w:r>
          </w:p>
        </w:tc>
      </w:tr>
      <w:tr w:rsidR="0072779D">
        <w:tblPrEx>
          <w:tblCellMar>
            <w:left w:w="108" w:type="dxa"/>
            <w:right w:w="108" w:type="dxa"/>
          </w:tblCellMar>
        </w:tblPrEx>
        <w:trPr>
          <w:jc w:val="center"/>
        </w:trPr>
        <w:tc>
          <w:tcPr>
            <w:tcW w:w="4939" w:type="dxa"/>
            <w:vAlign w:val="center"/>
          </w:tcPr>
          <w:p w:rsidR="0072779D" w:rsidRDefault="00F61B6E">
            <w:pPr>
              <w:jc w:val="center"/>
            </w:pPr>
            <w:r>
              <w:rPr>
                <w:noProof/>
              </w:rPr>
              <w:drawing>
                <wp:inline distT="0" distB="0" distL="0" distR="0">
                  <wp:extent cx="2999105" cy="17589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stretch>
                            <a:fillRect/>
                          </a:stretch>
                        </pic:blipFill>
                        <pic:spPr>
                          <a:xfrm>
                            <a:off x="0" y="0"/>
                            <a:ext cx="2999105" cy="1758950"/>
                          </a:xfrm>
                          <a:prstGeom prst="rect">
                            <a:avLst/>
                          </a:prstGeom>
                        </pic:spPr>
                      </pic:pic>
                    </a:graphicData>
                  </a:graphic>
                </wp:inline>
              </w:drawing>
            </w:r>
          </w:p>
        </w:tc>
        <w:tc>
          <w:tcPr>
            <w:tcW w:w="4938" w:type="dxa"/>
            <w:vAlign w:val="center"/>
          </w:tcPr>
          <w:p w:rsidR="0072779D" w:rsidRDefault="00F61B6E">
            <w:pPr>
              <w:jc w:val="center"/>
              <w:rPr>
                <w:szCs w:val="18"/>
              </w:rPr>
            </w:pPr>
            <w:r>
              <w:rPr>
                <w:noProof/>
              </w:rPr>
              <w:drawing>
                <wp:inline distT="0" distB="0" distL="0" distR="0">
                  <wp:extent cx="2998470" cy="1654810"/>
                  <wp:effectExtent l="0" t="0" r="0" b="254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72779D">
        <w:trPr>
          <w:trHeight w:val="64"/>
          <w:jc w:val="center"/>
        </w:trPr>
        <w:tc>
          <w:tcPr>
            <w:tcW w:w="4939" w:type="dxa"/>
            <w:vAlign w:val="center"/>
          </w:tcPr>
          <w:p w:rsidR="0072779D" w:rsidRDefault="00F61B6E">
            <w:pPr>
              <w:pStyle w:val="Source"/>
              <w:jc w:val="both"/>
              <w:rPr>
                <w:kern w:val="0"/>
              </w:rPr>
            </w:pPr>
            <w:r>
              <w:rPr>
                <w:rFonts w:hint="eastAsia"/>
                <w:kern w:val="0"/>
              </w:rPr>
              <w:t>资料来源：万得，富荣基金</w:t>
            </w:r>
          </w:p>
        </w:tc>
        <w:tc>
          <w:tcPr>
            <w:tcW w:w="4938" w:type="dxa"/>
            <w:vAlign w:val="center"/>
          </w:tcPr>
          <w:p w:rsidR="0072779D" w:rsidRDefault="00F61B6E">
            <w:pPr>
              <w:pStyle w:val="Source"/>
              <w:jc w:val="both"/>
              <w:rPr>
                <w:kern w:val="0"/>
              </w:rPr>
            </w:pPr>
            <w:r>
              <w:rPr>
                <w:rFonts w:hint="eastAsia"/>
                <w:kern w:val="0"/>
              </w:rPr>
              <w:t>资料来源：万得，富荣基金</w:t>
            </w:r>
          </w:p>
        </w:tc>
      </w:tr>
    </w:tbl>
    <w:p w:rsidR="0072779D" w:rsidRDefault="0072779D">
      <w:pPr>
        <w:pStyle w:val="Body-text"/>
        <w:spacing w:after="0"/>
        <w:rPr>
          <w:lang w:eastAsia="zh-CN"/>
        </w:rPr>
      </w:pPr>
    </w:p>
    <w:p w:rsidR="0072779D" w:rsidRDefault="00F61B6E">
      <w:pPr>
        <w:pStyle w:val="Header1"/>
        <w:spacing w:before="240"/>
        <w:rPr>
          <w:color w:val="C45911" w:themeColor="accent2" w:themeShade="BF"/>
        </w:rPr>
      </w:pPr>
      <w:r>
        <w:rPr>
          <w:rFonts w:hint="eastAsia"/>
          <w:color w:val="C45911" w:themeColor="accent2" w:themeShade="BF"/>
        </w:rPr>
        <w:t>三、本周市场展望</w:t>
      </w:r>
    </w:p>
    <w:p w:rsidR="0072779D" w:rsidRDefault="00F61B6E">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Pr>
          <w:rFonts w:hint="eastAsia"/>
          <w:sz w:val="28"/>
          <w:szCs w:val="21"/>
        </w:rPr>
        <w:t>基本面变化</w:t>
      </w:r>
    </w:p>
    <w:p w:rsidR="0072779D" w:rsidRDefault="00F61B6E">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生产：</w:t>
      </w:r>
      <w:r>
        <w:rPr>
          <w:rFonts w:ascii="华文楷体" w:hAnsi="华文楷体" w:hint="eastAsia"/>
          <w:bCs/>
          <w:sz w:val="24"/>
          <w:szCs w:val="24"/>
          <w:lang w:eastAsia="zh-CN"/>
        </w:rPr>
        <w:t>煤炭价格上涨</w:t>
      </w:r>
      <w:r>
        <w:rPr>
          <w:rFonts w:ascii="华文楷体" w:hAnsi="华文楷体" w:hint="eastAsia"/>
          <w:bCs/>
          <w:sz w:val="24"/>
          <w:szCs w:val="24"/>
          <w:lang w:eastAsia="zh-CN"/>
        </w:rPr>
        <w:t>0</w:t>
      </w:r>
      <w:r>
        <w:rPr>
          <w:rFonts w:ascii="华文楷体" w:hAnsi="华文楷体"/>
          <w:bCs/>
          <w:sz w:val="24"/>
          <w:szCs w:val="24"/>
          <w:lang w:eastAsia="zh-CN"/>
        </w:rPr>
        <w:t>.24</w:t>
      </w:r>
      <w:r>
        <w:rPr>
          <w:rFonts w:ascii="华文楷体" w:hAnsi="华文楷体" w:hint="eastAsia"/>
          <w:bCs/>
          <w:sz w:val="24"/>
          <w:szCs w:val="24"/>
          <w:lang w:eastAsia="zh-CN"/>
        </w:rPr>
        <w:t>%</w:t>
      </w:r>
      <w:r>
        <w:rPr>
          <w:rFonts w:ascii="华文楷体" w:hAnsi="华文楷体" w:hint="eastAsia"/>
          <w:bCs/>
          <w:sz w:val="24"/>
          <w:szCs w:val="24"/>
          <w:lang w:eastAsia="zh-CN"/>
        </w:rPr>
        <w:t>，动力煤价格上涨</w:t>
      </w:r>
      <w:r>
        <w:rPr>
          <w:rFonts w:ascii="华文楷体" w:hAnsi="华文楷体" w:hint="eastAsia"/>
          <w:bCs/>
          <w:sz w:val="24"/>
          <w:szCs w:val="24"/>
          <w:lang w:eastAsia="zh-CN"/>
        </w:rPr>
        <w:t>1</w:t>
      </w:r>
      <w:r>
        <w:rPr>
          <w:rFonts w:ascii="华文楷体" w:hAnsi="华文楷体"/>
          <w:bCs/>
          <w:sz w:val="24"/>
          <w:szCs w:val="24"/>
          <w:lang w:eastAsia="zh-CN"/>
        </w:rPr>
        <w:t>.28</w:t>
      </w:r>
      <w:r w:rsidR="00F46B74">
        <w:rPr>
          <w:rFonts w:ascii="华文楷体" w:hAnsi="华文楷体" w:hint="eastAsia"/>
          <w:bCs/>
          <w:sz w:val="24"/>
          <w:szCs w:val="24"/>
          <w:lang w:eastAsia="zh-CN"/>
        </w:rPr>
        <w:t>%</w:t>
      </w:r>
      <w:r>
        <w:rPr>
          <w:rFonts w:ascii="华文楷体" w:hAnsi="华文楷体" w:hint="eastAsia"/>
          <w:bCs/>
          <w:sz w:val="24"/>
          <w:szCs w:val="24"/>
          <w:lang w:eastAsia="zh-CN"/>
        </w:rPr>
        <w:t>。本周</w:t>
      </w:r>
      <w:r>
        <w:rPr>
          <w:rFonts w:ascii="华文楷体" w:hAnsi="华文楷体" w:hint="eastAsia"/>
          <w:bCs/>
          <w:sz w:val="24"/>
          <w:szCs w:val="24"/>
          <w:lang w:eastAsia="zh-CN"/>
        </w:rPr>
        <w:t>Myspic</w:t>
      </w:r>
      <w:r>
        <w:rPr>
          <w:rFonts w:ascii="华文楷体" w:hAnsi="华文楷体" w:hint="eastAsia"/>
          <w:bCs/>
          <w:sz w:val="24"/>
          <w:szCs w:val="24"/>
          <w:lang w:eastAsia="zh-CN"/>
        </w:rPr>
        <w:t>普钢指数环比下跌</w:t>
      </w:r>
      <w:r>
        <w:rPr>
          <w:rFonts w:ascii="华文楷体" w:hAnsi="华文楷体" w:hint="eastAsia"/>
          <w:bCs/>
          <w:sz w:val="24"/>
          <w:szCs w:val="24"/>
          <w:lang w:eastAsia="zh-CN"/>
        </w:rPr>
        <w:t>0</w:t>
      </w:r>
      <w:r>
        <w:rPr>
          <w:rFonts w:ascii="华文楷体" w:hAnsi="华文楷体"/>
          <w:bCs/>
          <w:sz w:val="24"/>
          <w:szCs w:val="24"/>
          <w:lang w:eastAsia="zh-CN"/>
        </w:rPr>
        <w:t>.86%</w:t>
      </w:r>
      <w:r>
        <w:rPr>
          <w:rFonts w:ascii="华文楷体" w:hAnsi="华文楷体" w:hint="eastAsia"/>
          <w:bCs/>
          <w:sz w:val="24"/>
          <w:szCs w:val="24"/>
          <w:lang w:eastAsia="zh-CN"/>
        </w:rPr>
        <w:t>。主要品种中，螺纹钢、热卷价格下跌，分别变动</w:t>
      </w:r>
      <w:r>
        <w:rPr>
          <w:rFonts w:ascii="华文楷体" w:hAnsi="华文楷体"/>
          <w:bCs/>
          <w:sz w:val="24"/>
          <w:szCs w:val="24"/>
          <w:lang w:eastAsia="zh-CN"/>
        </w:rPr>
        <w:t>-0.89</w:t>
      </w:r>
      <w:r>
        <w:rPr>
          <w:rFonts w:ascii="华文楷体" w:hAnsi="华文楷体" w:hint="eastAsia"/>
          <w:bCs/>
          <w:sz w:val="24"/>
          <w:szCs w:val="24"/>
          <w:lang w:eastAsia="zh-CN"/>
        </w:rPr>
        <w:t>%</w:t>
      </w:r>
      <w:r>
        <w:rPr>
          <w:rFonts w:ascii="华文楷体" w:hAnsi="华文楷体" w:hint="eastAsia"/>
          <w:bCs/>
          <w:sz w:val="24"/>
          <w:szCs w:val="24"/>
          <w:lang w:eastAsia="zh-CN"/>
        </w:rPr>
        <w:t>、</w:t>
      </w:r>
      <w:r>
        <w:rPr>
          <w:rFonts w:ascii="华文楷体" w:hAnsi="华文楷体"/>
          <w:bCs/>
          <w:sz w:val="24"/>
          <w:szCs w:val="24"/>
          <w:lang w:eastAsia="zh-CN"/>
        </w:rPr>
        <w:t>-3.28</w:t>
      </w:r>
      <w:r>
        <w:rPr>
          <w:rFonts w:ascii="华文楷体" w:hAnsi="华文楷体" w:hint="eastAsia"/>
          <w:bCs/>
          <w:sz w:val="24"/>
          <w:szCs w:val="24"/>
          <w:lang w:eastAsia="zh-CN"/>
        </w:rPr>
        <w:t>%</w:t>
      </w:r>
      <w:r>
        <w:rPr>
          <w:rFonts w:ascii="华文楷体" w:hAnsi="华文楷体" w:hint="eastAsia"/>
          <w:bCs/>
          <w:sz w:val="24"/>
          <w:szCs w:val="24"/>
          <w:lang w:eastAsia="zh-CN"/>
        </w:rPr>
        <w:t>；从库存来看，螺纹钢社会库存持续累积。本周</w:t>
      </w:r>
      <w:r>
        <w:rPr>
          <w:rFonts w:ascii="华文楷体" w:hAnsi="华文楷体" w:hint="eastAsia"/>
          <w:bCs/>
          <w:sz w:val="24"/>
          <w:szCs w:val="24"/>
          <w:lang w:eastAsia="zh-CN"/>
        </w:rPr>
        <w:t>LME</w:t>
      </w:r>
      <w:r>
        <w:rPr>
          <w:rFonts w:ascii="华文楷体" w:hAnsi="华文楷体" w:hint="eastAsia"/>
          <w:bCs/>
          <w:sz w:val="24"/>
          <w:szCs w:val="24"/>
          <w:lang w:eastAsia="zh-CN"/>
        </w:rPr>
        <w:t>有色品种铜和铝价格分化，涨幅分别为</w:t>
      </w:r>
      <w:r>
        <w:rPr>
          <w:rFonts w:ascii="华文楷体" w:hAnsi="华文楷体"/>
          <w:bCs/>
          <w:sz w:val="24"/>
          <w:szCs w:val="24"/>
          <w:lang w:eastAsia="zh-CN"/>
        </w:rPr>
        <w:t>0.07</w:t>
      </w:r>
      <w:r>
        <w:rPr>
          <w:rFonts w:ascii="华文楷体" w:hAnsi="华文楷体" w:hint="eastAsia"/>
          <w:bCs/>
          <w:sz w:val="24"/>
          <w:szCs w:val="24"/>
          <w:lang w:eastAsia="zh-CN"/>
        </w:rPr>
        <w:t>%</w:t>
      </w:r>
      <w:r>
        <w:rPr>
          <w:rFonts w:ascii="华文楷体" w:hAnsi="华文楷体" w:hint="eastAsia"/>
          <w:bCs/>
          <w:sz w:val="24"/>
          <w:szCs w:val="24"/>
          <w:lang w:eastAsia="zh-CN"/>
        </w:rPr>
        <w:t>和</w:t>
      </w:r>
      <w:r>
        <w:rPr>
          <w:rFonts w:ascii="华文楷体" w:hAnsi="华文楷体"/>
          <w:bCs/>
          <w:sz w:val="24"/>
          <w:szCs w:val="24"/>
          <w:lang w:eastAsia="zh-CN"/>
        </w:rPr>
        <w:t>-0.64</w:t>
      </w:r>
      <w:r>
        <w:rPr>
          <w:rFonts w:ascii="华文楷体" w:hAnsi="华文楷体" w:hint="eastAsia"/>
          <w:bCs/>
          <w:sz w:val="24"/>
          <w:szCs w:val="24"/>
          <w:lang w:eastAsia="zh-CN"/>
        </w:rPr>
        <w:t>%</w:t>
      </w:r>
      <w:r>
        <w:rPr>
          <w:rFonts w:ascii="华文楷体" w:hAnsi="华文楷体" w:hint="eastAsia"/>
          <w:bCs/>
          <w:sz w:val="24"/>
          <w:szCs w:val="24"/>
          <w:lang w:eastAsia="zh-CN"/>
        </w:rPr>
        <w:t>。</w:t>
      </w:r>
    </w:p>
    <w:p w:rsidR="0072779D" w:rsidRDefault="00F61B6E">
      <w:pPr>
        <w:pStyle w:val="Body-text"/>
        <w:ind w:firstLineChars="200" w:firstLine="480"/>
        <w:rPr>
          <w:rFonts w:ascii="华文楷体" w:hAnsi="华文楷体"/>
          <w:bCs/>
          <w:color w:val="C00000"/>
          <w:sz w:val="24"/>
          <w:szCs w:val="24"/>
          <w:lang w:eastAsia="zh-CN"/>
        </w:rPr>
      </w:pPr>
      <w:r>
        <w:rPr>
          <w:rFonts w:ascii="华文楷体" w:hAnsi="华文楷体" w:hint="eastAsia"/>
          <w:b/>
          <w:bCs/>
          <w:sz w:val="24"/>
          <w:szCs w:val="24"/>
          <w:lang w:eastAsia="zh-CN"/>
        </w:rPr>
        <w:t>地产和消费：</w:t>
      </w:r>
      <w:r>
        <w:rPr>
          <w:rFonts w:ascii="华文楷体" w:hAnsi="华文楷体" w:hint="eastAsia"/>
          <w:bCs/>
          <w:sz w:val="24"/>
          <w:szCs w:val="24"/>
          <w:lang w:eastAsia="zh-CN"/>
        </w:rPr>
        <w:t>本周</w:t>
      </w:r>
      <w:r>
        <w:rPr>
          <w:rFonts w:ascii="华文楷体" w:hAnsi="华文楷体" w:hint="eastAsia"/>
          <w:bCs/>
          <w:sz w:val="24"/>
          <w:szCs w:val="24"/>
          <w:lang w:eastAsia="zh-CN"/>
        </w:rPr>
        <w:t>30</w:t>
      </w:r>
      <w:r>
        <w:rPr>
          <w:rFonts w:ascii="华文楷体" w:hAnsi="华文楷体" w:hint="eastAsia"/>
          <w:bCs/>
          <w:sz w:val="24"/>
          <w:szCs w:val="24"/>
          <w:lang w:eastAsia="zh-CN"/>
        </w:rPr>
        <w:t>大中城市商品房成交面积较上周回落，与近期部分城市地产政策持续收紧有关。拿地方面，</w:t>
      </w:r>
      <w:r>
        <w:rPr>
          <w:rFonts w:ascii="华文楷体" w:hAnsi="华文楷体" w:hint="eastAsia"/>
          <w:bCs/>
          <w:sz w:val="24"/>
          <w:szCs w:val="24"/>
          <w:lang w:eastAsia="zh-CN"/>
        </w:rPr>
        <w:t>100</w:t>
      </w:r>
      <w:r>
        <w:rPr>
          <w:rFonts w:ascii="华文楷体" w:hAnsi="华文楷体" w:hint="eastAsia"/>
          <w:bCs/>
          <w:sz w:val="24"/>
          <w:szCs w:val="24"/>
          <w:lang w:eastAsia="zh-CN"/>
        </w:rPr>
        <w:t>大中城市土地成交面积回落。</w:t>
      </w:r>
      <w:r>
        <w:rPr>
          <w:rFonts w:ascii="华文楷体" w:hAnsi="华文楷体" w:hint="eastAsia"/>
          <w:bCs/>
          <w:sz w:val="24"/>
          <w:szCs w:val="24"/>
          <w:lang w:eastAsia="zh-CN"/>
        </w:rPr>
        <w:t>8</w:t>
      </w:r>
      <w:r>
        <w:rPr>
          <w:rFonts w:ascii="华文楷体" w:hAnsi="华文楷体" w:hint="eastAsia"/>
          <w:bCs/>
          <w:sz w:val="24"/>
          <w:szCs w:val="24"/>
          <w:lang w:eastAsia="zh-CN"/>
        </w:rPr>
        <w:t>月乘用车市场零售销量为</w:t>
      </w:r>
      <w:r>
        <w:rPr>
          <w:rFonts w:ascii="华文楷体" w:hAnsi="华文楷体" w:hint="eastAsia"/>
          <w:bCs/>
          <w:sz w:val="24"/>
          <w:szCs w:val="24"/>
          <w:lang w:eastAsia="zh-CN"/>
        </w:rPr>
        <w:t>170.3</w:t>
      </w:r>
      <w:r>
        <w:rPr>
          <w:rFonts w:ascii="华文楷体" w:hAnsi="华文楷体" w:hint="eastAsia"/>
          <w:bCs/>
          <w:sz w:val="24"/>
          <w:szCs w:val="24"/>
          <w:lang w:eastAsia="zh-CN"/>
        </w:rPr>
        <w:t>万辆，同比增长</w:t>
      </w:r>
      <w:r>
        <w:rPr>
          <w:rFonts w:ascii="华文楷体" w:hAnsi="华文楷体" w:hint="eastAsia"/>
          <w:bCs/>
          <w:sz w:val="24"/>
          <w:szCs w:val="24"/>
          <w:lang w:eastAsia="zh-CN"/>
        </w:rPr>
        <w:t>8.9%</w:t>
      </w:r>
      <w:r>
        <w:rPr>
          <w:rFonts w:ascii="华文楷体" w:hAnsi="华文楷体" w:hint="eastAsia"/>
          <w:bCs/>
          <w:sz w:val="24"/>
          <w:szCs w:val="24"/>
          <w:lang w:eastAsia="zh-CN"/>
        </w:rPr>
        <w:t>，实现自</w:t>
      </w:r>
      <w:r>
        <w:rPr>
          <w:rFonts w:ascii="华文楷体" w:hAnsi="华文楷体" w:hint="eastAsia"/>
          <w:bCs/>
          <w:sz w:val="24"/>
          <w:szCs w:val="24"/>
          <w:lang w:eastAsia="zh-CN"/>
        </w:rPr>
        <w:t>2018</w:t>
      </w:r>
      <w:r>
        <w:rPr>
          <w:rFonts w:ascii="华文楷体" w:hAnsi="华文楷体" w:hint="eastAsia"/>
          <w:bCs/>
          <w:sz w:val="24"/>
          <w:szCs w:val="24"/>
          <w:lang w:eastAsia="zh-CN"/>
        </w:rPr>
        <w:t>年</w:t>
      </w:r>
      <w:r>
        <w:rPr>
          <w:rFonts w:ascii="华文楷体" w:hAnsi="华文楷体" w:hint="eastAsia"/>
          <w:bCs/>
          <w:sz w:val="24"/>
          <w:szCs w:val="24"/>
          <w:lang w:eastAsia="zh-CN"/>
        </w:rPr>
        <w:t>5</w:t>
      </w:r>
      <w:r>
        <w:rPr>
          <w:rFonts w:ascii="华文楷体" w:hAnsi="华文楷体" w:hint="eastAsia"/>
          <w:bCs/>
          <w:sz w:val="24"/>
          <w:szCs w:val="24"/>
          <w:lang w:eastAsia="zh-CN"/>
        </w:rPr>
        <w:t>月以来的最强正增长。</w:t>
      </w:r>
    </w:p>
    <w:p w:rsidR="0072779D" w:rsidRDefault="00F61B6E">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进出口</w:t>
      </w:r>
      <w:r>
        <w:rPr>
          <w:rFonts w:ascii="华文楷体" w:hAnsi="华文楷体" w:hint="eastAsia"/>
          <w:bCs/>
          <w:sz w:val="24"/>
          <w:szCs w:val="24"/>
          <w:lang w:eastAsia="zh-CN"/>
        </w:rPr>
        <w:t>：出口方面，上海出口集装箱指数（</w:t>
      </w:r>
      <w:r>
        <w:rPr>
          <w:rFonts w:ascii="华文楷体" w:hAnsi="华文楷体" w:hint="eastAsia"/>
          <w:bCs/>
          <w:sz w:val="24"/>
          <w:szCs w:val="24"/>
          <w:lang w:eastAsia="zh-CN"/>
        </w:rPr>
        <w:t>SCFI</w:t>
      </w:r>
      <w:r>
        <w:rPr>
          <w:rFonts w:ascii="华文楷体" w:hAnsi="华文楷体" w:hint="eastAsia"/>
          <w:bCs/>
          <w:sz w:val="24"/>
          <w:szCs w:val="24"/>
          <w:lang w:eastAsia="zh-CN"/>
        </w:rPr>
        <w:t>）本周上升</w:t>
      </w:r>
      <w:r>
        <w:rPr>
          <w:rFonts w:ascii="华文楷体" w:hAnsi="华文楷体"/>
          <w:bCs/>
          <w:sz w:val="24"/>
          <w:szCs w:val="24"/>
          <w:lang w:eastAsia="zh-CN"/>
        </w:rPr>
        <w:t>2.59</w:t>
      </w:r>
      <w:r>
        <w:rPr>
          <w:rFonts w:ascii="华文楷体" w:hAnsi="华文楷体" w:hint="eastAsia"/>
          <w:bCs/>
          <w:sz w:val="24"/>
          <w:szCs w:val="24"/>
          <w:lang w:eastAsia="zh-CN"/>
        </w:rPr>
        <w:t>%</w:t>
      </w:r>
      <w:r>
        <w:rPr>
          <w:rFonts w:ascii="华文楷体" w:hAnsi="华文楷体" w:hint="eastAsia"/>
          <w:bCs/>
          <w:sz w:val="24"/>
          <w:szCs w:val="24"/>
          <w:lang w:eastAsia="zh-CN"/>
        </w:rPr>
        <w:t>，中国出口集装箱运价指数（</w:t>
      </w:r>
      <w:r>
        <w:rPr>
          <w:rFonts w:ascii="华文楷体" w:hAnsi="华文楷体" w:hint="eastAsia"/>
          <w:bCs/>
          <w:sz w:val="24"/>
          <w:szCs w:val="24"/>
          <w:lang w:eastAsia="zh-CN"/>
        </w:rPr>
        <w:t>CCFI</w:t>
      </w:r>
      <w:r>
        <w:rPr>
          <w:rFonts w:ascii="华文楷体" w:hAnsi="华文楷体" w:hint="eastAsia"/>
          <w:bCs/>
          <w:sz w:val="24"/>
          <w:szCs w:val="24"/>
          <w:lang w:eastAsia="zh-CN"/>
        </w:rPr>
        <w:t>）上升</w:t>
      </w:r>
      <w:r>
        <w:rPr>
          <w:rFonts w:ascii="华文楷体" w:hAnsi="华文楷体" w:hint="eastAsia"/>
          <w:bCs/>
          <w:sz w:val="24"/>
          <w:szCs w:val="24"/>
          <w:lang w:eastAsia="zh-CN"/>
        </w:rPr>
        <w:t>3%</w:t>
      </w:r>
      <w:r>
        <w:rPr>
          <w:rFonts w:ascii="华文楷体" w:hAnsi="华文楷体" w:hint="eastAsia"/>
          <w:bCs/>
          <w:sz w:val="24"/>
          <w:szCs w:val="24"/>
          <w:lang w:eastAsia="zh-CN"/>
        </w:rPr>
        <w:t>。进口方面，波罗的海干散货指数较上周下降</w:t>
      </w:r>
      <w:r>
        <w:rPr>
          <w:rFonts w:ascii="华文楷体" w:hAnsi="华文楷体" w:hint="eastAsia"/>
          <w:bCs/>
          <w:sz w:val="24"/>
          <w:szCs w:val="24"/>
          <w:lang w:eastAsia="zh-CN"/>
        </w:rPr>
        <w:t>6</w:t>
      </w:r>
      <w:r>
        <w:rPr>
          <w:rFonts w:ascii="华文楷体" w:hAnsi="华文楷体"/>
          <w:bCs/>
          <w:sz w:val="24"/>
          <w:szCs w:val="24"/>
          <w:lang w:eastAsia="zh-CN"/>
        </w:rPr>
        <w:t>.97</w:t>
      </w:r>
      <w:r>
        <w:rPr>
          <w:rFonts w:ascii="华文楷体" w:hAnsi="华文楷体" w:hint="eastAsia"/>
          <w:bCs/>
          <w:sz w:val="24"/>
          <w:szCs w:val="24"/>
          <w:lang w:eastAsia="zh-CN"/>
        </w:rPr>
        <w:t>%</w:t>
      </w:r>
      <w:r>
        <w:rPr>
          <w:rFonts w:ascii="华文楷体" w:hAnsi="华文楷体" w:hint="eastAsia"/>
          <w:bCs/>
          <w:sz w:val="24"/>
          <w:szCs w:val="24"/>
          <w:lang w:eastAsia="zh-CN"/>
        </w:rPr>
        <w:t>。</w:t>
      </w:r>
    </w:p>
    <w:p w:rsidR="0072779D" w:rsidRDefault="00F61B6E">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通胀：</w:t>
      </w:r>
      <w:r>
        <w:rPr>
          <w:rFonts w:ascii="华文楷体" w:hAnsi="华文楷体" w:hint="eastAsia"/>
          <w:bCs/>
          <w:sz w:val="24"/>
          <w:szCs w:val="24"/>
          <w:lang w:eastAsia="zh-CN"/>
        </w:rPr>
        <w:t>猪肉价格本周略有下跌。农业部公布的全国平均批发价较上周末下跌</w:t>
      </w:r>
      <w:r>
        <w:rPr>
          <w:rFonts w:ascii="华文楷体" w:hAnsi="华文楷体" w:hint="eastAsia"/>
          <w:bCs/>
          <w:sz w:val="24"/>
          <w:szCs w:val="24"/>
          <w:lang w:eastAsia="zh-CN"/>
        </w:rPr>
        <w:t>0</w:t>
      </w:r>
      <w:r>
        <w:rPr>
          <w:rFonts w:ascii="华文楷体" w:hAnsi="华文楷体"/>
          <w:bCs/>
          <w:sz w:val="24"/>
          <w:szCs w:val="24"/>
          <w:lang w:eastAsia="zh-CN"/>
        </w:rPr>
        <w:t>.21</w:t>
      </w:r>
      <w:r>
        <w:rPr>
          <w:rFonts w:ascii="华文楷体" w:hAnsi="华文楷体" w:hint="eastAsia"/>
          <w:bCs/>
          <w:sz w:val="24"/>
          <w:szCs w:val="24"/>
          <w:lang w:eastAsia="zh-CN"/>
        </w:rPr>
        <w:t>%</w:t>
      </w:r>
      <w:r>
        <w:rPr>
          <w:rFonts w:ascii="华文楷体" w:hAnsi="华文楷体" w:hint="eastAsia"/>
          <w:bCs/>
          <w:sz w:val="24"/>
          <w:szCs w:val="24"/>
          <w:lang w:eastAsia="zh-CN"/>
        </w:rPr>
        <w:t>，至</w:t>
      </w:r>
      <w:r>
        <w:rPr>
          <w:rFonts w:ascii="华文楷体" w:hAnsi="华文楷体" w:hint="eastAsia"/>
          <w:bCs/>
          <w:sz w:val="24"/>
          <w:szCs w:val="24"/>
          <w:lang w:eastAsia="zh-CN"/>
        </w:rPr>
        <w:t>4</w:t>
      </w:r>
      <w:r>
        <w:rPr>
          <w:rFonts w:ascii="华文楷体" w:hAnsi="华文楷体"/>
          <w:bCs/>
          <w:sz w:val="24"/>
          <w:szCs w:val="24"/>
          <w:lang w:eastAsia="zh-CN"/>
        </w:rPr>
        <w:t>7.85</w:t>
      </w:r>
      <w:r>
        <w:rPr>
          <w:rFonts w:ascii="华文楷体" w:hAnsi="华文楷体" w:hint="eastAsia"/>
          <w:bCs/>
          <w:sz w:val="24"/>
          <w:szCs w:val="24"/>
          <w:lang w:eastAsia="zh-CN"/>
        </w:rPr>
        <w:t>元</w:t>
      </w:r>
      <w:r>
        <w:rPr>
          <w:rFonts w:ascii="华文楷体" w:hAnsi="华文楷体" w:hint="eastAsia"/>
          <w:bCs/>
          <w:sz w:val="24"/>
          <w:szCs w:val="24"/>
          <w:lang w:eastAsia="zh-CN"/>
        </w:rPr>
        <w:t>/</w:t>
      </w:r>
      <w:r>
        <w:rPr>
          <w:rFonts w:ascii="华文楷体" w:hAnsi="华文楷体" w:hint="eastAsia"/>
          <w:bCs/>
          <w:sz w:val="24"/>
          <w:szCs w:val="24"/>
          <w:lang w:eastAsia="zh-CN"/>
        </w:rPr>
        <w:t>公斤左右。蔬菜方面，价格小幅下跌；水果价格则较上周小幅回升，涨幅为</w:t>
      </w:r>
      <w:r>
        <w:rPr>
          <w:rFonts w:ascii="华文楷体" w:hAnsi="华文楷体" w:hint="eastAsia"/>
          <w:bCs/>
          <w:sz w:val="24"/>
          <w:szCs w:val="24"/>
          <w:lang w:eastAsia="zh-CN"/>
        </w:rPr>
        <w:t>1</w:t>
      </w:r>
      <w:r>
        <w:rPr>
          <w:rFonts w:ascii="华文楷体" w:hAnsi="华文楷体"/>
          <w:bCs/>
          <w:sz w:val="24"/>
          <w:szCs w:val="24"/>
          <w:lang w:eastAsia="zh-CN"/>
        </w:rPr>
        <w:t>.17</w:t>
      </w:r>
      <w:r>
        <w:rPr>
          <w:rFonts w:ascii="华文楷体" w:hAnsi="华文楷体" w:hint="eastAsia"/>
          <w:bCs/>
          <w:sz w:val="24"/>
          <w:szCs w:val="24"/>
          <w:lang w:eastAsia="zh-CN"/>
        </w:rPr>
        <w:t>%</w:t>
      </w:r>
      <w:r>
        <w:rPr>
          <w:rFonts w:ascii="华文楷体" w:hAnsi="华文楷体" w:hint="eastAsia"/>
          <w:bCs/>
          <w:sz w:val="24"/>
          <w:szCs w:val="24"/>
          <w:lang w:eastAsia="zh-CN"/>
        </w:rPr>
        <w:t>。</w:t>
      </w:r>
    </w:p>
    <w:p w:rsidR="0072779D" w:rsidRDefault="00F61B6E">
      <w:pPr>
        <w:pStyle w:val="Body-text"/>
        <w:ind w:firstLineChars="200" w:firstLine="480"/>
        <w:rPr>
          <w:rFonts w:ascii="华文楷体" w:hAnsi="华文楷体"/>
          <w:bCs/>
          <w:sz w:val="24"/>
          <w:szCs w:val="24"/>
          <w:lang w:eastAsia="zh-CN"/>
        </w:rPr>
      </w:pPr>
      <w:bookmarkStart w:id="2" w:name="_Hlk21205334"/>
      <w:r>
        <w:rPr>
          <w:rFonts w:ascii="华文楷体" w:hAnsi="华文楷体" w:hint="eastAsia"/>
          <w:b/>
          <w:bCs/>
          <w:sz w:val="24"/>
          <w:szCs w:val="24"/>
          <w:lang w:eastAsia="zh-CN"/>
        </w:rPr>
        <w:t>海外</w:t>
      </w:r>
      <w:r>
        <w:rPr>
          <w:rFonts w:ascii="华文楷体" w:hAnsi="华文楷体" w:hint="eastAsia"/>
          <w:bCs/>
          <w:sz w:val="24"/>
          <w:szCs w:val="24"/>
          <w:lang w:eastAsia="zh-CN"/>
        </w:rPr>
        <w:t>：本周国际油价上涨，</w:t>
      </w:r>
      <w:r>
        <w:rPr>
          <w:rFonts w:ascii="华文楷体" w:hAnsi="华文楷体" w:hint="eastAsia"/>
          <w:bCs/>
          <w:sz w:val="24"/>
          <w:szCs w:val="24"/>
          <w:lang w:eastAsia="zh-CN"/>
        </w:rPr>
        <w:t>WTI</w:t>
      </w:r>
      <w:r>
        <w:rPr>
          <w:rFonts w:ascii="华文楷体" w:hAnsi="华文楷体" w:hint="eastAsia"/>
          <w:bCs/>
          <w:sz w:val="24"/>
          <w:szCs w:val="24"/>
          <w:lang w:eastAsia="zh-CN"/>
        </w:rPr>
        <w:t>原油价格环比下跌</w:t>
      </w:r>
      <w:r>
        <w:rPr>
          <w:rFonts w:ascii="华文楷体" w:hAnsi="华文楷体" w:hint="eastAsia"/>
          <w:bCs/>
          <w:sz w:val="24"/>
          <w:szCs w:val="24"/>
          <w:lang w:eastAsia="zh-CN"/>
        </w:rPr>
        <w:t>5</w:t>
      </w:r>
      <w:r>
        <w:rPr>
          <w:rFonts w:ascii="华文楷体" w:hAnsi="华文楷体"/>
          <w:bCs/>
          <w:sz w:val="24"/>
          <w:szCs w:val="24"/>
          <w:lang w:eastAsia="zh-CN"/>
        </w:rPr>
        <w:t>.98</w:t>
      </w:r>
      <w:r>
        <w:rPr>
          <w:rFonts w:ascii="华文楷体" w:hAnsi="华文楷体" w:hint="eastAsia"/>
          <w:bCs/>
          <w:sz w:val="24"/>
          <w:szCs w:val="24"/>
          <w:lang w:eastAsia="zh-CN"/>
        </w:rPr>
        <w:t>%</w:t>
      </w:r>
      <w:r>
        <w:rPr>
          <w:rFonts w:ascii="华文楷体" w:hAnsi="华文楷体" w:hint="eastAsia"/>
          <w:bCs/>
          <w:sz w:val="24"/>
          <w:szCs w:val="24"/>
          <w:lang w:eastAsia="zh-CN"/>
        </w:rPr>
        <w:t>；布伦特原油价格环比下跌</w:t>
      </w:r>
      <w:r>
        <w:rPr>
          <w:rFonts w:ascii="华文楷体" w:hAnsi="华文楷体" w:hint="eastAsia"/>
          <w:bCs/>
          <w:sz w:val="24"/>
          <w:szCs w:val="24"/>
          <w:lang w:eastAsia="zh-CN"/>
        </w:rPr>
        <w:t>6</w:t>
      </w:r>
      <w:r>
        <w:rPr>
          <w:rFonts w:ascii="华文楷体" w:hAnsi="华文楷体"/>
          <w:bCs/>
          <w:sz w:val="24"/>
          <w:szCs w:val="24"/>
          <w:lang w:eastAsia="zh-CN"/>
        </w:rPr>
        <w:t>.42</w:t>
      </w:r>
      <w:r>
        <w:rPr>
          <w:rFonts w:ascii="华文楷体" w:hAnsi="华文楷体" w:hint="eastAsia"/>
          <w:bCs/>
          <w:sz w:val="24"/>
          <w:szCs w:val="24"/>
          <w:lang w:eastAsia="zh-CN"/>
        </w:rPr>
        <w:t>%</w:t>
      </w:r>
      <w:r>
        <w:rPr>
          <w:rFonts w:ascii="华文楷体" w:hAnsi="华文楷体" w:hint="eastAsia"/>
          <w:bCs/>
          <w:sz w:val="24"/>
          <w:szCs w:val="24"/>
          <w:lang w:eastAsia="zh-CN"/>
        </w:rPr>
        <w:t>。本周美元指数小幅上涨</w:t>
      </w:r>
      <w:r>
        <w:rPr>
          <w:rFonts w:ascii="华文楷体" w:hAnsi="华文楷体" w:hint="eastAsia"/>
          <w:bCs/>
          <w:sz w:val="24"/>
          <w:szCs w:val="24"/>
          <w:lang w:eastAsia="zh-CN"/>
        </w:rPr>
        <w:t>0</w:t>
      </w:r>
      <w:r>
        <w:rPr>
          <w:rFonts w:ascii="华文楷体" w:hAnsi="华文楷体"/>
          <w:bCs/>
          <w:sz w:val="24"/>
          <w:szCs w:val="24"/>
          <w:lang w:eastAsia="zh-CN"/>
        </w:rPr>
        <w:t>.46</w:t>
      </w:r>
      <w:r>
        <w:rPr>
          <w:rFonts w:ascii="华文楷体" w:hAnsi="华文楷体" w:hint="eastAsia"/>
          <w:bCs/>
          <w:sz w:val="24"/>
          <w:szCs w:val="24"/>
          <w:lang w:eastAsia="zh-CN"/>
        </w:rPr>
        <w:t>%</w:t>
      </w:r>
      <w:r>
        <w:rPr>
          <w:rFonts w:ascii="华文楷体" w:hAnsi="华文楷体" w:hint="eastAsia"/>
          <w:bCs/>
          <w:sz w:val="24"/>
          <w:szCs w:val="24"/>
          <w:lang w:eastAsia="zh-CN"/>
        </w:rPr>
        <w:t>。</w:t>
      </w:r>
    </w:p>
    <w:p w:rsidR="0072779D" w:rsidRDefault="00F61B6E">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下周关注</w:t>
      </w:r>
      <w:r>
        <w:rPr>
          <w:rFonts w:ascii="华文楷体" w:hAnsi="华文楷体" w:hint="eastAsia"/>
          <w:bCs/>
          <w:sz w:val="24"/>
          <w:szCs w:val="24"/>
          <w:lang w:eastAsia="zh-CN"/>
        </w:rPr>
        <w:t>：中国</w:t>
      </w:r>
      <w:r>
        <w:rPr>
          <w:rFonts w:ascii="华文楷体" w:hAnsi="华文楷体" w:hint="eastAsia"/>
          <w:bCs/>
          <w:sz w:val="24"/>
          <w:szCs w:val="24"/>
          <w:lang w:eastAsia="zh-CN"/>
        </w:rPr>
        <w:t>8</w:t>
      </w:r>
      <w:r>
        <w:rPr>
          <w:rFonts w:ascii="华文楷体" w:hAnsi="华文楷体" w:hint="eastAsia"/>
          <w:bCs/>
          <w:sz w:val="24"/>
          <w:szCs w:val="24"/>
          <w:lang w:eastAsia="zh-CN"/>
        </w:rPr>
        <w:t>月经济数据；美国</w:t>
      </w:r>
      <w:r>
        <w:rPr>
          <w:rFonts w:ascii="华文楷体" w:hAnsi="华文楷体" w:hint="eastAsia"/>
          <w:bCs/>
          <w:sz w:val="24"/>
          <w:szCs w:val="24"/>
          <w:lang w:eastAsia="zh-CN"/>
        </w:rPr>
        <w:t>8</w:t>
      </w:r>
      <w:r>
        <w:rPr>
          <w:rFonts w:ascii="华文楷体" w:hAnsi="华文楷体" w:hint="eastAsia"/>
          <w:bCs/>
          <w:sz w:val="24"/>
          <w:szCs w:val="24"/>
          <w:lang w:eastAsia="zh-CN"/>
        </w:rPr>
        <w:t>月工业产出，产能利用率和新屋开工数据；欧元区</w:t>
      </w:r>
      <w:r>
        <w:rPr>
          <w:rFonts w:ascii="华文楷体" w:hAnsi="华文楷体" w:hint="eastAsia"/>
          <w:bCs/>
          <w:sz w:val="24"/>
          <w:szCs w:val="24"/>
          <w:lang w:eastAsia="zh-CN"/>
        </w:rPr>
        <w:t>7</w:t>
      </w:r>
      <w:r>
        <w:rPr>
          <w:rFonts w:ascii="华文楷体" w:hAnsi="华文楷体" w:hint="eastAsia"/>
          <w:bCs/>
          <w:sz w:val="24"/>
          <w:szCs w:val="24"/>
          <w:lang w:eastAsia="zh-CN"/>
        </w:rPr>
        <w:t>月工业数据，</w:t>
      </w:r>
      <w:r>
        <w:rPr>
          <w:rFonts w:ascii="华文楷体" w:hAnsi="华文楷体" w:hint="eastAsia"/>
          <w:bCs/>
          <w:sz w:val="24"/>
          <w:szCs w:val="24"/>
          <w:lang w:eastAsia="zh-CN"/>
        </w:rPr>
        <w:t>8</w:t>
      </w:r>
      <w:r>
        <w:rPr>
          <w:rFonts w:ascii="华文楷体" w:hAnsi="华文楷体" w:hint="eastAsia"/>
          <w:bCs/>
          <w:sz w:val="24"/>
          <w:szCs w:val="24"/>
          <w:lang w:eastAsia="zh-CN"/>
        </w:rPr>
        <w:t>月</w:t>
      </w:r>
      <w:r>
        <w:rPr>
          <w:rFonts w:ascii="华文楷体" w:hAnsi="华文楷体" w:hint="eastAsia"/>
          <w:bCs/>
          <w:sz w:val="24"/>
          <w:szCs w:val="24"/>
          <w:lang w:eastAsia="zh-CN"/>
        </w:rPr>
        <w:t>CPI</w:t>
      </w:r>
      <w:r>
        <w:rPr>
          <w:rFonts w:ascii="华文楷体" w:hAnsi="华文楷体" w:hint="eastAsia"/>
          <w:bCs/>
          <w:sz w:val="24"/>
          <w:szCs w:val="24"/>
          <w:lang w:eastAsia="zh-CN"/>
        </w:rPr>
        <w:t>；中美摩擦；疫情情况。</w:t>
      </w:r>
    </w:p>
    <w:p w:rsidR="0072779D" w:rsidRDefault="0072779D">
      <w:pPr>
        <w:pStyle w:val="Body-text"/>
        <w:ind w:firstLineChars="200" w:firstLine="480"/>
        <w:rPr>
          <w:rFonts w:ascii="华文楷体" w:eastAsia="PMingLiU" w:hAnsi="华文楷体"/>
          <w:bCs/>
          <w:sz w:val="24"/>
          <w:szCs w:val="24"/>
          <w:lang w:eastAsia="zh-CN"/>
        </w:rPr>
      </w:pPr>
    </w:p>
    <w:bookmarkEnd w:id="2"/>
    <w:p w:rsidR="0072779D" w:rsidRDefault="00F61B6E">
      <w:pPr>
        <w:pStyle w:val="Header2"/>
        <w:spacing w:before="120"/>
        <w:rPr>
          <w:rFonts w:eastAsia="PMingLiU"/>
          <w:sz w:val="28"/>
          <w:szCs w:val="21"/>
          <w:lang w:eastAsia="zh-CN"/>
        </w:rPr>
      </w:pPr>
      <w:r>
        <w:rPr>
          <w:sz w:val="28"/>
          <w:szCs w:val="21"/>
          <w:lang w:eastAsia="zh-CN"/>
        </w:rPr>
        <w:t>2</w:t>
      </w:r>
      <w:r>
        <w:rPr>
          <w:rFonts w:hint="eastAsia"/>
          <w:sz w:val="28"/>
          <w:szCs w:val="21"/>
          <w:lang w:eastAsia="zh-CN"/>
        </w:rPr>
        <w:t>、下周债市判断</w:t>
      </w:r>
    </w:p>
    <w:p w:rsidR="0072779D" w:rsidRDefault="00F61B6E">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利率债：</w:t>
      </w:r>
      <w:r>
        <w:rPr>
          <w:rFonts w:ascii="华文楷体" w:hAnsi="华文楷体" w:hint="eastAsia"/>
          <w:bCs/>
          <w:sz w:val="24"/>
          <w:szCs w:val="24"/>
          <w:lang w:eastAsia="zh-CN"/>
        </w:rPr>
        <w:t>8</w:t>
      </w:r>
      <w:r>
        <w:rPr>
          <w:rFonts w:ascii="华文楷体" w:hAnsi="华文楷体" w:hint="eastAsia"/>
          <w:bCs/>
          <w:sz w:val="24"/>
          <w:szCs w:val="24"/>
          <w:lang w:eastAsia="zh-CN"/>
        </w:rPr>
        <w:t>月金融数据表明信用扩张仍维持在较高水平，居民和企业</w:t>
      </w:r>
      <w:r>
        <w:rPr>
          <w:rFonts w:ascii="华文楷体" w:hAnsi="华文楷体" w:hint="eastAsia"/>
          <w:bCs/>
          <w:sz w:val="24"/>
          <w:szCs w:val="24"/>
          <w:lang w:eastAsia="zh-CN"/>
        </w:rPr>
        <w:t>中长贷表现坚挺对未来经济提供支撑。政府债券发行贡献明显，后续财政支出预计加快对经济亦有提振。考虑到外需的阶段性修复对净出口有正向影响，没有黑天鹅事件的情况下，年内经济仍将维持修复态势。在信用扩张拐点未到，经济阶段仍维持修复的状态下，央行放量宽松的概率下降。若央行仍维持资金少量投放，资金利率预计仍将围绕政策利率波动。银行流动性缺口仍有压力，叠加缴税影响，资金利率或仍将趋紧。下周需关注风险资产的反抽能否持续，债券整体仍维持久期谨慎的判断，等待基本面和货币政策更明确的信号。</w:t>
      </w:r>
    </w:p>
    <w:p w:rsidR="0072779D" w:rsidRDefault="00F61B6E">
      <w:pPr>
        <w:pStyle w:val="ae"/>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Pr>
          <w:rFonts w:ascii="华文楷体" w:eastAsia="华文楷体" w:hAnsi="华文楷体" w:cs="Times New Roman" w:hint="eastAsia"/>
          <w:bCs/>
        </w:rPr>
        <w:lastRenderedPageBreak/>
        <w:t>信用债：本周信用品种利率受到</w:t>
      </w:r>
      <w:r>
        <w:rPr>
          <w:rFonts w:ascii="华文楷体" w:eastAsia="华文楷体" w:hAnsi="华文楷体" w:cs="Times New Roman"/>
          <w:bCs/>
        </w:rPr>
        <w:t>利率</w:t>
      </w:r>
      <w:r>
        <w:rPr>
          <w:rFonts w:ascii="华文楷体" w:eastAsia="华文楷体" w:hAnsi="华文楷体" w:cs="Times New Roman" w:hint="eastAsia"/>
          <w:bCs/>
        </w:rPr>
        <w:t>债</w:t>
      </w:r>
      <w:r>
        <w:rPr>
          <w:rFonts w:ascii="华文楷体" w:eastAsia="华文楷体" w:hAnsi="华文楷体" w:cs="Times New Roman"/>
          <w:bCs/>
        </w:rPr>
        <w:t>影响</w:t>
      </w:r>
      <w:r>
        <w:rPr>
          <w:rFonts w:ascii="华文楷体" w:eastAsia="华文楷体" w:hAnsi="华文楷体" w:cs="Times New Roman" w:hint="eastAsia"/>
          <w:bCs/>
        </w:rPr>
        <w:t>3y</w:t>
      </w:r>
      <w:r>
        <w:rPr>
          <w:rFonts w:ascii="华文楷体" w:eastAsia="华文楷体" w:hAnsi="华文楷体" w:cs="Times New Roman" w:hint="eastAsia"/>
          <w:bCs/>
        </w:rPr>
        <w:t>品种利率有所下行</w:t>
      </w:r>
      <w:r>
        <w:rPr>
          <w:rFonts w:ascii="华文楷体" w:eastAsia="华文楷体" w:hAnsi="华文楷体" w:cs="Times New Roman"/>
          <w:bCs/>
        </w:rPr>
        <w:t>。</w:t>
      </w:r>
      <w:r>
        <w:rPr>
          <w:rFonts w:ascii="华文楷体" w:eastAsia="华文楷体" w:hAnsi="华文楷体" w:cs="Times New Roman" w:hint="eastAsia"/>
          <w:bCs/>
        </w:rPr>
        <w:t>整体来看，当前利率的绝对水平有一定基本面支撑，配置盘的绝对收益有一定保障，但后续经济边际改善叠加货币政策边际调整，票息策略仍然占优。高等级信用利差较窄，低等级信用利差拉大，后续需</w:t>
      </w:r>
      <w:r>
        <w:rPr>
          <w:rFonts w:ascii="华文楷体" w:eastAsia="华文楷体" w:hAnsi="华文楷体" w:cs="Times New Roman"/>
          <w:bCs/>
        </w:rPr>
        <w:t>关注信用风险暴露</w:t>
      </w:r>
      <w:r>
        <w:rPr>
          <w:rFonts w:ascii="华文楷体" w:eastAsia="华文楷体" w:hAnsi="华文楷体" w:cs="Times New Roman" w:hint="eastAsia"/>
          <w:bCs/>
        </w:rPr>
        <w:t>。</w:t>
      </w:r>
    </w:p>
    <w:p w:rsidR="0072779D" w:rsidRDefault="00F61B6E">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可转债：本周权益市场回调明显，转债波动增加。接下来建议继续关注半年报绩优、正股弹性和逻辑较强品种，或有短期介入机会。</w:t>
      </w:r>
    </w:p>
    <w:p w:rsidR="0072779D" w:rsidRDefault="0072779D">
      <w:pPr>
        <w:pStyle w:val="Body-text"/>
        <w:spacing w:after="240"/>
        <w:ind w:firstLineChars="200" w:firstLine="480"/>
        <w:rPr>
          <w:rFonts w:ascii="华文楷体" w:hAnsi="华文楷体"/>
          <w:bCs/>
          <w:sz w:val="24"/>
          <w:szCs w:val="24"/>
          <w:lang w:eastAsia="zh-CN"/>
        </w:rPr>
      </w:pP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72779D">
        <w:trPr>
          <w:jc w:val="center"/>
        </w:trPr>
        <w:tc>
          <w:tcPr>
            <w:tcW w:w="4939" w:type="dxa"/>
            <w:vAlign w:val="center"/>
          </w:tcPr>
          <w:p w:rsidR="0072779D" w:rsidRDefault="00F61B6E">
            <w:pPr>
              <w:pStyle w:val="ChartHeading"/>
              <w:jc w:val="both"/>
            </w:pPr>
            <w:r>
              <w:rPr>
                <w:rFonts w:hint="eastAsia"/>
              </w:rPr>
              <w:t>图表</w:t>
            </w:r>
            <w:r>
              <w:t>.</w:t>
            </w:r>
            <w:r>
              <w:rPr>
                <w:rFonts w:hint="eastAsia"/>
              </w:rPr>
              <w:t>主要钢材库存累积</w:t>
            </w:r>
          </w:p>
        </w:tc>
        <w:tc>
          <w:tcPr>
            <w:tcW w:w="4938" w:type="dxa"/>
            <w:vAlign w:val="center"/>
          </w:tcPr>
          <w:p w:rsidR="0072779D" w:rsidRDefault="00F61B6E">
            <w:pPr>
              <w:pStyle w:val="ChartHeading"/>
              <w:jc w:val="both"/>
            </w:pPr>
            <w:r>
              <w:rPr>
                <w:rFonts w:hint="eastAsia"/>
              </w:rPr>
              <w:t>图表</w:t>
            </w:r>
            <w:r>
              <w:t xml:space="preserve">. </w:t>
            </w:r>
            <w:r>
              <w:rPr>
                <w:rFonts w:hint="eastAsia"/>
              </w:rPr>
              <w:t>水泥价格小幅上涨</w:t>
            </w:r>
          </w:p>
        </w:tc>
      </w:tr>
      <w:tr w:rsidR="0072779D">
        <w:tblPrEx>
          <w:tblCellMar>
            <w:left w:w="108" w:type="dxa"/>
            <w:right w:w="108" w:type="dxa"/>
          </w:tblCellMar>
        </w:tblPrEx>
        <w:trPr>
          <w:jc w:val="center"/>
        </w:trPr>
        <w:tc>
          <w:tcPr>
            <w:tcW w:w="4939" w:type="dxa"/>
            <w:vAlign w:val="center"/>
          </w:tcPr>
          <w:p w:rsidR="0072779D" w:rsidRDefault="00F61B6E">
            <w:pPr>
              <w:jc w:val="center"/>
            </w:pPr>
            <w:r>
              <w:rPr>
                <w:noProof/>
              </w:rPr>
              <w:drawing>
                <wp:inline distT="0" distB="0" distL="0" distR="0">
                  <wp:extent cx="2999105" cy="1626235"/>
                  <wp:effectExtent l="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rsidR="0072779D" w:rsidRDefault="00F61B6E">
            <w:pPr>
              <w:jc w:val="center"/>
              <w:rPr>
                <w:szCs w:val="18"/>
              </w:rPr>
            </w:pPr>
            <w:r>
              <w:rPr>
                <w:noProof/>
              </w:rPr>
              <w:drawing>
                <wp:inline distT="0" distB="0" distL="0" distR="0">
                  <wp:extent cx="2998470" cy="1665605"/>
                  <wp:effectExtent l="0" t="0" r="0" b="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72779D">
        <w:trPr>
          <w:trHeight w:val="64"/>
          <w:jc w:val="center"/>
        </w:trPr>
        <w:tc>
          <w:tcPr>
            <w:tcW w:w="4939" w:type="dxa"/>
            <w:vAlign w:val="center"/>
          </w:tcPr>
          <w:p w:rsidR="0072779D" w:rsidRDefault="00F61B6E">
            <w:pPr>
              <w:pStyle w:val="Source"/>
              <w:jc w:val="both"/>
              <w:rPr>
                <w:kern w:val="0"/>
              </w:rPr>
            </w:pPr>
            <w:r>
              <w:rPr>
                <w:rFonts w:hint="eastAsia"/>
                <w:kern w:val="0"/>
              </w:rPr>
              <w:t>资料来源：万得，富荣基金</w:t>
            </w:r>
          </w:p>
        </w:tc>
        <w:tc>
          <w:tcPr>
            <w:tcW w:w="4938" w:type="dxa"/>
            <w:vAlign w:val="center"/>
          </w:tcPr>
          <w:p w:rsidR="0072779D" w:rsidRDefault="00F61B6E">
            <w:pPr>
              <w:pStyle w:val="Source"/>
              <w:jc w:val="both"/>
              <w:rPr>
                <w:kern w:val="0"/>
              </w:rPr>
            </w:pPr>
            <w:r>
              <w:rPr>
                <w:rFonts w:hint="eastAsia"/>
                <w:kern w:val="0"/>
              </w:rPr>
              <w:t>资料来源：万得，富荣基金</w:t>
            </w:r>
          </w:p>
        </w:tc>
      </w:tr>
    </w:tbl>
    <w:p w:rsidR="0072779D" w:rsidRDefault="0072779D">
      <w:pPr>
        <w:pStyle w:val="Body-text"/>
        <w:spacing w:after="0"/>
        <w:rPr>
          <w:lang w:eastAsia="zh-CN"/>
        </w:rPr>
      </w:pP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72779D">
        <w:trPr>
          <w:jc w:val="center"/>
        </w:trPr>
        <w:tc>
          <w:tcPr>
            <w:tcW w:w="4939" w:type="dxa"/>
            <w:vAlign w:val="center"/>
          </w:tcPr>
          <w:p w:rsidR="0072779D" w:rsidRDefault="00F61B6E">
            <w:pPr>
              <w:pStyle w:val="ChartHeading"/>
              <w:jc w:val="both"/>
            </w:pPr>
            <w:r>
              <w:rPr>
                <w:rFonts w:hint="eastAsia"/>
              </w:rPr>
              <w:t>图表</w:t>
            </w:r>
            <w:r>
              <w:t xml:space="preserve">. </w:t>
            </w:r>
            <w:r>
              <w:rPr>
                <w:rFonts w:hint="eastAsia"/>
              </w:rPr>
              <w:t>南华</w:t>
            </w:r>
            <w:r>
              <w:t>工业品指数</w:t>
            </w:r>
            <w:r>
              <w:rPr>
                <w:rFonts w:hint="eastAsia"/>
              </w:rPr>
              <w:t>回落</w:t>
            </w:r>
          </w:p>
        </w:tc>
        <w:tc>
          <w:tcPr>
            <w:tcW w:w="4938" w:type="dxa"/>
            <w:vAlign w:val="center"/>
          </w:tcPr>
          <w:p w:rsidR="0072779D" w:rsidRDefault="00F61B6E">
            <w:pPr>
              <w:pStyle w:val="ChartHeading"/>
              <w:jc w:val="both"/>
            </w:pPr>
            <w:r>
              <w:rPr>
                <w:rFonts w:hint="eastAsia"/>
              </w:rPr>
              <w:t>图表</w:t>
            </w:r>
            <w:r>
              <w:t xml:space="preserve">. </w:t>
            </w:r>
            <w:r>
              <w:rPr>
                <w:rFonts w:hint="eastAsia"/>
              </w:rPr>
              <w:t>原油价格回调</w:t>
            </w:r>
          </w:p>
        </w:tc>
      </w:tr>
      <w:tr w:rsidR="0072779D">
        <w:tblPrEx>
          <w:tblCellMar>
            <w:left w:w="108" w:type="dxa"/>
            <w:right w:w="108" w:type="dxa"/>
          </w:tblCellMar>
        </w:tblPrEx>
        <w:trPr>
          <w:jc w:val="center"/>
        </w:trPr>
        <w:tc>
          <w:tcPr>
            <w:tcW w:w="4939" w:type="dxa"/>
            <w:vAlign w:val="center"/>
          </w:tcPr>
          <w:p w:rsidR="0072779D" w:rsidRDefault="00F61B6E">
            <w:pPr>
              <w:jc w:val="center"/>
            </w:pPr>
            <w:r>
              <w:rPr>
                <w:noProof/>
              </w:rPr>
              <w:drawing>
                <wp:inline distT="0" distB="0" distL="0" distR="0">
                  <wp:extent cx="2999105" cy="1640840"/>
                  <wp:effectExtent l="0" t="0" r="0" b="0"/>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rsidR="0072779D" w:rsidRDefault="00F61B6E">
            <w:pPr>
              <w:jc w:val="center"/>
              <w:rPr>
                <w:sz w:val="14"/>
                <w:szCs w:val="14"/>
              </w:rPr>
            </w:pPr>
            <w:r>
              <w:rPr>
                <w:noProof/>
              </w:rPr>
              <w:drawing>
                <wp:inline distT="0" distB="0" distL="0" distR="0">
                  <wp:extent cx="2998470" cy="1721485"/>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72779D">
        <w:trPr>
          <w:trHeight w:val="64"/>
          <w:jc w:val="center"/>
        </w:trPr>
        <w:tc>
          <w:tcPr>
            <w:tcW w:w="4939" w:type="dxa"/>
            <w:vAlign w:val="center"/>
          </w:tcPr>
          <w:p w:rsidR="0072779D" w:rsidRDefault="00F61B6E">
            <w:pPr>
              <w:pStyle w:val="Source"/>
              <w:jc w:val="both"/>
              <w:rPr>
                <w:kern w:val="0"/>
              </w:rPr>
            </w:pPr>
            <w:r>
              <w:rPr>
                <w:rFonts w:hint="eastAsia"/>
                <w:kern w:val="0"/>
              </w:rPr>
              <w:t>资料来源：万得，富荣基金</w:t>
            </w:r>
          </w:p>
        </w:tc>
        <w:tc>
          <w:tcPr>
            <w:tcW w:w="4938" w:type="dxa"/>
            <w:vAlign w:val="center"/>
          </w:tcPr>
          <w:p w:rsidR="0072779D" w:rsidRDefault="00F61B6E">
            <w:pPr>
              <w:pStyle w:val="Source"/>
              <w:jc w:val="both"/>
              <w:rPr>
                <w:kern w:val="0"/>
              </w:rPr>
            </w:pPr>
            <w:r>
              <w:rPr>
                <w:rFonts w:hint="eastAsia"/>
                <w:kern w:val="0"/>
              </w:rPr>
              <w:t>资料来源：万得，富荣基金</w:t>
            </w:r>
          </w:p>
        </w:tc>
      </w:tr>
    </w:tbl>
    <w:p w:rsidR="0072779D" w:rsidRDefault="0072779D">
      <w:pPr>
        <w:pStyle w:val="Body-text"/>
        <w:spacing w:after="0"/>
        <w:rPr>
          <w:rFonts w:ascii="华文楷体" w:hAnsi="华文楷体"/>
          <w:sz w:val="24"/>
          <w:szCs w:val="24"/>
          <w:lang w:eastAsia="zh-CN"/>
        </w:rPr>
      </w:pPr>
    </w:p>
    <w:p w:rsidR="0072779D" w:rsidRDefault="00F61B6E">
      <w:pPr>
        <w:widowControl/>
        <w:jc w:val="left"/>
      </w:pPr>
      <w:r>
        <w:br w:type="page"/>
      </w:r>
    </w:p>
    <w:p w:rsidR="0072779D" w:rsidRDefault="0072779D">
      <w:pPr>
        <w:widowControl/>
        <w:ind w:firstLineChars="200" w:firstLine="420"/>
      </w:pPr>
    </w:p>
    <w:p w:rsidR="0072779D" w:rsidRDefault="00F61B6E">
      <w:pPr>
        <w:widowControl/>
        <w:jc w:val="center"/>
        <w:rPr>
          <w:rFonts w:ascii="黑体" w:eastAsia="黑体"/>
          <w:b/>
          <w:sz w:val="24"/>
          <w:szCs w:val="24"/>
        </w:rPr>
      </w:pPr>
      <w:r>
        <w:rPr>
          <w:rFonts w:ascii="黑体" w:eastAsia="黑体" w:hint="eastAsia"/>
          <w:b/>
          <w:sz w:val="24"/>
          <w:szCs w:val="24"/>
        </w:rPr>
        <w:t>免责声明</w:t>
      </w:r>
    </w:p>
    <w:p w:rsidR="0072779D" w:rsidRDefault="0072779D">
      <w:pPr>
        <w:widowControl/>
        <w:jc w:val="center"/>
        <w:rPr>
          <w:rFonts w:ascii="黑体" w:eastAsia="黑体"/>
          <w:b/>
          <w:sz w:val="24"/>
          <w:szCs w:val="24"/>
        </w:rPr>
      </w:pPr>
    </w:p>
    <w:p w:rsidR="0072779D" w:rsidRDefault="00F61B6E">
      <w:pPr>
        <w:pStyle w:val="Body-text"/>
        <w:ind w:firstLineChars="200" w:firstLine="480"/>
        <w:rPr>
          <w:rFonts w:ascii="华文楷体" w:hAnsi="华文楷体"/>
          <w:sz w:val="24"/>
          <w:szCs w:val="24"/>
          <w:lang w:eastAsia="zh-CN"/>
        </w:rPr>
      </w:pPr>
      <w:r>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p>
    <w:p w:rsidR="0072779D" w:rsidRDefault="00F61B6E">
      <w:pPr>
        <w:pStyle w:val="Body-text"/>
        <w:ind w:firstLineChars="200" w:firstLine="480"/>
        <w:rPr>
          <w:rFonts w:ascii="华文楷体" w:hAnsi="华文楷体"/>
          <w:sz w:val="24"/>
          <w:szCs w:val="24"/>
          <w:lang w:eastAsia="zh-CN"/>
        </w:rPr>
      </w:pPr>
      <w:r>
        <w:rPr>
          <w:rFonts w:ascii="华文楷体" w:hAnsi="华文楷体" w:hint="eastAsia"/>
          <w:sz w:val="24"/>
          <w:szCs w:val="24"/>
          <w:lang w:eastAsia="zh-CN"/>
        </w:rPr>
        <w:t>本报告中的资料、观点和预测等仅作为富荣基金内部培训、向机构客户和渠道路演交流使用，在任何时候均不构成对任何人的个人推荐。请勿外传。</w:t>
      </w:r>
    </w:p>
    <w:p w:rsidR="0072779D" w:rsidRDefault="0072779D">
      <w:pPr>
        <w:pStyle w:val="Body-text"/>
        <w:ind w:firstLineChars="200" w:firstLine="480"/>
        <w:rPr>
          <w:rFonts w:ascii="华文楷体" w:hAnsi="华文楷体"/>
          <w:sz w:val="24"/>
          <w:szCs w:val="24"/>
          <w:lang w:eastAsia="zh-CN"/>
        </w:rPr>
      </w:pPr>
    </w:p>
    <w:sectPr w:rsidR="0072779D">
      <w:headerReference w:type="default" r:id="rId20"/>
      <w:footerReference w:type="default" r:id="rId2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1B6E" w:rsidRDefault="00F61B6E">
      <w:r>
        <w:separator/>
      </w:r>
    </w:p>
  </w:endnote>
  <w:endnote w:type="continuationSeparator" w:id="0">
    <w:p w:rsidR="00F61B6E" w:rsidRDefault="00F61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roman"/>
    <w:pitch w:val="default"/>
    <w:sig w:usb0="00000000" w:usb1="00000000"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1792377"/>
      <w:docPartObj>
        <w:docPartGallery w:val="AutoText"/>
      </w:docPartObj>
    </w:sdtPr>
    <w:sdtEndPr/>
    <w:sdtContent>
      <w:p w:rsidR="0072779D" w:rsidRDefault="00F61B6E">
        <w:pPr>
          <w:pStyle w:val="aa"/>
          <w:jc w:val="right"/>
        </w:pPr>
        <w:r>
          <w:fldChar w:fldCharType="begin"/>
        </w:r>
        <w:r>
          <w:instrText>PAGE   \* MERGEFORMAT</w:instrText>
        </w:r>
        <w:r>
          <w:fldChar w:fldCharType="separate"/>
        </w:r>
        <w:r w:rsidR="00AB4826" w:rsidRPr="00AB4826">
          <w:rPr>
            <w:noProof/>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1B6E" w:rsidRDefault="00F61B6E">
      <w:r>
        <w:separator/>
      </w:r>
    </w:p>
  </w:footnote>
  <w:footnote w:type="continuationSeparator" w:id="0">
    <w:p w:rsidR="00F61B6E" w:rsidRDefault="00F61B6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779D" w:rsidRDefault="00F61B6E">
    <w:pPr>
      <w:pStyle w:val="ac"/>
      <w:jc w:val="left"/>
    </w:pPr>
    <w:r>
      <w:rPr>
        <w:noProof/>
      </w:rPr>
      <w:drawing>
        <wp:inline distT="0" distB="0" distL="0" distR="0">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12140" cy="53276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E5B"/>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876"/>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392"/>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27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503"/>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66E"/>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61"/>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43"/>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4AB1"/>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72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4E4"/>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267"/>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7F1"/>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176"/>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11F"/>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E36"/>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BBD"/>
    <w:rsid w:val="00365C46"/>
    <w:rsid w:val="00365F8E"/>
    <w:rsid w:val="00366556"/>
    <w:rsid w:val="00366CEA"/>
    <w:rsid w:val="003673CA"/>
    <w:rsid w:val="00367DA6"/>
    <w:rsid w:val="00367DC8"/>
    <w:rsid w:val="003708C4"/>
    <w:rsid w:val="00370BFD"/>
    <w:rsid w:val="0037137A"/>
    <w:rsid w:val="00371885"/>
    <w:rsid w:val="00371BBF"/>
    <w:rsid w:val="003721B0"/>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208"/>
    <w:rsid w:val="003C25F5"/>
    <w:rsid w:val="003C275F"/>
    <w:rsid w:val="003C2A04"/>
    <w:rsid w:val="003C2EED"/>
    <w:rsid w:val="003C3DED"/>
    <w:rsid w:val="003C440F"/>
    <w:rsid w:val="003C441B"/>
    <w:rsid w:val="003C4AD7"/>
    <w:rsid w:val="003C4D9D"/>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A20"/>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73E"/>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5F4"/>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6C70"/>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27F0C"/>
    <w:rsid w:val="00430EC8"/>
    <w:rsid w:val="004311BD"/>
    <w:rsid w:val="0043129E"/>
    <w:rsid w:val="00431609"/>
    <w:rsid w:val="00431BD1"/>
    <w:rsid w:val="00431F41"/>
    <w:rsid w:val="00431F5E"/>
    <w:rsid w:val="00432D93"/>
    <w:rsid w:val="00433579"/>
    <w:rsid w:val="004343E7"/>
    <w:rsid w:val="0043476F"/>
    <w:rsid w:val="004347E4"/>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1E"/>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4BF9"/>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B8A"/>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4F41"/>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934"/>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EA2"/>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8CF"/>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484C"/>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0B3"/>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79D"/>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B79C0"/>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892"/>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1EC"/>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6D86"/>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4AB"/>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51C"/>
    <w:rsid w:val="009249B2"/>
    <w:rsid w:val="009259CD"/>
    <w:rsid w:val="00926C3D"/>
    <w:rsid w:val="00927011"/>
    <w:rsid w:val="009271C8"/>
    <w:rsid w:val="0092766F"/>
    <w:rsid w:val="00927A83"/>
    <w:rsid w:val="00927B47"/>
    <w:rsid w:val="0093009C"/>
    <w:rsid w:val="009302B4"/>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458"/>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67C"/>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146"/>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A73"/>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4826"/>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1EC0"/>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7FF"/>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0F4"/>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E5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34E"/>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2E0"/>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14E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DF0"/>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4AF"/>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14AF"/>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1C"/>
    <w:rsid w:val="00E34B22"/>
    <w:rsid w:val="00E34C22"/>
    <w:rsid w:val="00E34ED4"/>
    <w:rsid w:val="00E3541C"/>
    <w:rsid w:val="00E359DD"/>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3C16"/>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97AC4"/>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5B4"/>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6B74"/>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6E"/>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4ED"/>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4E"/>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0BE"/>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838"/>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141E1817"/>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6E8D940"/>
  <w14:defaultImageDpi w14:val="0"/>
  <w15:docId w15:val="{B1C3B973-5D14-45A8-B711-88039ABB8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uiPriority="0"/>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annotation text"/>
    <w:basedOn w:val="a"/>
    <w:link w:val="a5"/>
    <w:pPr>
      <w:jc w:val="left"/>
    </w:pPr>
    <w:rPr>
      <w:rFonts w:ascii="Times New Roman" w:hAnsi="Times New Roman"/>
    </w:rPr>
  </w:style>
  <w:style w:type="paragraph" w:styleId="a6">
    <w:name w:val="Date"/>
    <w:basedOn w:val="a"/>
    <w:next w:val="a"/>
    <w:link w:val="a7"/>
    <w:qFormat/>
    <w:pPr>
      <w:ind w:leftChars="2500" w:left="100"/>
    </w:pPr>
    <w:rPr>
      <w:rFonts w:ascii="Times New Roman" w:hAnsi="Times New Roman"/>
    </w:rPr>
  </w:style>
  <w:style w:type="paragraph" w:styleId="a8">
    <w:name w:val="Balloon Text"/>
    <w:basedOn w:val="a"/>
    <w:link w:val="a9"/>
    <w:rPr>
      <w:rFonts w:ascii="Times New Roman" w:hAnsi="Times New Roman"/>
      <w:sz w:val="18"/>
      <w:szCs w:val="18"/>
    </w:rPr>
  </w:style>
  <w:style w:type="paragraph" w:styleId="aa">
    <w:name w:val="footer"/>
    <w:basedOn w:val="a"/>
    <w:link w:val="ab"/>
    <w:uiPriority w:val="99"/>
    <w:qFormat/>
    <w:pPr>
      <w:tabs>
        <w:tab w:val="center" w:pos="4153"/>
        <w:tab w:val="right" w:pos="8306"/>
      </w:tabs>
      <w:snapToGrid w:val="0"/>
      <w:jc w:val="left"/>
    </w:pPr>
    <w:rPr>
      <w:rFonts w:ascii="Times New Roman" w:hAnsi="Times New Roman"/>
      <w:sz w:val="18"/>
      <w:szCs w:val="18"/>
    </w:rPr>
  </w:style>
  <w:style w:type="paragraph" w:styleId="ac">
    <w:name w:val="header"/>
    <w:basedOn w:val="a"/>
    <w:link w:val="ad"/>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ae">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
    <w:name w:val="annotation subject"/>
    <w:basedOn w:val="a4"/>
    <w:next w:val="a4"/>
    <w:link w:val="af0"/>
    <w:qFormat/>
    <w:rPr>
      <w:b/>
      <w:bCs/>
    </w:rPr>
  </w:style>
  <w:style w:type="table" w:styleId="af1">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uiPriority w:val="22"/>
    <w:qFormat/>
    <w:rPr>
      <w:rFonts w:ascii="Times New Roman" w:eastAsia="宋体" w:hAnsi="Times New Roman" w:cs="Times New Roman"/>
      <w:b/>
      <w:bCs/>
    </w:rPr>
  </w:style>
  <w:style w:type="character" w:styleId="af3">
    <w:name w:val="page number"/>
    <w:rPr>
      <w:rFonts w:ascii="Times New Roman" w:eastAsia="宋体" w:hAnsi="Times New Roman" w:cs="Times New Roman"/>
    </w:rPr>
  </w:style>
  <w:style w:type="character" w:styleId="af4">
    <w:name w:val="Emphasis"/>
    <w:uiPriority w:val="20"/>
    <w:qFormat/>
    <w:rPr>
      <w:rFonts w:ascii="Times New Roman" w:eastAsia="宋体" w:hAnsi="Times New Roman" w:cs="Times New Roman"/>
      <w:i/>
      <w:iCs/>
    </w:rPr>
  </w:style>
  <w:style w:type="character" w:styleId="af5">
    <w:name w:val="Hyperlink"/>
    <w:rPr>
      <w:rFonts w:ascii="Times New Roman" w:eastAsia="宋体" w:hAnsi="Times New Roman" w:cs="Times New Roman"/>
      <w:color w:val="0000FF"/>
      <w:u w:val="single"/>
    </w:rPr>
  </w:style>
  <w:style w:type="character" w:styleId="af6">
    <w:name w:val="annotation reference"/>
    <w:qFormat/>
    <w:rPr>
      <w:rFonts w:ascii="Times New Roman" w:eastAsia="宋体" w:hAnsi="Times New Roman" w:cs="Times New Roman"/>
      <w:sz w:val="21"/>
      <w:szCs w:val="21"/>
    </w:rPr>
  </w:style>
  <w:style w:type="character" w:customStyle="1" w:styleId="ad">
    <w:name w:val="页眉 字符"/>
    <w:link w:val="ac"/>
    <w:qFormat/>
    <w:rPr>
      <w:rFonts w:ascii="Times New Roman" w:eastAsia="宋体" w:hAnsi="Times New Roman" w:cs="Times New Roman"/>
      <w:sz w:val="18"/>
      <w:szCs w:val="18"/>
    </w:rPr>
  </w:style>
  <w:style w:type="character" w:customStyle="1" w:styleId="ab">
    <w:name w:val="页脚 字符"/>
    <w:link w:val="aa"/>
    <w:uiPriority w:val="99"/>
    <w:rPr>
      <w:rFonts w:ascii="Times New Roman" w:eastAsia="宋体" w:hAnsi="Times New Roman" w:cs="Times New Roman"/>
      <w:sz w:val="18"/>
      <w:szCs w:val="18"/>
    </w:rPr>
  </w:style>
  <w:style w:type="character" w:customStyle="1" w:styleId="a9">
    <w:name w:val="批注框文本 字符"/>
    <w:link w:val="a8"/>
    <w:qFormat/>
    <w:rPr>
      <w:rFonts w:ascii="Times New Roman" w:eastAsia="宋体" w:hAnsi="Times New Roman" w:cs="Times New Roman"/>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character" w:customStyle="1" w:styleId="a5">
    <w:name w:val="批注文字 字符"/>
    <w:link w:val="a4"/>
    <w:qFormat/>
    <w:rPr>
      <w:rFonts w:ascii="Calibri" w:eastAsia="宋体" w:hAnsi="Calibri" w:cs="Times New Roman"/>
      <w:kern w:val="2"/>
      <w:sz w:val="21"/>
      <w:szCs w:val="22"/>
    </w:rPr>
  </w:style>
  <w:style w:type="character" w:customStyle="1" w:styleId="af0">
    <w:name w:val="批注主题 字符"/>
    <w:link w:val="af"/>
    <w:rPr>
      <w:rFonts w:ascii="Calibri" w:eastAsia="宋体" w:hAnsi="Calibri" w:cs="Times New Roman"/>
      <w:b/>
      <w:bCs/>
      <w:kern w:val="2"/>
      <w:sz w:val="21"/>
      <w:szCs w:val="22"/>
    </w:rPr>
  </w:style>
  <w:style w:type="paragraph" w:customStyle="1" w:styleId="10">
    <w:name w:val="列出段落1"/>
    <w:basedOn w:val="a"/>
    <w:qFormat/>
    <w:pPr>
      <w:ind w:firstLineChars="200" w:firstLine="420"/>
    </w:pPr>
    <w:rPr>
      <w:rFonts w:ascii="Times New Roman" w:hAnsi="Times New Roman"/>
    </w:rPr>
  </w:style>
  <w:style w:type="character" w:customStyle="1" w:styleId="a7">
    <w:name w:val="日期 字符"/>
    <w:link w:val="a6"/>
    <w:qFormat/>
    <w:rPr>
      <w:rFonts w:ascii="Calibri" w:eastAsia="宋体" w:hAnsi="Calibri" w:cs="Times New Roman"/>
      <w:kern w:val="2"/>
      <w:sz w:val="21"/>
      <w:szCs w:val="22"/>
    </w:rPr>
  </w:style>
  <w:style w:type="character" w:customStyle="1" w:styleId="apple-converted-space">
    <w:name w:val="apple-converted-space"/>
    <w:qFormat/>
  </w:style>
  <w:style w:type="paragraph" w:customStyle="1" w:styleId="ChartHeading">
    <w:name w:val="Chart Heading"/>
    <w:basedOn w:val="a"/>
    <w:link w:val="ChartHeadingChar"/>
    <w:qFormat/>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qFormat/>
    <w:rPr>
      <w:rFonts w:ascii="Arial Narrow" w:eastAsia="华文楷体" w:hAnsi="Arial Narrow"/>
      <w:b/>
    </w:rPr>
  </w:style>
  <w:style w:type="paragraph" w:customStyle="1" w:styleId="Source">
    <w:name w:val="Source"/>
    <w:basedOn w:val="a"/>
    <w:link w:val="Source1"/>
    <w:qFormat/>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qFormat/>
    <w:rPr>
      <w:rFonts w:ascii="Arial Narrow" w:eastAsia="华文楷体" w:hAnsi="Arial Narrow"/>
      <w:i/>
      <w:kern w:val="2"/>
      <w:sz w:val="16"/>
      <w:szCs w:val="24"/>
    </w:rPr>
  </w:style>
  <w:style w:type="paragraph" w:customStyle="1" w:styleId="Header1">
    <w:name w:val="Header1"/>
    <w:basedOn w:val="a"/>
    <w:link w:val="Header1Char"/>
    <w:qFormat/>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qFormat/>
    <w:rPr>
      <w:rFonts w:ascii="Arial Bold" w:eastAsia="华文楷体" w:hAnsi="Arial Bold"/>
      <w:b/>
      <w:smallCaps/>
      <w:color w:val="A7001D"/>
      <w:sz w:val="32"/>
    </w:rPr>
  </w:style>
  <w:style w:type="paragraph" w:customStyle="1" w:styleId="Header2">
    <w:name w:val="Header 2"/>
    <w:basedOn w:val="a"/>
    <w:link w:val="Header20"/>
    <w:qFormat/>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qFormat/>
    <w:locked/>
    <w:rPr>
      <w:rFonts w:ascii="Arial" w:eastAsia="华文楷体" w:hAnsi="Arial"/>
      <w:b/>
      <w:bCs/>
      <w:sz w:val="24"/>
      <w:u w:color="003300"/>
      <w:lang w:eastAsia="zh-TW"/>
    </w:rPr>
  </w:style>
  <w:style w:type="paragraph" w:customStyle="1" w:styleId="Body-text">
    <w:name w:val="Body-text"/>
    <w:basedOn w:val="a"/>
    <w:link w:val="Body-textChar"/>
    <w:qFormat/>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Pr>
      <w:rFonts w:ascii="Arial Narrow" w:eastAsia="华文楷体" w:hAnsi="Arial Narrow"/>
      <w:lang w:eastAsia="zh-TW"/>
    </w:rPr>
  </w:style>
  <w:style w:type="paragraph" w:customStyle="1" w:styleId="p-text">
    <w:name w:val="p-text"/>
    <w:basedOn w:val="a"/>
    <w:qFormat/>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qFormat/>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qFormat/>
  </w:style>
  <w:style w:type="character" w:customStyle="1" w:styleId="mark">
    <w:name w:val="mark"/>
    <w:basedOn w:val="a0"/>
    <w:qFormat/>
  </w:style>
  <w:style w:type="paragraph" w:styleId="af7">
    <w:name w:val="List Paragraph"/>
    <w:basedOn w:val="a"/>
    <w:uiPriority w:val="34"/>
    <w:qFormat/>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7.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chart" Target="charts/chart9.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9.8077063283756205E-2"/>
          <c:w val="0.86467847769028905"/>
          <c:h val="0.82798009623796998"/>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43931</c:v>
                </c:pt>
                <c:pt idx="1">
                  <c:v>43938</c:v>
                </c:pt>
                <c:pt idx="2">
                  <c:v>43945</c:v>
                </c:pt>
                <c:pt idx="3">
                  <c:v>43952</c:v>
                </c:pt>
                <c:pt idx="4">
                  <c:v>43959</c:v>
                </c:pt>
                <c:pt idx="5">
                  <c:v>43966</c:v>
                </c:pt>
                <c:pt idx="6">
                  <c:v>43973</c:v>
                </c:pt>
                <c:pt idx="7">
                  <c:v>43980</c:v>
                </c:pt>
                <c:pt idx="8">
                  <c:v>43987</c:v>
                </c:pt>
                <c:pt idx="9">
                  <c:v>43994</c:v>
                </c:pt>
                <c:pt idx="10">
                  <c:v>44001</c:v>
                </c:pt>
                <c:pt idx="11">
                  <c:v>44008</c:v>
                </c:pt>
                <c:pt idx="12">
                  <c:v>44015</c:v>
                </c:pt>
                <c:pt idx="13">
                  <c:v>44022</c:v>
                </c:pt>
                <c:pt idx="14">
                  <c:v>44029</c:v>
                </c:pt>
                <c:pt idx="15">
                  <c:v>44036</c:v>
                </c:pt>
                <c:pt idx="16">
                  <c:v>44043</c:v>
                </c:pt>
                <c:pt idx="17">
                  <c:v>44050</c:v>
                </c:pt>
                <c:pt idx="18">
                  <c:v>44057</c:v>
                </c:pt>
                <c:pt idx="19">
                  <c:v>44064</c:v>
                </c:pt>
                <c:pt idx="20">
                  <c:v>44071</c:v>
                </c:pt>
                <c:pt idx="21">
                  <c:v>44078</c:v>
                </c:pt>
                <c:pt idx="22">
                  <c:v>44085</c:v>
                </c:pt>
              </c:numCache>
            </c:numRef>
          </c:cat>
          <c:val>
            <c:numRef>
              <c:f>央行!$B$5:$B$27</c:f>
              <c:numCache>
                <c:formatCode>###,###,###,###,##0.00</c:formatCode>
                <c:ptCount val="23"/>
                <c:pt idx="0">
                  <c:v>0</c:v>
                </c:pt>
                <c:pt idx="1">
                  <c:v>0</c:v>
                </c:pt>
                <c:pt idx="2">
                  <c:v>60</c:v>
                </c:pt>
                <c:pt idx="3">
                  <c:v>0</c:v>
                </c:pt>
                <c:pt idx="4">
                  <c:v>0</c:v>
                </c:pt>
                <c:pt idx="5">
                  <c:v>0</c:v>
                </c:pt>
                <c:pt idx="6">
                  <c:v>0</c:v>
                </c:pt>
                <c:pt idx="7">
                  <c:v>6750</c:v>
                </c:pt>
                <c:pt idx="8">
                  <c:v>2200</c:v>
                </c:pt>
                <c:pt idx="9">
                  <c:v>4200</c:v>
                </c:pt>
                <c:pt idx="10">
                  <c:v>3000</c:v>
                </c:pt>
                <c:pt idx="11">
                  <c:v>5050</c:v>
                </c:pt>
                <c:pt idx="12">
                  <c:v>1025</c:v>
                </c:pt>
                <c:pt idx="13">
                  <c:v>0</c:v>
                </c:pt>
                <c:pt idx="14">
                  <c:v>3300</c:v>
                </c:pt>
                <c:pt idx="15">
                  <c:v>1650</c:v>
                </c:pt>
                <c:pt idx="16">
                  <c:v>2800</c:v>
                </c:pt>
                <c:pt idx="17">
                  <c:v>100</c:v>
                </c:pt>
                <c:pt idx="18">
                  <c:v>5000</c:v>
                </c:pt>
                <c:pt idx="19">
                  <c:v>6600</c:v>
                </c:pt>
                <c:pt idx="20">
                  <c:v>8150</c:v>
                </c:pt>
                <c:pt idx="21">
                  <c:v>2800</c:v>
                </c:pt>
                <c:pt idx="22">
                  <c:v>6200</c:v>
                </c:pt>
              </c:numCache>
            </c:numRef>
          </c:val>
          <c:extLst>
            <c:ext xmlns:c16="http://schemas.microsoft.com/office/drawing/2014/chart" uri="{C3380CC4-5D6E-409C-BE32-E72D297353CC}">
              <c16:uniqueId val="{00000000-4700-4113-91CE-EF9F25BB5BAA}"/>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43931</c:v>
                </c:pt>
                <c:pt idx="1">
                  <c:v>43938</c:v>
                </c:pt>
                <c:pt idx="2">
                  <c:v>43945</c:v>
                </c:pt>
                <c:pt idx="3">
                  <c:v>43952</c:v>
                </c:pt>
                <c:pt idx="4">
                  <c:v>43959</c:v>
                </c:pt>
                <c:pt idx="5">
                  <c:v>43966</c:v>
                </c:pt>
                <c:pt idx="6">
                  <c:v>43973</c:v>
                </c:pt>
                <c:pt idx="7">
                  <c:v>43980</c:v>
                </c:pt>
                <c:pt idx="8">
                  <c:v>43987</c:v>
                </c:pt>
                <c:pt idx="9">
                  <c:v>43994</c:v>
                </c:pt>
                <c:pt idx="10">
                  <c:v>44001</c:v>
                </c:pt>
                <c:pt idx="11">
                  <c:v>44008</c:v>
                </c:pt>
                <c:pt idx="12">
                  <c:v>44015</c:v>
                </c:pt>
                <c:pt idx="13">
                  <c:v>44022</c:v>
                </c:pt>
                <c:pt idx="14">
                  <c:v>44029</c:v>
                </c:pt>
                <c:pt idx="15">
                  <c:v>44036</c:v>
                </c:pt>
                <c:pt idx="16">
                  <c:v>44043</c:v>
                </c:pt>
                <c:pt idx="17">
                  <c:v>44050</c:v>
                </c:pt>
                <c:pt idx="18">
                  <c:v>44057</c:v>
                </c:pt>
                <c:pt idx="19">
                  <c:v>44064</c:v>
                </c:pt>
                <c:pt idx="20">
                  <c:v>44071</c:v>
                </c:pt>
                <c:pt idx="21">
                  <c:v>44078</c:v>
                </c:pt>
                <c:pt idx="22">
                  <c:v>44085</c:v>
                </c:pt>
              </c:numCache>
            </c:numRef>
          </c:cat>
          <c:val>
            <c:numRef>
              <c:f>央行!$C$5:$C$27</c:f>
              <c:numCache>
                <c:formatCode>###,###,###,###,##0.00</c:formatCode>
                <c:ptCount val="23"/>
                <c:pt idx="0">
                  <c:v>-700</c:v>
                </c:pt>
                <c:pt idx="1">
                  <c:v>0</c:v>
                </c:pt>
                <c:pt idx="2">
                  <c:v>-50</c:v>
                </c:pt>
                <c:pt idx="3">
                  <c:v>0</c:v>
                </c:pt>
                <c:pt idx="4">
                  <c:v>0</c:v>
                </c:pt>
                <c:pt idx="5">
                  <c:v>0</c:v>
                </c:pt>
                <c:pt idx="6">
                  <c:v>0</c:v>
                </c:pt>
                <c:pt idx="7">
                  <c:v>-50</c:v>
                </c:pt>
                <c:pt idx="8">
                  <c:v>-6700</c:v>
                </c:pt>
                <c:pt idx="9">
                  <c:v>-2200</c:v>
                </c:pt>
                <c:pt idx="10">
                  <c:v>-4200</c:v>
                </c:pt>
                <c:pt idx="11">
                  <c:v>-1200</c:v>
                </c:pt>
                <c:pt idx="12">
                  <c:v>-4950</c:v>
                </c:pt>
                <c:pt idx="13">
                  <c:v>-2900</c:v>
                </c:pt>
                <c:pt idx="14">
                  <c:v>0</c:v>
                </c:pt>
                <c:pt idx="15">
                  <c:v>-3300</c:v>
                </c:pt>
                <c:pt idx="16">
                  <c:v>-1650</c:v>
                </c:pt>
                <c:pt idx="17">
                  <c:v>-2800</c:v>
                </c:pt>
                <c:pt idx="18">
                  <c:v>-100</c:v>
                </c:pt>
                <c:pt idx="19">
                  <c:v>-5000</c:v>
                </c:pt>
                <c:pt idx="20">
                  <c:v>-6150</c:v>
                </c:pt>
                <c:pt idx="21">
                  <c:v>-7500</c:v>
                </c:pt>
                <c:pt idx="22">
                  <c:v>-3900</c:v>
                </c:pt>
              </c:numCache>
            </c:numRef>
          </c:val>
          <c:extLst>
            <c:ext xmlns:c16="http://schemas.microsoft.com/office/drawing/2014/chart" uri="{C3380CC4-5D6E-409C-BE32-E72D297353CC}">
              <c16:uniqueId val="{00000001-4700-4113-91CE-EF9F25BB5BAA}"/>
            </c:ext>
          </c:extLst>
        </c:ser>
        <c:dLbls>
          <c:showLegendKey val="0"/>
          <c:showVal val="0"/>
          <c:showCatName val="0"/>
          <c:showSerName val="0"/>
          <c:showPercent val="0"/>
          <c:showBubbleSize val="0"/>
        </c:dLbls>
        <c:gapWidth val="150"/>
        <c:overlap val="100"/>
        <c:axId val="365292896"/>
        <c:axId val="365293456"/>
      </c:barChart>
      <c:lineChart>
        <c:grouping val="standard"/>
        <c:varyColors val="0"/>
        <c:ser>
          <c:idx val="1"/>
          <c:order val="2"/>
          <c:tx>
            <c:strRef>
              <c:f>央行!$D$4</c:f>
              <c:strCache>
                <c:ptCount val="1"/>
                <c:pt idx="0">
                  <c:v>货币净投放</c:v>
                </c:pt>
              </c:strCache>
            </c:strRef>
          </c:tx>
          <c:spPr>
            <a:ln w="22225" cap="rnd" cmpd="sng" algn="ctr">
              <a:solidFill>
                <a:srgbClr val="BF5711"/>
              </a:solidFill>
              <a:prstDash val="sysDash"/>
              <a:round/>
            </a:ln>
          </c:spPr>
          <c:marker>
            <c:symbol val="diamond"/>
            <c:size val="7"/>
            <c:spPr>
              <a:solidFill>
                <a:sysClr val="window" lastClr="FFFFFF"/>
              </a:solidFill>
              <a:ln w="15875" cap="flat" cmpd="sng" algn="ctr">
                <a:solidFill>
                  <a:srgbClr val="BF5711"/>
                </a:solidFill>
                <a:prstDash val="solid"/>
                <a:round/>
              </a:ln>
            </c:spPr>
          </c:marker>
          <c:cat>
            <c:numRef>
              <c:f>央行!$A$5:$A$27</c:f>
              <c:numCache>
                <c:formatCode>yyyy\-mm\-dd;@</c:formatCode>
                <c:ptCount val="23"/>
                <c:pt idx="0">
                  <c:v>43931</c:v>
                </c:pt>
                <c:pt idx="1">
                  <c:v>43938</c:v>
                </c:pt>
                <c:pt idx="2">
                  <c:v>43945</c:v>
                </c:pt>
                <c:pt idx="3">
                  <c:v>43952</c:v>
                </c:pt>
                <c:pt idx="4">
                  <c:v>43959</c:v>
                </c:pt>
                <c:pt idx="5">
                  <c:v>43966</c:v>
                </c:pt>
                <c:pt idx="6">
                  <c:v>43973</c:v>
                </c:pt>
                <c:pt idx="7">
                  <c:v>43980</c:v>
                </c:pt>
                <c:pt idx="8">
                  <c:v>43987</c:v>
                </c:pt>
                <c:pt idx="9">
                  <c:v>43994</c:v>
                </c:pt>
                <c:pt idx="10">
                  <c:v>44001</c:v>
                </c:pt>
                <c:pt idx="11">
                  <c:v>44008</c:v>
                </c:pt>
                <c:pt idx="12">
                  <c:v>44015</c:v>
                </c:pt>
                <c:pt idx="13">
                  <c:v>44022</c:v>
                </c:pt>
                <c:pt idx="14">
                  <c:v>44029</c:v>
                </c:pt>
                <c:pt idx="15">
                  <c:v>44036</c:v>
                </c:pt>
                <c:pt idx="16">
                  <c:v>44043</c:v>
                </c:pt>
                <c:pt idx="17">
                  <c:v>44050</c:v>
                </c:pt>
                <c:pt idx="18">
                  <c:v>44057</c:v>
                </c:pt>
                <c:pt idx="19">
                  <c:v>44064</c:v>
                </c:pt>
                <c:pt idx="20">
                  <c:v>44071</c:v>
                </c:pt>
                <c:pt idx="21">
                  <c:v>44078</c:v>
                </c:pt>
                <c:pt idx="22">
                  <c:v>44085</c:v>
                </c:pt>
              </c:numCache>
            </c:numRef>
          </c:cat>
          <c:val>
            <c:numRef>
              <c:f>央行!$D$5:$D$27</c:f>
              <c:numCache>
                <c:formatCode>###,###,###,###,##0.00</c:formatCode>
                <c:ptCount val="23"/>
                <c:pt idx="0">
                  <c:v>-700</c:v>
                </c:pt>
                <c:pt idx="1">
                  <c:v>0</c:v>
                </c:pt>
                <c:pt idx="2">
                  <c:v>10</c:v>
                </c:pt>
                <c:pt idx="3">
                  <c:v>0</c:v>
                </c:pt>
                <c:pt idx="4">
                  <c:v>0</c:v>
                </c:pt>
                <c:pt idx="5">
                  <c:v>0</c:v>
                </c:pt>
                <c:pt idx="6">
                  <c:v>0</c:v>
                </c:pt>
                <c:pt idx="7">
                  <c:v>6700</c:v>
                </c:pt>
                <c:pt idx="8">
                  <c:v>-4500</c:v>
                </c:pt>
                <c:pt idx="9">
                  <c:v>2000</c:v>
                </c:pt>
                <c:pt idx="10">
                  <c:v>-1200</c:v>
                </c:pt>
                <c:pt idx="11">
                  <c:v>3850</c:v>
                </c:pt>
                <c:pt idx="12">
                  <c:v>-3925</c:v>
                </c:pt>
                <c:pt idx="13">
                  <c:v>-2900</c:v>
                </c:pt>
                <c:pt idx="14">
                  <c:v>3300</c:v>
                </c:pt>
                <c:pt idx="15">
                  <c:v>-1650</c:v>
                </c:pt>
                <c:pt idx="16">
                  <c:v>1150</c:v>
                </c:pt>
                <c:pt idx="17">
                  <c:v>-2700</c:v>
                </c:pt>
                <c:pt idx="18">
                  <c:v>4900</c:v>
                </c:pt>
                <c:pt idx="19">
                  <c:v>1600</c:v>
                </c:pt>
                <c:pt idx="20">
                  <c:v>2000</c:v>
                </c:pt>
                <c:pt idx="21">
                  <c:v>-4700</c:v>
                </c:pt>
                <c:pt idx="22">
                  <c:v>2300</c:v>
                </c:pt>
              </c:numCache>
            </c:numRef>
          </c:val>
          <c:smooth val="0"/>
          <c:extLst>
            <c:ext xmlns:c16="http://schemas.microsoft.com/office/drawing/2014/chart" uri="{C3380CC4-5D6E-409C-BE32-E72D297353CC}">
              <c16:uniqueId val="{00000002-4700-4113-91CE-EF9F25BB5BAA}"/>
            </c:ext>
          </c:extLst>
        </c:ser>
        <c:dLbls>
          <c:showLegendKey val="0"/>
          <c:showVal val="0"/>
          <c:showCatName val="0"/>
          <c:showSerName val="0"/>
          <c:showPercent val="0"/>
          <c:showBubbleSize val="0"/>
        </c:dLbls>
        <c:marker val="1"/>
        <c:smooth val="0"/>
        <c:axId val="365292896"/>
        <c:axId val="365293456"/>
      </c:lineChart>
      <c:catAx>
        <c:axId val="365292896"/>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293456"/>
        <c:crosses val="autoZero"/>
        <c:auto val="0"/>
        <c:lblAlgn val="ctr"/>
        <c:lblOffset val="0"/>
        <c:tickMarkSkip val="2"/>
        <c:noMultiLvlLbl val="0"/>
      </c:catAx>
      <c:valAx>
        <c:axId val="365293456"/>
        <c:scaling>
          <c:orientation val="minMax"/>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292896"/>
        <c:crosses val="autoZero"/>
        <c:crossBetween val="between"/>
      </c:valAx>
    </c:plotArea>
    <c:legend>
      <c:legendPos val="r"/>
      <c:layout>
        <c:manualLayout>
          <c:xMode val="edge"/>
          <c:yMode val="edge"/>
          <c:x val="0.15225"/>
          <c:y val="2.3337707786526699E-3"/>
          <c:w val="0.81834886264216999"/>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6432852143482102E-2"/>
          <c:y val="0.111965952172645"/>
          <c:w val="0.90856714785651804"/>
          <c:h val="0.81409120734908103"/>
        </c:manualLayout>
      </c:layout>
      <c:lineChart>
        <c:grouping val="standard"/>
        <c:varyColors val="0"/>
        <c:ser>
          <c:idx val="0"/>
          <c:order val="0"/>
          <c:tx>
            <c:strRef>
              <c:f>资金!$B$2</c:f>
              <c:strCache>
                <c:ptCount val="1"/>
                <c:pt idx="0">
                  <c:v>银行间质押式回购加权利率:1天</c:v>
                </c:pt>
              </c:strCache>
            </c:strRef>
          </c:tx>
          <c:spPr>
            <a:ln w="25400" cap="rnd" cmpd="sng" algn="ctr">
              <a:solidFill>
                <a:srgbClr val="ED7D31">
                  <a:lumMod val="75000"/>
                </a:srgbClr>
              </a:solidFill>
              <a:prstDash val="solid"/>
              <a:round/>
            </a:ln>
          </c:spPr>
          <c:marker>
            <c:symbol val="none"/>
          </c:marker>
          <c:cat>
            <c:numRef>
              <c:f>资金!$A$3:$A$61</c:f>
              <c:numCache>
                <c:formatCode>yyyy\-mm\-dd;@</c:formatCode>
                <c:ptCount val="59"/>
                <c:pt idx="0">
                  <c:v>44085</c:v>
                </c:pt>
                <c:pt idx="1">
                  <c:v>44084</c:v>
                </c:pt>
                <c:pt idx="2">
                  <c:v>44083</c:v>
                </c:pt>
                <c:pt idx="3">
                  <c:v>44082</c:v>
                </c:pt>
                <c:pt idx="4">
                  <c:v>44081</c:v>
                </c:pt>
                <c:pt idx="5">
                  <c:v>44078</c:v>
                </c:pt>
                <c:pt idx="6">
                  <c:v>44077</c:v>
                </c:pt>
                <c:pt idx="7">
                  <c:v>44076</c:v>
                </c:pt>
                <c:pt idx="8">
                  <c:v>44075</c:v>
                </c:pt>
                <c:pt idx="9">
                  <c:v>44074</c:v>
                </c:pt>
                <c:pt idx="10">
                  <c:v>44071</c:v>
                </c:pt>
                <c:pt idx="11">
                  <c:v>44070</c:v>
                </c:pt>
                <c:pt idx="12">
                  <c:v>44069</c:v>
                </c:pt>
                <c:pt idx="13">
                  <c:v>44068</c:v>
                </c:pt>
                <c:pt idx="14">
                  <c:v>44067</c:v>
                </c:pt>
                <c:pt idx="15">
                  <c:v>44064</c:v>
                </c:pt>
                <c:pt idx="16">
                  <c:v>44063</c:v>
                </c:pt>
                <c:pt idx="17">
                  <c:v>44062</c:v>
                </c:pt>
                <c:pt idx="18">
                  <c:v>44061</c:v>
                </c:pt>
                <c:pt idx="19">
                  <c:v>44060</c:v>
                </c:pt>
                <c:pt idx="20">
                  <c:v>44057</c:v>
                </c:pt>
                <c:pt idx="21">
                  <c:v>44056</c:v>
                </c:pt>
                <c:pt idx="22">
                  <c:v>44055</c:v>
                </c:pt>
                <c:pt idx="23">
                  <c:v>44054</c:v>
                </c:pt>
                <c:pt idx="24">
                  <c:v>44053</c:v>
                </c:pt>
                <c:pt idx="25">
                  <c:v>44050</c:v>
                </c:pt>
                <c:pt idx="26">
                  <c:v>44049</c:v>
                </c:pt>
                <c:pt idx="27">
                  <c:v>44048</c:v>
                </c:pt>
                <c:pt idx="28">
                  <c:v>44047</c:v>
                </c:pt>
                <c:pt idx="29">
                  <c:v>44046</c:v>
                </c:pt>
                <c:pt idx="30">
                  <c:v>44043</c:v>
                </c:pt>
                <c:pt idx="31">
                  <c:v>44042</c:v>
                </c:pt>
                <c:pt idx="32">
                  <c:v>44041</c:v>
                </c:pt>
                <c:pt idx="33">
                  <c:v>44040</c:v>
                </c:pt>
                <c:pt idx="34">
                  <c:v>44039</c:v>
                </c:pt>
                <c:pt idx="35">
                  <c:v>44036</c:v>
                </c:pt>
                <c:pt idx="36">
                  <c:v>44035</c:v>
                </c:pt>
                <c:pt idx="37">
                  <c:v>44034</c:v>
                </c:pt>
                <c:pt idx="38">
                  <c:v>44033</c:v>
                </c:pt>
                <c:pt idx="39">
                  <c:v>44032</c:v>
                </c:pt>
                <c:pt idx="40">
                  <c:v>44029</c:v>
                </c:pt>
                <c:pt idx="41">
                  <c:v>44028</c:v>
                </c:pt>
                <c:pt idx="42">
                  <c:v>44027</c:v>
                </c:pt>
                <c:pt idx="43">
                  <c:v>44026</c:v>
                </c:pt>
                <c:pt idx="44">
                  <c:v>44025</c:v>
                </c:pt>
                <c:pt idx="45">
                  <c:v>44022</c:v>
                </c:pt>
                <c:pt idx="46">
                  <c:v>44021</c:v>
                </c:pt>
                <c:pt idx="47">
                  <c:v>44020</c:v>
                </c:pt>
                <c:pt idx="48">
                  <c:v>44019</c:v>
                </c:pt>
                <c:pt idx="49">
                  <c:v>44018</c:v>
                </c:pt>
                <c:pt idx="50">
                  <c:v>44015</c:v>
                </c:pt>
                <c:pt idx="51">
                  <c:v>44014</c:v>
                </c:pt>
                <c:pt idx="52">
                  <c:v>44013</c:v>
                </c:pt>
                <c:pt idx="53">
                  <c:v>44012</c:v>
                </c:pt>
                <c:pt idx="54">
                  <c:v>44011</c:v>
                </c:pt>
                <c:pt idx="55">
                  <c:v>44010</c:v>
                </c:pt>
                <c:pt idx="56">
                  <c:v>44006</c:v>
                </c:pt>
                <c:pt idx="57">
                  <c:v>44005</c:v>
                </c:pt>
                <c:pt idx="58">
                  <c:v>44004</c:v>
                </c:pt>
              </c:numCache>
            </c:numRef>
          </c:cat>
          <c:val>
            <c:numRef>
              <c:f>资金!$B$3:$B$61</c:f>
              <c:numCache>
                <c:formatCode>###,###,###,###,##0.0000</c:formatCode>
                <c:ptCount val="59"/>
                <c:pt idx="0">
                  <c:v>1.5072000000000001</c:v>
                </c:pt>
                <c:pt idx="1">
                  <c:v>1.3864000000000001</c:v>
                </c:pt>
                <c:pt idx="2">
                  <c:v>1.6471</c:v>
                </c:pt>
                <c:pt idx="3">
                  <c:v>2.0707</c:v>
                </c:pt>
                <c:pt idx="4">
                  <c:v>2.1291000000000002</c:v>
                </c:pt>
                <c:pt idx="5">
                  <c:v>2.0886</c:v>
                </c:pt>
                <c:pt idx="6">
                  <c:v>1.7948999999999999</c:v>
                </c:pt>
                <c:pt idx="7">
                  <c:v>2.1187</c:v>
                </c:pt>
                <c:pt idx="8">
                  <c:v>2.1785999999999999</c:v>
                </c:pt>
                <c:pt idx="9">
                  <c:v>1.9719</c:v>
                </c:pt>
                <c:pt idx="10">
                  <c:v>1.3997999999999999</c:v>
                </c:pt>
                <c:pt idx="11">
                  <c:v>1.5077</c:v>
                </c:pt>
                <c:pt idx="12">
                  <c:v>1.6649</c:v>
                </c:pt>
                <c:pt idx="13">
                  <c:v>1.9847999999999999</c:v>
                </c:pt>
                <c:pt idx="14">
                  <c:v>2.4039999999999999</c:v>
                </c:pt>
                <c:pt idx="15">
                  <c:v>2.3462000000000001</c:v>
                </c:pt>
                <c:pt idx="16">
                  <c:v>2.2711000000000001</c:v>
                </c:pt>
                <c:pt idx="17">
                  <c:v>2.2111999999999998</c:v>
                </c:pt>
                <c:pt idx="18">
                  <c:v>2.1659000000000002</c:v>
                </c:pt>
                <c:pt idx="19">
                  <c:v>2.1669</c:v>
                </c:pt>
                <c:pt idx="20">
                  <c:v>2.2214999999999998</c:v>
                </c:pt>
                <c:pt idx="21">
                  <c:v>2.2246000000000001</c:v>
                </c:pt>
                <c:pt idx="22">
                  <c:v>2.2063999999999999</c:v>
                </c:pt>
                <c:pt idx="23">
                  <c:v>2.2568999999999999</c:v>
                </c:pt>
                <c:pt idx="24">
                  <c:v>2.1943000000000001</c:v>
                </c:pt>
                <c:pt idx="25">
                  <c:v>2.1122000000000001</c:v>
                </c:pt>
                <c:pt idx="26">
                  <c:v>1.7108000000000001</c:v>
                </c:pt>
                <c:pt idx="27">
                  <c:v>1.7210000000000001</c:v>
                </c:pt>
                <c:pt idx="28">
                  <c:v>1.96</c:v>
                </c:pt>
                <c:pt idx="29">
                  <c:v>1.6277999999999999</c:v>
                </c:pt>
                <c:pt idx="30">
                  <c:v>1.921</c:v>
                </c:pt>
                <c:pt idx="31">
                  <c:v>1.4155</c:v>
                </c:pt>
                <c:pt idx="32">
                  <c:v>1.4807999999999999</c:v>
                </c:pt>
                <c:pt idx="33">
                  <c:v>1.7774000000000001</c:v>
                </c:pt>
                <c:pt idx="34">
                  <c:v>2.0301999999999998</c:v>
                </c:pt>
                <c:pt idx="35">
                  <c:v>1.8781000000000001</c:v>
                </c:pt>
                <c:pt idx="36">
                  <c:v>1.9132</c:v>
                </c:pt>
                <c:pt idx="37">
                  <c:v>1.3838999999999999</c:v>
                </c:pt>
                <c:pt idx="38">
                  <c:v>1.5924</c:v>
                </c:pt>
                <c:pt idx="39">
                  <c:v>1.9733000000000001</c:v>
                </c:pt>
                <c:pt idx="40">
                  <c:v>2.3995000000000002</c:v>
                </c:pt>
                <c:pt idx="41">
                  <c:v>2.3612000000000002</c:v>
                </c:pt>
                <c:pt idx="42">
                  <c:v>2.0855999999999999</c:v>
                </c:pt>
                <c:pt idx="43">
                  <c:v>1.7021999999999999</c:v>
                </c:pt>
                <c:pt idx="44">
                  <c:v>2.1414</c:v>
                </c:pt>
                <c:pt idx="45">
                  <c:v>2.2174</c:v>
                </c:pt>
                <c:pt idx="46">
                  <c:v>2.2547999999999999</c:v>
                </c:pt>
                <c:pt idx="47">
                  <c:v>2.1366000000000001</c:v>
                </c:pt>
                <c:pt idx="48">
                  <c:v>1.7793000000000001</c:v>
                </c:pt>
                <c:pt idx="49">
                  <c:v>1.4025000000000001</c:v>
                </c:pt>
                <c:pt idx="50">
                  <c:v>1.4065000000000001</c:v>
                </c:pt>
                <c:pt idx="51">
                  <c:v>1.7667999999999999</c:v>
                </c:pt>
                <c:pt idx="52">
                  <c:v>2.0270999999999999</c:v>
                </c:pt>
                <c:pt idx="53">
                  <c:v>2.2993999999999999</c:v>
                </c:pt>
                <c:pt idx="54">
                  <c:v>1.0634999999999999</c:v>
                </c:pt>
                <c:pt idx="55">
                  <c:v>1.0626</c:v>
                </c:pt>
                <c:pt idx="56">
                  <c:v>1.4907999999999999</c:v>
                </c:pt>
                <c:pt idx="57">
                  <c:v>1.9904999999999999</c:v>
                </c:pt>
                <c:pt idx="58">
                  <c:v>2.1852999999999998</c:v>
                </c:pt>
              </c:numCache>
            </c:numRef>
          </c:val>
          <c:smooth val="1"/>
          <c:extLst>
            <c:ext xmlns:c16="http://schemas.microsoft.com/office/drawing/2014/chart" uri="{C3380CC4-5D6E-409C-BE32-E72D297353CC}">
              <c16:uniqueId val="{00000000-2091-4DF5-AB20-49CF92E24704}"/>
            </c:ext>
          </c:extLst>
        </c:ser>
        <c:ser>
          <c:idx val="2"/>
          <c:order val="1"/>
          <c:tx>
            <c:strRef>
              <c:f>资金!$C$2</c:f>
              <c:strCache>
                <c:ptCount val="1"/>
                <c:pt idx="0">
                  <c:v>银行间质押式回购加权利率:7天</c:v>
                </c:pt>
              </c:strCache>
            </c:strRef>
          </c:tx>
          <c:spPr>
            <a:ln w="25400" cap="rnd" cmpd="sng" algn="ctr">
              <a:solidFill>
                <a:srgbClr val="ED7D31"/>
              </a:solidFill>
              <a:prstDash val="sysDash"/>
              <a:round/>
            </a:ln>
          </c:spPr>
          <c:marker>
            <c:symbol val="none"/>
          </c:marker>
          <c:cat>
            <c:numRef>
              <c:f>资金!$A$3:$A$61</c:f>
              <c:numCache>
                <c:formatCode>yyyy\-mm\-dd;@</c:formatCode>
                <c:ptCount val="59"/>
                <c:pt idx="0">
                  <c:v>44085</c:v>
                </c:pt>
                <c:pt idx="1">
                  <c:v>44084</c:v>
                </c:pt>
                <c:pt idx="2">
                  <c:v>44083</c:v>
                </c:pt>
                <c:pt idx="3">
                  <c:v>44082</c:v>
                </c:pt>
                <c:pt idx="4">
                  <c:v>44081</c:v>
                </c:pt>
                <c:pt idx="5">
                  <c:v>44078</c:v>
                </c:pt>
                <c:pt idx="6">
                  <c:v>44077</c:v>
                </c:pt>
                <c:pt idx="7">
                  <c:v>44076</c:v>
                </c:pt>
                <c:pt idx="8">
                  <c:v>44075</c:v>
                </c:pt>
                <c:pt idx="9">
                  <c:v>44074</c:v>
                </c:pt>
                <c:pt idx="10">
                  <c:v>44071</c:v>
                </c:pt>
                <c:pt idx="11">
                  <c:v>44070</c:v>
                </c:pt>
                <c:pt idx="12">
                  <c:v>44069</c:v>
                </c:pt>
                <c:pt idx="13">
                  <c:v>44068</c:v>
                </c:pt>
                <c:pt idx="14">
                  <c:v>44067</c:v>
                </c:pt>
                <c:pt idx="15">
                  <c:v>44064</c:v>
                </c:pt>
                <c:pt idx="16">
                  <c:v>44063</c:v>
                </c:pt>
                <c:pt idx="17">
                  <c:v>44062</c:v>
                </c:pt>
                <c:pt idx="18">
                  <c:v>44061</c:v>
                </c:pt>
                <c:pt idx="19">
                  <c:v>44060</c:v>
                </c:pt>
                <c:pt idx="20">
                  <c:v>44057</c:v>
                </c:pt>
                <c:pt idx="21">
                  <c:v>44056</c:v>
                </c:pt>
                <c:pt idx="22">
                  <c:v>44055</c:v>
                </c:pt>
                <c:pt idx="23">
                  <c:v>44054</c:v>
                </c:pt>
                <c:pt idx="24">
                  <c:v>44053</c:v>
                </c:pt>
                <c:pt idx="25">
                  <c:v>44050</c:v>
                </c:pt>
                <c:pt idx="26">
                  <c:v>44049</c:v>
                </c:pt>
                <c:pt idx="27">
                  <c:v>44048</c:v>
                </c:pt>
                <c:pt idx="28">
                  <c:v>44047</c:v>
                </c:pt>
                <c:pt idx="29">
                  <c:v>44046</c:v>
                </c:pt>
                <c:pt idx="30">
                  <c:v>44043</c:v>
                </c:pt>
                <c:pt idx="31">
                  <c:v>44042</c:v>
                </c:pt>
                <c:pt idx="32">
                  <c:v>44041</c:v>
                </c:pt>
                <c:pt idx="33">
                  <c:v>44040</c:v>
                </c:pt>
                <c:pt idx="34">
                  <c:v>44039</c:v>
                </c:pt>
                <c:pt idx="35">
                  <c:v>44036</c:v>
                </c:pt>
                <c:pt idx="36">
                  <c:v>44035</c:v>
                </c:pt>
                <c:pt idx="37">
                  <c:v>44034</c:v>
                </c:pt>
                <c:pt idx="38">
                  <c:v>44033</c:v>
                </c:pt>
                <c:pt idx="39">
                  <c:v>44032</c:v>
                </c:pt>
                <c:pt idx="40">
                  <c:v>44029</c:v>
                </c:pt>
                <c:pt idx="41">
                  <c:v>44028</c:v>
                </c:pt>
                <c:pt idx="42">
                  <c:v>44027</c:v>
                </c:pt>
                <c:pt idx="43">
                  <c:v>44026</c:v>
                </c:pt>
                <c:pt idx="44">
                  <c:v>44025</c:v>
                </c:pt>
                <c:pt idx="45">
                  <c:v>44022</c:v>
                </c:pt>
                <c:pt idx="46">
                  <c:v>44021</c:v>
                </c:pt>
                <c:pt idx="47">
                  <c:v>44020</c:v>
                </c:pt>
                <c:pt idx="48">
                  <c:v>44019</c:v>
                </c:pt>
                <c:pt idx="49">
                  <c:v>44018</c:v>
                </c:pt>
                <c:pt idx="50">
                  <c:v>44015</c:v>
                </c:pt>
                <c:pt idx="51">
                  <c:v>44014</c:v>
                </c:pt>
                <c:pt idx="52">
                  <c:v>44013</c:v>
                </c:pt>
                <c:pt idx="53">
                  <c:v>44012</c:v>
                </c:pt>
                <c:pt idx="54">
                  <c:v>44011</c:v>
                </c:pt>
                <c:pt idx="55">
                  <c:v>44010</c:v>
                </c:pt>
                <c:pt idx="56">
                  <c:v>44006</c:v>
                </c:pt>
                <c:pt idx="57">
                  <c:v>44005</c:v>
                </c:pt>
                <c:pt idx="58">
                  <c:v>44004</c:v>
                </c:pt>
              </c:numCache>
            </c:numRef>
          </c:cat>
          <c:val>
            <c:numRef>
              <c:f>资金!$C$3:$C$61</c:f>
              <c:numCache>
                <c:formatCode>###,###,###,###,##0.0000</c:formatCode>
                <c:ptCount val="59"/>
                <c:pt idx="0">
                  <c:v>2.1873999999999998</c:v>
                </c:pt>
                <c:pt idx="1">
                  <c:v>2.2033</c:v>
                </c:pt>
                <c:pt idx="2">
                  <c:v>2.2875999999999999</c:v>
                </c:pt>
                <c:pt idx="3">
                  <c:v>2.3258999999999999</c:v>
                </c:pt>
                <c:pt idx="4">
                  <c:v>2.3267000000000002</c:v>
                </c:pt>
                <c:pt idx="5">
                  <c:v>2.3408000000000002</c:v>
                </c:pt>
                <c:pt idx="6">
                  <c:v>2.3216000000000001</c:v>
                </c:pt>
                <c:pt idx="7">
                  <c:v>2.3963000000000001</c:v>
                </c:pt>
                <c:pt idx="8">
                  <c:v>2.4113000000000002</c:v>
                </c:pt>
                <c:pt idx="9">
                  <c:v>2.5141</c:v>
                </c:pt>
                <c:pt idx="10">
                  <c:v>2.4836999999999998</c:v>
                </c:pt>
                <c:pt idx="11">
                  <c:v>2.4744999999999999</c:v>
                </c:pt>
                <c:pt idx="12">
                  <c:v>2.4973999999999998</c:v>
                </c:pt>
                <c:pt idx="13">
                  <c:v>2.5918000000000001</c:v>
                </c:pt>
                <c:pt idx="14">
                  <c:v>2.5108000000000001</c:v>
                </c:pt>
                <c:pt idx="15">
                  <c:v>2.5731999999999999</c:v>
                </c:pt>
                <c:pt idx="16">
                  <c:v>2.4491000000000001</c:v>
                </c:pt>
                <c:pt idx="17">
                  <c:v>2.3744999999999998</c:v>
                </c:pt>
                <c:pt idx="18">
                  <c:v>2.3515999999999999</c:v>
                </c:pt>
                <c:pt idx="19">
                  <c:v>2.3788999999999998</c:v>
                </c:pt>
                <c:pt idx="20">
                  <c:v>2.3742999999999999</c:v>
                </c:pt>
                <c:pt idx="21">
                  <c:v>2.3693</c:v>
                </c:pt>
                <c:pt idx="22">
                  <c:v>2.3672</c:v>
                </c:pt>
                <c:pt idx="23">
                  <c:v>2.3639000000000001</c:v>
                </c:pt>
                <c:pt idx="24">
                  <c:v>2.2854000000000001</c:v>
                </c:pt>
                <c:pt idx="25">
                  <c:v>2.2219000000000002</c:v>
                </c:pt>
                <c:pt idx="26">
                  <c:v>2.1051000000000002</c:v>
                </c:pt>
                <c:pt idx="27">
                  <c:v>2.1356000000000002</c:v>
                </c:pt>
                <c:pt idx="28">
                  <c:v>2.1785000000000001</c:v>
                </c:pt>
                <c:pt idx="29">
                  <c:v>2.1398000000000001</c:v>
                </c:pt>
                <c:pt idx="30">
                  <c:v>2.3254000000000001</c:v>
                </c:pt>
                <c:pt idx="31">
                  <c:v>2.3382999999999998</c:v>
                </c:pt>
                <c:pt idx="32">
                  <c:v>2.3513000000000002</c:v>
                </c:pt>
                <c:pt idx="33">
                  <c:v>2.4123999999999999</c:v>
                </c:pt>
                <c:pt idx="34">
                  <c:v>2.4384000000000001</c:v>
                </c:pt>
                <c:pt idx="35">
                  <c:v>2.0954000000000002</c:v>
                </c:pt>
                <c:pt idx="36">
                  <c:v>2.2709000000000001</c:v>
                </c:pt>
                <c:pt idx="37">
                  <c:v>2.0026000000000002</c:v>
                </c:pt>
                <c:pt idx="38">
                  <c:v>2.1061999999999999</c:v>
                </c:pt>
                <c:pt idx="39">
                  <c:v>2.2656999999999998</c:v>
                </c:pt>
                <c:pt idx="40">
                  <c:v>2.4668999999999999</c:v>
                </c:pt>
                <c:pt idx="41">
                  <c:v>2.3656000000000001</c:v>
                </c:pt>
                <c:pt idx="42">
                  <c:v>2.2551000000000001</c:v>
                </c:pt>
                <c:pt idx="43">
                  <c:v>2.2277</c:v>
                </c:pt>
                <c:pt idx="44">
                  <c:v>2.3549000000000002</c:v>
                </c:pt>
                <c:pt idx="45">
                  <c:v>2.3384999999999998</c:v>
                </c:pt>
                <c:pt idx="46">
                  <c:v>2.2734999999999999</c:v>
                </c:pt>
                <c:pt idx="47">
                  <c:v>2.2345999999999999</c:v>
                </c:pt>
                <c:pt idx="48">
                  <c:v>2.1484999999999999</c:v>
                </c:pt>
                <c:pt idx="49">
                  <c:v>1.8398000000000001</c:v>
                </c:pt>
                <c:pt idx="50">
                  <c:v>1.857</c:v>
                </c:pt>
                <c:pt idx="51">
                  <c:v>2.0632999999999999</c:v>
                </c:pt>
                <c:pt idx="52">
                  <c:v>2.2721</c:v>
                </c:pt>
                <c:pt idx="53">
                  <c:v>3.0518999999999998</c:v>
                </c:pt>
                <c:pt idx="54">
                  <c:v>2.7978999999999998</c:v>
                </c:pt>
                <c:pt idx="55">
                  <c:v>2.2408999999999999</c:v>
                </c:pt>
                <c:pt idx="56">
                  <c:v>2.3866999999999998</c:v>
                </c:pt>
                <c:pt idx="57">
                  <c:v>2.3123</c:v>
                </c:pt>
                <c:pt idx="58">
                  <c:v>2.2494999999999998</c:v>
                </c:pt>
              </c:numCache>
            </c:numRef>
          </c:val>
          <c:smooth val="1"/>
          <c:extLst>
            <c:ext xmlns:c16="http://schemas.microsoft.com/office/drawing/2014/chart" uri="{C3380CC4-5D6E-409C-BE32-E72D297353CC}">
              <c16:uniqueId val="{00000001-2091-4DF5-AB20-49CF92E24704}"/>
            </c:ext>
          </c:extLst>
        </c:ser>
        <c:dLbls>
          <c:showLegendKey val="0"/>
          <c:showVal val="0"/>
          <c:showCatName val="0"/>
          <c:showSerName val="0"/>
          <c:showPercent val="0"/>
          <c:showBubbleSize val="0"/>
        </c:dLbls>
        <c:smooth val="0"/>
        <c:axId val="365295136"/>
        <c:axId val="365295696"/>
      </c:lineChart>
      <c:dateAx>
        <c:axId val="365295136"/>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295696"/>
        <c:crosses val="autoZero"/>
        <c:auto val="0"/>
        <c:lblOffset val="0"/>
        <c:baseTimeUnit val="days"/>
        <c:majorUnit val="14"/>
        <c:majorTimeUnit val="days"/>
        <c:minorUnit val="7"/>
        <c:minorTimeUnit val="days"/>
      </c:dateAx>
      <c:valAx>
        <c:axId val="365295696"/>
        <c:scaling>
          <c:orientation val="minMax"/>
        </c:scaling>
        <c:delete val="0"/>
        <c:axPos val="l"/>
        <c:numFmt formatCode="#,##0.0_);[Red]\(#,##0.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295136"/>
        <c:crosses val="autoZero"/>
        <c:crossBetween val="between"/>
      </c:valAx>
    </c:plotArea>
    <c:legend>
      <c:legendPos val="r"/>
      <c:layout>
        <c:manualLayout>
          <c:xMode val="edge"/>
          <c:yMode val="edge"/>
          <c:x val="0.15502777777777799"/>
          <c:y val="2.3337707786526699E-3"/>
          <c:w val="0.690571084864392"/>
          <c:h val="0.12288604549431301"/>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8932852143482104E-2"/>
          <c:y val="0.111965952172645"/>
          <c:w val="0.88363429571303598"/>
          <c:h val="0.81409120734908103"/>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-10.41</c:v>
                </c:pt>
                <c:pt idx="1">
                  <c:v>4.3699999999999903</c:v>
                </c:pt>
                <c:pt idx="2">
                  <c:v>0.79000000000002402</c:v>
                </c:pt>
                <c:pt idx="3">
                  <c:v>-7.7900000000000098</c:v>
                </c:pt>
                <c:pt idx="4">
                  <c:v>-6.3699999999999903</c:v>
                </c:pt>
                <c:pt idx="5">
                  <c:v>-1.96000000000001</c:v>
                </c:pt>
                <c:pt idx="6">
                  <c:v>1.18</c:v>
                </c:pt>
              </c:numCache>
            </c:numRef>
          </c:val>
          <c:extLst>
            <c:ext xmlns:c16="http://schemas.microsoft.com/office/drawing/2014/chart" uri="{C3380CC4-5D6E-409C-BE32-E72D297353CC}">
              <c16:uniqueId val="{00000000-D335-44F4-AB3D-3D1E5CE0452C}"/>
            </c:ext>
          </c:extLst>
        </c:ser>
        <c:dLbls>
          <c:showLegendKey val="0"/>
          <c:showVal val="0"/>
          <c:showCatName val="0"/>
          <c:showSerName val="0"/>
          <c:showPercent val="0"/>
          <c:showBubbleSize val="0"/>
        </c:dLbls>
        <c:gapWidth val="150"/>
        <c:axId val="365299616"/>
        <c:axId val="365300176"/>
      </c:barChart>
      <c:lineChart>
        <c:grouping val="standard"/>
        <c:varyColors val="0"/>
        <c:ser>
          <c:idx val="2"/>
          <c:order val="1"/>
          <c:tx>
            <c:strRef>
              <c:f>国债!$J$4</c:f>
              <c:strCache>
                <c:ptCount val="1"/>
                <c:pt idx="0">
                  <c:v>本周</c:v>
                </c:pt>
              </c:strCache>
            </c:strRef>
          </c:tx>
          <c:spPr>
            <a:ln w="22225" cap="rnd" cmpd="sng" algn="ctr">
              <a:solidFill>
                <a:srgbClr val="BF5711"/>
              </a:solidFill>
              <a:prstDash val="solid"/>
              <a:round/>
            </a:ln>
          </c:spPr>
          <c:marker>
            <c:symbol val="diamond"/>
            <c:size val="7"/>
            <c:spPr>
              <a:solidFill>
                <a:sysClr val="window" lastClr="FFFFFF"/>
              </a:solidFill>
              <a:ln w="15875" cap="flat" cmpd="sng" algn="ctr">
                <a:solidFill>
                  <a:srgbClr val="BF5711"/>
                </a:solidFill>
                <a:prstDash val="solid"/>
                <a:round/>
              </a:ln>
            </c:spPr>
          </c:marker>
          <c:dLbls>
            <c:dLbl>
              <c:idx val="0"/>
              <c:delete val="1"/>
              <c:extLst>
                <c:ext xmlns:c15="http://schemas.microsoft.com/office/drawing/2012/chart" uri="{CE6537A1-D6FC-4f65-9D91-7224C49458BB}"/>
                <c:ext xmlns:c16="http://schemas.microsoft.com/office/drawing/2014/chart" uri="{C3380CC4-5D6E-409C-BE32-E72D297353CC}">
                  <c16:uniqueId val="{00000001-D335-44F4-AB3D-3D1E5CE0452C}"/>
                </c:ext>
              </c:extLst>
            </c:dLbl>
            <c:dLbl>
              <c:idx val="1"/>
              <c:delete val="1"/>
              <c:extLst>
                <c:ext xmlns:c15="http://schemas.microsoft.com/office/drawing/2012/chart" uri="{CE6537A1-D6FC-4f65-9D91-7224C49458BB}"/>
                <c:ext xmlns:c16="http://schemas.microsoft.com/office/drawing/2014/chart" uri="{C3380CC4-5D6E-409C-BE32-E72D297353CC}">
                  <c16:uniqueId val="{00000002-D335-44F4-AB3D-3D1E5CE0452C}"/>
                </c:ext>
              </c:extLst>
            </c:dLbl>
            <c:dLbl>
              <c:idx val="2"/>
              <c:delete val="1"/>
              <c:extLst>
                <c:ext xmlns:c15="http://schemas.microsoft.com/office/drawing/2012/chart" uri="{CE6537A1-D6FC-4f65-9D91-7224C49458BB}"/>
                <c:ext xmlns:c16="http://schemas.microsoft.com/office/drawing/2014/chart" uri="{C3380CC4-5D6E-409C-BE32-E72D297353CC}">
                  <c16:uniqueId val="{00000003-D335-44F4-AB3D-3D1E5CE0452C}"/>
                </c:ext>
              </c:extLst>
            </c:dLbl>
            <c:dLbl>
              <c:idx val="3"/>
              <c:delete val="1"/>
              <c:extLst>
                <c:ext xmlns:c15="http://schemas.microsoft.com/office/drawing/2012/chart" uri="{CE6537A1-D6FC-4f65-9D91-7224C49458BB}"/>
                <c:ext xmlns:c16="http://schemas.microsoft.com/office/drawing/2014/chart" uri="{C3380CC4-5D6E-409C-BE32-E72D297353CC}">
                  <c16:uniqueId val="{00000004-D335-44F4-AB3D-3D1E5CE0452C}"/>
                </c:ext>
              </c:extLst>
            </c:dLbl>
            <c:dLbl>
              <c:idx val="4"/>
              <c:delete val="1"/>
              <c:extLst>
                <c:ext xmlns:c15="http://schemas.microsoft.com/office/drawing/2012/chart" uri="{CE6537A1-D6FC-4f65-9D91-7224C49458BB}"/>
                <c:ext xmlns:c16="http://schemas.microsoft.com/office/drawing/2014/chart" uri="{C3380CC4-5D6E-409C-BE32-E72D297353CC}">
                  <c16:uniqueId val="{00000005-D335-44F4-AB3D-3D1E5CE0452C}"/>
                </c:ext>
              </c:extLst>
            </c:dLbl>
            <c:dLbl>
              <c:idx val="5"/>
              <c:delete val="1"/>
              <c:extLst>
                <c:ext xmlns:c15="http://schemas.microsoft.com/office/drawing/2012/chart" uri="{CE6537A1-D6FC-4f65-9D91-7224C49458BB}"/>
                <c:ext xmlns:c16="http://schemas.microsoft.com/office/drawing/2014/chart" uri="{C3380CC4-5D6E-409C-BE32-E72D297353CC}">
                  <c16:uniqueId val="{00000006-D335-44F4-AB3D-3D1E5CE0452C}"/>
                </c:ext>
              </c:extLst>
            </c:dLbl>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2.0102000000000002</c:v>
                </c:pt>
                <c:pt idx="1">
                  <c:v>2.3231999999999999</c:v>
                </c:pt>
                <c:pt idx="2">
                  <c:v>2.5964</c:v>
                </c:pt>
                <c:pt idx="3">
                  <c:v>2.9091999999999998</c:v>
                </c:pt>
                <c:pt idx="4">
                  <c:v>3.0371000000000001</c:v>
                </c:pt>
                <c:pt idx="5">
                  <c:v>3.1886000000000001</c:v>
                </c:pt>
                <c:pt idx="6">
                  <c:v>3.1345999999999998</c:v>
                </c:pt>
              </c:numCache>
            </c:numRef>
          </c:val>
          <c:smooth val="0"/>
          <c:extLst>
            <c:ext xmlns:c16="http://schemas.microsoft.com/office/drawing/2014/chart" uri="{C3380CC4-5D6E-409C-BE32-E72D297353CC}">
              <c16:uniqueId val="{00000007-D335-44F4-AB3D-3D1E5CE0452C}"/>
            </c:ext>
          </c:extLst>
        </c:ser>
        <c:ser>
          <c:idx val="1"/>
          <c:order val="2"/>
          <c:tx>
            <c:strRef>
              <c:f>国债!$J$5</c:f>
              <c:strCache>
                <c:ptCount val="1"/>
                <c:pt idx="0">
                  <c:v>上周</c:v>
                </c:pt>
              </c:strCache>
            </c:strRef>
          </c:tx>
          <c:spPr>
            <a:ln w="22225" cap="rnd" cmpd="sng" algn="ctr">
              <a:solidFill>
                <a:srgbClr val="ED7D31"/>
              </a:solidFill>
              <a:prstDash val="sysDash"/>
              <a:round/>
            </a:ln>
          </c:spPr>
          <c:marker>
            <c:symbol val="diamond"/>
            <c:size val="7"/>
            <c:spPr>
              <a:solidFill>
                <a:sysClr val="window" lastClr="FFFFFF"/>
              </a:solidFill>
              <a:ln w="15875" cap="flat" cmpd="sng" algn="ctr">
                <a:solidFill>
                  <a:srgbClr val="ED7D31"/>
                </a:solidFill>
                <a:prstDash val="solid"/>
                <a:round/>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2.1143000000000001</c:v>
                </c:pt>
                <c:pt idx="1">
                  <c:v>2.2795000000000001</c:v>
                </c:pt>
                <c:pt idx="2">
                  <c:v>2.5884999999999998</c:v>
                </c:pt>
                <c:pt idx="3">
                  <c:v>2.9870999999999999</c:v>
                </c:pt>
                <c:pt idx="4">
                  <c:v>3.1008</c:v>
                </c:pt>
                <c:pt idx="5">
                  <c:v>3.2082000000000002</c:v>
                </c:pt>
                <c:pt idx="6">
                  <c:v>3.1227999999999998</c:v>
                </c:pt>
              </c:numCache>
            </c:numRef>
          </c:val>
          <c:smooth val="0"/>
          <c:extLst>
            <c:ext xmlns:c16="http://schemas.microsoft.com/office/drawing/2014/chart" uri="{C3380CC4-5D6E-409C-BE32-E72D297353CC}">
              <c16:uniqueId val="{00000008-D335-44F4-AB3D-3D1E5CE0452C}"/>
            </c:ext>
          </c:extLst>
        </c:ser>
        <c:dLbls>
          <c:showLegendKey val="0"/>
          <c:showVal val="0"/>
          <c:showCatName val="0"/>
          <c:showSerName val="0"/>
          <c:showPercent val="0"/>
          <c:showBubbleSize val="0"/>
        </c:dLbls>
        <c:marker val="1"/>
        <c:smooth val="0"/>
        <c:axId val="361560288"/>
        <c:axId val="361560848"/>
      </c:lineChart>
      <c:dateAx>
        <c:axId val="365299616"/>
        <c:scaling>
          <c:orientation val="minMax"/>
        </c:scaling>
        <c:delete val="0"/>
        <c:axPos val="b"/>
        <c:numFmt formatCode="yy\-m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300176"/>
        <c:crosses val="autoZero"/>
        <c:auto val="0"/>
        <c:lblOffset val="0"/>
        <c:baseTimeUnit val="days"/>
      </c:dateAx>
      <c:valAx>
        <c:axId val="365300176"/>
        <c:scaling>
          <c:orientation val="minMax"/>
          <c:max val="1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299616"/>
        <c:crosses val="autoZero"/>
        <c:crossBetween val="between"/>
      </c:valAx>
      <c:dateAx>
        <c:axId val="361560288"/>
        <c:scaling>
          <c:orientation val="minMax"/>
        </c:scaling>
        <c:delete val="1"/>
        <c:axPos val="b"/>
        <c:numFmt formatCode="General" sourceLinked="1"/>
        <c:majorTickMark val="out"/>
        <c:minorTickMark val="none"/>
        <c:tickLblPos val="nextTo"/>
        <c:crossAx val="361560848"/>
        <c:crosses val="autoZero"/>
        <c:auto val="0"/>
        <c:lblOffset val="100"/>
        <c:baseTimeUnit val="days"/>
      </c:dateAx>
      <c:valAx>
        <c:axId val="361560848"/>
        <c:scaling>
          <c:orientation val="minMax"/>
        </c:scaling>
        <c:delete val="0"/>
        <c:axPos val="r"/>
        <c:numFmt formatCode="#,##0.0_);[Red]\(#,##0.0\)" sourceLinked="0"/>
        <c:majorTickMark val="out"/>
        <c:minorTickMark val="none"/>
        <c:tickLblPos val="nextTo"/>
        <c:spPr>
          <a:ln w="3175" cap="flat" cmpd="sng" algn="ctr">
            <a:solidFill>
              <a:sysClr val="windowText" lastClr="000000"/>
            </a:solidFill>
            <a:prstDash val="solid"/>
            <a:round/>
          </a:ln>
        </c:spPr>
        <c:txPr>
          <a:bodyPr rot="-6000000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1560288"/>
        <c:crosses val="max"/>
        <c:crossBetween val="between"/>
      </c:valAx>
    </c:plotArea>
    <c:legend>
      <c:legendPos val="r"/>
      <c:layout>
        <c:manualLayout>
          <c:xMode val="edge"/>
          <c:yMode val="edge"/>
          <c:x val="0.15225"/>
          <c:y val="2.3337707786526699E-3"/>
          <c:w val="0.690571084864392"/>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8932852143482104E-2"/>
          <c:y val="0.111965952172645"/>
          <c:w val="0.86463429571303596"/>
          <c:h val="0.81409120734908103"/>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-10.41</c:v>
                </c:pt>
                <c:pt idx="1">
                  <c:v>1.77999999999998</c:v>
                </c:pt>
                <c:pt idx="2">
                  <c:v>-3.85</c:v>
                </c:pt>
                <c:pt idx="3">
                  <c:v>-2.3299999999999899</c:v>
                </c:pt>
                <c:pt idx="4">
                  <c:v>-5.9600000000000097</c:v>
                </c:pt>
                <c:pt idx="5">
                  <c:v>5.3400000000000301</c:v>
                </c:pt>
                <c:pt idx="6">
                  <c:v>-0.98000000000002496</c:v>
                </c:pt>
              </c:numCache>
            </c:numRef>
          </c:val>
          <c:extLst>
            <c:ext xmlns:c16="http://schemas.microsoft.com/office/drawing/2014/chart" uri="{C3380CC4-5D6E-409C-BE32-E72D297353CC}">
              <c16:uniqueId val="{00000000-9279-44C6-8CE3-7BAF555E7D12}"/>
            </c:ext>
          </c:extLst>
        </c:ser>
        <c:dLbls>
          <c:showLegendKey val="0"/>
          <c:showVal val="0"/>
          <c:showCatName val="0"/>
          <c:showSerName val="0"/>
          <c:showPercent val="0"/>
          <c:showBubbleSize val="0"/>
        </c:dLbls>
        <c:gapWidth val="150"/>
        <c:axId val="365510848"/>
        <c:axId val="365511408"/>
      </c:barChart>
      <c:lineChart>
        <c:grouping val="standard"/>
        <c:varyColors val="0"/>
        <c:ser>
          <c:idx val="2"/>
          <c:order val="1"/>
          <c:tx>
            <c:strRef>
              <c:f>国开!$J$4</c:f>
              <c:strCache>
                <c:ptCount val="1"/>
                <c:pt idx="0">
                  <c:v>本周</c:v>
                </c:pt>
              </c:strCache>
            </c:strRef>
          </c:tx>
          <c:spPr>
            <a:ln w="22225" cap="rnd" cmpd="sng" algn="ctr">
              <a:solidFill>
                <a:srgbClr val="BF5711"/>
              </a:solidFill>
              <a:prstDash val="solid"/>
              <a:round/>
            </a:ln>
          </c:spPr>
          <c:marker>
            <c:symbol val="diamond"/>
            <c:size val="7"/>
            <c:spPr>
              <a:solidFill>
                <a:sysClr val="window" lastClr="FFFFFF"/>
              </a:solidFill>
              <a:ln w="15875" cap="flat" cmpd="sng" algn="ctr">
                <a:solidFill>
                  <a:srgbClr val="BF5711"/>
                </a:solidFill>
                <a:prstDash val="solid"/>
                <a:round/>
              </a:ln>
            </c:spPr>
          </c:marker>
          <c:dLbls>
            <c:dLbl>
              <c:idx val="0"/>
              <c:delete val="1"/>
              <c:extLst>
                <c:ext xmlns:c15="http://schemas.microsoft.com/office/drawing/2012/chart" uri="{CE6537A1-D6FC-4f65-9D91-7224C49458BB}"/>
                <c:ext xmlns:c16="http://schemas.microsoft.com/office/drawing/2014/chart" uri="{C3380CC4-5D6E-409C-BE32-E72D297353CC}">
                  <c16:uniqueId val="{00000001-9279-44C6-8CE3-7BAF555E7D12}"/>
                </c:ext>
              </c:extLst>
            </c:dLbl>
            <c:dLbl>
              <c:idx val="1"/>
              <c:delete val="1"/>
              <c:extLst>
                <c:ext xmlns:c15="http://schemas.microsoft.com/office/drawing/2012/chart" uri="{CE6537A1-D6FC-4f65-9D91-7224C49458BB}"/>
                <c:ext xmlns:c16="http://schemas.microsoft.com/office/drawing/2014/chart" uri="{C3380CC4-5D6E-409C-BE32-E72D297353CC}">
                  <c16:uniqueId val="{00000002-9279-44C6-8CE3-7BAF555E7D12}"/>
                </c:ext>
              </c:extLst>
            </c:dLbl>
            <c:dLbl>
              <c:idx val="2"/>
              <c:delete val="1"/>
              <c:extLst>
                <c:ext xmlns:c15="http://schemas.microsoft.com/office/drawing/2012/chart" uri="{CE6537A1-D6FC-4f65-9D91-7224C49458BB}"/>
                <c:ext xmlns:c16="http://schemas.microsoft.com/office/drawing/2014/chart" uri="{C3380CC4-5D6E-409C-BE32-E72D297353CC}">
                  <c16:uniqueId val="{00000003-9279-44C6-8CE3-7BAF555E7D12}"/>
                </c:ext>
              </c:extLst>
            </c:dLbl>
            <c:dLbl>
              <c:idx val="3"/>
              <c:delete val="1"/>
              <c:extLst>
                <c:ext xmlns:c15="http://schemas.microsoft.com/office/drawing/2012/chart" uri="{CE6537A1-D6FC-4f65-9D91-7224C49458BB}"/>
                <c:ext xmlns:c16="http://schemas.microsoft.com/office/drawing/2014/chart" uri="{C3380CC4-5D6E-409C-BE32-E72D297353CC}">
                  <c16:uniqueId val="{00000004-9279-44C6-8CE3-7BAF555E7D12}"/>
                </c:ext>
              </c:extLst>
            </c:dLbl>
            <c:dLbl>
              <c:idx val="4"/>
              <c:delete val="1"/>
              <c:extLst>
                <c:ext xmlns:c15="http://schemas.microsoft.com/office/drawing/2012/chart" uri="{CE6537A1-D6FC-4f65-9D91-7224C49458BB}"/>
                <c:ext xmlns:c16="http://schemas.microsoft.com/office/drawing/2014/chart" uri="{C3380CC4-5D6E-409C-BE32-E72D297353CC}">
                  <c16:uniqueId val="{00000005-9279-44C6-8CE3-7BAF555E7D12}"/>
                </c:ext>
              </c:extLst>
            </c:dLbl>
            <c:dLbl>
              <c:idx val="5"/>
              <c:delete val="1"/>
              <c:extLst>
                <c:ext xmlns:c15="http://schemas.microsoft.com/office/drawing/2012/chart" uri="{CE6537A1-D6FC-4f65-9D91-7224C49458BB}"/>
                <c:ext xmlns:c16="http://schemas.microsoft.com/office/drawing/2014/chart" uri="{C3380CC4-5D6E-409C-BE32-E72D297353CC}">
                  <c16:uniqueId val="{00000006-9279-44C6-8CE3-7BAF555E7D12}"/>
                </c:ext>
              </c:extLst>
            </c:dLbl>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2.0417999999999998</c:v>
                </c:pt>
                <c:pt idx="1">
                  <c:v>2.5453999999999999</c:v>
                </c:pt>
                <c:pt idx="2">
                  <c:v>2.8100999999999998</c:v>
                </c:pt>
                <c:pt idx="3">
                  <c:v>3.3113000000000001</c:v>
                </c:pt>
                <c:pt idx="4">
                  <c:v>3.4889999999999999</c:v>
                </c:pt>
                <c:pt idx="5">
                  <c:v>3.5790000000000002</c:v>
                </c:pt>
                <c:pt idx="6">
                  <c:v>3.6810999999999998</c:v>
                </c:pt>
              </c:numCache>
            </c:numRef>
          </c:val>
          <c:smooth val="0"/>
          <c:extLst>
            <c:ext xmlns:c16="http://schemas.microsoft.com/office/drawing/2014/chart" uri="{C3380CC4-5D6E-409C-BE32-E72D297353CC}">
              <c16:uniqueId val="{00000007-9279-44C6-8CE3-7BAF555E7D12}"/>
            </c:ext>
          </c:extLst>
        </c:ser>
        <c:ser>
          <c:idx val="1"/>
          <c:order val="2"/>
          <c:tx>
            <c:strRef>
              <c:f>国开!$J$5</c:f>
              <c:strCache>
                <c:ptCount val="1"/>
                <c:pt idx="0">
                  <c:v>上周</c:v>
                </c:pt>
              </c:strCache>
            </c:strRef>
          </c:tx>
          <c:spPr>
            <a:ln w="22225" cap="rnd" cmpd="sng" algn="ctr">
              <a:solidFill>
                <a:srgbClr val="ED7D31"/>
              </a:solidFill>
              <a:prstDash val="sysDash"/>
              <a:round/>
            </a:ln>
          </c:spPr>
          <c:marker>
            <c:symbol val="diamond"/>
            <c:size val="7"/>
            <c:spPr>
              <a:solidFill>
                <a:sysClr val="window" lastClr="FFFFFF"/>
              </a:solidFill>
              <a:ln w="15875" cap="flat" cmpd="sng" algn="ctr">
                <a:solidFill>
                  <a:srgbClr val="ED7D31"/>
                </a:solidFill>
                <a:prstDash val="solid"/>
                <a:round/>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2.1459000000000001</c:v>
                </c:pt>
                <c:pt idx="1">
                  <c:v>2.5276000000000001</c:v>
                </c:pt>
                <c:pt idx="2">
                  <c:v>2.8485999999999998</c:v>
                </c:pt>
                <c:pt idx="3">
                  <c:v>3.3346</c:v>
                </c:pt>
                <c:pt idx="4">
                  <c:v>3.5486</c:v>
                </c:pt>
                <c:pt idx="5">
                  <c:v>3.5255999999999998</c:v>
                </c:pt>
                <c:pt idx="6">
                  <c:v>3.6909000000000001</c:v>
                </c:pt>
              </c:numCache>
            </c:numRef>
          </c:val>
          <c:smooth val="0"/>
          <c:extLst>
            <c:ext xmlns:c16="http://schemas.microsoft.com/office/drawing/2014/chart" uri="{C3380CC4-5D6E-409C-BE32-E72D297353CC}">
              <c16:uniqueId val="{00000008-9279-44C6-8CE3-7BAF555E7D12}"/>
            </c:ext>
          </c:extLst>
        </c:ser>
        <c:dLbls>
          <c:showLegendKey val="0"/>
          <c:showVal val="0"/>
          <c:showCatName val="0"/>
          <c:showSerName val="0"/>
          <c:showPercent val="0"/>
          <c:showBubbleSize val="0"/>
        </c:dLbls>
        <c:marker val="1"/>
        <c:smooth val="0"/>
        <c:axId val="365512528"/>
        <c:axId val="365511968"/>
      </c:lineChart>
      <c:dateAx>
        <c:axId val="365510848"/>
        <c:scaling>
          <c:orientation val="minMax"/>
        </c:scaling>
        <c:delete val="0"/>
        <c:axPos val="b"/>
        <c:numFmt formatCode="yy\-m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511408"/>
        <c:crosses val="autoZero"/>
        <c:auto val="0"/>
        <c:lblOffset val="0"/>
        <c:baseTimeUnit val="days"/>
      </c:dateAx>
      <c:valAx>
        <c:axId val="365511408"/>
        <c:scaling>
          <c:orientation val="minMax"/>
          <c:max val="1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510848"/>
        <c:crosses val="autoZero"/>
        <c:crossBetween val="between"/>
      </c:valAx>
      <c:dateAx>
        <c:axId val="365512528"/>
        <c:scaling>
          <c:orientation val="minMax"/>
        </c:scaling>
        <c:delete val="1"/>
        <c:axPos val="b"/>
        <c:numFmt formatCode="General" sourceLinked="1"/>
        <c:majorTickMark val="out"/>
        <c:minorTickMark val="none"/>
        <c:tickLblPos val="nextTo"/>
        <c:crossAx val="365511968"/>
        <c:crosses val="autoZero"/>
        <c:auto val="0"/>
        <c:lblOffset val="100"/>
        <c:baseTimeUnit val="days"/>
      </c:dateAx>
      <c:valAx>
        <c:axId val="365511968"/>
        <c:scaling>
          <c:orientation val="minMax"/>
        </c:scaling>
        <c:delete val="0"/>
        <c:axPos val="r"/>
        <c:numFmt formatCode="#,##0.0_);[Red]\(#,##0.0\)" sourceLinked="0"/>
        <c:majorTickMark val="out"/>
        <c:minorTickMark val="none"/>
        <c:tickLblPos val="nextTo"/>
        <c:spPr>
          <a:ln w="3175" cap="flat" cmpd="sng" algn="ctr">
            <a:solidFill>
              <a:sysClr val="windowText" lastClr="000000"/>
            </a:solidFill>
            <a:prstDash val="solid"/>
            <a:round/>
          </a:ln>
        </c:spPr>
        <c:txPr>
          <a:bodyPr rot="-6000000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65512528"/>
        <c:crosses val="max"/>
        <c:crossBetween val="between"/>
      </c:valAx>
    </c:plotArea>
    <c:legend>
      <c:legendPos val="r"/>
      <c:layout>
        <c:manualLayout>
          <c:xMode val="edge"/>
          <c:yMode val="edge"/>
          <c:x val="0.15225"/>
          <c:y val="2.3337707786526699E-3"/>
          <c:w val="0.690571084864392"/>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0270669291338599"/>
          <c:w val="0.91250459317585297"/>
          <c:h val="0.81409120734908103"/>
        </c:manualLayout>
      </c:layout>
      <c:lineChart>
        <c:grouping val="standard"/>
        <c:varyColors val="0"/>
        <c:ser>
          <c:idx val="0"/>
          <c:order val="0"/>
          <c:tx>
            <c:strRef>
              <c:f>转债!$H$4</c:f>
              <c:strCache>
                <c:ptCount val="1"/>
                <c:pt idx="0">
                  <c:v>中证转债</c:v>
                </c:pt>
              </c:strCache>
            </c:strRef>
          </c:tx>
          <c:spPr>
            <a:ln w="25400" cap="rnd" cmpd="sng" algn="ctr">
              <a:solidFill>
                <a:srgbClr val="ED7D31">
                  <a:lumMod val="75000"/>
                </a:srgbClr>
              </a:solidFill>
              <a:prstDash val="solid"/>
              <a:round/>
            </a:ln>
          </c:spPr>
          <c:marker>
            <c:symbol val="none"/>
          </c:marker>
          <c:cat>
            <c:numRef>
              <c:f>转债!$G$5:$G$28</c:f>
              <c:numCache>
                <c:formatCode>yyyy\-mm\-dd</c:formatCode>
                <c:ptCount val="24"/>
                <c:pt idx="0">
                  <c:v>44085</c:v>
                </c:pt>
                <c:pt idx="1">
                  <c:v>44078</c:v>
                </c:pt>
                <c:pt idx="2">
                  <c:v>44071</c:v>
                </c:pt>
                <c:pt idx="3">
                  <c:v>44064</c:v>
                </c:pt>
                <c:pt idx="4">
                  <c:v>44057</c:v>
                </c:pt>
                <c:pt idx="5">
                  <c:v>44050</c:v>
                </c:pt>
                <c:pt idx="6">
                  <c:v>44043</c:v>
                </c:pt>
                <c:pt idx="7">
                  <c:v>44036</c:v>
                </c:pt>
                <c:pt idx="8">
                  <c:v>44029</c:v>
                </c:pt>
                <c:pt idx="9">
                  <c:v>44022</c:v>
                </c:pt>
                <c:pt idx="10">
                  <c:v>44015</c:v>
                </c:pt>
                <c:pt idx="11">
                  <c:v>44006</c:v>
                </c:pt>
                <c:pt idx="12">
                  <c:v>44001</c:v>
                </c:pt>
                <c:pt idx="13">
                  <c:v>43994</c:v>
                </c:pt>
                <c:pt idx="14">
                  <c:v>43987</c:v>
                </c:pt>
                <c:pt idx="15">
                  <c:v>43980</c:v>
                </c:pt>
                <c:pt idx="16">
                  <c:v>43973</c:v>
                </c:pt>
                <c:pt idx="17">
                  <c:v>43966</c:v>
                </c:pt>
                <c:pt idx="18">
                  <c:v>43959</c:v>
                </c:pt>
                <c:pt idx="19">
                  <c:v>43951</c:v>
                </c:pt>
                <c:pt idx="20">
                  <c:v>43945</c:v>
                </c:pt>
                <c:pt idx="21">
                  <c:v>43938</c:v>
                </c:pt>
                <c:pt idx="22">
                  <c:v>43931</c:v>
                </c:pt>
                <c:pt idx="23">
                  <c:v>43924</c:v>
                </c:pt>
              </c:numCache>
            </c:numRef>
          </c:cat>
          <c:val>
            <c:numRef>
              <c:f>转债!$H$5:$H$28</c:f>
              <c:numCache>
                <c:formatCode>General</c:formatCode>
                <c:ptCount val="24"/>
                <c:pt idx="0">
                  <c:v>3.8809653356032299</c:v>
                </c:pt>
                <c:pt idx="1">
                  <c:v>6.6445460381645303</c:v>
                </c:pt>
                <c:pt idx="2">
                  <c:v>6.3672320087192702</c:v>
                </c:pt>
                <c:pt idx="3">
                  <c:v>6.4793139304147704</c:v>
                </c:pt>
                <c:pt idx="4">
                  <c:v>6.36316775108883</c:v>
                </c:pt>
                <c:pt idx="5">
                  <c:v>6.8131841082947204</c:v>
                </c:pt>
                <c:pt idx="6">
                  <c:v>5.6495470785572497</c:v>
                </c:pt>
                <c:pt idx="7">
                  <c:v>3.3009785988214402</c:v>
                </c:pt>
                <c:pt idx="8">
                  <c:v>2.8418319727133898</c:v>
                </c:pt>
                <c:pt idx="9">
                  <c:v>6.5552182348929096</c:v>
                </c:pt>
                <c:pt idx="10">
                  <c:v>2.4643712006704499</c:v>
                </c:pt>
                <c:pt idx="11">
                  <c:v>-1.7289695418236399</c:v>
                </c:pt>
                <c:pt idx="12">
                  <c:v>-1.2225401438461001</c:v>
                </c:pt>
                <c:pt idx="13">
                  <c:v>-2.0763490830948999</c:v>
                </c:pt>
                <c:pt idx="14">
                  <c:v>-1.73692632788885</c:v>
                </c:pt>
                <c:pt idx="15">
                  <c:v>-2.1422358511600099</c:v>
                </c:pt>
                <c:pt idx="16">
                  <c:v>-2.9102088141154399</c:v>
                </c:pt>
                <c:pt idx="17">
                  <c:v>-0.45803038633630599</c:v>
                </c:pt>
                <c:pt idx="18">
                  <c:v>1.0994389320962701</c:v>
                </c:pt>
                <c:pt idx="19">
                  <c:v>1.1426288248027401</c:v>
                </c:pt>
                <c:pt idx="20">
                  <c:v>0.21672224491273701</c:v>
                </c:pt>
                <c:pt idx="21">
                  <c:v>0.41358114619507402</c:v>
                </c:pt>
                <c:pt idx="22">
                  <c:v>0.33381293481475899</c:v>
                </c:pt>
                <c:pt idx="23">
                  <c:v>0</c:v>
                </c:pt>
              </c:numCache>
            </c:numRef>
          </c:val>
          <c:smooth val="1"/>
          <c:extLst>
            <c:ext xmlns:c16="http://schemas.microsoft.com/office/drawing/2014/chart" uri="{C3380CC4-5D6E-409C-BE32-E72D297353CC}">
              <c16:uniqueId val="{00000000-6043-4051-9F4C-2B2C449509DC}"/>
            </c:ext>
          </c:extLst>
        </c:ser>
        <c:ser>
          <c:idx val="2"/>
          <c:order val="1"/>
          <c:tx>
            <c:strRef>
              <c:f>转债!$I$4</c:f>
              <c:strCache>
                <c:ptCount val="1"/>
                <c:pt idx="0">
                  <c:v>中债总净价</c:v>
                </c:pt>
              </c:strCache>
            </c:strRef>
          </c:tx>
          <c:spPr>
            <a:ln w="25400" cap="rnd" cmpd="sng" algn="ctr">
              <a:solidFill>
                <a:srgbClr val="ED7D31"/>
              </a:solidFill>
              <a:prstDash val="sysDash"/>
              <a:round/>
            </a:ln>
          </c:spPr>
          <c:marker>
            <c:symbol val="none"/>
          </c:marker>
          <c:cat>
            <c:numRef>
              <c:f>转债!$G$5:$G$28</c:f>
              <c:numCache>
                <c:formatCode>yyyy\-mm\-dd</c:formatCode>
                <c:ptCount val="24"/>
                <c:pt idx="0">
                  <c:v>44085</c:v>
                </c:pt>
                <c:pt idx="1">
                  <c:v>44078</c:v>
                </c:pt>
                <c:pt idx="2">
                  <c:v>44071</c:v>
                </c:pt>
                <c:pt idx="3">
                  <c:v>44064</c:v>
                </c:pt>
                <c:pt idx="4">
                  <c:v>44057</c:v>
                </c:pt>
                <c:pt idx="5">
                  <c:v>44050</c:v>
                </c:pt>
                <c:pt idx="6">
                  <c:v>44043</c:v>
                </c:pt>
                <c:pt idx="7">
                  <c:v>44036</c:v>
                </c:pt>
                <c:pt idx="8">
                  <c:v>44029</c:v>
                </c:pt>
                <c:pt idx="9">
                  <c:v>44022</c:v>
                </c:pt>
                <c:pt idx="10">
                  <c:v>44015</c:v>
                </c:pt>
                <c:pt idx="11">
                  <c:v>44006</c:v>
                </c:pt>
                <c:pt idx="12">
                  <c:v>44001</c:v>
                </c:pt>
                <c:pt idx="13">
                  <c:v>43994</c:v>
                </c:pt>
                <c:pt idx="14">
                  <c:v>43987</c:v>
                </c:pt>
                <c:pt idx="15">
                  <c:v>43980</c:v>
                </c:pt>
                <c:pt idx="16">
                  <c:v>43973</c:v>
                </c:pt>
                <c:pt idx="17">
                  <c:v>43966</c:v>
                </c:pt>
                <c:pt idx="18">
                  <c:v>43959</c:v>
                </c:pt>
                <c:pt idx="19">
                  <c:v>43951</c:v>
                </c:pt>
                <c:pt idx="20">
                  <c:v>43945</c:v>
                </c:pt>
                <c:pt idx="21">
                  <c:v>43938</c:v>
                </c:pt>
                <c:pt idx="22">
                  <c:v>43931</c:v>
                </c:pt>
                <c:pt idx="23">
                  <c:v>43924</c:v>
                </c:pt>
              </c:numCache>
            </c:numRef>
          </c:cat>
          <c:val>
            <c:numRef>
              <c:f>转债!$I$5:$I$28</c:f>
              <c:numCache>
                <c:formatCode>General</c:formatCode>
                <c:ptCount val="24"/>
                <c:pt idx="0">
                  <c:v>-3.7003150447225401</c:v>
                </c:pt>
                <c:pt idx="1">
                  <c:v>-3.7264796364602799</c:v>
                </c:pt>
                <c:pt idx="2">
                  <c:v>-3.4865552669405502</c:v>
                </c:pt>
                <c:pt idx="3">
                  <c:v>-3.0104090644677601</c:v>
                </c:pt>
                <c:pt idx="4">
                  <c:v>-2.78924421355243</c:v>
                </c:pt>
                <c:pt idx="5">
                  <c:v>-2.9911558743211102</c:v>
                </c:pt>
                <c:pt idx="6">
                  <c:v>-2.78513028403392</c:v>
                </c:pt>
                <c:pt idx="7">
                  <c:v>-2.2529523615189699</c:v>
                </c:pt>
                <c:pt idx="8">
                  <c:v>-2.8878139648160399</c:v>
                </c:pt>
                <c:pt idx="9">
                  <c:v>-3.1127636308883702</c:v>
                </c:pt>
                <c:pt idx="10">
                  <c:v>-1.9012113876860299</c:v>
                </c:pt>
                <c:pt idx="11">
                  <c:v>-1.9414456183770901</c:v>
                </c:pt>
                <c:pt idx="12">
                  <c:v>-1.8841797194793799</c:v>
                </c:pt>
                <c:pt idx="13">
                  <c:v>-1.3727360017377299</c:v>
                </c:pt>
                <c:pt idx="14">
                  <c:v>-1.83226192895573</c:v>
                </c:pt>
                <c:pt idx="15">
                  <c:v>-0.60515903217339695</c:v>
                </c:pt>
                <c:pt idx="16">
                  <c:v>0.14472804046132801</c:v>
                </c:pt>
                <c:pt idx="17">
                  <c:v>0.19458886622569799</c:v>
                </c:pt>
                <c:pt idx="18">
                  <c:v>0.61462107006597899</c:v>
                </c:pt>
                <c:pt idx="19">
                  <c:v>1.2135269293712201</c:v>
                </c:pt>
                <c:pt idx="20">
                  <c:v>1.2490712804111801</c:v>
                </c:pt>
                <c:pt idx="21">
                  <c:v>0.93855188035376602</c:v>
                </c:pt>
                <c:pt idx="22">
                  <c:v>0.82829856925759104</c:v>
                </c:pt>
                <c:pt idx="23">
                  <c:v>0</c:v>
                </c:pt>
              </c:numCache>
            </c:numRef>
          </c:val>
          <c:smooth val="1"/>
          <c:extLst>
            <c:ext xmlns:c16="http://schemas.microsoft.com/office/drawing/2014/chart" uri="{C3380CC4-5D6E-409C-BE32-E72D297353CC}">
              <c16:uniqueId val="{00000001-6043-4051-9F4C-2B2C449509DC}"/>
            </c:ext>
          </c:extLst>
        </c:ser>
        <c:ser>
          <c:idx val="1"/>
          <c:order val="2"/>
          <c:tx>
            <c:strRef>
              <c:f>转债!$J$4</c:f>
              <c:strCache>
                <c:ptCount val="1"/>
                <c:pt idx="0">
                  <c:v>沪深300</c:v>
                </c:pt>
              </c:strCache>
            </c:strRef>
          </c:tx>
          <c:spPr>
            <a:ln w="25400" cap="rnd" cmpd="sng" algn="ctr">
              <a:solidFill>
                <a:sysClr val="windowText" lastClr="000000">
                  <a:lumMod val="50000"/>
                  <a:lumOff val="50000"/>
                </a:sysClr>
              </a:solidFill>
              <a:prstDash val="sysDash"/>
              <a:round/>
            </a:ln>
          </c:spPr>
          <c:marker>
            <c:symbol val="none"/>
          </c:marker>
          <c:cat>
            <c:numRef>
              <c:f>转债!$G$5:$G$28</c:f>
              <c:numCache>
                <c:formatCode>yyyy\-mm\-dd</c:formatCode>
                <c:ptCount val="24"/>
                <c:pt idx="0">
                  <c:v>44085</c:v>
                </c:pt>
                <c:pt idx="1">
                  <c:v>44078</c:v>
                </c:pt>
                <c:pt idx="2">
                  <c:v>44071</c:v>
                </c:pt>
                <c:pt idx="3">
                  <c:v>44064</c:v>
                </c:pt>
                <c:pt idx="4">
                  <c:v>44057</c:v>
                </c:pt>
                <c:pt idx="5">
                  <c:v>44050</c:v>
                </c:pt>
                <c:pt idx="6">
                  <c:v>44043</c:v>
                </c:pt>
                <c:pt idx="7">
                  <c:v>44036</c:v>
                </c:pt>
                <c:pt idx="8">
                  <c:v>44029</c:v>
                </c:pt>
                <c:pt idx="9">
                  <c:v>44022</c:v>
                </c:pt>
                <c:pt idx="10">
                  <c:v>44015</c:v>
                </c:pt>
                <c:pt idx="11">
                  <c:v>44006</c:v>
                </c:pt>
                <c:pt idx="12">
                  <c:v>44001</c:v>
                </c:pt>
                <c:pt idx="13">
                  <c:v>43994</c:v>
                </c:pt>
                <c:pt idx="14">
                  <c:v>43987</c:v>
                </c:pt>
                <c:pt idx="15">
                  <c:v>43980</c:v>
                </c:pt>
                <c:pt idx="16">
                  <c:v>43973</c:v>
                </c:pt>
                <c:pt idx="17">
                  <c:v>43966</c:v>
                </c:pt>
                <c:pt idx="18">
                  <c:v>43959</c:v>
                </c:pt>
                <c:pt idx="19">
                  <c:v>43951</c:v>
                </c:pt>
                <c:pt idx="20">
                  <c:v>43945</c:v>
                </c:pt>
                <c:pt idx="21">
                  <c:v>43938</c:v>
                </c:pt>
                <c:pt idx="22">
                  <c:v>43931</c:v>
                </c:pt>
                <c:pt idx="23">
                  <c:v>43924</c:v>
                </c:pt>
              </c:numCache>
            </c:numRef>
          </c:cat>
          <c:val>
            <c:numRef>
              <c:f>转债!$J$5:$J$28</c:f>
              <c:numCache>
                <c:formatCode>General</c:formatCode>
                <c:ptCount val="24"/>
                <c:pt idx="0">
                  <c:v>24.6164977696032</c:v>
                </c:pt>
                <c:pt idx="1">
                  <c:v>28.465891703700802</c:v>
                </c:pt>
                <c:pt idx="2">
                  <c:v>30.460016315227101</c:v>
                </c:pt>
                <c:pt idx="3">
                  <c:v>27.082296777434301</c:v>
                </c:pt>
                <c:pt idx="4">
                  <c:v>26.699494074991499</c:v>
                </c:pt>
                <c:pt idx="5">
                  <c:v>26.788295748730999</c:v>
                </c:pt>
                <c:pt idx="6">
                  <c:v>26.441426834506299</c:v>
                </c:pt>
                <c:pt idx="7">
                  <c:v>21.339232869772299</c:v>
                </c:pt>
                <c:pt idx="8">
                  <c:v>22.392499789199</c:v>
                </c:pt>
                <c:pt idx="9">
                  <c:v>28.005759855271599</c:v>
                </c:pt>
                <c:pt idx="10">
                  <c:v>19.0233146270986</c:v>
                </c:pt>
                <c:pt idx="11">
                  <c:v>11.466365982307</c:v>
                </c:pt>
                <c:pt idx="12">
                  <c:v>10.3815927008655</c:v>
                </c:pt>
                <c:pt idx="13">
                  <c:v>7.8062903007884099</c:v>
                </c:pt>
                <c:pt idx="14">
                  <c:v>7.7569530452868998</c:v>
                </c:pt>
                <c:pt idx="15">
                  <c:v>4.1420915112909</c:v>
                </c:pt>
                <c:pt idx="16">
                  <c:v>2.98516518675995</c:v>
                </c:pt>
                <c:pt idx="17">
                  <c:v>5.3753263038696097</c:v>
                </c:pt>
                <c:pt idx="18">
                  <c:v>6.7435679717510899</c:v>
                </c:pt>
                <c:pt idx="19">
                  <c:v>5.3688979180135998</c:v>
                </c:pt>
                <c:pt idx="20">
                  <c:v>2.2555582040517201</c:v>
                </c:pt>
                <c:pt idx="21">
                  <c:v>3.4005218599724998</c:v>
                </c:pt>
                <c:pt idx="22">
                  <c:v>1.5070457882856001</c:v>
                </c:pt>
                <c:pt idx="23">
                  <c:v>0</c:v>
                </c:pt>
              </c:numCache>
            </c:numRef>
          </c:val>
          <c:smooth val="1"/>
          <c:extLst>
            <c:ext xmlns:c16="http://schemas.microsoft.com/office/drawing/2014/chart" uri="{C3380CC4-5D6E-409C-BE32-E72D297353CC}">
              <c16:uniqueId val="{00000002-6043-4051-9F4C-2B2C449509DC}"/>
            </c:ext>
          </c:extLst>
        </c:ser>
        <c:dLbls>
          <c:showLegendKey val="0"/>
          <c:showVal val="0"/>
          <c:showCatName val="0"/>
          <c:showSerName val="0"/>
          <c:showPercent val="0"/>
          <c:showBubbleSize val="0"/>
        </c:dLbls>
        <c:smooth val="0"/>
        <c:axId val="501158912"/>
        <c:axId val="501159472"/>
      </c:lineChart>
      <c:dateAx>
        <c:axId val="501158912"/>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6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501159472"/>
        <c:crosses val="autoZero"/>
        <c:auto val="0"/>
        <c:lblOffset val="0"/>
        <c:baseTimeUnit val="days"/>
        <c:majorUnit val="14"/>
        <c:majorTimeUnit val="days"/>
      </c:dateAx>
      <c:valAx>
        <c:axId val="501159472"/>
        <c:scaling>
          <c:orientation val="minMax"/>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6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501158912"/>
        <c:crosses val="autoZero"/>
        <c:crossBetween val="between"/>
      </c:valAx>
    </c:plotArea>
    <c:legend>
      <c:legendPos val="r"/>
      <c:layout>
        <c:manualLayout>
          <c:xMode val="edge"/>
          <c:yMode val="edge"/>
          <c:x val="9.9472222222222198E-2"/>
          <c:y val="2.3337707786526699E-3"/>
          <c:w val="0.86834886264217004"/>
          <c:h val="8.1219378827646599E-2"/>
        </c:manualLayout>
      </c:layout>
      <c:overlay val="0"/>
      <c:spPr>
        <a:noFill/>
        <a:ln w="3175">
          <a:noFill/>
          <a:prstDash val="solid"/>
        </a:ln>
      </c:spPr>
      <c:txPr>
        <a:bodyPr rot="0" spcFirstLastPara="0" vertOverflow="ellipsis" vert="horz" wrap="square" anchor="ctr" anchorCtr="1"/>
        <a:lstStyle/>
        <a:p>
          <a:pPr>
            <a:defRPr lang="zh-CN" sz="6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6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库存!$H$1</c:f>
              <c:strCache>
                <c:ptCount val="1"/>
                <c:pt idx="0">
                  <c:v>2018</c:v>
                </c:pt>
              </c:strCache>
            </c:strRef>
          </c:tx>
          <c:spPr>
            <a:ln w="28575" cap="rnd" cmpd="sng" algn="ctr">
              <a:solidFill>
                <a:srgbClr val="E7E6E6">
                  <a:lumMod val="75000"/>
                </a:srgbClr>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c:ext xmlns:c16="http://schemas.microsoft.com/office/drawing/2014/chart" uri="{C3380CC4-5D6E-409C-BE32-E72D297353CC}">
              <c16:uniqueId val="{00000000-798C-4BA5-AA0F-AFBFAE1B3DB4}"/>
            </c:ext>
          </c:extLst>
        </c:ser>
        <c:ser>
          <c:idx val="2"/>
          <c:order val="1"/>
          <c:tx>
            <c:strRef>
              <c:f>库存!$I$1</c:f>
              <c:strCache>
                <c:ptCount val="1"/>
                <c:pt idx="0">
                  <c:v>2019</c:v>
                </c:pt>
              </c:strCache>
            </c:strRef>
          </c:tx>
          <c:spPr>
            <a:ln w="28575" cap="rnd" cmpd="sng" algn="ctr">
              <a:solidFill>
                <a:srgbClr val="F8CBAD"/>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c:ext xmlns:c16="http://schemas.microsoft.com/office/drawing/2014/chart" uri="{C3380CC4-5D6E-409C-BE32-E72D297353CC}">
              <c16:uniqueId val="{00000001-798C-4BA5-AA0F-AFBFAE1B3DB4}"/>
            </c:ext>
          </c:extLst>
        </c:ser>
        <c:ser>
          <c:idx val="1"/>
          <c:order val="2"/>
          <c:tx>
            <c:strRef>
              <c:f>库存!$J$1</c:f>
              <c:strCache>
                <c:ptCount val="1"/>
                <c:pt idx="0">
                  <c:v>2020</c:v>
                </c:pt>
              </c:strCache>
            </c:strRef>
          </c:tx>
          <c:spPr>
            <a:ln w="28575" cap="rnd" cmpd="sng" algn="ctr">
              <a:solidFill>
                <a:srgbClr val="BF5711"/>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1562.48</c:v>
                </c:pt>
                <c:pt idx="213">
                  <c:v>#N/A</c:v>
                </c:pt>
                <c:pt idx="214">
                  <c:v>#N/A</c:v>
                </c:pt>
                <c:pt idx="215">
                  <c:v>#N/A</c:v>
                </c:pt>
                <c:pt idx="216">
                  <c:v>#N/A</c:v>
                </c:pt>
                <c:pt idx="217">
                  <c:v>#N/A</c:v>
                </c:pt>
                <c:pt idx="218">
                  <c:v>#N/A</c:v>
                </c:pt>
                <c:pt idx="219">
                  <c:v>1560.25</c:v>
                </c:pt>
                <c:pt idx="220">
                  <c:v>#N/A</c:v>
                </c:pt>
                <c:pt idx="221">
                  <c:v>#N/A</c:v>
                </c:pt>
                <c:pt idx="222">
                  <c:v>#N/A</c:v>
                </c:pt>
                <c:pt idx="223">
                  <c:v>#N/A</c:v>
                </c:pt>
                <c:pt idx="224">
                  <c:v>#N/A</c:v>
                </c:pt>
                <c:pt idx="225">
                  <c:v>#N/A</c:v>
                </c:pt>
                <c:pt idx="226">
                  <c:v>1541.62</c:v>
                </c:pt>
                <c:pt idx="227">
                  <c:v>#N/A</c:v>
                </c:pt>
                <c:pt idx="228">
                  <c:v>#N/A</c:v>
                </c:pt>
                <c:pt idx="229">
                  <c:v>#N/A</c:v>
                </c:pt>
                <c:pt idx="230">
                  <c:v>#N/A</c:v>
                </c:pt>
                <c:pt idx="231">
                  <c:v>#N/A</c:v>
                </c:pt>
                <c:pt idx="232">
                  <c:v>#N/A</c:v>
                </c:pt>
                <c:pt idx="233">
                  <c:v>1540.18</c:v>
                </c:pt>
                <c:pt idx="234">
                  <c:v>#N/A</c:v>
                </c:pt>
                <c:pt idx="235">
                  <c:v>#N/A</c:v>
                </c:pt>
                <c:pt idx="236">
                  <c:v>#N/A</c:v>
                </c:pt>
                <c:pt idx="237">
                  <c:v>#N/A</c:v>
                </c:pt>
                <c:pt idx="238">
                  <c:v>#N/A</c:v>
                </c:pt>
                <c:pt idx="239">
                  <c:v>#N/A</c:v>
                </c:pt>
                <c:pt idx="240">
                  <c:v>1549.58</c:v>
                </c:pt>
                <c:pt idx="241">
                  <c:v>#N/A</c:v>
                </c:pt>
                <c:pt idx="242">
                  <c:v>#N/A</c:v>
                </c:pt>
                <c:pt idx="243">
                  <c:v>#N/A</c:v>
                </c:pt>
                <c:pt idx="244">
                  <c:v>#N/A</c:v>
                </c:pt>
                <c:pt idx="245">
                  <c:v>#N/A</c:v>
                </c:pt>
                <c:pt idx="246">
                  <c:v>#N/A</c:v>
                </c:pt>
                <c:pt idx="247">
                  <c:v>1570.51</c:v>
                </c:pt>
                <c:pt idx="248">
                  <c:v>#N/A</c:v>
                </c:pt>
                <c:pt idx="249">
                  <c:v>#N/A</c:v>
                </c:pt>
                <c:pt idx="250">
                  <c:v>#N/A</c:v>
                </c:pt>
                <c:pt idx="251">
                  <c:v>#N/A</c:v>
                </c:pt>
                <c:pt idx="252">
                  <c:v>#N/A</c:v>
                </c:pt>
                <c:pt idx="253">
                  <c:v>#N/A</c:v>
                </c:pt>
                <c:pt idx="254">
                  <c:v>1575.1</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c:ext xmlns:c16="http://schemas.microsoft.com/office/drawing/2014/chart" uri="{C3380CC4-5D6E-409C-BE32-E72D297353CC}">
              <c16:uniqueId val="{00000002-798C-4BA5-AA0F-AFBFAE1B3DB4}"/>
            </c:ext>
          </c:extLst>
        </c:ser>
        <c:dLbls>
          <c:showLegendKey val="0"/>
          <c:showVal val="0"/>
          <c:showCatName val="0"/>
          <c:showSerName val="0"/>
          <c:showPercent val="0"/>
          <c:showBubbleSize val="0"/>
        </c:dLbls>
        <c:smooth val="0"/>
        <c:axId val="498879232"/>
        <c:axId val="498879792"/>
      </c:lineChart>
      <c:dateAx>
        <c:axId val="498879232"/>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498879792"/>
        <c:crosses val="autoZero"/>
        <c:auto val="0"/>
        <c:lblOffset val="0"/>
        <c:baseTimeUnit val="days"/>
        <c:majorUnit val="1"/>
        <c:majorTimeUnit val="months"/>
      </c:dateAx>
      <c:valAx>
        <c:axId val="498879792"/>
        <c:scaling>
          <c:orientation val="minMax"/>
          <c:min val="50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498879232"/>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水泥!$H$1</c:f>
              <c:strCache>
                <c:ptCount val="1"/>
                <c:pt idx="0">
                  <c:v>2018</c:v>
                </c:pt>
              </c:strCache>
            </c:strRef>
          </c:tx>
          <c:spPr>
            <a:ln w="28575" cap="rnd" cmpd="sng" algn="ctr">
              <a:solidFill>
                <a:srgbClr val="E7E6E6">
                  <a:lumMod val="75000"/>
                </a:srgbClr>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c:ext xmlns:c16="http://schemas.microsoft.com/office/drawing/2014/chart" uri="{C3380CC4-5D6E-409C-BE32-E72D297353CC}">
              <c16:uniqueId val="{00000000-33EB-46D5-8705-DA271F765374}"/>
            </c:ext>
          </c:extLst>
        </c:ser>
        <c:ser>
          <c:idx val="2"/>
          <c:order val="1"/>
          <c:tx>
            <c:strRef>
              <c:f>水泥!$I$1</c:f>
              <c:strCache>
                <c:ptCount val="1"/>
                <c:pt idx="0">
                  <c:v>2019</c:v>
                </c:pt>
              </c:strCache>
            </c:strRef>
          </c:tx>
          <c:spPr>
            <a:ln w="28575" cap="rnd" cmpd="sng" algn="ctr">
              <a:solidFill>
                <a:srgbClr val="F8CBAD"/>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c:ext xmlns:c16="http://schemas.microsoft.com/office/drawing/2014/chart" uri="{C3380CC4-5D6E-409C-BE32-E72D297353CC}">
              <c16:uniqueId val="{00000001-33EB-46D5-8705-DA271F765374}"/>
            </c:ext>
          </c:extLst>
        </c:ser>
        <c:ser>
          <c:idx val="1"/>
          <c:order val="2"/>
          <c:tx>
            <c:strRef>
              <c:f>水泥!$J$1</c:f>
              <c:strCache>
                <c:ptCount val="1"/>
                <c:pt idx="0">
                  <c:v>2020</c:v>
                </c:pt>
              </c:strCache>
            </c:strRef>
          </c:tx>
          <c:spPr>
            <a:ln w="28575" cap="rnd" cmpd="sng" algn="ctr">
              <a:solidFill>
                <a:srgbClr val="BF5711"/>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c:ext xmlns:c16="http://schemas.microsoft.com/office/drawing/2014/chart" uri="{C3380CC4-5D6E-409C-BE32-E72D297353CC}">
              <c16:uniqueId val="{00000002-33EB-46D5-8705-DA271F765374}"/>
            </c:ext>
          </c:extLst>
        </c:ser>
        <c:dLbls>
          <c:showLegendKey val="0"/>
          <c:showVal val="0"/>
          <c:showCatName val="0"/>
          <c:showSerName val="0"/>
          <c:showPercent val="0"/>
          <c:showBubbleSize val="0"/>
        </c:dLbls>
        <c:smooth val="0"/>
        <c:axId val="502561104"/>
        <c:axId val="502561664"/>
      </c:lineChart>
      <c:dateAx>
        <c:axId val="502561104"/>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502561664"/>
        <c:crosses val="autoZero"/>
        <c:auto val="0"/>
        <c:lblOffset val="0"/>
        <c:baseTimeUnit val="days"/>
        <c:majorUnit val="1"/>
        <c:majorTimeUnit val="months"/>
      </c:dateAx>
      <c:valAx>
        <c:axId val="502561664"/>
        <c:scaling>
          <c:orientation val="minMax"/>
          <c:max val="170"/>
          <c:min val="9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502561104"/>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南华!$H$1</c:f>
              <c:strCache>
                <c:ptCount val="1"/>
                <c:pt idx="0">
                  <c:v>2018</c:v>
                </c:pt>
              </c:strCache>
            </c:strRef>
          </c:tx>
          <c:spPr>
            <a:ln w="28575" cap="rnd" cmpd="sng" algn="ctr">
              <a:solidFill>
                <a:srgbClr val="E7E6E6">
                  <a:lumMod val="75000"/>
                </a:srgbClr>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c:ext xmlns:c16="http://schemas.microsoft.com/office/drawing/2014/chart" uri="{C3380CC4-5D6E-409C-BE32-E72D297353CC}">
              <c16:uniqueId val="{00000000-90B0-4009-9EF1-E22FCBBC6A6A}"/>
            </c:ext>
          </c:extLst>
        </c:ser>
        <c:ser>
          <c:idx val="2"/>
          <c:order val="1"/>
          <c:tx>
            <c:strRef>
              <c:f>南华!$I$1</c:f>
              <c:strCache>
                <c:ptCount val="1"/>
                <c:pt idx="0">
                  <c:v>2019</c:v>
                </c:pt>
              </c:strCache>
            </c:strRef>
          </c:tx>
          <c:spPr>
            <a:ln w="28575" cap="rnd" cmpd="sng" algn="ctr">
              <a:solidFill>
                <a:srgbClr val="F8CBAD"/>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c:ext xmlns:c16="http://schemas.microsoft.com/office/drawing/2014/chart" uri="{C3380CC4-5D6E-409C-BE32-E72D297353CC}">
              <c16:uniqueId val="{00000001-90B0-4009-9EF1-E22FCBBC6A6A}"/>
            </c:ext>
          </c:extLst>
        </c:ser>
        <c:ser>
          <c:idx val="1"/>
          <c:order val="2"/>
          <c:tx>
            <c:strRef>
              <c:f>南华!$J$1</c:f>
              <c:strCache>
                <c:ptCount val="1"/>
                <c:pt idx="0">
                  <c:v>2020</c:v>
                </c:pt>
              </c:strCache>
            </c:strRef>
          </c:tx>
          <c:spPr>
            <a:ln w="28575" cap="rnd" cmpd="sng" algn="ctr">
              <a:solidFill>
                <a:srgbClr val="BF5711"/>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c:ext xmlns:c16="http://schemas.microsoft.com/office/drawing/2014/chart" uri="{C3380CC4-5D6E-409C-BE32-E72D297353CC}">
              <c16:uniqueId val="{00000002-90B0-4009-9EF1-E22FCBBC6A6A}"/>
            </c:ext>
          </c:extLst>
        </c:ser>
        <c:dLbls>
          <c:showLegendKey val="0"/>
          <c:showVal val="0"/>
          <c:showCatName val="0"/>
          <c:showSerName val="0"/>
          <c:showPercent val="0"/>
          <c:showBubbleSize val="0"/>
        </c:dLbls>
        <c:smooth val="0"/>
        <c:axId val="504840192"/>
        <c:axId val="504840752"/>
      </c:lineChart>
      <c:dateAx>
        <c:axId val="504840192"/>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504840752"/>
        <c:crosses val="autoZero"/>
        <c:auto val="0"/>
        <c:lblOffset val="0"/>
        <c:baseTimeUnit val="days"/>
        <c:majorUnit val="1"/>
        <c:majorTimeUnit val="months"/>
      </c:dateAx>
      <c:valAx>
        <c:axId val="504840752"/>
        <c:scaling>
          <c:orientation val="minMax"/>
          <c:min val="170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504840192"/>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原油!$I$1</c:f>
              <c:strCache>
                <c:ptCount val="1"/>
                <c:pt idx="0">
                  <c:v>2019</c:v>
                </c:pt>
              </c:strCache>
            </c:strRef>
          </c:tx>
          <c:spPr>
            <a:ln w="28575" cap="rnd" cmpd="sng" algn="ctr">
              <a:solidFill>
                <a:srgbClr val="F8CBAD"/>
              </a:solidFill>
              <a:prstDash val="solid"/>
              <a:roun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c:ext xmlns:c16="http://schemas.microsoft.com/office/drawing/2014/chart" uri="{C3380CC4-5D6E-409C-BE32-E72D297353CC}">
              <c16:uniqueId val="{00000000-26E6-413D-8F16-5D3F2B876211}"/>
            </c:ext>
          </c:extLst>
        </c:ser>
        <c:ser>
          <c:idx val="2"/>
          <c:order val="1"/>
          <c:tx>
            <c:strRef>
              <c:f>原油!$J$1</c:f>
              <c:strCache>
                <c:ptCount val="1"/>
                <c:pt idx="0">
                  <c:v>2020</c:v>
                </c:pt>
              </c:strCache>
            </c:strRef>
          </c:tx>
          <c:spPr>
            <a:ln w="28575" cap="rnd" cmpd="sng" algn="ctr">
              <a:solidFill>
                <a:srgbClr val="BF5711"/>
              </a:solidFill>
              <a:prstDash val="solid"/>
              <a:roun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40.270000000000003</c:v>
                </c:pt>
                <c:pt idx="214">
                  <c:v>#N/A</c:v>
                </c:pt>
                <c:pt idx="215">
                  <c:v>#N/A</c:v>
                </c:pt>
                <c:pt idx="216">
                  <c:v>#N/A</c:v>
                </c:pt>
                <c:pt idx="217">
                  <c:v>#N/A</c:v>
                </c:pt>
                <c:pt idx="218">
                  <c:v>#N/A</c:v>
                </c:pt>
                <c:pt idx="219">
                  <c:v>#N/A</c:v>
                </c:pt>
                <c:pt idx="220">
                  <c:v>41.22</c:v>
                </c:pt>
                <c:pt idx="221">
                  <c:v>#N/A</c:v>
                </c:pt>
                <c:pt idx="222">
                  <c:v>#N/A</c:v>
                </c:pt>
                <c:pt idx="223">
                  <c:v>#N/A</c:v>
                </c:pt>
                <c:pt idx="224">
                  <c:v>#N/A</c:v>
                </c:pt>
                <c:pt idx="225">
                  <c:v>#N/A</c:v>
                </c:pt>
                <c:pt idx="226">
                  <c:v>#N/A</c:v>
                </c:pt>
                <c:pt idx="227">
                  <c:v>42.01</c:v>
                </c:pt>
                <c:pt idx="228">
                  <c:v>#N/A</c:v>
                </c:pt>
                <c:pt idx="229">
                  <c:v>#N/A</c:v>
                </c:pt>
                <c:pt idx="230">
                  <c:v>#N/A</c:v>
                </c:pt>
                <c:pt idx="231">
                  <c:v>#N/A</c:v>
                </c:pt>
                <c:pt idx="232">
                  <c:v>#N/A</c:v>
                </c:pt>
                <c:pt idx="233">
                  <c:v>#N/A</c:v>
                </c:pt>
                <c:pt idx="234">
                  <c:v>42.34</c:v>
                </c:pt>
                <c:pt idx="235">
                  <c:v>#N/A</c:v>
                </c:pt>
                <c:pt idx="236">
                  <c:v>#N/A</c:v>
                </c:pt>
                <c:pt idx="237">
                  <c:v>#N/A</c:v>
                </c:pt>
                <c:pt idx="238">
                  <c:v>#N/A</c:v>
                </c:pt>
                <c:pt idx="239">
                  <c:v>#N/A</c:v>
                </c:pt>
                <c:pt idx="240">
                  <c:v>#N/A</c:v>
                </c:pt>
                <c:pt idx="241">
                  <c:v>42.97</c:v>
                </c:pt>
                <c:pt idx="242">
                  <c:v>#N/A</c:v>
                </c:pt>
                <c:pt idx="243">
                  <c:v>#N/A</c:v>
                </c:pt>
                <c:pt idx="244">
                  <c:v>#N/A</c:v>
                </c:pt>
                <c:pt idx="245">
                  <c:v>#N/A</c:v>
                </c:pt>
                <c:pt idx="246">
                  <c:v>#N/A</c:v>
                </c:pt>
                <c:pt idx="247">
                  <c:v>#N/A</c:v>
                </c:pt>
                <c:pt idx="248">
                  <c:v>39.770000000000003</c:v>
                </c:pt>
                <c:pt idx="249">
                  <c:v>#N/A</c:v>
                </c:pt>
                <c:pt idx="250">
                  <c:v>#N/A</c:v>
                </c:pt>
                <c:pt idx="251">
                  <c:v>#N/A</c:v>
                </c:pt>
                <c:pt idx="252">
                  <c:v>#N/A</c:v>
                </c:pt>
                <c:pt idx="253">
                  <c:v>#N/A</c:v>
                </c:pt>
                <c:pt idx="254">
                  <c:v>#N/A</c:v>
                </c:pt>
                <c:pt idx="255">
                  <c:v>37.33</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c:ext xmlns:c16="http://schemas.microsoft.com/office/drawing/2014/chart" uri="{C3380CC4-5D6E-409C-BE32-E72D297353CC}">
              <c16:uniqueId val="{00000001-26E6-413D-8F16-5D3F2B876211}"/>
            </c:ext>
          </c:extLst>
        </c:ser>
        <c:dLbls>
          <c:showLegendKey val="0"/>
          <c:showVal val="0"/>
          <c:showCatName val="0"/>
          <c:showSerName val="0"/>
          <c:showPercent val="0"/>
          <c:showBubbleSize val="0"/>
        </c:dLbls>
        <c:smooth val="0"/>
        <c:axId val="506963792"/>
        <c:axId val="506964352"/>
      </c:lineChart>
      <c:dateAx>
        <c:axId val="506963792"/>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506964352"/>
        <c:crosses val="autoZero"/>
        <c:auto val="0"/>
        <c:lblOffset val="0"/>
        <c:baseTimeUnit val="days"/>
        <c:majorUnit val="1"/>
        <c:majorTimeUnit val="months"/>
      </c:dateAx>
      <c:valAx>
        <c:axId val="506964352"/>
        <c:scaling>
          <c:orientation val="minMax"/>
          <c:min val="15"/>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506963792"/>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2" name="矩形 1"/>
        <cdr:cNvSpPr/>
      </cdr:nvSpPr>
      <cdr:spPr>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3" name="矩形 2"/>
        <cdr:cNvSpPr/>
      </cdr:nvSpPr>
      <cdr:spPr>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horz" wrap="square" lIns="0" tIns="0" rIns="0" bIns="0" anchor="t" anchorCtr="0" upright="1">
          <a:norm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3" name="矩形 2"/>
        <cdr:cNvSpPr/>
      </cdr:nvSpPr>
      <cdr:spPr>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horz" wrap="square" lIns="0" tIns="0" rIns="0" bIns="0" anchor="t" anchorCtr="0" upright="1">
          <a:norm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2" name="矩形 1"/>
        <cdr:cNvSpPr/>
      </cdr:nvSpPr>
      <cdr:spPr>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美元</a:t>
          </a:r>
          <a:r>
            <a:rPr lang="en-US" altLang="zh-CN" sz="700" b="0" i="0" u="none" strike="noStrike" baseline="0">
              <a:solidFill>
                <a:srgbClr val="000000"/>
              </a:solidFill>
              <a:latin typeface="楷体" panose="02010609060101010101" pitchFamily="3" charset="-122"/>
              <a:ea typeface="楷体" panose="02010609060101010101" pitchFamily="3" charset="-122"/>
            </a:rPr>
            <a:t>/</a:t>
          </a:r>
          <a:r>
            <a:rPr lang="zh-CN" altLang="en-US" sz="700" b="0" i="0" u="none" strike="noStrike" baseline="0">
              <a:solidFill>
                <a:srgbClr val="000000"/>
              </a:solidFill>
              <a:latin typeface="楷体" panose="02010609060101010101" pitchFamily="3" charset="-122"/>
              <a:ea typeface="楷体" panose="02010609060101010101" pitchFamily="3"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053BF1-995C-4850-BB36-A11A54789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6</Pages>
  <Words>659</Words>
  <Characters>3759</Characters>
  <Application>Microsoft Office Word</Application>
  <DocSecurity>0</DocSecurity>
  <Lines>31</Lines>
  <Paragraphs>8</Paragraphs>
  <ScaleCrop>false</ScaleCrop>
  <Company>Microsoft</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Satro</dc:creator>
  <cp:lastModifiedBy>Lenovo</cp:lastModifiedBy>
  <cp:revision>13</cp:revision>
  <cp:lastPrinted>2020-08-23T13:04:00Z</cp:lastPrinted>
  <dcterms:created xsi:type="dcterms:W3CDTF">2020-09-13T11:05:00Z</dcterms:created>
  <dcterms:modified xsi:type="dcterms:W3CDTF">2020-09-14T03:06:00Z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