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drawings/drawing6.xml" ContentType="application/vnd.openxmlformats-officedocument.drawingml.chartshapes+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D11634" w:rsidRDefault="008B0517">
      <w:pPr>
        <w:spacing w:beforeLines="100" w:before="312"/>
        <w:jc w:val="center"/>
        <w:rPr>
          <w:rFonts w:ascii="楷体" w:eastAsia="楷体" w:hAnsi="楷体"/>
          <w:b/>
          <w:sz w:val="44"/>
          <w:szCs w:val="44"/>
        </w:rPr>
      </w:pPr>
      <w:r>
        <w:rPr>
          <w:rFonts w:ascii="楷体" w:eastAsia="楷体" w:hAnsi="楷体" w:hint="eastAsia"/>
          <w:b/>
          <w:sz w:val="44"/>
          <w:szCs w:val="44"/>
        </w:rPr>
        <w:t>富</w:t>
      </w:r>
      <w:proofErr w:type="gramStart"/>
      <w:r>
        <w:rPr>
          <w:rFonts w:ascii="楷体" w:eastAsia="楷体" w:hAnsi="楷体" w:hint="eastAsia"/>
          <w:b/>
          <w:sz w:val="44"/>
          <w:szCs w:val="44"/>
        </w:rPr>
        <w:t>荣基金</w:t>
      </w:r>
      <w:proofErr w:type="gramEnd"/>
      <w:r>
        <w:rPr>
          <w:rFonts w:ascii="楷体" w:eastAsia="楷体" w:hAnsi="楷体" w:hint="eastAsia"/>
          <w:b/>
          <w:sz w:val="44"/>
          <w:szCs w:val="44"/>
        </w:rPr>
        <w:t>固定收益周报</w:t>
      </w:r>
    </w:p>
    <w:p w:rsidR="00D11634" w:rsidRDefault="008B0517">
      <w:pPr>
        <w:widowControl/>
        <w:jc w:val="center"/>
        <w:rPr>
          <w:rFonts w:ascii="楷体" w:eastAsia="楷体" w:hAnsi="楷体"/>
          <w:sz w:val="28"/>
          <w:szCs w:val="28"/>
        </w:rPr>
      </w:pPr>
      <w:r>
        <w:rPr>
          <w:rFonts w:ascii="楷体" w:eastAsia="楷体" w:hAnsi="楷体" w:hint="eastAsia"/>
          <w:sz w:val="28"/>
          <w:szCs w:val="28"/>
        </w:rPr>
        <w:t>——经济</w:t>
      </w:r>
      <w:proofErr w:type="gramStart"/>
      <w:r>
        <w:rPr>
          <w:rFonts w:ascii="楷体" w:eastAsia="楷体" w:hAnsi="楷体" w:hint="eastAsia"/>
          <w:sz w:val="28"/>
          <w:szCs w:val="28"/>
        </w:rPr>
        <w:t>稳资金松</w:t>
      </w:r>
      <w:proofErr w:type="gramEnd"/>
      <w:r>
        <w:rPr>
          <w:rFonts w:ascii="楷体" w:eastAsia="楷体" w:hAnsi="楷体" w:hint="eastAsia"/>
          <w:sz w:val="28"/>
          <w:szCs w:val="28"/>
        </w:rPr>
        <w:t>，债市延续反弹</w:t>
      </w:r>
    </w:p>
    <w:p w:rsidR="00D11634" w:rsidRDefault="008B0517">
      <w:pPr>
        <w:tabs>
          <w:tab w:val="center" w:pos="4873"/>
          <w:tab w:val="left" w:pos="8920"/>
        </w:tabs>
        <w:spacing w:afterLines="50" w:after="156"/>
        <w:jc w:val="center"/>
        <w:rPr>
          <w:rFonts w:ascii="楷体" w:eastAsia="楷体" w:hAnsi="楷体"/>
          <w:sz w:val="28"/>
          <w:szCs w:val="28"/>
        </w:rPr>
      </w:pPr>
      <w:r>
        <w:rPr>
          <w:rFonts w:ascii="楷体" w:eastAsia="楷体" w:hAnsi="楷体"/>
          <w:sz w:val="28"/>
          <w:szCs w:val="28"/>
        </w:rPr>
        <w:t>2020年9月18</w:t>
      </w:r>
      <w:r>
        <w:rPr>
          <w:rFonts w:ascii="楷体" w:eastAsia="楷体" w:hAnsi="楷体" w:hint="eastAsia"/>
          <w:sz w:val="28"/>
          <w:szCs w:val="28"/>
        </w:rPr>
        <w:t>日</w:t>
      </w:r>
    </w:p>
    <w:p w:rsidR="00D11634" w:rsidRDefault="008B0517">
      <w:pPr>
        <w:pStyle w:val="Header1"/>
        <w:spacing w:before="240"/>
        <w:rPr>
          <w:rFonts w:ascii="Arial Narrow" w:hAnsi="Arial Narrow"/>
          <w:b w:val="0"/>
          <w:smallCaps w:val="0"/>
          <w:color w:val="auto"/>
          <w:sz w:val="23"/>
          <w:szCs w:val="23"/>
          <w:lang w:eastAsia="zh-TW"/>
        </w:rPr>
      </w:pPr>
      <w:r>
        <w:rPr>
          <w:rFonts w:hint="eastAsia"/>
          <w:color w:val="C45911" w:themeColor="accent2" w:themeShade="BF"/>
        </w:rPr>
        <w:t>一、本周关注：</w:t>
      </w:r>
      <w:r>
        <w:rPr>
          <w:color w:val="C45911" w:themeColor="accent2" w:themeShade="BF"/>
        </w:rPr>
        <w:t xml:space="preserve"> </w:t>
      </w:r>
    </w:p>
    <w:p w:rsidR="00D11634" w:rsidRDefault="008B0517">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本周公布8月经济数据，社会消费品零售总额增速年内首次转正。居民生活逐步恢复，市场销售持续改善。8月份，社会消费品零售总额同比名义增长0.5%，为年内首次正增长，市场销售规模超过上年同月水平。投资商，1-8月全国固定资产投资同比下降0.3%，降幅比1-7月份、上半年和一季度分别收窄1.3%、2.8%和15.8%。总体来看，生产端在经济重启以来贡献明显，投资数据稳步回升，地产投资月度同比虽有小幅回落，但基建修复仍是大概率事件。经济的修复的后续动力主要集中在居民消费上。</w:t>
      </w:r>
    </w:p>
    <w:p w:rsidR="00D11634" w:rsidRDefault="008B0517">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居民消费与可支配收入直接相关。疫情发生后，居民收入增速下滑程度明显小于居民消费增速，保持一定惯性。而在经济重启正常化后，居民可支配收入增速稳定修复，截止6月底，城镇居民人均可支配收入累计</w:t>
      </w:r>
      <w:proofErr w:type="gramStart"/>
      <w:r>
        <w:rPr>
          <w:rFonts w:ascii="华文楷体" w:hAnsi="华文楷体" w:hint="eastAsia"/>
          <w:bCs/>
          <w:sz w:val="24"/>
          <w:szCs w:val="24"/>
          <w:lang w:eastAsia="zh-CN"/>
        </w:rPr>
        <w:t>同比回升</w:t>
      </w:r>
      <w:proofErr w:type="gramEnd"/>
      <w:r>
        <w:rPr>
          <w:rFonts w:ascii="华文楷体" w:hAnsi="华文楷体" w:hint="eastAsia"/>
          <w:bCs/>
          <w:sz w:val="24"/>
          <w:szCs w:val="24"/>
          <w:lang w:eastAsia="zh-CN"/>
        </w:rPr>
        <w:t>至1.5%，中位数累计同比达到0.4%，显示居民收入水平相对稳定。收入和消费增速差值，一定程度上是由于预防性储蓄导致的。而随着疫苗的研发和推出，国内严防控持续，居民的边际消费倾向回升是大概率事件，修复至疫情前水平可期。</w:t>
      </w:r>
    </w:p>
    <w:tbl>
      <w:tblPr>
        <w:tblW w:w="9881" w:type="dxa"/>
        <w:jc w:val="center"/>
        <w:tblCellMar>
          <w:left w:w="0" w:type="dxa"/>
          <w:right w:w="0" w:type="dxa"/>
        </w:tblCellMar>
        <w:tblLook w:val="04A0" w:firstRow="1" w:lastRow="0" w:firstColumn="1" w:lastColumn="0" w:noHBand="0" w:noVBand="1"/>
      </w:tblPr>
      <w:tblGrid>
        <w:gridCol w:w="9881"/>
      </w:tblGrid>
      <w:tr w:rsidR="00D11634">
        <w:trPr>
          <w:trHeight w:val="269"/>
          <w:jc w:val="center"/>
        </w:trPr>
        <w:tc>
          <w:tcPr>
            <w:tcW w:w="9881" w:type="dxa"/>
            <w:vAlign w:val="center"/>
          </w:tcPr>
          <w:p w:rsidR="00D11634" w:rsidRDefault="008B0517">
            <w:pPr>
              <w:pStyle w:val="ChartHeading"/>
              <w:jc w:val="both"/>
              <w:rPr>
                <w:color w:val="FF0000"/>
              </w:rPr>
            </w:pPr>
            <w:r>
              <w:rPr>
                <w:rFonts w:hint="eastAsia"/>
                <w:color w:val="FF0000"/>
              </w:rPr>
              <w:t>图表</w:t>
            </w:r>
            <w:r>
              <w:rPr>
                <w:color w:val="FF0000"/>
              </w:rPr>
              <w:t xml:space="preserve">. </w:t>
            </w:r>
            <w:r>
              <w:rPr>
                <w:rFonts w:hint="eastAsia"/>
                <w:color w:val="FF0000"/>
              </w:rPr>
              <w:t>居民消费和收入</w:t>
            </w:r>
          </w:p>
        </w:tc>
      </w:tr>
      <w:tr w:rsidR="00D11634">
        <w:tblPrEx>
          <w:tblCellMar>
            <w:left w:w="108" w:type="dxa"/>
            <w:right w:w="108" w:type="dxa"/>
          </w:tblCellMar>
        </w:tblPrEx>
        <w:trPr>
          <w:trHeight w:val="391"/>
          <w:jc w:val="center"/>
        </w:trPr>
        <w:tc>
          <w:tcPr>
            <w:tcW w:w="9881" w:type="dxa"/>
            <w:vAlign w:val="center"/>
          </w:tcPr>
          <w:p w:rsidR="00D11634" w:rsidRDefault="008B0517">
            <w:pPr>
              <w:rPr>
                <w:color w:val="FF0000"/>
                <w:sz w:val="20"/>
                <w:szCs w:val="16"/>
              </w:rPr>
            </w:pPr>
            <w:r>
              <w:rPr>
                <w:noProof/>
              </w:rPr>
              <w:drawing>
                <wp:inline distT="0" distB="0" distL="114300" distR="114300">
                  <wp:extent cx="5596255" cy="2901950"/>
                  <wp:effectExtent l="0" t="0" r="4445" b="635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9"/>
                          <a:stretch>
                            <a:fillRect/>
                          </a:stretch>
                        </pic:blipFill>
                        <pic:spPr>
                          <a:xfrm>
                            <a:off x="0" y="0"/>
                            <a:ext cx="5596255" cy="2901950"/>
                          </a:xfrm>
                          <a:prstGeom prst="rect">
                            <a:avLst/>
                          </a:prstGeom>
                          <a:noFill/>
                          <a:ln>
                            <a:noFill/>
                          </a:ln>
                        </pic:spPr>
                      </pic:pic>
                    </a:graphicData>
                  </a:graphic>
                </wp:inline>
              </w:drawing>
            </w:r>
          </w:p>
        </w:tc>
      </w:tr>
      <w:tr w:rsidR="00D11634">
        <w:trPr>
          <w:trHeight w:val="43"/>
          <w:jc w:val="center"/>
        </w:trPr>
        <w:tc>
          <w:tcPr>
            <w:tcW w:w="9881" w:type="dxa"/>
            <w:vAlign w:val="center"/>
          </w:tcPr>
          <w:p w:rsidR="00D11634" w:rsidRDefault="008B0517">
            <w:pPr>
              <w:pStyle w:val="Source"/>
              <w:jc w:val="both"/>
              <w:rPr>
                <w:color w:val="FF0000"/>
                <w:kern w:val="0"/>
              </w:rPr>
            </w:pPr>
            <w:r>
              <w:rPr>
                <w:rFonts w:hint="eastAsia"/>
                <w:color w:val="FF0000"/>
                <w:kern w:val="0"/>
              </w:rPr>
              <w:t>资料来源：万得，富</w:t>
            </w:r>
            <w:proofErr w:type="gramStart"/>
            <w:r>
              <w:rPr>
                <w:rFonts w:hint="eastAsia"/>
                <w:color w:val="FF0000"/>
                <w:kern w:val="0"/>
              </w:rPr>
              <w:t>荣基金</w:t>
            </w:r>
            <w:proofErr w:type="gramEnd"/>
          </w:p>
        </w:tc>
      </w:tr>
    </w:tbl>
    <w:p w:rsidR="00D11634" w:rsidRDefault="00D11634">
      <w:pPr>
        <w:pStyle w:val="Body-text"/>
        <w:spacing w:after="240"/>
        <w:rPr>
          <w:rFonts w:ascii="华文楷体" w:hAnsi="华文楷体"/>
          <w:bCs/>
          <w:color w:val="FF0000"/>
          <w:sz w:val="24"/>
          <w:szCs w:val="24"/>
          <w:lang w:eastAsia="zh-CN"/>
        </w:rPr>
      </w:pPr>
    </w:p>
    <w:p w:rsidR="00D11634" w:rsidRDefault="008B0517">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综合来看，居民消费修复态势仍将持续，地产受融资收紧影响或将小幅回落但幅度有限，财政支出进度偏慢意味着后续支出进度将明显加快，基建投资将是三四季度经济修复的主导力量，制造业预计持续小幅改善。结合金融数据分析，短期内经济仍将维持平稳甚至</w:t>
      </w:r>
      <w:proofErr w:type="gramStart"/>
      <w:r>
        <w:rPr>
          <w:rFonts w:ascii="华文楷体" w:hAnsi="华文楷体" w:hint="eastAsia"/>
          <w:bCs/>
          <w:sz w:val="24"/>
          <w:szCs w:val="24"/>
          <w:lang w:eastAsia="zh-CN"/>
        </w:rPr>
        <w:t>小幅走</w:t>
      </w:r>
      <w:proofErr w:type="gramEnd"/>
      <w:r>
        <w:rPr>
          <w:rFonts w:ascii="华文楷体" w:hAnsi="华文楷体" w:hint="eastAsia"/>
          <w:bCs/>
          <w:sz w:val="24"/>
          <w:szCs w:val="24"/>
          <w:lang w:eastAsia="zh-CN"/>
        </w:rPr>
        <w:t>强，</w:t>
      </w:r>
      <w:r>
        <w:rPr>
          <w:rFonts w:ascii="华文楷体" w:hAnsi="华文楷体" w:hint="eastAsia"/>
          <w:bCs/>
          <w:sz w:val="24"/>
          <w:szCs w:val="24"/>
          <w:lang w:eastAsia="zh-CN"/>
        </w:rPr>
        <w:lastRenderedPageBreak/>
        <w:t>经济好转预期仍将持续。</w:t>
      </w:r>
    </w:p>
    <w:p w:rsidR="00D11634" w:rsidRDefault="008B0517">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权益市场下半周的反弹值得关注，在央行呵护流动性的情况下，股债跷跷板效应或将对债券形成负面冲击。我们对债券市场整体仍维持谨慎，在短端回落告一阶段之后，做多仍需等待基本面上更明确的信号。</w:t>
      </w:r>
    </w:p>
    <w:p w:rsidR="00D11634" w:rsidRDefault="00D11634">
      <w:pPr>
        <w:pStyle w:val="Body-text"/>
        <w:spacing w:after="240"/>
        <w:ind w:firstLineChars="200" w:firstLine="480"/>
        <w:rPr>
          <w:rFonts w:ascii="华文楷体" w:hAnsi="华文楷体"/>
          <w:bCs/>
          <w:sz w:val="24"/>
          <w:szCs w:val="24"/>
          <w:lang w:eastAsia="zh-CN"/>
        </w:rPr>
      </w:pPr>
    </w:p>
    <w:p w:rsidR="00D11634" w:rsidRDefault="008B0517">
      <w:pPr>
        <w:pStyle w:val="Header1"/>
        <w:spacing w:before="240"/>
        <w:rPr>
          <w:color w:val="C45911" w:themeColor="accent2" w:themeShade="BF"/>
        </w:rPr>
      </w:pPr>
      <w:r>
        <w:rPr>
          <w:rFonts w:hint="eastAsia"/>
          <w:color w:val="C45911" w:themeColor="accent2" w:themeShade="BF"/>
        </w:rPr>
        <w:t>二、上周市场回顾</w:t>
      </w:r>
    </w:p>
    <w:p w:rsidR="00D11634" w:rsidRDefault="008B0517">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rsidR="00D11634" w:rsidRDefault="008B0517">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本周公开市场操作净回笼1</w:t>
      </w:r>
      <w:r>
        <w:rPr>
          <w:rFonts w:ascii="华文楷体" w:hAnsi="华文楷体"/>
          <w:sz w:val="24"/>
          <w:szCs w:val="24"/>
          <w:lang w:eastAsia="zh-CN"/>
        </w:rPr>
        <w:t>400</w:t>
      </w:r>
      <w:r>
        <w:rPr>
          <w:rFonts w:ascii="华文楷体" w:hAnsi="华文楷体" w:hint="eastAsia"/>
          <w:sz w:val="24"/>
          <w:szCs w:val="24"/>
          <w:lang w:eastAsia="zh-CN"/>
        </w:rPr>
        <w:t>亿,其中逆回购合计到期</w:t>
      </w:r>
      <w:r>
        <w:rPr>
          <w:rFonts w:ascii="华文楷体" w:hAnsi="华文楷体"/>
          <w:sz w:val="24"/>
          <w:szCs w:val="24"/>
          <w:lang w:eastAsia="zh-CN"/>
        </w:rPr>
        <w:t>6200</w:t>
      </w:r>
      <w:r>
        <w:rPr>
          <w:rFonts w:ascii="华文楷体" w:hAnsi="华文楷体" w:hint="eastAsia"/>
          <w:sz w:val="24"/>
          <w:szCs w:val="24"/>
          <w:lang w:eastAsia="zh-CN"/>
        </w:rPr>
        <w:t>亿，逆回购投放</w:t>
      </w:r>
      <w:r>
        <w:rPr>
          <w:rFonts w:ascii="华文楷体" w:hAnsi="华文楷体"/>
          <w:sz w:val="24"/>
          <w:szCs w:val="24"/>
          <w:lang w:eastAsia="zh-CN"/>
        </w:rPr>
        <w:t>4800</w:t>
      </w:r>
      <w:r>
        <w:rPr>
          <w:rFonts w:ascii="华文楷体" w:hAnsi="华文楷体" w:hint="eastAsia"/>
          <w:sz w:val="24"/>
          <w:szCs w:val="24"/>
          <w:lang w:eastAsia="zh-CN"/>
        </w:rPr>
        <w:t>亿，此外，MLF到期2</w:t>
      </w:r>
      <w:r>
        <w:rPr>
          <w:rFonts w:ascii="华文楷体" w:hAnsi="华文楷体"/>
          <w:sz w:val="24"/>
          <w:szCs w:val="24"/>
          <w:lang w:eastAsia="zh-CN"/>
        </w:rPr>
        <w:t>000</w:t>
      </w:r>
      <w:r>
        <w:rPr>
          <w:rFonts w:ascii="华文楷体" w:hAnsi="华文楷体" w:hint="eastAsia"/>
          <w:sz w:val="24"/>
          <w:szCs w:val="24"/>
          <w:lang w:eastAsia="zh-CN"/>
        </w:rPr>
        <w:t>亿，MLF超量续作6</w:t>
      </w:r>
      <w:r>
        <w:rPr>
          <w:rFonts w:ascii="华文楷体" w:hAnsi="华文楷体"/>
          <w:sz w:val="24"/>
          <w:szCs w:val="24"/>
          <w:lang w:eastAsia="zh-CN"/>
        </w:rPr>
        <w:t>000</w:t>
      </w:r>
      <w:r>
        <w:rPr>
          <w:rFonts w:ascii="华文楷体" w:hAnsi="华文楷体" w:hint="eastAsia"/>
          <w:sz w:val="24"/>
          <w:szCs w:val="24"/>
          <w:lang w:eastAsia="zh-CN"/>
        </w:rPr>
        <w:t>亿，共计净投放4</w:t>
      </w:r>
      <w:r>
        <w:rPr>
          <w:rFonts w:ascii="华文楷体" w:hAnsi="华文楷体"/>
          <w:sz w:val="24"/>
          <w:szCs w:val="24"/>
          <w:lang w:eastAsia="zh-CN"/>
        </w:rPr>
        <w:t>600</w:t>
      </w:r>
      <w:r>
        <w:rPr>
          <w:rFonts w:ascii="华文楷体" w:hAnsi="华文楷体" w:hint="eastAsia"/>
          <w:sz w:val="24"/>
          <w:szCs w:val="24"/>
          <w:lang w:eastAsia="zh-CN"/>
        </w:rPr>
        <w:t>亿。本周资金利率相对稳定，周隔夜加权较上周上行5</w:t>
      </w:r>
      <w:r>
        <w:rPr>
          <w:rFonts w:ascii="华文楷体" w:hAnsi="华文楷体"/>
          <w:sz w:val="24"/>
          <w:szCs w:val="24"/>
          <w:lang w:eastAsia="zh-CN"/>
        </w:rPr>
        <w:t>.31</w:t>
      </w:r>
      <w:r>
        <w:rPr>
          <w:rFonts w:ascii="华文楷体" w:hAnsi="华文楷体" w:hint="eastAsia"/>
          <w:sz w:val="24"/>
          <w:szCs w:val="24"/>
          <w:lang w:eastAsia="zh-CN"/>
        </w:rPr>
        <w:t>bp至</w:t>
      </w:r>
      <w:r>
        <w:rPr>
          <w:rFonts w:ascii="华文楷体" w:hAnsi="华文楷体"/>
          <w:sz w:val="24"/>
          <w:szCs w:val="24"/>
          <w:lang w:eastAsia="zh-CN"/>
        </w:rPr>
        <w:t>1.80</w:t>
      </w:r>
      <w:r>
        <w:rPr>
          <w:rFonts w:ascii="华文楷体" w:hAnsi="华文楷体" w:hint="eastAsia"/>
          <w:sz w:val="24"/>
          <w:szCs w:val="24"/>
          <w:lang w:eastAsia="zh-CN"/>
        </w:rPr>
        <w:t>%，7天较上周上行9</w:t>
      </w:r>
      <w:r>
        <w:rPr>
          <w:rFonts w:ascii="华文楷体" w:hAnsi="华文楷体"/>
          <w:sz w:val="24"/>
          <w:szCs w:val="24"/>
          <w:lang w:eastAsia="zh-CN"/>
        </w:rPr>
        <w:t>.54</w:t>
      </w:r>
      <w:r>
        <w:rPr>
          <w:rFonts w:ascii="华文楷体" w:hAnsi="华文楷体" w:hint="eastAsia"/>
          <w:sz w:val="24"/>
          <w:szCs w:val="24"/>
          <w:lang w:eastAsia="zh-CN"/>
        </w:rPr>
        <w:t>bp至</w:t>
      </w:r>
      <w:r>
        <w:rPr>
          <w:rFonts w:ascii="华文楷体" w:hAnsi="华文楷体"/>
          <w:sz w:val="24"/>
          <w:szCs w:val="24"/>
          <w:lang w:eastAsia="zh-CN"/>
        </w:rPr>
        <w:t>2.36</w:t>
      </w:r>
      <w:r>
        <w:rPr>
          <w:rFonts w:ascii="华文楷体" w:hAnsi="华文楷体" w:hint="eastAsia"/>
          <w:sz w:val="24"/>
          <w:szCs w:val="24"/>
          <w:lang w:eastAsia="zh-CN"/>
        </w:rPr>
        <w:t>%。下周逆回购到期</w:t>
      </w:r>
      <w:r>
        <w:rPr>
          <w:rFonts w:ascii="华文楷体" w:hAnsi="华文楷体"/>
          <w:sz w:val="24"/>
          <w:szCs w:val="24"/>
          <w:lang w:eastAsia="zh-CN"/>
        </w:rPr>
        <w:t>4200</w:t>
      </w:r>
      <w:r>
        <w:rPr>
          <w:rFonts w:ascii="华文楷体" w:hAnsi="华文楷体" w:hint="eastAsia"/>
          <w:sz w:val="24"/>
          <w:szCs w:val="24"/>
          <w:lang w:eastAsia="zh-CN"/>
        </w:rPr>
        <w:t>亿。</w:t>
      </w:r>
    </w:p>
    <w:tbl>
      <w:tblPr>
        <w:tblW w:w="9877" w:type="dxa"/>
        <w:jc w:val="center"/>
        <w:tblLayout w:type="fixed"/>
        <w:tblCellMar>
          <w:left w:w="0" w:type="dxa"/>
          <w:right w:w="0" w:type="dxa"/>
        </w:tblCellMar>
        <w:tblLook w:val="04A0" w:firstRow="1" w:lastRow="0" w:firstColumn="1" w:lastColumn="0" w:noHBand="0" w:noVBand="1"/>
      </w:tblPr>
      <w:tblGrid>
        <w:gridCol w:w="4939"/>
        <w:gridCol w:w="4938"/>
      </w:tblGrid>
      <w:tr w:rsidR="00D11634">
        <w:trPr>
          <w:jc w:val="center"/>
        </w:trPr>
        <w:tc>
          <w:tcPr>
            <w:tcW w:w="4939" w:type="dxa"/>
            <w:vAlign w:val="center"/>
          </w:tcPr>
          <w:p w:rsidR="00D11634" w:rsidRDefault="008B0517">
            <w:pPr>
              <w:pStyle w:val="ChartHeading"/>
              <w:jc w:val="both"/>
            </w:pPr>
            <w:bookmarkStart w:id="0" w:name="_Hlk12804578"/>
            <w:r>
              <w:rPr>
                <w:rFonts w:hint="eastAsia"/>
              </w:rPr>
              <w:t>图表</w:t>
            </w:r>
            <w:r>
              <w:t xml:space="preserve">. </w:t>
            </w:r>
            <w:r>
              <w:rPr>
                <w:rFonts w:hint="eastAsia"/>
              </w:rPr>
              <w:t>央行公开市场逆回购操作</w:t>
            </w:r>
          </w:p>
        </w:tc>
        <w:tc>
          <w:tcPr>
            <w:tcW w:w="4938" w:type="dxa"/>
            <w:vAlign w:val="center"/>
          </w:tcPr>
          <w:p w:rsidR="00D11634" w:rsidRDefault="008B0517">
            <w:pPr>
              <w:pStyle w:val="ChartHeading"/>
              <w:jc w:val="both"/>
            </w:pPr>
            <w:r>
              <w:rPr>
                <w:rFonts w:hint="eastAsia"/>
              </w:rPr>
              <w:t>图表</w:t>
            </w:r>
            <w:r>
              <w:t xml:space="preserve">. </w:t>
            </w:r>
            <w:r>
              <w:rPr>
                <w:rFonts w:hint="eastAsia"/>
              </w:rPr>
              <w:t>DR</w:t>
            </w:r>
            <w:r>
              <w:t>007</w:t>
            </w:r>
            <w:r>
              <w:rPr>
                <w:rFonts w:hint="eastAsia"/>
              </w:rPr>
              <w:t>与</w:t>
            </w:r>
            <w:r>
              <w:rPr>
                <w:rFonts w:hint="eastAsia"/>
              </w:rPr>
              <w:t>R</w:t>
            </w:r>
            <w:r>
              <w:t>007</w:t>
            </w:r>
            <w:r>
              <w:rPr>
                <w:rFonts w:hint="eastAsia"/>
              </w:rPr>
              <w:t>走势</w:t>
            </w:r>
          </w:p>
        </w:tc>
      </w:tr>
      <w:tr w:rsidR="00D11634">
        <w:tblPrEx>
          <w:tblCellMar>
            <w:left w:w="108" w:type="dxa"/>
            <w:right w:w="108" w:type="dxa"/>
          </w:tblCellMar>
        </w:tblPrEx>
        <w:trPr>
          <w:jc w:val="center"/>
        </w:trPr>
        <w:tc>
          <w:tcPr>
            <w:tcW w:w="4939" w:type="dxa"/>
            <w:vAlign w:val="center"/>
          </w:tcPr>
          <w:p w:rsidR="00D11634" w:rsidRDefault="008B0517">
            <w:pPr>
              <w:jc w:val="center"/>
              <w:rPr>
                <w:sz w:val="14"/>
                <w:szCs w:val="14"/>
              </w:rPr>
            </w:pPr>
            <w:r>
              <w:rPr>
                <w:noProof/>
              </w:rPr>
              <w:drawing>
                <wp:inline distT="0" distB="0" distL="0" distR="0">
                  <wp:extent cx="2999105" cy="1668145"/>
                  <wp:effectExtent l="0" t="0" r="0" b="825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c>
          <w:tcPr>
            <w:tcW w:w="4938" w:type="dxa"/>
            <w:vAlign w:val="center"/>
          </w:tcPr>
          <w:p w:rsidR="00D11634" w:rsidRDefault="008B0517">
            <w:pPr>
              <w:jc w:val="center"/>
              <w:rPr>
                <w:sz w:val="18"/>
                <w:szCs w:val="15"/>
              </w:rPr>
            </w:pPr>
            <w:r>
              <w:rPr>
                <w:noProof/>
              </w:rPr>
              <w:drawing>
                <wp:inline distT="0" distB="0" distL="0" distR="0">
                  <wp:extent cx="2998470" cy="1657985"/>
                  <wp:effectExtent l="0" t="0" r="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r>
      <w:tr w:rsidR="00D11634">
        <w:trPr>
          <w:trHeight w:val="64"/>
          <w:jc w:val="center"/>
        </w:trPr>
        <w:tc>
          <w:tcPr>
            <w:tcW w:w="4939" w:type="dxa"/>
            <w:vAlign w:val="center"/>
          </w:tcPr>
          <w:p w:rsidR="00D11634" w:rsidRDefault="008B0517">
            <w:pPr>
              <w:pStyle w:val="Source"/>
              <w:jc w:val="both"/>
              <w:rPr>
                <w:kern w:val="0"/>
              </w:rPr>
            </w:pPr>
            <w:r>
              <w:rPr>
                <w:rFonts w:hint="eastAsia"/>
                <w:kern w:val="0"/>
              </w:rPr>
              <w:t>资料来源：万得，富</w:t>
            </w:r>
            <w:proofErr w:type="gramStart"/>
            <w:r>
              <w:rPr>
                <w:rFonts w:hint="eastAsia"/>
                <w:kern w:val="0"/>
              </w:rPr>
              <w:t>荣基金</w:t>
            </w:r>
            <w:proofErr w:type="gramEnd"/>
          </w:p>
        </w:tc>
        <w:tc>
          <w:tcPr>
            <w:tcW w:w="4938" w:type="dxa"/>
            <w:vAlign w:val="center"/>
          </w:tcPr>
          <w:p w:rsidR="00D11634" w:rsidRDefault="008B0517">
            <w:pPr>
              <w:pStyle w:val="Source"/>
              <w:jc w:val="both"/>
              <w:rPr>
                <w:kern w:val="0"/>
              </w:rPr>
            </w:pPr>
            <w:r>
              <w:rPr>
                <w:rFonts w:hint="eastAsia"/>
                <w:kern w:val="0"/>
              </w:rPr>
              <w:t>资料来源：万得，富</w:t>
            </w:r>
            <w:proofErr w:type="gramStart"/>
            <w:r>
              <w:rPr>
                <w:rFonts w:hint="eastAsia"/>
                <w:kern w:val="0"/>
              </w:rPr>
              <w:t>荣基金</w:t>
            </w:r>
            <w:proofErr w:type="gramEnd"/>
          </w:p>
        </w:tc>
      </w:tr>
      <w:bookmarkEnd w:id="0"/>
    </w:tbl>
    <w:p w:rsidR="00D11634" w:rsidRDefault="00D11634">
      <w:pPr>
        <w:pStyle w:val="Body-text"/>
        <w:spacing w:after="0"/>
        <w:rPr>
          <w:lang w:eastAsia="zh-CN"/>
        </w:rPr>
      </w:pPr>
    </w:p>
    <w:p w:rsidR="00D11634" w:rsidRDefault="008B0517">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rsidR="00D11634" w:rsidRDefault="008B0517">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本周利率债曲线整体趋陡，3y至5y品种利率下行明显。短</w:t>
      </w:r>
      <w:proofErr w:type="gramStart"/>
      <w:r>
        <w:rPr>
          <w:rFonts w:ascii="华文楷体" w:hAnsi="华文楷体" w:hint="eastAsia"/>
          <w:sz w:val="24"/>
          <w:szCs w:val="24"/>
          <w:lang w:eastAsia="zh-CN"/>
        </w:rPr>
        <w:t>端利率</w:t>
      </w:r>
      <w:proofErr w:type="gramEnd"/>
      <w:r>
        <w:rPr>
          <w:rFonts w:ascii="华文楷体" w:hAnsi="华文楷体" w:hint="eastAsia"/>
          <w:sz w:val="24"/>
          <w:szCs w:val="24"/>
          <w:lang w:eastAsia="zh-CN"/>
        </w:rPr>
        <w:t>相对稳定，1y国债利率上行</w:t>
      </w:r>
      <w:r>
        <w:rPr>
          <w:rFonts w:ascii="华文楷体" w:hAnsi="华文楷体"/>
          <w:sz w:val="24"/>
          <w:szCs w:val="24"/>
          <w:lang w:eastAsia="zh-CN"/>
        </w:rPr>
        <w:t>1.2</w:t>
      </w:r>
      <w:r>
        <w:rPr>
          <w:rFonts w:ascii="华文楷体" w:hAnsi="华文楷体" w:hint="eastAsia"/>
          <w:sz w:val="24"/>
          <w:szCs w:val="24"/>
          <w:lang w:eastAsia="zh-CN"/>
        </w:rPr>
        <w:t>bp，1y国</w:t>
      </w:r>
      <w:proofErr w:type="gramStart"/>
      <w:r>
        <w:rPr>
          <w:rFonts w:ascii="华文楷体" w:hAnsi="华文楷体" w:hint="eastAsia"/>
          <w:sz w:val="24"/>
          <w:szCs w:val="24"/>
          <w:lang w:eastAsia="zh-CN"/>
        </w:rPr>
        <w:t>开利率</w:t>
      </w:r>
      <w:proofErr w:type="gramEnd"/>
      <w:r>
        <w:rPr>
          <w:rFonts w:ascii="华文楷体" w:hAnsi="华文楷体" w:hint="eastAsia"/>
          <w:sz w:val="24"/>
          <w:szCs w:val="24"/>
          <w:lang w:eastAsia="zh-CN"/>
        </w:rPr>
        <w:t>下行</w:t>
      </w:r>
      <w:r>
        <w:rPr>
          <w:rFonts w:ascii="华文楷体" w:hAnsi="华文楷体"/>
          <w:sz w:val="24"/>
          <w:szCs w:val="24"/>
          <w:lang w:eastAsia="zh-CN"/>
        </w:rPr>
        <w:t>0.7</w:t>
      </w:r>
      <w:r>
        <w:rPr>
          <w:rFonts w:ascii="华文楷体" w:hAnsi="华文楷体" w:hint="eastAsia"/>
          <w:sz w:val="24"/>
          <w:szCs w:val="24"/>
          <w:lang w:eastAsia="zh-CN"/>
        </w:rPr>
        <w:t>bp；3y国债下行7.</w:t>
      </w:r>
      <w:r>
        <w:rPr>
          <w:rFonts w:ascii="华文楷体" w:hAnsi="华文楷体"/>
          <w:sz w:val="24"/>
          <w:szCs w:val="24"/>
          <w:lang w:eastAsia="zh-CN"/>
        </w:rPr>
        <w:t>9</w:t>
      </w:r>
      <w:r>
        <w:rPr>
          <w:rFonts w:ascii="华文楷体" w:hAnsi="华文楷体" w:hint="eastAsia"/>
          <w:sz w:val="24"/>
          <w:szCs w:val="24"/>
          <w:lang w:eastAsia="zh-CN"/>
        </w:rPr>
        <w:t>bp，3y</w:t>
      </w:r>
      <w:proofErr w:type="gramStart"/>
      <w:r>
        <w:rPr>
          <w:rFonts w:ascii="华文楷体" w:hAnsi="华文楷体" w:hint="eastAsia"/>
          <w:sz w:val="24"/>
          <w:szCs w:val="24"/>
          <w:lang w:eastAsia="zh-CN"/>
        </w:rPr>
        <w:t>国开债下行</w:t>
      </w:r>
      <w:proofErr w:type="gramEnd"/>
      <w:r>
        <w:rPr>
          <w:rFonts w:ascii="华文楷体" w:hAnsi="华文楷体"/>
          <w:sz w:val="24"/>
          <w:szCs w:val="24"/>
          <w:lang w:eastAsia="zh-CN"/>
        </w:rPr>
        <w:t>5.9</w:t>
      </w:r>
      <w:r>
        <w:rPr>
          <w:rFonts w:ascii="华文楷体" w:hAnsi="华文楷体" w:hint="eastAsia"/>
          <w:sz w:val="24"/>
          <w:szCs w:val="24"/>
          <w:lang w:eastAsia="zh-CN"/>
        </w:rPr>
        <w:t>bp；5y国债和国开</w:t>
      </w:r>
      <w:proofErr w:type="gramStart"/>
      <w:r>
        <w:rPr>
          <w:rFonts w:ascii="华文楷体" w:hAnsi="华文楷体" w:hint="eastAsia"/>
          <w:sz w:val="24"/>
          <w:szCs w:val="24"/>
          <w:lang w:eastAsia="zh-CN"/>
        </w:rPr>
        <w:t>债分别</w:t>
      </w:r>
      <w:proofErr w:type="gramEnd"/>
      <w:r>
        <w:rPr>
          <w:rFonts w:ascii="华文楷体" w:hAnsi="华文楷体" w:hint="eastAsia"/>
          <w:sz w:val="24"/>
          <w:szCs w:val="24"/>
          <w:lang w:eastAsia="zh-CN"/>
        </w:rPr>
        <w:t>下行</w:t>
      </w:r>
      <w:r>
        <w:rPr>
          <w:rFonts w:ascii="华文楷体" w:hAnsi="华文楷体"/>
          <w:sz w:val="24"/>
          <w:szCs w:val="24"/>
          <w:lang w:eastAsia="zh-CN"/>
        </w:rPr>
        <w:t>6.6</w:t>
      </w:r>
      <w:r>
        <w:rPr>
          <w:rFonts w:ascii="华文楷体" w:hAnsi="华文楷体" w:hint="eastAsia"/>
          <w:sz w:val="24"/>
          <w:szCs w:val="24"/>
          <w:lang w:eastAsia="zh-CN"/>
        </w:rPr>
        <w:t>和</w:t>
      </w:r>
      <w:r>
        <w:rPr>
          <w:rFonts w:ascii="华文楷体" w:hAnsi="华文楷体"/>
          <w:sz w:val="24"/>
          <w:szCs w:val="24"/>
          <w:lang w:eastAsia="zh-CN"/>
        </w:rPr>
        <w:t>5.8</w:t>
      </w:r>
      <w:r>
        <w:rPr>
          <w:rFonts w:ascii="华文楷体" w:hAnsi="华文楷体" w:hint="eastAsia"/>
          <w:sz w:val="24"/>
          <w:szCs w:val="24"/>
          <w:lang w:eastAsia="zh-CN"/>
        </w:rPr>
        <w:t>bp。10y-3y国债利差上行</w:t>
      </w:r>
      <w:r>
        <w:rPr>
          <w:rFonts w:ascii="华文楷体" w:hAnsi="华文楷体"/>
          <w:sz w:val="24"/>
          <w:szCs w:val="24"/>
          <w:lang w:eastAsia="zh-CN"/>
        </w:rPr>
        <w:t>6</w:t>
      </w:r>
      <w:r>
        <w:rPr>
          <w:rFonts w:ascii="华文楷体" w:hAnsi="华文楷体" w:hint="eastAsia"/>
          <w:sz w:val="24"/>
          <w:szCs w:val="24"/>
          <w:lang w:eastAsia="zh-CN"/>
        </w:rPr>
        <w:t>bp，位于历史数据</w:t>
      </w:r>
      <w:r>
        <w:rPr>
          <w:rFonts w:ascii="华文楷体" w:hAnsi="华文楷体"/>
          <w:sz w:val="24"/>
          <w:szCs w:val="24"/>
          <w:lang w:eastAsia="zh-CN"/>
        </w:rPr>
        <w:t>18</w:t>
      </w:r>
      <w:r>
        <w:rPr>
          <w:rFonts w:ascii="华文楷体" w:hAnsi="华文楷体" w:hint="eastAsia"/>
          <w:sz w:val="24"/>
          <w:szCs w:val="24"/>
          <w:lang w:eastAsia="zh-CN"/>
        </w:rPr>
        <w:t>%分位；10y-5y国债利差上行</w:t>
      </w:r>
      <w:r>
        <w:rPr>
          <w:rFonts w:ascii="华文楷体" w:hAnsi="华文楷体"/>
          <w:sz w:val="24"/>
          <w:szCs w:val="24"/>
          <w:lang w:eastAsia="zh-CN"/>
        </w:rPr>
        <w:t>5</w:t>
      </w:r>
      <w:r>
        <w:rPr>
          <w:rFonts w:ascii="华文楷体" w:hAnsi="华文楷体" w:hint="eastAsia"/>
          <w:sz w:val="24"/>
          <w:szCs w:val="24"/>
          <w:lang w:eastAsia="zh-CN"/>
        </w:rPr>
        <w:t>bp，位于</w:t>
      </w:r>
      <w:r>
        <w:rPr>
          <w:rFonts w:ascii="华文楷体" w:hAnsi="华文楷体"/>
          <w:sz w:val="24"/>
          <w:szCs w:val="24"/>
          <w:lang w:eastAsia="zh-CN"/>
        </w:rPr>
        <w:t>15</w:t>
      </w:r>
      <w:r>
        <w:rPr>
          <w:rFonts w:ascii="华文楷体" w:hAnsi="华文楷体" w:hint="eastAsia"/>
          <w:sz w:val="24"/>
          <w:szCs w:val="24"/>
          <w:lang w:eastAsia="zh-CN"/>
        </w:rPr>
        <w:t>%分位。10y国开债与10y国债利差上行2bp，继续维持高位。</w:t>
      </w:r>
    </w:p>
    <w:tbl>
      <w:tblPr>
        <w:tblW w:w="9877" w:type="dxa"/>
        <w:jc w:val="center"/>
        <w:tblLayout w:type="fixed"/>
        <w:tblCellMar>
          <w:left w:w="0" w:type="dxa"/>
          <w:right w:w="0" w:type="dxa"/>
        </w:tblCellMar>
        <w:tblLook w:val="04A0" w:firstRow="1" w:lastRow="0" w:firstColumn="1" w:lastColumn="0" w:noHBand="0" w:noVBand="1"/>
      </w:tblPr>
      <w:tblGrid>
        <w:gridCol w:w="4939"/>
        <w:gridCol w:w="4938"/>
      </w:tblGrid>
      <w:tr w:rsidR="00D11634">
        <w:trPr>
          <w:jc w:val="center"/>
        </w:trPr>
        <w:tc>
          <w:tcPr>
            <w:tcW w:w="4939" w:type="dxa"/>
            <w:vAlign w:val="center"/>
          </w:tcPr>
          <w:p w:rsidR="00D11634" w:rsidRDefault="008B0517">
            <w:pPr>
              <w:pStyle w:val="ChartHeading"/>
              <w:jc w:val="both"/>
            </w:pPr>
            <w:r>
              <w:rPr>
                <w:rFonts w:hint="eastAsia"/>
              </w:rPr>
              <w:t>图表</w:t>
            </w:r>
            <w:r>
              <w:t xml:space="preserve">. </w:t>
            </w:r>
            <w:r>
              <w:rPr>
                <w:rFonts w:hint="eastAsia"/>
              </w:rPr>
              <w:t>国债收益率曲线和变化</w:t>
            </w:r>
          </w:p>
        </w:tc>
        <w:tc>
          <w:tcPr>
            <w:tcW w:w="4938" w:type="dxa"/>
            <w:vAlign w:val="center"/>
          </w:tcPr>
          <w:p w:rsidR="00D11634" w:rsidRDefault="008B0517">
            <w:pPr>
              <w:pStyle w:val="ChartHeading"/>
              <w:jc w:val="both"/>
            </w:pPr>
            <w:r>
              <w:rPr>
                <w:rFonts w:hint="eastAsia"/>
              </w:rPr>
              <w:t>图表</w:t>
            </w:r>
            <w:r>
              <w:t xml:space="preserve">. </w:t>
            </w:r>
            <w:r>
              <w:rPr>
                <w:rFonts w:hint="eastAsia"/>
              </w:rPr>
              <w:t>国开债收益率曲线和变化</w:t>
            </w:r>
          </w:p>
        </w:tc>
      </w:tr>
      <w:tr w:rsidR="00D11634">
        <w:tblPrEx>
          <w:tblCellMar>
            <w:left w:w="108" w:type="dxa"/>
            <w:right w:w="108" w:type="dxa"/>
          </w:tblCellMar>
        </w:tblPrEx>
        <w:trPr>
          <w:jc w:val="center"/>
        </w:trPr>
        <w:tc>
          <w:tcPr>
            <w:tcW w:w="4939" w:type="dxa"/>
            <w:vAlign w:val="center"/>
          </w:tcPr>
          <w:p w:rsidR="00D11634" w:rsidRDefault="008B0517">
            <w:r>
              <w:rPr>
                <w:noProof/>
              </w:rPr>
              <w:drawing>
                <wp:inline distT="0" distB="0" distL="0" distR="0">
                  <wp:extent cx="2999105" cy="1621790"/>
                  <wp:effectExtent l="0" t="0" r="10795" b="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c>
          <w:tcPr>
            <w:tcW w:w="4938" w:type="dxa"/>
            <w:vAlign w:val="center"/>
          </w:tcPr>
          <w:p w:rsidR="00D11634" w:rsidRDefault="008B0517">
            <w:pPr>
              <w:jc w:val="center"/>
              <w:rPr>
                <w:sz w:val="14"/>
                <w:szCs w:val="14"/>
              </w:rPr>
            </w:pPr>
            <w:r>
              <w:rPr>
                <w:noProof/>
              </w:rPr>
              <w:drawing>
                <wp:inline distT="0" distB="0" distL="0" distR="0">
                  <wp:extent cx="2998470" cy="1657350"/>
                  <wp:effectExtent l="0" t="0" r="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r>
      <w:tr w:rsidR="00D11634">
        <w:trPr>
          <w:trHeight w:val="64"/>
          <w:jc w:val="center"/>
        </w:trPr>
        <w:tc>
          <w:tcPr>
            <w:tcW w:w="4939" w:type="dxa"/>
            <w:vAlign w:val="center"/>
          </w:tcPr>
          <w:p w:rsidR="00D11634" w:rsidRDefault="008B0517">
            <w:pPr>
              <w:pStyle w:val="Source"/>
              <w:jc w:val="both"/>
              <w:rPr>
                <w:kern w:val="0"/>
              </w:rPr>
            </w:pPr>
            <w:r>
              <w:rPr>
                <w:rFonts w:hint="eastAsia"/>
                <w:kern w:val="0"/>
              </w:rPr>
              <w:t>资料来源：万得，富</w:t>
            </w:r>
            <w:proofErr w:type="gramStart"/>
            <w:r>
              <w:rPr>
                <w:rFonts w:hint="eastAsia"/>
                <w:kern w:val="0"/>
              </w:rPr>
              <w:t>荣基金</w:t>
            </w:r>
            <w:proofErr w:type="gramEnd"/>
          </w:p>
        </w:tc>
        <w:tc>
          <w:tcPr>
            <w:tcW w:w="4938" w:type="dxa"/>
            <w:vAlign w:val="center"/>
          </w:tcPr>
          <w:p w:rsidR="00D11634" w:rsidRDefault="008B0517">
            <w:pPr>
              <w:pStyle w:val="Source"/>
              <w:jc w:val="both"/>
              <w:rPr>
                <w:kern w:val="0"/>
              </w:rPr>
            </w:pPr>
            <w:r>
              <w:rPr>
                <w:rFonts w:hint="eastAsia"/>
                <w:kern w:val="0"/>
              </w:rPr>
              <w:t>资料来源：万得，富</w:t>
            </w:r>
            <w:proofErr w:type="gramStart"/>
            <w:r>
              <w:rPr>
                <w:rFonts w:hint="eastAsia"/>
                <w:kern w:val="0"/>
              </w:rPr>
              <w:t>荣基金</w:t>
            </w:r>
            <w:proofErr w:type="gramEnd"/>
          </w:p>
        </w:tc>
      </w:tr>
    </w:tbl>
    <w:p w:rsidR="00D11634" w:rsidRDefault="00D11634">
      <w:pPr>
        <w:pStyle w:val="Body-text"/>
        <w:spacing w:after="0"/>
        <w:rPr>
          <w:lang w:eastAsia="zh-CN"/>
        </w:rPr>
      </w:pPr>
    </w:p>
    <w:p w:rsidR="00D11634" w:rsidRDefault="008B0517">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rsidR="00D11634" w:rsidRDefault="008B0517">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本周信用品种整体利率跟随利率品种下行，</w:t>
      </w:r>
      <w:r>
        <w:rPr>
          <w:rFonts w:ascii="华文楷体" w:hAnsi="华文楷体"/>
          <w:sz w:val="24"/>
          <w:szCs w:val="24"/>
          <w:lang w:eastAsia="zh-CN"/>
        </w:rPr>
        <w:t>3</w:t>
      </w:r>
      <w:r>
        <w:rPr>
          <w:rFonts w:ascii="华文楷体" w:hAnsi="华文楷体" w:hint="eastAsia"/>
          <w:sz w:val="24"/>
          <w:szCs w:val="24"/>
          <w:lang w:eastAsia="zh-CN"/>
        </w:rPr>
        <w:t>y和5y品种表现最好。企业债中， AAA3y企业债利率下降</w:t>
      </w:r>
      <w:r>
        <w:rPr>
          <w:rFonts w:ascii="华文楷体" w:hAnsi="华文楷体"/>
          <w:sz w:val="24"/>
          <w:szCs w:val="24"/>
          <w:lang w:eastAsia="zh-CN"/>
        </w:rPr>
        <w:t>2.4</w:t>
      </w:r>
      <w:r>
        <w:rPr>
          <w:rFonts w:ascii="华文楷体" w:hAnsi="华文楷体" w:hint="eastAsia"/>
          <w:sz w:val="24"/>
          <w:szCs w:val="24"/>
          <w:lang w:eastAsia="zh-CN"/>
        </w:rPr>
        <w:t>bp。城投方面，AA+</w:t>
      </w:r>
      <w:r>
        <w:rPr>
          <w:rFonts w:ascii="华文楷体" w:hAnsi="华文楷体"/>
          <w:sz w:val="24"/>
          <w:szCs w:val="24"/>
          <w:lang w:eastAsia="zh-CN"/>
        </w:rPr>
        <w:t>5</w:t>
      </w:r>
      <w:r>
        <w:rPr>
          <w:rFonts w:ascii="华文楷体" w:hAnsi="华文楷体" w:hint="eastAsia"/>
          <w:sz w:val="24"/>
          <w:szCs w:val="24"/>
          <w:lang w:eastAsia="zh-CN"/>
        </w:rPr>
        <w:t>y品种利率下行</w:t>
      </w:r>
      <w:r>
        <w:rPr>
          <w:rFonts w:ascii="华文楷体" w:hAnsi="华文楷体"/>
          <w:sz w:val="24"/>
          <w:szCs w:val="24"/>
          <w:lang w:eastAsia="zh-CN"/>
        </w:rPr>
        <w:t>4.1</w:t>
      </w:r>
      <w:r>
        <w:rPr>
          <w:rFonts w:ascii="华文楷体" w:hAnsi="华文楷体" w:hint="eastAsia"/>
          <w:sz w:val="24"/>
          <w:szCs w:val="24"/>
          <w:lang w:eastAsia="zh-CN"/>
        </w:rPr>
        <w:t>bp。</w:t>
      </w:r>
    </w:p>
    <w:tbl>
      <w:tblPr>
        <w:tblW w:w="9881" w:type="dxa"/>
        <w:jc w:val="center"/>
        <w:tblCellMar>
          <w:left w:w="0" w:type="dxa"/>
          <w:right w:w="0" w:type="dxa"/>
        </w:tblCellMar>
        <w:tblLook w:val="04A0" w:firstRow="1" w:lastRow="0" w:firstColumn="1" w:lastColumn="0" w:noHBand="0" w:noVBand="1"/>
      </w:tblPr>
      <w:tblGrid>
        <w:gridCol w:w="10874"/>
      </w:tblGrid>
      <w:tr w:rsidR="00D11634">
        <w:trPr>
          <w:trHeight w:val="269"/>
          <w:jc w:val="center"/>
        </w:trPr>
        <w:tc>
          <w:tcPr>
            <w:tcW w:w="9881" w:type="dxa"/>
            <w:vAlign w:val="center"/>
          </w:tcPr>
          <w:p w:rsidR="00D11634" w:rsidRDefault="008B0517">
            <w:pPr>
              <w:pStyle w:val="ChartHeading"/>
              <w:jc w:val="both"/>
            </w:pPr>
            <w:r>
              <w:rPr>
                <w:rFonts w:hint="eastAsia"/>
              </w:rPr>
              <w:t>图表</w:t>
            </w:r>
            <w:r>
              <w:t xml:space="preserve">. </w:t>
            </w:r>
            <w:r>
              <w:rPr>
                <w:rFonts w:hint="eastAsia"/>
              </w:rPr>
              <w:t>信用债收益率、利差变化情况</w:t>
            </w:r>
          </w:p>
        </w:tc>
      </w:tr>
      <w:tr w:rsidR="00D11634">
        <w:tblPrEx>
          <w:tblCellMar>
            <w:left w:w="108" w:type="dxa"/>
            <w:right w:w="108" w:type="dxa"/>
          </w:tblCellMar>
        </w:tblPrEx>
        <w:trPr>
          <w:trHeight w:val="391"/>
          <w:jc w:val="center"/>
        </w:trPr>
        <w:tc>
          <w:tcPr>
            <w:tcW w:w="9881" w:type="dxa"/>
            <w:vAlign w:val="center"/>
          </w:tcPr>
          <w:tbl>
            <w:tblPr>
              <w:tblW w:w="10648" w:type="dxa"/>
              <w:tblLook w:val="04A0" w:firstRow="1" w:lastRow="0" w:firstColumn="1" w:lastColumn="0" w:noHBand="0" w:noVBand="1"/>
            </w:tblPr>
            <w:tblGrid>
              <w:gridCol w:w="1288"/>
              <w:gridCol w:w="1040"/>
              <w:gridCol w:w="1040"/>
              <w:gridCol w:w="1040"/>
              <w:gridCol w:w="1040"/>
              <w:gridCol w:w="1040"/>
              <w:gridCol w:w="1040"/>
              <w:gridCol w:w="1040"/>
              <w:gridCol w:w="1040"/>
              <w:gridCol w:w="1040"/>
            </w:tblGrid>
            <w:tr w:rsidR="00D11634">
              <w:trPr>
                <w:trHeight w:val="300"/>
              </w:trPr>
              <w:tc>
                <w:tcPr>
                  <w:tcW w:w="1288" w:type="dxa"/>
                  <w:tcBorders>
                    <w:top w:val="nil"/>
                    <w:left w:val="nil"/>
                    <w:bottom w:val="single" w:sz="12" w:space="0" w:color="FFFFFF"/>
                    <w:right w:val="single" w:sz="8" w:space="0" w:color="FFFFFF"/>
                  </w:tcBorders>
                  <w:shd w:val="clear" w:color="000000" w:fill="F79646"/>
                  <w:noWrap/>
                  <w:vAlign w:val="center"/>
                </w:tcPr>
                <w:p w:rsidR="00D11634" w:rsidRDefault="008B0517">
                  <w:pPr>
                    <w:widowControl/>
                    <w:jc w:val="center"/>
                    <w:rPr>
                      <w:rFonts w:ascii="楷体" w:eastAsia="楷体" w:hAnsi="楷体" w:cs="宋体"/>
                      <w:b/>
                      <w:bCs/>
                      <w:color w:val="FFFFFF"/>
                      <w:kern w:val="0"/>
                      <w:sz w:val="16"/>
                      <w:szCs w:val="16"/>
                    </w:rPr>
                  </w:pPr>
                  <w:r>
                    <w:rPr>
                      <w:rFonts w:ascii="楷体" w:eastAsia="楷体" w:hAnsi="楷体" w:cs="宋体" w:hint="eastAsia"/>
                      <w:b/>
                      <w:bCs/>
                      <w:color w:val="FFFFFF"/>
                      <w:kern w:val="0"/>
                      <w:sz w:val="16"/>
                      <w:szCs w:val="16"/>
                    </w:rPr>
                    <w:t>收益率(%)</w:t>
                  </w:r>
                </w:p>
              </w:tc>
              <w:tc>
                <w:tcPr>
                  <w:tcW w:w="1040" w:type="dxa"/>
                  <w:tcBorders>
                    <w:top w:val="nil"/>
                    <w:left w:val="nil"/>
                    <w:bottom w:val="single" w:sz="12" w:space="0" w:color="FFFFFF"/>
                    <w:right w:val="single" w:sz="8" w:space="0" w:color="FFFFFF"/>
                  </w:tcBorders>
                  <w:shd w:val="clear" w:color="000000" w:fill="F79646"/>
                  <w:noWrap/>
                  <w:vAlign w:val="center"/>
                </w:tcPr>
                <w:p w:rsidR="00D11634" w:rsidRDefault="008B0517">
                  <w:pPr>
                    <w:widowControl/>
                    <w:jc w:val="center"/>
                    <w:rPr>
                      <w:rFonts w:ascii="楷体" w:eastAsia="楷体" w:hAnsi="楷体" w:cs="宋体"/>
                      <w:b/>
                      <w:bCs/>
                      <w:color w:val="FFFFFF"/>
                      <w:kern w:val="0"/>
                      <w:sz w:val="16"/>
                      <w:szCs w:val="16"/>
                    </w:rPr>
                  </w:pPr>
                  <w:r>
                    <w:rPr>
                      <w:rFonts w:ascii="楷体" w:eastAsia="楷体" w:hAnsi="楷体" w:cs="宋体" w:hint="eastAsia"/>
                      <w:b/>
                      <w:bCs/>
                      <w:color w:val="FFFFFF"/>
                      <w:kern w:val="0"/>
                      <w:sz w:val="16"/>
                      <w:szCs w:val="16"/>
                    </w:rPr>
                    <w:t>AAA</w:t>
                  </w:r>
                </w:p>
              </w:tc>
              <w:tc>
                <w:tcPr>
                  <w:tcW w:w="1040" w:type="dxa"/>
                  <w:tcBorders>
                    <w:top w:val="nil"/>
                    <w:left w:val="nil"/>
                    <w:bottom w:val="single" w:sz="12" w:space="0" w:color="FFFFFF"/>
                    <w:right w:val="single" w:sz="8" w:space="0" w:color="FFFFFF"/>
                  </w:tcBorders>
                  <w:shd w:val="clear" w:color="000000" w:fill="F79646"/>
                  <w:noWrap/>
                  <w:vAlign w:val="center"/>
                </w:tcPr>
                <w:p w:rsidR="00D11634" w:rsidRDefault="008B0517">
                  <w:pPr>
                    <w:widowControl/>
                    <w:jc w:val="center"/>
                    <w:rPr>
                      <w:rFonts w:ascii="楷体" w:eastAsia="楷体" w:hAnsi="楷体" w:cs="宋体"/>
                      <w:b/>
                      <w:bCs/>
                      <w:color w:val="FFFFFF"/>
                      <w:kern w:val="0"/>
                      <w:sz w:val="16"/>
                      <w:szCs w:val="16"/>
                    </w:rPr>
                  </w:pPr>
                  <w:r>
                    <w:rPr>
                      <w:rFonts w:ascii="楷体" w:eastAsia="楷体" w:hAnsi="楷体" w:cs="宋体" w:hint="eastAsia"/>
                      <w:b/>
                      <w:bCs/>
                      <w:color w:val="FFFFFF"/>
                      <w:kern w:val="0"/>
                      <w:sz w:val="16"/>
                      <w:szCs w:val="16"/>
                    </w:rPr>
                    <w:t>AA+</w:t>
                  </w:r>
                </w:p>
              </w:tc>
              <w:tc>
                <w:tcPr>
                  <w:tcW w:w="1040" w:type="dxa"/>
                  <w:tcBorders>
                    <w:top w:val="nil"/>
                    <w:left w:val="nil"/>
                    <w:bottom w:val="single" w:sz="12" w:space="0" w:color="FFFFFF"/>
                    <w:right w:val="single" w:sz="8" w:space="0" w:color="FFFFFF"/>
                  </w:tcBorders>
                  <w:shd w:val="clear" w:color="000000" w:fill="F79646"/>
                  <w:noWrap/>
                  <w:vAlign w:val="center"/>
                </w:tcPr>
                <w:p w:rsidR="00D11634" w:rsidRDefault="008B0517">
                  <w:pPr>
                    <w:widowControl/>
                    <w:jc w:val="center"/>
                    <w:rPr>
                      <w:rFonts w:ascii="楷体" w:eastAsia="楷体" w:hAnsi="楷体" w:cs="宋体"/>
                      <w:b/>
                      <w:bCs/>
                      <w:color w:val="FFFFFF"/>
                      <w:kern w:val="0"/>
                      <w:sz w:val="16"/>
                      <w:szCs w:val="16"/>
                    </w:rPr>
                  </w:pPr>
                  <w:r>
                    <w:rPr>
                      <w:rFonts w:ascii="楷体" w:eastAsia="楷体" w:hAnsi="楷体" w:cs="宋体" w:hint="eastAsia"/>
                      <w:b/>
                      <w:bCs/>
                      <w:color w:val="FFFFFF"/>
                      <w:kern w:val="0"/>
                      <w:sz w:val="16"/>
                      <w:szCs w:val="16"/>
                    </w:rPr>
                    <w:t>AA</w:t>
                  </w:r>
                </w:p>
              </w:tc>
              <w:tc>
                <w:tcPr>
                  <w:tcW w:w="1040" w:type="dxa"/>
                  <w:tcBorders>
                    <w:top w:val="nil"/>
                    <w:left w:val="nil"/>
                    <w:bottom w:val="single" w:sz="12" w:space="0" w:color="FFFFFF"/>
                    <w:right w:val="single" w:sz="8" w:space="0" w:color="FFFFFF"/>
                  </w:tcBorders>
                  <w:shd w:val="clear" w:color="000000" w:fill="F79646"/>
                  <w:noWrap/>
                  <w:vAlign w:val="center"/>
                </w:tcPr>
                <w:p w:rsidR="00D11634" w:rsidRDefault="008B0517">
                  <w:pPr>
                    <w:widowControl/>
                    <w:jc w:val="center"/>
                    <w:rPr>
                      <w:rFonts w:ascii="楷体" w:eastAsia="楷体" w:hAnsi="楷体" w:cs="宋体"/>
                      <w:b/>
                      <w:bCs/>
                      <w:color w:val="FFFFFF"/>
                      <w:kern w:val="0"/>
                      <w:sz w:val="16"/>
                      <w:szCs w:val="16"/>
                    </w:rPr>
                  </w:pPr>
                  <w:r>
                    <w:rPr>
                      <w:rFonts w:ascii="楷体" w:eastAsia="楷体" w:hAnsi="楷体" w:cs="宋体" w:hint="eastAsia"/>
                      <w:b/>
                      <w:bCs/>
                      <w:color w:val="FFFFFF"/>
                      <w:kern w:val="0"/>
                      <w:sz w:val="16"/>
                      <w:szCs w:val="16"/>
                    </w:rPr>
                    <w:t>AA-</w:t>
                  </w:r>
                </w:p>
              </w:tc>
              <w:tc>
                <w:tcPr>
                  <w:tcW w:w="1040" w:type="dxa"/>
                  <w:tcBorders>
                    <w:top w:val="nil"/>
                    <w:left w:val="nil"/>
                    <w:bottom w:val="single" w:sz="12" w:space="0" w:color="FFFFFF"/>
                    <w:right w:val="single" w:sz="8" w:space="0" w:color="FFFFFF"/>
                  </w:tcBorders>
                  <w:shd w:val="clear" w:color="000000" w:fill="F79646"/>
                  <w:noWrap/>
                  <w:vAlign w:val="center"/>
                </w:tcPr>
                <w:p w:rsidR="00D11634" w:rsidRDefault="008B0517">
                  <w:pPr>
                    <w:widowControl/>
                    <w:jc w:val="center"/>
                    <w:rPr>
                      <w:rFonts w:ascii="楷体" w:eastAsia="楷体" w:hAnsi="楷体" w:cs="宋体"/>
                      <w:b/>
                      <w:bCs/>
                      <w:color w:val="FFFFFF"/>
                      <w:kern w:val="0"/>
                      <w:sz w:val="16"/>
                      <w:szCs w:val="16"/>
                    </w:rPr>
                  </w:pPr>
                  <w:r>
                    <w:rPr>
                      <w:rFonts w:ascii="楷体" w:eastAsia="楷体" w:hAnsi="楷体" w:cs="宋体" w:hint="eastAsia"/>
                      <w:b/>
                      <w:bCs/>
                      <w:color w:val="FFFFFF"/>
                      <w:kern w:val="0"/>
                      <w:sz w:val="16"/>
                      <w:szCs w:val="16"/>
                    </w:rPr>
                    <w:t>息差</w:t>
                  </w:r>
                </w:p>
              </w:tc>
              <w:tc>
                <w:tcPr>
                  <w:tcW w:w="1040" w:type="dxa"/>
                  <w:tcBorders>
                    <w:top w:val="nil"/>
                    <w:left w:val="nil"/>
                    <w:bottom w:val="single" w:sz="12" w:space="0" w:color="FFFFFF"/>
                    <w:right w:val="single" w:sz="8" w:space="0" w:color="FFFFFF"/>
                  </w:tcBorders>
                  <w:shd w:val="clear" w:color="000000" w:fill="F79646"/>
                  <w:noWrap/>
                  <w:vAlign w:val="center"/>
                </w:tcPr>
                <w:p w:rsidR="00D11634" w:rsidRDefault="008B0517">
                  <w:pPr>
                    <w:widowControl/>
                    <w:jc w:val="center"/>
                    <w:rPr>
                      <w:rFonts w:ascii="楷体" w:eastAsia="楷体" w:hAnsi="楷体" w:cs="宋体"/>
                      <w:b/>
                      <w:bCs/>
                      <w:color w:val="FFFFFF"/>
                      <w:kern w:val="0"/>
                      <w:sz w:val="16"/>
                      <w:szCs w:val="16"/>
                    </w:rPr>
                  </w:pPr>
                  <w:r>
                    <w:rPr>
                      <w:rFonts w:ascii="楷体" w:eastAsia="楷体" w:hAnsi="楷体" w:cs="宋体" w:hint="eastAsia"/>
                      <w:b/>
                      <w:bCs/>
                      <w:color w:val="FFFFFF"/>
                      <w:kern w:val="0"/>
                      <w:sz w:val="16"/>
                      <w:szCs w:val="16"/>
                    </w:rPr>
                    <w:t>AAA</w:t>
                  </w:r>
                </w:p>
              </w:tc>
              <w:tc>
                <w:tcPr>
                  <w:tcW w:w="1040" w:type="dxa"/>
                  <w:tcBorders>
                    <w:top w:val="nil"/>
                    <w:left w:val="nil"/>
                    <w:bottom w:val="single" w:sz="12" w:space="0" w:color="FFFFFF"/>
                    <w:right w:val="single" w:sz="8" w:space="0" w:color="FFFFFF"/>
                  </w:tcBorders>
                  <w:shd w:val="clear" w:color="000000" w:fill="F79646"/>
                  <w:noWrap/>
                  <w:vAlign w:val="center"/>
                </w:tcPr>
                <w:p w:rsidR="00D11634" w:rsidRDefault="008B0517">
                  <w:pPr>
                    <w:widowControl/>
                    <w:jc w:val="center"/>
                    <w:rPr>
                      <w:rFonts w:ascii="楷体" w:eastAsia="楷体" w:hAnsi="楷体" w:cs="宋体"/>
                      <w:b/>
                      <w:bCs/>
                      <w:color w:val="FFFFFF"/>
                      <w:kern w:val="0"/>
                      <w:sz w:val="16"/>
                      <w:szCs w:val="16"/>
                    </w:rPr>
                  </w:pPr>
                  <w:r>
                    <w:rPr>
                      <w:rFonts w:ascii="楷体" w:eastAsia="楷体" w:hAnsi="楷体" w:cs="宋体" w:hint="eastAsia"/>
                      <w:b/>
                      <w:bCs/>
                      <w:color w:val="FFFFFF"/>
                      <w:kern w:val="0"/>
                      <w:sz w:val="16"/>
                      <w:szCs w:val="16"/>
                    </w:rPr>
                    <w:t>AA+</w:t>
                  </w:r>
                </w:p>
              </w:tc>
              <w:tc>
                <w:tcPr>
                  <w:tcW w:w="1040" w:type="dxa"/>
                  <w:tcBorders>
                    <w:top w:val="nil"/>
                    <w:left w:val="nil"/>
                    <w:bottom w:val="single" w:sz="12" w:space="0" w:color="FFFFFF"/>
                    <w:right w:val="single" w:sz="8" w:space="0" w:color="FFFFFF"/>
                  </w:tcBorders>
                  <w:shd w:val="clear" w:color="000000" w:fill="F79646"/>
                  <w:noWrap/>
                  <w:vAlign w:val="center"/>
                </w:tcPr>
                <w:p w:rsidR="00D11634" w:rsidRDefault="008B0517">
                  <w:pPr>
                    <w:widowControl/>
                    <w:jc w:val="center"/>
                    <w:rPr>
                      <w:rFonts w:ascii="楷体" w:eastAsia="楷体" w:hAnsi="楷体" w:cs="宋体"/>
                      <w:b/>
                      <w:bCs/>
                      <w:color w:val="FFFFFF"/>
                      <w:kern w:val="0"/>
                      <w:sz w:val="16"/>
                      <w:szCs w:val="16"/>
                    </w:rPr>
                  </w:pPr>
                  <w:r>
                    <w:rPr>
                      <w:rFonts w:ascii="楷体" w:eastAsia="楷体" w:hAnsi="楷体" w:cs="宋体" w:hint="eastAsia"/>
                      <w:b/>
                      <w:bCs/>
                      <w:color w:val="FFFFFF"/>
                      <w:kern w:val="0"/>
                      <w:sz w:val="16"/>
                      <w:szCs w:val="16"/>
                    </w:rPr>
                    <w:t>AA</w:t>
                  </w:r>
                </w:p>
              </w:tc>
              <w:tc>
                <w:tcPr>
                  <w:tcW w:w="1040" w:type="dxa"/>
                  <w:tcBorders>
                    <w:top w:val="nil"/>
                    <w:left w:val="nil"/>
                    <w:bottom w:val="single" w:sz="12" w:space="0" w:color="FFFFFF"/>
                    <w:right w:val="single" w:sz="8" w:space="0" w:color="FFFFFF"/>
                  </w:tcBorders>
                  <w:shd w:val="clear" w:color="000000" w:fill="F79646"/>
                  <w:noWrap/>
                  <w:vAlign w:val="center"/>
                </w:tcPr>
                <w:p w:rsidR="00D11634" w:rsidRDefault="008B0517">
                  <w:pPr>
                    <w:widowControl/>
                    <w:jc w:val="center"/>
                    <w:rPr>
                      <w:rFonts w:ascii="楷体" w:eastAsia="楷体" w:hAnsi="楷体" w:cs="宋体"/>
                      <w:b/>
                      <w:bCs/>
                      <w:color w:val="FFFFFF"/>
                      <w:kern w:val="0"/>
                      <w:sz w:val="16"/>
                      <w:szCs w:val="16"/>
                    </w:rPr>
                  </w:pPr>
                  <w:r>
                    <w:rPr>
                      <w:rFonts w:ascii="楷体" w:eastAsia="楷体" w:hAnsi="楷体" w:cs="宋体" w:hint="eastAsia"/>
                      <w:b/>
                      <w:bCs/>
                      <w:color w:val="FFFFFF"/>
                      <w:kern w:val="0"/>
                      <w:sz w:val="16"/>
                      <w:szCs w:val="16"/>
                    </w:rPr>
                    <w:t>AA-</w:t>
                  </w:r>
                </w:p>
              </w:tc>
            </w:tr>
            <w:tr w:rsidR="00D11634">
              <w:trPr>
                <w:trHeight w:val="315"/>
              </w:trPr>
              <w:tc>
                <w:tcPr>
                  <w:tcW w:w="1288"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CP</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3.20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3.36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3.49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5.57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CP</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0.59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0.75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0.88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2.96 </w:t>
                  </w:r>
                </w:p>
              </w:tc>
            </w:tr>
            <w:tr w:rsidR="00D11634">
              <w:trPr>
                <w:trHeight w:val="300"/>
              </w:trPr>
              <w:tc>
                <w:tcPr>
                  <w:tcW w:w="1288"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MTN3Y</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3.68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3.90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4.04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6.13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MTN3Y</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0.85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1.07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1.21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3.30 </w:t>
                  </w:r>
                </w:p>
              </w:tc>
            </w:tr>
            <w:tr w:rsidR="00D11634">
              <w:trPr>
                <w:trHeight w:val="300"/>
              </w:trPr>
              <w:tc>
                <w:tcPr>
                  <w:tcW w:w="1288"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MTN5Y</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3.97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4.23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4.62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6.79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MTN5Y</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1.00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1.26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1.65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3.82 </w:t>
                  </w:r>
                </w:p>
              </w:tc>
            </w:tr>
            <w:tr w:rsidR="00D11634">
              <w:trPr>
                <w:trHeight w:val="300"/>
              </w:trPr>
              <w:tc>
                <w:tcPr>
                  <w:tcW w:w="1288"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企业债3Y</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3.69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3.91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4.05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6.14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企业债3Y</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0.86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1.08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1.22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3.31 </w:t>
                  </w:r>
                </w:p>
              </w:tc>
            </w:tr>
            <w:tr w:rsidR="00D11634">
              <w:trPr>
                <w:trHeight w:val="300"/>
              </w:trPr>
              <w:tc>
                <w:tcPr>
                  <w:tcW w:w="1288"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企业债5Y</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3.97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4.23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4.62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6.79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企业债5Y</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1.00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1.26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1.65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3.82 </w:t>
                  </w:r>
                </w:p>
              </w:tc>
            </w:tr>
            <w:tr w:rsidR="00D11634">
              <w:trPr>
                <w:trHeight w:val="300"/>
              </w:trPr>
              <w:tc>
                <w:tcPr>
                  <w:tcW w:w="1288"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企业债7Y</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4.06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4.40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4.79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6.97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企业债7Y</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0.89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1.23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1.62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3.80 </w:t>
                  </w:r>
                </w:p>
              </w:tc>
            </w:tr>
            <w:tr w:rsidR="00D11634">
              <w:trPr>
                <w:trHeight w:val="300"/>
              </w:trPr>
              <w:tc>
                <w:tcPr>
                  <w:tcW w:w="1288"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ascii="楷体" w:eastAsia="楷体" w:hAnsi="楷体" w:cs="宋体"/>
                      <w:color w:val="000000"/>
                      <w:kern w:val="0"/>
                      <w:sz w:val="16"/>
                      <w:szCs w:val="16"/>
                    </w:rPr>
                  </w:pPr>
                  <w:proofErr w:type="gramStart"/>
                  <w:r>
                    <w:rPr>
                      <w:rFonts w:ascii="楷体" w:eastAsia="楷体" w:hAnsi="楷体" w:cs="宋体" w:hint="eastAsia"/>
                      <w:color w:val="000000"/>
                      <w:kern w:val="0"/>
                      <w:sz w:val="16"/>
                      <w:szCs w:val="16"/>
                    </w:rPr>
                    <w:t>城投债</w:t>
                  </w:r>
                  <w:proofErr w:type="gramEnd"/>
                  <w:r>
                    <w:rPr>
                      <w:rFonts w:ascii="楷体" w:eastAsia="楷体" w:hAnsi="楷体" w:cs="宋体" w:hint="eastAsia"/>
                      <w:color w:val="000000"/>
                      <w:kern w:val="0"/>
                      <w:sz w:val="16"/>
                      <w:szCs w:val="16"/>
                    </w:rPr>
                    <w:t>3Y</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3.72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3.87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3.97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5.69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ascii="楷体" w:eastAsia="楷体" w:hAnsi="楷体" w:cs="宋体"/>
                      <w:color w:val="000000"/>
                      <w:kern w:val="0"/>
                      <w:sz w:val="16"/>
                      <w:szCs w:val="16"/>
                    </w:rPr>
                  </w:pPr>
                  <w:proofErr w:type="gramStart"/>
                  <w:r>
                    <w:rPr>
                      <w:rFonts w:ascii="楷体" w:eastAsia="楷体" w:hAnsi="楷体" w:cs="宋体" w:hint="eastAsia"/>
                      <w:color w:val="000000"/>
                      <w:kern w:val="0"/>
                      <w:sz w:val="16"/>
                      <w:szCs w:val="16"/>
                    </w:rPr>
                    <w:t>城投债</w:t>
                  </w:r>
                  <w:proofErr w:type="gramEnd"/>
                  <w:r>
                    <w:rPr>
                      <w:rFonts w:ascii="楷体" w:eastAsia="楷体" w:hAnsi="楷体" w:cs="宋体" w:hint="eastAsia"/>
                      <w:color w:val="000000"/>
                      <w:kern w:val="0"/>
                      <w:sz w:val="16"/>
                      <w:szCs w:val="16"/>
                    </w:rPr>
                    <w:t>3Y</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0.89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1.04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1.14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2.86 </w:t>
                  </w:r>
                </w:p>
              </w:tc>
            </w:tr>
            <w:tr w:rsidR="00D11634">
              <w:trPr>
                <w:trHeight w:val="300"/>
              </w:trPr>
              <w:tc>
                <w:tcPr>
                  <w:tcW w:w="1288"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ascii="楷体" w:eastAsia="楷体" w:hAnsi="楷体" w:cs="宋体"/>
                      <w:color w:val="000000"/>
                      <w:kern w:val="0"/>
                      <w:sz w:val="16"/>
                      <w:szCs w:val="16"/>
                    </w:rPr>
                  </w:pPr>
                  <w:proofErr w:type="gramStart"/>
                  <w:r>
                    <w:rPr>
                      <w:rFonts w:ascii="楷体" w:eastAsia="楷体" w:hAnsi="楷体" w:cs="宋体" w:hint="eastAsia"/>
                      <w:color w:val="000000"/>
                      <w:kern w:val="0"/>
                      <w:sz w:val="16"/>
                      <w:szCs w:val="16"/>
                    </w:rPr>
                    <w:t>城投债</w:t>
                  </w:r>
                  <w:proofErr w:type="gramEnd"/>
                  <w:r>
                    <w:rPr>
                      <w:rFonts w:ascii="楷体" w:eastAsia="楷体" w:hAnsi="楷体" w:cs="宋体" w:hint="eastAsia"/>
                      <w:color w:val="000000"/>
                      <w:kern w:val="0"/>
                      <w:sz w:val="16"/>
                      <w:szCs w:val="16"/>
                    </w:rPr>
                    <w:t>5Y</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4.02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4.20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4.43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6.66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ascii="楷体" w:eastAsia="楷体" w:hAnsi="楷体" w:cs="宋体"/>
                      <w:color w:val="000000"/>
                      <w:kern w:val="0"/>
                      <w:sz w:val="16"/>
                      <w:szCs w:val="16"/>
                    </w:rPr>
                  </w:pPr>
                  <w:proofErr w:type="gramStart"/>
                  <w:r>
                    <w:rPr>
                      <w:rFonts w:ascii="楷体" w:eastAsia="楷体" w:hAnsi="楷体" w:cs="宋体" w:hint="eastAsia"/>
                      <w:color w:val="000000"/>
                      <w:kern w:val="0"/>
                      <w:sz w:val="16"/>
                      <w:szCs w:val="16"/>
                    </w:rPr>
                    <w:t>城投债</w:t>
                  </w:r>
                  <w:proofErr w:type="gramEnd"/>
                  <w:r>
                    <w:rPr>
                      <w:rFonts w:ascii="楷体" w:eastAsia="楷体" w:hAnsi="楷体" w:cs="宋体" w:hint="eastAsia"/>
                      <w:color w:val="000000"/>
                      <w:kern w:val="0"/>
                      <w:sz w:val="16"/>
                      <w:szCs w:val="16"/>
                    </w:rPr>
                    <w:t>5Y</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1.05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1.23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1.46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3.69 </w:t>
                  </w:r>
                </w:p>
              </w:tc>
            </w:tr>
            <w:tr w:rsidR="00D11634">
              <w:trPr>
                <w:trHeight w:val="300"/>
              </w:trPr>
              <w:tc>
                <w:tcPr>
                  <w:tcW w:w="1288" w:type="dxa"/>
                  <w:tcBorders>
                    <w:top w:val="nil"/>
                    <w:left w:val="nil"/>
                    <w:bottom w:val="nil"/>
                    <w:right w:val="nil"/>
                  </w:tcBorders>
                  <w:shd w:val="clear" w:color="000000" w:fill="FCD5B4"/>
                  <w:noWrap/>
                  <w:vAlign w:val="center"/>
                </w:tcPr>
                <w:p w:rsidR="00D11634" w:rsidRDefault="008B0517">
                  <w:pPr>
                    <w:widowControl/>
                    <w:jc w:val="center"/>
                    <w:rPr>
                      <w:rFonts w:ascii="楷体" w:eastAsia="楷体" w:hAnsi="楷体" w:cs="宋体"/>
                      <w:color w:val="000000"/>
                      <w:kern w:val="0"/>
                      <w:sz w:val="16"/>
                      <w:szCs w:val="16"/>
                    </w:rPr>
                  </w:pPr>
                  <w:proofErr w:type="gramStart"/>
                  <w:r>
                    <w:rPr>
                      <w:rFonts w:ascii="楷体" w:eastAsia="楷体" w:hAnsi="楷体" w:cs="宋体" w:hint="eastAsia"/>
                      <w:color w:val="000000"/>
                      <w:kern w:val="0"/>
                      <w:sz w:val="16"/>
                      <w:szCs w:val="16"/>
                    </w:rPr>
                    <w:t>城投债</w:t>
                  </w:r>
                  <w:proofErr w:type="gramEnd"/>
                  <w:r>
                    <w:rPr>
                      <w:rFonts w:ascii="楷体" w:eastAsia="楷体" w:hAnsi="楷体" w:cs="宋体" w:hint="eastAsia"/>
                      <w:color w:val="000000"/>
                      <w:kern w:val="0"/>
                      <w:sz w:val="16"/>
                      <w:szCs w:val="16"/>
                    </w:rPr>
                    <w:t>7Y</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4.11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4.29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4.61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7.01 </w:t>
                  </w:r>
                </w:p>
              </w:tc>
              <w:tc>
                <w:tcPr>
                  <w:tcW w:w="1040" w:type="dxa"/>
                  <w:tcBorders>
                    <w:top w:val="nil"/>
                    <w:left w:val="nil"/>
                    <w:bottom w:val="nil"/>
                    <w:right w:val="nil"/>
                  </w:tcBorders>
                  <w:shd w:val="clear" w:color="000000" w:fill="FCD5B4"/>
                  <w:noWrap/>
                  <w:vAlign w:val="center"/>
                </w:tcPr>
                <w:p w:rsidR="00D11634" w:rsidRDefault="008B0517">
                  <w:pPr>
                    <w:widowControl/>
                    <w:jc w:val="center"/>
                    <w:rPr>
                      <w:rFonts w:ascii="楷体" w:eastAsia="楷体" w:hAnsi="楷体" w:cs="宋体"/>
                      <w:color w:val="000000"/>
                      <w:kern w:val="0"/>
                      <w:sz w:val="16"/>
                      <w:szCs w:val="16"/>
                    </w:rPr>
                  </w:pPr>
                  <w:proofErr w:type="gramStart"/>
                  <w:r>
                    <w:rPr>
                      <w:rFonts w:ascii="楷体" w:eastAsia="楷体" w:hAnsi="楷体" w:cs="宋体" w:hint="eastAsia"/>
                      <w:color w:val="000000"/>
                      <w:kern w:val="0"/>
                      <w:sz w:val="16"/>
                      <w:szCs w:val="16"/>
                    </w:rPr>
                    <w:t>城投债</w:t>
                  </w:r>
                  <w:proofErr w:type="gramEnd"/>
                  <w:r>
                    <w:rPr>
                      <w:rFonts w:ascii="楷体" w:eastAsia="楷体" w:hAnsi="楷体" w:cs="宋体" w:hint="eastAsia"/>
                      <w:color w:val="000000"/>
                      <w:kern w:val="0"/>
                      <w:sz w:val="16"/>
                      <w:szCs w:val="16"/>
                    </w:rPr>
                    <w:t>7Y</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0.94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1.12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1.44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3.84 </w:t>
                  </w:r>
                </w:p>
              </w:tc>
            </w:tr>
            <w:tr w:rsidR="00D11634">
              <w:trPr>
                <w:trHeight w:val="150"/>
              </w:trPr>
              <w:tc>
                <w:tcPr>
                  <w:tcW w:w="1288" w:type="dxa"/>
                  <w:tcBorders>
                    <w:top w:val="nil"/>
                    <w:left w:val="nil"/>
                    <w:bottom w:val="nil"/>
                    <w:right w:val="nil"/>
                  </w:tcBorders>
                  <w:shd w:val="clear" w:color="auto" w:fill="auto"/>
                  <w:noWrap/>
                  <w:vAlign w:val="center"/>
                </w:tcPr>
                <w:p w:rsidR="00D11634" w:rsidRDefault="00D11634">
                  <w:pPr>
                    <w:widowControl/>
                    <w:jc w:val="center"/>
                    <w:rPr>
                      <w:rFonts w:eastAsia="等线" w:cs="Calibri"/>
                      <w:color w:val="000000"/>
                      <w:kern w:val="0"/>
                      <w:sz w:val="16"/>
                      <w:szCs w:val="16"/>
                    </w:rPr>
                  </w:pPr>
                </w:p>
              </w:tc>
              <w:tc>
                <w:tcPr>
                  <w:tcW w:w="1040" w:type="dxa"/>
                  <w:tcBorders>
                    <w:top w:val="nil"/>
                    <w:left w:val="nil"/>
                    <w:bottom w:val="nil"/>
                    <w:right w:val="nil"/>
                  </w:tcBorders>
                  <w:shd w:val="clear" w:color="auto" w:fill="auto"/>
                  <w:noWrap/>
                  <w:vAlign w:val="center"/>
                </w:tcPr>
                <w:p w:rsidR="00D11634" w:rsidRDefault="00D11634">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tcPr>
                <w:p w:rsidR="00D11634" w:rsidRDefault="00D11634">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tcPr>
                <w:p w:rsidR="00D11634" w:rsidRDefault="00D11634">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tcPr>
                <w:p w:rsidR="00D11634" w:rsidRDefault="00D11634">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tcPr>
                <w:p w:rsidR="00D11634" w:rsidRDefault="00D11634">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tcPr>
                <w:p w:rsidR="00D11634" w:rsidRDefault="00D11634">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tcPr>
                <w:p w:rsidR="00D11634" w:rsidRDefault="00D11634">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tcPr>
                <w:p w:rsidR="00D11634" w:rsidRDefault="00D11634">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tcPr>
                <w:p w:rsidR="00D11634" w:rsidRDefault="00D11634">
                  <w:pPr>
                    <w:widowControl/>
                    <w:jc w:val="center"/>
                    <w:rPr>
                      <w:rFonts w:ascii="Times New Roman" w:eastAsia="Times New Roman" w:hAnsi="Times New Roman"/>
                      <w:kern w:val="0"/>
                      <w:sz w:val="16"/>
                      <w:szCs w:val="16"/>
                    </w:rPr>
                  </w:pPr>
                </w:p>
              </w:tc>
            </w:tr>
            <w:tr w:rsidR="00D11634">
              <w:trPr>
                <w:trHeight w:val="300"/>
              </w:trPr>
              <w:tc>
                <w:tcPr>
                  <w:tcW w:w="1288" w:type="dxa"/>
                  <w:tcBorders>
                    <w:top w:val="nil"/>
                    <w:left w:val="nil"/>
                    <w:bottom w:val="single" w:sz="12" w:space="0" w:color="FFFFFF"/>
                    <w:right w:val="single" w:sz="8" w:space="0" w:color="FFFFFF"/>
                  </w:tcBorders>
                  <w:shd w:val="clear" w:color="000000" w:fill="F79646"/>
                  <w:noWrap/>
                  <w:vAlign w:val="center"/>
                </w:tcPr>
                <w:p w:rsidR="00D11634" w:rsidRDefault="008B0517">
                  <w:pPr>
                    <w:widowControl/>
                    <w:jc w:val="center"/>
                    <w:rPr>
                      <w:rFonts w:ascii="楷体" w:eastAsia="楷体" w:hAnsi="楷体" w:cs="宋体"/>
                      <w:b/>
                      <w:bCs/>
                      <w:color w:val="FFFFFF"/>
                      <w:kern w:val="0"/>
                      <w:sz w:val="16"/>
                      <w:szCs w:val="16"/>
                    </w:rPr>
                  </w:pPr>
                  <w:proofErr w:type="gramStart"/>
                  <w:r>
                    <w:rPr>
                      <w:rFonts w:ascii="楷体" w:eastAsia="楷体" w:hAnsi="楷体" w:cs="宋体" w:hint="eastAsia"/>
                      <w:b/>
                      <w:bCs/>
                      <w:color w:val="FFFFFF"/>
                      <w:kern w:val="0"/>
                      <w:sz w:val="16"/>
                      <w:szCs w:val="16"/>
                    </w:rPr>
                    <w:t>周变化</w:t>
                  </w:r>
                  <w:proofErr w:type="gramEnd"/>
                  <w:r>
                    <w:rPr>
                      <w:rFonts w:ascii="楷体" w:eastAsia="楷体" w:hAnsi="楷体" w:cs="宋体" w:hint="eastAsia"/>
                      <w:b/>
                      <w:bCs/>
                      <w:color w:val="FFFFFF"/>
                      <w:kern w:val="0"/>
                      <w:sz w:val="16"/>
                      <w:szCs w:val="16"/>
                    </w:rPr>
                    <w:t>(BP)</w:t>
                  </w:r>
                </w:p>
              </w:tc>
              <w:tc>
                <w:tcPr>
                  <w:tcW w:w="1040" w:type="dxa"/>
                  <w:tcBorders>
                    <w:top w:val="nil"/>
                    <w:left w:val="nil"/>
                    <w:bottom w:val="single" w:sz="12" w:space="0" w:color="FFFFFF"/>
                    <w:right w:val="single" w:sz="8" w:space="0" w:color="FFFFFF"/>
                  </w:tcBorders>
                  <w:shd w:val="clear" w:color="000000" w:fill="F79646"/>
                  <w:noWrap/>
                  <w:vAlign w:val="center"/>
                </w:tcPr>
                <w:p w:rsidR="00D11634" w:rsidRDefault="008B0517">
                  <w:pPr>
                    <w:widowControl/>
                    <w:jc w:val="center"/>
                    <w:rPr>
                      <w:rFonts w:ascii="楷体" w:eastAsia="楷体" w:hAnsi="楷体" w:cs="宋体"/>
                      <w:b/>
                      <w:bCs/>
                      <w:color w:val="FFFFFF"/>
                      <w:kern w:val="0"/>
                      <w:sz w:val="16"/>
                      <w:szCs w:val="16"/>
                    </w:rPr>
                  </w:pPr>
                  <w:r>
                    <w:rPr>
                      <w:rFonts w:ascii="楷体" w:eastAsia="楷体" w:hAnsi="楷体" w:cs="宋体" w:hint="eastAsia"/>
                      <w:b/>
                      <w:bCs/>
                      <w:color w:val="FFFFFF"/>
                      <w:kern w:val="0"/>
                      <w:sz w:val="16"/>
                      <w:szCs w:val="16"/>
                    </w:rPr>
                    <w:t>AAA</w:t>
                  </w:r>
                </w:p>
              </w:tc>
              <w:tc>
                <w:tcPr>
                  <w:tcW w:w="1040" w:type="dxa"/>
                  <w:tcBorders>
                    <w:top w:val="nil"/>
                    <w:left w:val="nil"/>
                    <w:bottom w:val="single" w:sz="12" w:space="0" w:color="FFFFFF"/>
                    <w:right w:val="single" w:sz="8" w:space="0" w:color="FFFFFF"/>
                  </w:tcBorders>
                  <w:shd w:val="clear" w:color="000000" w:fill="F79646"/>
                  <w:noWrap/>
                  <w:vAlign w:val="center"/>
                </w:tcPr>
                <w:p w:rsidR="00D11634" w:rsidRDefault="008B0517">
                  <w:pPr>
                    <w:widowControl/>
                    <w:jc w:val="center"/>
                    <w:rPr>
                      <w:rFonts w:ascii="楷体" w:eastAsia="楷体" w:hAnsi="楷体" w:cs="宋体"/>
                      <w:b/>
                      <w:bCs/>
                      <w:color w:val="FFFFFF"/>
                      <w:kern w:val="0"/>
                      <w:sz w:val="16"/>
                      <w:szCs w:val="16"/>
                    </w:rPr>
                  </w:pPr>
                  <w:r>
                    <w:rPr>
                      <w:rFonts w:ascii="楷体" w:eastAsia="楷体" w:hAnsi="楷体" w:cs="宋体" w:hint="eastAsia"/>
                      <w:b/>
                      <w:bCs/>
                      <w:color w:val="FFFFFF"/>
                      <w:kern w:val="0"/>
                      <w:sz w:val="16"/>
                      <w:szCs w:val="16"/>
                    </w:rPr>
                    <w:t>AA+</w:t>
                  </w:r>
                </w:p>
              </w:tc>
              <w:tc>
                <w:tcPr>
                  <w:tcW w:w="1040" w:type="dxa"/>
                  <w:tcBorders>
                    <w:top w:val="nil"/>
                    <w:left w:val="nil"/>
                    <w:bottom w:val="single" w:sz="12" w:space="0" w:color="FFFFFF"/>
                    <w:right w:val="single" w:sz="8" w:space="0" w:color="FFFFFF"/>
                  </w:tcBorders>
                  <w:shd w:val="clear" w:color="000000" w:fill="F79646"/>
                  <w:noWrap/>
                  <w:vAlign w:val="center"/>
                </w:tcPr>
                <w:p w:rsidR="00D11634" w:rsidRDefault="008B0517">
                  <w:pPr>
                    <w:widowControl/>
                    <w:jc w:val="center"/>
                    <w:rPr>
                      <w:rFonts w:ascii="楷体" w:eastAsia="楷体" w:hAnsi="楷体" w:cs="宋体"/>
                      <w:b/>
                      <w:bCs/>
                      <w:color w:val="FFFFFF"/>
                      <w:kern w:val="0"/>
                      <w:sz w:val="16"/>
                      <w:szCs w:val="16"/>
                    </w:rPr>
                  </w:pPr>
                  <w:r>
                    <w:rPr>
                      <w:rFonts w:ascii="楷体" w:eastAsia="楷体" w:hAnsi="楷体" w:cs="宋体" w:hint="eastAsia"/>
                      <w:b/>
                      <w:bCs/>
                      <w:color w:val="FFFFFF"/>
                      <w:kern w:val="0"/>
                      <w:sz w:val="16"/>
                      <w:szCs w:val="16"/>
                    </w:rPr>
                    <w:t>AA</w:t>
                  </w:r>
                </w:p>
              </w:tc>
              <w:tc>
                <w:tcPr>
                  <w:tcW w:w="1040" w:type="dxa"/>
                  <w:tcBorders>
                    <w:top w:val="nil"/>
                    <w:left w:val="nil"/>
                    <w:bottom w:val="single" w:sz="12" w:space="0" w:color="FFFFFF"/>
                    <w:right w:val="single" w:sz="8" w:space="0" w:color="FFFFFF"/>
                  </w:tcBorders>
                  <w:shd w:val="clear" w:color="000000" w:fill="F79646"/>
                  <w:noWrap/>
                  <w:vAlign w:val="center"/>
                </w:tcPr>
                <w:p w:rsidR="00D11634" w:rsidRDefault="008B0517">
                  <w:pPr>
                    <w:widowControl/>
                    <w:jc w:val="center"/>
                    <w:rPr>
                      <w:rFonts w:ascii="楷体" w:eastAsia="楷体" w:hAnsi="楷体" w:cs="宋体"/>
                      <w:b/>
                      <w:bCs/>
                      <w:color w:val="FFFFFF"/>
                      <w:kern w:val="0"/>
                      <w:sz w:val="16"/>
                      <w:szCs w:val="16"/>
                    </w:rPr>
                  </w:pPr>
                  <w:r>
                    <w:rPr>
                      <w:rFonts w:ascii="楷体" w:eastAsia="楷体" w:hAnsi="楷体" w:cs="宋体" w:hint="eastAsia"/>
                      <w:b/>
                      <w:bCs/>
                      <w:color w:val="FFFFFF"/>
                      <w:kern w:val="0"/>
                      <w:sz w:val="16"/>
                      <w:szCs w:val="16"/>
                    </w:rPr>
                    <w:t>AA-</w:t>
                  </w:r>
                </w:p>
              </w:tc>
              <w:tc>
                <w:tcPr>
                  <w:tcW w:w="1040" w:type="dxa"/>
                  <w:tcBorders>
                    <w:top w:val="nil"/>
                    <w:left w:val="nil"/>
                    <w:bottom w:val="single" w:sz="12" w:space="0" w:color="FFFFFF"/>
                    <w:right w:val="single" w:sz="8" w:space="0" w:color="FFFFFF"/>
                  </w:tcBorders>
                  <w:shd w:val="clear" w:color="000000" w:fill="F79646"/>
                  <w:noWrap/>
                  <w:vAlign w:val="center"/>
                </w:tcPr>
                <w:p w:rsidR="00D11634" w:rsidRDefault="008B0517">
                  <w:pPr>
                    <w:widowControl/>
                    <w:jc w:val="center"/>
                    <w:rPr>
                      <w:rFonts w:ascii="楷体" w:eastAsia="楷体" w:hAnsi="楷体" w:cs="宋体"/>
                      <w:b/>
                      <w:bCs/>
                      <w:color w:val="FFFFFF"/>
                      <w:kern w:val="0"/>
                      <w:sz w:val="16"/>
                      <w:szCs w:val="16"/>
                    </w:rPr>
                  </w:pPr>
                  <w:r>
                    <w:rPr>
                      <w:rFonts w:ascii="楷体" w:eastAsia="楷体" w:hAnsi="楷体" w:cs="宋体" w:hint="eastAsia"/>
                      <w:b/>
                      <w:bCs/>
                      <w:color w:val="FFFFFF"/>
                      <w:kern w:val="0"/>
                      <w:sz w:val="16"/>
                      <w:szCs w:val="16"/>
                    </w:rPr>
                    <w:t>息差</w:t>
                  </w:r>
                </w:p>
              </w:tc>
              <w:tc>
                <w:tcPr>
                  <w:tcW w:w="1040" w:type="dxa"/>
                  <w:tcBorders>
                    <w:top w:val="nil"/>
                    <w:left w:val="nil"/>
                    <w:bottom w:val="single" w:sz="12" w:space="0" w:color="FFFFFF"/>
                    <w:right w:val="single" w:sz="8" w:space="0" w:color="FFFFFF"/>
                  </w:tcBorders>
                  <w:shd w:val="clear" w:color="000000" w:fill="F79646"/>
                  <w:noWrap/>
                  <w:vAlign w:val="center"/>
                </w:tcPr>
                <w:p w:rsidR="00D11634" w:rsidRDefault="008B0517">
                  <w:pPr>
                    <w:widowControl/>
                    <w:jc w:val="center"/>
                    <w:rPr>
                      <w:rFonts w:ascii="楷体" w:eastAsia="楷体" w:hAnsi="楷体" w:cs="宋体"/>
                      <w:b/>
                      <w:bCs/>
                      <w:color w:val="FFFFFF"/>
                      <w:kern w:val="0"/>
                      <w:sz w:val="16"/>
                      <w:szCs w:val="16"/>
                    </w:rPr>
                  </w:pPr>
                  <w:r>
                    <w:rPr>
                      <w:rFonts w:ascii="楷体" w:eastAsia="楷体" w:hAnsi="楷体" w:cs="宋体" w:hint="eastAsia"/>
                      <w:b/>
                      <w:bCs/>
                      <w:color w:val="FFFFFF"/>
                      <w:kern w:val="0"/>
                      <w:sz w:val="16"/>
                      <w:szCs w:val="16"/>
                    </w:rPr>
                    <w:t>AAA</w:t>
                  </w:r>
                </w:p>
              </w:tc>
              <w:tc>
                <w:tcPr>
                  <w:tcW w:w="1040" w:type="dxa"/>
                  <w:tcBorders>
                    <w:top w:val="nil"/>
                    <w:left w:val="nil"/>
                    <w:bottom w:val="single" w:sz="12" w:space="0" w:color="FFFFFF"/>
                    <w:right w:val="single" w:sz="8" w:space="0" w:color="FFFFFF"/>
                  </w:tcBorders>
                  <w:shd w:val="clear" w:color="000000" w:fill="F79646"/>
                  <w:noWrap/>
                  <w:vAlign w:val="center"/>
                </w:tcPr>
                <w:p w:rsidR="00D11634" w:rsidRDefault="008B0517">
                  <w:pPr>
                    <w:widowControl/>
                    <w:jc w:val="center"/>
                    <w:rPr>
                      <w:rFonts w:ascii="楷体" w:eastAsia="楷体" w:hAnsi="楷体" w:cs="宋体"/>
                      <w:b/>
                      <w:bCs/>
                      <w:color w:val="FFFFFF"/>
                      <w:kern w:val="0"/>
                      <w:sz w:val="16"/>
                      <w:szCs w:val="16"/>
                    </w:rPr>
                  </w:pPr>
                  <w:r>
                    <w:rPr>
                      <w:rFonts w:ascii="楷体" w:eastAsia="楷体" w:hAnsi="楷体" w:cs="宋体" w:hint="eastAsia"/>
                      <w:b/>
                      <w:bCs/>
                      <w:color w:val="FFFFFF"/>
                      <w:kern w:val="0"/>
                      <w:sz w:val="16"/>
                      <w:szCs w:val="16"/>
                    </w:rPr>
                    <w:t>AA+</w:t>
                  </w:r>
                </w:p>
              </w:tc>
              <w:tc>
                <w:tcPr>
                  <w:tcW w:w="1040" w:type="dxa"/>
                  <w:tcBorders>
                    <w:top w:val="nil"/>
                    <w:left w:val="nil"/>
                    <w:bottom w:val="single" w:sz="12" w:space="0" w:color="FFFFFF"/>
                    <w:right w:val="single" w:sz="8" w:space="0" w:color="FFFFFF"/>
                  </w:tcBorders>
                  <w:shd w:val="clear" w:color="000000" w:fill="F79646"/>
                  <w:noWrap/>
                  <w:vAlign w:val="center"/>
                </w:tcPr>
                <w:p w:rsidR="00D11634" w:rsidRDefault="008B0517">
                  <w:pPr>
                    <w:widowControl/>
                    <w:jc w:val="center"/>
                    <w:rPr>
                      <w:rFonts w:ascii="楷体" w:eastAsia="楷体" w:hAnsi="楷体" w:cs="宋体"/>
                      <w:b/>
                      <w:bCs/>
                      <w:color w:val="FFFFFF"/>
                      <w:kern w:val="0"/>
                      <w:sz w:val="16"/>
                      <w:szCs w:val="16"/>
                    </w:rPr>
                  </w:pPr>
                  <w:r>
                    <w:rPr>
                      <w:rFonts w:ascii="楷体" w:eastAsia="楷体" w:hAnsi="楷体" w:cs="宋体" w:hint="eastAsia"/>
                      <w:b/>
                      <w:bCs/>
                      <w:color w:val="FFFFFF"/>
                      <w:kern w:val="0"/>
                      <w:sz w:val="16"/>
                      <w:szCs w:val="16"/>
                    </w:rPr>
                    <w:t>AA</w:t>
                  </w:r>
                </w:p>
              </w:tc>
              <w:tc>
                <w:tcPr>
                  <w:tcW w:w="1040" w:type="dxa"/>
                  <w:tcBorders>
                    <w:top w:val="nil"/>
                    <w:left w:val="nil"/>
                    <w:bottom w:val="single" w:sz="12" w:space="0" w:color="FFFFFF"/>
                    <w:right w:val="single" w:sz="8" w:space="0" w:color="FFFFFF"/>
                  </w:tcBorders>
                  <w:shd w:val="clear" w:color="000000" w:fill="F79646"/>
                  <w:noWrap/>
                  <w:vAlign w:val="center"/>
                </w:tcPr>
                <w:p w:rsidR="00D11634" w:rsidRDefault="008B0517">
                  <w:pPr>
                    <w:widowControl/>
                    <w:jc w:val="center"/>
                    <w:rPr>
                      <w:rFonts w:ascii="楷体" w:eastAsia="楷体" w:hAnsi="楷体" w:cs="宋体"/>
                      <w:b/>
                      <w:bCs/>
                      <w:color w:val="FFFFFF"/>
                      <w:kern w:val="0"/>
                      <w:sz w:val="16"/>
                      <w:szCs w:val="16"/>
                    </w:rPr>
                  </w:pPr>
                  <w:r>
                    <w:rPr>
                      <w:rFonts w:ascii="楷体" w:eastAsia="楷体" w:hAnsi="楷体" w:cs="宋体" w:hint="eastAsia"/>
                      <w:b/>
                      <w:bCs/>
                      <w:color w:val="FFFFFF"/>
                      <w:kern w:val="0"/>
                      <w:sz w:val="16"/>
                      <w:szCs w:val="16"/>
                    </w:rPr>
                    <w:t>AA-</w:t>
                  </w:r>
                </w:p>
              </w:tc>
            </w:tr>
            <w:tr w:rsidR="00D11634">
              <w:trPr>
                <w:trHeight w:val="315"/>
              </w:trPr>
              <w:tc>
                <w:tcPr>
                  <w:tcW w:w="1288"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CP</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-5.2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-2.2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-1.2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-2.2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CP</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-6.5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-3.5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-2.5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-3.5 </w:t>
                  </w:r>
                </w:p>
              </w:tc>
            </w:tr>
            <w:tr w:rsidR="00D11634">
              <w:trPr>
                <w:trHeight w:val="300"/>
              </w:trPr>
              <w:tc>
                <w:tcPr>
                  <w:tcW w:w="1288"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MTN3Y</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-3.1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-2.0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-1.0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-1.1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MTN3Y</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4.9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5.9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6.9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6.9 </w:t>
                  </w:r>
                </w:p>
              </w:tc>
            </w:tr>
            <w:tr w:rsidR="00D11634">
              <w:trPr>
                <w:trHeight w:val="300"/>
              </w:trPr>
              <w:tc>
                <w:tcPr>
                  <w:tcW w:w="1288"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MTN5Y</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-0.2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-0.2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-0.2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-0.2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MTN5Y</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6.4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6.4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6.4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6.4 </w:t>
                  </w:r>
                </w:p>
              </w:tc>
            </w:tr>
            <w:tr w:rsidR="00D11634">
              <w:trPr>
                <w:trHeight w:val="300"/>
              </w:trPr>
              <w:tc>
                <w:tcPr>
                  <w:tcW w:w="1288"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企业债3Y</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-2.4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-1.4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-0.4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-0.4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企业债3Y</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5.5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6.5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7.5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7.5 </w:t>
                  </w:r>
                </w:p>
              </w:tc>
            </w:tr>
            <w:tr w:rsidR="00D11634">
              <w:trPr>
                <w:trHeight w:val="300"/>
              </w:trPr>
              <w:tc>
                <w:tcPr>
                  <w:tcW w:w="1288"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企业债5Y</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-0.2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-0.2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-0.2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-0.2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企业债5Y</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6.4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6.4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6.4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6.4 </w:t>
                  </w:r>
                </w:p>
              </w:tc>
            </w:tr>
            <w:tr w:rsidR="00D11634">
              <w:trPr>
                <w:trHeight w:val="300"/>
              </w:trPr>
              <w:tc>
                <w:tcPr>
                  <w:tcW w:w="1288"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企业债7Y</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-1.9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0.1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0.1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0.1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企业债7Y</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0.2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2.2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2.1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2.2 </w:t>
                  </w:r>
                </w:p>
              </w:tc>
            </w:tr>
            <w:tr w:rsidR="00D11634">
              <w:trPr>
                <w:trHeight w:val="300"/>
              </w:trPr>
              <w:tc>
                <w:tcPr>
                  <w:tcW w:w="1288"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ascii="楷体" w:eastAsia="楷体" w:hAnsi="楷体" w:cs="宋体"/>
                      <w:color w:val="000000"/>
                      <w:kern w:val="0"/>
                      <w:sz w:val="16"/>
                      <w:szCs w:val="16"/>
                    </w:rPr>
                  </w:pPr>
                  <w:proofErr w:type="gramStart"/>
                  <w:r>
                    <w:rPr>
                      <w:rFonts w:ascii="楷体" w:eastAsia="楷体" w:hAnsi="楷体" w:cs="宋体" w:hint="eastAsia"/>
                      <w:color w:val="000000"/>
                      <w:kern w:val="0"/>
                      <w:sz w:val="16"/>
                      <w:szCs w:val="16"/>
                    </w:rPr>
                    <w:t>城投债</w:t>
                  </w:r>
                  <w:proofErr w:type="gramEnd"/>
                  <w:r>
                    <w:rPr>
                      <w:rFonts w:ascii="楷体" w:eastAsia="楷体" w:hAnsi="楷体" w:cs="宋体" w:hint="eastAsia"/>
                      <w:color w:val="000000"/>
                      <w:kern w:val="0"/>
                      <w:sz w:val="16"/>
                      <w:szCs w:val="16"/>
                    </w:rPr>
                    <w:t>3Y</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-0.6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-1.6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-3.6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-1.6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ascii="楷体" w:eastAsia="楷体" w:hAnsi="楷体" w:cs="宋体"/>
                      <w:color w:val="000000"/>
                      <w:kern w:val="0"/>
                      <w:sz w:val="16"/>
                      <w:szCs w:val="16"/>
                    </w:rPr>
                  </w:pPr>
                  <w:proofErr w:type="gramStart"/>
                  <w:r>
                    <w:rPr>
                      <w:rFonts w:ascii="楷体" w:eastAsia="楷体" w:hAnsi="楷体" w:cs="宋体" w:hint="eastAsia"/>
                      <w:color w:val="000000"/>
                      <w:kern w:val="0"/>
                      <w:sz w:val="16"/>
                      <w:szCs w:val="16"/>
                    </w:rPr>
                    <w:t>城投债</w:t>
                  </w:r>
                  <w:proofErr w:type="gramEnd"/>
                  <w:r>
                    <w:rPr>
                      <w:rFonts w:ascii="楷体" w:eastAsia="楷体" w:hAnsi="楷体" w:cs="宋体" w:hint="eastAsia"/>
                      <w:color w:val="000000"/>
                      <w:kern w:val="0"/>
                      <w:sz w:val="16"/>
                      <w:szCs w:val="16"/>
                    </w:rPr>
                    <w:t>3Y</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7.3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6.3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4.3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6.3 </w:t>
                  </w:r>
                </w:p>
              </w:tc>
            </w:tr>
            <w:tr w:rsidR="00D11634">
              <w:trPr>
                <w:trHeight w:val="300"/>
              </w:trPr>
              <w:tc>
                <w:tcPr>
                  <w:tcW w:w="1288"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ascii="楷体" w:eastAsia="楷体" w:hAnsi="楷体" w:cs="宋体"/>
                      <w:color w:val="000000"/>
                      <w:kern w:val="0"/>
                      <w:sz w:val="16"/>
                      <w:szCs w:val="16"/>
                    </w:rPr>
                  </w:pPr>
                  <w:proofErr w:type="gramStart"/>
                  <w:r>
                    <w:rPr>
                      <w:rFonts w:ascii="楷体" w:eastAsia="楷体" w:hAnsi="楷体" w:cs="宋体" w:hint="eastAsia"/>
                      <w:color w:val="000000"/>
                      <w:kern w:val="0"/>
                      <w:sz w:val="16"/>
                      <w:szCs w:val="16"/>
                    </w:rPr>
                    <w:t>城投债</w:t>
                  </w:r>
                  <w:proofErr w:type="gramEnd"/>
                  <w:r>
                    <w:rPr>
                      <w:rFonts w:ascii="楷体" w:eastAsia="楷体" w:hAnsi="楷体" w:cs="宋体" w:hint="eastAsia"/>
                      <w:color w:val="000000"/>
                      <w:kern w:val="0"/>
                      <w:sz w:val="16"/>
                      <w:szCs w:val="16"/>
                    </w:rPr>
                    <w:t>5Y</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-3.1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-4.1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-0.1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-0.1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ascii="楷体" w:eastAsia="楷体" w:hAnsi="楷体" w:cs="宋体"/>
                      <w:color w:val="000000"/>
                      <w:kern w:val="0"/>
                      <w:sz w:val="16"/>
                      <w:szCs w:val="16"/>
                    </w:rPr>
                  </w:pPr>
                  <w:proofErr w:type="gramStart"/>
                  <w:r>
                    <w:rPr>
                      <w:rFonts w:ascii="楷体" w:eastAsia="楷体" w:hAnsi="楷体" w:cs="宋体" w:hint="eastAsia"/>
                      <w:color w:val="000000"/>
                      <w:kern w:val="0"/>
                      <w:sz w:val="16"/>
                      <w:szCs w:val="16"/>
                    </w:rPr>
                    <w:t>城投债</w:t>
                  </w:r>
                  <w:proofErr w:type="gramEnd"/>
                  <w:r>
                    <w:rPr>
                      <w:rFonts w:ascii="楷体" w:eastAsia="楷体" w:hAnsi="楷体" w:cs="宋体" w:hint="eastAsia"/>
                      <w:color w:val="000000"/>
                      <w:kern w:val="0"/>
                      <w:sz w:val="16"/>
                      <w:szCs w:val="16"/>
                    </w:rPr>
                    <w:t>5Y</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3.5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2.5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6.5 </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6.5 </w:t>
                  </w:r>
                </w:p>
              </w:tc>
            </w:tr>
            <w:tr w:rsidR="00D11634">
              <w:trPr>
                <w:trHeight w:val="300"/>
              </w:trPr>
              <w:tc>
                <w:tcPr>
                  <w:tcW w:w="1288" w:type="dxa"/>
                  <w:tcBorders>
                    <w:top w:val="nil"/>
                    <w:left w:val="nil"/>
                    <w:bottom w:val="nil"/>
                    <w:right w:val="nil"/>
                  </w:tcBorders>
                  <w:shd w:val="clear" w:color="000000" w:fill="FCD5B4"/>
                  <w:noWrap/>
                  <w:vAlign w:val="center"/>
                </w:tcPr>
                <w:p w:rsidR="00D11634" w:rsidRDefault="008B0517">
                  <w:pPr>
                    <w:widowControl/>
                    <w:jc w:val="center"/>
                    <w:rPr>
                      <w:rFonts w:ascii="楷体" w:eastAsia="楷体" w:hAnsi="楷体" w:cs="宋体"/>
                      <w:color w:val="000000"/>
                      <w:kern w:val="0"/>
                      <w:sz w:val="16"/>
                      <w:szCs w:val="16"/>
                    </w:rPr>
                  </w:pPr>
                  <w:proofErr w:type="gramStart"/>
                  <w:r>
                    <w:rPr>
                      <w:rFonts w:ascii="楷体" w:eastAsia="楷体" w:hAnsi="楷体" w:cs="宋体" w:hint="eastAsia"/>
                      <w:color w:val="000000"/>
                      <w:kern w:val="0"/>
                      <w:sz w:val="16"/>
                      <w:szCs w:val="16"/>
                    </w:rPr>
                    <w:t>城投债</w:t>
                  </w:r>
                  <w:proofErr w:type="gramEnd"/>
                  <w:r>
                    <w:rPr>
                      <w:rFonts w:ascii="楷体" w:eastAsia="楷体" w:hAnsi="楷体" w:cs="宋体" w:hint="eastAsia"/>
                      <w:color w:val="000000"/>
                      <w:kern w:val="0"/>
                      <w:sz w:val="16"/>
                      <w:szCs w:val="16"/>
                    </w:rPr>
                    <w:t>7Y</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-0.7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-0.7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-0.7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FF0000"/>
                      <w:kern w:val="0"/>
                      <w:sz w:val="16"/>
                      <w:szCs w:val="16"/>
                    </w:rPr>
                    <w:t xml:space="preserve">-0.7 </w:t>
                  </w:r>
                </w:p>
              </w:tc>
              <w:tc>
                <w:tcPr>
                  <w:tcW w:w="1040" w:type="dxa"/>
                  <w:tcBorders>
                    <w:top w:val="nil"/>
                    <w:left w:val="nil"/>
                    <w:bottom w:val="nil"/>
                    <w:right w:val="nil"/>
                  </w:tcBorders>
                  <w:shd w:val="clear" w:color="000000" w:fill="FCD5B4"/>
                  <w:noWrap/>
                  <w:vAlign w:val="center"/>
                </w:tcPr>
                <w:p w:rsidR="00D11634" w:rsidRDefault="008B0517">
                  <w:pPr>
                    <w:widowControl/>
                    <w:jc w:val="center"/>
                    <w:rPr>
                      <w:rFonts w:ascii="楷体" w:eastAsia="楷体" w:hAnsi="楷体" w:cs="宋体"/>
                      <w:color w:val="000000"/>
                      <w:kern w:val="0"/>
                      <w:sz w:val="16"/>
                      <w:szCs w:val="16"/>
                    </w:rPr>
                  </w:pPr>
                  <w:proofErr w:type="gramStart"/>
                  <w:r>
                    <w:rPr>
                      <w:rFonts w:ascii="楷体" w:eastAsia="楷体" w:hAnsi="楷体" w:cs="宋体" w:hint="eastAsia"/>
                      <w:color w:val="000000"/>
                      <w:kern w:val="0"/>
                      <w:sz w:val="16"/>
                      <w:szCs w:val="16"/>
                    </w:rPr>
                    <w:t>城投债</w:t>
                  </w:r>
                  <w:proofErr w:type="gramEnd"/>
                  <w:r>
                    <w:rPr>
                      <w:rFonts w:ascii="楷体" w:eastAsia="楷体" w:hAnsi="楷体" w:cs="宋体" w:hint="eastAsia"/>
                      <w:color w:val="000000"/>
                      <w:kern w:val="0"/>
                      <w:sz w:val="16"/>
                      <w:szCs w:val="16"/>
                    </w:rPr>
                    <w:t>7Y</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1.3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1.3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1.3 </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 xml:space="preserve">1.3 </w:t>
                  </w:r>
                </w:p>
              </w:tc>
            </w:tr>
            <w:tr w:rsidR="00D11634">
              <w:trPr>
                <w:trHeight w:val="150"/>
              </w:trPr>
              <w:tc>
                <w:tcPr>
                  <w:tcW w:w="1288" w:type="dxa"/>
                  <w:tcBorders>
                    <w:top w:val="nil"/>
                    <w:left w:val="nil"/>
                    <w:bottom w:val="nil"/>
                    <w:right w:val="nil"/>
                  </w:tcBorders>
                  <w:shd w:val="clear" w:color="auto" w:fill="auto"/>
                  <w:noWrap/>
                  <w:vAlign w:val="center"/>
                </w:tcPr>
                <w:p w:rsidR="00D11634" w:rsidRDefault="00D11634">
                  <w:pPr>
                    <w:widowControl/>
                    <w:jc w:val="center"/>
                    <w:rPr>
                      <w:rFonts w:eastAsia="等线" w:cs="Calibri"/>
                      <w:color w:val="000000"/>
                      <w:kern w:val="0"/>
                      <w:sz w:val="16"/>
                      <w:szCs w:val="16"/>
                    </w:rPr>
                  </w:pPr>
                </w:p>
              </w:tc>
              <w:tc>
                <w:tcPr>
                  <w:tcW w:w="1040" w:type="dxa"/>
                  <w:tcBorders>
                    <w:top w:val="nil"/>
                    <w:left w:val="nil"/>
                    <w:bottom w:val="nil"/>
                    <w:right w:val="nil"/>
                  </w:tcBorders>
                  <w:shd w:val="clear" w:color="auto" w:fill="auto"/>
                  <w:noWrap/>
                  <w:vAlign w:val="center"/>
                </w:tcPr>
                <w:p w:rsidR="00D11634" w:rsidRDefault="00D11634">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tcPr>
                <w:p w:rsidR="00D11634" w:rsidRDefault="00D11634">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tcPr>
                <w:p w:rsidR="00D11634" w:rsidRDefault="00D11634">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tcPr>
                <w:p w:rsidR="00D11634" w:rsidRDefault="00D11634">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tcPr>
                <w:p w:rsidR="00D11634" w:rsidRDefault="00D11634">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tcPr>
                <w:p w:rsidR="00D11634" w:rsidRDefault="00D11634">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tcPr>
                <w:p w:rsidR="00D11634" w:rsidRDefault="00D11634">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tcPr>
                <w:p w:rsidR="00D11634" w:rsidRDefault="00D11634">
                  <w:pPr>
                    <w:widowControl/>
                    <w:jc w:val="center"/>
                    <w:rPr>
                      <w:rFonts w:ascii="Times New Roman" w:eastAsia="Times New Roman" w:hAnsi="Times New Roman"/>
                      <w:kern w:val="0"/>
                      <w:sz w:val="16"/>
                      <w:szCs w:val="16"/>
                    </w:rPr>
                  </w:pPr>
                </w:p>
              </w:tc>
              <w:tc>
                <w:tcPr>
                  <w:tcW w:w="1040" w:type="dxa"/>
                  <w:tcBorders>
                    <w:top w:val="nil"/>
                    <w:left w:val="nil"/>
                    <w:bottom w:val="nil"/>
                    <w:right w:val="nil"/>
                  </w:tcBorders>
                  <w:shd w:val="clear" w:color="auto" w:fill="auto"/>
                  <w:noWrap/>
                  <w:vAlign w:val="center"/>
                </w:tcPr>
                <w:p w:rsidR="00D11634" w:rsidRDefault="00D11634">
                  <w:pPr>
                    <w:widowControl/>
                    <w:jc w:val="center"/>
                    <w:rPr>
                      <w:rFonts w:ascii="Times New Roman" w:eastAsia="Times New Roman" w:hAnsi="Times New Roman"/>
                      <w:kern w:val="0"/>
                      <w:sz w:val="16"/>
                      <w:szCs w:val="16"/>
                    </w:rPr>
                  </w:pPr>
                </w:p>
              </w:tc>
            </w:tr>
            <w:tr w:rsidR="00D11634">
              <w:trPr>
                <w:trHeight w:val="300"/>
              </w:trPr>
              <w:tc>
                <w:tcPr>
                  <w:tcW w:w="1288" w:type="dxa"/>
                  <w:tcBorders>
                    <w:top w:val="nil"/>
                    <w:left w:val="nil"/>
                    <w:bottom w:val="single" w:sz="12" w:space="0" w:color="FFFFFF"/>
                    <w:right w:val="single" w:sz="8" w:space="0" w:color="FFFFFF"/>
                  </w:tcBorders>
                  <w:shd w:val="clear" w:color="000000" w:fill="F79646"/>
                  <w:noWrap/>
                  <w:vAlign w:val="center"/>
                </w:tcPr>
                <w:p w:rsidR="00D11634" w:rsidRDefault="008B0517">
                  <w:pPr>
                    <w:widowControl/>
                    <w:jc w:val="center"/>
                    <w:rPr>
                      <w:rFonts w:ascii="楷体" w:eastAsia="楷体" w:hAnsi="楷体" w:cs="宋体"/>
                      <w:b/>
                      <w:bCs/>
                      <w:color w:val="FFFFFF"/>
                      <w:kern w:val="0"/>
                      <w:sz w:val="16"/>
                      <w:szCs w:val="16"/>
                    </w:rPr>
                  </w:pPr>
                  <w:r>
                    <w:rPr>
                      <w:rFonts w:ascii="楷体" w:eastAsia="楷体" w:hAnsi="楷体" w:cs="宋体" w:hint="eastAsia"/>
                      <w:b/>
                      <w:bCs/>
                      <w:color w:val="FFFFFF"/>
                      <w:kern w:val="0"/>
                      <w:sz w:val="16"/>
                      <w:szCs w:val="16"/>
                    </w:rPr>
                    <w:t>收益率分位</w:t>
                  </w:r>
                </w:p>
              </w:tc>
              <w:tc>
                <w:tcPr>
                  <w:tcW w:w="1040" w:type="dxa"/>
                  <w:tcBorders>
                    <w:top w:val="nil"/>
                    <w:left w:val="nil"/>
                    <w:bottom w:val="single" w:sz="12" w:space="0" w:color="FFFFFF"/>
                    <w:right w:val="single" w:sz="8" w:space="0" w:color="FFFFFF"/>
                  </w:tcBorders>
                  <w:shd w:val="clear" w:color="000000" w:fill="F79646"/>
                  <w:noWrap/>
                  <w:vAlign w:val="center"/>
                </w:tcPr>
                <w:p w:rsidR="00D11634" w:rsidRDefault="008B0517">
                  <w:pPr>
                    <w:widowControl/>
                    <w:jc w:val="center"/>
                    <w:rPr>
                      <w:rFonts w:ascii="楷体" w:eastAsia="楷体" w:hAnsi="楷体" w:cs="宋体"/>
                      <w:b/>
                      <w:bCs/>
                      <w:color w:val="FFFFFF"/>
                      <w:kern w:val="0"/>
                      <w:sz w:val="16"/>
                      <w:szCs w:val="16"/>
                    </w:rPr>
                  </w:pPr>
                  <w:r>
                    <w:rPr>
                      <w:rFonts w:ascii="楷体" w:eastAsia="楷体" w:hAnsi="楷体" w:cs="宋体" w:hint="eastAsia"/>
                      <w:b/>
                      <w:bCs/>
                      <w:color w:val="FFFFFF"/>
                      <w:kern w:val="0"/>
                      <w:sz w:val="16"/>
                      <w:szCs w:val="16"/>
                    </w:rPr>
                    <w:t>AAA</w:t>
                  </w:r>
                </w:p>
              </w:tc>
              <w:tc>
                <w:tcPr>
                  <w:tcW w:w="1040" w:type="dxa"/>
                  <w:tcBorders>
                    <w:top w:val="nil"/>
                    <w:left w:val="nil"/>
                    <w:bottom w:val="single" w:sz="12" w:space="0" w:color="FFFFFF"/>
                    <w:right w:val="single" w:sz="8" w:space="0" w:color="FFFFFF"/>
                  </w:tcBorders>
                  <w:shd w:val="clear" w:color="000000" w:fill="F79646"/>
                  <w:noWrap/>
                  <w:vAlign w:val="center"/>
                </w:tcPr>
                <w:p w:rsidR="00D11634" w:rsidRDefault="008B0517">
                  <w:pPr>
                    <w:widowControl/>
                    <w:jc w:val="center"/>
                    <w:rPr>
                      <w:rFonts w:ascii="楷体" w:eastAsia="楷体" w:hAnsi="楷体" w:cs="宋体"/>
                      <w:b/>
                      <w:bCs/>
                      <w:color w:val="FFFFFF"/>
                      <w:kern w:val="0"/>
                      <w:sz w:val="16"/>
                      <w:szCs w:val="16"/>
                    </w:rPr>
                  </w:pPr>
                  <w:r>
                    <w:rPr>
                      <w:rFonts w:ascii="楷体" w:eastAsia="楷体" w:hAnsi="楷体" w:cs="宋体" w:hint="eastAsia"/>
                      <w:b/>
                      <w:bCs/>
                      <w:color w:val="FFFFFF"/>
                      <w:kern w:val="0"/>
                      <w:sz w:val="16"/>
                      <w:szCs w:val="16"/>
                    </w:rPr>
                    <w:t>AA+</w:t>
                  </w:r>
                </w:p>
              </w:tc>
              <w:tc>
                <w:tcPr>
                  <w:tcW w:w="1040" w:type="dxa"/>
                  <w:tcBorders>
                    <w:top w:val="nil"/>
                    <w:left w:val="nil"/>
                    <w:bottom w:val="single" w:sz="12" w:space="0" w:color="FFFFFF"/>
                    <w:right w:val="single" w:sz="8" w:space="0" w:color="FFFFFF"/>
                  </w:tcBorders>
                  <w:shd w:val="clear" w:color="000000" w:fill="F79646"/>
                  <w:noWrap/>
                  <w:vAlign w:val="center"/>
                </w:tcPr>
                <w:p w:rsidR="00D11634" w:rsidRDefault="008B0517">
                  <w:pPr>
                    <w:widowControl/>
                    <w:jc w:val="center"/>
                    <w:rPr>
                      <w:rFonts w:ascii="楷体" w:eastAsia="楷体" w:hAnsi="楷体" w:cs="宋体"/>
                      <w:b/>
                      <w:bCs/>
                      <w:color w:val="FFFFFF"/>
                      <w:kern w:val="0"/>
                      <w:sz w:val="16"/>
                      <w:szCs w:val="16"/>
                    </w:rPr>
                  </w:pPr>
                  <w:r>
                    <w:rPr>
                      <w:rFonts w:ascii="楷体" w:eastAsia="楷体" w:hAnsi="楷体" w:cs="宋体" w:hint="eastAsia"/>
                      <w:b/>
                      <w:bCs/>
                      <w:color w:val="FFFFFF"/>
                      <w:kern w:val="0"/>
                      <w:sz w:val="16"/>
                      <w:szCs w:val="16"/>
                    </w:rPr>
                    <w:t>AA</w:t>
                  </w:r>
                </w:p>
              </w:tc>
              <w:tc>
                <w:tcPr>
                  <w:tcW w:w="1040" w:type="dxa"/>
                  <w:tcBorders>
                    <w:top w:val="nil"/>
                    <w:left w:val="nil"/>
                    <w:bottom w:val="single" w:sz="12" w:space="0" w:color="FFFFFF"/>
                    <w:right w:val="single" w:sz="8" w:space="0" w:color="FFFFFF"/>
                  </w:tcBorders>
                  <w:shd w:val="clear" w:color="000000" w:fill="F79646"/>
                  <w:noWrap/>
                  <w:vAlign w:val="center"/>
                </w:tcPr>
                <w:p w:rsidR="00D11634" w:rsidRDefault="008B0517">
                  <w:pPr>
                    <w:widowControl/>
                    <w:jc w:val="center"/>
                    <w:rPr>
                      <w:rFonts w:ascii="楷体" w:eastAsia="楷体" w:hAnsi="楷体" w:cs="宋体"/>
                      <w:b/>
                      <w:bCs/>
                      <w:color w:val="FFFFFF"/>
                      <w:kern w:val="0"/>
                      <w:sz w:val="16"/>
                      <w:szCs w:val="16"/>
                    </w:rPr>
                  </w:pPr>
                  <w:r>
                    <w:rPr>
                      <w:rFonts w:ascii="楷体" w:eastAsia="楷体" w:hAnsi="楷体" w:cs="宋体" w:hint="eastAsia"/>
                      <w:b/>
                      <w:bCs/>
                      <w:color w:val="FFFFFF"/>
                      <w:kern w:val="0"/>
                      <w:sz w:val="16"/>
                      <w:szCs w:val="16"/>
                    </w:rPr>
                    <w:t>AA-</w:t>
                  </w:r>
                </w:p>
              </w:tc>
              <w:tc>
                <w:tcPr>
                  <w:tcW w:w="1040" w:type="dxa"/>
                  <w:tcBorders>
                    <w:top w:val="nil"/>
                    <w:left w:val="nil"/>
                    <w:bottom w:val="single" w:sz="12" w:space="0" w:color="FFFFFF"/>
                    <w:right w:val="single" w:sz="8" w:space="0" w:color="FFFFFF"/>
                  </w:tcBorders>
                  <w:shd w:val="clear" w:color="000000" w:fill="F79646"/>
                  <w:noWrap/>
                  <w:vAlign w:val="center"/>
                </w:tcPr>
                <w:p w:rsidR="00D11634" w:rsidRDefault="008B0517">
                  <w:pPr>
                    <w:widowControl/>
                    <w:jc w:val="center"/>
                    <w:rPr>
                      <w:rFonts w:ascii="楷体" w:eastAsia="楷体" w:hAnsi="楷体" w:cs="宋体"/>
                      <w:b/>
                      <w:bCs/>
                      <w:color w:val="FFFFFF"/>
                      <w:kern w:val="0"/>
                      <w:sz w:val="16"/>
                      <w:szCs w:val="16"/>
                    </w:rPr>
                  </w:pPr>
                  <w:r>
                    <w:rPr>
                      <w:rFonts w:ascii="楷体" w:eastAsia="楷体" w:hAnsi="楷体" w:cs="宋体" w:hint="eastAsia"/>
                      <w:b/>
                      <w:bCs/>
                      <w:color w:val="FFFFFF"/>
                      <w:kern w:val="0"/>
                      <w:sz w:val="16"/>
                      <w:szCs w:val="16"/>
                    </w:rPr>
                    <w:t>息差</w:t>
                  </w:r>
                </w:p>
              </w:tc>
              <w:tc>
                <w:tcPr>
                  <w:tcW w:w="1040" w:type="dxa"/>
                  <w:tcBorders>
                    <w:top w:val="nil"/>
                    <w:left w:val="nil"/>
                    <w:bottom w:val="single" w:sz="12" w:space="0" w:color="FFFFFF"/>
                    <w:right w:val="single" w:sz="8" w:space="0" w:color="FFFFFF"/>
                  </w:tcBorders>
                  <w:shd w:val="clear" w:color="000000" w:fill="F79646"/>
                  <w:noWrap/>
                  <w:vAlign w:val="center"/>
                </w:tcPr>
                <w:p w:rsidR="00D11634" w:rsidRDefault="008B0517">
                  <w:pPr>
                    <w:widowControl/>
                    <w:jc w:val="center"/>
                    <w:rPr>
                      <w:rFonts w:ascii="楷体" w:eastAsia="楷体" w:hAnsi="楷体" w:cs="宋体"/>
                      <w:b/>
                      <w:bCs/>
                      <w:color w:val="FFFFFF"/>
                      <w:kern w:val="0"/>
                      <w:sz w:val="16"/>
                      <w:szCs w:val="16"/>
                    </w:rPr>
                  </w:pPr>
                  <w:r>
                    <w:rPr>
                      <w:rFonts w:ascii="楷体" w:eastAsia="楷体" w:hAnsi="楷体" w:cs="宋体" w:hint="eastAsia"/>
                      <w:b/>
                      <w:bCs/>
                      <w:color w:val="FFFFFF"/>
                      <w:kern w:val="0"/>
                      <w:sz w:val="16"/>
                      <w:szCs w:val="16"/>
                    </w:rPr>
                    <w:t>AAA</w:t>
                  </w:r>
                </w:p>
              </w:tc>
              <w:tc>
                <w:tcPr>
                  <w:tcW w:w="1040" w:type="dxa"/>
                  <w:tcBorders>
                    <w:top w:val="nil"/>
                    <w:left w:val="nil"/>
                    <w:bottom w:val="single" w:sz="12" w:space="0" w:color="FFFFFF"/>
                    <w:right w:val="single" w:sz="8" w:space="0" w:color="FFFFFF"/>
                  </w:tcBorders>
                  <w:shd w:val="clear" w:color="000000" w:fill="F79646"/>
                  <w:noWrap/>
                  <w:vAlign w:val="center"/>
                </w:tcPr>
                <w:p w:rsidR="00D11634" w:rsidRDefault="008B0517">
                  <w:pPr>
                    <w:widowControl/>
                    <w:jc w:val="center"/>
                    <w:rPr>
                      <w:rFonts w:ascii="楷体" w:eastAsia="楷体" w:hAnsi="楷体" w:cs="宋体"/>
                      <w:b/>
                      <w:bCs/>
                      <w:color w:val="FFFFFF"/>
                      <w:kern w:val="0"/>
                      <w:sz w:val="16"/>
                      <w:szCs w:val="16"/>
                    </w:rPr>
                  </w:pPr>
                  <w:r>
                    <w:rPr>
                      <w:rFonts w:ascii="楷体" w:eastAsia="楷体" w:hAnsi="楷体" w:cs="宋体" w:hint="eastAsia"/>
                      <w:b/>
                      <w:bCs/>
                      <w:color w:val="FFFFFF"/>
                      <w:kern w:val="0"/>
                      <w:sz w:val="16"/>
                      <w:szCs w:val="16"/>
                    </w:rPr>
                    <w:t>AA+</w:t>
                  </w:r>
                </w:p>
              </w:tc>
              <w:tc>
                <w:tcPr>
                  <w:tcW w:w="1040" w:type="dxa"/>
                  <w:tcBorders>
                    <w:top w:val="nil"/>
                    <w:left w:val="nil"/>
                    <w:bottom w:val="single" w:sz="12" w:space="0" w:color="FFFFFF"/>
                    <w:right w:val="single" w:sz="8" w:space="0" w:color="FFFFFF"/>
                  </w:tcBorders>
                  <w:shd w:val="clear" w:color="000000" w:fill="F79646"/>
                  <w:noWrap/>
                  <w:vAlign w:val="center"/>
                </w:tcPr>
                <w:p w:rsidR="00D11634" w:rsidRDefault="008B0517">
                  <w:pPr>
                    <w:widowControl/>
                    <w:jc w:val="center"/>
                    <w:rPr>
                      <w:rFonts w:ascii="楷体" w:eastAsia="楷体" w:hAnsi="楷体" w:cs="宋体"/>
                      <w:b/>
                      <w:bCs/>
                      <w:color w:val="FFFFFF"/>
                      <w:kern w:val="0"/>
                      <w:sz w:val="16"/>
                      <w:szCs w:val="16"/>
                    </w:rPr>
                  </w:pPr>
                  <w:r>
                    <w:rPr>
                      <w:rFonts w:ascii="楷体" w:eastAsia="楷体" w:hAnsi="楷体" w:cs="宋体" w:hint="eastAsia"/>
                      <w:b/>
                      <w:bCs/>
                      <w:color w:val="FFFFFF"/>
                      <w:kern w:val="0"/>
                      <w:sz w:val="16"/>
                      <w:szCs w:val="16"/>
                    </w:rPr>
                    <w:t>AA</w:t>
                  </w:r>
                </w:p>
              </w:tc>
              <w:tc>
                <w:tcPr>
                  <w:tcW w:w="1040" w:type="dxa"/>
                  <w:tcBorders>
                    <w:top w:val="nil"/>
                    <w:left w:val="nil"/>
                    <w:bottom w:val="single" w:sz="12" w:space="0" w:color="FFFFFF"/>
                    <w:right w:val="single" w:sz="8" w:space="0" w:color="FFFFFF"/>
                  </w:tcBorders>
                  <w:shd w:val="clear" w:color="000000" w:fill="F79646"/>
                  <w:noWrap/>
                  <w:vAlign w:val="center"/>
                </w:tcPr>
                <w:p w:rsidR="00D11634" w:rsidRDefault="008B0517">
                  <w:pPr>
                    <w:widowControl/>
                    <w:jc w:val="center"/>
                    <w:rPr>
                      <w:rFonts w:ascii="楷体" w:eastAsia="楷体" w:hAnsi="楷体" w:cs="宋体"/>
                      <w:b/>
                      <w:bCs/>
                      <w:color w:val="FFFFFF"/>
                      <w:kern w:val="0"/>
                      <w:sz w:val="16"/>
                      <w:szCs w:val="16"/>
                    </w:rPr>
                  </w:pPr>
                  <w:r>
                    <w:rPr>
                      <w:rFonts w:ascii="楷体" w:eastAsia="楷体" w:hAnsi="楷体" w:cs="宋体" w:hint="eastAsia"/>
                      <w:b/>
                      <w:bCs/>
                      <w:color w:val="FFFFFF"/>
                      <w:kern w:val="0"/>
                      <w:sz w:val="16"/>
                      <w:szCs w:val="16"/>
                    </w:rPr>
                    <w:t>AA-</w:t>
                  </w:r>
                </w:p>
              </w:tc>
            </w:tr>
            <w:tr w:rsidR="00D11634">
              <w:trPr>
                <w:trHeight w:val="315"/>
              </w:trPr>
              <w:tc>
                <w:tcPr>
                  <w:tcW w:w="1288"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CP</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35%</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32%</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28%</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58%</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CP</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8%</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7%</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3%</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61%</w:t>
                  </w:r>
                </w:p>
              </w:tc>
            </w:tr>
            <w:tr w:rsidR="00D11634">
              <w:trPr>
                <w:trHeight w:val="300"/>
              </w:trPr>
              <w:tc>
                <w:tcPr>
                  <w:tcW w:w="1288"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MTN3Y</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32%</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30%</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20%</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56%</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MTN3Y</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23%</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20%</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11%</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61%</w:t>
                  </w:r>
                </w:p>
              </w:tc>
            </w:tr>
            <w:tr w:rsidR="00D11634">
              <w:trPr>
                <w:trHeight w:val="300"/>
              </w:trPr>
              <w:tc>
                <w:tcPr>
                  <w:tcW w:w="1288"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MTN5Y</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28%</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24%</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23%</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61%</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MTN5Y</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26%</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19%</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16%</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72%</w:t>
                  </w:r>
                </w:p>
              </w:tc>
            </w:tr>
            <w:tr w:rsidR="00D11634">
              <w:trPr>
                <w:trHeight w:val="300"/>
              </w:trPr>
              <w:tc>
                <w:tcPr>
                  <w:tcW w:w="1288"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企业债3Y</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34%</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31%</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20%</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52%</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企业债3Y</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26%</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21%</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12%</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60%</w:t>
                  </w:r>
                </w:p>
              </w:tc>
            </w:tr>
            <w:tr w:rsidR="00D11634">
              <w:trPr>
                <w:trHeight w:val="300"/>
              </w:trPr>
              <w:tc>
                <w:tcPr>
                  <w:tcW w:w="1288"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企业债5Y</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29%</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24%</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22%</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56%</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企业债5Y</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26%</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18%</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14%</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71%</w:t>
                  </w:r>
                </w:p>
              </w:tc>
            </w:tr>
            <w:tr w:rsidR="00D11634">
              <w:trPr>
                <w:trHeight w:val="300"/>
              </w:trPr>
              <w:tc>
                <w:tcPr>
                  <w:tcW w:w="1288"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企业债7Y</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21%</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18%</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13%</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47%</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ascii="楷体" w:eastAsia="楷体" w:hAnsi="楷体" w:cs="宋体"/>
                      <w:color w:val="000000"/>
                      <w:kern w:val="0"/>
                      <w:sz w:val="16"/>
                      <w:szCs w:val="16"/>
                    </w:rPr>
                  </w:pPr>
                  <w:r>
                    <w:rPr>
                      <w:rFonts w:ascii="楷体" w:eastAsia="楷体" w:hAnsi="楷体" w:cs="宋体" w:hint="eastAsia"/>
                      <w:color w:val="000000"/>
                      <w:kern w:val="0"/>
                      <w:sz w:val="16"/>
                      <w:szCs w:val="16"/>
                    </w:rPr>
                    <w:t>企业债7Y</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15%</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7%</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4%</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56%</w:t>
                  </w:r>
                </w:p>
              </w:tc>
            </w:tr>
            <w:tr w:rsidR="00D11634">
              <w:trPr>
                <w:trHeight w:val="300"/>
              </w:trPr>
              <w:tc>
                <w:tcPr>
                  <w:tcW w:w="1288"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ascii="楷体" w:eastAsia="楷体" w:hAnsi="楷体" w:cs="宋体"/>
                      <w:color w:val="000000"/>
                      <w:kern w:val="0"/>
                      <w:sz w:val="16"/>
                      <w:szCs w:val="16"/>
                    </w:rPr>
                  </w:pPr>
                  <w:proofErr w:type="gramStart"/>
                  <w:r>
                    <w:rPr>
                      <w:rFonts w:ascii="楷体" w:eastAsia="楷体" w:hAnsi="楷体" w:cs="宋体" w:hint="eastAsia"/>
                      <w:color w:val="000000"/>
                      <w:kern w:val="0"/>
                      <w:sz w:val="16"/>
                      <w:szCs w:val="16"/>
                    </w:rPr>
                    <w:t>城投债</w:t>
                  </w:r>
                  <w:proofErr w:type="gramEnd"/>
                  <w:r>
                    <w:rPr>
                      <w:rFonts w:ascii="楷体" w:eastAsia="楷体" w:hAnsi="楷体" w:cs="宋体" w:hint="eastAsia"/>
                      <w:color w:val="000000"/>
                      <w:kern w:val="0"/>
                      <w:sz w:val="16"/>
                      <w:szCs w:val="16"/>
                    </w:rPr>
                    <w:t>3Y</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28%</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24%</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18%</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39%</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ascii="楷体" w:eastAsia="楷体" w:hAnsi="楷体" w:cs="宋体"/>
                      <w:color w:val="000000"/>
                      <w:kern w:val="0"/>
                      <w:sz w:val="16"/>
                      <w:szCs w:val="16"/>
                    </w:rPr>
                  </w:pPr>
                  <w:proofErr w:type="gramStart"/>
                  <w:r>
                    <w:rPr>
                      <w:rFonts w:ascii="楷体" w:eastAsia="楷体" w:hAnsi="楷体" w:cs="宋体" w:hint="eastAsia"/>
                      <w:color w:val="000000"/>
                      <w:kern w:val="0"/>
                      <w:sz w:val="16"/>
                      <w:szCs w:val="16"/>
                    </w:rPr>
                    <w:t>城投债</w:t>
                  </w:r>
                  <w:proofErr w:type="gramEnd"/>
                  <w:r>
                    <w:rPr>
                      <w:rFonts w:ascii="楷体" w:eastAsia="楷体" w:hAnsi="楷体" w:cs="宋体" w:hint="eastAsia"/>
                      <w:color w:val="000000"/>
                      <w:kern w:val="0"/>
                      <w:sz w:val="16"/>
                      <w:szCs w:val="16"/>
                    </w:rPr>
                    <w:t>3Y</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20%</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22%</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15%</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41%</w:t>
                  </w:r>
                </w:p>
              </w:tc>
            </w:tr>
            <w:tr w:rsidR="00D11634">
              <w:trPr>
                <w:trHeight w:val="300"/>
              </w:trPr>
              <w:tc>
                <w:tcPr>
                  <w:tcW w:w="1288"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ascii="楷体" w:eastAsia="楷体" w:hAnsi="楷体" w:cs="宋体"/>
                      <w:color w:val="000000"/>
                      <w:kern w:val="0"/>
                      <w:sz w:val="16"/>
                      <w:szCs w:val="16"/>
                    </w:rPr>
                  </w:pPr>
                  <w:proofErr w:type="gramStart"/>
                  <w:r>
                    <w:rPr>
                      <w:rFonts w:ascii="楷体" w:eastAsia="楷体" w:hAnsi="楷体" w:cs="宋体" w:hint="eastAsia"/>
                      <w:color w:val="000000"/>
                      <w:kern w:val="0"/>
                      <w:sz w:val="16"/>
                      <w:szCs w:val="16"/>
                    </w:rPr>
                    <w:t>城投债</w:t>
                  </w:r>
                  <w:proofErr w:type="gramEnd"/>
                  <w:r>
                    <w:rPr>
                      <w:rFonts w:ascii="楷体" w:eastAsia="楷体" w:hAnsi="楷体" w:cs="宋体" w:hint="eastAsia"/>
                      <w:color w:val="000000"/>
                      <w:kern w:val="0"/>
                      <w:sz w:val="16"/>
                      <w:szCs w:val="16"/>
                    </w:rPr>
                    <w:t>5Y</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24%</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20%</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18%</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51%</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ascii="楷体" w:eastAsia="楷体" w:hAnsi="楷体" w:cs="宋体"/>
                      <w:color w:val="000000"/>
                      <w:kern w:val="0"/>
                      <w:sz w:val="16"/>
                      <w:szCs w:val="16"/>
                    </w:rPr>
                  </w:pPr>
                  <w:proofErr w:type="gramStart"/>
                  <w:r>
                    <w:rPr>
                      <w:rFonts w:ascii="楷体" w:eastAsia="楷体" w:hAnsi="楷体" w:cs="宋体" w:hint="eastAsia"/>
                      <w:color w:val="000000"/>
                      <w:kern w:val="0"/>
                      <w:sz w:val="16"/>
                      <w:szCs w:val="16"/>
                    </w:rPr>
                    <w:t>城投债</w:t>
                  </w:r>
                  <w:proofErr w:type="gramEnd"/>
                  <w:r>
                    <w:rPr>
                      <w:rFonts w:ascii="楷体" w:eastAsia="楷体" w:hAnsi="楷体" w:cs="宋体" w:hint="eastAsia"/>
                      <w:color w:val="000000"/>
                      <w:kern w:val="0"/>
                      <w:sz w:val="16"/>
                      <w:szCs w:val="16"/>
                    </w:rPr>
                    <w:t>5Y</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24%</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23%</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17%</w:t>
                  </w:r>
                </w:p>
              </w:tc>
              <w:tc>
                <w:tcPr>
                  <w:tcW w:w="1040" w:type="dxa"/>
                  <w:tcBorders>
                    <w:top w:val="nil"/>
                    <w:left w:val="nil"/>
                    <w:bottom w:val="single" w:sz="8" w:space="0" w:color="FFFFFF"/>
                    <w:right w:val="single" w:sz="8" w:space="0" w:color="FFFFFF"/>
                  </w:tcBorders>
                  <w:shd w:val="clear" w:color="000000" w:fill="FDE9D9"/>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67%</w:t>
                  </w:r>
                </w:p>
              </w:tc>
            </w:tr>
            <w:tr w:rsidR="00D11634">
              <w:trPr>
                <w:trHeight w:val="300"/>
              </w:trPr>
              <w:tc>
                <w:tcPr>
                  <w:tcW w:w="1288" w:type="dxa"/>
                  <w:tcBorders>
                    <w:top w:val="nil"/>
                    <w:left w:val="nil"/>
                    <w:bottom w:val="nil"/>
                    <w:right w:val="nil"/>
                  </w:tcBorders>
                  <w:shd w:val="clear" w:color="000000" w:fill="FCD5B4"/>
                  <w:noWrap/>
                  <w:vAlign w:val="center"/>
                </w:tcPr>
                <w:p w:rsidR="00D11634" w:rsidRDefault="008B0517">
                  <w:pPr>
                    <w:widowControl/>
                    <w:jc w:val="center"/>
                    <w:rPr>
                      <w:rFonts w:ascii="楷体" w:eastAsia="楷体" w:hAnsi="楷体" w:cs="宋体"/>
                      <w:color w:val="000000"/>
                      <w:kern w:val="0"/>
                      <w:sz w:val="16"/>
                      <w:szCs w:val="16"/>
                    </w:rPr>
                  </w:pPr>
                  <w:proofErr w:type="gramStart"/>
                  <w:r>
                    <w:rPr>
                      <w:rFonts w:ascii="楷体" w:eastAsia="楷体" w:hAnsi="楷体" w:cs="宋体" w:hint="eastAsia"/>
                      <w:color w:val="000000"/>
                      <w:kern w:val="0"/>
                      <w:sz w:val="16"/>
                      <w:szCs w:val="16"/>
                    </w:rPr>
                    <w:t>城投债</w:t>
                  </w:r>
                  <w:proofErr w:type="gramEnd"/>
                  <w:r>
                    <w:rPr>
                      <w:rFonts w:ascii="楷体" w:eastAsia="楷体" w:hAnsi="楷体" w:cs="宋体" w:hint="eastAsia"/>
                      <w:color w:val="000000"/>
                      <w:kern w:val="0"/>
                      <w:sz w:val="16"/>
                      <w:szCs w:val="16"/>
                    </w:rPr>
                    <w:t>7Y</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17%</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14%</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13%</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48%</w:t>
                  </w:r>
                </w:p>
              </w:tc>
              <w:tc>
                <w:tcPr>
                  <w:tcW w:w="1040" w:type="dxa"/>
                  <w:tcBorders>
                    <w:top w:val="nil"/>
                    <w:left w:val="nil"/>
                    <w:bottom w:val="nil"/>
                    <w:right w:val="nil"/>
                  </w:tcBorders>
                  <w:shd w:val="clear" w:color="000000" w:fill="FCD5B4"/>
                  <w:noWrap/>
                  <w:vAlign w:val="center"/>
                </w:tcPr>
                <w:p w:rsidR="00D11634" w:rsidRDefault="008B0517">
                  <w:pPr>
                    <w:widowControl/>
                    <w:jc w:val="center"/>
                    <w:rPr>
                      <w:rFonts w:ascii="楷体" w:eastAsia="楷体" w:hAnsi="楷体" w:cs="宋体"/>
                      <w:color w:val="000000"/>
                      <w:kern w:val="0"/>
                      <w:sz w:val="16"/>
                      <w:szCs w:val="16"/>
                    </w:rPr>
                  </w:pPr>
                  <w:proofErr w:type="gramStart"/>
                  <w:r>
                    <w:rPr>
                      <w:rFonts w:ascii="楷体" w:eastAsia="楷体" w:hAnsi="楷体" w:cs="宋体" w:hint="eastAsia"/>
                      <w:color w:val="000000"/>
                      <w:kern w:val="0"/>
                      <w:sz w:val="16"/>
                      <w:szCs w:val="16"/>
                    </w:rPr>
                    <w:t>城投债</w:t>
                  </w:r>
                  <w:proofErr w:type="gramEnd"/>
                  <w:r>
                    <w:rPr>
                      <w:rFonts w:ascii="楷体" w:eastAsia="楷体" w:hAnsi="楷体" w:cs="宋体" w:hint="eastAsia"/>
                      <w:color w:val="000000"/>
                      <w:kern w:val="0"/>
                      <w:sz w:val="16"/>
                      <w:szCs w:val="16"/>
                    </w:rPr>
                    <w:t>7Y</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12%</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8%</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5%</w:t>
                  </w:r>
                </w:p>
              </w:tc>
              <w:tc>
                <w:tcPr>
                  <w:tcW w:w="1040" w:type="dxa"/>
                  <w:tcBorders>
                    <w:top w:val="nil"/>
                    <w:left w:val="nil"/>
                    <w:bottom w:val="single" w:sz="8" w:space="0" w:color="FFFFFF"/>
                    <w:right w:val="single" w:sz="8" w:space="0" w:color="FFFFFF"/>
                  </w:tcBorders>
                  <w:shd w:val="clear" w:color="000000" w:fill="FCD5B4"/>
                  <w:noWrap/>
                  <w:vAlign w:val="center"/>
                </w:tcPr>
                <w:p w:rsidR="00D11634" w:rsidRDefault="008B0517">
                  <w:pPr>
                    <w:widowControl/>
                    <w:jc w:val="center"/>
                    <w:rPr>
                      <w:rFonts w:eastAsia="等线" w:cs="Calibri"/>
                      <w:color w:val="000000"/>
                      <w:kern w:val="0"/>
                      <w:sz w:val="16"/>
                      <w:szCs w:val="16"/>
                    </w:rPr>
                  </w:pPr>
                  <w:r>
                    <w:rPr>
                      <w:rFonts w:eastAsia="等线" w:cs="Calibri"/>
                      <w:color w:val="000000"/>
                      <w:kern w:val="0"/>
                      <w:sz w:val="16"/>
                      <w:szCs w:val="16"/>
                    </w:rPr>
                    <w:t>62%</w:t>
                  </w:r>
                </w:p>
              </w:tc>
            </w:tr>
          </w:tbl>
          <w:p w:rsidR="00D11634" w:rsidRDefault="00D11634">
            <w:pPr>
              <w:rPr>
                <w:sz w:val="20"/>
                <w:szCs w:val="16"/>
              </w:rPr>
            </w:pPr>
          </w:p>
        </w:tc>
      </w:tr>
      <w:tr w:rsidR="00D11634">
        <w:trPr>
          <w:trHeight w:val="43"/>
          <w:jc w:val="center"/>
        </w:trPr>
        <w:tc>
          <w:tcPr>
            <w:tcW w:w="9881" w:type="dxa"/>
            <w:vAlign w:val="center"/>
          </w:tcPr>
          <w:p w:rsidR="00D11634" w:rsidRDefault="008B0517">
            <w:pPr>
              <w:pStyle w:val="Source"/>
              <w:jc w:val="both"/>
              <w:rPr>
                <w:kern w:val="0"/>
              </w:rPr>
            </w:pPr>
            <w:r>
              <w:rPr>
                <w:rFonts w:hint="eastAsia"/>
                <w:kern w:val="0"/>
              </w:rPr>
              <w:t>资料来源：万得，富荣基金；利差基准为同期限国债</w:t>
            </w:r>
          </w:p>
        </w:tc>
      </w:tr>
    </w:tbl>
    <w:p w:rsidR="00D11634" w:rsidRDefault="00D11634">
      <w:pPr>
        <w:pStyle w:val="Body-text"/>
        <w:spacing w:after="0"/>
        <w:rPr>
          <w:lang w:eastAsia="zh-CN"/>
        </w:rPr>
      </w:pPr>
    </w:p>
    <w:p w:rsidR="00D11634" w:rsidRDefault="008B0517">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rsidR="00D11634" w:rsidRDefault="008B0517">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权益市场触底回升，转</w:t>
      </w:r>
      <w:proofErr w:type="gramStart"/>
      <w:r>
        <w:rPr>
          <w:rFonts w:ascii="华文楷体" w:hAnsi="华文楷体" w:hint="eastAsia"/>
          <w:sz w:val="24"/>
          <w:szCs w:val="24"/>
          <w:lang w:eastAsia="zh-CN"/>
        </w:rPr>
        <w:t>债指数</w:t>
      </w:r>
      <w:proofErr w:type="gramEnd"/>
      <w:r>
        <w:rPr>
          <w:rFonts w:ascii="华文楷体" w:hAnsi="华文楷体" w:hint="eastAsia"/>
          <w:sz w:val="24"/>
          <w:szCs w:val="24"/>
          <w:lang w:eastAsia="zh-CN"/>
        </w:rPr>
        <w:t>较上周上涨0</w:t>
      </w:r>
      <w:r>
        <w:rPr>
          <w:rFonts w:ascii="华文楷体" w:hAnsi="华文楷体"/>
          <w:sz w:val="24"/>
          <w:szCs w:val="24"/>
          <w:lang w:eastAsia="zh-CN"/>
        </w:rPr>
        <w:t>.1</w:t>
      </w:r>
      <w:r>
        <w:rPr>
          <w:rFonts w:ascii="华文楷体" w:hAnsi="华文楷体" w:hint="eastAsia"/>
          <w:sz w:val="24"/>
          <w:szCs w:val="24"/>
          <w:lang w:eastAsia="zh-CN"/>
        </w:rPr>
        <w:t>%，成交量较上周缩减。上证综指、创业板指、上证50和沪深300分别上涨2.</w:t>
      </w:r>
      <w:r>
        <w:rPr>
          <w:rFonts w:ascii="华文楷体" w:hAnsi="华文楷体"/>
          <w:sz w:val="24"/>
          <w:szCs w:val="24"/>
          <w:lang w:eastAsia="zh-CN"/>
        </w:rPr>
        <w:t>4</w:t>
      </w:r>
      <w:r>
        <w:rPr>
          <w:rFonts w:ascii="华文楷体" w:hAnsi="华文楷体" w:hint="eastAsia"/>
          <w:sz w:val="24"/>
          <w:szCs w:val="24"/>
          <w:lang w:eastAsia="zh-CN"/>
        </w:rPr>
        <w:t>%、</w:t>
      </w:r>
      <w:r>
        <w:rPr>
          <w:rFonts w:ascii="华文楷体" w:hAnsi="华文楷体"/>
          <w:sz w:val="24"/>
          <w:szCs w:val="24"/>
          <w:lang w:eastAsia="zh-CN"/>
        </w:rPr>
        <w:t>2.3</w:t>
      </w:r>
      <w:r>
        <w:rPr>
          <w:rFonts w:ascii="华文楷体" w:hAnsi="华文楷体" w:hint="eastAsia"/>
          <w:sz w:val="24"/>
          <w:szCs w:val="24"/>
          <w:lang w:eastAsia="zh-CN"/>
        </w:rPr>
        <w:t>%、</w:t>
      </w:r>
      <w:r>
        <w:rPr>
          <w:rFonts w:ascii="华文楷体" w:hAnsi="华文楷体"/>
          <w:sz w:val="24"/>
          <w:szCs w:val="24"/>
          <w:lang w:eastAsia="zh-CN"/>
        </w:rPr>
        <w:t>2.5</w:t>
      </w:r>
      <w:r>
        <w:rPr>
          <w:rFonts w:ascii="华文楷体" w:hAnsi="华文楷体" w:hint="eastAsia"/>
          <w:sz w:val="24"/>
          <w:szCs w:val="24"/>
          <w:lang w:eastAsia="zh-CN"/>
        </w:rPr>
        <w:t>%和</w:t>
      </w:r>
      <w:r>
        <w:rPr>
          <w:rFonts w:ascii="华文楷体" w:hAnsi="华文楷体"/>
          <w:sz w:val="24"/>
          <w:szCs w:val="24"/>
          <w:lang w:eastAsia="zh-CN"/>
        </w:rPr>
        <w:t>2.4</w:t>
      </w:r>
      <w:r>
        <w:rPr>
          <w:rFonts w:ascii="华文楷体" w:hAnsi="华文楷体" w:hint="eastAsia"/>
          <w:sz w:val="24"/>
          <w:szCs w:val="24"/>
          <w:lang w:eastAsia="zh-CN"/>
        </w:rPr>
        <w:t>%。</w:t>
      </w:r>
    </w:p>
    <w:tbl>
      <w:tblPr>
        <w:tblW w:w="9877" w:type="dxa"/>
        <w:jc w:val="center"/>
        <w:tblLayout w:type="fixed"/>
        <w:tblCellMar>
          <w:left w:w="0" w:type="dxa"/>
          <w:right w:w="0" w:type="dxa"/>
        </w:tblCellMar>
        <w:tblLook w:val="04A0" w:firstRow="1" w:lastRow="0" w:firstColumn="1" w:lastColumn="0" w:noHBand="0" w:noVBand="1"/>
      </w:tblPr>
      <w:tblGrid>
        <w:gridCol w:w="4939"/>
        <w:gridCol w:w="4938"/>
      </w:tblGrid>
      <w:tr w:rsidR="00D11634">
        <w:trPr>
          <w:jc w:val="center"/>
        </w:trPr>
        <w:tc>
          <w:tcPr>
            <w:tcW w:w="4939" w:type="dxa"/>
            <w:vAlign w:val="center"/>
          </w:tcPr>
          <w:p w:rsidR="00D11634" w:rsidRDefault="008B0517">
            <w:pPr>
              <w:pStyle w:val="ChartHeading"/>
              <w:jc w:val="both"/>
            </w:pPr>
            <w:r>
              <w:rPr>
                <w:rFonts w:hint="eastAsia"/>
              </w:rPr>
              <w:lastRenderedPageBreak/>
              <w:t>图表</w:t>
            </w:r>
            <w:r>
              <w:t xml:space="preserve">. </w:t>
            </w:r>
            <w:r>
              <w:rPr>
                <w:rFonts w:hint="eastAsia"/>
              </w:rPr>
              <w:t>A</w:t>
            </w:r>
            <w:r>
              <w:rPr>
                <w:rFonts w:hint="eastAsia"/>
              </w:rPr>
              <w:t>股主要指数交易和估值情况</w:t>
            </w:r>
          </w:p>
        </w:tc>
        <w:tc>
          <w:tcPr>
            <w:tcW w:w="4938" w:type="dxa"/>
            <w:vAlign w:val="center"/>
          </w:tcPr>
          <w:p w:rsidR="00D11634" w:rsidRDefault="008B0517">
            <w:pPr>
              <w:pStyle w:val="ChartHeading"/>
              <w:jc w:val="both"/>
            </w:pPr>
            <w:r>
              <w:rPr>
                <w:rFonts w:hint="eastAsia"/>
              </w:rPr>
              <w:t>图表</w:t>
            </w:r>
            <w:r>
              <w:t xml:space="preserve">. </w:t>
            </w:r>
            <w:r>
              <w:rPr>
                <w:rFonts w:hint="eastAsia"/>
              </w:rPr>
              <w:t>转</w:t>
            </w:r>
            <w:proofErr w:type="gramStart"/>
            <w:r>
              <w:rPr>
                <w:rFonts w:hint="eastAsia"/>
              </w:rPr>
              <w:t>债指数</w:t>
            </w:r>
            <w:proofErr w:type="gramEnd"/>
            <w:r>
              <w:rPr>
                <w:rFonts w:hint="eastAsia"/>
              </w:rPr>
              <w:t>与股指累计变化</w:t>
            </w:r>
          </w:p>
        </w:tc>
      </w:tr>
      <w:tr w:rsidR="00D11634">
        <w:tblPrEx>
          <w:tblCellMar>
            <w:left w:w="108" w:type="dxa"/>
            <w:right w:w="108" w:type="dxa"/>
          </w:tblCellMar>
        </w:tblPrEx>
        <w:trPr>
          <w:jc w:val="center"/>
        </w:trPr>
        <w:tc>
          <w:tcPr>
            <w:tcW w:w="4939" w:type="dxa"/>
            <w:vAlign w:val="center"/>
          </w:tcPr>
          <w:p w:rsidR="00D11634" w:rsidRDefault="008B0517">
            <w:pPr>
              <w:jc w:val="center"/>
            </w:pPr>
            <w:r>
              <w:rPr>
                <w:noProof/>
              </w:rPr>
              <w:drawing>
                <wp:inline distT="0" distB="0" distL="0" distR="0">
                  <wp:extent cx="2999105" cy="176022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4"/>
                          <a:stretch>
                            <a:fillRect/>
                          </a:stretch>
                        </pic:blipFill>
                        <pic:spPr>
                          <a:xfrm>
                            <a:off x="0" y="0"/>
                            <a:ext cx="2999105" cy="1760220"/>
                          </a:xfrm>
                          <a:prstGeom prst="rect">
                            <a:avLst/>
                          </a:prstGeom>
                        </pic:spPr>
                      </pic:pic>
                    </a:graphicData>
                  </a:graphic>
                </wp:inline>
              </w:drawing>
            </w:r>
          </w:p>
        </w:tc>
        <w:tc>
          <w:tcPr>
            <w:tcW w:w="4938" w:type="dxa"/>
            <w:vAlign w:val="center"/>
          </w:tcPr>
          <w:p w:rsidR="00D11634" w:rsidRDefault="008B0517">
            <w:pPr>
              <w:jc w:val="center"/>
              <w:rPr>
                <w:szCs w:val="18"/>
              </w:rPr>
            </w:pPr>
            <w:r>
              <w:rPr>
                <w:noProof/>
              </w:rPr>
              <w:drawing>
                <wp:inline distT="0" distB="0" distL="0" distR="0">
                  <wp:extent cx="2998470" cy="1654810"/>
                  <wp:effectExtent l="0" t="0" r="0" b="2540"/>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r>
      <w:tr w:rsidR="00D11634">
        <w:trPr>
          <w:trHeight w:val="64"/>
          <w:jc w:val="center"/>
        </w:trPr>
        <w:tc>
          <w:tcPr>
            <w:tcW w:w="4939" w:type="dxa"/>
            <w:vAlign w:val="center"/>
          </w:tcPr>
          <w:p w:rsidR="00D11634" w:rsidRDefault="008B0517">
            <w:pPr>
              <w:pStyle w:val="Source"/>
              <w:jc w:val="both"/>
              <w:rPr>
                <w:kern w:val="0"/>
              </w:rPr>
            </w:pPr>
            <w:r>
              <w:rPr>
                <w:rFonts w:hint="eastAsia"/>
                <w:kern w:val="0"/>
              </w:rPr>
              <w:t>资料来源：万得，富</w:t>
            </w:r>
            <w:proofErr w:type="gramStart"/>
            <w:r>
              <w:rPr>
                <w:rFonts w:hint="eastAsia"/>
                <w:kern w:val="0"/>
              </w:rPr>
              <w:t>荣基金</w:t>
            </w:r>
            <w:proofErr w:type="gramEnd"/>
          </w:p>
        </w:tc>
        <w:tc>
          <w:tcPr>
            <w:tcW w:w="4938" w:type="dxa"/>
            <w:vAlign w:val="center"/>
          </w:tcPr>
          <w:p w:rsidR="00D11634" w:rsidRDefault="008B0517">
            <w:pPr>
              <w:pStyle w:val="Source"/>
              <w:jc w:val="both"/>
              <w:rPr>
                <w:kern w:val="0"/>
              </w:rPr>
            </w:pPr>
            <w:r>
              <w:rPr>
                <w:rFonts w:hint="eastAsia"/>
                <w:kern w:val="0"/>
              </w:rPr>
              <w:t>资料来源：万得，富</w:t>
            </w:r>
            <w:proofErr w:type="gramStart"/>
            <w:r>
              <w:rPr>
                <w:rFonts w:hint="eastAsia"/>
                <w:kern w:val="0"/>
              </w:rPr>
              <w:t>荣基金</w:t>
            </w:r>
            <w:proofErr w:type="gramEnd"/>
          </w:p>
        </w:tc>
      </w:tr>
    </w:tbl>
    <w:p w:rsidR="00D11634" w:rsidRDefault="00D11634">
      <w:pPr>
        <w:pStyle w:val="Body-text"/>
        <w:spacing w:after="0"/>
        <w:rPr>
          <w:lang w:eastAsia="zh-CN"/>
        </w:rPr>
      </w:pPr>
    </w:p>
    <w:p w:rsidR="00D11634" w:rsidRDefault="008B0517">
      <w:pPr>
        <w:pStyle w:val="Header1"/>
        <w:spacing w:before="240"/>
        <w:rPr>
          <w:color w:val="C45911" w:themeColor="accent2" w:themeShade="BF"/>
        </w:rPr>
      </w:pPr>
      <w:r>
        <w:rPr>
          <w:rFonts w:hint="eastAsia"/>
          <w:color w:val="C45911" w:themeColor="accent2" w:themeShade="BF"/>
        </w:rPr>
        <w:t>三、本周市场展望</w:t>
      </w:r>
    </w:p>
    <w:p w:rsidR="00D11634" w:rsidRDefault="008B0517">
      <w:pPr>
        <w:pStyle w:val="Header2"/>
        <w:rPr>
          <w:rFonts w:ascii="华文楷体" w:hAnsi="华文楷体"/>
          <w:b w:val="0"/>
          <w:szCs w:val="24"/>
          <w:lang w:eastAsia="zh-CN"/>
        </w:rPr>
      </w:pPr>
      <w:r>
        <w:rPr>
          <w:rFonts w:hint="eastAsia"/>
          <w:sz w:val="28"/>
          <w:szCs w:val="21"/>
          <w:lang w:eastAsia="zh-CN"/>
        </w:rPr>
        <w:t>1</w:t>
      </w:r>
      <w:r>
        <w:rPr>
          <w:rFonts w:hint="eastAsia"/>
          <w:sz w:val="28"/>
          <w:szCs w:val="21"/>
          <w:lang w:eastAsia="zh-CN"/>
        </w:rPr>
        <w:t>、</w:t>
      </w:r>
      <w:r>
        <w:rPr>
          <w:rFonts w:hint="eastAsia"/>
          <w:sz w:val="28"/>
          <w:szCs w:val="21"/>
        </w:rPr>
        <w:t>基本面变化</w:t>
      </w:r>
    </w:p>
    <w:p w:rsidR="00D11634" w:rsidRDefault="008B0517">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生产：</w:t>
      </w:r>
      <w:r>
        <w:rPr>
          <w:rFonts w:ascii="华文楷体" w:hAnsi="华文楷体" w:hint="eastAsia"/>
          <w:bCs/>
          <w:sz w:val="24"/>
          <w:szCs w:val="24"/>
          <w:lang w:eastAsia="zh-CN"/>
        </w:rPr>
        <w:t>煤炭价格走平，动力煤价格上涨3.77%。本周</w:t>
      </w:r>
      <w:proofErr w:type="spellStart"/>
      <w:r>
        <w:rPr>
          <w:rFonts w:ascii="华文楷体" w:hAnsi="华文楷体" w:hint="eastAsia"/>
          <w:bCs/>
          <w:sz w:val="24"/>
          <w:szCs w:val="24"/>
          <w:lang w:eastAsia="zh-CN"/>
        </w:rPr>
        <w:t>Myspic</w:t>
      </w:r>
      <w:proofErr w:type="spellEnd"/>
      <w:r>
        <w:rPr>
          <w:rFonts w:ascii="华文楷体" w:hAnsi="华文楷体" w:hint="eastAsia"/>
          <w:bCs/>
          <w:sz w:val="24"/>
          <w:szCs w:val="24"/>
          <w:lang w:eastAsia="zh-CN"/>
        </w:rPr>
        <w:t>普</w:t>
      </w:r>
      <w:proofErr w:type="gramStart"/>
      <w:r>
        <w:rPr>
          <w:rFonts w:ascii="华文楷体" w:hAnsi="华文楷体" w:hint="eastAsia"/>
          <w:bCs/>
          <w:sz w:val="24"/>
          <w:szCs w:val="24"/>
          <w:lang w:eastAsia="zh-CN"/>
        </w:rPr>
        <w:t>钢指数环</w:t>
      </w:r>
      <w:proofErr w:type="gramEnd"/>
      <w:r>
        <w:rPr>
          <w:rFonts w:ascii="华文楷体" w:hAnsi="华文楷体" w:hint="eastAsia"/>
          <w:bCs/>
          <w:sz w:val="24"/>
          <w:szCs w:val="24"/>
          <w:lang w:eastAsia="zh-CN"/>
        </w:rPr>
        <w:t>比下跌0.65</w:t>
      </w:r>
      <w:r>
        <w:rPr>
          <w:rFonts w:ascii="华文楷体" w:hAnsi="华文楷体"/>
          <w:bCs/>
          <w:sz w:val="24"/>
          <w:szCs w:val="24"/>
          <w:lang w:eastAsia="zh-CN"/>
        </w:rPr>
        <w:t>%</w:t>
      </w:r>
      <w:r>
        <w:rPr>
          <w:rFonts w:ascii="华文楷体" w:hAnsi="华文楷体" w:hint="eastAsia"/>
          <w:bCs/>
          <w:sz w:val="24"/>
          <w:szCs w:val="24"/>
          <w:lang w:eastAsia="zh-CN"/>
        </w:rPr>
        <w:t>。主要品种中，螺纹钢、</w:t>
      </w:r>
      <w:proofErr w:type="gramStart"/>
      <w:r>
        <w:rPr>
          <w:rFonts w:ascii="华文楷体" w:hAnsi="华文楷体" w:hint="eastAsia"/>
          <w:bCs/>
          <w:sz w:val="24"/>
          <w:szCs w:val="24"/>
          <w:lang w:eastAsia="zh-CN"/>
        </w:rPr>
        <w:t>热卷价格</w:t>
      </w:r>
      <w:proofErr w:type="gramEnd"/>
      <w:r>
        <w:rPr>
          <w:rFonts w:ascii="华文楷体" w:hAnsi="华文楷体" w:hint="eastAsia"/>
          <w:bCs/>
          <w:sz w:val="24"/>
          <w:szCs w:val="24"/>
          <w:lang w:eastAsia="zh-CN"/>
        </w:rPr>
        <w:t>下跌，分别变动</w:t>
      </w:r>
      <w:r>
        <w:rPr>
          <w:rFonts w:ascii="华文楷体" w:hAnsi="华文楷体"/>
          <w:bCs/>
          <w:sz w:val="24"/>
          <w:szCs w:val="24"/>
          <w:lang w:eastAsia="zh-CN"/>
        </w:rPr>
        <w:t>-0.</w:t>
      </w:r>
      <w:r>
        <w:rPr>
          <w:rFonts w:ascii="华文楷体" w:hAnsi="华文楷体" w:hint="eastAsia"/>
          <w:bCs/>
          <w:sz w:val="24"/>
          <w:szCs w:val="24"/>
          <w:lang w:eastAsia="zh-CN"/>
        </w:rPr>
        <w:t>53%、</w:t>
      </w:r>
      <w:r>
        <w:rPr>
          <w:rFonts w:ascii="华文楷体" w:hAnsi="华文楷体"/>
          <w:bCs/>
          <w:sz w:val="24"/>
          <w:szCs w:val="24"/>
          <w:lang w:eastAsia="zh-CN"/>
        </w:rPr>
        <w:t>-</w:t>
      </w:r>
      <w:r>
        <w:rPr>
          <w:rFonts w:ascii="华文楷体" w:hAnsi="华文楷体" w:hint="eastAsia"/>
          <w:bCs/>
          <w:sz w:val="24"/>
          <w:szCs w:val="24"/>
          <w:lang w:eastAsia="zh-CN"/>
        </w:rPr>
        <w:t>0.61%；从库存来看，螺纹钢社会库存略有去化。本周LME有色品种铜和铝价格涨幅分别为</w:t>
      </w:r>
      <w:r>
        <w:rPr>
          <w:rFonts w:ascii="华文楷体" w:hAnsi="华文楷体"/>
          <w:bCs/>
          <w:sz w:val="24"/>
          <w:szCs w:val="24"/>
          <w:lang w:eastAsia="zh-CN"/>
        </w:rPr>
        <w:t>0.</w:t>
      </w:r>
      <w:r>
        <w:rPr>
          <w:rFonts w:ascii="华文楷体" w:hAnsi="华文楷体" w:hint="eastAsia"/>
          <w:bCs/>
          <w:sz w:val="24"/>
          <w:szCs w:val="24"/>
          <w:lang w:eastAsia="zh-CN"/>
        </w:rPr>
        <w:t>68%和0.17%。</w:t>
      </w:r>
    </w:p>
    <w:p w:rsidR="00D11634" w:rsidRDefault="008B0517">
      <w:pPr>
        <w:pStyle w:val="Body-text"/>
        <w:ind w:firstLineChars="200" w:firstLine="480"/>
        <w:rPr>
          <w:rFonts w:ascii="华文楷体" w:hAnsi="华文楷体"/>
          <w:bCs/>
          <w:color w:val="C00000"/>
          <w:sz w:val="24"/>
          <w:szCs w:val="24"/>
          <w:lang w:eastAsia="zh-CN"/>
        </w:rPr>
      </w:pPr>
      <w:r>
        <w:rPr>
          <w:rFonts w:ascii="华文楷体" w:hAnsi="华文楷体" w:hint="eastAsia"/>
          <w:b/>
          <w:bCs/>
          <w:sz w:val="24"/>
          <w:szCs w:val="24"/>
          <w:lang w:eastAsia="zh-CN"/>
        </w:rPr>
        <w:t>地产和消费：</w:t>
      </w:r>
      <w:r>
        <w:rPr>
          <w:rFonts w:ascii="华文楷体" w:hAnsi="华文楷体" w:hint="eastAsia"/>
          <w:bCs/>
          <w:sz w:val="24"/>
          <w:szCs w:val="24"/>
          <w:lang w:eastAsia="zh-CN"/>
        </w:rPr>
        <w:t>本周30大中城市商品房成交</w:t>
      </w:r>
      <w:proofErr w:type="gramStart"/>
      <w:r>
        <w:rPr>
          <w:rFonts w:ascii="华文楷体" w:hAnsi="华文楷体" w:hint="eastAsia"/>
          <w:bCs/>
          <w:sz w:val="24"/>
          <w:szCs w:val="24"/>
          <w:lang w:eastAsia="zh-CN"/>
        </w:rPr>
        <w:t>面积环</w:t>
      </w:r>
      <w:proofErr w:type="gramEnd"/>
      <w:r>
        <w:rPr>
          <w:rFonts w:ascii="华文楷体" w:hAnsi="华文楷体" w:hint="eastAsia"/>
          <w:bCs/>
          <w:sz w:val="24"/>
          <w:szCs w:val="24"/>
          <w:lang w:eastAsia="zh-CN"/>
        </w:rPr>
        <w:t>比继续回落，与近期部分城市地产政策持续收紧有关。拿地方面，100大中城市土地成交面积回落。乘联会预计9月市场持续回升，狭义乘用车零售销量191.5万辆，同比增长8%左右。</w:t>
      </w:r>
    </w:p>
    <w:p w:rsidR="00D11634" w:rsidRDefault="008B0517">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进出口</w:t>
      </w:r>
      <w:r>
        <w:rPr>
          <w:rFonts w:ascii="华文楷体" w:hAnsi="华文楷体" w:hint="eastAsia"/>
          <w:bCs/>
          <w:sz w:val="24"/>
          <w:szCs w:val="24"/>
          <w:lang w:eastAsia="zh-CN"/>
        </w:rPr>
        <w:t>：出口方面，上海出口集装箱指数（SCFI）本周上升4.02%，中国出口集装箱运价指数（CCFI）上升3.79%。进口方面，波罗的海干散货指数较上周下降1.03%。</w:t>
      </w:r>
    </w:p>
    <w:p w:rsidR="00D11634" w:rsidRDefault="008B0517">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通胀：</w:t>
      </w:r>
      <w:r>
        <w:rPr>
          <w:rFonts w:ascii="华文楷体" w:hAnsi="华文楷体" w:hint="eastAsia"/>
          <w:bCs/>
          <w:sz w:val="24"/>
          <w:szCs w:val="24"/>
          <w:lang w:eastAsia="zh-CN"/>
        </w:rPr>
        <w:t>猪肉价格本周下跌。农业部公布的全国平均批发价较上周末下跌1.25%，至4</w:t>
      </w:r>
      <w:r>
        <w:rPr>
          <w:rFonts w:ascii="华文楷体" w:hAnsi="华文楷体"/>
          <w:bCs/>
          <w:sz w:val="24"/>
          <w:szCs w:val="24"/>
          <w:lang w:eastAsia="zh-CN"/>
        </w:rPr>
        <w:t>7.</w:t>
      </w:r>
      <w:r>
        <w:rPr>
          <w:rFonts w:ascii="华文楷体" w:hAnsi="华文楷体" w:hint="eastAsia"/>
          <w:bCs/>
          <w:sz w:val="24"/>
          <w:szCs w:val="24"/>
          <w:lang w:eastAsia="zh-CN"/>
        </w:rPr>
        <w:t>5</w:t>
      </w:r>
      <w:r>
        <w:rPr>
          <w:rFonts w:ascii="华文楷体" w:hAnsi="华文楷体"/>
          <w:bCs/>
          <w:sz w:val="24"/>
          <w:szCs w:val="24"/>
          <w:lang w:eastAsia="zh-CN"/>
        </w:rPr>
        <w:t>5</w:t>
      </w:r>
      <w:r>
        <w:rPr>
          <w:rFonts w:ascii="华文楷体" w:hAnsi="华文楷体" w:hint="eastAsia"/>
          <w:bCs/>
          <w:sz w:val="24"/>
          <w:szCs w:val="24"/>
          <w:lang w:eastAsia="zh-CN"/>
        </w:rPr>
        <w:t>元/公斤左右。蔬菜方面，价格环比下跌2.76%；水果价格则较上周小幅下跌，跌幅为0.08%。</w:t>
      </w:r>
    </w:p>
    <w:p w:rsidR="00D11634" w:rsidRDefault="008B0517">
      <w:pPr>
        <w:pStyle w:val="Body-text"/>
        <w:ind w:firstLineChars="200" w:firstLine="480"/>
        <w:rPr>
          <w:rFonts w:ascii="华文楷体" w:hAnsi="华文楷体"/>
          <w:bCs/>
          <w:sz w:val="24"/>
          <w:szCs w:val="24"/>
          <w:lang w:eastAsia="zh-CN"/>
        </w:rPr>
      </w:pPr>
      <w:bookmarkStart w:id="1" w:name="_Hlk21205334"/>
      <w:r>
        <w:rPr>
          <w:rFonts w:ascii="华文楷体" w:hAnsi="华文楷体" w:hint="eastAsia"/>
          <w:b/>
          <w:bCs/>
          <w:sz w:val="24"/>
          <w:szCs w:val="24"/>
          <w:lang w:eastAsia="zh-CN"/>
        </w:rPr>
        <w:t>海外</w:t>
      </w:r>
      <w:r>
        <w:rPr>
          <w:rFonts w:ascii="华文楷体" w:hAnsi="华文楷体" w:hint="eastAsia"/>
          <w:bCs/>
          <w:sz w:val="24"/>
          <w:szCs w:val="24"/>
          <w:lang w:eastAsia="zh-CN"/>
        </w:rPr>
        <w:t>：本周国际油价上涨，WTI原油价格环比上涨10.13%；布伦</w:t>
      </w:r>
      <w:proofErr w:type="gramStart"/>
      <w:r>
        <w:rPr>
          <w:rFonts w:ascii="华文楷体" w:hAnsi="华文楷体" w:hint="eastAsia"/>
          <w:bCs/>
          <w:sz w:val="24"/>
          <w:szCs w:val="24"/>
          <w:lang w:eastAsia="zh-CN"/>
        </w:rPr>
        <w:t>特</w:t>
      </w:r>
      <w:proofErr w:type="gramEnd"/>
      <w:r>
        <w:rPr>
          <w:rFonts w:ascii="华文楷体" w:hAnsi="华文楷体" w:hint="eastAsia"/>
          <w:bCs/>
          <w:sz w:val="24"/>
          <w:szCs w:val="24"/>
          <w:lang w:eastAsia="zh-CN"/>
        </w:rPr>
        <w:t>原油价格环比上涨8.37%。本周美元指数小幅下跌0.26%。</w:t>
      </w:r>
    </w:p>
    <w:p w:rsidR="00D11634" w:rsidRDefault="008B0517">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下周关注</w:t>
      </w:r>
      <w:r>
        <w:rPr>
          <w:rFonts w:ascii="华文楷体" w:hAnsi="华文楷体" w:hint="eastAsia"/>
          <w:bCs/>
          <w:sz w:val="24"/>
          <w:szCs w:val="24"/>
          <w:lang w:eastAsia="zh-CN"/>
        </w:rPr>
        <w:t>：中国LPR报价；美国8月芝加哥联储全国活动指数，成屋销售数据，</w:t>
      </w:r>
      <w:proofErr w:type="spellStart"/>
      <w:r>
        <w:rPr>
          <w:rFonts w:ascii="华文楷体" w:hAnsi="华文楷体" w:hint="eastAsia"/>
          <w:bCs/>
          <w:sz w:val="24"/>
          <w:szCs w:val="24"/>
          <w:lang w:eastAsia="zh-CN"/>
        </w:rPr>
        <w:t>Markit</w:t>
      </w:r>
      <w:proofErr w:type="spellEnd"/>
      <w:r>
        <w:rPr>
          <w:rFonts w:ascii="华文楷体" w:hAnsi="华文楷体" w:hint="eastAsia"/>
          <w:bCs/>
          <w:sz w:val="24"/>
          <w:szCs w:val="24"/>
          <w:lang w:eastAsia="zh-CN"/>
        </w:rPr>
        <w:t xml:space="preserve"> PMI及8月耐用消费品订单数据；欧元区9月PMI初值；中美摩擦；疫情情况。</w:t>
      </w:r>
    </w:p>
    <w:p w:rsidR="00D11634" w:rsidRDefault="00D11634">
      <w:pPr>
        <w:pStyle w:val="Body-text"/>
        <w:ind w:firstLineChars="200" w:firstLine="480"/>
        <w:rPr>
          <w:rFonts w:ascii="华文楷体" w:eastAsia="PMingLiU" w:hAnsi="华文楷体"/>
          <w:bCs/>
          <w:sz w:val="24"/>
          <w:szCs w:val="24"/>
          <w:lang w:eastAsia="zh-CN"/>
        </w:rPr>
      </w:pPr>
    </w:p>
    <w:bookmarkEnd w:id="1"/>
    <w:p w:rsidR="00D11634" w:rsidRDefault="008B0517">
      <w:pPr>
        <w:pStyle w:val="Header2"/>
        <w:spacing w:before="120"/>
        <w:rPr>
          <w:rFonts w:eastAsia="PMingLiU"/>
          <w:sz w:val="28"/>
          <w:szCs w:val="21"/>
          <w:lang w:eastAsia="zh-CN"/>
        </w:rPr>
      </w:pPr>
      <w:r>
        <w:rPr>
          <w:sz w:val="28"/>
          <w:szCs w:val="21"/>
          <w:lang w:eastAsia="zh-CN"/>
        </w:rPr>
        <w:t>2</w:t>
      </w:r>
      <w:r>
        <w:rPr>
          <w:rFonts w:hint="eastAsia"/>
          <w:sz w:val="28"/>
          <w:szCs w:val="21"/>
          <w:lang w:eastAsia="zh-CN"/>
        </w:rPr>
        <w:t>、下周债市判断</w:t>
      </w:r>
    </w:p>
    <w:p w:rsidR="00D11634" w:rsidRDefault="008B0517">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利率债：8月经济数据表明，居民消费仍在改善，制造业投资由于低基数原因大幅好转，地产销售月度同比增速持续上升，但地产投资及新开工数据月度同比增速回落；工业生产维持较高水平。综合来看，居民消费修复态势仍将持续，地产受融资收紧影响或将小幅回落但幅度有限，财政支出进度偏慢意味着后续支出进度将明显加快，基建投资将是三四季度经济修复的主导力量，制造业预计持续小幅改善。结合金融数据分析，短期内经济仍将维持平稳甚至</w:t>
      </w:r>
      <w:proofErr w:type="gramStart"/>
      <w:r>
        <w:rPr>
          <w:rFonts w:ascii="华文楷体" w:hAnsi="华文楷体" w:hint="eastAsia"/>
          <w:bCs/>
          <w:sz w:val="24"/>
          <w:szCs w:val="24"/>
          <w:lang w:eastAsia="zh-CN"/>
        </w:rPr>
        <w:t>小幅走</w:t>
      </w:r>
      <w:proofErr w:type="gramEnd"/>
      <w:r>
        <w:rPr>
          <w:rFonts w:ascii="华文楷体" w:hAnsi="华文楷体" w:hint="eastAsia"/>
          <w:bCs/>
          <w:sz w:val="24"/>
          <w:szCs w:val="24"/>
          <w:lang w:eastAsia="zh-CN"/>
        </w:rPr>
        <w:t>强，经济好转预期仍将持续。权益市场下半周的反弹值得关注，在央行呵护流动性的情况下，股债跷跷板效应或将对债券形成负面冲击。我们对债券市场整体仍维持谨慎，在短端回落告一阶段之后，做多仍需等待基本面上更明确的信号。</w:t>
      </w:r>
    </w:p>
    <w:p w:rsidR="00D11634" w:rsidRDefault="008B0517">
      <w:pPr>
        <w:pStyle w:val="a9"/>
        <w:shd w:val="clear" w:color="auto" w:fill="FFFFFF"/>
        <w:adjustRightInd w:val="0"/>
        <w:snapToGrid w:val="0"/>
        <w:spacing w:before="0" w:beforeAutospacing="0" w:after="240" w:afterAutospacing="0"/>
        <w:ind w:firstLine="482"/>
        <w:jc w:val="both"/>
        <w:rPr>
          <w:rFonts w:ascii="华文楷体" w:eastAsia="华文楷体" w:hAnsi="华文楷体" w:cs="Times New Roman"/>
          <w:bCs/>
        </w:rPr>
      </w:pPr>
      <w:r>
        <w:rPr>
          <w:rFonts w:ascii="华文楷体" w:eastAsia="华文楷体" w:hAnsi="华文楷体" w:cs="Times New Roman" w:hint="eastAsia"/>
          <w:bCs/>
        </w:rPr>
        <w:lastRenderedPageBreak/>
        <w:t>信用债：本周信用品种利率受到利率</w:t>
      </w:r>
      <w:proofErr w:type="gramStart"/>
      <w:r>
        <w:rPr>
          <w:rFonts w:ascii="华文楷体" w:eastAsia="华文楷体" w:hAnsi="华文楷体" w:cs="Times New Roman" w:hint="eastAsia"/>
          <w:bCs/>
        </w:rPr>
        <w:t>债影响</w:t>
      </w:r>
      <w:proofErr w:type="gramEnd"/>
      <w:r>
        <w:rPr>
          <w:rFonts w:ascii="华文楷体" w:eastAsia="华文楷体" w:hAnsi="华文楷体" w:cs="Times New Roman" w:hint="eastAsia"/>
          <w:bCs/>
        </w:rPr>
        <w:t>3y品种利率有所下行。整体来看，当前利率的绝对水平有一定基本面支撑，配置盘的绝对收益有一定保障，但后续经济边际改善叠加货币政策边际调整，票息策略仍然占优。高等级信用利差较窄，低等级信用利差拉大，后续需关注信用风险暴露。</w:t>
      </w:r>
    </w:p>
    <w:p w:rsidR="00D11634" w:rsidRDefault="008B0517">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可转债：本周权益市场反弹，转债波动增加。接下来建议继续关注半年报绩优、正股弹性和逻辑较强品种，或有短期介入机会。</w:t>
      </w:r>
    </w:p>
    <w:p w:rsidR="00D11634" w:rsidRDefault="00D11634">
      <w:pPr>
        <w:pStyle w:val="Body-text"/>
        <w:spacing w:after="240"/>
        <w:ind w:firstLineChars="200" w:firstLine="480"/>
        <w:rPr>
          <w:rFonts w:ascii="华文楷体" w:hAnsi="华文楷体"/>
          <w:bCs/>
          <w:sz w:val="24"/>
          <w:szCs w:val="24"/>
          <w:lang w:eastAsia="zh-CN"/>
        </w:rPr>
      </w:pPr>
    </w:p>
    <w:tbl>
      <w:tblPr>
        <w:tblW w:w="9877" w:type="dxa"/>
        <w:jc w:val="center"/>
        <w:tblLayout w:type="fixed"/>
        <w:tblCellMar>
          <w:left w:w="0" w:type="dxa"/>
          <w:right w:w="0" w:type="dxa"/>
        </w:tblCellMar>
        <w:tblLook w:val="04A0" w:firstRow="1" w:lastRow="0" w:firstColumn="1" w:lastColumn="0" w:noHBand="0" w:noVBand="1"/>
      </w:tblPr>
      <w:tblGrid>
        <w:gridCol w:w="4939"/>
        <w:gridCol w:w="4938"/>
      </w:tblGrid>
      <w:tr w:rsidR="00D11634">
        <w:trPr>
          <w:jc w:val="center"/>
        </w:trPr>
        <w:tc>
          <w:tcPr>
            <w:tcW w:w="4939" w:type="dxa"/>
            <w:vAlign w:val="center"/>
          </w:tcPr>
          <w:p w:rsidR="00D11634" w:rsidRDefault="008B0517">
            <w:pPr>
              <w:pStyle w:val="ChartHeading"/>
              <w:jc w:val="both"/>
            </w:pPr>
            <w:r>
              <w:rPr>
                <w:rFonts w:hint="eastAsia"/>
              </w:rPr>
              <w:t>图表</w:t>
            </w:r>
            <w:r>
              <w:t>.</w:t>
            </w:r>
            <w:r>
              <w:rPr>
                <w:rFonts w:hint="eastAsia"/>
              </w:rPr>
              <w:t>主要钢材库存累积</w:t>
            </w:r>
          </w:p>
        </w:tc>
        <w:tc>
          <w:tcPr>
            <w:tcW w:w="4938" w:type="dxa"/>
            <w:vAlign w:val="center"/>
          </w:tcPr>
          <w:p w:rsidR="00D11634" w:rsidRDefault="008B0517">
            <w:pPr>
              <w:pStyle w:val="ChartHeading"/>
              <w:jc w:val="both"/>
            </w:pPr>
            <w:r>
              <w:rPr>
                <w:rFonts w:hint="eastAsia"/>
              </w:rPr>
              <w:t>图表</w:t>
            </w:r>
            <w:r>
              <w:t xml:space="preserve">. </w:t>
            </w:r>
            <w:r>
              <w:rPr>
                <w:rFonts w:hint="eastAsia"/>
              </w:rPr>
              <w:t>水泥价格小幅上涨</w:t>
            </w:r>
          </w:p>
        </w:tc>
      </w:tr>
      <w:tr w:rsidR="00D11634">
        <w:tblPrEx>
          <w:tblCellMar>
            <w:left w:w="108" w:type="dxa"/>
            <w:right w:w="108" w:type="dxa"/>
          </w:tblCellMar>
        </w:tblPrEx>
        <w:trPr>
          <w:jc w:val="center"/>
        </w:trPr>
        <w:tc>
          <w:tcPr>
            <w:tcW w:w="4939" w:type="dxa"/>
            <w:vAlign w:val="center"/>
          </w:tcPr>
          <w:p w:rsidR="00D11634" w:rsidRDefault="008B0517">
            <w:pPr>
              <w:jc w:val="center"/>
            </w:pPr>
            <w:r>
              <w:rPr>
                <w:noProof/>
              </w:rPr>
              <w:drawing>
                <wp:inline distT="0" distB="0" distL="0" distR="0">
                  <wp:extent cx="2999105" cy="1626235"/>
                  <wp:effectExtent l="0" t="0" r="0" b="0"/>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c>
          <w:tcPr>
            <w:tcW w:w="4938" w:type="dxa"/>
            <w:vAlign w:val="center"/>
          </w:tcPr>
          <w:p w:rsidR="00D11634" w:rsidRDefault="008B0517">
            <w:pPr>
              <w:jc w:val="center"/>
              <w:rPr>
                <w:szCs w:val="18"/>
              </w:rPr>
            </w:pPr>
            <w:r>
              <w:rPr>
                <w:noProof/>
              </w:rPr>
              <w:drawing>
                <wp:inline distT="0" distB="0" distL="0" distR="0">
                  <wp:extent cx="2998470" cy="1665605"/>
                  <wp:effectExtent l="0" t="0" r="0" b="0"/>
                  <wp:docPr id="14"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r>
      <w:tr w:rsidR="00D11634">
        <w:trPr>
          <w:trHeight w:val="64"/>
          <w:jc w:val="center"/>
        </w:trPr>
        <w:tc>
          <w:tcPr>
            <w:tcW w:w="4939" w:type="dxa"/>
            <w:vAlign w:val="center"/>
          </w:tcPr>
          <w:p w:rsidR="00D11634" w:rsidRDefault="008B0517">
            <w:pPr>
              <w:pStyle w:val="Source"/>
              <w:jc w:val="both"/>
              <w:rPr>
                <w:kern w:val="0"/>
              </w:rPr>
            </w:pPr>
            <w:r>
              <w:rPr>
                <w:rFonts w:hint="eastAsia"/>
                <w:kern w:val="0"/>
              </w:rPr>
              <w:t>资料来源：万得，富</w:t>
            </w:r>
            <w:proofErr w:type="gramStart"/>
            <w:r>
              <w:rPr>
                <w:rFonts w:hint="eastAsia"/>
                <w:kern w:val="0"/>
              </w:rPr>
              <w:t>荣基金</w:t>
            </w:r>
            <w:proofErr w:type="gramEnd"/>
          </w:p>
        </w:tc>
        <w:tc>
          <w:tcPr>
            <w:tcW w:w="4938" w:type="dxa"/>
            <w:vAlign w:val="center"/>
          </w:tcPr>
          <w:p w:rsidR="00D11634" w:rsidRDefault="008B0517">
            <w:pPr>
              <w:pStyle w:val="Source"/>
              <w:jc w:val="both"/>
              <w:rPr>
                <w:kern w:val="0"/>
              </w:rPr>
            </w:pPr>
            <w:r>
              <w:rPr>
                <w:rFonts w:hint="eastAsia"/>
                <w:kern w:val="0"/>
              </w:rPr>
              <w:t>资料来源：万得，富</w:t>
            </w:r>
            <w:proofErr w:type="gramStart"/>
            <w:r>
              <w:rPr>
                <w:rFonts w:hint="eastAsia"/>
                <w:kern w:val="0"/>
              </w:rPr>
              <w:t>荣基金</w:t>
            </w:r>
            <w:proofErr w:type="gramEnd"/>
          </w:p>
        </w:tc>
      </w:tr>
    </w:tbl>
    <w:p w:rsidR="00D11634" w:rsidRDefault="00D11634">
      <w:pPr>
        <w:pStyle w:val="Body-text"/>
        <w:spacing w:after="0"/>
        <w:rPr>
          <w:lang w:eastAsia="zh-CN"/>
        </w:rPr>
      </w:pPr>
    </w:p>
    <w:tbl>
      <w:tblPr>
        <w:tblW w:w="9877" w:type="dxa"/>
        <w:jc w:val="center"/>
        <w:tblLayout w:type="fixed"/>
        <w:tblCellMar>
          <w:left w:w="0" w:type="dxa"/>
          <w:right w:w="0" w:type="dxa"/>
        </w:tblCellMar>
        <w:tblLook w:val="04A0" w:firstRow="1" w:lastRow="0" w:firstColumn="1" w:lastColumn="0" w:noHBand="0" w:noVBand="1"/>
      </w:tblPr>
      <w:tblGrid>
        <w:gridCol w:w="4939"/>
        <w:gridCol w:w="4938"/>
      </w:tblGrid>
      <w:tr w:rsidR="00D11634">
        <w:trPr>
          <w:jc w:val="center"/>
        </w:trPr>
        <w:tc>
          <w:tcPr>
            <w:tcW w:w="4939" w:type="dxa"/>
            <w:vAlign w:val="center"/>
          </w:tcPr>
          <w:p w:rsidR="00D11634" w:rsidRDefault="008B0517">
            <w:pPr>
              <w:pStyle w:val="ChartHeading"/>
              <w:jc w:val="both"/>
            </w:pPr>
            <w:r>
              <w:rPr>
                <w:rFonts w:hint="eastAsia"/>
              </w:rPr>
              <w:t>图表</w:t>
            </w:r>
            <w:r>
              <w:t xml:space="preserve">. </w:t>
            </w:r>
            <w:r>
              <w:rPr>
                <w:rFonts w:hint="eastAsia"/>
              </w:rPr>
              <w:t>南华</w:t>
            </w:r>
            <w:r>
              <w:t>工业品指数</w:t>
            </w:r>
            <w:r>
              <w:rPr>
                <w:rFonts w:hint="eastAsia"/>
              </w:rPr>
              <w:t>反弹</w:t>
            </w:r>
          </w:p>
        </w:tc>
        <w:tc>
          <w:tcPr>
            <w:tcW w:w="4938" w:type="dxa"/>
            <w:vAlign w:val="center"/>
          </w:tcPr>
          <w:p w:rsidR="00D11634" w:rsidRDefault="008B0517">
            <w:pPr>
              <w:pStyle w:val="ChartHeading"/>
              <w:jc w:val="both"/>
            </w:pPr>
            <w:r>
              <w:rPr>
                <w:rFonts w:hint="eastAsia"/>
              </w:rPr>
              <w:t>图表</w:t>
            </w:r>
            <w:r>
              <w:t xml:space="preserve">. </w:t>
            </w:r>
            <w:r>
              <w:rPr>
                <w:rFonts w:hint="eastAsia"/>
              </w:rPr>
              <w:t>原油价格反弹</w:t>
            </w:r>
          </w:p>
        </w:tc>
      </w:tr>
      <w:tr w:rsidR="00D11634">
        <w:tblPrEx>
          <w:tblCellMar>
            <w:left w:w="108" w:type="dxa"/>
            <w:right w:w="108" w:type="dxa"/>
          </w:tblCellMar>
        </w:tblPrEx>
        <w:trPr>
          <w:jc w:val="center"/>
        </w:trPr>
        <w:tc>
          <w:tcPr>
            <w:tcW w:w="4939" w:type="dxa"/>
            <w:vAlign w:val="center"/>
          </w:tcPr>
          <w:p w:rsidR="00D11634" w:rsidRDefault="008B0517">
            <w:pPr>
              <w:jc w:val="center"/>
            </w:pPr>
            <w:r>
              <w:rPr>
                <w:noProof/>
              </w:rPr>
              <w:drawing>
                <wp:inline distT="0" distB="0" distL="0" distR="0">
                  <wp:extent cx="2999105" cy="1640840"/>
                  <wp:effectExtent l="0" t="0" r="0" b="0"/>
                  <wp:docPr id="15"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c>
          <w:tcPr>
            <w:tcW w:w="4938" w:type="dxa"/>
            <w:vAlign w:val="center"/>
          </w:tcPr>
          <w:p w:rsidR="00D11634" w:rsidRDefault="008B0517">
            <w:pPr>
              <w:jc w:val="center"/>
              <w:rPr>
                <w:sz w:val="14"/>
                <w:szCs w:val="14"/>
              </w:rPr>
            </w:pPr>
            <w:r>
              <w:rPr>
                <w:noProof/>
              </w:rPr>
              <w:drawing>
                <wp:inline distT="0" distB="0" distL="0" distR="0">
                  <wp:extent cx="2998470" cy="1721485"/>
                  <wp:effectExtent l="0" t="0" r="0" b="0"/>
                  <wp:docPr id="20"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tc>
      </w:tr>
      <w:tr w:rsidR="00D11634">
        <w:trPr>
          <w:trHeight w:val="64"/>
          <w:jc w:val="center"/>
        </w:trPr>
        <w:tc>
          <w:tcPr>
            <w:tcW w:w="4939" w:type="dxa"/>
            <w:vAlign w:val="center"/>
          </w:tcPr>
          <w:p w:rsidR="00D11634" w:rsidRDefault="008B0517">
            <w:pPr>
              <w:pStyle w:val="Source"/>
              <w:jc w:val="both"/>
              <w:rPr>
                <w:kern w:val="0"/>
              </w:rPr>
            </w:pPr>
            <w:r>
              <w:rPr>
                <w:rFonts w:hint="eastAsia"/>
                <w:kern w:val="0"/>
              </w:rPr>
              <w:t>资料来源：万得，富</w:t>
            </w:r>
            <w:proofErr w:type="gramStart"/>
            <w:r>
              <w:rPr>
                <w:rFonts w:hint="eastAsia"/>
                <w:kern w:val="0"/>
              </w:rPr>
              <w:t>荣基金</w:t>
            </w:r>
            <w:proofErr w:type="gramEnd"/>
          </w:p>
        </w:tc>
        <w:tc>
          <w:tcPr>
            <w:tcW w:w="4938" w:type="dxa"/>
            <w:vAlign w:val="center"/>
          </w:tcPr>
          <w:p w:rsidR="00D11634" w:rsidRDefault="008B0517">
            <w:pPr>
              <w:pStyle w:val="Source"/>
              <w:jc w:val="both"/>
              <w:rPr>
                <w:kern w:val="0"/>
              </w:rPr>
            </w:pPr>
            <w:r>
              <w:rPr>
                <w:rFonts w:hint="eastAsia"/>
                <w:kern w:val="0"/>
              </w:rPr>
              <w:t>资料来源：万得，富</w:t>
            </w:r>
            <w:proofErr w:type="gramStart"/>
            <w:r>
              <w:rPr>
                <w:rFonts w:hint="eastAsia"/>
                <w:kern w:val="0"/>
              </w:rPr>
              <w:t>荣基金</w:t>
            </w:r>
            <w:proofErr w:type="gramEnd"/>
          </w:p>
        </w:tc>
      </w:tr>
    </w:tbl>
    <w:p w:rsidR="00D11634" w:rsidRDefault="00D11634">
      <w:pPr>
        <w:pStyle w:val="Body-text"/>
        <w:spacing w:after="0"/>
        <w:rPr>
          <w:rFonts w:ascii="华文楷体" w:hAnsi="华文楷体"/>
          <w:sz w:val="24"/>
          <w:szCs w:val="24"/>
          <w:lang w:eastAsia="zh-CN"/>
        </w:rPr>
      </w:pPr>
    </w:p>
    <w:p w:rsidR="00D11634" w:rsidRDefault="008B0517">
      <w:pPr>
        <w:widowControl/>
        <w:jc w:val="left"/>
      </w:pPr>
      <w:r>
        <w:br w:type="page"/>
      </w:r>
    </w:p>
    <w:p w:rsidR="00D11634" w:rsidRDefault="00D11634">
      <w:pPr>
        <w:widowControl/>
        <w:ind w:firstLineChars="200" w:firstLine="420"/>
      </w:pPr>
    </w:p>
    <w:p w:rsidR="00D11634" w:rsidRDefault="00EA4985" w:rsidP="00EA4985">
      <w:pPr>
        <w:pStyle w:val="Body-text"/>
        <w:ind w:firstLineChars="200" w:firstLine="400"/>
        <w:rPr>
          <w:rFonts w:ascii="华文楷体" w:hAnsi="华文楷体"/>
          <w:sz w:val="24"/>
          <w:szCs w:val="24"/>
          <w:lang w:eastAsia="zh-CN"/>
        </w:rPr>
      </w:pPr>
      <w:r>
        <w:rPr>
          <w:rFonts w:ascii="微软雅黑" w:eastAsia="微软雅黑" w:hAnsi="微软雅黑" w:hint="eastAsia"/>
          <w:color w:val="474747"/>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2、本报告中的资料、观点和预测等仅供参考，在任何时候均不构成对任何人的个人推荐。市场有风险，投资需谨慎。</w:t>
      </w:r>
      <w:bookmarkStart w:id="2" w:name="_GoBack"/>
      <w:bookmarkEnd w:id="2"/>
    </w:p>
    <w:p w:rsidR="00D11634" w:rsidRDefault="00D11634">
      <w:pPr>
        <w:pStyle w:val="Body-text"/>
        <w:ind w:firstLineChars="200" w:firstLine="480"/>
        <w:rPr>
          <w:rFonts w:ascii="华文楷体" w:hAnsi="华文楷体"/>
          <w:sz w:val="24"/>
          <w:szCs w:val="24"/>
          <w:lang w:eastAsia="zh-CN"/>
        </w:rPr>
      </w:pPr>
    </w:p>
    <w:sectPr w:rsidR="00D11634">
      <w:headerReference w:type="default" r:id="rId20"/>
      <w:footerReference w:type="default" r:id="rId21"/>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4813" w:rsidRDefault="00D84813">
      <w:r>
        <w:separator/>
      </w:r>
    </w:p>
  </w:endnote>
  <w:endnote w:type="continuationSeparator" w:id="0">
    <w:p w:rsidR="00D84813" w:rsidRDefault="00D848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pitch w:val="default"/>
    <w:sig w:usb0="00000000"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default"/>
    <w:sig w:usb0="00000000" w:usb1="38CF7CFA" w:usb2="00000016" w:usb3="00000000" w:csb0="0004000F" w:csb1="00000000"/>
  </w:font>
  <w:font w:name="微软雅黑">
    <w:panose1 w:val="020B0503020204020204"/>
    <w:charset w:val="86"/>
    <w:family w:val="swiss"/>
    <w:pitch w:val="variable"/>
    <w:sig w:usb0="80000287" w:usb1="280F3C52" w:usb2="00000016" w:usb3="00000000" w:csb0="0004001F" w:csb1="00000000"/>
  </w:font>
  <w:font w:name="等线 Light">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AutoText"/>
      </w:docPartObj>
    </w:sdtPr>
    <w:sdtEndPr/>
    <w:sdtContent>
      <w:p w:rsidR="00D11634" w:rsidRDefault="008B0517">
        <w:pPr>
          <w:pStyle w:val="a7"/>
          <w:jc w:val="right"/>
        </w:pPr>
        <w:r>
          <w:fldChar w:fldCharType="begin"/>
        </w:r>
        <w:r>
          <w:instrText>PAGE   \* MERGEFORMAT</w:instrText>
        </w:r>
        <w:r>
          <w:fldChar w:fldCharType="separate"/>
        </w:r>
        <w:r w:rsidR="00EA4985" w:rsidRPr="00EA4985">
          <w:rPr>
            <w:noProof/>
            <w:lang w:val="zh-CN"/>
          </w:rPr>
          <w:t>6</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4813" w:rsidRDefault="00D84813">
      <w:r>
        <w:separator/>
      </w:r>
    </w:p>
  </w:footnote>
  <w:footnote w:type="continuationSeparator" w:id="0">
    <w:p w:rsidR="00D84813" w:rsidRDefault="00D8481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1634" w:rsidRDefault="008B0517">
    <w:pPr>
      <w:pStyle w:val="a8"/>
      <w:jc w:val="left"/>
    </w:pPr>
    <w:r>
      <w:rPr>
        <w:noProof/>
      </w:rPr>
      <w:drawing>
        <wp:inline distT="0" distB="0" distL="0" distR="0">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612140" cy="53276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oNotShadeFormData/>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0D"/>
    <w:rsid w:val="000022B0"/>
    <w:rsid w:val="0000327C"/>
    <w:rsid w:val="000037AD"/>
    <w:rsid w:val="00003DA4"/>
    <w:rsid w:val="00003F08"/>
    <w:rsid w:val="00003F49"/>
    <w:rsid w:val="00003F92"/>
    <w:rsid w:val="000047B9"/>
    <w:rsid w:val="00004DA9"/>
    <w:rsid w:val="00004DF6"/>
    <w:rsid w:val="00004E5B"/>
    <w:rsid w:val="00004F92"/>
    <w:rsid w:val="00005076"/>
    <w:rsid w:val="00005AF2"/>
    <w:rsid w:val="00005D9A"/>
    <w:rsid w:val="000060AC"/>
    <w:rsid w:val="000060DE"/>
    <w:rsid w:val="00006135"/>
    <w:rsid w:val="0000649D"/>
    <w:rsid w:val="00006593"/>
    <w:rsid w:val="00006787"/>
    <w:rsid w:val="000068CF"/>
    <w:rsid w:val="00006911"/>
    <w:rsid w:val="00006B83"/>
    <w:rsid w:val="00007A5A"/>
    <w:rsid w:val="00007F30"/>
    <w:rsid w:val="00010654"/>
    <w:rsid w:val="000106E3"/>
    <w:rsid w:val="00010B19"/>
    <w:rsid w:val="00010DAA"/>
    <w:rsid w:val="000117D9"/>
    <w:rsid w:val="000119EF"/>
    <w:rsid w:val="00011C5F"/>
    <w:rsid w:val="000128CB"/>
    <w:rsid w:val="00012A25"/>
    <w:rsid w:val="00012DA7"/>
    <w:rsid w:val="00012E48"/>
    <w:rsid w:val="0001311B"/>
    <w:rsid w:val="00013AC4"/>
    <w:rsid w:val="00013D8C"/>
    <w:rsid w:val="00013DBA"/>
    <w:rsid w:val="00014480"/>
    <w:rsid w:val="0001480A"/>
    <w:rsid w:val="0001500B"/>
    <w:rsid w:val="00015542"/>
    <w:rsid w:val="00015981"/>
    <w:rsid w:val="00015C26"/>
    <w:rsid w:val="00015ECB"/>
    <w:rsid w:val="00015EE5"/>
    <w:rsid w:val="00015F11"/>
    <w:rsid w:val="00015F3D"/>
    <w:rsid w:val="00016248"/>
    <w:rsid w:val="00016A8C"/>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12AB"/>
    <w:rsid w:val="00031A0F"/>
    <w:rsid w:val="00032A5F"/>
    <w:rsid w:val="00032A68"/>
    <w:rsid w:val="00032ABF"/>
    <w:rsid w:val="000331EC"/>
    <w:rsid w:val="0003324E"/>
    <w:rsid w:val="000332AD"/>
    <w:rsid w:val="00033828"/>
    <w:rsid w:val="00034919"/>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0E7F"/>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AB6"/>
    <w:rsid w:val="00047BC0"/>
    <w:rsid w:val="00047BF1"/>
    <w:rsid w:val="00047E2A"/>
    <w:rsid w:val="00047FA6"/>
    <w:rsid w:val="0005003A"/>
    <w:rsid w:val="00050047"/>
    <w:rsid w:val="000504C8"/>
    <w:rsid w:val="000505E2"/>
    <w:rsid w:val="000507BC"/>
    <w:rsid w:val="00050AE2"/>
    <w:rsid w:val="00050E8F"/>
    <w:rsid w:val="0005125C"/>
    <w:rsid w:val="0005155B"/>
    <w:rsid w:val="00051575"/>
    <w:rsid w:val="0005161A"/>
    <w:rsid w:val="00051876"/>
    <w:rsid w:val="00051CD0"/>
    <w:rsid w:val="00051D9D"/>
    <w:rsid w:val="000523C8"/>
    <w:rsid w:val="00052427"/>
    <w:rsid w:val="00053051"/>
    <w:rsid w:val="000537A4"/>
    <w:rsid w:val="00054072"/>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392"/>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71ED"/>
    <w:rsid w:val="000772BD"/>
    <w:rsid w:val="00077790"/>
    <w:rsid w:val="0007794F"/>
    <w:rsid w:val="00077B1B"/>
    <w:rsid w:val="00080318"/>
    <w:rsid w:val="000807AE"/>
    <w:rsid w:val="00080D8B"/>
    <w:rsid w:val="0008119E"/>
    <w:rsid w:val="00081E60"/>
    <w:rsid w:val="00082044"/>
    <w:rsid w:val="00082CE4"/>
    <w:rsid w:val="00083341"/>
    <w:rsid w:val="00083392"/>
    <w:rsid w:val="00083A35"/>
    <w:rsid w:val="00083B64"/>
    <w:rsid w:val="00083E1C"/>
    <w:rsid w:val="00084085"/>
    <w:rsid w:val="000840CD"/>
    <w:rsid w:val="00084873"/>
    <w:rsid w:val="0008490D"/>
    <w:rsid w:val="0008527D"/>
    <w:rsid w:val="000853E5"/>
    <w:rsid w:val="00085AC0"/>
    <w:rsid w:val="00085CBE"/>
    <w:rsid w:val="00086328"/>
    <w:rsid w:val="0008649A"/>
    <w:rsid w:val="000869DB"/>
    <w:rsid w:val="00086E6D"/>
    <w:rsid w:val="00086E99"/>
    <w:rsid w:val="0008719E"/>
    <w:rsid w:val="000875B7"/>
    <w:rsid w:val="0008760B"/>
    <w:rsid w:val="00087DC6"/>
    <w:rsid w:val="00087E90"/>
    <w:rsid w:val="00090261"/>
    <w:rsid w:val="000907BC"/>
    <w:rsid w:val="0009124F"/>
    <w:rsid w:val="00091402"/>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5DC2"/>
    <w:rsid w:val="000962C2"/>
    <w:rsid w:val="00096648"/>
    <w:rsid w:val="000967FE"/>
    <w:rsid w:val="00096C99"/>
    <w:rsid w:val="0009703A"/>
    <w:rsid w:val="00097104"/>
    <w:rsid w:val="0009729E"/>
    <w:rsid w:val="0009756E"/>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BF8"/>
    <w:rsid w:val="000A51BC"/>
    <w:rsid w:val="000A58A7"/>
    <w:rsid w:val="000A5D4F"/>
    <w:rsid w:val="000A64B9"/>
    <w:rsid w:val="000A6B05"/>
    <w:rsid w:val="000A6DE0"/>
    <w:rsid w:val="000A71BF"/>
    <w:rsid w:val="000A7503"/>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11F7"/>
    <w:rsid w:val="000C183E"/>
    <w:rsid w:val="000C1B8F"/>
    <w:rsid w:val="000C2B22"/>
    <w:rsid w:val="000C3787"/>
    <w:rsid w:val="000C39FF"/>
    <w:rsid w:val="000C4BC7"/>
    <w:rsid w:val="000C5FDB"/>
    <w:rsid w:val="000C60B9"/>
    <w:rsid w:val="000C6120"/>
    <w:rsid w:val="000C64EF"/>
    <w:rsid w:val="000C66E9"/>
    <w:rsid w:val="000C6919"/>
    <w:rsid w:val="000C6997"/>
    <w:rsid w:val="000C715A"/>
    <w:rsid w:val="000C7EFF"/>
    <w:rsid w:val="000C7FD1"/>
    <w:rsid w:val="000D03DB"/>
    <w:rsid w:val="000D0A66"/>
    <w:rsid w:val="000D0C47"/>
    <w:rsid w:val="000D0D13"/>
    <w:rsid w:val="000D20CB"/>
    <w:rsid w:val="000D2ABF"/>
    <w:rsid w:val="000D2ACF"/>
    <w:rsid w:val="000D3239"/>
    <w:rsid w:val="000D39B6"/>
    <w:rsid w:val="000D476C"/>
    <w:rsid w:val="000D4D45"/>
    <w:rsid w:val="000D4F30"/>
    <w:rsid w:val="000D5319"/>
    <w:rsid w:val="000D5735"/>
    <w:rsid w:val="000D6268"/>
    <w:rsid w:val="000D6D98"/>
    <w:rsid w:val="000D7167"/>
    <w:rsid w:val="000D7AE6"/>
    <w:rsid w:val="000D7AF4"/>
    <w:rsid w:val="000E0C96"/>
    <w:rsid w:val="000E0E2A"/>
    <w:rsid w:val="000E0E59"/>
    <w:rsid w:val="000E190F"/>
    <w:rsid w:val="000E1BF0"/>
    <w:rsid w:val="000E2002"/>
    <w:rsid w:val="000E2496"/>
    <w:rsid w:val="000E25F5"/>
    <w:rsid w:val="000E2962"/>
    <w:rsid w:val="000E2A9F"/>
    <w:rsid w:val="000E2AF3"/>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84F"/>
    <w:rsid w:val="000F7D19"/>
    <w:rsid w:val="000F7F35"/>
    <w:rsid w:val="00100559"/>
    <w:rsid w:val="001005A9"/>
    <w:rsid w:val="00100E6A"/>
    <w:rsid w:val="00100F77"/>
    <w:rsid w:val="00101DDE"/>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72C7"/>
    <w:rsid w:val="001072EB"/>
    <w:rsid w:val="001076D5"/>
    <w:rsid w:val="00107E45"/>
    <w:rsid w:val="001101DE"/>
    <w:rsid w:val="00110783"/>
    <w:rsid w:val="0011102F"/>
    <w:rsid w:val="0011166E"/>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3A3"/>
    <w:rsid w:val="0011651B"/>
    <w:rsid w:val="00116698"/>
    <w:rsid w:val="0011682A"/>
    <w:rsid w:val="0011689A"/>
    <w:rsid w:val="00116B60"/>
    <w:rsid w:val="00116C60"/>
    <w:rsid w:val="00116F1A"/>
    <w:rsid w:val="001170AF"/>
    <w:rsid w:val="001176C7"/>
    <w:rsid w:val="00117AF6"/>
    <w:rsid w:val="00120548"/>
    <w:rsid w:val="001209D6"/>
    <w:rsid w:val="00121000"/>
    <w:rsid w:val="00121021"/>
    <w:rsid w:val="0012177F"/>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30D"/>
    <w:rsid w:val="00126A2D"/>
    <w:rsid w:val="00126DBF"/>
    <w:rsid w:val="00127808"/>
    <w:rsid w:val="00127AE1"/>
    <w:rsid w:val="00127E16"/>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00F"/>
    <w:rsid w:val="001541BE"/>
    <w:rsid w:val="001541EE"/>
    <w:rsid w:val="0015463A"/>
    <w:rsid w:val="00154762"/>
    <w:rsid w:val="00154773"/>
    <w:rsid w:val="00154D0E"/>
    <w:rsid w:val="00154E1C"/>
    <w:rsid w:val="00155063"/>
    <w:rsid w:val="00155161"/>
    <w:rsid w:val="001551C9"/>
    <w:rsid w:val="00155427"/>
    <w:rsid w:val="001556C9"/>
    <w:rsid w:val="00155C96"/>
    <w:rsid w:val="00155CBE"/>
    <w:rsid w:val="00155D06"/>
    <w:rsid w:val="00156190"/>
    <w:rsid w:val="0015634E"/>
    <w:rsid w:val="00156515"/>
    <w:rsid w:val="00156B73"/>
    <w:rsid w:val="0015798B"/>
    <w:rsid w:val="00157A02"/>
    <w:rsid w:val="00157A31"/>
    <w:rsid w:val="00157AEE"/>
    <w:rsid w:val="00160243"/>
    <w:rsid w:val="001602AE"/>
    <w:rsid w:val="00160370"/>
    <w:rsid w:val="0016096D"/>
    <w:rsid w:val="0016107A"/>
    <w:rsid w:val="001611C1"/>
    <w:rsid w:val="0016142C"/>
    <w:rsid w:val="0016155D"/>
    <w:rsid w:val="00161568"/>
    <w:rsid w:val="00161909"/>
    <w:rsid w:val="00161984"/>
    <w:rsid w:val="00161D5D"/>
    <w:rsid w:val="00162129"/>
    <w:rsid w:val="001629D2"/>
    <w:rsid w:val="00162C39"/>
    <w:rsid w:val="001644C8"/>
    <w:rsid w:val="0016453E"/>
    <w:rsid w:val="00164AB1"/>
    <w:rsid w:val="00166825"/>
    <w:rsid w:val="001668A4"/>
    <w:rsid w:val="00166EF2"/>
    <w:rsid w:val="00167137"/>
    <w:rsid w:val="00167E3A"/>
    <w:rsid w:val="00170521"/>
    <w:rsid w:val="00170F26"/>
    <w:rsid w:val="001715B3"/>
    <w:rsid w:val="0017214C"/>
    <w:rsid w:val="0017231C"/>
    <w:rsid w:val="0017232C"/>
    <w:rsid w:val="001723BD"/>
    <w:rsid w:val="001724C7"/>
    <w:rsid w:val="001725E0"/>
    <w:rsid w:val="0017270C"/>
    <w:rsid w:val="00172A27"/>
    <w:rsid w:val="00173BBF"/>
    <w:rsid w:val="00174443"/>
    <w:rsid w:val="001746BF"/>
    <w:rsid w:val="0017514E"/>
    <w:rsid w:val="001754D1"/>
    <w:rsid w:val="00175927"/>
    <w:rsid w:val="00175DB7"/>
    <w:rsid w:val="00176174"/>
    <w:rsid w:val="001763F2"/>
    <w:rsid w:val="00176428"/>
    <w:rsid w:val="00176585"/>
    <w:rsid w:val="0017689A"/>
    <w:rsid w:val="00176B4A"/>
    <w:rsid w:val="00176FCB"/>
    <w:rsid w:val="00177075"/>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6335"/>
    <w:rsid w:val="001864F2"/>
    <w:rsid w:val="001865E2"/>
    <w:rsid w:val="00187188"/>
    <w:rsid w:val="0018722E"/>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67C0"/>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1D97"/>
    <w:rsid w:val="001A2799"/>
    <w:rsid w:val="001A2A8D"/>
    <w:rsid w:val="001A2E46"/>
    <w:rsid w:val="001A308F"/>
    <w:rsid w:val="001A351C"/>
    <w:rsid w:val="001A35CF"/>
    <w:rsid w:val="001A3EC3"/>
    <w:rsid w:val="001A3F75"/>
    <w:rsid w:val="001A41C6"/>
    <w:rsid w:val="001A4719"/>
    <w:rsid w:val="001A4879"/>
    <w:rsid w:val="001A4A03"/>
    <w:rsid w:val="001A4D57"/>
    <w:rsid w:val="001A4E9A"/>
    <w:rsid w:val="001A5060"/>
    <w:rsid w:val="001A510B"/>
    <w:rsid w:val="001A59CA"/>
    <w:rsid w:val="001A5CA0"/>
    <w:rsid w:val="001A621B"/>
    <w:rsid w:val="001A62A8"/>
    <w:rsid w:val="001A6417"/>
    <w:rsid w:val="001A6727"/>
    <w:rsid w:val="001A6D3B"/>
    <w:rsid w:val="001A6DF0"/>
    <w:rsid w:val="001A6F68"/>
    <w:rsid w:val="001A6FA9"/>
    <w:rsid w:val="001A73A0"/>
    <w:rsid w:val="001A744D"/>
    <w:rsid w:val="001A7792"/>
    <w:rsid w:val="001A7A22"/>
    <w:rsid w:val="001B0403"/>
    <w:rsid w:val="001B0F99"/>
    <w:rsid w:val="001B1517"/>
    <w:rsid w:val="001B1AFF"/>
    <w:rsid w:val="001B27AB"/>
    <w:rsid w:val="001B28BB"/>
    <w:rsid w:val="001B29BE"/>
    <w:rsid w:val="001B302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997"/>
    <w:rsid w:val="001B7A64"/>
    <w:rsid w:val="001B7FE1"/>
    <w:rsid w:val="001C0755"/>
    <w:rsid w:val="001C090A"/>
    <w:rsid w:val="001C0CD6"/>
    <w:rsid w:val="001C170A"/>
    <w:rsid w:val="001C1BEB"/>
    <w:rsid w:val="001C225E"/>
    <w:rsid w:val="001C23AD"/>
    <w:rsid w:val="001C269A"/>
    <w:rsid w:val="001C2789"/>
    <w:rsid w:val="001C2DB8"/>
    <w:rsid w:val="001C3579"/>
    <w:rsid w:val="001C398F"/>
    <w:rsid w:val="001C44D6"/>
    <w:rsid w:val="001C4E64"/>
    <w:rsid w:val="001C532E"/>
    <w:rsid w:val="001C53EB"/>
    <w:rsid w:val="001C574D"/>
    <w:rsid w:val="001C5AAA"/>
    <w:rsid w:val="001C64E1"/>
    <w:rsid w:val="001C682E"/>
    <w:rsid w:val="001D0BB7"/>
    <w:rsid w:val="001D0BFB"/>
    <w:rsid w:val="001D0EDD"/>
    <w:rsid w:val="001D1897"/>
    <w:rsid w:val="001D19D7"/>
    <w:rsid w:val="001D1D32"/>
    <w:rsid w:val="001D2283"/>
    <w:rsid w:val="001D2EC7"/>
    <w:rsid w:val="001D3429"/>
    <w:rsid w:val="001D3599"/>
    <w:rsid w:val="001D35B3"/>
    <w:rsid w:val="001D4032"/>
    <w:rsid w:val="001D42A4"/>
    <w:rsid w:val="001D435F"/>
    <w:rsid w:val="001D466E"/>
    <w:rsid w:val="001D4BE8"/>
    <w:rsid w:val="001D4C19"/>
    <w:rsid w:val="001D4EA0"/>
    <w:rsid w:val="001D4EEF"/>
    <w:rsid w:val="001D526B"/>
    <w:rsid w:val="001D61B9"/>
    <w:rsid w:val="001D69C6"/>
    <w:rsid w:val="001D6A11"/>
    <w:rsid w:val="001D6ABC"/>
    <w:rsid w:val="001D7492"/>
    <w:rsid w:val="001D7759"/>
    <w:rsid w:val="001D77AD"/>
    <w:rsid w:val="001D7EE8"/>
    <w:rsid w:val="001E0137"/>
    <w:rsid w:val="001E0BE0"/>
    <w:rsid w:val="001E0C27"/>
    <w:rsid w:val="001E0C47"/>
    <w:rsid w:val="001E0DD0"/>
    <w:rsid w:val="001E1007"/>
    <w:rsid w:val="001E1353"/>
    <w:rsid w:val="001E1474"/>
    <w:rsid w:val="001E15BC"/>
    <w:rsid w:val="001E30B3"/>
    <w:rsid w:val="001E3431"/>
    <w:rsid w:val="001E386F"/>
    <w:rsid w:val="001E38AC"/>
    <w:rsid w:val="001E38B1"/>
    <w:rsid w:val="001E40F3"/>
    <w:rsid w:val="001E4679"/>
    <w:rsid w:val="001E4FE8"/>
    <w:rsid w:val="001E5940"/>
    <w:rsid w:val="001E5995"/>
    <w:rsid w:val="001E5DB2"/>
    <w:rsid w:val="001E6075"/>
    <w:rsid w:val="001E6B9A"/>
    <w:rsid w:val="001E7065"/>
    <w:rsid w:val="001E775D"/>
    <w:rsid w:val="001E7A2B"/>
    <w:rsid w:val="001E7ACC"/>
    <w:rsid w:val="001F0039"/>
    <w:rsid w:val="001F00D6"/>
    <w:rsid w:val="001F0325"/>
    <w:rsid w:val="001F0EA2"/>
    <w:rsid w:val="001F1991"/>
    <w:rsid w:val="001F2627"/>
    <w:rsid w:val="001F276D"/>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AFA"/>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471"/>
    <w:rsid w:val="00213D37"/>
    <w:rsid w:val="00214195"/>
    <w:rsid w:val="0021431F"/>
    <w:rsid w:val="0021444E"/>
    <w:rsid w:val="00214544"/>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709F"/>
    <w:rsid w:val="002279C5"/>
    <w:rsid w:val="0023023E"/>
    <w:rsid w:val="00230372"/>
    <w:rsid w:val="00230DE4"/>
    <w:rsid w:val="00230E84"/>
    <w:rsid w:val="00230F62"/>
    <w:rsid w:val="00231973"/>
    <w:rsid w:val="00231B4A"/>
    <w:rsid w:val="00231B55"/>
    <w:rsid w:val="00231C7A"/>
    <w:rsid w:val="00231D1F"/>
    <w:rsid w:val="00231E63"/>
    <w:rsid w:val="00232244"/>
    <w:rsid w:val="00232295"/>
    <w:rsid w:val="00232A2D"/>
    <w:rsid w:val="00233451"/>
    <w:rsid w:val="002334CA"/>
    <w:rsid w:val="002335E8"/>
    <w:rsid w:val="00233DD7"/>
    <w:rsid w:val="0023464F"/>
    <w:rsid w:val="002346CA"/>
    <w:rsid w:val="00234ABC"/>
    <w:rsid w:val="00234E86"/>
    <w:rsid w:val="00235216"/>
    <w:rsid w:val="00235BF6"/>
    <w:rsid w:val="00235D91"/>
    <w:rsid w:val="00235FFB"/>
    <w:rsid w:val="0023672D"/>
    <w:rsid w:val="00237A86"/>
    <w:rsid w:val="00240018"/>
    <w:rsid w:val="002404F8"/>
    <w:rsid w:val="0024069E"/>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7267"/>
    <w:rsid w:val="0025759D"/>
    <w:rsid w:val="00257624"/>
    <w:rsid w:val="00257637"/>
    <w:rsid w:val="00257B67"/>
    <w:rsid w:val="00257C02"/>
    <w:rsid w:val="00257C3A"/>
    <w:rsid w:val="00257DC8"/>
    <w:rsid w:val="00257E28"/>
    <w:rsid w:val="00257FD1"/>
    <w:rsid w:val="00260290"/>
    <w:rsid w:val="0026048F"/>
    <w:rsid w:val="00260DCF"/>
    <w:rsid w:val="0026138E"/>
    <w:rsid w:val="002614A1"/>
    <w:rsid w:val="002617A0"/>
    <w:rsid w:val="00262607"/>
    <w:rsid w:val="0026273B"/>
    <w:rsid w:val="002627F1"/>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C0B"/>
    <w:rsid w:val="00292EFF"/>
    <w:rsid w:val="00293334"/>
    <w:rsid w:val="0029358E"/>
    <w:rsid w:val="00293978"/>
    <w:rsid w:val="00293DD9"/>
    <w:rsid w:val="00293F65"/>
    <w:rsid w:val="00293F6A"/>
    <w:rsid w:val="00294384"/>
    <w:rsid w:val="00294530"/>
    <w:rsid w:val="00294A4B"/>
    <w:rsid w:val="00295171"/>
    <w:rsid w:val="0029549E"/>
    <w:rsid w:val="0029551B"/>
    <w:rsid w:val="00296316"/>
    <w:rsid w:val="00296658"/>
    <w:rsid w:val="00296FE0"/>
    <w:rsid w:val="00297DC5"/>
    <w:rsid w:val="00297DF3"/>
    <w:rsid w:val="00297FBC"/>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7BC"/>
    <w:rsid w:val="002B2930"/>
    <w:rsid w:val="002B2C83"/>
    <w:rsid w:val="002B2FEC"/>
    <w:rsid w:val="002B33F5"/>
    <w:rsid w:val="002B39EC"/>
    <w:rsid w:val="002B3EFF"/>
    <w:rsid w:val="002B4025"/>
    <w:rsid w:val="002B43E7"/>
    <w:rsid w:val="002B50F8"/>
    <w:rsid w:val="002B5ECD"/>
    <w:rsid w:val="002B69D7"/>
    <w:rsid w:val="002B739B"/>
    <w:rsid w:val="002B773F"/>
    <w:rsid w:val="002B7863"/>
    <w:rsid w:val="002B7968"/>
    <w:rsid w:val="002B7E69"/>
    <w:rsid w:val="002B7E74"/>
    <w:rsid w:val="002C0667"/>
    <w:rsid w:val="002C0898"/>
    <w:rsid w:val="002C1BC4"/>
    <w:rsid w:val="002C2475"/>
    <w:rsid w:val="002C2CA8"/>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D12"/>
    <w:rsid w:val="002D14C6"/>
    <w:rsid w:val="002D19CF"/>
    <w:rsid w:val="002D251D"/>
    <w:rsid w:val="002D27D9"/>
    <w:rsid w:val="002D2B4C"/>
    <w:rsid w:val="002D32D5"/>
    <w:rsid w:val="002D354D"/>
    <w:rsid w:val="002D3DEE"/>
    <w:rsid w:val="002D521C"/>
    <w:rsid w:val="002D5222"/>
    <w:rsid w:val="002D525F"/>
    <w:rsid w:val="002D5DF7"/>
    <w:rsid w:val="002D714B"/>
    <w:rsid w:val="002D7606"/>
    <w:rsid w:val="002D7893"/>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918"/>
    <w:rsid w:val="002E50AB"/>
    <w:rsid w:val="002E5663"/>
    <w:rsid w:val="002E5BED"/>
    <w:rsid w:val="002E5EC9"/>
    <w:rsid w:val="002E68A7"/>
    <w:rsid w:val="002E6DD1"/>
    <w:rsid w:val="002E7231"/>
    <w:rsid w:val="002E7640"/>
    <w:rsid w:val="002E7B6D"/>
    <w:rsid w:val="002F0176"/>
    <w:rsid w:val="002F027E"/>
    <w:rsid w:val="002F047D"/>
    <w:rsid w:val="002F05CB"/>
    <w:rsid w:val="002F1095"/>
    <w:rsid w:val="002F12B1"/>
    <w:rsid w:val="002F15F2"/>
    <w:rsid w:val="002F1E29"/>
    <w:rsid w:val="002F21B5"/>
    <w:rsid w:val="002F236C"/>
    <w:rsid w:val="002F2A1A"/>
    <w:rsid w:val="002F2D06"/>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1057"/>
    <w:rsid w:val="0030212C"/>
    <w:rsid w:val="00302151"/>
    <w:rsid w:val="00302427"/>
    <w:rsid w:val="003026AE"/>
    <w:rsid w:val="00302A7B"/>
    <w:rsid w:val="00302CD4"/>
    <w:rsid w:val="00302F67"/>
    <w:rsid w:val="00303034"/>
    <w:rsid w:val="0030333F"/>
    <w:rsid w:val="00303424"/>
    <w:rsid w:val="00304388"/>
    <w:rsid w:val="0030453B"/>
    <w:rsid w:val="00304AAB"/>
    <w:rsid w:val="00304F57"/>
    <w:rsid w:val="00305223"/>
    <w:rsid w:val="00305345"/>
    <w:rsid w:val="0030543F"/>
    <w:rsid w:val="003059AA"/>
    <w:rsid w:val="00306187"/>
    <w:rsid w:val="00306416"/>
    <w:rsid w:val="00306942"/>
    <w:rsid w:val="00307024"/>
    <w:rsid w:val="0030704C"/>
    <w:rsid w:val="00307095"/>
    <w:rsid w:val="0030711F"/>
    <w:rsid w:val="00307E61"/>
    <w:rsid w:val="00310328"/>
    <w:rsid w:val="003105CE"/>
    <w:rsid w:val="0031077E"/>
    <w:rsid w:val="00310E5A"/>
    <w:rsid w:val="003110A6"/>
    <w:rsid w:val="00311291"/>
    <w:rsid w:val="003113AE"/>
    <w:rsid w:val="0031171F"/>
    <w:rsid w:val="00311999"/>
    <w:rsid w:val="00311C5D"/>
    <w:rsid w:val="00312492"/>
    <w:rsid w:val="003128C3"/>
    <w:rsid w:val="00312ACA"/>
    <w:rsid w:val="00312C21"/>
    <w:rsid w:val="00312D90"/>
    <w:rsid w:val="00312DE6"/>
    <w:rsid w:val="00313717"/>
    <w:rsid w:val="003141E8"/>
    <w:rsid w:val="00314603"/>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F1C"/>
    <w:rsid w:val="00320FE7"/>
    <w:rsid w:val="00321BA2"/>
    <w:rsid w:val="003226D9"/>
    <w:rsid w:val="00322D22"/>
    <w:rsid w:val="00323C88"/>
    <w:rsid w:val="003246AA"/>
    <w:rsid w:val="003247D4"/>
    <w:rsid w:val="00324996"/>
    <w:rsid w:val="00324AC9"/>
    <w:rsid w:val="00324C9B"/>
    <w:rsid w:val="00325015"/>
    <w:rsid w:val="0032541B"/>
    <w:rsid w:val="003254FF"/>
    <w:rsid w:val="00325646"/>
    <w:rsid w:val="00325660"/>
    <w:rsid w:val="003257D9"/>
    <w:rsid w:val="00325D57"/>
    <w:rsid w:val="00325DEE"/>
    <w:rsid w:val="00325E50"/>
    <w:rsid w:val="00325E69"/>
    <w:rsid w:val="003265C4"/>
    <w:rsid w:val="003273BF"/>
    <w:rsid w:val="0033013A"/>
    <w:rsid w:val="00330401"/>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A08"/>
    <w:rsid w:val="003370C6"/>
    <w:rsid w:val="003373AF"/>
    <w:rsid w:val="00337BF7"/>
    <w:rsid w:val="00337E36"/>
    <w:rsid w:val="003401AF"/>
    <w:rsid w:val="00340776"/>
    <w:rsid w:val="00340BAB"/>
    <w:rsid w:val="0034105F"/>
    <w:rsid w:val="00341169"/>
    <w:rsid w:val="003411E9"/>
    <w:rsid w:val="00341DD0"/>
    <w:rsid w:val="00342223"/>
    <w:rsid w:val="00342482"/>
    <w:rsid w:val="00342E46"/>
    <w:rsid w:val="00342F15"/>
    <w:rsid w:val="00343038"/>
    <w:rsid w:val="00343434"/>
    <w:rsid w:val="00343EAD"/>
    <w:rsid w:val="00344169"/>
    <w:rsid w:val="00344EFD"/>
    <w:rsid w:val="00345A51"/>
    <w:rsid w:val="00345EBD"/>
    <w:rsid w:val="00346468"/>
    <w:rsid w:val="0034649F"/>
    <w:rsid w:val="00346B8F"/>
    <w:rsid w:val="00347A0C"/>
    <w:rsid w:val="00347E5A"/>
    <w:rsid w:val="00347EF5"/>
    <w:rsid w:val="00347F2C"/>
    <w:rsid w:val="00347FE3"/>
    <w:rsid w:val="00350034"/>
    <w:rsid w:val="00351448"/>
    <w:rsid w:val="00351F93"/>
    <w:rsid w:val="003525CC"/>
    <w:rsid w:val="00352CF5"/>
    <w:rsid w:val="00352E63"/>
    <w:rsid w:val="003531CB"/>
    <w:rsid w:val="003539D5"/>
    <w:rsid w:val="00353E46"/>
    <w:rsid w:val="003545C9"/>
    <w:rsid w:val="0035462A"/>
    <w:rsid w:val="00354C0F"/>
    <w:rsid w:val="003556F3"/>
    <w:rsid w:val="0035654D"/>
    <w:rsid w:val="00356FD0"/>
    <w:rsid w:val="003570A1"/>
    <w:rsid w:val="00357946"/>
    <w:rsid w:val="00360DBD"/>
    <w:rsid w:val="0036112B"/>
    <w:rsid w:val="003612EE"/>
    <w:rsid w:val="003617DB"/>
    <w:rsid w:val="00361909"/>
    <w:rsid w:val="00362051"/>
    <w:rsid w:val="00362098"/>
    <w:rsid w:val="0036249E"/>
    <w:rsid w:val="003629DD"/>
    <w:rsid w:val="00362C0F"/>
    <w:rsid w:val="003630C7"/>
    <w:rsid w:val="00363421"/>
    <w:rsid w:val="003635B8"/>
    <w:rsid w:val="003658B1"/>
    <w:rsid w:val="00365BBD"/>
    <w:rsid w:val="00365C46"/>
    <w:rsid w:val="00365F8E"/>
    <w:rsid w:val="00366556"/>
    <w:rsid w:val="00366CEA"/>
    <w:rsid w:val="003673CA"/>
    <w:rsid w:val="00367DA6"/>
    <w:rsid w:val="00367DC8"/>
    <w:rsid w:val="003708C4"/>
    <w:rsid w:val="00370BFD"/>
    <w:rsid w:val="0037137A"/>
    <w:rsid w:val="00371885"/>
    <w:rsid w:val="00371BBF"/>
    <w:rsid w:val="003721B0"/>
    <w:rsid w:val="003721E5"/>
    <w:rsid w:val="003728F4"/>
    <w:rsid w:val="0037297A"/>
    <w:rsid w:val="003729D4"/>
    <w:rsid w:val="00372BBC"/>
    <w:rsid w:val="00372EDF"/>
    <w:rsid w:val="00372F0C"/>
    <w:rsid w:val="00373D7E"/>
    <w:rsid w:val="00374344"/>
    <w:rsid w:val="003744D5"/>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EEB"/>
    <w:rsid w:val="003852DD"/>
    <w:rsid w:val="00385EA9"/>
    <w:rsid w:val="0038608B"/>
    <w:rsid w:val="00387003"/>
    <w:rsid w:val="0038736E"/>
    <w:rsid w:val="003904DB"/>
    <w:rsid w:val="00391755"/>
    <w:rsid w:val="0039197C"/>
    <w:rsid w:val="00391C66"/>
    <w:rsid w:val="00391F8F"/>
    <w:rsid w:val="0039230E"/>
    <w:rsid w:val="00392565"/>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1F37"/>
    <w:rsid w:val="003C2208"/>
    <w:rsid w:val="003C25F5"/>
    <w:rsid w:val="003C275F"/>
    <w:rsid w:val="003C2A04"/>
    <w:rsid w:val="003C2EED"/>
    <w:rsid w:val="003C3DED"/>
    <w:rsid w:val="003C440F"/>
    <w:rsid w:val="003C441B"/>
    <w:rsid w:val="003C4AD7"/>
    <w:rsid w:val="003C4D9D"/>
    <w:rsid w:val="003C5307"/>
    <w:rsid w:val="003C54D5"/>
    <w:rsid w:val="003C5690"/>
    <w:rsid w:val="003C63C5"/>
    <w:rsid w:val="003C6B0A"/>
    <w:rsid w:val="003C6D25"/>
    <w:rsid w:val="003C6DF2"/>
    <w:rsid w:val="003C7291"/>
    <w:rsid w:val="003C7569"/>
    <w:rsid w:val="003D09B2"/>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A20"/>
    <w:rsid w:val="003D6B07"/>
    <w:rsid w:val="003D70AF"/>
    <w:rsid w:val="003D7138"/>
    <w:rsid w:val="003D79C6"/>
    <w:rsid w:val="003E0356"/>
    <w:rsid w:val="003E07FA"/>
    <w:rsid w:val="003E18C7"/>
    <w:rsid w:val="003E1D40"/>
    <w:rsid w:val="003E1E12"/>
    <w:rsid w:val="003E255B"/>
    <w:rsid w:val="003E261E"/>
    <w:rsid w:val="003E2793"/>
    <w:rsid w:val="003E2D54"/>
    <w:rsid w:val="003E314A"/>
    <w:rsid w:val="003E373E"/>
    <w:rsid w:val="003E39D2"/>
    <w:rsid w:val="003E3A33"/>
    <w:rsid w:val="003E3A5E"/>
    <w:rsid w:val="003E42BE"/>
    <w:rsid w:val="003E4804"/>
    <w:rsid w:val="003E4BF7"/>
    <w:rsid w:val="003E578A"/>
    <w:rsid w:val="003E62BD"/>
    <w:rsid w:val="003E64BA"/>
    <w:rsid w:val="003E6A42"/>
    <w:rsid w:val="003E6FC1"/>
    <w:rsid w:val="003E74C3"/>
    <w:rsid w:val="003E767D"/>
    <w:rsid w:val="003E7A03"/>
    <w:rsid w:val="003F00C6"/>
    <w:rsid w:val="003F0557"/>
    <w:rsid w:val="003F074B"/>
    <w:rsid w:val="003F1214"/>
    <w:rsid w:val="003F146C"/>
    <w:rsid w:val="003F15F4"/>
    <w:rsid w:val="003F161C"/>
    <w:rsid w:val="003F168D"/>
    <w:rsid w:val="003F17A9"/>
    <w:rsid w:val="003F1A3E"/>
    <w:rsid w:val="003F1EA2"/>
    <w:rsid w:val="003F2B42"/>
    <w:rsid w:val="003F31F0"/>
    <w:rsid w:val="003F3299"/>
    <w:rsid w:val="003F395F"/>
    <w:rsid w:val="003F3C0E"/>
    <w:rsid w:val="003F481E"/>
    <w:rsid w:val="003F4F77"/>
    <w:rsid w:val="003F5897"/>
    <w:rsid w:val="003F5A02"/>
    <w:rsid w:val="003F5BA2"/>
    <w:rsid w:val="003F6042"/>
    <w:rsid w:val="003F63D6"/>
    <w:rsid w:val="003F66B9"/>
    <w:rsid w:val="003F6779"/>
    <w:rsid w:val="003F680F"/>
    <w:rsid w:val="003F6A5F"/>
    <w:rsid w:val="003F6C70"/>
    <w:rsid w:val="003F73D3"/>
    <w:rsid w:val="003F74D8"/>
    <w:rsid w:val="003F7777"/>
    <w:rsid w:val="0040039A"/>
    <w:rsid w:val="004003D2"/>
    <w:rsid w:val="004013FD"/>
    <w:rsid w:val="0040147C"/>
    <w:rsid w:val="004014B6"/>
    <w:rsid w:val="0040184D"/>
    <w:rsid w:val="00401C45"/>
    <w:rsid w:val="00401ED0"/>
    <w:rsid w:val="004021EE"/>
    <w:rsid w:val="004025FF"/>
    <w:rsid w:val="0040275C"/>
    <w:rsid w:val="00402C1B"/>
    <w:rsid w:val="0040350C"/>
    <w:rsid w:val="00403529"/>
    <w:rsid w:val="0040366C"/>
    <w:rsid w:val="00404169"/>
    <w:rsid w:val="00404517"/>
    <w:rsid w:val="004049CF"/>
    <w:rsid w:val="00404A4A"/>
    <w:rsid w:val="00404BDE"/>
    <w:rsid w:val="00405263"/>
    <w:rsid w:val="0040544C"/>
    <w:rsid w:val="00405849"/>
    <w:rsid w:val="0040599A"/>
    <w:rsid w:val="00405F02"/>
    <w:rsid w:val="004062C0"/>
    <w:rsid w:val="00410004"/>
    <w:rsid w:val="00410555"/>
    <w:rsid w:val="00410D3C"/>
    <w:rsid w:val="00410F2F"/>
    <w:rsid w:val="00410FAC"/>
    <w:rsid w:val="00410FB0"/>
    <w:rsid w:val="0041121A"/>
    <w:rsid w:val="004124BB"/>
    <w:rsid w:val="00412FD1"/>
    <w:rsid w:val="00413398"/>
    <w:rsid w:val="004133A5"/>
    <w:rsid w:val="004134F2"/>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1BC9"/>
    <w:rsid w:val="00422BB3"/>
    <w:rsid w:val="004237FC"/>
    <w:rsid w:val="00423FF5"/>
    <w:rsid w:val="004242D8"/>
    <w:rsid w:val="00424396"/>
    <w:rsid w:val="00424BEC"/>
    <w:rsid w:val="00424FB1"/>
    <w:rsid w:val="00425AC4"/>
    <w:rsid w:val="004260F2"/>
    <w:rsid w:val="004267FF"/>
    <w:rsid w:val="00426CDF"/>
    <w:rsid w:val="004274D3"/>
    <w:rsid w:val="00427E08"/>
    <w:rsid w:val="00427F0C"/>
    <w:rsid w:val="00430EC8"/>
    <w:rsid w:val="004311BD"/>
    <w:rsid w:val="0043129E"/>
    <w:rsid w:val="00431609"/>
    <w:rsid w:val="00431BD1"/>
    <w:rsid w:val="00431F41"/>
    <w:rsid w:val="00431F5E"/>
    <w:rsid w:val="00432D93"/>
    <w:rsid w:val="00433579"/>
    <w:rsid w:val="004343E7"/>
    <w:rsid w:val="0043476F"/>
    <w:rsid w:val="004347E4"/>
    <w:rsid w:val="004347F7"/>
    <w:rsid w:val="00434D85"/>
    <w:rsid w:val="00434EAB"/>
    <w:rsid w:val="00435665"/>
    <w:rsid w:val="0043581E"/>
    <w:rsid w:val="00435B2A"/>
    <w:rsid w:val="004361A4"/>
    <w:rsid w:val="00436363"/>
    <w:rsid w:val="00436365"/>
    <w:rsid w:val="004364CA"/>
    <w:rsid w:val="00436E48"/>
    <w:rsid w:val="004372BB"/>
    <w:rsid w:val="00437483"/>
    <w:rsid w:val="0043792E"/>
    <w:rsid w:val="00437B38"/>
    <w:rsid w:val="00437B8B"/>
    <w:rsid w:val="00440218"/>
    <w:rsid w:val="00440425"/>
    <w:rsid w:val="00440CFF"/>
    <w:rsid w:val="00440DC6"/>
    <w:rsid w:val="00441533"/>
    <w:rsid w:val="00441F09"/>
    <w:rsid w:val="00442C1A"/>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18A"/>
    <w:rsid w:val="00473601"/>
    <w:rsid w:val="0047397A"/>
    <w:rsid w:val="00473BCF"/>
    <w:rsid w:val="00473CD0"/>
    <w:rsid w:val="0047401E"/>
    <w:rsid w:val="004740FF"/>
    <w:rsid w:val="004743DC"/>
    <w:rsid w:val="00474549"/>
    <w:rsid w:val="0047471C"/>
    <w:rsid w:val="00474CB9"/>
    <w:rsid w:val="00474CE3"/>
    <w:rsid w:val="00474EC1"/>
    <w:rsid w:val="00474F3A"/>
    <w:rsid w:val="00475307"/>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17D7"/>
    <w:rsid w:val="00482ACC"/>
    <w:rsid w:val="00482AD1"/>
    <w:rsid w:val="00482C84"/>
    <w:rsid w:val="00483575"/>
    <w:rsid w:val="0048361B"/>
    <w:rsid w:val="00483B27"/>
    <w:rsid w:val="00483F4F"/>
    <w:rsid w:val="004847F4"/>
    <w:rsid w:val="00484C09"/>
    <w:rsid w:val="00484FE8"/>
    <w:rsid w:val="004855F6"/>
    <w:rsid w:val="00485BD6"/>
    <w:rsid w:val="00485BF3"/>
    <w:rsid w:val="00485D01"/>
    <w:rsid w:val="00486C61"/>
    <w:rsid w:val="00487533"/>
    <w:rsid w:val="004901FB"/>
    <w:rsid w:val="00490569"/>
    <w:rsid w:val="00490F0B"/>
    <w:rsid w:val="004910FA"/>
    <w:rsid w:val="00491215"/>
    <w:rsid w:val="00491B29"/>
    <w:rsid w:val="00491B39"/>
    <w:rsid w:val="00491BDF"/>
    <w:rsid w:val="0049209D"/>
    <w:rsid w:val="004924CF"/>
    <w:rsid w:val="00492755"/>
    <w:rsid w:val="0049280A"/>
    <w:rsid w:val="00492C70"/>
    <w:rsid w:val="00494871"/>
    <w:rsid w:val="00495749"/>
    <w:rsid w:val="00495A84"/>
    <w:rsid w:val="00495B47"/>
    <w:rsid w:val="00495FBC"/>
    <w:rsid w:val="0049661C"/>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730"/>
    <w:rsid w:val="004B5223"/>
    <w:rsid w:val="004B52CB"/>
    <w:rsid w:val="004B56B4"/>
    <w:rsid w:val="004B5ADF"/>
    <w:rsid w:val="004B67CE"/>
    <w:rsid w:val="004B6DC5"/>
    <w:rsid w:val="004B7377"/>
    <w:rsid w:val="004B74ED"/>
    <w:rsid w:val="004B794E"/>
    <w:rsid w:val="004B7B88"/>
    <w:rsid w:val="004C0393"/>
    <w:rsid w:val="004C08D2"/>
    <w:rsid w:val="004C131A"/>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42"/>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814"/>
    <w:rsid w:val="004D6C06"/>
    <w:rsid w:val="004D6D28"/>
    <w:rsid w:val="004D772F"/>
    <w:rsid w:val="004D7863"/>
    <w:rsid w:val="004E02E2"/>
    <w:rsid w:val="004E04AE"/>
    <w:rsid w:val="004E0AA0"/>
    <w:rsid w:val="004E0CBB"/>
    <w:rsid w:val="004E1347"/>
    <w:rsid w:val="004E1893"/>
    <w:rsid w:val="004E1B2F"/>
    <w:rsid w:val="004E1B6E"/>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526"/>
    <w:rsid w:val="004F07EC"/>
    <w:rsid w:val="004F0916"/>
    <w:rsid w:val="004F0D08"/>
    <w:rsid w:val="004F11F5"/>
    <w:rsid w:val="004F132D"/>
    <w:rsid w:val="004F1963"/>
    <w:rsid w:val="004F1BB5"/>
    <w:rsid w:val="004F1DE8"/>
    <w:rsid w:val="004F2008"/>
    <w:rsid w:val="004F29E1"/>
    <w:rsid w:val="004F2F98"/>
    <w:rsid w:val="004F306C"/>
    <w:rsid w:val="004F311A"/>
    <w:rsid w:val="004F38C5"/>
    <w:rsid w:val="004F3CC7"/>
    <w:rsid w:val="004F3D46"/>
    <w:rsid w:val="004F405B"/>
    <w:rsid w:val="004F57AE"/>
    <w:rsid w:val="004F5CB0"/>
    <w:rsid w:val="004F6333"/>
    <w:rsid w:val="004F63FA"/>
    <w:rsid w:val="004F64F2"/>
    <w:rsid w:val="004F69E1"/>
    <w:rsid w:val="004F6A24"/>
    <w:rsid w:val="004F713E"/>
    <w:rsid w:val="004F755E"/>
    <w:rsid w:val="004F78E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5E2"/>
    <w:rsid w:val="005137E4"/>
    <w:rsid w:val="00513963"/>
    <w:rsid w:val="00513ACB"/>
    <w:rsid w:val="00514221"/>
    <w:rsid w:val="005146D6"/>
    <w:rsid w:val="00514BF9"/>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E34"/>
    <w:rsid w:val="005268AD"/>
    <w:rsid w:val="00526D94"/>
    <w:rsid w:val="00527445"/>
    <w:rsid w:val="00527D98"/>
    <w:rsid w:val="00530B93"/>
    <w:rsid w:val="00530BFA"/>
    <w:rsid w:val="00531699"/>
    <w:rsid w:val="00531807"/>
    <w:rsid w:val="005326FE"/>
    <w:rsid w:val="0053271B"/>
    <w:rsid w:val="00532911"/>
    <w:rsid w:val="005329A3"/>
    <w:rsid w:val="00532B16"/>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86C"/>
    <w:rsid w:val="00546C9F"/>
    <w:rsid w:val="00546D35"/>
    <w:rsid w:val="0054735C"/>
    <w:rsid w:val="00547456"/>
    <w:rsid w:val="00547A4A"/>
    <w:rsid w:val="00547EF5"/>
    <w:rsid w:val="00550BD2"/>
    <w:rsid w:val="00551298"/>
    <w:rsid w:val="00551B85"/>
    <w:rsid w:val="00552161"/>
    <w:rsid w:val="005525C6"/>
    <w:rsid w:val="005529EE"/>
    <w:rsid w:val="005529FF"/>
    <w:rsid w:val="00552B68"/>
    <w:rsid w:val="00553504"/>
    <w:rsid w:val="00553698"/>
    <w:rsid w:val="005536E4"/>
    <w:rsid w:val="00553AA0"/>
    <w:rsid w:val="00553B49"/>
    <w:rsid w:val="00553FE1"/>
    <w:rsid w:val="005540B5"/>
    <w:rsid w:val="00554DEE"/>
    <w:rsid w:val="0055516F"/>
    <w:rsid w:val="0055536A"/>
    <w:rsid w:val="0055561A"/>
    <w:rsid w:val="005556F9"/>
    <w:rsid w:val="00555D4E"/>
    <w:rsid w:val="00556125"/>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4D02"/>
    <w:rsid w:val="00564F41"/>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BA1"/>
    <w:rsid w:val="00570DBD"/>
    <w:rsid w:val="0057151F"/>
    <w:rsid w:val="005715B5"/>
    <w:rsid w:val="005715FD"/>
    <w:rsid w:val="00571840"/>
    <w:rsid w:val="0057185D"/>
    <w:rsid w:val="005718BC"/>
    <w:rsid w:val="00571977"/>
    <w:rsid w:val="0057268E"/>
    <w:rsid w:val="00572CB3"/>
    <w:rsid w:val="0057315D"/>
    <w:rsid w:val="00573EEF"/>
    <w:rsid w:val="00574313"/>
    <w:rsid w:val="00575ED6"/>
    <w:rsid w:val="00575FD5"/>
    <w:rsid w:val="00576744"/>
    <w:rsid w:val="00576DE2"/>
    <w:rsid w:val="00576E56"/>
    <w:rsid w:val="00577012"/>
    <w:rsid w:val="00577282"/>
    <w:rsid w:val="0057740E"/>
    <w:rsid w:val="00577749"/>
    <w:rsid w:val="00577B3B"/>
    <w:rsid w:val="00577E21"/>
    <w:rsid w:val="00577FFE"/>
    <w:rsid w:val="00580B37"/>
    <w:rsid w:val="00580BC5"/>
    <w:rsid w:val="00580F54"/>
    <w:rsid w:val="00581B77"/>
    <w:rsid w:val="00581D26"/>
    <w:rsid w:val="00581D5B"/>
    <w:rsid w:val="00581F07"/>
    <w:rsid w:val="0058229A"/>
    <w:rsid w:val="005822DA"/>
    <w:rsid w:val="00582411"/>
    <w:rsid w:val="0058294C"/>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5FA"/>
    <w:rsid w:val="00591DD3"/>
    <w:rsid w:val="00592A67"/>
    <w:rsid w:val="00592CB3"/>
    <w:rsid w:val="00592DFA"/>
    <w:rsid w:val="00593B52"/>
    <w:rsid w:val="00593E86"/>
    <w:rsid w:val="00594767"/>
    <w:rsid w:val="0059483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950"/>
    <w:rsid w:val="005A1AD1"/>
    <w:rsid w:val="005A24D7"/>
    <w:rsid w:val="005A2E94"/>
    <w:rsid w:val="005A2EBC"/>
    <w:rsid w:val="005A35E3"/>
    <w:rsid w:val="005A3BDC"/>
    <w:rsid w:val="005A3C70"/>
    <w:rsid w:val="005A4826"/>
    <w:rsid w:val="005A4B2B"/>
    <w:rsid w:val="005A4E9D"/>
    <w:rsid w:val="005A5254"/>
    <w:rsid w:val="005A5345"/>
    <w:rsid w:val="005A5810"/>
    <w:rsid w:val="005A59BA"/>
    <w:rsid w:val="005A5F8D"/>
    <w:rsid w:val="005A6231"/>
    <w:rsid w:val="005A6630"/>
    <w:rsid w:val="005A67F9"/>
    <w:rsid w:val="005A69B2"/>
    <w:rsid w:val="005A7F88"/>
    <w:rsid w:val="005B1AA7"/>
    <w:rsid w:val="005B1D9E"/>
    <w:rsid w:val="005B2ACA"/>
    <w:rsid w:val="005B2C07"/>
    <w:rsid w:val="005B2DB2"/>
    <w:rsid w:val="005B2F90"/>
    <w:rsid w:val="005B32BC"/>
    <w:rsid w:val="005B33EC"/>
    <w:rsid w:val="005B354F"/>
    <w:rsid w:val="005B375C"/>
    <w:rsid w:val="005B377B"/>
    <w:rsid w:val="005B3934"/>
    <w:rsid w:val="005B3BDD"/>
    <w:rsid w:val="005B3F76"/>
    <w:rsid w:val="005B44E3"/>
    <w:rsid w:val="005B44E7"/>
    <w:rsid w:val="005B4AB5"/>
    <w:rsid w:val="005B4F1A"/>
    <w:rsid w:val="005B51BC"/>
    <w:rsid w:val="005B5B30"/>
    <w:rsid w:val="005B5F13"/>
    <w:rsid w:val="005B636D"/>
    <w:rsid w:val="005B6E9D"/>
    <w:rsid w:val="005B7230"/>
    <w:rsid w:val="005B7B66"/>
    <w:rsid w:val="005B7F3C"/>
    <w:rsid w:val="005C1352"/>
    <w:rsid w:val="005C1538"/>
    <w:rsid w:val="005C18BB"/>
    <w:rsid w:val="005C2BD3"/>
    <w:rsid w:val="005C3C1E"/>
    <w:rsid w:val="005C4BA8"/>
    <w:rsid w:val="005C514B"/>
    <w:rsid w:val="005C51D7"/>
    <w:rsid w:val="005C5E52"/>
    <w:rsid w:val="005C5F5F"/>
    <w:rsid w:val="005C61A4"/>
    <w:rsid w:val="005C62E1"/>
    <w:rsid w:val="005C6814"/>
    <w:rsid w:val="005C6B09"/>
    <w:rsid w:val="005C6C18"/>
    <w:rsid w:val="005C7131"/>
    <w:rsid w:val="005C7EBD"/>
    <w:rsid w:val="005D00BE"/>
    <w:rsid w:val="005D086D"/>
    <w:rsid w:val="005D0B01"/>
    <w:rsid w:val="005D0EB0"/>
    <w:rsid w:val="005D10BE"/>
    <w:rsid w:val="005D155F"/>
    <w:rsid w:val="005D160C"/>
    <w:rsid w:val="005D1F3B"/>
    <w:rsid w:val="005D30BA"/>
    <w:rsid w:val="005D3197"/>
    <w:rsid w:val="005D3A12"/>
    <w:rsid w:val="005D4082"/>
    <w:rsid w:val="005D44C0"/>
    <w:rsid w:val="005D478C"/>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811"/>
    <w:rsid w:val="005E4396"/>
    <w:rsid w:val="005E4544"/>
    <w:rsid w:val="005E45CC"/>
    <w:rsid w:val="005E4A97"/>
    <w:rsid w:val="005E51AE"/>
    <w:rsid w:val="005E5580"/>
    <w:rsid w:val="005E5CB1"/>
    <w:rsid w:val="005E5CBA"/>
    <w:rsid w:val="005E70FD"/>
    <w:rsid w:val="005E771B"/>
    <w:rsid w:val="005E7BE3"/>
    <w:rsid w:val="005F0576"/>
    <w:rsid w:val="005F05C5"/>
    <w:rsid w:val="005F0A33"/>
    <w:rsid w:val="005F0DAA"/>
    <w:rsid w:val="005F1732"/>
    <w:rsid w:val="005F2E97"/>
    <w:rsid w:val="005F2EA2"/>
    <w:rsid w:val="005F2FD6"/>
    <w:rsid w:val="005F34B9"/>
    <w:rsid w:val="005F34FB"/>
    <w:rsid w:val="005F3720"/>
    <w:rsid w:val="005F37A1"/>
    <w:rsid w:val="005F3805"/>
    <w:rsid w:val="005F3962"/>
    <w:rsid w:val="005F3C1A"/>
    <w:rsid w:val="005F3F3F"/>
    <w:rsid w:val="005F45ED"/>
    <w:rsid w:val="005F4CE9"/>
    <w:rsid w:val="005F4FC8"/>
    <w:rsid w:val="005F5841"/>
    <w:rsid w:val="005F6910"/>
    <w:rsid w:val="005F6965"/>
    <w:rsid w:val="005F6E13"/>
    <w:rsid w:val="005F6EB8"/>
    <w:rsid w:val="005F6EE2"/>
    <w:rsid w:val="006008D9"/>
    <w:rsid w:val="00600D1C"/>
    <w:rsid w:val="006016A4"/>
    <w:rsid w:val="0060187D"/>
    <w:rsid w:val="0060189A"/>
    <w:rsid w:val="00601973"/>
    <w:rsid w:val="00601B5A"/>
    <w:rsid w:val="00601DF1"/>
    <w:rsid w:val="00602033"/>
    <w:rsid w:val="006022A6"/>
    <w:rsid w:val="0060232C"/>
    <w:rsid w:val="00602C49"/>
    <w:rsid w:val="00603349"/>
    <w:rsid w:val="0060370C"/>
    <w:rsid w:val="00603EF0"/>
    <w:rsid w:val="00603F3E"/>
    <w:rsid w:val="00604490"/>
    <w:rsid w:val="00604528"/>
    <w:rsid w:val="00604D15"/>
    <w:rsid w:val="006050AB"/>
    <w:rsid w:val="0060524A"/>
    <w:rsid w:val="006052B5"/>
    <w:rsid w:val="006058CF"/>
    <w:rsid w:val="006059D2"/>
    <w:rsid w:val="006067A9"/>
    <w:rsid w:val="00606BEB"/>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99F"/>
    <w:rsid w:val="00612C83"/>
    <w:rsid w:val="006135F5"/>
    <w:rsid w:val="00613719"/>
    <w:rsid w:val="00613F82"/>
    <w:rsid w:val="0061402E"/>
    <w:rsid w:val="006140B7"/>
    <w:rsid w:val="006145DE"/>
    <w:rsid w:val="00615060"/>
    <w:rsid w:val="00615A9E"/>
    <w:rsid w:val="00615CD5"/>
    <w:rsid w:val="00616128"/>
    <w:rsid w:val="006163CD"/>
    <w:rsid w:val="00616969"/>
    <w:rsid w:val="00616F27"/>
    <w:rsid w:val="0061738E"/>
    <w:rsid w:val="00617413"/>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3020A"/>
    <w:rsid w:val="0063050F"/>
    <w:rsid w:val="0063059B"/>
    <w:rsid w:val="00630782"/>
    <w:rsid w:val="00630D51"/>
    <w:rsid w:val="00630D8F"/>
    <w:rsid w:val="00630EBF"/>
    <w:rsid w:val="00630F08"/>
    <w:rsid w:val="00631253"/>
    <w:rsid w:val="00631860"/>
    <w:rsid w:val="0063192C"/>
    <w:rsid w:val="00631A17"/>
    <w:rsid w:val="0063279A"/>
    <w:rsid w:val="00632ECA"/>
    <w:rsid w:val="0063323D"/>
    <w:rsid w:val="00633F3D"/>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8BB"/>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BDC"/>
    <w:rsid w:val="006530B0"/>
    <w:rsid w:val="006531F6"/>
    <w:rsid w:val="0065422F"/>
    <w:rsid w:val="006543FB"/>
    <w:rsid w:val="006545A9"/>
    <w:rsid w:val="00654624"/>
    <w:rsid w:val="00654A5C"/>
    <w:rsid w:val="00654E91"/>
    <w:rsid w:val="00654FB5"/>
    <w:rsid w:val="006554FE"/>
    <w:rsid w:val="00655808"/>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A0E"/>
    <w:rsid w:val="00661D14"/>
    <w:rsid w:val="0066321A"/>
    <w:rsid w:val="0066365D"/>
    <w:rsid w:val="00665168"/>
    <w:rsid w:val="00665997"/>
    <w:rsid w:val="00666EA1"/>
    <w:rsid w:val="006671E7"/>
    <w:rsid w:val="00667451"/>
    <w:rsid w:val="006674F6"/>
    <w:rsid w:val="006675F8"/>
    <w:rsid w:val="00670296"/>
    <w:rsid w:val="0067037F"/>
    <w:rsid w:val="0067170A"/>
    <w:rsid w:val="00672034"/>
    <w:rsid w:val="006723EC"/>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9E7"/>
    <w:rsid w:val="00693AD7"/>
    <w:rsid w:val="0069484C"/>
    <w:rsid w:val="00695437"/>
    <w:rsid w:val="0069562C"/>
    <w:rsid w:val="00695938"/>
    <w:rsid w:val="00695B5A"/>
    <w:rsid w:val="00695D17"/>
    <w:rsid w:val="00695FC7"/>
    <w:rsid w:val="0069695A"/>
    <w:rsid w:val="00697835"/>
    <w:rsid w:val="00697FA3"/>
    <w:rsid w:val="006A0229"/>
    <w:rsid w:val="006A03B7"/>
    <w:rsid w:val="006A072A"/>
    <w:rsid w:val="006A09CB"/>
    <w:rsid w:val="006A0F00"/>
    <w:rsid w:val="006A0FCA"/>
    <w:rsid w:val="006A162B"/>
    <w:rsid w:val="006A181A"/>
    <w:rsid w:val="006A25FE"/>
    <w:rsid w:val="006A2E5F"/>
    <w:rsid w:val="006A2EE6"/>
    <w:rsid w:val="006A3538"/>
    <w:rsid w:val="006A3A60"/>
    <w:rsid w:val="006A3B3C"/>
    <w:rsid w:val="006A3BED"/>
    <w:rsid w:val="006A4CD1"/>
    <w:rsid w:val="006A4F90"/>
    <w:rsid w:val="006A58DE"/>
    <w:rsid w:val="006A5914"/>
    <w:rsid w:val="006A5CEB"/>
    <w:rsid w:val="006A61A6"/>
    <w:rsid w:val="006A684E"/>
    <w:rsid w:val="006A7297"/>
    <w:rsid w:val="006B0394"/>
    <w:rsid w:val="006B053B"/>
    <w:rsid w:val="006B06D2"/>
    <w:rsid w:val="006B0956"/>
    <w:rsid w:val="006B0A3C"/>
    <w:rsid w:val="006B0A43"/>
    <w:rsid w:val="006B0B01"/>
    <w:rsid w:val="006B0B09"/>
    <w:rsid w:val="006B1396"/>
    <w:rsid w:val="006B139F"/>
    <w:rsid w:val="006B18FC"/>
    <w:rsid w:val="006B1B97"/>
    <w:rsid w:val="006B204A"/>
    <w:rsid w:val="006B2E6D"/>
    <w:rsid w:val="006B30C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3B9F"/>
    <w:rsid w:val="006C425F"/>
    <w:rsid w:val="006C470F"/>
    <w:rsid w:val="006C47C9"/>
    <w:rsid w:val="006C503D"/>
    <w:rsid w:val="006C51C0"/>
    <w:rsid w:val="006C52B5"/>
    <w:rsid w:val="006C5320"/>
    <w:rsid w:val="006C5B23"/>
    <w:rsid w:val="006C65D2"/>
    <w:rsid w:val="006C6917"/>
    <w:rsid w:val="006C6AD9"/>
    <w:rsid w:val="006C7295"/>
    <w:rsid w:val="006C72FD"/>
    <w:rsid w:val="006C7663"/>
    <w:rsid w:val="006C76B5"/>
    <w:rsid w:val="006C78ED"/>
    <w:rsid w:val="006D0530"/>
    <w:rsid w:val="006D0613"/>
    <w:rsid w:val="006D0886"/>
    <w:rsid w:val="006D0D8D"/>
    <w:rsid w:val="006D11D5"/>
    <w:rsid w:val="006D13F5"/>
    <w:rsid w:val="006D1841"/>
    <w:rsid w:val="006D1AD9"/>
    <w:rsid w:val="006D224E"/>
    <w:rsid w:val="006D25C9"/>
    <w:rsid w:val="006D3290"/>
    <w:rsid w:val="006D3471"/>
    <w:rsid w:val="006D3BA9"/>
    <w:rsid w:val="006D409B"/>
    <w:rsid w:val="006D40C6"/>
    <w:rsid w:val="006D4243"/>
    <w:rsid w:val="006D465A"/>
    <w:rsid w:val="006D55C6"/>
    <w:rsid w:val="006D5C49"/>
    <w:rsid w:val="006D61B9"/>
    <w:rsid w:val="006D68AE"/>
    <w:rsid w:val="006D6FB3"/>
    <w:rsid w:val="006D7D68"/>
    <w:rsid w:val="006E06F9"/>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C06"/>
    <w:rsid w:val="006E5744"/>
    <w:rsid w:val="006E594F"/>
    <w:rsid w:val="006E5E0F"/>
    <w:rsid w:val="006E6811"/>
    <w:rsid w:val="006E6BA5"/>
    <w:rsid w:val="006E6EFB"/>
    <w:rsid w:val="006E78DD"/>
    <w:rsid w:val="006E798E"/>
    <w:rsid w:val="006F0A7B"/>
    <w:rsid w:val="006F0CA7"/>
    <w:rsid w:val="006F1138"/>
    <w:rsid w:val="006F1F5D"/>
    <w:rsid w:val="006F2072"/>
    <w:rsid w:val="006F21C0"/>
    <w:rsid w:val="006F26B5"/>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68DB"/>
    <w:rsid w:val="00707088"/>
    <w:rsid w:val="0070717D"/>
    <w:rsid w:val="0070722C"/>
    <w:rsid w:val="00707899"/>
    <w:rsid w:val="00707BBB"/>
    <w:rsid w:val="00707C5D"/>
    <w:rsid w:val="007100B3"/>
    <w:rsid w:val="00710573"/>
    <w:rsid w:val="00710821"/>
    <w:rsid w:val="00710C35"/>
    <w:rsid w:val="00710EEA"/>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7070"/>
    <w:rsid w:val="0071710C"/>
    <w:rsid w:val="0071731C"/>
    <w:rsid w:val="00717338"/>
    <w:rsid w:val="00717C6E"/>
    <w:rsid w:val="00720074"/>
    <w:rsid w:val="007206BD"/>
    <w:rsid w:val="0072127C"/>
    <w:rsid w:val="007217CA"/>
    <w:rsid w:val="0072204B"/>
    <w:rsid w:val="00722C10"/>
    <w:rsid w:val="00722F16"/>
    <w:rsid w:val="00723C6E"/>
    <w:rsid w:val="00723D3A"/>
    <w:rsid w:val="0072437F"/>
    <w:rsid w:val="007245BD"/>
    <w:rsid w:val="00724656"/>
    <w:rsid w:val="00724B75"/>
    <w:rsid w:val="00724E18"/>
    <w:rsid w:val="0072565D"/>
    <w:rsid w:val="00726781"/>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85C"/>
    <w:rsid w:val="00737551"/>
    <w:rsid w:val="0073798A"/>
    <w:rsid w:val="00737E37"/>
    <w:rsid w:val="0074000C"/>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993"/>
    <w:rsid w:val="007465F8"/>
    <w:rsid w:val="00746730"/>
    <w:rsid w:val="00747950"/>
    <w:rsid w:val="00747958"/>
    <w:rsid w:val="00747B85"/>
    <w:rsid w:val="00751162"/>
    <w:rsid w:val="007512C4"/>
    <w:rsid w:val="00751348"/>
    <w:rsid w:val="007515C2"/>
    <w:rsid w:val="00751991"/>
    <w:rsid w:val="007519F6"/>
    <w:rsid w:val="007523A5"/>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6C5F"/>
    <w:rsid w:val="0075702E"/>
    <w:rsid w:val="007573CC"/>
    <w:rsid w:val="00757B98"/>
    <w:rsid w:val="00757E06"/>
    <w:rsid w:val="00757EB6"/>
    <w:rsid w:val="00757FFB"/>
    <w:rsid w:val="00760230"/>
    <w:rsid w:val="0076035D"/>
    <w:rsid w:val="007609FD"/>
    <w:rsid w:val="00760D20"/>
    <w:rsid w:val="00760D99"/>
    <w:rsid w:val="00761033"/>
    <w:rsid w:val="00761259"/>
    <w:rsid w:val="00761518"/>
    <w:rsid w:val="007615A3"/>
    <w:rsid w:val="007628D2"/>
    <w:rsid w:val="00762936"/>
    <w:rsid w:val="00762B84"/>
    <w:rsid w:val="0076302E"/>
    <w:rsid w:val="00763150"/>
    <w:rsid w:val="007636F0"/>
    <w:rsid w:val="00763FA1"/>
    <w:rsid w:val="007648CA"/>
    <w:rsid w:val="00764B50"/>
    <w:rsid w:val="00764CE9"/>
    <w:rsid w:val="00764D1B"/>
    <w:rsid w:val="00765803"/>
    <w:rsid w:val="00765E83"/>
    <w:rsid w:val="007660AD"/>
    <w:rsid w:val="00766202"/>
    <w:rsid w:val="00766F53"/>
    <w:rsid w:val="00770032"/>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385F"/>
    <w:rsid w:val="00784417"/>
    <w:rsid w:val="007848B8"/>
    <w:rsid w:val="00784956"/>
    <w:rsid w:val="0078510C"/>
    <w:rsid w:val="00785310"/>
    <w:rsid w:val="00785748"/>
    <w:rsid w:val="00785E8E"/>
    <w:rsid w:val="007860DC"/>
    <w:rsid w:val="0078621B"/>
    <w:rsid w:val="0078680D"/>
    <w:rsid w:val="007872AD"/>
    <w:rsid w:val="00787AAD"/>
    <w:rsid w:val="00787C7A"/>
    <w:rsid w:val="00790010"/>
    <w:rsid w:val="00790642"/>
    <w:rsid w:val="00790C07"/>
    <w:rsid w:val="00790C2A"/>
    <w:rsid w:val="00790F32"/>
    <w:rsid w:val="00791056"/>
    <w:rsid w:val="007914EB"/>
    <w:rsid w:val="0079154D"/>
    <w:rsid w:val="007927BD"/>
    <w:rsid w:val="00792851"/>
    <w:rsid w:val="00792B0A"/>
    <w:rsid w:val="00792EA6"/>
    <w:rsid w:val="00793DD0"/>
    <w:rsid w:val="00794662"/>
    <w:rsid w:val="007946A0"/>
    <w:rsid w:val="00795B1F"/>
    <w:rsid w:val="00796656"/>
    <w:rsid w:val="00796CE4"/>
    <w:rsid w:val="00797153"/>
    <w:rsid w:val="007976D4"/>
    <w:rsid w:val="007978C1"/>
    <w:rsid w:val="00797A40"/>
    <w:rsid w:val="007A08A9"/>
    <w:rsid w:val="007A11A5"/>
    <w:rsid w:val="007A1399"/>
    <w:rsid w:val="007A26DA"/>
    <w:rsid w:val="007A2C99"/>
    <w:rsid w:val="007A2E4E"/>
    <w:rsid w:val="007A325B"/>
    <w:rsid w:val="007A39C1"/>
    <w:rsid w:val="007A3C8F"/>
    <w:rsid w:val="007A3F0D"/>
    <w:rsid w:val="007A44A0"/>
    <w:rsid w:val="007A53DD"/>
    <w:rsid w:val="007A54BE"/>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78D"/>
    <w:rsid w:val="007B59F8"/>
    <w:rsid w:val="007B5C42"/>
    <w:rsid w:val="007B6DC2"/>
    <w:rsid w:val="007B7519"/>
    <w:rsid w:val="007B768C"/>
    <w:rsid w:val="007B79C0"/>
    <w:rsid w:val="007C0C38"/>
    <w:rsid w:val="007C0E3D"/>
    <w:rsid w:val="007C185F"/>
    <w:rsid w:val="007C1EE5"/>
    <w:rsid w:val="007C21B7"/>
    <w:rsid w:val="007C2613"/>
    <w:rsid w:val="007C2CEA"/>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249B"/>
    <w:rsid w:val="007D2AAD"/>
    <w:rsid w:val="007D306B"/>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7DA"/>
    <w:rsid w:val="007E59F7"/>
    <w:rsid w:val="007E6905"/>
    <w:rsid w:val="007E6CAA"/>
    <w:rsid w:val="007E6E24"/>
    <w:rsid w:val="007E70D6"/>
    <w:rsid w:val="007E7147"/>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892"/>
    <w:rsid w:val="007F6A12"/>
    <w:rsid w:val="007F6A6F"/>
    <w:rsid w:val="007F6BCF"/>
    <w:rsid w:val="007F6D26"/>
    <w:rsid w:val="007F780C"/>
    <w:rsid w:val="007F7F46"/>
    <w:rsid w:val="00800139"/>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40"/>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75B"/>
    <w:rsid w:val="00816E7D"/>
    <w:rsid w:val="00817214"/>
    <w:rsid w:val="00817222"/>
    <w:rsid w:val="0081783D"/>
    <w:rsid w:val="00820130"/>
    <w:rsid w:val="008201EC"/>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08F"/>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5C0"/>
    <w:rsid w:val="008406BB"/>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2383"/>
    <w:rsid w:val="00852ECE"/>
    <w:rsid w:val="00853AFB"/>
    <w:rsid w:val="00853B2D"/>
    <w:rsid w:val="00853D0C"/>
    <w:rsid w:val="00854107"/>
    <w:rsid w:val="00854190"/>
    <w:rsid w:val="00854194"/>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80284"/>
    <w:rsid w:val="008802EC"/>
    <w:rsid w:val="00880329"/>
    <w:rsid w:val="00880460"/>
    <w:rsid w:val="00880FE2"/>
    <w:rsid w:val="00881083"/>
    <w:rsid w:val="00881AB2"/>
    <w:rsid w:val="0088255E"/>
    <w:rsid w:val="00882963"/>
    <w:rsid w:val="00882FA5"/>
    <w:rsid w:val="0088359C"/>
    <w:rsid w:val="008841AD"/>
    <w:rsid w:val="00884520"/>
    <w:rsid w:val="00884635"/>
    <w:rsid w:val="00884C3C"/>
    <w:rsid w:val="00884FF6"/>
    <w:rsid w:val="008850E6"/>
    <w:rsid w:val="00885228"/>
    <w:rsid w:val="00885793"/>
    <w:rsid w:val="00885AFE"/>
    <w:rsid w:val="008861A9"/>
    <w:rsid w:val="00886D86"/>
    <w:rsid w:val="00887005"/>
    <w:rsid w:val="00887033"/>
    <w:rsid w:val="00887C9F"/>
    <w:rsid w:val="0089089E"/>
    <w:rsid w:val="0089090E"/>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17"/>
    <w:rsid w:val="008B0528"/>
    <w:rsid w:val="008B0D5B"/>
    <w:rsid w:val="008B1167"/>
    <w:rsid w:val="008B1580"/>
    <w:rsid w:val="008B1B47"/>
    <w:rsid w:val="008B2560"/>
    <w:rsid w:val="008B2A90"/>
    <w:rsid w:val="008B2D77"/>
    <w:rsid w:val="008B34E4"/>
    <w:rsid w:val="008B380B"/>
    <w:rsid w:val="008B392E"/>
    <w:rsid w:val="008B3A04"/>
    <w:rsid w:val="008B3D67"/>
    <w:rsid w:val="008B3D73"/>
    <w:rsid w:val="008B4325"/>
    <w:rsid w:val="008B457C"/>
    <w:rsid w:val="008B4CA5"/>
    <w:rsid w:val="008B53FE"/>
    <w:rsid w:val="008B5954"/>
    <w:rsid w:val="008B5E73"/>
    <w:rsid w:val="008B61A1"/>
    <w:rsid w:val="008B6413"/>
    <w:rsid w:val="008B73E0"/>
    <w:rsid w:val="008B7885"/>
    <w:rsid w:val="008B7D39"/>
    <w:rsid w:val="008C013F"/>
    <w:rsid w:val="008C02E9"/>
    <w:rsid w:val="008C103F"/>
    <w:rsid w:val="008C1820"/>
    <w:rsid w:val="008C23BD"/>
    <w:rsid w:val="008C25EA"/>
    <w:rsid w:val="008C29F0"/>
    <w:rsid w:val="008C2D23"/>
    <w:rsid w:val="008C305F"/>
    <w:rsid w:val="008C3522"/>
    <w:rsid w:val="008C41F4"/>
    <w:rsid w:val="008C51CD"/>
    <w:rsid w:val="008C55CF"/>
    <w:rsid w:val="008C5645"/>
    <w:rsid w:val="008C5ADD"/>
    <w:rsid w:val="008C6A31"/>
    <w:rsid w:val="008C6EC6"/>
    <w:rsid w:val="008C736F"/>
    <w:rsid w:val="008C76B8"/>
    <w:rsid w:val="008C79B4"/>
    <w:rsid w:val="008C7F90"/>
    <w:rsid w:val="008D00B5"/>
    <w:rsid w:val="008D0721"/>
    <w:rsid w:val="008D09A9"/>
    <w:rsid w:val="008D0A55"/>
    <w:rsid w:val="008D151F"/>
    <w:rsid w:val="008D1FBA"/>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1E3"/>
    <w:rsid w:val="008D62D9"/>
    <w:rsid w:val="008D6F83"/>
    <w:rsid w:val="008D7AA7"/>
    <w:rsid w:val="008D7EA6"/>
    <w:rsid w:val="008E00FE"/>
    <w:rsid w:val="008E0319"/>
    <w:rsid w:val="008E0862"/>
    <w:rsid w:val="008E0BDA"/>
    <w:rsid w:val="008E11B4"/>
    <w:rsid w:val="008E134C"/>
    <w:rsid w:val="008E17AF"/>
    <w:rsid w:val="008E1BD8"/>
    <w:rsid w:val="008E1D1C"/>
    <w:rsid w:val="008E2314"/>
    <w:rsid w:val="008E273D"/>
    <w:rsid w:val="008E2779"/>
    <w:rsid w:val="008E2920"/>
    <w:rsid w:val="008E3E9D"/>
    <w:rsid w:val="008E3FF4"/>
    <w:rsid w:val="008E45CA"/>
    <w:rsid w:val="008E467A"/>
    <w:rsid w:val="008E4F23"/>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4AB"/>
    <w:rsid w:val="009036A8"/>
    <w:rsid w:val="00903B09"/>
    <w:rsid w:val="009048F0"/>
    <w:rsid w:val="00904CBF"/>
    <w:rsid w:val="00904FE3"/>
    <w:rsid w:val="00905885"/>
    <w:rsid w:val="0090605D"/>
    <w:rsid w:val="00906AF9"/>
    <w:rsid w:val="00907102"/>
    <w:rsid w:val="00907220"/>
    <w:rsid w:val="00907297"/>
    <w:rsid w:val="00907326"/>
    <w:rsid w:val="00907933"/>
    <w:rsid w:val="00910263"/>
    <w:rsid w:val="00910421"/>
    <w:rsid w:val="00910574"/>
    <w:rsid w:val="00910F74"/>
    <w:rsid w:val="00911135"/>
    <w:rsid w:val="009117EB"/>
    <w:rsid w:val="00911B5E"/>
    <w:rsid w:val="0091219C"/>
    <w:rsid w:val="00912945"/>
    <w:rsid w:val="00912C67"/>
    <w:rsid w:val="009131C4"/>
    <w:rsid w:val="0091354A"/>
    <w:rsid w:val="00913727"/>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51C"/>
    <w:rsid w:val="009249B2"/>
    <w:rsid w:val="009259CD"/>
    <w:rsid w:val="00926C3D"/>
    <w:rsid w:val="00927011"/>
    <w:rsid w:val="009271C8"/>
    <w:rsid w:val="0092766F"/>
    <w:rsid w:val="00927A83"/>
    <w:rsid w:val="00927B47"/>
    <w:rsid w:val="0093009C"/>
    <w:rsid w:val="009302B4"/>
    <w:rsid w:val="009313D6"/>
    <w:rsid w:val="0093156F"/>
    <w:rsid w:val="009316FA"/>
    <w:rsid w:val="00931999"/>
    <w:rsid w:val="00931DB7"/>
    <w:rsid w:val="00931E3B"/>
    <w:rsid w:val="009321E9"/>
    <w:rsid w:val="00932956"/>
    <w:rsid w:val="00932DC8"/>
    <w:rsid w:val="0093309D"/>
    <w:rsid w:val="00933219"/>
    <w:rsid w:val="00933F6B"/>
    <w:rsid w:val="00934A6C"/>
    <w:rsid w:val="00934F66"/>
    <w:rsid w:val="00935A5F"/>
    <w:rsid w:val="00935CAF"/>
    <w:rsid w:val="00935EDA"/>
    <w:rsid w:val="00936B4B"/>
    <w:rsid w:val="00936F6A"/>
    <w:rsid w:val="00937436"/>
    <w:rsid w:val="0094023F"/>
    <w:rsid w:val="00940458"/>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67C"/>
    <w:rsid w:val="00947EBF"/>
    <w:rsid w:val="009502B1"/>
    <w:rsid w:val="0095038B"/>
    <w:rsid w:val="00950B66"/>
    <w:rsid w:val="00951A68"/>
    <w:rsid w:val="00951D29"/>
    <w:rsid w:val="00951F47"/>
    <w:rsid w:val="00952227"/>
    <w:rsid w:val="00952635"/>
    <w:rsid w:val="00953179"/>
    <w:rsid w:val="0095317A"/>
    <w:rsid w:val="0095328B"/>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6B9"/>
    <w:rsid w:val="00963D43"/>
    <w:rsid w:val="00963DF0"/>
    <w:rsid w:val="00963EE8"/>
    <w:rsid w:val="00964348"/>
    <w:rsid w:val="00964CE2"/>
    <w:rsid w:val="00964D3E"/>
    <w:rsid w:val="00964D4F"/>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6EE1"/>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FE"/>
    <w:rsid w:val="009A0C34"/>
    <w:rsid w:val="009A0FBF"/>
    <w:rsid w:val="009A1430"/>
    <w:rsid w:val="009A1F42"/>
    <w:rsid w:val="009A2397"/>
    <w:rsid w:val="009A23EC"/>
    <w:rsid w:val="009A2A0F"/>
    <w:rsid w:val="009A2BA0"/>
    <w:rsid w:val="009A2C67"/>
    <w:rsid w:val="009A3482"/>
    <w:rsid w:val="009A3EF7"/>
    <w:rsid w:val="009A4077"/>
    <w:rsid w:val="009A4D3B"/>
    <w:rsid w:val="009A5A69"/>
    <w:rsid w:val="009A655A"/>
    <w:rsid w:val="009A67FC"/>
    <w:rsid w:val="009A6EB8"/>
    <w:rsid w:val="009A70C4"/>
    <w:rsid w:val="009A7B93"/>
    <w:rsid w:val="009A7CE1"/>
    <w:rsid w:val="009A7E5C"/>
    <w:rsid w:val="009B013E"/>
    <w:rsid w:val="009B0237"/>
    <w:rsid w:val="009B03A5"/>
    <w:rsid w:val="009B097E"/>
    <w:rsid w:val="009B0D08"/>
    <w:rsid w:val="009B1371"/>
    <w:rsid w:val="009B1D72"/>
    <w:rsid w:val="009B1F76"/>
    <w:rsid w:val="009B25CD"/>
    <w:rsid w:val="009B2F0F"/>
    <w:rsid w:val="009B3DF8"/>
    <w:rsid w:val="009B3F48"/>
    <w:rsid w:val="009B46C8"/>
    <w:rsid w:val="009B4CEE"/>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30E2"/>
    <w:rsid w:val="009C33D2"/>
    <w:rsid w:val="009C3CF6"/>
    <w:rsid w:val="009C3E0A"/>
    <w:rsid w:val="009C3FEC"/>
    <w:rsid w:val="009C40CE"/>
    <w:rsid w:val="009C46A5"/>
    <w:rsid w:val="009C4A33"/>
    <w:rsid w:val="009C4A41"/>
    <w:rsid w:val="009C4B6B"/>
    <w:rsid w:val="009C516B"/>
    <w:rsid w:val="009C5966"/>
    <w:rsid w:val="009C6036"/>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3148"/>
    <w:rsid w:val="009D3702"/>
    <w:rsid w:val="009D388C"/>
    <w:rsid w:val="009D3993"/>
    <w:rsid w:val="009D3E01"/>
    <w:rsid w:val="009D435B"/>
    <w:rsid w:val="009D44D6"/>
    <w:rsid w:val="009D4C66"/>
    <w:rsid w:val="009D4E61"/>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275F"/>
    <w:rsid w:val="009E304F"/>
    <w:rsid w:val="009E3553"/>
    <w:rsid w:val="009E4AD6"/>
    <w:rsid w:val="009E510B"/>
    <w:rsid w:val="009E543F"/>
    <w:rsid w:val="009E5700"/>
    <w:rsid w:val="009E5BDB"/>
    <w:rsid w:val="009E5F82"/>
    <w:rsid w:val="009E6CCC"/>
    <w:rsid w:val="009E7209"/>
    <w:rsid w:val="009E75BB"/>
    <w:rsid w:val="009E76BB"/>
    <w:rsid w:val="009E7CE5"/>
    <w:rsid w:val="009E7D99"/>
    <w:rsid w:val="009F01A8"/>
    <w:rsid w:val="009F033E"/>
    <w:rsid w:val="009F03F4"/>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CB1"/>
    <w:rsid w:val="009F7146"/>
    <w:rsid w:val="009F731E"/>
    <w:rsid w:val="009F7795"/>
    <w:rsid w:val="009F786B"/>
    <w:rsid w:val="009F797E"/>
    <w:rsid w:val="009F79CF"/>
    <w:rsid w:val="00A001FE"/>
    <w:rsid w:val="00A00322"/>
    <w:rsid w:val="00A00611"/>
    <w:rsid w:val="00A00944"/>
    <w:rsid w:val="00A0169A"/>
    <w:rsid w:val="00A01F0D"/>
    <w:rsid w:val="00A027BA"/>
    <w:rsid w:val="00A02DD0"/>
    <w:rsid w:val="00A036A0"/>
    <w:rsid w:val="00A037A4"/>
    <w:rsid w:val="00A03C3A"/>
    <w:rsid w:val="00A040E8"/>
    <w:rsid w:val="00A0455D"/>
    <w:rsid w:val="00A04899"/>
    <w:rsid w:val="00A04950"/>
    <w:rsid w:val="00A04B51"/>
    <w:rsid w:val="00A04EA7"/>
    <w:rsid w:val="00A058AB"/>
    <w:rsid w:val="00A0606A"/>
    <w:rsid w:val="00A060AA"/>
    <w:rsid w:val="00A06F24"/>
    <w:rsid w:val="00A071AD"/>
    <w:rsid w:val="00A07267"/>
    <w:rsid w:val="00A0728A"/>
    <w:rsid w:val="00A07AE8"/>
    <w:rsid w:val="00A07B90"/>
    <w:rsid w:val="00A1035E"/>
    <w:rsid w:val="00A1102D"/>
    <w:rsid w:val="00A112DB"/>
    <w:rsid w:val="00A11343"/>
    <w:rsid w:val="00A11791"/>
    <w:rsid w:val="00A11829"/>
    <w:rsid w:val="00A11EDE"/>
    <w:rsid w:val="00A1281A"/>
    <w:rsid w:val="00A1370A"/>
    <w:rsid w:val="00A13DB2"/>
    <w:rsid w:val="00A13F70"/>
    <w:rsid w:val="00A141F8"/>
    <w:rsid w:val="00A142F3"/>
    <w:rsid w:val="00A14C03"/>
    <w:rsid w:val="00A14CC1"/>
    <w:rsid w:val="00A14E0C"/>
    <w:rsid w:val="00A1537F"/>
    <w:rsid w:val="00A15BA0"/>
    <w:rsid w:val="00A15C20"/>
    <w:rsid w:val="00A16FDF"/>
    <w:rsid w:val="00A16FFF"/>
    <w:rsid w:val="00A17B4E"/>
    <w:rsid w:val="00A17C8D"/>
    <w:rsid w:val="00A200E2"/>
    <w:rsid w:val="00A20208"/>
    <w:rsid w:val="00A20619"/>
    <w:rsid w:val="00A20EA7"/>
    <w:rsid w:val="00A2149B"/>
    <w:rsid w:val="00A214CC"/>
    <w:rsid w:val="00A21722"/>
    <w:rsid w:val="00A21807"/>
    <w:rsid w:val="00A22001"/>
    <w:rsid w:val="00A22358"/>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885"/>
    <w:rsid w:val="00A25AE4"/>
    <w:rsid w:val="00A25E9A"/>
    <w:rsid w:val="00A2757F"/>
    <w:rsid w:val="00A27A5B"/>
    <w:rsid w:val="00A301A6"/>
    <w:rsid w:val="00A3045D"/>
    <w:rsid w:val="00A308CE"/>
    <w:rsid w:val="00A30CEE"/>
    <w:rsid w:val="00A31749"/>
    <w:rsid w:val="00A317A1"/>
    <w:rsid w:val="00A31823"/>
    <w:rsid w:val="00A31AFB"/>
    <w:rsid w:val="00A3215D"/>
    <w:rsid w:val="00A321A0"/>
    <w:rsid w:val="00A3225A"/>
    <w:rsid w:val="00A32321"/>
    <w:rsid w:val="00A327C0"/>
    <w:rsid w:val="00A32DC9"/>
    <w:rsid w:val="00A331D7"/>
    <w:rsid w:val="00A33751"/>
    <w:rsid w:val="00A337AE"/>
    <w:rsid w:val="00A33A02"/>
    <w:rsid w:val="00A33B1A"/>
    <w:rsid w:val="00A3458A"/>
    <w:rsid w:val="00A3475C"/>
    <w:rsid w:val="00A354E0"/>
    <w:rsid w:val="00A35C0C"/>
    <w:rsid w:val="00A3647F"/>
    <w:rsid w:val="00A3710D"/>
    <w:rsid w:val="00A3724A"/>
    <w:rsid w:val="00A372E9"/>
    <w:rsid w:val="00A37575"/>
    <w:rsid w:val="00A402A4"/>
    <w:rsid w:val="00A405CF"/>
    <w:rsid w:val="00A40C38"/>
    <w:rsid w:val="00A4100F"/>
    <w:rsid w:val="00A41673"/>
    <w:rsid w:val="00A41698"/>
    <w:rsid w:val="00A4174B"/>
    <w:rsid w:val="00A41A4F"/>
    <w:rsid w:val="00A41B59"/>
    <w:rsid w:val="00A41C09"/>
    <w:rsid w:val="00A41F7D"/>
    <w:rsid w:val="00A41F99"/>
    <w:rsid w:val="00A42194"/>
    <w:rsid w:val="00A42278"/>
    <w:rsid w:val="00A42338"/>
    <w:rsid w:val="00A4292C"/>
    <w:rsid w:val="00A429F9"/>
    <w:rsid w:val="00A42DBA"/>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E21"/>
    <w:rsid w:val="00A51159"/>
    <w:rsid w:val="00A51646"/>
    <w:rsid w:val="00A5275E"/>
    <w:rsid w:val="00A52BE0"/>
    <w:rsid w:val="00A53203"/>
    <w:rsid w:val="00A53220"/>
    <w:rsid w:val="00A53735"/>
    <w:rsid w:val="00A53C6A"/>
    <w:rsid w:val="00A549B9"/>
    <w:rsid w:val="00A54A0D"/>
    <w:rsid w:val="00A54C21"/>
    <w:rsid w:val="00A54F07"/>
    <w:rsid w:val="00A550E4"/>
    <w:rsid w:val="00A5540A"/>
    <w:rsid w:val="00A5566F"/>
    <w:rsid w:val="00A557BE"/>
    <w:rsid w:val="00A56A94"/>
    <w:rsid w:val="00A56A98"/>
    <w:rsid w:val="00A56DA3"/>
    <w:rsid w:val="00A57003"/>
    <w:rsid w:val="00A5730D"/>
    <w:rsid w:val="00A5785F"/>
    <w:rsid w:val="00A57C93"/>
    <w:rsid w:val="00A60100"/>
    <w:rsid w:val="00A601AF"/>
    <w:rsid w:val="00A6087B"/>
    <w:rsid w:val="00A6090E"/>
    <w:rsid w:val="00A61947"/>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8A"/>
    <w:rsid w:val="00A8061F"/>
    <w:rsid w:val="00A8068F"/>
    <w:rsid w:val="00A80A73"/>
    <w:rsid w:val="00A80BCC"/>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219F"/>
    <w:rsid w:val="00A92BCC"/>
    <w:rsid w:val="00A932E8"/>
    <w:rsid w:val="00A93955"/>
    <w:rsid w:val="00A93B28"/>
    <w:rsid w:val="00A93CDD"/>
    <w:rsid w:val="00A93D07"/>
    <w:rsid w:val="00A941DD"/>
    <w:rsid w:val="00A9435D"/>
    <w:rsid w:val="00A944DB"/>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C48"/>
    <w:rsid w:val="00AA36F1"/>
    <w:rsid w:val="00AA3864"/>
    <w:rsid w:val="00AA38A9"/>
    <w:rsid w:val="00AA399A"/>
    <w:rsid w:val="00AA3A9E"/>
    <w:rsid w:val="00AA3E93"/>
    <w:rsid w:val="00AA44FF"/>
    <w:rsid w:val="00AA4565"/>
    <w:rsid w:val="00AA55D4"/>
    <w:rsid w:val="00AA5ABD"/>
    <w:rsid w:val="00AA614B"/>
    <w:rsid w:val="00AA6C5A"/>
    <w:rsid w:val="00AA6D3C"/>
    <w:rsid w:val="00AA6F9D"/>
    <w:rsid w:val="00AA6FCF"/>
    <w:rsid w:val="00AA748E"/>
    <w:rsid w:val="00AA781B"/>
    <w:rsid w:val="00AA79CB"/>
    <w:rsid w:val="00AA7CAD"/>
    <w:rsid w:val="00AB06D9"/>
    <w:rsid w:val="00AB0E3A"/>
    <w:rsid w:val="00AB2323"/>
    <w:rsid w:val="00AB2F5E"/>
    <w:rsid w:val="00AB34FA"/>
    <w:rsid w:val="00AB364A"/>
    <w:rsid w:val="00AB4772"/>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327"/>
    <w:rsid w:val="00AD25D0"/>
    <w:rsid w:val="00AD2771"/>
    <w:rsid w:val="00AD2AAC"/>
    <w:rsid w:val="00AD2D74"/>
    <w:rsid w:val="00AD33CB"/>
    <w:rsid w:val="00AD3A86"/>
    <w:rsid w:val="00AD3B62"/>
    <w:rsid w:val="00AD3F01"/>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1543"/>
    <w:rsid w:val="00AE1669"/>
    <w:rsid w:val="00AE16A2"/>
    <w:rsid w:val="00AE1BD4"/>
    <w:rsid w:val="00AE22B7"/>
    <w:rsid w:val="00AE2314"/>
    <w:rsid w:val="00AE284F"/>
    <w:rsid w:val="00AE2A3A"/>
    <w:rsid w:val="00AE2DD7"/>
    <w:rsid w:val="00AE319C"/>
    <w:rsid w:val="00AE3D82"/>
    <w:rsid w:val="00AE438F"/>
    <w:rsid w:val="00AE4415"/>
    <w:rsid w:val="00AE4C03"/>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2AF8"/>
    <w:rsid w:val="00AF30A5"/>
    <w:rsid w:val="00AF33EB"/>
    <w:rsid w:val="00AF3429"/>
    <w:rsid w:val="00AF37AC"/>
    <w:rsid w:val="00AF3A14"/>
    <w:rsid w:val="00AF3C15"/>
    <w:rsid w:val="00AF3CD0"/>
    <w:rsid w:val="00AF403A"/>
    <w:rsid w:val="00AF483F"/>
    <w:rsid w:val="00AF610E"/>
    <w:rsid w:val="00AF623B"/>
    <w:rsid w:val="00AF6340"/>
    <w:rsid w:val="00AF6821"/>
    <w:rsid w:val="00AF6B60"/>
    <w:rsid w:val="00AF6F25"/>
    <w:rsid w:val="00AF7950"/>
    <w:rsid w:val="00AF7977"/>
    <w:rsid w:val="00B0077D"/>
    <w:rsid w:val="00B0099E"/>
    <w:rsid w:val="00B00A08"/>
    <w:rsid w:val="00B01951"/>
    <w:rsid w:val="00B019AF"/>
    <w:rsid w:val="00B01EC0"/>
    <w:rsid w:val="00B0298F"/>
    <w:rsid w:val="00B0312C"/>
    <w:rsid w:val="00B03156"/>
    <w:rsid w:val="00B03224"/>
    <w:rsid w:val="00B03A2C"/>
    <w:rsid w:val="00B041FC"/>
    <w:rsid w:val="00B0481D"/>
    <w:rsid w:val="00B0509A"/>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2437"/>
    <w:rsid w:val="00B1313A"/>
    <w:rsid w:val="00B13675"/>
    <w:rsid w:val="00B1368E"/>
    <w:rsid w:val="00B150CF"/>
    <w:rsid w:val="00B1574A"/>
    <w:rsid w:val="00B16344"/>
    <w:rsid w:val="00B16E5A"/>
    <w:rsid w:val="00B17D03"/>
    <w:rsid w:val="00B17EC7"/>
    <w:rsid w:val="00B20080"/>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4DA6"/>
    <w:rsid w:val="00B254DE"/>
    <w:rsid w:val="00B25AF0"/>
    <w:rsid w:val="00B260BB"/>
    <w:rsid w:val="00B27341"/>
    <w:rsid w:val="00B27B34"/>
    <w:rsid w:val="00B27D60"/>
    <w:rsid w:val="00B3004D"/>
    <w:rsid w:val="00B30549"/>
    <w:rsid w:val="00B306FC"/>
    <w:rsid w:val="00B30B9E"/>
    <w:rsid w:val="00B30CE5"/>
    <w:rsid w:val="00B30D54"/>
    <w:rsid w:val="00B30D6E"/>
    <w:rsid w:val="00B30DBF"/>
    <w:rsid w:val="00B30F41"/>
    <w:rsid w:val="00B3126C"/>
    <w:rsid w:val="00B314F2"/>
    <w:rsid w:val="00B3155E"/>
    <w:rsid w:val="00B31731"/>
    <w:rsid w:val="00B31A7E"/>
    <w:rsid w:val="00B3209B"/>
    <w:rsid w:val="00B3254A"/>
    <w:rsid w:val="00B3294D"/>
    <w:rsid w:val="00B32EEF"/>
    <w:rsid w:val="00B33340"/>
    <w:rsid w:val="00B3337B"/>
    <w:rsid w:val="00B33CE5"/>
    <w:rsid w:val="00B33EB2"/>
    <w:rsid w:val="00B34053"/>
    <w:rsid w:val="00B343F3"/>
    <w:rsid w:val="00B3572B"/>
    <w:rsid w:val="00B362A5"/>
    <w:rsid w:val="00B363F6"/>
    <w:rsid w:val="00B36841"/>
    <w:rsid w:val="00B36C3A"/>
    <w:rsid w:val="00B3766F"/>
    <w:rsid w:val="00B40093"/>
    <w:rsid w:val="00B40726"/>
    <w:rsid w:val="00B40A1A"/>
    <w:rsid w:val="00B40BE5"/>
    <w:rsid w:val="00B40C32"/>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D4E"/>
    <w:rsid w:val="00B561CD"/>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1FE"/>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3DC9"/>
    <w:rsid w:val="00B743C3"/>
    <w:rsid w:val="00B7523B"/>
    <w:rsid w:val="00B75AB6"/>
    <w:rsid w:val="00B76445"/>
    <w:rsid w:val="00B76564"/>
    <w:rsid w:val="00B76B7D"/>
    <w:rsid w:val="00B7743A"/>
    <w:rsid w:val="00B7760C"/>
    <w:rsid w:val="00B77713"/>
    <w:rsid w:val="00B778AC"/>
    <w:rsid w:val="00B77C7F"/>
    <w:rsid w:val="00B77D78"/>
    <w:rsid w:val="00B77F28"/>
    <w:rsid w:val="00B80422"/>
    <w:rsid w:val="00B80489"/>
    <w:rsid w:val="00B8059E"/>
    <w:rsid w:val="00B81132"/>
    <w:rsid w:val="00B817FF"/>
    <w:rsid w:val="00B81BCA"/>
    <w:rsid w:val="00B82011"/>
    <w:rsid w:val="00B82214"/>
    <w:rsid w:val="00B82E6C"/>
    <w:rsid w:val="00B830A3"/>
    <w:rsid w:val="00B83593"/>
    <w:rsid w:val="00B835B1"/>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383"/>
    <w:rsid w:val="00BD2727"/>
    <w:rsid w:val="00BD2A63"/>
    <w:rsid w:val="00BD2A6C"/>
    <w:rsid w:val="00BD2B17"/>
    <w:rsid w:val="00BD324B"/>
    <w:rsid w:val="00BD37A6"/>
    <w:rsid w:val="00BD4451"/>
    <w:rsid w:val="00BD4AD2"/>
    <w:rsid w:val="00BD4ADB"/>
    <w:rsid w:val="00BD4D87"/>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2285"/>
    <w:rsid w:val="00BE2486"/>
    <w:rsid w:val="00BE2819"/>
    <w:rsid w:val="00BE2AB0"/>
    <w:rsid w:val="00BE3228"/>
    <w:rsid w:val="00BE3923"/>
    <w:rsid w:val="00BE4138"/>
    <w:rsid w:val="00BE5024"/>
    <w:rsid w:val="00BE55D2"/>
    <w:rsid w:val="00BE5D77"/>
    <w:rsid w:val="00BE5D94"/>
    <w:rsid w:val="00BE6049"/>
    <w:rsid w:val="00BE69B0"/>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D77"/>
    <w:rsid w:val="00C02867"/>
    <w:rsid w:val="00C02929"/>
    <w:rsid w:val="00C02933"/>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2D12"/>
    <w:rsid w:val="00C12D15"/>
    <w:rsid w:val="00C12F86"/>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B23"/>
    <w:rsid w:val="00C20D8A"/>
    <w:rsid w:val="00C20FAA"/>
    <w:rsid w:val="00C214DD"/>
    <w:rsid w:val="00C215DD"/>
    <w:rsid w:val="00C22512"/>
    <w:rsid w:val="00C230D4"/>
    <w:rsid w:val="00C23BE6"/>
    <w:rsid w:val="00C23C02"/>
    <w:rsid w:val="00C24862"/>
    <w:rsid w:val="00C24C46"/>
    <w:rsid w:val="00C24FFF"/>
    <w:rsid w:val="00C25348"/>
    <w:rsid w:val="00C2581A"/>
    <w:rsid w:val="00C260F4"/>
    <w:rsid w:val="00C26518"/>
    <w:rsid w:val="00C265C3"/>
    <w:rsid w:val="00C26EBA"/>
    <w:rsid w:val="00C270DD"/>
    <w:rsid w:val="00C27DF1"/>
    <w:rsid w:val="00C3105E"/>
    <w:rsid w:val="00C318C9"/>
    <w:rsid w:val="00C32E44"/>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1B2"/>
    <w:rsid w:val="00C3644A"/>
    <w:rsid w:val="00C364C5"/>
    <w:rsid w:val="00C36CD0"/>
    <w:rsid w:val="00C36CFD"/>
    <w:rsid w:val="00C37204"/>
    <w:rsid w:val="00C373C0"/>
    <w:rsid w:val="00C374E2"/>
    <w:rsid w:val="00C4086E"/>
    <w:rsid w:val="00C40D38"/>
    <w:rsid w:val="00C40EB9"/>
    <w:rsid w:val="00C4168A"/>
    <w:rsid w:val="00C41E56"/>
    <w:rsid w:val="00C41EBF"/>
    <w:rsid w:val="00C422CF"/>
    <w:rsid w:val="00C4281A"/>
    <w:rsid w:val="00C42D5B"/>
    <w:rsid w:val="00C4320E"/>
    <w:rsid w:val="00C433AF"/>
    <w:rsid w:val="00C4343B"/>
    <w:rsid w:val="00C436F5"/>
    <w:rsid w:val="00C43B36"/>
    <w:rsid w:val="00C44160"/>
    <w:rsid w:val="00C441E7"/>
    <w:rsid w:val="00C4422D"/>
    <w:rsid w:val="00C442B3"/>
    <w:rsid w:val="00C442D6"/>
    <w:rsid w:val="00C444B4"/>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32D"/>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A23"/>
    <w:rsid w:val="00C74B46"/>
    <w:rsid w:val="00C74F68"/>
    <w:rsid w:val="00C755C3"/>
    <w:rsid w:val="00C76122"/>
    <w:rsid w:val="00C76E83"/>
    <w:rsid w:val="00C76E9C"/>
    <w:rsid w:val="00C77A34"/>
    <w:rsid w:val="00C77CEB"/>
    <w:rsid w:val="00C80B82"/>
    <w:rsid w:val="00C80BCF"/>
    <w:rsid w:val="00C80DAB"/>
    <w:rsid w:val="00C810C9"/>
    <w:rsid w:val="00C81201"/>
    <w:rsid w:val="00C812B5"/>
    <w:rsid w:val="00C81392"/>
    <w:rsid w:val="00C81540"/>
    <w:rsid w:val="00C81E50"/>
    <w:rsid w:val="00C81FD2"/>
    <w:rsid w:val="00C827F2"/>
    <w:rsid w:val="00C83A5F"/>
    <w:rsid w:val="00C83E68"/>
    <w:rsid w:val="00C84569"/>
    <w:rsid w:val="00C846B0"/>
    <w:rsid w:val="00C84CA9"/>
    <w:rsid w:val="00C84EB8"/>
    <w:rsid w:val="00C85005"/>
    <w:rsid w:val="00C85750"/>
    <w:rsid w:val="00C858C2"/>
    <w:rsid w:val="00C85CB9"/>
    <w:rsid w:val="00C866C2"/>
    <w:rsid w:val="00C86940"/>
    <w:rsid w:val="00C86996"/>
    <w:rsid w:val="00C86A44"/>
    <w:rsid w:val="00C87B76"/>
    <w:rsid w:val="00C87FED"/>
    <w:rsid w:val="00C90299"/>
    <w:rsid w:val="00C908E2"/>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34E"/>
    <w:rsid w:val="00C9562A"/>
    <w:rsid w:val="00C95ADE"/>
    <w:rsid w:val="00C95C45"/>
    <w:rsid w:val="00C966EE"/>
    <w:rsid w:val="00C96783"/>
    <w:rsid w:val="00C96FF2"/>
    <w:rsid w:val="00C97565"/>
    <w:rsid w:val="00C97C9B"/>
    <w:rsid w:val="00CA008E"/>
    <w:rsid w:val="00CA01A5"/>
    <w:rsid w:val="00CA0A27"/>
    <w:rsid w:val="00CA0CD1"/>
    <w:rsid w:val="00CA0DAC"/>
    <w:rsid w:val="00CA1126"/>
    <w:rsid w:val="00CA144C"/>
    <w:rsid w:val="00CA1451"/>
    <w:rsid w:val="00CA14D5"/>
    <w:rsid w:val="00CA1A88"/>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3E0"/>
    <w:rsid w:val="00CA7655"/>
    <w:rsid w:val="00CA7984"/>
    <w:rsid w:val="00CA7A83"/>
    <w:rsid w:val="00CB0299"/>
    <w:rsid w:val="00CB0DC7"/>
    <w:rsid w:val="00CB1453"/>
    <w:rsid w:val="00CB14F4"/>
    <w:rsid w:val="00CB1696"/>
    <w:rsid w:val="00CB16E9"/>
    <w:rsid w:val="00CB16F6"/>
    <w:rsid w:val="00CB19D5"/>
    <w:rsid w:val="00CB19F0"/>
    <w:rsid w:val="00CB1AB3"/>
    <w:rsid w:val="00CB24E8"/>
    <w:rsid w:val="00CB2551"/>
    <w:rsid w:val="00CB255F"/>
    <w:rsid w:val="00CB2B53"/>
    <w:rsid w:val="00CB2E1E"/>
    <w:rsid w:val="00CB32E5"/>
    <w:rsid w:val="00CB3B05"/>
    <w:rsid w:val="00CB3BD5"/>
    <w:rsid w:val="00CB4128"/>
    <w:rsid w:val="00CB4141"/>
    <w:rsid w:val="00CB4247"/>
    <w:rsid w:val="00CB446A"/>
    <w:rsid w:val="00CB4564"/>
    <w:rsid w:val="00CB48FE"/>
    <w:rsid w:val="00CB4FB8"/>
    <w:rsid w:val="00CB55BE"/>
    <w:rsid w:val="00CB5843"/>
    <w:rsid w:val="00CB5DA3"/>
    <w:rsid w:val="00CB65F2"/>
    <w:rsid w:val="00CB6656"/>
    <w:rsid w:val="00CB7D33"/>
    <w:rsid w:val="00CC0A63"/>
    <w:rsid w:val="00CC0CAE"/>
    <w:rsid w:val="00CC1587"/>
    <w:rsid w:val="00CC1EE2"/>
    <w:rsid w:val="00CC2278"/>
    <w:rsid w:val="00CC2861"/>
    <w:rsid w:val="00CC2BDC"/>
    <w:rsid w:val="00CC2F5D"/>
    <w:rsid w:val="00CC31F9"/>
    <w:rsid w:val="00CC3B25"/>
    <w:rsid w:val="00CC4226"/>
    <w:rsid w:val="00CC4255"/>
    <w:rsid w:val="00CC4FC0"/>
    <w:rsid w:val="00CC505E"/>
    <w:rsid w:val="00CC5B7E"/>
    <w:rsid w:val="00CC5F00"/>
    <w:rsid w:val="00CC6D09"/>
    <w:rsid w:val="00CC7800"/>
    <w:rsid w:val="00CC79CE"/>
    <w:rsid w:val="00CC7A4F"/>
    <w:rsid w:val="00CD0131"/>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7D7A"/>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6373"/>
    <w:rsid w:val="00CE673C"/>
    <w:rsid w:val="00CE7ABF"/>
    <w:rsid w:val="00CE7ADB"/>
    <w:rsid w:val="00CE7C10"/>
    <w:rsid w:val="00CE7FF3"/>
    <w:rsid w:val="00CF02E0"/>
    <w:rsid w:val="00CF0418"/>
    <w:rsid w:val="00CF0573"/>
    <w:rsid w:val="00CF165C"/>
    <w:rsid w:val="00CF1761"/>
    <w:rsid w:val="00CF1861"/>
    <w:rsid w:val="00CF26A5"/>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DF0"/>
    <w:rsid w:val="00D07F97"/>
    <w:rsid w:val="00D1005A"/>
    <w:rsid w:val="00D10809"/>
    <w:rsid w:val="00D1085F"/>
    <w:rsid w:val="00D1095C"/>
    <w:rsid w:val="00D11091"/>
    <w:rsid w:val="00D1140E"/>
    <w:rsid w:val="00D115B0"/>
    <w:rsid w:val="00D11634"/>
    <w:rsid w:val="00D116F9"/>
    <w:rsid w:val="00D11E6C"/>
    <w:rsid w:val="00D11FBD"/>
    <w:rsid w:val="00D126E5"/>
    <w:rsid w:val="00D12789"/>
    <w:rsid w:val="00D128A6"/>
    <w:rsid w:val="00D12B1F"/>
    <w:rsid w:val="00D12E2D"/>
    <w:rsid w:val="00D12EF8"/>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1148"/>
    <w:rsid w:val="00D22A91"/>
    <w:rsid w:val="00D22B1C"/>
    <w:rsid w:val="00D22D42"/>
    <w:rsid w:val="00D22DC1"/>
    <w:rsid w:val="00D23001"/>
    <w:rsid w:val="00D233EB"/>
    <w:rsid w:val="00D238D4"/>
    <w:rsid w:val="00D2425A"/>
    <w:rsid w:val="00D24451"/>
    <w:rsid w:val="00D24EF0"/>
    <w:rsid w:val="00D25D70"/>
    <w:rsid w:val="00D25E39"/>
    <w:rsid w:val="00D262B3"/>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6363"/>
    <w:rsid w:val="00D464F5"/>
    <w:rsid w:val="00D4717C"/>
    <w:rsid w:val="00D47BE2"/>
    <w:rsid w:val="00D47C39"/>
    <w:rsid w:val="00D504A0"/>
    <w:rsid w:val="00D50A89"/>
    <w:rsid w:val="00D50C96"/>
    <w:rsid w:val="00D50F36"/>
    <w:rsid w:val="00D51923"/>
    <w:rsid w:val="00D51DFD"/>
    <w:rsid w:val="00D51E62"/>
    <w:rsid w:val="00D522B1"/>
    <w:rsid w:val="00D52DAF"/>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0AE"/>
    <w:rsid w:val="00D57447"/>
    <w:rsid w:val="00D60169"/>
    <w:rsid w:val="00D609B2"/>
    <w:rsid w:val="00D60F4F"/>
    <w:rsid w:val="00D60F71"/>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469"/>
    <w:rsid w:val="00D67883"/>
    <w:rsid w:val="00D67BD7"/>
    <w:rsid w:val="00D67C51"/>
    <w:rsid w:val="00D70E3F"/>
    <w:rsid w:val="00D71877"/>
    <w:rsid w:val="00D71DF9"/>
    <w:rsid w:val="00D72154"/>
    <w:rsid w:val="00D723AC"/>
    <w:rsid w:val="00D724AF"/>
    <w:rsid w:val="00D72C22"/>
    <w:rsid w:val="00D732FC"/>
    <w:rsid w:val="00D7370B"/>
    <w:rsid w:val="00D73E84"/>
    <w:rsid w:val="00D747CD"/>
    <w:rsid w:val="00D75FBF"/>
    <w:rsid w:val="00D75FC3"/>
    <w:rsid w:val="00D75FE8"/>
    <w:rsid w:val="00D76ED1"/>
    <w:rsid w:val="00D77474"/>
    <w:rsid w:val="00D77B63"/>
    <w:rsid w:val="00D80C0E"/>
    <w:rsid w:val="00D81149"/>
    <w:rsid w:val="00D812FB"/>
    <w:rsid w:val="00D816AC"/>
    <w:rsid w:val="00D81B7D"/>
    <w:rsid w:val="00D820DF"/>
    <w:rsid w:val="00D825DC"/>
    <w:rsid w:val="00D82608"/>
    <w:rsid w:val="00D8285C"/>
    <w:rsid w:val="00D82A0C"/>
    <w:rsid w:val="00D82CAF"/>
    <w:rsid w:val="00D82F85"/>
    <w:rsid w:val="00D8302C"/>
    <w:rsid w:val="00D8337B"/>
    <w:rsid w:val="00D83659"/>
    <w:rsid w:val="00D83894"/>
    <w:rsid w:val="00D83EE4"/>
    <w:rsid w:val="00D84813"/>
    <w:rsid w:val="00D84ABE"/>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14AF"/>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8C"/>
    <w:rsid w:val="00DA046C"/>
    <w:rsid w:val="00DA0CB6"/>
    <w:rsid w:val="00DA1257"/>
    <w:rsid w:val="00DA16F7"/>
    <w:rsid w:val="00DA1D08"/>
    <w:rsid w:val="00DA1DC8"/>
    <w:rsid w:val="00DA248B"/>
    <w:rsid w:val="00DA2754"/>
    <w:rsid w:val="00DA2BBD"/>
    <w:rsid w:val="00DA30F3"/>
    <w:rsid w:val="00DA3423"/>
    <w:rsid w:val="00DA3692"/>
    <w:rsid w:val="00DA3BB5"/>
    <w:rsid w:val="00DA3FC6"/>
    <w:rsid w:val="00DA4E24"/>
    <w:rsid w:val="00DA50AE"/>
    <w:rsid w:val="00DA55E3"/>
    <w:rsid w:val="00DA645F"/>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22E"/>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F1E"/>
    <w:rsid w:val="00DE01B6"/>
    <w:rsid w:val="00DE07AD"/>
    <w:rsid w:val="00DE0D4B"/>
    <w:rsid w:val="00DE1B1C"/>
    <w:rsid w:val="00DE29C0"/>
    <w:rsid w:val="00DE2EA5"/>
    <w:rsid w:val="00DE311C"/>
    <w:rsid w:val="00DE3E10"/>
    <w:rsid w:val="00DE40AA"/>
    <w:rsid w:val="00DE415F"/>
    <w:rsid w:val="00DE490B"/>
    <w:rsid w:val="00DE5B36"/>
    <w:rsid w:val="00DE6A6D"/>
    <w:rsid w:val="00DE6EDA"/>
    <w:rsid w:val="00DE76CC"/>
    <w:rsid w:val="00DE777D"/>
    <w:rsid w:val="00DE7BE2"/>
    <w:rsid w:val="00DE7F13"/>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EC4"/>
    <w:rsid w:val="00E01429"/>
    <w:rsid w:val="00E018D0"/>
    <w:rsid w:val="00E01DF6"/>
    <w:rsid w:val="00E01F1E"/>
    <w:rsid w:val="00E02BEA"/>
    <w:rsid w:val="00E02F63"/>
    <w:rsid w:val="00E03C26"/>
    <w:rsid w:val="00E03D8C"/>
    <w:rsid w:val="00E04783"/>
    <w:rsid w:val="00E04BBE"/>
    <w:rsid w:val="00E04CE7"/>
    <w:rsid w:val="00E052BE"/>
    <w:rsid w:val="00E0575F"/>
    <w:rsid w:val="00E05D98"/>
    <w:rsid w:val="00E0626C"/>
    <w:rsid w:val="00E06492"/>
    <w:rsid w:val="00E06764"/>
    <w:rsid w:val="00E06FF0"/>
    <w:rsid w:val="00E106B0"/>
    <w:rsid w:val="00E10C3C"/>
    <w:rsid w:val="00E10C88"/>
    <w:rsid w:val="00E11883"/>
    <w:rsid w:val="00E11FFF"/>
    <w:rsid w:val="00E12079"/>
    <w:rsid w:val="00E12904"/>
    <w:rsid w:val="00E12EE7"/>
    <w:rsid w:val="00E13285"/>
    <w:rsid w:val="00E1376B"/>
    <w:rsid w:val="00E138F3"/>
    <w:rsid w:val="00E13950"/>
    <w:rsid w:val="00E13978"/>
    <w:rsid w:val="00E13BCF"/>
    <w:rsid w:val="00E14CF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4A"/>
    <w:rsid w:val="00E23F3A"/>
    <w:rsid w:val="00E24967"/>
    <w:rsid w:val="00E24E0E"/>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AD"/>
    <w:rsid w:val="00E33B3E"/>
    <w:rsid w:val="00E33CD1"/>
    <w:rsid w:val="00E33F53"/>
    <w:rsid w:val="00E33F62"/>
    <w:rsid w:val="00E344C2"/>
    <w:rsid w:val="00E34999"/>
    <w:rsid w:val="00E349F9"/>
    <w:rsid w:val="00E34B1C"/>
    <w:rsid w:val="00E34B22"/>
    <w:rsid w:val="00E34C22"/>
    <w:rsid w:val="00E34ED4"/>
    <w:rsid w:val="00E3541C"/>
    <w:rsid w:val="00E359DD"/>
    <w:rsid w:val="00E35ED3"/>
    <w:rsid w:val="00E36B06"/>
    <w:rsid w:val="00E375B4"/>
    <w:rsid w:val="00E37645"/>
    <w:rsid w:val="00E37C02"/>
    <w:rsid w:val="00E4066C"/>
    <w:rsid w:val="00E40782"/>
    <w:rsid w:val="00E40ADC"/>
    <w:rsid w:val="00E41517"/>
    <w:rsid w:val="00E4164F"/>
    <w:rsid w:val="00E41FA5"/>
    <w:rsid w:val="00E42048"/>
    <w:rsid w:val="00E42AEB"/>
    <w:rsid w:val="00E42C34"/>
    <w:rsid w:val="00E42EA0"/>
    <w:rsid w:val="00E43A3A"/>
    <w:rsid w:val="00E44586"/>
    <w:rsid w:val="00E44748"/>
    <w:rsid w:val="00E44A20"/>
    <w:rsid w:val="00E4511E"/>
    <w:rsid w:val="00E45663"/>
    <w:rsid w:val="00E45EF1"/>
    <w:rsid w:val="00E46001"/>
    <w:rsid w:val="00E46126"/>
    <w:rsid w:val="00E46A36"/>
    <w:rsid w:val="00E46B36"/>
    <w:rsid w:val="00E46EE7"/>
    <w:rsid w:val="00E47E77"/>
    <w:rsid w:val="00E501E7"/>
    <w:rsid w:val="00E5020D"/>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28F0"/>
    <w:rsid w:val="00E72EE6"/>
    <w:rsid w:val="00E730AB"/>
    <w:rsid w:val="00E730D7"/>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5E3"/>
    <w:rsid w:val="00E807C9"/>
    <w:rsid w:val="00E810C1"/>
    <w:rsid w:val="00E81491"/>
    <w:rsid w:val="00E817DF"/>
    <w:rsid w:val="00E82150"/>
    <w:rsid w:val="00E8230D"/>
    <w:rsid w:val="00E8299C"/>
    <w:rsid w:val="00E82BC0"/>
    <w:rsid w:val="00E8344E"/>
    <w:rsid w:val="00E83645"/>
    <w:rsid w:val="00E83877"/>
    <w:rsid w:val="00E83C16"/>
    <w:rsid w:val="00E84203"/>
    <w:rsid w:val="00E84276"/>
    <w:rsid w:val="00E842FD"/>
    <w:rsid w:val="00E84ABC"/>
    <w:rsid w:val="00E84AD0"/>
    <w:rsid w:val="00E8500A"/>
    <w:rsid w:val="00E853C7"/>
    <w:rsid w:val="00E8573C"/>
    <w:rsid w:val="00E85817"/>
    <w:rsid w:val="00E85AF4"/>
    <w:rsid w:val="00E860B7"/>
    <w:rsid w:val="00E86157"/>
    <w:rsid w:val="00E864BF"/>
    <w:rsid w:val="00E86CEA"/>
    <w:rsid w:val="00E86CF9"/>
    <w:rsid w:val="00E86EE6"/>
    <w:rsid w:val="00E87015"/>
    <w:rsid w:val="00E87491"/>
    <w:rsid w:val="00E8791E"/>
    <w:rsid w:val="00E87F32"/>
    <w:rsid w:val="00E907A3"/>
    <w:rsid w:val="00E9082B"/>
    <w:rsid w:val="00E90D87"/>
    <w:rsid w:val="00E925D9"/>
    <w:rsid w:val="00E92F60"/>
    <w:rsid w:val="00E93233"/>
    <w:rsid w:val="00E935BA"/>
    <w:rsid w:val="00E93A7C"/>
    <w:rsid w:val="00E93DED"/>
    <w:rsid w:val="00E93E57"/>
    <w:rsid w:val="00E946A9"/>
    <w:rsid w:val="00E94CAC"/>
    <w:rsid w:val="00E9501E"/>
    <w:rsid w:val="00E951C2"/>
    <w:rsid w:val="00E958F0"/>
    <w:rsid w:val="00E95B80"/>
    <w:rsid w:val="00E96448"/>
    <w:rsid w:val="00E96596"/>
    <w:rsid w:val="00E969BD"/>
    <w:rsid w:val="00E96A72"/>
    <w:rsid w:val="00E96AD3"/>
    <w:rsid w:val="00E97266"/>
    <w:rsid w:val="00E978D6"/>
    <w:rsid w:val="00E978F0"/>
    <w:rsid w:val="00E97AC4"/>
    <w:rsid w:val="00EA0184"/>
    <w:rsid w:val="00EA0391"/>
    <w:rsid w:val="00EA0518"/>
    <w:rsid w:val="00EA0664"/>
    <w:rsid w:val="00EA0FFA"/>
    <w:rsid w:val="00EA1459"/>
    <w:rsid w:val="00EA2197"/>
    <w:rsid w:val="00EA2340"/>
    <w:rsid w:val="00EA26C8"/>
    <w:rsid w:val="00EA2724"/>
    <w:rsid w:val="00EA2E69"/>
    <w:rsid w:val="00EA301F"/>
    <w:rsid w:val="00EA3900"/>
    <w:rsid w:val="00EA44B5"/>
    <w:rsid w:val="00EA498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E66"/>
    <w:rsid w:val="00EB4209"/>
    <w:rsid w:val="00EB47DE"/>
    <w:rsid w:val="00EB4F07"/>
    <w:rsid w:val="00EB4F13"/>
    <w:rsid w:val="00EB554C"/>
    <w:rsid w:val="00EB55C6"/>
    <w:rsid w:val="00EB5939"/>
    <w:rsid w:val="00EB5CB3"/>
    <w:rsid w:val="00EB603D"/>
    <w:rsid w:val="00EB62E8"/>
    <w:rsid w:val="00EB6517"/>
    <w:rsid w:val="00EB6DED"/>
    <w:rsid w:val="00EB6EF7"/>
    <w:rsid w:val="00EB7053"/>
    <w:rsid w:val="00EB7175"/>
    <w:rsid w:val="00EB747A"/>
    <w:rsid w:val="00EB78C9"/>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6E1"/>
    <w:rsid w:val="00EC4881"/>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E7787"/>
    <w:rsid w:val="00EF0226"/>
    <w:rsid w:val="00EF03B4"/>
    <w:rsid w:val="00EF07FA"/>
    <w:rsid w:val="00EF089D"/>
    <w:rsid w:val="00EF0CB6"/>
    <w:rsid w:val="00EF0F1A"/>
    <w:rsid w:val="00EF11B6"/>
    <w:rsid w:val="00EF1472"/>
    <w:rsid w:val="00EF1584"/>
    <w:rsid w:val="00EF1688"/>
    <w:rsid w:val="00EF1A52"/>
    <w:rsid w:val="00EF1D64"/>
    <w:rsid w:val="00EF1E0F"/>
    <w:rsid w:val="00EF1FB7"/>
    <w:rsid w:val="00EF2556"/>
    <w:rsid w:val="00EF26D8"/>
    <w:rsid w:val="00EF2D6E"/>
    <w:rsid w:val="00EF368F"/>
    <w:rsid w:val="00EF371F"/>
    <w:rsid w:val="00EF3C90"/>
    <w:rsid w:val="00EF3C9E"/>
    <w:rsid w:val="00EF47E3"/>
    <w:rsid w:val="00EF4D08"/>
    <w:rsid w:val="00EF502B"/>
    <w:rsid w:val="00EF5291"/>
    <w:rsid w:val="00EF539B"/>
    <w:rsid w:val="00EF5CE8"/>
    <w:rsid w:val="00EF5E3C"/>
    <w:rsid w:val="00EF6263"/>
    <w:rsid w:val="00EF6395"/>
    <w:rsid w:val="00EF6595"/>
    <w:rsid w:val="00EF6825"/>
    <w:rsid w:val="00EF6929"/>
    <w:rsid w:val="00EF6EBE"/>
    <w:rsid w:val="00EF6F15"/>
    <w:rsid w:val="00EF7358"/>
    <w:rsid w:val="00F00345"/>
    <w:rsid w:val="00F00CF7"/>
    <w:rsid w:val="00F01853"/>
    <w:rsid w:val="00F02D2D"/>
    <w:rsid w:val="00F0314E"/>
    <w:rsid w:val="00F032F6"/>
    <w:rsid w:val="00F03410"/>
    <w:rsid w:val="00F047D7"/>
    <w:rsid w:val="00F049B9"/>
    <w:rsid w:val="00F052D6"/>
    <w:rsid w:val="00F0533E"/>
    <w:rsid w:val="00F05A78"/>
    <w:rsid w:val="00F05C1E"/>
    <w:rsid w:val="00F05D91"/>
    <w:rsid w:val="00F063A3"/>
    <w:rsid w:val="00F06E09"/>
    <w:rsid w:val="00F06E47"/>
    <w:rsid w:val="00F073BE"/>
    <w:rsid w:val="00F07541"/>
    <w:rsid w:val="00F075AC"/>
    <w:rsid w:val="00F07EEB"/>
    <w:rsid w:val="00F07EFF"/>
    <w:rsid w:val="00F101D6"/>
    <w:rsid w:val="00F102E1"/>
    <w:rsid w:val="00F103D4"/>
    <w:rsid w:val="00F10C2B"/>
    <w:rsid w:val="00F10CCB"/>
    <w:rsid w:val="00F1116C"/>
    <w:rsid w:val="00F114DE"/>
    <w:rsid w:val="00F11A6F"/>
    <w:rsid w:val="00F120EF"/>
    <w:rsid w:val="00F12153"/>
    <w:rsid w:val="00F121F5"/>
    <w:rsid w:val="00F128BE"/>
    <w:rsid w:val="00F12C6F"/>
    <w:rsid w:val="00F12E02"/>
    <w:rsid w:val="00F12EF9"/>
    <w:rsid w:val="00F1378A"/>
    <w:rsid w:val="00F1383A"/>
    <w:rsid w:val="00F14009"/>
    <w:rsid w:val="00F14175"/>
    <w:rsid w:val="00F14439"/>
    <w:rsid w:val="00F14456"/>
    <w:rsid w:val="00F1459D"/>
    <w:rsid w:val="00F14EC9"/>
    <w:rsid w:val="00F156C1"/>
    <w:rsid w:val="00F165B4"/>
    <w:rsid w:val="00F16967"/>
    <w:rsid w:val="00F17124"/>
    <w:rsid w:val="00F2090F"/>
    <w:rsid w:val="00F20D5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C37"/>
    <w:rsid w:val="00F31045"/>
    <w:rsid w:val="00F31073"/>
    <w:rsid w:val="00F31E5C"/>
    <w:rsid w:val="00F31F26"/>
    <w:rsid w:val="00F3229A"/>
    <w:rsid w:val="00F32A15"/>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23E7"/>
    <w:rsid w:val="00F42882"/>
    <w:rsid w:val="00F42DE8"/>
    <w:rsid w:val="00F43098"/>
    <w:rsid w:val="00F435CB"/>
    <w:rsid w:val="00F439F4"/>
    <w:rsid w:val="00F43A6F"/>
    <w:rsid w:val="00F44100"/>
    <w:rsid w:val="00F443A6"/>
    <w:rsid w:val="00F4459B"/>
    <w:rsid w:val="00F44B75"/>
    <w:rsid w:val="00F45A56"/>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375C"/>
    <w:rsid w:val="00F63C10"/>
    <w:rsid w:val="00F64726"/>
    <w:rsid w:val="00F65927"/>
    <w:rsid w:val="00F65A0B"/>
    <w:rsid w:val="00F65C21"/>
    <w:rsid w:val="00F66073"/>
    <w:rsid w:val="00F66512"/>
    <w:rsid w:val="00F6681D"/>
    <w:rsid w:val="00F66BB5"/>
    <w:rsid w:val="00F66C8C"/>
    <w:rsid w:val="00F66EE8"/>
    <w:rsid w:val="00F670CB"/>
    <w:rsid w:val="00F67769"/>
    <w:rsid w:val="00F67A1B"/>
    <w:rsid w:val="00F67C58"/>
    <w:rsid w:val="00F67E0C"/>
    <w:rsid w:val="00F703B4"/>
    <w:rsid w:val="00F70769"/>
    <w:rsid w:val="00F713FB"/>
    <w:rsid w:val="00F72061"/>
    <w:rsid w:val="00F72AFF"/>
    <w:rsid w:val="00F72D07"/>
    <w:rsid w:val="00F72EB6"/>
    <w:rsid w:val="00F73295"/>
    <w:rsid w:val="00F737BE"/>
    <w:rsid w:val="00F73C19"/>
    <w:rsid w:val="00F744C0"/>
    <w:rsid w:val="00F7463A"/>
    <w:rsid w:val="00F74ED5"/>
    <w:rsid w:val="00F7514E"/>
    <w:rsid w:val="00F75329"/>
    <w:rsid w:val="00F755ED"/>
    <w:rsid w:val="00F75811"/>
    <w:rsid w:val="00F75B88"/>
    <w:rsid w:val="00F76DC8"/>
    <w:rsid w:val="00F7733A"/>
    <w:rsid w:val="00F774ED"/>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4E"/>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C3F"/>
    <w:rsid w:val="00F95D85"/>
    <w:rsid w:val="00F9600A"/>
    <w:rsid w:val="00F96101"/>
    <w:rsid w:val="00F961AE"/>
    <w:rsid w:val="00F96635"/>
    <w:rsid w:val="00F966B6"/>
    <w:rsid w:val="00F96B01"/>
    <w:rsid w:val="00F9744D"/>
    <w:rsid w:val="00F977D2"/>
    <w:rsid w:val="00FA06F5"/>
    <w:rsid w:val="00FA07EC"/>
    <w:rsid w:val="00FA1045"/>
    <w:rsid w:val="00FA1980"/>
    <w:rsid w:val="00FA1A03"/>
    <w:rsid w:val="00FA1B0D"/>
    <w:rsid w:val="00FA1B76"/>
    <w:rsid w:val="00FA1C10"/>
    <w:rsid w:val="00FA2458"/>
    <w:rsid w:val="00FA273F"/>
    <w:rsid w:val="00FA277F"/>
    <w:rsid w:val="00FA2AF3"/>
    <w:rsid w:val="00FA2B3B"/>
    <w:rsid w:val="00FA2CE4"/>
    <w:rsid w:val="00FA30AF"/>
    <w:rsid w:val="00FA3AA6"/>
    <w:rsid w:val="00FA40BE"/>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32AB"/>
    <w:rsid w:val="00FC34E5"/>
    <w:rsid w:val="00FC3FC7"/>
    <w:rsid w:val="00FC4351"/>
    <w:rsid w:val="00FC438B"/>
    <w:rsid w:val="00FC44DF"/>
    <w:rsid w:val="00FC453D"/>
    <w:rsid w:val="00FC46C9"/>
    <w:rsid w:val="00FC4D35"/>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838"/>
    <w:rsid w:val="00FE192C"/>
    <w:rsid w:val="00FE1CA7"/>
    <w:rsid w:val="00FE1F45"/>
    <w:rsid w:val="00FE1F64"/>
    <w:rsid w:val="00FE2372"/>
    <w:rsid w:val="00FE3553"/>
    <w:rsid w:val="00FE4356"/>
    <w:rsid w:val="00FE4757"/>
    <w:rsid w:val="00FE4C70"/>
    <w:rsid w:val="00FE5BF3"/>
    <w:rsid w:val="00FE5D3C"/>
    <w:rsid w:val="00FE5D61"/>
    <w:rsid w:val="00FE5F1D"/>
    <w:rsid w:val="00FE5FC8"/>
    <w:rsid w:val="00FE725C"/>
    <w:rsid w:val="00FE76AB"/>
    <w:rsid w:val="00FE7821"/>
    <w:rsid w:val="00FE7C86"/>
    <w:rsid w:val="00FF0A80"/>
    <w:rsid w:val="00FF0B12"/>
    <w:rsid w:val="00FF0E05"/>
    <w:rsid w:val="00FF0EE6"/>
    <w:rsid w:val="00FF20A5"/>
    <w:rsid w:val="00FF21D7"/>
    <w:rsid w:val="00FF2BBB"/>
    <w:rsid w:val="00FF2CB1"/>
    <w:rsid w:val="00FF2CBC"/>
    <w:rsid w:val="00FF3811"/>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08337879"/>
    <w:rsid w:val="42F01CDE"/>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qFormat="1"/>
    <w:lsdException w:name="header" w:semiHidden="0" w:uiPriority="0" w:unhideWhenUsed="0" w:qFormat="1"/>
    <w:lsdException w:name="footer" w:semiHidden="0" w:unhideWhenUsed="0" w:qFormat="1"/>
    <w:lsdException w:name="caption" w:semiHidden="0" w:uiPriority="0" w:unhideWhenUsed="0" w:qFormat="1"/>
    <w:lsdException w:name="annotation reference" w:semiHidden="0" w:uiPriority="0" w:unhideWhenUsed="0"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Date" w:semiHidden="0" w:uiPriority="0"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Web)" w:semiHidden="0" w:unhideWhenUsed="0" w:qFormat="1"/>
    <w:lsdException w:name="annotation subject" w:semiHidden="0" w:uiPriority="0" w:unhideWhenUsed="0" w:qFormat="1"/>
    <w:lsdException w:name="Balloon Text" w:semiHidden="0" w:uiPriority="0"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Pr>
      <w:rFonts w:ascii="Cambria" w:eastAsia="黑体" w:hAnsi="Cambria"/>
      <w:sz w:val="20"/>
      <w:szCs w:val="20"/>
    </w:rPr>
  </w:style>
  <w:style w:type="paragraph" w:styleId="a4">
    <w:name w:val="annotation text"/>
    <w:basedOn w:val="a"/>
    <w:link w:val="Char"/>
    <w:qFormat/>
    <w:pPr>
      <w:jc w:val="left"/>
    </w:pPr>
    <w:rPr>
      <w:rFonts w:ascii="Times New Roman" w:hAnsi="Times New Roman"/>
    </w:rPr>
  </w:style>
  <w:style w:type="paragraph" w:styleId="a5">
    <w:name w:val="Date"/>
    <w:basedOn w:val="a"/>
    <w:next w:val="a"/>
    <w:link w:val="Char0"/>
    <w:qFormat/>
    <w:pPr>
      <w:ind w:leftChars="2500" w:left="100"/>
    </w:pPr>
    <w:rPr>
      <w:rFonts w:ascii="Times New Roman" w:hAnsi="Times New Roman"/>
    </w:rPr>
  </w:style>
  <w:style w:type="paragraph" w:styleId="a6">
    <w:name w:val="Balloon Text"/>
    <w:basedOn w:val="a"/>
    <w:link w:val="Char1"/>
    <w:qFormat/>
    <w:rPr>
      <w:rFonts w:ascii="Times New Roman" w:hAnsi="Times New Roman"/>
      <w:sz w:val="18"/>
      <w:szCs w:val="18"/>
    </w:rPr>
  </w:style>
  <w:style w:type="paragraph" w:styleId="a7">
    <w:name w:val="footer"/>
    <w:basedOn w:val="a"/>
    <w:link w:val="Char2"/>
    <w:uiPriority w:val="99"/>
    <w:qFormat/>
    <w:pPr>
      <w:tabs>
        <w:tab w:val="center" w:pos="4153"/>
        <w:tab w:val="right" w:pos="8306"/>
      </w:tabs>
      <w:snapToGrid w:val="0"/>
      <w:jc w:val="left"/>
    </w:pPr>
    <w:rPr>
      <w:rFonts w:ascii="Times New Roman" w:hAnsi="Times New Roman"/>
      <w:sz w:val="18"/>
      <w:szCs w:val="18"/>
    </w:rPr>
  </w:style>
  <w:style w:type="paragraph" w:styleId="a8">
    <w:name w:val="header"/>
    <w:basedOn w:val="a"/>
    <w:link w:val="Char3"/>
    <w:qFormat/>
    <w:pPr>
      <w:pBdr>
        <w:bottom w:val="single" w:sz="6" w:space="1" w:color="auto"/>
      </w:pBdr>
      <w:tabs>
        <w:tab w:val="center" w:pos="4153"/>
        <w:tab w:val="right" w:pos="8306"/>
      </w:tabs>
      <w:snapToGrid w:val="0"/>
      <w:jc w:val="center"/>
    </w:pPr>
    <w:rPr>
      <w:rFonts w:ascii="Times New Roman" w:hAnsi="Times New Roman"/>
      <w:sz w:val="18"/>
      <w:szCs w:val="18"/>
    </w:rPr>
  </w:style>
  <w:style w:type="paragraph" w:styleId="a9">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paragraph" w:styleId="aa">
    <w:name w:val="annotation subject"/>
    <w:basedOn w:val="a4"/>
    <w:next w:val="a4"/>
    <w:link w:val="Char4"/>
    <w:qFormat/>
    <w:rPr>
      <w:b/>
      <w:bCs/>
    </w:rPr>
  </w:style>
  <w:style w:type="table" w:styleId="ab">
    <w:name w:val="Table Grid"/>
    <w:basedOn w:val="a1"/>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Strong"/>
    <w:uiPriority w:val="22"/>
    <w:qFormat/>
    <w:rPr>
      <w:rFonts w:ascii="Times New Roman" w:eastAsia="宋体" w:hAnsi="Times New Roman" w:cs="Times New Roman"/>
      <w:b/>
      <w:bCs/>
    </w:rPr>
  </w:style>
  <w:style w:type="character" w:styleId="ad">
    <w:name w:val="page number"/>
    <w:qFormat/>
    <w:rPr>
      <w:rFonts w:ascii="Times New Roman" w:eastAsia="宋体" w:hAnsi="Times New Roman" w:cs="Times New Roman"/>
    </w:rPr>
  </w:style>
  <w:style w:type="character" w:styleId="ae">
    <w:name w:val="Emphasis"/>
    <w:uiPriority w:val="20"/>
    <w:qFormat/>
    <w:rPr>
      <w:rFonts w:ascii="Times New Roman" w:eastAsia="宋体" w:hAnsi="Times New Roman" w:cs="Times New Roman"/>
      <w:i/>
      <w:iCs/>
    </w:rPr>
  </w:style>
  <w:style w:type="character" w:styleId="af">
    <w:name w:val="Hyperlink"/>
    <w:qFormat/>
    <w:rPr>
      <w:rFonts w:ascii="Times New Roman" w:eastAsia="宋体" w:hAnsi="Times New Roman" w:cs="Times New Roman"/>
      <w:color w:val="0000FF"/>
      <w:u w:val="single"/>
    </w:rPr>
  </w:style>
  <w:style w:type="character" w:styleId="af0">
    <w:name w:val="annotation reference"/>
    <w:qFormat/>
    <w:rPr>
      <w:rFonts w:ascii="Times New Roman" w:eastAsia="宋体" w:hAnsi="Times New Roman" w:cs="Times New Roman"/>
      <w:sz w:val="21"/>
      <w:szCs w:val="21"/>
    </w:rPr>
  </w:style>
  <w:style w:type="character" w:customStyle="1" w:styleId="Char3">
    <w:name w:val="页眉 Char"/>
    <w:link w:val="a8"/>
    <w:rPr>
      <w:rFonts w:ascii="Times New Roman" w:eastAsia="宋体" w:hAnsi="Times New Roman" w:cs="Times New Roman"/>
      <w:sz w:val="18"/>
      <w:szCs w:val="18"/>
    </w:rPr>
  </w:style>
  <w:style w:type="character" w:customStyle="1" w:styleId="Char2">
    <w:name w:val="页脚 Char"/>
    <w:link w:val="a7"/>
    <w:uiPriority w:val="99"/>
    <w:qFormat/>
    <w:rPr>
      <w:rFonts w:ascii="Times New Roman" w:eastAsia="宋体" w:hAnsi="Times New Roman" w:cs="Times New Roman"/>
      <w:sz w:val="18"/>
      <w:szCs w:val="18"/>
    </w:rPr>
  </w:style>
  <w:style w:type="character" w:customStyle="1" w:styleId="Char1">
    <w:name w:val="批注框文本 Char"/>
    <w:link w:val="a6"/>
    <w:qFormat/>
    <w:rPr>
      <w:rFonts w:ascii="Times New Roman" w:eastAsia="宋体" w:hAnsi="Times New Roman" w:cs="Times New Roman"/>
      <w:sz w:val="18"/>
      <w:szCs w:val="18"/>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1">
    <w:name w:val="列表段落1"/>
    <w:basedOn w:val="a"/>
    <w:qFormat/>
    <w:pPr>
      <w:ind w:firstLineChars="200" w:firstLine="420"/>
    </w:pPr>
    <w:rPr>
      <w:rFonts w:ascii="Times New Roman" w:hAnsi="Times New Roman"/>
    </w:rPr>
  </w:style>
  <w:style w:type="character" w:customStyle="1" w:styleId="Char">
    <w:name w:val="批注文字 Char"/>
    <w:link w:val="a4"/>
    <w:qFormat/>
    <w:rPr>
      <w:rFonts w:ascii="Calibri" w:eastAsia="宋体" w:hAnsi="Calibri" w:cs="Times New Roman"/>
      <w:kern w:val="2"/>
      <w:sz w:val="21"/>
      <w:szCs w:val="22"/>
    </w:rPr>
  </w:style>
  <w:style w:type="character" w:customStyle="1" w:styleId="Char4">
    <w:name w:val="批注主题 Char"/>
    <w:link w:val="aa"/>
    <w:qFormat/>
    <w:rPr>
      <w:rFonts w:ascii="Calibri" w:eastAsia="宋体" w:hAnsi="Calibri" w:cs="Times New Roman"/>
      <w:b/>
      <w:bCs/>
      <w:kern w:val="2"/>
      <w:sz w:val="21"/>
      <w:szCs w:val="22"/>
    </w:rPr>
  </w:style>
  <w:style w:type="paragraph" w:customStyle="1" w:styleId="10">
    <w:name w:val="列出段落1"/>
    <w:basedOn w:val="a"/>
    <w:qFormat/>
    <w:pPr>
      <w:ind w:firstLineChars="200" w:firstLine="420"/>
    </w:pPr>
    <w:rPr>
      <w:rFonts w:ascii="Times New Roman" w:hAnsi="Times New Roman"/>
    </w:rPr>
  </w:style>
  <w:style w:type="character" w:customStyle="1" w:styleId="Char0">
    <w:name w:val="日期 Char"/>
    <w:link w:val="a5"/>
    <w:qFormat/>
    <w:rPr>
      <w:rFonts w:ascii="Calibri" w:eastAsia="宋体" w:hAnsi="Calibri" w:cs="Times New Roman"/>
      <w:kern w:val="2"/>
      <w:sz w:val="21"/>
      <w:szCs w:val="22"/>
    </w:rPr>
  </w:style>
  <w:style w:type="character" w:customStyle="1" w:styleId="apple-converted-space">
    <w:name w:val="apple-converted-space"/>
    <w:qFormat/>
  </w:style>
  <w:style w:type="paragraph" w:customStyle="1" w:styleId="ChartHeading">
    <w:name w:val="Chart Heading"/>
    <w:basedOn w:val="a"/>
    <w:link w:val="ChartHeadingChar"/>
    <w:qFormat/>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qFormat/>
    <w:rPr>
      <w:rFonts w:ascii="Arial Narrow" w:eastAsia="华文楷体" w:hAnsi="Arial Narrow"/>
      <w:b/>
    </w:rPr>
  </w:style>
  <w:style w:type="paragraph" w:customStyle="1" w:styleId="Source">
    <w:name w:val="Source"/>
    <w:basedOn w:val="a"/>
    <w:link w:val="Source1"/>
    <w:qFormat/>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qFormat/>
    <w:rPr>
      <w:rFonts w:ascii="Arial Narrow" w:eastAsia="华文楷体" w:hAnsi="Arial Narrow"/>
      <w:i/>
      <w:kern w:val="2"/>
      <w:sz w:val="16"/>
      <w:szCs w:val="24"/>
    </w:rPr>
  </w:style>
  <w:style w:type="paragraph" w:customStyle="1" w:styleId="Header1">
    <w:name w:val="Header1"/>
    <w:basedOn w:val="a"/>
    <w:link w:val="Header1Char"/>
    <w:qFormat/>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qFormat/>
    <w:rPr>
      <w:rFonts w:ascii="Arial Bold" w:eastAsia="华文楷体" w:hAnsi="Arial Bold"/>
      <w:b/>
      <w:smallCaps/>
      <w:color w:val="A7001D"/>
      <w:sz w:val="32"/>
    </w:rPr>
  </w:style>
  <w:style w:type="paragraph" w:customStyle="1" w:styleId="Header2">
    <w:name w:val="Header 2"/>
    <w:basedOn w:val="a"/>
    <w:link w:val="Header20"/>
    <w:qFormat/>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qFormat/>
    <w:locked/>
    <w:rPr>
      <w:rFonts w:ascii="Arial" w:eastAsia="华文楷体" w:hAnsi="Arial"/>
      <w:b/>
      <w:bCs/>
      <w:sz w:val="24"/>
      <w:u w:color="003300"/>
      <w:lang w:eastAsia="zh-TW"/>
    </w:rPr>
  </w:style>
  <w:style w:type="paragraph" w:customStyle="1" w:styleId="Body-text">
    <w:name w:val="Body-text"/>
    <w:basedOn w:val="a"/>
    <w:link w:val="Body-textChar"/>
    <w:qFormat/>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Pr>
      <w:rFonts w:ascii="Arial Narrow" w:eastAsia="华文楷体" w:hAnsi="Arial Narrow"/>
      <w:lang w:eastAsia="zh-TW"/>
    </w:rPr>
  </w:style>
  <w:style w:type="paragraph" w:customStyle="1" w:styleId="p-text">
    <w:name w:val="p-text"/>
    <w:basedOn w:val="a"/>
    <w:qFormat/>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qFormat/>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qFormat/>
  </w:style>
  <w:style w:type="character" w:customStyle="1" w:styleId="mark">
    <w:name w:val="mark"/>
    <w:basedOn w:val="a0"/>
    <w:qFormat/>
  </w:style>
  <w:style w:type="paragraph" w:styleId="af1">
    <w:name w:val="List Paragraph"/>
    <w:basedOn w:val="a"/>
    <w:uiPriority w:val="34"/>
    <w:qFormat/>
    <w:pPr>
      <w:widowControl/>
      <w:spacing w:afterLines="100" w:after="100"/>
      <w:ind w:firstLineChars="200" w:firstLine="420"/>
    </w:pPr>
    <w:rPr>
      <w:rFonts w:ascii="仿宋" w:eastAsia="仿宋" w:hAnsi="仿宋" w:cstheme="minorBidi"/>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qFormat="1"/>
    <w:lsdException w:name="header" w:semiHidden="0" w:uiPriority="0" w:unhideWhenUsed="0" w:qFormat="1"/>
    <w:lsdException w:name="footer" w:semiHidden="0" w:unhideWhenUsed="0" w:qFormat="1"/>
    <w:lsdException w:name="caption" w:semiHidden="0" w:uiPriority="0" w:unhideWhenUsed="0" w:qFormat="1"/>
    <w:lsdException w:name="annotation reference" w:semiHidden="0" w:uiPriority="0" w:unhideWhenUsed="0"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Date" w:semiHidden="0" w:uiPriority="0"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Web)" w:semiHidden="0" w:unhideWhenUsed="0" w:qFormat="1"/>
    <w:lsdException w:name="annotation subject" w:semiHidden="0" w:uiPriority="0" w:unhideWhenUsed="0" w:qFormat="1"/>
    <w:lsdException w:name="Balloon Text" w:semiHidden="0" w:uiPriority="0" w:unhideWhenUsed="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Pr>
      <w:rFonts w:ascii="Cambria" w:eastAsia="黑体" w:hAnsi="Cambria"/>
      <w:sz w:val="20"/>
      <w:szCs w:val="20"/>
    </w:rPr>
  </w:style>
  <w:style w:type="paragraph" w:styleId="a4">
    <w:name w:val="annotation text"/>
    <w:basedOn w:val="a"/>
    <w:link w:val="Char"/>
    <w:qFormat/>
    <w:pPr>
      <w:jc w:val="left"/>
    </w:pPr>
    <w:rPr>
      <w:rFonts w:ascii="Times New Roman" w:hAnsi="Times New Roman"/>
    </w:rPr>
  </w:style>
  <w:style w:type="paragraph" w:styleId="a5">
    <w:name w:val="Date"/>
    <w:basedOn w:val="a"/>
    <w:next w:val="a"/>
    <w:link w:val="Char0"/>
    <w:qFormat/>
    <w:pPr>
      <w:ind w:leftChars="2500" w:left="100"/>
    </w:pPr>
    <w:rPr>
      <w:rFonts w:ascii="Times New Roman" w:hAnsi="Times New Roman"/>
    </w:rPr>
  </w:style>
  <w:style w:type="paragraph" w:styleId="a6">
    <w:name w:val="Balloon Text"/>
    <w:basedOn w:val="a"/>
    <w:link w:val="Char1"/>
    <w:qFormat/>
    <w:rPr>
      <w:rFonts w:ascii="Times New Roman" w:hAnsi="Times New Roman"/>
      <w:sz w:val="18"/>
      <w:szCs w:val="18"/>
    </w:rPr>
  </w:style>
  <w:style w:type="paragraph" w:styleId="a7">
    <w:name w:val="footer"/>
    <w:basedOn w:val="a"/>
    <w:link w:val="Char2"/>
    <w:uiPriority w:val="99"/>
    <w:qFormat/>
    <w:pPr>
      <w:tabs>
        <w:tab w:val="center" w:pos="4153"/>
        <w:tab w:val="right" w:pos="8306"/>
      </w:tabs>
      <w:snapToGrid w:val="0"/>
      <w:jc w:val="left"/>
    </w:pPr>
    <w:rPr>
      <w:rFonts w:ascii="Times New Roman" w:hAnsi="Times New Roman"/>
      <w:sz w:val="18"/>
      <w:szCs w:val="18"/>
    </w:rPr>
  </w:style>
  <w:style w:type="paragraph" w:styleId="a8">
    <w:name w:val="header"/>
    <w:basedOn w:val="a"/>
    <w:link w:val="Char3"/>
    <w:qFormat/>
    <w:pPr>
      <w:pBdr>
        <w:bottom w:val="single" w:sz="6" w:space="1" w:color="auto"/>
      </w:pBdr>
      <w:tabs>
        <w:tab w:val="center" w:pos="4153"/>
        <w:tab w:val="right" w:pos="8306"/>
      </w:tabs>
      <w:snapToGrid w:val="0"/>
      <w:jc w:val="center"/>
    </w:pPr>
    <w:rPr>
      <w:rFonts w:ascii="Times New Roman" w:hAnsi="Times New Roman"/>
      <w:sz w:val="18"/>
      <w:szCs w:val="18"/>
    </w:rPr>
  </w:style>
  <w:style w:type="paragraph" w:styleId="a9">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paragraph" w:styleId="aa">
    <w:name w:val="annotation subject"/>
    <w:basedOn w:val="a4"/>
    <w:next w:val="a4"/>
    <w:link w:val="Char4"/>
    <w:qFormat/>
    <w:rPr>
      <w:b/>
      <w:bCs/>
    </w:rPr>
  </w:style>
  <w:style w:type="table" w:styleId="ab">
    <w:name w:val="Table Grid"/>
    <w:basedOn w:val="a1"/>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Strong"/>
    <w:uiPriority w:val="22"/>
    <w:qFormat/>
    <w:rPr>
      <w:rFonts w:ascii="Times New Roman" w:eastAsia="宋体" w:hAnsi="Times New Roman" w:cs="Times New Roman"/>
      <w:b/>
      <w:bCs/>
    </w:rPr>
  </w:style>
  <w:style w:type="character" w:styleId="ad">
    <w:name w:val="page number"/>
    <w:qFormat/>
    <w:rPr>
      <w:rFonts w:ascii="Times New Roman" w:eastAsia="宋体" w:hAnsi="Times New Roman" w:cs="Times New Roman"/>
    </w:rPr>
  </w:style>
  <w:style w:type="character" w:styleId="ae">
    <w:name w:val="Emphasis"/>
    <w:uiPriority w:val="20"/>
    <w:qFormat/>
    <w:rPr>
      <w:rFonts w:ascii="Times New Roman" w:eastAsia="宋体" w:hAnsi="Times New Roman" w:cs="Times New Roman"/>
      <w:i/>
      <w:iCs/>
    </w:rPr>
  </w:style>
  <w:style w:type="character" w:styleId="af">
    <w:name w:val="Hyperlink"/>
    <w:qFormat/>
    <w:rPr>
      <w:rFonts w:ascii="Times New Roman" w:eastAsia="宋体" w:hAnsi="Times New Roman" w:cs="Times New Roman"/>
      <w:color w:val="0000FF"/>
      <w:u w:val="single"/>
    </w:rPr>
  </w:style>
  <w:style w:type="character" w:styleId="af0">
    <w:name w:val="annotation reference"/>
    <w:qFormat/>
    <w:rPr>
      <w:rFonts w:ascii="Times New Roman" w:eastAsia="宋体" w:hAnsi="Times New Roman" w:cs="Times New Roman"/>
      <w:sz w:val="21"/>
      <w:szCs w:val="21"/>
    </w:rPr>
  </w:style>
  <w:style w:type="character" w:customStyle="1" w:styleId="Char3">
    <w:name w:val="页眉 Char"/>
    <w:link w:val="a8"/>
    <w:rPr>
      <w:rFonts w:ascii="Times New Roman" w:eastAsia="宋体" w:hAnsi="Times New Roman" w:cs="Times New Roman"/>
      <w:sz w:val="18"/>
      <w:szCs w:val="18"/>
    </w:rPr>
  </w:style>
  <w:style w:type="character" w:customStyle="1" w:styleId="Char2">
    <w:name w:val="页脚 Char"/>
    <w:link w:val="a7"/>
    <w:uiPriority w:val="99"/>
    <w:qFormat/>
    <w:rPr>
      <w:rFonts w:ascii="Times New Roman" w:eastAsia="宋体" w:hAnsi="Times New Roman" w:cs="Times New Roman"/>
      <w:sz w:val="18"/>
      <w:szCs w:val="18"/>
    </w:rPr>
  </w:style>
  <w:style w:type="character" w:customStyle="1" w:styleId="Char1">
    <w:name w:val="批注框文本 Char"/>
    <w:link w:val="a6"/>
    <w:qFormat/>
    <w:rPr>
      <w:rFonts w:ascii="Times New Roman" w:eastAsia="宋体" w:hAnsi="Times New Roman" w:cs="Times New Roman"/>
      <w:sz w:val="18"/>
      <w:szCs w:val="18"/>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1">
    <w:name w:val="列表段落1"/>
    <w:basedOn w:val="a"/>
    <w:qFormat/>
    <w:pPr>
      <w:ind w:firstLineChars="200" w:firstLine="420"/>
    </w:pPr>
    <w:rPr>
      <w:rFonts w:ascii="Times New Roman" w:hAnsi="Times New Roman"/>
    </w:rPr>
  </w:style>
  <w:style w:type="character" w:customStyle="1" w:styleId="Char">
    <w:name w:val="批注文字 Char"/>
    <w:link w:val="a4"/>
    <w:qFormat/>
    <w:rPr>
      <w:rFonts w:ascii="Calibri" w:eastAsia="宋体" w:hAnsi="Calibri" w:cs="Times New Roman"/>
      <w:kern w:val="2"/>
      <w:sz w:val="21"/>
      <w:szCs w:val="22"/>
    </w:rPr>
  </w:style>
  <w:style w:type="character" w:customStyle="1" w:styleId="Char4">
    <w:name w:val="批注主题 Char"/>
    <w:link w:val="aa"/>
    <w:qFormat/>
    <w:rPr>
      <w:rFonts w:ascii="Calibri" w:eastAsia="宋体" w:hAnsi="Calibri" w:cs="Times New Roman"/>
      <w:b/>
      <w:bCs/>
      <w:kern w:val="2"/>
      <w:sz w:val="21"/>
      <w:szCs w:val="22"/>
    </w:rPr>
  </w:style>
  <w:style w:type="paragraph" w:customStyle="1" w:styleId="10">
    <w:name w:val="列出段落1"/>
    <w:basedOn w:val="a"/>
    <w:qFormat/>
    <w:pPr>
      <w:ind w:firstLineChars="200" w:firstLine="420"/>
    </w:pPr>
    <w:rPr>
      <w:rFonts w:ascii="Times New Roman" w:hAnsi="Times New Roman"/>
    </w:rPr>
  </w:style>
  <w:style w:type="character" w:customStyle="1" w:styleId="Char0">
    <w:name w:val="日期 Char"/>
    <w:link w:val="a5"/>
    <w:qFormat/>
    <w:rPr>
      <w:rFonts w:ascii="Calibri" w:eastAsia="宋体" w:hAnsi="Calibri" w:cs="Times New Roman"/>
      <w:kern w:val="2"/>
      <w:sz w:val="21"/>
      <w:szCs w:val="22"/>
    </w:rPr>
  </w:style>
  <w:style w:type="character" w:customStyle="1" w:styleId="apple-converted-space">
    <w:name w:val="apple-converted-space"/>
    <w:qFormat/>
  </w:style>
  <w:style w:type="paragraph" w:customStyle="1" w:styleId="ChartHeading">
    <w:name w:val="Chart Heading"/>
    <w:basedOn w:val="a"/>
    <w:link w:val="ChartHeadingChar"/>
    <w:qFormat/>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qFormat/>
    <w:rPr>
      <w:rFonts w:ascii="Arial Narrow" w:eastAsia="华文楷体" w:hAnsi="Arial Narrow"/>
      <w:b/>
    </w:rPr>
  </w:style>
  <w:style w:type="paragraph" w:customStyle="1" w:styleId="Source">
    <w:name w:val="Source"/>
    <w:basedOn w:val="a"/>
    <w:link w:val="Source1"/>
    <w:qFormat/>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qFormat/>
    <w:rPr>
      <w:rFonts w:ascii="Arial Narrow" w:eastAsia="华文楷体" w:hAnsi="Arial Narrow"/>
      <w:i/>
      <w:kern w:val="2"/>
      <w:sz w:val="16"/>
      <w:szCs w:val="24"/>
    </w:rPr>
  </w:style>
  <w:style w:type="paragraph" w:customStyle="1" w:styleId="Header1">
    <w:name w:val="Header1"/>
    <w:basedOn w:val="a"/>
    <w:link w:val="Header1Char"/>
    <w:qFormat/>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qFormat/>
    <w:rPr>
      <w:rFonts w:ascii="Arial Bold" w:eastAsia="华文楷体" w:hAnsi="Arial Bold"/>
      <w:b/>
      <w:smallCaps/>
      <w:color w:val="A7001D"/>
      <w:sz w:val="32"/>
    </w:rPr>
  </w:style>
  <w:style w:type="paragraph" w:customStyle="1" w:styleId="Header2">
    <w:name w:val="Header 2"/>
    <w:basedOn w:val="a"/>
    <w:link w:val="Header20"/>
    <w:qFormat/>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qFormat/>
    <w:locked/>
    <w:rPr>
      <w:rFonts w:ascii="Arial" w:eastAsia="华文楷体" w:hAnsi="Arial"/>
      <w:b/>
      <w:bCs/>
      <w:sz w:val="24"/>
      <w:u w:color="003300"/>
      <w:lang w:eastAsia="zh-TW"/>
    </w:rPr>
  </w:style>
  <w:style w:type="paragraph" w:customStyle="1" w:styleId="Body-text">
    <w:name w:val="Body-text"/>
    <w:basedOn w:val="a"/>
    <w:link w:val="Body-textChar"/>
    <w:qFormat/>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Pr>
      <w:rFonts w:ascii="Arial Narrow" w:eastAsia="华文楷体" w:hAnsi="Arial Narrow"/>
      <w:lang w:eastAsia="zh-TW"/>
    </w:rPr>
  </w:style>
  <w:style w:type="paragraph" w:customStyle="1" w:styleId="p-text">
    <w:name w:val="p-text"/>
    <w:basedOn w:val="a"/>
    <w:qFormat/>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qFormat/>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qFormat/>
  </w:style>
  <w:style w:type="character" w:customStyle="1" w:styleId="mark">
    <w:name w:val="mark"/>
    <w:basedOn w:val="a0"/>
    <w:qFormat/>
  </w:style>
  <w:style w:type="paragraph" w:styleId="af1">
    <w:name w:val="List Paragraph"/>
    <w:basedOn w:val="a"/>
    <w:uiPriority w:val="34"/>
    <w:qFormat/>
    <w:pPr>
      <w:widowControl/>
      <w:spacing w:afterLines="100" w:after="100"/>
      <w:ind w:firstLineChars="200" w:firstLine="420"/>
    </w:pPr>
    <w:rPr>
      <w:rFonts w:ascii="仿宋" w:eastAsia="仿宋" w:hAnsi="仿宋" w:cstheme="minorBidi"/>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4.xml"/><Relationship Id="rId18" Type="http://schemas.openxmlformats.org/officeDocument/2006/relationships/chart" Target="charts/chart8.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chart" Target="charts/chart3.xml"/><Relationship Id="rId17" Type="http://schemas.openxmlformats.org/officeDocument/2006/relationships/chart" Target="charts/chart7.xml"/><Relationship Id="rId2" Type="http://schemas.openxmlformats.org/officeDocument/2006/relationships/customXml" Target="../customXml/item2.xml"/><Relationship Id="rId16" Type="http://schemas.openxmlformats.org/officeDocument/2006/relationships/chart" Target="charts/chart6.xm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2.xml"/><Relationship Id="rId5" Type="http://schemas.openxmlformats.org/officeDocument/2006/relationships/settings" Target="settings.xml"/><Relationship Id="rId15" Type="http://schemas.openxmlformats.org/officeDocument/2006/relationships/chart" Target="charts/chart5.xml"/><Relationship Id="rId23" Type="http://schemas.openxmlformats.org/officeDocument/2006/relationships/theme" Target="theme/theme1.xml"/><Relationship Id="rId10" Type="http://schemas.openxmlformats.org/officeDocument/2006/relationships/chart" Target="charts/chart1.xml"/><Relationship Id="rId19" Type="http://schemas.openxmlformats.org/officeDocument/2006/relationships/chart" Target="charts/chart9.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2.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3" Type="http://schemas.openxmlformats.org/officeDocument/2006/relationships/chartUserShapes" Target="../drawings/drawing7.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9.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0099518810148703E-2"/>
          <c:y val="9.8077063283756205E-2"/>
          <c:w val="0.86467847769028905"/>
          <c:h val="0.82798009623796998"/>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43938</c:v>
                </c:pt>
                <c:pt idx="1">
                  <c:v>43945</c:v>
                </c:pt>
                <c:pt idx="2">
                  <c:v>43952</c:v>
                </c:pt>
                <c:pt idx="3">
                  <c:v>43959</c:v>
                </c:pt>
                <c:pt idx="4">
                  <c:v>43966</c:v>
                </c:pt>
                <c:pt idx="5">
                  <c:v>43973</c:v>
                </c:pt>
                <c:pt idx="6">
                  <c:v>43980</c:v>
                </c:pt>
                <c:pt idx="7">
                  <c:v>43987</c:v>
                </c:pt>
                <c:pt idx="8">
                  <c:v>43994</c:v>
                </c:pt>
                <c:pt idx="9">
                  <c:v>44001</c:v>
                </c:pt>
                <c:pt idx="10">
                  <c:v>44008</c:v>
                </c:pt>
                <c:pt idx="11">
                  <c:v>44015</c:v>
                </c:pt>
                <c:pt idx="12">
                  <c:v>44022</c:v>
                </c:pt>
                <c:pt idx="13">
                  <c:v>44029</c:v>
                </c:pt>
                <c:pt idx="14">
                  <c:v>44036</c:v>
                </c:pt>
                <c:pt idx="15">
                  <c:v>44043</c:v>
                </c:pt>
                <c:pt idx="16">
                  <c:v>44050</c:v>
                </c:pt>
                <c:pt idx="17">
                  <c:v>44057</c:v>
                </c:pt>
                <c:pt idx="18">
                  <c:v>44064</c:v>
                </c:pt>
                <c:pt idx="19">
                  <c:v>44071</c:v>
                </c:pt>
                <c:pt idx="20">
                  <c:v>44078</c:v>
                </c:pt>
                <c:pt idx="21">
                  <c:v>44085</c:v>
                </c:pt>
                <c:pt idx="22">
                  <c:v>44092</c:v>
                </c:pt>
              </c:numCache>
            </c:numRef>
          </c:cat>
          <c:val>
            <c:numRef>
              <c:f>央行!$B$5:$B$27</c:f>
              <c:numCache>
                <c:formatCode>###,###,###,###,##0.00</c:formatCode>
                <c:ptCount val="23"/>
                <c:pt idx="0">
                  <c:v>0</c:v>
                </c:pt>
                <c:pt idx="1">
                  <c:v>60</c:v>
                </c:pt>
                <c:pt idx="2">
                  <c:v>0</c:v>
                </c:pt>
                <c:pt idx="3">
                  <c:v>0</c:v>
                </c:pt>
                <c:pt idx="4">
                  <c:v>0</c:v>
                </c:pt>
                <c:pt idx="5">
                  <c:v>0</c:v>
                </c:pt>
                <c:pt idx="6">
                  <c:v>6750</c:v>
                </c:pt>
                <c:pt idx="7">
                  <c:v>2200</c:v>
                </c:pt>
                <c:pt idx="8">
                  <c:v>4200</c:v>
                </c:pt>
                <c:pt idx="9">
                  <c:v>3000</c:v>
                </c:pt>
                <c:pt idx="10">
                  <c:v>5050</c:v>
                </c:pt>
                <c:pt idx="11">
                  <c:v>1025</c:v>
                </c:pt>
                <c:pt idx="12">
                  <c:v>0</c:v>
                </c:pt>
                <c:pt idx="13">
                  <c:v>3300</c:v>
                </c:pt>
                <c:pt idx="14">
                  <c:v>1650</c:v>
                </c:pt>
                <c:pt idx="15">
                  <c:v>2800</c:v>
                </c:pt>
                <c:pt idx="16">
                  <c:v>100</c:v>
                </c:pt>
                <c:pt idx="17">
                  <c:v>5000</c:v>
                </c:pt>
                <c:pt idx="18">
                  <c:v>6600</c:v>
                </c:pt>
                <c:pt idx="19">
                  <c:v>8150</c:v>
                </c:pt>
                <c:pt idx="20">
                  <c:v>2800</c:v>
                </c:pt>
                <c:pt idx="21">
                  <c:v>6200</c:v>
                </c:pt>
                <c:pt idx="22">
                  <c:v>4800</c:v>
                </c:pt>
              </c:numCache>
            </c:numRef>
          </c:val>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43938</c:v>
                </c:pt>
                <c:pt idx="1">
                  <c:v>43945</c:v>
                </c:pt>
                <c:pt idx="2">
                  <c:v>43952</c:v>
                </c:pt>
                <c:pt idx="3">
                  <c:v>43959</c:v>
                </c:pt>
                <c:pt idx="4">
                  <c:v>43966</c:v>
                </c:pt>
                <c:pt idx="5">
                  <c:v>43973</c:v>
                </c:pt>
                <c:pt idx="6">
                  <c:v>43980</c:v>
                </c:pt>
                <c:pt idx="7">
                  <c:v>43987</c:v>
                </c:pt>
                <c:pt idx="8">
                  <c:v>43994</c:v>
                </c:pt>
                <c:pt idx="9">
                  <c:v>44001</c:v>
                </c:pt>
                <c:pt idx="10">
                  <c:v>44008</c:v>
                </c:pt>
                <c:pt idx="11">
                  <c:v>44015</c:v>
                </c:pt>
                <c:pt idx="12">
                  <c:v>44022</c:v>
                </c:pt>
                <c:pt idx="13">
                  <c:v>44029</c:v>
                </c:pt>
                <c:pt idx="14">
                  <c:v>44036</c:v>
                </c:pt>
                <c:pt idx="15">
                  <c:v>44043</c:v>
                </c:pt>
                <c:pt idx="16">
                  <c:v>44050</c:v>
                </c:pt>
                <c:pt idx="17">
                  <c:v>44057</c:v>
                </c:pt>
                <c:pt idx="18">
                  <c:v>44064</c:v>
                </c:pt>
                <c:pt idx="19">
                  <c:v>44071</c:v>
                </c:pt>
                <c:pt idx="20">
                  <c:v>44078</c:v>
                </c:pt>
                <c:pt idx="21">
                  <c:v>44085</c:v>
                </c:pt>
                <c:pt idx="22">
                  <c:v>44092</c:v>
                </c:pt>
              </c:numCache>
            </c:numRef>
          </c:cat>
          <c:val>
            <c:numRef>
              <c:f>央行!$C$5:$C$27</c:f>
              <c:numCache>
                <c:formatCode>###,###,###,###,##0.00</c:formatCode>
                <c:ptCount val="23"/>
                <c:pt idx="0">
                  <c:v>0</c:v>
                </c:pt>
                <c:pt idx="1">
                  <c:v>-50</c:v>
                </c:pt>
                <c:pt idx="2">
                  <c:v>0</c:v>
                </c:pt>
                <c:pt idx="3">
                  <c:v>0</c:v>
                </c:pt>
                <c:pt idx="4">
                  <c:v>0</c:v>
                </c:pt>
                <c:pt idx="5">
                  <c:v>0</c:v>
                </c:pt>
                <c:pt idx="6">
                  <c:v>-50</c:v>
                </c:pt>
                <c:pt idx="7">
                  <c:v>-6700</c:v>
                </c:pt>
                <c:pt idx="8">
                  <c:v>-2200</c:v>
                </c:pt>
                <c:pt idx="9">
                  <c:v>-4200</c:v>
                </c:pt>
                <c:pt idx="10">
                  <c:v>-1200</c:v>
                </c:pt>
                <c:pt idx="11">
                  <c:v>-4950</c:v>
                </c:pt>
                <c:pt idx="12">
                  <c:v>-2900</c:v>
                </c:pt>
                <c:pt idx="13">
                  <c:v>0</c:v>
                </c:pt>
                <c:pt idx="14">
                  <c:v>-3300</c:v>
                </c:pt>
                <c:pt idx="15">
                  <c:v>-1650</c:v>
                </c:pt>
                <c:pt idx="16">
                  <c:v>-2800</c:v>
                </c:pt>
                <c:pt idx="17">
                  <c:v>-100</c:v>
                </c:pt>
                <c:pt idx="18">
                  <c:v>-5000</c:v>
                </c:pt>
                <c:pt idx="19">
                  <c:v>-6150</c:v>
                </c:pt>
                <c:pt idx="20">
                  <c:v>-7500</c:v>
                </c:pt>
                <c:pt idx="21">
                  <c:v>-3900</c:v>
                </c:pt>
                <c:pt idx="22">
                  <c:v>-6200</c:v>
                </c:pt>
              </c:numCache>
            </c:numRef>
          </c:val>
        </c:ser>
        <c:dLbls>
          <c:showLegendKey val="0"/>
          <c:showVal val="0"/>
          <c:showCatName val="0"/>
          <c:showSerName val="0"/>
          <c:showPercent val="0"/>
          <c:showBubbleSize val="0"/>
        </c:dLbls>
        <c:gapWidth val="150"/>
        <c:overlap val="100"/>
        <c:axId val="238034304"/>
        <c:axId val="238036480"/>
      </c:barChart>
      <c:lineChart>
        <c:grouping val="standard"/>
        <c:varyColors val="0"/>
        <c:ser>
          <c:idx val="1"/>
          <c:order val="2"/>
          <c:tx>
            <c:strRef>
              <c:f>央行!$D$4</c:f>
              <c:strCache>
                <c:ptCount val="1"/>
                <c:pt idx="0">
                  <c:v>货币净投放</c:v>
                </c:pt>
              </c:strCache>
            </c:strRef>
          </c:tx>
          <c:spPr>
            <a:ln w="22225" cap="rnd" cmpd="sng" algn="ctr">
              <a:solidFill>
                <a:srgbClr val="BF5711"/>
              </a:solidFill>
              <a:prstDash val="sysDash"/>
              <a:round/>
            </a:ln>
          </c:spPr>
          <c:marker>
            <c:symbol val="diamond"/>
            <c:size val="7"/>
            <c:spPr>
              <a:solidFill>
                <a:sysClr val="window" lastClr="FFFFFF"/>
              </a:solidFill>
              <a:ln w="15875" cap="flat" cmpd="sng" algn="ctr">
                <a:solidFill>
                  <a:srgbClr val="BF5711"/>
                </a:solidFill>
                <a:prstDash val="solid"/>
                <a:round/>
              </a:ln>
            </c:spPr>
          </c:marker>
          <c:cat>
            <c:numRef>
              <c:f>央行!$A$5:$A$27</c:f>
              <c:numCache>
                <c:formatCode>yyyy\-mm\-dd;@</c:formatCode>
                <c:ptCount val="23"/>
                <c:pt idx="0">
                  <c:v>43938</c:v>
                </c:pt>
                <c:pt idx="1">
                  <c:v>43945</c:v>
                </c:pt>
                <c:pt idx="2">
                  <c:v>43952</c:v>
                </c:pt>
                <c:pt idx="3">
                  <c:v>43959</c:v>
                </c:pt>
                <c:pt idx="4">
                  <c:v>43966</c:v>
                </c:pt>
                <c:pt idx="5">
                  <c:v>43973</c:v>
                </c:pt>
                <c:pt idx="6">
                  <c:v>43980</c:v>
                </c:pt>
                <c:pt idx="7">
                  <c:v>43987</c:v>
                </c:pt>
                <c:pt idx="8">
                  <c:v>43994</c:v>
                </c:pt>
                <c:pt idx="9">
                  <c:v>44001</c:v>
                </c:pt>
                <c:pt idx="10">
                  <c:v>44008</c:v>
                </c:pt>
                <c:pt idx="11">
                  <c:v>44015</c:v>
                </c:pt>
                <c:pt idx="12">
                  <c:v>44022</c:v>
                </c:pt>
                <c:pt idx="13">
                  <c:v>44029</c:v>
                </c:pt>
                <c:pt idx="14">
                  <c:v>44036</c:v>
                </c:pt>
                <c:pt idx="15">
                  <c:v>44043</c:v>
                </c:pt>
                <c:pt idx="16">
                  <c:v>44050</c:v>
                </c:pt>
                <c:pt idx="17">
                  <c:v>44057</c:v>
                </c:pt>
                <c:pt idx="18">
                  <c:v>44064</c:v>
                </c:pt>
                <c:pt idx="19">
                  <c:v>44071</c:v>
                </c:pt>
                <c:pt idx="20">
                  <c:v>44078</c:v>
                </c:pt>
                <c:pt idx="21">
                  <c:v>44085</c:v>
                </c:pt>
                <c:pt idx="22">
                  <c:v>44092</c:v>
                </c:pt>
              </c:numCache>
            </c:numRef>
          </c:cat>
          <c:val>
            <c:numRef>
              <c:f>央行!$D$5:$D$27</c:f>
              <c:numCache>
                <c:formatCode>###,###,###,###,##0.00</c:formatCode>
                <c:ptCount val="23"/>
                <c:pt idx="0">
                  <c:v>0</c:v>
                </c:pt>
                <c:pt idx="1">
                  <c:v>10</c:v>
                </c:pt>
                <c:pt idx="2">
                  <c:v>0</c:v>
                </c:pt>
                <c:pt idx="3">
                  <c:v>0</c:v>
                </c:pt>
                <c:pt idx="4">
                  <c:v>0</c:v>
                </c:pt>
                <c:pt idx="5">
                  <c:v>0</c:v>
                </c:pt>
                <c:pt idx="6">
                  <c:v>6700</c:v>
                </c:pt>
                <c:pt idx="7">
                  <c:v>-4500</c:v>
                </c:pt>
                <c:pt idx="8">
                  <c:v>2000</c:v>
                </c:pt>
                <c:pt idx="9">
                  <c:v>-1200</c:v>
                </c:pt>
                <c:pt idx="10">
                  <c:v>3850</c:v>
                </c:pt>
                <c:pt idx="11">
                  <c:v>-3925</c:v>
                </c:pt>
                <c:pt idx="12">
                  <c:v>-2900</c:v>
                </c:pt>
                <c:pt idx="13">
                  <c:v>3300</c:v>
                </c:pt>
                <c:pt idx="14">
                  <c:v>-1650</c:v>
                </c:pt>
                <c:pt idx="15">
                  <c:v>1150</c:v>
                </c:pt>
                <c:pt idx="16">
                  <c:v>-2700</c:v>
                </c:pt>
                <c:pt idx="17">
                  <c:v>4900</c:v>
                </c:pt>
                <c:pt idx="18">
                  <c:v>1600</c:v>
                </c:pt>
                <c:pt idx="19">
                  <c:v>2000</c:v>
                </c:pt>
                <c:pt idx="20">
                  <c:v>-4700</c:v>
                </c:pt>
                <c:pt idx="21">
                  <c:v>2300</c:v>
                </c:pt>
                <c:pt idx="22">
                  <c:v>-1400</c:v>
                </c:pt>
              </c:numCache>
            </c:numRef>
          </c:val>
          <c:smooth val="0"/>
        </c:ser>
        <c:dLbls>
          <c:showLegendKey val="0"/>
          <c:showVal val="0"/>
          <c:showCatName val="0"/>
          <c:showSerName val="0"/>
          <c:showPercent val="0"/>
          <c:showBubbleSize val="0"/>
        </c:dLbls>
        <c:marker val="1"/>
        <c:smooth val="0"/>
        <c:axId val="238034304"/>
        <c:axId val="238036480"/>
      </c:lineChart>
      <c:catAx>
        <c:axId val="238034304"/>
        <c:scaling>
          <c:orientation val="minMax"/>
        </c:scaling>
        <c:delete val="0"/>
        <c:axPos val="b"/>
        <c:numFmt formatCode="mm\-dd" sourceLinked="0"/>
        <c:majorTickMark val="out"/>
        <c:minorTickMark val="out"/>
        <c:tickLblPos val="low"/>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238036480"/>
        <c:crosses val="autoZero"/>
        <c:auto val="0"/>
        <c:lblAlgn val="ctr"/>
        <c:lblOffset val="0"/>
        <c:tickMarkSkip val="2"/>
        <c:noMultiLvlLbl val="0"/>
      </c:catAx>
      <c:valAx>
        <c:axId val="238036480"/>
        <c:scaling>
          <c:orientation val="minMax"/>
        </c:scaling>
        <c:delete val="0"/>
        <c:axPos val="l"/>
        <c:numFmt formatCode="#,##0_);[Red]\(#,##0\)" sourceLinked="0"/>
        <c:majorTickMark val="out"/>
        <c:minorTickMark val="none"/>
        <c:tickLblPos val="nextTo"/>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238034304"/>
        <c:crosses val="autoZero"/>
        <c:crossBetween val="between"/>
      </c:valAx>
    </c:plotArea>
    <c:legend>
      <c:legendPos val="r"/>
      <c:layout>
        <c:manualLayout>
          <c:xMode val="edge"/>
          <c:yMode val="edge"/>
          <c:x val="0.15225"/>
          <c:y val="2.3337707786526699E-3"/>
          <c:w val="0.81834886264216999"/>
          <c:h val="7.6589749198016893E-2"/>
        </c:manualLayout>
      </c:layout>
      <c:overlay val="0"/>
      <c:spPr>
        <a:noFill/>
        <a:ln w="3175">
          <a:noFill/>
          <a:prstDash val="soli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legend>
    <c:plotVisOnly val="1"/>
    <c:dispBlanksAs val="span"/>
    <c:showDLblsOverMax val="0"/>
  </c:chart>
  <c:spPr>
    <a:ln w="6350" cap="flat" cmpd="sng" algn="ctr">
      <a:noFill/>
      <a:prstDash val="solid"/>
      <a:round/>
    </a:ln>
  </c:spPr>
  <c:txPr>
    <a:bodyPr/>
    <a:lstStyle/>
    <a:p>
      <a:pPr>
        <a:defRPr lang="zh-CN"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6432852143482102E-2"/>
          <c:y val="0.111965952172645"/>
          <c:w val="0.90856714785651804"/>
          <c:h val="0.81409120734908103"/>
        </c:manualLayout>
      </c:layout>
      <c:lineChart>
        <c:grouping val="standard"/>
        <c:varyColors val="0"/>
        <c:ser>
          <c:idx val="0"/>
          <c:order val="0"/>
          <c:tx>
            <c:strRef>
              <c:f>资金!$B$2</c:f>
              <c:strCache>
                <c:ptCount val="1"/>
                <c:pt idx="0">
                  <c:v>银行间质押式回购加权利率:1天</c:v>
                </c:pt>
              </c:strCache>
            </c:strRef>
          </c:tx>
          <c:spPr>
            <a:ln w="25400" cap="rnd" cmpd="sng" algn="ctr">
              <a:solidFill>
                <a:srgbClr val="ED7D31">
                  <a:lumMod val="75000"/>
                </a:srgbClr>
              </a:solidFill>
              <a:prstDash val="solid"/>
              <a:round/>
            </a:ln>
          </c:spPr>
          <c:marker>
            <c:symbol val="none"/>
          </c:marker>
          <c:cat>
            <c:numRef>
              <c:f>资金!$A$3:$A$61</c:f>
              <c:numCache>
                <c:formatCode>yyyy\-mm\-dd;@</c:formatCode>
                <c:ptCount val="59"/>
                <c:pt idx="0">
                  <c:v>44092</c:v>
                </c:pt>
                <c:pt idx="1">
                  <c:v>44091</c:v>
                </c:pt>
                <c:pt idx="2">
                  <c:v>44090</c:v>
                </c:pt>
                <c:pt idx="3">
                  <c:v>44089</c:v>
                </c:pt>
                <c:pt idx="4">
                  <c:v>44088</c:v>
                </c:pt>
                <c:pt idx="5">
                  <c:v>44085</c:v>
                </c:pt>
                <c:pt idx="6">
                  <c:v>44084</c:v>
                </c:pt>
                <c:pt idx="7">
                  <c:v>44083</c:v>
                </c:pt>
                <c:pt idx="8">
                  <c:v>44082</c:v>
                </c:pt>
                <c:pt idx="9">
                  <c:v>44081</c:v>
                </c:pt>
                <c:pt idx="10">
                  <c:v>44078</c:v>
                </c:pt>
                <c:pt idx="11">
                  <c:v>44077</c:v>
                </c:pt>
                <c:pt idx="12">
                  <c:v>44076</c:v>
                </c:pt>
                <c:pt idx="13">
                  <c:v>44075</c:v>
                </c:pt>
                <c:pt idx="14">
                  <c:v>44074</c:v>
                </c:pt>
                <c:pt idx="15">
                  <c:v>44071</c:v>
                </c:pt>
                <c:pt idx="16">
                  <c:v>44070</c:v>
                </c:pt>
                <c:pt idx="17">
                  <c:v>44069</c:v>
                </c:pt>
                <c:pt idx="18">
                  <c:v>44068</c:v>
                </c:pt>
                <c:pt idx="19">
                  <c:v>44067</c:v>
                </c:pt>
                <c:pt idx="20">
                  <c:v>44064</c:v>
                </c:pt>
                <c:pt idx="21">
                  <c:v>44063</c:v>
                </c:pt>
                <c:pt idx="22">
                  <c:v>44062</c:v>
                </c:pt>
                <c:pt idx="23">
                  <c:v>44061</c:v>
                </c:pt>
                <c:pt idx="24">
                  <c:v>44060</c:v>
                </c:pt>
                <c:pt idx="25">
                  <c:v>44057</c:v>
                </c:pt>
                <c:pt idx="26">
                  <c:v>44056</c:v>
                </c:pt>
                <c:pt idx="27">
                  <c:v>44055</c:v>
                </c:pt>
                <c:pt idx="28">
                  <c:v>44054</c:v>
                </c:pt>
                <c:pt idx="29">
                  <c:v>44053</c:v>
                </c:pt>
                <c:pt idx="30">
                  <c:v>44050</c:v>
                </c:pt>
                <c:pt idx="31">
                  <c:v>44049</c:v>
                </c:pt>
                <c:pt idx="32">
                  <c:v>44048</c:v>
                </c:pt>
                <c:pt idx="33">
                  <c:v>44047</c:v>
                </c:pt>
                <c:pt idx="34">
                  <c:v>44046</c:v>
                </c:pt>
                <c:pt idx="35">
                  <c:v>44043</c:v>
                </c:pt>
                <c:pt idx="36">
                  <c:v>44042</c:v>
                </c:pt>
                <c:pt idx="37">
                  <c:v>44041</c:v>
                </c:pt>
                <c:pt idx="38">
                  <c:v>44040</c:v>
                </c:pt>
                <c:pt idx="39">
                  <c:v>44039</c:v>
                </c:pt>
                <c:pt idx="40">
                  <c:v>44036</c:v>
                </c:pt>
                <c:pt idx="41">
                  <c:v>44035</c:v>
                </c:pt>
                <c:pt idx="42">
                  <c:v>44034</c:v>
                </c:pt>
                <c:pt idx="43">
                  <c:v>44033</c:v>
                </c:pt>
                <c:pt idx="44">
                  <c:v>44032</c:v>
                </c:pt>
                <c:pt idx="45">
                  <c:v>44029</c:v>
                </c:pt>
                <c:pt idx="46">
                  <c:v>44028</c:v>
                </c:pt>
                <c:pt idx="47">
                  <c:v>44027</c:v>
                </c:pt>
                <c:pt idx="48">
                  <c:v>44026</c:v>
                </c:pt>
                <c:pt idx="49">
                  <c:v>44025</c:v>
                </c:pt>
                <c:pt idx="50">
                  <c:v>44022</c:v>
                </c:pt>
                <c:pt idx="51">
                  <c:v>44021</c:v>
                </c:pt>
                <c:pt idx="52">
                  <c:v>44020</c:v>
                </c:pt>
                <c:pt idx="53">
                  <c:v>44019</c:v>
                </c:pt>
                <c:pt idx="54">
                  <c:v>44018</c:v>
                </c:pt>
                <c:pt idx="55">
                  <c:v>44015</c:v>
                </c:pt>
                <c:pt idx="56">
                  <c:v>44014</c:v>
                </c:pt>
                <c:pt idx="57">
                  <c:v>44013</c:v>
                </c:pt>
                <c:pt idx="58">
                  <c:v>44012</c:v>
                </c:pt>
              </c:numCache>
            </c:numRef>
          </c:cat>
          <c:val>
            <c:numRef>
              <c:f>资金!$B$3:$B$61</c:f>
              <c:numCache>
                <c:formatCode>###,###,###,###,##0.0000</c:formatCode>
                <c:ptCount val="59"/>
                <c:pt idx="0">
                  <c:v>2.2553000000000001</c:v>
                </c:pt>
                <c:pt idx="1">
                  <c:v>1.8871</c:v>
                </c:pt>
                <c:pt idx="2">
                  <c:v>1.4536</c:v>
                </c:pt>
                <c:pt idx="3">
                  <c:v>1.7635000000000001</c:v>
                </c:pt>
                <c:pt idx="4">
                  <c:v>1.6466000000000001</c:v>
                </c:pt>
                <c:pt idx="5">
                  <c:v>1.5072000000000001</c:v>
                </c:pt>
                <c:pt idx="6">
                  <c:v>1.3864000000000001</c:v>
                </c:pt>
                <c:pt idx="7">
                  <c:v>1.6471</c:v>
                </c:pt>
                <c:pt idx="8">
                  <c:v>2.0707</c:v>
                </c:pt>
                <c:pt idx="9">
                  <c:v>2.1291000000000002</c:v>
                </c:pt>
                <c:pt idx="10">
                  <c:v>2.0886</c:v>
                </c:pt>
                <c:pt idx="11">
                  <c:v>1.7948999999999999</c:v>
                </c:pt>
                <c:pt idx="12">
                  <c:v>2.1187</c:v>
                </c:pt>
                <c:pt idx="13">
                  <c:v>2.1785999999999999</c:v>
                </c:pt>
                <c:pt idx="14">
                  <c:v>1.9719</c:v>
                </c:pt>
                <c:pt idx="15">
                  <c:v>1.3997999999999999</c:v>
                </c:pt>
                <c:pt idx="16">
                  <c:v>1.5077</c:v>
                </c:pt>
                <c:pt idx="17">
                  <c:v>1.6649</c:v>
                </c:pt>
                <c:pt idx="18">
                  <c:v>1.9847999999999999</c:v>
                </c:pt>
                <c:pt idx="19">
                  <c:v>2.4039999999999999</c:v>
                </c:pt>
                <c:pt idx="20">
                  <c:v>2.3462000000000001</c:v>
                </c:pt>
                <c:pt idx="21">
                  <c:v>2.2711000000000001</c:v>
                </c:pt>
                <c:pt idx="22">
                  <c:v>2.2111999999999998</c:v>
                </c:pt>
                <c:pt idx="23">
                  <c:v>2.1659000000000002</c:v>
                </c:pt>
                <c:pt idx="24">
                  <c:v>2.1669</c:v>
                </c:pt>
                <c:pt idx="25">
                  <c:v>2.2214999999999998</c:v>
                </c:pt>
                <c:pt idx="26">
                  <c:v>2.2246000000000001</c:v>
                </c:pt>
                <c:pt idx="27">
                  <c:v>2.2063999999999999</c:v>
                </c:pt>
                <c:pt idx="28">
                  <c:v>2.2568999999999999</c:v>
                </c:pt>
                <c:pt idx="29">
                  <c:v>2.1943000000000001</c:v>
                </c:pt>
                <c:pt idx="30">
                  <c:v>2.1122000000000001</c:v>
                </c:pt>
                <c:pt idx="31">
                  <c:v>1.7108000000000001</c:v>
                </c:pt>
                <c:pt idx="32">
                  <c:v>1.7210000000000001</c:v>
                </c:pt>
                <c:pt idx="33">
                  <c:v>1.96</c:v>
                </c:pt>
                <c:pt idx="34">
                  <c:v>1.6277999999999999</c:v>
                </c:pt>
                <c:pt idx="35">
                  <c:v>1.921</c:v>
                </c:pt>
                <c:pt idx="36">
                  <c:v>1.4155</c:v>
                </c:pt>
                <c:pt idx="37">
                  <c:v>1.4807999999999999</c:v>
                </c:pt>
                <c:pt idx="38">
                  <c:v>1.7774000000000001</c:v>
                </c:pt>
                <c:pt idx="39">
                  <c:v>2.0301999999999998</c:v>
                </c:pt>
                <c:pt idx="40">
                  <c:v>1.8781000000000001</c:v>
                </c:pt>
                <c:pt idx="41">
                  <c:v>1.9132</c:v>
                </c:pt>
                <c:pt idx="42">
                  <c:v>1.3838999999999999</c:v>
                </c:pt>
                <c:pt idx="43">
                  <c:v>1.5924</c:v>
                </c:pt>
                <c:pt idx="44">
                  <c:v>1.9733000000000001</c:v>
                </c:pt>
                <c:pt idx="45">
                  <c:v>2.3995000000000002</c:v>
                </c:pt>
                <c:pt idx="46">
                  <c:v>2.3612000000000002</c:v>
                </c:pt>
                <c:pt idx="47">
                  <c:v>2.0855999999999999</c:v>
                </c:pt>
                <c:pt idx="48">
                  <c:v>1.7021999999999999</c:v>
                </c:pt>
                <c:pt idx="49">
                  <c:v>2.1414</c:v>
                </c:pt>
                <c:pt idx="50">
                  <c:v>2.2174</c:v>
                </c:pt>
                <c:pt idx="51">
                  <c:v>2.2547999999999999</c:v>
                </c:pt>
                <c:pt idx="52">
                  <c:v>2.1366000000000001</c:v>
                </c:pt>
                <c:pt idx="53">
                  <c:v>1.7793000000000001</c:v>
                </c:pt>
                <c:pt idx="54">
                  <c:v>1.4025000000000001</c:v>
                </c:pt>
                <c:pt idx="55">
                  <c:v>1.4065000000000001</c:v>
                </c:pt>
                <c:pt idx="56">
                  <c:v>1.7667999999999999</c:v>
                </c:pt>
                <c:pt idx="57">
                  <c:v>2.0270999999999999</c:v>
                </c:pt>
                <c:pt idx="58">
                  <c:v>2.2993999999999999</c:v>
                </c:pt>
              </c:numCache>
            </c:numRef>
          </c:val>
          <c:smooth val="1"/>
        </c:ser>
        <c:ser>
          <c:idx val="2"/>
          <c:order val="1"/>
          <c:tx>
            <c:strRef>
              <c:f>资金!$C$2</c:f>
              <c:strCache>
                <c:ptCount val="1"/>
                <c:pt idx="0">
                  <c:v>银行间质押式回购加权利率:7天</c:v>
                </c:pt>
              </c:strCache>
            </c:strRef>
          </c:tx>
          <c:spPr>
            <a:ln w="25400" cap="rnd" cmpd="sng" algn="ctr">
              <a:solidFill>
                <a:srgbClr val="ED7D31"/>
              </a:solidFill>
              <a:prstDash val="sysDash"/>
              <a:round/>
            </a:ln>
          </c:spPr>
          <c:marker>
            <c:symbol val="none"/>
          </c:marker>
          <c:cat>
            <c:numRef>
              <c:f>资金!$A$3:$A$61</c:f>
              <c:numCache>
                <c:formatCode>yyyy\-mm\-dd;@</c:formatCode>
                <c:ptCount val="59"/>
                <c:pt idx="0">
                  <c:v>44092</c:v>
                </c:pt>
                <c:pt idx="1">
                  <c:v>44091</c:v>
                </c:pt>
                <c:pt idx="2">
                  <c:v>44090</c:v>
                </c:pt>
                <c:pt idx="3">
                  <c:v>44089</c:v>
                </c:pt>
                <c:pt idx="4">
                  <c:v>44088</c:v>
                </c:pt>
                <c:pt idx="5">
                  <c:v>44085</c:v>
                </c:pt>
                <c:pt idx="6">
                  <c:v>44084</c:v>
                </c:pt>
                <c:pt idx="7">
                  <c:v>44083</c:v>
                </c:pt>
                <c:pt idx="8">
                  <c:v>44082</c:v>
                </c:pt>
                <c:pt idx="9">
                  <c:v>44081</c:v>
                </c:pt>
                <c:pt idx="10">
                  <c:v>44078</c:v>
                </c:pt>
                <c:pt idx="11">
                  <c:v>44077</c:v>
                </c:pt>
                <c:pt idx="12">
                  <c:v>44076</c:v>
                </c:pt>
                <c:pt idx="13">
                  <c:v>44075</c:v>
                </c:pt>
                <c:pt idx="14">
                  <c:v>44074</c:v>
                </c:pt>
                <c:pt idx="15">
                  <c:v>44071</c:v>
                </c:pt>
                <c:pt idx="16">
                  <c:v>44070</c:v>
                </c:pt>
                <c:pt idx="17">
                  <c:v>44069</c:v>
                </c:pt>
                <c:pt idx="18">
                  <c:v>44068</c:v>
                </c:pt>
                <c:pt idx="19">
                  <c:v>44067</c:v>
                </c:pt>
                <c:pt idx="20">
                  <c:v>44064</c:v>
                </c:pt>
                <c:pt idx="21">
                  <c:v>44063</c:v>
                </c:pt>
                <c:pt idx="22">
                  <c:v>44062</c:v>
                </c:pt>
                <c:pt idx="23">
                  <c:v>44061</c:v>
                </c:pt>
                <c:pt idx="24">
                  <c:v>44060</c:v>
                </c:pt>
                <c:pt idx="25">
                  <c:v>44057</c:v>
                </c:pt>
                <c:pt idx="26">
                  <c:v>44056</c:v>
                </c:pt>
                <c:pt idx="27">
                  <c:v>44055</c:v>
                </c:pt>
                <c:pt idx="28">
                  <c:v>44054</c:v>
                </c:pt>
                <c:pt idx="29">
                  <c:v>44053</c:v>
                </c:pt>
                <c:pt idx="30">
                  <c:v>44050</c:v>
                </c:pt>
                <c:pt idx="31">
                  <c:v>44049</c:v>
                </c:pt>
                <c:pt idx="32">
                  <c:v>44048</c:v>
                </c:pt>
                <c:pt idx="33">
                  <c:v>44047</c:v>
                </c:pt>
                <c:pt idx="34">
                  <c:v>44046</c:v>
                </c:pt>
                <c:pt idx="35">
                  <c:v>44043</c:v>
                </c:pt>
                <c:pt idx="36">
                  <c:v>44042</c:v>
                </c:pt>
                <c:pt idx="37">
                  <c:v>44041</c:v>
                </c:pt>
                <c:pt idx="38">
                  <c:v>44040</c:v>
                </c:pt>
                <c:pt idx="39">
                  <c:v>44039</c:v>
                </c:pt>
                <c:pt idx="40">
                  <c:v>44036</c:v>
                </c:pt>
                <c:pt idx="41">
                  <c:v>44035</c:v>
                </c:pt>
                <c:pt idx="42">
                  <c:v>44034</c:v>
                </c:pt>
                <c:pt idx="43">
                  <c:v>44033</c:v>
                </c:pt>
                <c:pt idx="44">
                  <c:v>44032</c:v>
                </c:pt>
                <c:pt idx="45">
                  <c:v>44029</c:v>
                </c:pt>
                <c:pt idx="46">
                  <c:v>44028</c:v>
                </c:pt>
                <c:pt idx="47">
                  <c:v>44027</c:v>
                </c:pt>
                <c:pt idx="48">
                  <c:v>44026</c:v>
                </c:pt>
                <c:pt idx="49">
                  <c:v>44025</c:v>
                </c:pt>
                <c:pt idx="50">
                  <c:v>44022</c:v>
                </c:pt>
                <c:pt idx="51">
                  <c:v>44021</c:v>
                </c:pt>
                <c:pt idx="52">
                  <c:v>44020</c:v>
                </c:pt>
                <c:pt idx="53">
                  <c:v>44019</c:v>
                </c:pt>
                <c:pt idx="54">
                  <c:v>44018</c:v>
                </c:pt>
                <c:pt idx="55">
                  <c:v>44015</c:v>
                </c:pt>
                <c:pt idx="56">
                  <c:v>44014</c:v>
                </c:pt>
                <c:pt idx="57">
                  <c:v>44013</c:v>
                </c:pt>
                <c:pt idx="58">
                  <c:v>44012</c:v>
                </c:pt>
              </c:numCache>
            </c:numRef>
          </c:cat>
          <c:val>
            <c:numRef>
              <c:f>资金!$C$3:$C$61</c:f>
              <c:numCache>
                <c:formatCode>###,###,###,###,##0.0000</c:formatCode>
                <c:ptCount val="59"/>
                <c:pt idx="0">
                  <c:v>2.6425999999999998</c:v>
                </c:pt>
                <c:pt idx="1">
                  <c:v>2.3935</c:v>
                </c:pt>
                <c:pt idx="2">
                  <c:v>2.2740999999999998</c:v>
                </c:pt>
                <c:pt idx="3">
                  <c:v>2.2704</c:v>
                </c:pt>
                <c:pt idx="4">
                  <c:v>2.2275999999999998</c:v>
                </c:pt>
                <c:pt idx="5">
                  <c:v>2.1873999999999998</c:v>
                </c:pt>
                <c:pt idx="6">
                  <c:v>2.2033</c:v>
                </c:pt>
                <c:pt idx="7">
                  <c:v>2.2875999999999999</c:v>
                </c:pt>
                <c:pt idx="8">
                  <c:v>2.3258999999999999</c:v>
                </c:pt>
                <c:pt idx="9">
                  <c:v>2.3267000000000002</c:v>
                </c:pt>
                <c:pt idx="10">
                  <c:v>2.3408000000000002</c:v>
                </c:pt>
                <c:pt idx="11">
                  <c:v>2.3216000000000001</c:v>
                </c:pt>
                <c:pt idx="12">
                  <c:v>2.3963000000000001</c:v>
                </c:pt>
                <c:pt idx="13">
                  <c:v>2.4113000000000002</c:v>
                </c:pt>
                <c:pt idx="14">
                  <c:v>2.5141</c:v>
                </c:pt>
                <c:pt idx="15">
                  <c:v>2.4836999999999998</c:v>
                </c:pt>
                <c:pt idx="16">
                  <c:v>2.4744999999999999</c:v>
                </c:pt>
                <c:pt idx="17">
                  <c:v>2.4973999999999998</c:v>
                </c:pt>
                <c:pt idx="18">
                  <c:v>2.5918000000000001</c:v>
                </c:pt>
                <c:pt idx="19">
                  <c:v>2.5108000000000001</c:v>
                </c:pt>
                <c:pt idx="20">
                  <c:v>2.5731999999999999</c:v>
                </c:pt>
                <c:pt idx="21">
                  <c:v>2.4491000000000001</c:v>
                </c:pt>
                <c:pt idx="22">
                  <c:v>2.3744999999999998</c:v>
                </c:pt>
                <c:pt idx="23">
                  <c:v>2.3515999999999999</c:v>
                </c:pt>
                <c:pt idx="24">
                  <c:v>2.3788999999999998</c:v>
                </c:pt>
                <c:pt idx="25">
                  <c:v>2.3742999999999999</c:v>
                </c:pt>
                <c:pt idx="26">
                  <c:v>2.3693</c:v>
                </c:pt>
                <c:pt idx="27">
                  <c:v>2.3672</c:v>
                </c:pt>
                <c:pt idx="28">
                  <c:v>2.3639000000000001</c:v>
                </c:pt>
                <c:pt idx="29">
                  <c:v>2.2854000000000001</c:v>
                </c:pt>
                <c:pt idx="30">
                  <c:v>2.2219000000000002</c:v>
                </c:pt>
                <c:pt idx="31">
                  <c:v>2.1051000000000002</c:v>
                </c:pt>
                <c:pt idx="32">
                  <c:v>2.1356000000000002</c:v>
                </c:pt>
                <c:pt idx="33">
                  <c:v>2.1785000000000001</c:v>
                </c:pt>
                <c:pt idx="34">
                  <c:v>2.1398000000000001</c:v>
                </c:pt>
                <c:pt idx="35">
                  <c:v>2.3254000000000001</c:v>
                </c:pt>
                <c:pt idx="36">
                  <c:v>2.3382999999999998</c:v>
                </c:pt>
                <c:pt idx="37">
                  <c:v>2.3513000000000002</c:v>
                </c:pt>
                <c:pt idx="38">
                  <c:v>2.4123999999999999</c:v>
                </c:pt>
                <c:pt idx="39">
                  <c:v>2.4384000000000001</c:v>
                </c:pt>
                <c:pt idx="40">
                  <c:v>2.0954000000000002</c:v>
                </c:pt>
                <c:pt idx="41">
                  <c:v>2.2709000000000001</c:v>
                </c:pt>
                <c:pt idx="42">
                  <c:v>2.0026000000000002</c:v>
                </c:pt>
                <c:pt idx="43">
                  <c:v>2.1061999999999999</c:v>
                </c:pt>
                <c:pt idx="44">
                  <c:v>2.2656999999999998</c:v>
                </c:pt>
                <c:pt idx="45">
                  <c:v>2.4668999999999999</c:v>
                </c:pt>
                <c:pt idx="46">
                  <c:v>2.3656000000000001</c:v>
                </c:pt>
                <c:pt idx="47">
                  <c:v>2.2551000000000001</c:v>
                </c:pt>
                <c:pt idx="48">
                  <c:v>2.2277</c:v>
                </c:pt>
                <c:pt idx="49">
                  <c:v>2.3549000000000002</c:v>
                </c:pt>
                <c:pt idx="50">
                  <c:v>2.3384999999999998</c:v>
                </c:pt>
                <c:pt idx="51">
                  <c:v>2.2734999999999999</c:v>
                </c:pt>
                <c:pt idx="52">
                  <c:v>2.2345999999999999</c:v>
                </c:pt>
                <c:pt idx="53">
                  <c:v>2.1484999999999999</c:v>
                </c:pt>
                <c:pt idx="54">
                  <c:v>1.8398000000000001</c:v>
                </c:pt>
                <c:pt idx="55">
                  <c:v>1.857</c:v>
                </c:pt>
                <c:pt idx="56">
                  <c:v>2.0632999999999999</c:v>
                </c:pt>
                <c:pt idx="57">
                  <c:v>2.2721</c:v>
                </c:pt>
                <c:pt idx="58">
                  <c:v>3.0518999999999998</c:v>
                </c:pt>
              </c:numCache>
            </c:numRef>
          </c:val>
          <c:smooth val="1"/>
        </c:ser>
        <c:dLbls>
          <c:showLegendKey val="0"/>
          <c:showVal val="0"/>
          <c:showCatName val="0"/>
          <c:showSerName val="0"/>
          <c:showPercent val="0"/>
          <c:showBubbleSize val="0"/>
        </c:dLbls>
        <c:marker val="1"/>
        <c:smooth val="0"/>
        <c:axId val="238071808"/>
        <c:axId val="238073344"/>
      </c:lineChart>
      <c:dateAx>
        <c:axId val="238071808"/>
        <c:scaling>
          <c:orientation val="minMax"/>
        </c:scaling>
        <c:delete val="0"/>
        <c:axPos val="b"/>
        <c:numFmt formatCode="mm\-dd" sourceLinked="0"/>
        <c:majorTickMark val="out"/>
        <c:minorTickMark val="out"/>
        <c:tickLblPos val="low"/>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238073344"/>
        <c:crosses val="autoZero"/>
        <c:auto val="0"/>
        <c:lblOffset val="0"/>
        <c:baseTimeUnit val="days"/>
        <c:majorUnit val="14"/>
        <c:majorTimeUnit val="days"/>
        <c:minorUnit val="7"/>
        <c:minorTimeUnit val="days"/>
      </c:dateAx>
      <c:valAx>
        <c:axId val="238073344"/>
        <c:scaling>
          <c:orientation val="minMax"/>
        </c:scaling>
        <c:delete val="0"/>
        <c:axPos val="l"/>
        <c:numFmt formatCode="#,##0.0_);[Red]\(#,##0.0\)" sourceLinked="0"/>
        <c:majorTickMark val="out"/>
        <c:minorTickMark val="none"/>
        <c:tickLblPos val="nextTo"/>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238071808"/>
        <c:crosses val="autoZero"/>
        <c:crossBetween val="between"/>
      </c:valAx>
    </c:plotArea>
    <c:legend>
      <c:legendPos val="r"/>
      <c:layout>
        <c:manualLayout>
          <c:xMode val="edge"/>
          <c:yMode val="edge"/>
          <c:x val="0.15502777777777799"/>
          <c:y val="2.3337707786526699E-3"/>
          <c:w val="0.690571084864392"/>
          <c:h val="0.191825016511006"/>
        </c:manualLayout>
      </c:layout>
      <c:overlay val="0"/>
      <c:spPr>
        <a:noFill/>
        <a:ln w="3175">
          <a:noFill/>
          <a:prstDash val="soli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legend>
    <c:plotVisOnly val="1"/>
    <c:dispBlanksAs val="span"/>
    <c:showDLblsOverMax val="0"/>
  </c:chart>
  <c:spPr>
    <a:ln w="6350" cap="flat" cmpd="sng" algn="ctr">
      <a:noFill/>
      <a:prstDash val="solid"/>
      <a:round/>
    </a:ln>
  </c:spPr>
  <c:txPr>
    <a:bodyPr/>
    <a:lstStyle/>
    <a:p>
      <a:pPr>
        <a:defRPr lang="zh-CN"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8932852143482104E-2"/>
          <c:y val="0.111965952172645"/>
          <c:w val="0.88363429571303598"/>
          <c:h val="0.81409120734908103"/>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txPr>
              <a:bodyPr rot="0" spcFirstLastPara="0" vertOverflow="ellipsis" vert="horz" wrap="square" lIns="38100" tIns="19050" rIns="38100" bIns="19050"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dLblPos val="inBase"/>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-8.7100000000000204</c:v>
                </c:pt>
                <c:pt idx="1">
                  <c:v>-0.139999999999985</c:v>
                </c:pt>
                <c:pt idx="2">
                  <c:v>1.24</c:v>
                </c:pt>
                <c:pt idx="3">
                  <c:v>-7.9199999999999697</c:v>
                </c:pt>
                <c:pt idx="4">
                  <c:v>-6.61</c:v>
                </c:pt>
                <c:pt idx="5">
                  <c:v>-2.04</c:v>
                </c:pt>
                <c:pt idx="6">
                  <c:v>-1.8399999999999701</c:v>
                </c:pt>
              </c:numCache>
            </c:numRef>
          </c:val>
        </c:ser>
        <c:dLbls>
          <c:showLegendKey val="0"/>
          <c:showVal val="0"/>
          <c:showCatName val="0"/>
          <c:showSerName val="0"/>
          <c:showPercent val="0"/>
          <c:showBubbleSize val="0"/>
        </c:dLbls>
        <c:gapWidth val="150"/>
        <c:axId val="238580480"/>
        <c:axId val="238582400"/>
      </c:barChart>
      <c:lineChart>
        <c:grouping val="standard"/>
        <c:varyColors val="0"/>
        <c:ser>
          <c:idx val="2"/>
          <c:order val="1"/>
          <c:tx>
            <c:strRef>
              <c:f>国债!$J$4</c:f>
              <c:strCache>
                <c:ptCount val="1"/>
                <c:pt idx="0">
                  <c:v>本周</c:v>
                </c:pt>
              </c:strCache>
            </c:strRef>
          </c:tx>
          <c:spPr>
            <a:ln w="22225" cap="rnd" cmpd="sng" algn="ctr">
              <a:solidFill>
                <a:srgbClr val="BF5711"/>
              </a:solidFill>
              <a:prstDash val="solid"/>
              <a:round/>
            </a:ln>
          </c:spPr>
          <c:marker>
            <c:symbol val="diamond"/>
            <c:size val="7"/>
            <c:spPr>
              <a:solidFill>
                <a:sysClr val="window" lastClr="FFFFFF"/>
              </a:solidFill>
              <a:ln w="15875" cap="flat" cmpd="sng" algn="ctr">
                <a:solidFill>
                  <a:srgbClr val="BF5711"/>
                </a:solidFill>
                <a:prstDash val="solid"/>
                <a:round/>
              </a:ln>
            </c:spPr>
          </c:marker>
          <c:dLbls>
            <c:dLbl>
              <c:idx val="0"/>
              <c:delete val="1"/>
            </c:dLbl>
            <c:dLbl>
              <c:idx val="1"/>
              <c:delete val="1"/>
            </c:dLbl>
            <c:dLbl>
              <c:idx val="2"/>
              <c:delete val="1"/>
            </c:dLbl>
            <c:dLbl>
              <c:idx val="3"/>
              <c:delete val="1"/>
            </c:dLbl>
            <c:dLbl>
              <c:idx val="4"/>
              <c:delete val="1"/>
            </c:dLbl>
            <c:dLbl>
              <c:idx val="5"/>
              <c:delete val="1"/>
            </c:dLbl>
            <c:spPr>
              <a:noFill/>
              <a:ln>
                <a:noFill/>
              </a:ln>
              <a:effectLst/>
            </c:spPr>
            <c:txPr>
              <a:bodyPr rot="0" spcFirstLastPara="0" vertOverflow="ellipsis" vert="horz" wrap="square" lIns="38100" tIns="19050" rIns="38100" bIns="19050"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1.9231</c:v>
                </c:pt>
                <c:pt idx="1">
                  <c:v>2.3218000000000001</c:v>
                </c:pt>
                <c:pt idx="2">
                  <c:v>2.6088</c:v>
                </c:pt>
                <c:pt idx="3">
                  <c:v>2.83</c:v>
                </c:pt>
                <c:pt idx="4">
                  <c:v>2.9710000000000001</c:v>
                </c:pt>
                <c:pt idx="5">
                  <c:v>3.1682000000000001</c:v>
                </c:pt>
                <c:pt idx="6">
                  <c:v>3.1162000000000001</c:v>
                </c:pt>
              </c:numCache>
            </c:numRef>
          </c:val>
          <c:smooth val="0"/>
        </c:ser>
        <c:ser>
          <c:idx val="1"/>
          <c:order val="2"/>
          <c:tx>
            <c:strRef>
              <c:f>国债!$J$5</c:f>
              <c:strCache>
                <c:ptCount val="1"/>
                <c:pt idx="0">
                  <c:v>上周</c:v>
                </c:pt>
              </c:strCache>
            </c:strRef>
          </c:tx>
          <c:spPr>
            <a:ln w="22225" cap="rnd" cmpd="sng" algn="ctr">
              <a:solidFill>
                <a:srgbClr val="ED7D31"/>
              </a:solidFill>
              <a:prstDash val="sysDash"/>
              <a:round/>
            </a:ln>
          </c:spPr>
          <c:marker>
            <c:symbol val="diamond"/>
            <c:size val="7"/>
            <c:spPr>
              <a:solidFill>
                <a:sysClr val="window" lastClr="FFFFFF"/>
              </a:solidFill>
              <a:ln w="15875" cap="flat" cmpd="sng" algn="ctr">
                <a:solidFill>
                  <a:srgbClr val="ED7D31"/>
                </a:solidFill>
                <a:prstDash val="solid"/>
                <a:round/>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2.0102000000000002</c:v>
                </c:pt>
                <c:pt idx="1">
                  <c:v>2.3231999999999999</c:v>
                </c:pt>
                <c:pt idx="2">
                  <c:v>2.5964</c:v>
                </c:pt>
                <c:pt idx="3">
                  <c:v>2.9091999999999998</c:v>
                </c:pt>
                <c:pt idx="4">
                  <c:v>3.0371000000000001</c:v>
                </c:pt>
                <c:pt idx="5">
                  <c:v>3.1886000000000001</c:v>
                </c:pt>
                <c:pt idx="6">
                  <c:v>3.1345999999999998</c:v>
                </c:pt>
              </c:numCache>
            </c:numRef>
          </c:val>
          <c:smooth val="0"/>
        </c:ser>
        <c:dLbls>
          <c:showLegendKey val="0"/>
          <c:showVal val="0"/>
          <c:showCatName val="0"/>
          <c:showSerName val="0"/>
          <c:showPercent val="0"/>
          <c:showBubbleSize val="0"/>
        </c:dLbls>
        <c:marker val="1"/>
        <c:smooth val="0"/>
        <c:axId val="238604672"/>
        <c:axId val="238606208"/>
      </c:lineChart>
      <c:dateAx>
        <c:axId val="238580480"/>
        <c:scaling>
          <c:orientation val="minMax"/>
        </c:scaling>
        <c:delete val="0"/>
        <c:axPos val="b"/>
        <c:numFmt formatCode="yy\-mm;@" sourceLinked="0"/>
        <c:majorTickMark val="out"/>
        <c:minorTickMark val="out"/>
        <c:tickLblPos val="low"/>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238582400"/>
        <c:crosses val="autoZero"/>
        <c:auto val="0"/>
        <c:lblOffset val="0"/>
        <c:baseTimeUnit val="days"/>
      </c:dateAx>
      <c:valAx>
        <c:axId val="238582400"/>
        <c:scaling>
          <c:orientation val="minMax"/>
          <c:max val="10"/>
        </c:scaling>
        <c:delete val="0"/>
        <c:axPos val="l"/>
        <c:numFmt formatCode="#,##0_);[Red]\(#,##0\)" sourceLinked="0"/>
        <c:majorTickMark val="out"/>
        <c:minorTickMark val="none"/>
        <c:tickLblPos val="nextTo"/>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238580480"/>
        <c:crosses val="autoZero"/>
        <c:crossBetween val="between"/>
      </c:valAx>
      <c:dateAx>
        <c:axId val="238604672"/>
        <c:scaling>
          <c:orientation val="minMax"/>
        </c:scaling>
        <c:delete val="1"/>
        <c:axPos val="b"/>
        <c:numFmt formatCode="General" sourceLinked="1"/>
        <c:majorTickMark val="out"/>
        <c:minorTickMark val="none"/>
        <c:tickLblPos val="nextTo"/>
        <c:crossAx val="238606208"/>
        <c:crosses val="autoZero"/>
        <c:auto val="0"/>
        <c:lblOffset val="100"/>
        <c:baseTimeUnit val="days"/>
      </c:dateAx>
      <c:valAx>
        <c:axId val="238606208"/>
        <c:scaling>
          <c:orientation val="minMax"/>
        </c:scaling>
        <c:delete val="0"/>
        <c:axPos val="r"/>
        <c:numFmt formatCode="#,##0.0_);[Red]\(#,##0.0\)" sourceLinked="0"/>
        <c:majorTickMark val="out"/>
        <c:minorTickMark val="none"/>
        <c:tickLblPos val="nextTo"/>
        <c:spPr>
          <a:ln w="3175" cap="flat" cmpd="sng" algn="ctr">
            <a:solidFill>
              <a:sysClr val="windowText" lastClr="000000"/>
            </a:solidFill>
            <a:prstDash val="solid"/>
            <a:round/>
          </a:ln>
        </c:spPr>
        <c:txPr>
          <a:bodyPr rot="-6000000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238604672"/>
        <c:crosses val="max"/>
        <c:crossBetween val="between"/>
      </c:valAx>
    </c:plotArea>
    <c:legend>
      <c:legendPos val="r"/>
      <c:layout>
        <c:manualLayout>
          <c:xMode val="edge"/>
          <c:yMode val="edge"/>
          <c:x val="0.15225"/>
          <c:y val="2.3337707786526699E-3"/>
          <c:w val="0.690571084864392"/>
          <c:h val="7.6589749198016893E-2"/>
        </c:manualLayout>
      </c:layout>
      <c:overlay val="0"/>
      <c:spPr>
        <a:noFill/>
        <a:ln w="3175">
          <a:noFill/>
          <a:prstDash val="soli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legend>
    <c:plotVisOnly val="1"/>
    <c:dispBlanksAs val="span"/>
    <c:showDLblsOverMax val="0"/>
  </c:chart>
  <c:spPr>
    <a:ln w="6350" cap="flat" cmpd="sng" algn="ctr">
      <a:noFill/>
      <a:prstDash val="solid"/>
      <a:round/>
    </a:ln>
  </c:spPr>
  <c:txPr>
    <a:bodyPr/>
    <a:lstStyle/>
    <a:p>
      <a:pPr>
        <a:defRPr lang="zh-CN"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8932852143482104E-2"/>
          <c:y val="0.111965952172645"/>
          <c:w val="0.86463429571303596"/>
          <c:h val="0.81409120734908103"/>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txPr>
              <a:bodyPr rot="0" spcFirstLastPara="0" vertOverflow="ellipsis" vert="horz" wrap="square" lIns="38100" tIns="19050" rIns="38100" bIns="19050"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dLblPos val="inBase"/>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-8.7099999999999707</c:v>
                </c:pt>
                <c:pt idx="1">
                  <c:v>-10.68</c:v>
                </c:pt>
                <c:pt idx="2">
                  <c:v>-0.67999999999996996</c:v>
                </c:pt>
                <c:pt idx="3">
                  <c:v>-5.89</c:v>
                </c:pt>
                <c:pt idx="4">
                  <c:v>-5.8399999999999803</c:v>
                </c:pt>
                <c:pt idx="5">
                  <c:v>8.3699999999999903</c:v>
                </c:pt>
                <c:pt idx="6">
                  <c:v>1.9999999999997801E-2</c:v>
                </c:pt>
              </c:numCache>
            </c:numRef>
          </c:val>
        </c:ser>
        <c:dLbls>
          <c:showLegendKey val="0"/>
          <c:showVal val="0"/>
          <c:showCatName val="0"/>
          <c:showSerName val="0"/>
          <c:showPercent val="0"/>
          <c:showBubbleSize val="0"/>
        </c:dLbls>
        <c:gapWidth val="150"/>
        <c:axId val="238507520"/>
        <c:axId val="238509440"/>
      </c:barChart>
      <c:lineChart>
        <c:grouping val="standard"/>
        <c:varyColors val="0"/>
        <c:ser>
          <c:idx val="2"/>
          <c:order val="1"/>
          <c:tx>
            <c:strRef>
              <c:f>国开!$J$4</c:f>
              <c:strCache>
                <c:ptCount val="1"/>
                <c:pt idx="0">
                  <c:v>本周</c:v>
                </c:pt>
              </c:strCache>
            </c:strRef>
          </c:tx>
          <c:spPr>
            <a:ln w="22225" cap="rnd" cmpd="sng" algn="ctr">
              <a:solidFill>
                <a:srgbClr val="BF5711"/>
              </a:solidFill>
              <a:prstDash val="solid"/>
              <a:round/>
            </a:ln>
          </c:spPr>
          <c:marker>
            <c:symbol val="diamond"/>
            <c:size val="7"/>
            <c:spPr>
              <a:solidFill>
                <a:sysClr val="window" lastClr="FFFFFF"/>
              </a:solidFill>
              <a:ln w="15875" cap="flat" cmpd="sng" algn="ctr">
                <a:solidFill>
                  <a:srgbClr val="BF5711"/>
                </a:solidFill>
                <a:prstDash val="solid"/>
                <a:round/>
              </a:ln>
            </c:spPr>
          </c:marker>
          <c:dLbls>
            <c:dLbl>
              <c:idx val="0"/>
              <c:delete val="1"/>
            </c:dLbl>
            <c:dLbl>
              <c:idx val="1"/>
              <c:delete val="1"/>
            </c:dLbl>
            <c:dLbl>
              <c:idx val="2"/>
              <c:delete val="1"/>
            </c:dLbl>
            <c:dLbl>
              <c:idx val="3"/>
              <c:delete val="1"/>
            </c:dLbl>
            <c:dLbl>
              <c:idx val="4"/>
              <c:delete val="1"/>
            </c:dLbl>
            <c:dLbl>
              <c:idx val="5"/>
              <c:delete val="1"/>
            </c:dLbl>
            <c:spPr>
              <a:noFill/>
              <a:ln>
                <a:noFill/>
              </a:ln>
              <a:effectLst/>
            </c:spPr>
            <c:txPr>
              <a:bodyPr rot="0" spcFirstLastPara="0" vertOverflow="ellipsis" vert="horz" wrap="square" lIns="38100" tIns="19050" rIns="38100" bIns="19050"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dLblPos val="t"/>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1.9547000000000001</c:v>
                </c:pt>
                <c:pt idx="1">
                  <c:v>2.4386000000000001</c:v>
                </c:pt>
                <c:pt idx="2">
                  <c:v>2.8033000000000001</c:v>
                </c:pt>
                <c:pt idx="3">
                  <c:v>3.2524000000000002</c:v>
                </c:pt>
                <c:pt idx="4">
                  <c:v>3.4306000000000001</c:v>
                </c:pt>
                <c:pt idx="5">
                  <c:v>3.6627000000000001</c:v>
                </c:pt>
                <c:pt idx="6">
                  <c:v>3.6812999999999998</c:v>
                </c:pt>
              </c:numCache>
            </c:numRef>
          </c:val>
          <c:smooth val="0"/>
        </c:ser>
        <c:ser>
          <c:idx val="1"/>
          <c:order val="2"/>
          <c:tx>
            <c:strRef>
              <c:f>国开!$J$5</c:f>
              <c:strCache>
                <c:ptCount val="1"/>
                <c:pt idx="0">
                  <c:v>上周</c:v>
                </c:pt>
              </c:strCache>
            </c:strRef>
          </c:tx>
          <c:spPr>
            <a:ln w="22225" cap="rnd" cmpd="sng" algn="ctr">
              <a:solidFill>
                <a:srgbClr val="ED7D31"/>
              </a:solidFill>
              <a:prstDash val="sysDash"/>
              <a:round/>
            </a:ln>
          </c:spPr>
          <c:marker>
            <c:symbol val="diamond"/>
            <c:size val="7"/>
            <c:spPr>
              <a:solidFill>
                <a:sysClr val="window" lastClr="FFFFFF"/>
              </a:solidFill>
              <a:ln w="15875" cap="flat" cmpd="sng" algn="ctr">
                <a:solidFill>
                  <a:srgbClr val="ED7D31"/>
                </a:solidFill>
                <a:prstDash val="solid"/>
                <a:round/>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2.0417999999999998</c:v>
                </c:pt>
                <c:pt idx="1">
                  <c:v>2.5453999999999999</c:v>
                </c:pt>
                <c:pt idx="2">
                  <c:v>2.8100999999999998</c:v>
                </c:pt>
                <c:pt idx="3">
                  <c:v>3.3113000000000001</c:v>
                </c:pt>
                <c:pt idx="4">
                  <c:v>3.4889999999999999</c:v>
                </c:pt>
                <c:pt idx="5">
                  <c:v>3.5790000000000002</c:v>
                </c:pt>
                <c:pt idx="6">
                  <c:v>3.6810999999999998</c:v>
                </c:pt>
              </c:numCache>
            </c:numRef>
          </c:val>
          <c:smooth val="0"/>
        </c:ser>
        <c:dLbls>
          <c:showLegendKey val="0"/>
          <c:showVal val="0"/>
          <c:showCatName val="0"/>
          <c:showSerName val="0"/>
          <c:showPercent val="0"/>
          <c:showBubbleSize val="0"/>
        </c:dLbls>
        <c:marker val="1"/>
        <c:smooth val="0"/>
        <c:axId val="238511232"/>
        <c:axId val="238512768"/>
      </c:lineChart>
      <c:dateAx>
        <c:axId val="238507520"/>
        <c:scaling>
          <c:orientation val="minMax"/>
        </c:scaling>
        <c:delete val="0"/>
        <c:axPos val="b"/>
        <c:numFmt formatCode="yy\-mm;@" sourceLinked="0"/>
        <c:majorTickMark val="out"/>
        <c:minorTickMark val="out"/>
        <c:tickLblPos val="low"/>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238509440"/>
        <c:crosses val="autoZero"/>
        <c:auto val="0"/>
        <c:lblOffset val="0"/>
        <c:baseTimeUnit val="days"/>
      </c:dateAx>
      <c:valAx>
        <c:axId val="238509440"/>
        <c:scaling>
          <c:orientation val="minMax"/>
          <c:max val="10"/>
        </c:scaling>
        <c:delete val="0"/>
        <c:axPos val="l"/>
        <c:numFmt formatCode="#,##0_);[Red]\(#,##0\)" sourceLinked="0"/>
        <c:majorTickMark val="out"/>
        <c:minorTickMark val="none"/>
        <c:tickLblPos val="nextTo"/>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238507520"/>
        <c:crosses val="autoZero"/>
        <c:crossBetween val="between"/>
      </c:valAx>
      <c:dateAx>
        <c:axId val="238511232"/>
        <c:scaling>
          <c:orientation val="minMax"/>
        </c:scaling>
        <c:delete val="1"/>
        <c:axPos val="b"/>
        <c:numFmt formatCode="General" sourceLinked="1"/>
        <c:majorTickMark val="out"/>
        <c:minorTickMark val="none"/>
        <c:tickLblPos val="nextTo"/>
        <c:crossAx val="238512768"/>
        <c:crosses val="autoZero"/>
        <c:auto val="0"/>
        <c:lblOffset val="100"/>
        <c:baseTimeUnit val="days"/>
      </c:dateAx>
      <c:valAx>
        <c:axId val="238512768"/>
        <c:scaling>
          <c:orientation val="minMax"/>
        </c:scaling>
        <c:delete val="0"/>
        <c:axPos val="r"/>
        <c:numFmt formatCode="#,##0.0_);[Red]\(#,##0.0\)" sourceLinked="0"/>
        <c:majorTickMark val="out"/>
        <c:minorTickMark val="none"/>
        <c:tickLblPos val="nextTo"/>
        <c:spPr>
          <a:ln w="3175" cap="flat" cmpd="sng" algn="ctr">
            <a:solidFill>
              <a:sysClr val="windowText" lastClr="000000"/>
            </a:solidFill>
            <a:prstDash val="solid"/>
            <a:round/>
          </a:ln>
        </c:spPr>
        <c:txPr>
          <a:bodyPr rot="-6000000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238511232"/>
        <c:crosses val="max"/>
        <c:crossBetween val="between"/>
      </c:valAx>
    </c:plotArea>
    <c:legend>
      <c:legendPos val="r"/>
      <c:layout>
        <c:manualLayout>
          <c:xMode val="edge"/>
          <c:yMode val="edge"/>
          <c:x val="0.15225"/>
          <c:y val="2.3337707786526699E-3"/>
          <c:w val="0.690571084864392"/>
          <c:h val="7.6589749198016893E-2"/>
        </c:manualLayout>
      </c:layout>
      <c:overlay val="0"/>
      <c:spPr>
        <a:noFill/>
        <a:ln w="3175">
          <a:noFill/>
          <a:prstDash val="soli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legend>
    <c:plotVisOnly val="1"/>
    <c:dispBlanksAs val="span"/>
    <c:showDLblsOverMax val="0"/>
  </c:chart>
  <c:spPr>
    <a:ln w="6350" cap="flat" cmpd="sng" algn="ctr">
      <a:noFill/>
      <a:prstDash val="solid"/>
      <a:round/>
    </a:ln>
  </c:spPr>
  <c:txPr>
    <a:bodyPr/>
    <a:lstStyle/>
    <a:p>
      <a:pPr>
        <a:defRPr lang="zh-CN"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0099518810148703E-2"/>
          <c:y val="0.10270669291338599"/>
          <c:w val="0.91250459317585297"/>
          <c:h val="0.81409120734908103"/>
        </c:manualLayout>
      </c:layout>
      <c:lineChart>
        <c:grouping val="standard"/>
        <c:varyColors val="0"/>
        <c:ser>
          <c:idx val="0"/>
          <c:order val="0"/>
          <c:tx>
            <c:strRef>
              <c:f>转债!$H$4</c:f>
              <c:strCache>
                <c:ptCount val="1"/>
                <c:pt idx="0">
                  <c:v>中证转债</c:v>
                </c:pt>
              </c:strCache>
            </c:strRef>
          </c:tx>
          <c:spPr>
            <a:ln w="25400" cap="rnd" cmpd="sng" algn="ctr">
              <a:solidFill>
                <a:srgbClr val="ED7D31">
                  <a:lumMod val="75000"/>
                </a:srgbClr>
              </a:solidFill>
              <a:prstDash val="solid"/>
              <a:round/>
            </a:ln>
          </c:spPr>
          <c:marker>
            <c:symbol val="none"/>
          </c:marker>
          <c:cat>
            <c:numRef>
              <c:f>转债!$G$5:$G$28</c:f>
              <c:numCache>
                <c:formatCode>yyyy\-mm\-dd</c:formatCode>
                <c:ptCount val="24"/>
                <c:pt idx="0">
                  <c:v>44092</c:v>
                </c:pt>
                <c:pt idx="1">
                  <c:v>44085</c:v>
                </c:pt>
                <c:pt idx="2">
                  <c:v>44078</c:v>
                </c:pt>
                <c:pt idx="3">
                  <c:v>44071</c:v>
                </c:pt>
                <c:pt idx="4">
                  <c:v>44064</c:v>
                </c:pt>
                <c:pt idx="5">
                  <c:v>44057</c:v>
                </c:pt>
                <c:pt idx="6">
                  <c:v>44050</c:v>
                </c:pt>
                <c:pt idx="7">
                  <c:v>44043</c:v>
                </c:pt>
                <c:pt idx="8">
                  <c:v>44036</c:v>
                </c:pt>
                <c:pt idx="9">
                  <c:v>44029</c:v>
                </c:pt>
                <c:pt idx="10">
                  <c:v>44022</c:v>
                </c:pt>
                <c:pt idx="11">
                  <c:v>44015</c:v>
                </c:pt>
                <c:pt idx="12">
                  <c:v>44006</c:v>
                </c:pt>
                <c:pt idx="13">
                  <c:v>44001</c:v>
                </c:pt>
                <c:pt idx="14">
                  <c:v>43994</c:v>
                </c:pt>
                <c:pt idx="15">
                  <c:v>43987</c:v>
                </c:pt>
                <c:pt idx="16">
                  <c:v>43980</c:v>
                </c:pt>
                <c:pt idx="17">
                  <c:v>43973</c:v>
                </c:pt>
                <c:pt idx="18">
                  <c:v>43966</c:v>
                </c:pt>
                <c:pt idx="19">
                  <c:v>43959</c:v>
                </c:pt>
                <c:pt idx="20">
                  <c:v>43951</c:v>
                </c:pt>
                <c:pt idx="21">
                  <c:v>43945</c:v>
                </c:pt>
                <c:pt idx="22">
                  <c:v>43938</c:v>
                </c:pt>
                <c:pt idx="23">
                  <c:v>43931</c:v>
                </c:pt>
              </c:numCache>
            </c:numRef>
          </c:cat>
          <c:val>
            <c:numRef>
              <c:f>转债!$H$5:$H$28</c:f>
              <c:numCache>
                <c:formatCode>General</c:formatCode>
                <c:ptCount val="24"/>
                <c:pt idx="0">
                  <c:v>3.6589554350604301</c:v>
                </c:pt>
                <c:pt idx="1">
                  <c:v>3.5353509420527902</c:v>
                </c:pt>
                <c:pt idx="2">
                  <c:v>6.2897371471866101</c:v>
                </c:pt>
                <c:pt idx="3">
                  <c:v>6.01334574798262</c:v>
                </c:pt>
                <c:pt idx="4">
                  <c:v>6.1250547705115501</c:v>
                </c:pt>
                <c:pt idx="5">
                  <c:v>6.0092950122320596</c:v>
                </c:pt>
                <c:pt idx="6">
                  <c:v>6.4578141545258596</c:v>
                </c:pt>
                <c:pt idx="7">
                  <c:v>5.2980485723153299</c:v>
                </c:pt>
                <c:pt idx="8">
                  <c:v>2.95729383466607</c:v>
                </c:pt>
                <c:pt idx="9">
                  <c:v>2.4996748000876399</c:v>
                </c:pt>
                <c:pt idx="10">
                  <c:v>6.2007065395990804</c:v>
                </c:pt>
                <c:pt idx="11">
                  <c:v>2.1234698488333801</c:v>
                </c:pt>
                <c:pt idx="12">
                  <c:v>-2.0559195512469501</c:v>
                </c:pt>
                <c:pt idx="13">
                  <c:v>-1.5511750556833499</c:v>
                </c:pt>
                <c:pt idx="14">
                  <c:v>-2.4021433526855902</c:v>
                </c:pt>
                <c:pt idx="15">
                  <c:v>-2.0638498648994101</c:v>
                </c:pt>
                <c:pt idx="16">
                  <c:v>-2.4678109139372699</c:v>
                </c:pt>
                <c:pt idx="17">
                  <c:v>-3.2332288129404501</c:v>
                </c:pt>
                <c:pt idx="18">
                  <c:v>-0.789208839960576</c:v>
                </c:pt>
                <c:pt idx="19">
                  <c:v>0.76307874173877599</c:v>
                </c:pt>
                <c:pt idx="20">
                  <c:v>0.80612494066527596</c:v>
                </c:pt>
                <c:pt idx="21">
                  <c:v>-0.11670112644686099</c:v>
                </c:pt>
                <c:pt idx="22">
                  <c:v>7.9502820681343095E-2</c:v>
                </c:pt>
                <c:pt idx="23">
                  <c:v>0</c:v>
                </c:pt>
              </c:numCache>
            </c:numRef>
          </c:val>
          <c:smooth val="1"/>
        </c:ser>
        <c:ser>
          <c:idx val="2"/>
          <c:order val="1"/>
          <c:tx>
            <c:strRef>
              <c:f>转债!$I$4</c:f>
              <c:strCache>
                <c:ptCount val="1"/>
                <c:pt idx="0">
                  <c:v>中债总净价</c:v>
                </c:pt>
              </c:strCache>
            </c:strRef>
          </c:tx>
          <c:spPr>
            <a:ln w="25400" cap="rnd" cmpd="sng" algn="ctr">
              <a:solidFill>
                <a:srgbClr val="ED7D31"/>
              </a:solidFill>
              <a:prstDash val="sysDash"/>
              <a:round/>
            </a:ln>
          </c:spPr>
          <c:marker>
            <c:symbol val="none"/>
          </c:marker>
          <c:cat>
            <c:numRef>
              <c:f>转债!$G$5:$G$28</c:f>
              <c:numCache>
                <c:formatCode>yyyy\-mm\-dd</c:formatCode>
                <c:ptCount val="24"/>
                <c:pt idx="0">
                  <c:v>44092</c:v>
                </c:pt>
                <c:pt idx="1">
                  <c:v>44085</c:v>
                </c:pt>
                <c:pt idx="2">
                  <c:v>44078</c:v>
                </c:pt>
                <c:pt idx="3">
                  <c:v>44071</c:v>
                </c:pt>
                <c:pt idx="4">
                  <c:v>44064</c:v>
                </c:pt>
                <c:pt idx="5">
                  <c:v>44057</c:v>
                </c:pt>
                <c:pt idx="6">
                  <c:v>44050</c:v>
                </c:pt>
                <c:pt idx="7">
                  <c:v>44043</c:v>
                </c:pt>
                <c:pt idx="8">
                  <c:v>44036</c:v>
                </c:pt>
                <c:pt idx="9">
                  <c:v>44029</c:v>
                </c:pt>
                <c:pt idx="10">
                  <c:v>44022</c:v>
                </c:pt>
                <c:pt idx="11">
                  <c:v>44015</c:v>
                </c:pt>
                <c:pt idx="12">
                  <c:v>44006</c:v>
                </c:pt>
                <c:pt idx="13">
                  <c:v>44001</c:v>
                </c:pt>
                <c:pt idx="14">
                  <c:v>43994</c:v>
                </c:pt>
                <c:pt idx="15">
                  <c:v>43987</c:v>
                </c:pt>
                <c:pt idx="16">
                  <c:v>43980</c:v>
                </c:pt>
                <c:pt idx="17">
                  <c:v>43973</c:v>
                </c:pt>
                <c:pt idx="18">
                  <c:v>43966</c:v>
                </c:pt>
                <c:pt idx="19">
                  <c:v>43959</c:v>
                </c:pt>
                <c:pt idx="20">
                  <c:v>43951</c:v>
                </c:pt>
                <c:pt idx="21">
                  <c:v>43945</c:v>
                </c:pt>
                <c:pt idx="22">
                  <c:v>43938</c:v>
                </c:pt>
                <c:pt idx="23">
                  <c:v>43931</c:v>
                </c:pt>
              </c:numCache>
            </c:numRef>
          </c:cat>
          <c:val>
            <c:numRef>
              <c:f>转债!$I$5:$I$28</c:f>
              <c:numCache>
                <c:formatCode>General</c:formatCode>
                <c:ptCount val="24"/>
                <c:pt idx="0">
                  <c:v>-4.4731323187400598</c:v>
                </c:pt>
                <c:pt idx="1">
                  <c:v>-4.4914113182912399</c:v>
                </c:pt>
                <c:pt idx="2">
                  <c:v>-4.5173609694397996</c:v>
                </c:pt>
                <c:pt idx="3">
                  <c:v>-4.27940756456813</c:v>
                </c:pt>
                <c:pt idx="4">
                  <c:v>-3.80717287527031</c:v>
                </c:pt>
                <c:pt idx="5">
                  <c:v>-3.58782488065608</c:v>
                </c:pt>
                <c:pt idx="6">
                  <c:v>-3.7880778489534399</c:v>
                </c:pt>
                <c:pt idx="7">
                  <c:v>-3.5837447468276999</c:v>
                </c:pt>
                <c:pt idx="8">
                  <c:v>-3.0559386347872302</c:v>
                </c:pt>
                <c:pt idx="9">
                  <c:v>-3.6855848871843002</c:v>
                </c:pt>
                <c:pt idx="10">
                  <c:v>-3.9086866049206401</c:v>
                </c:pt>
                <c:pt idx="11">
                  <c:v>-2.70708719245992</c:v>
                </c:pt>
                <c:pt idx="12">
                  <c:v>-2.7469909013015599</c:v>
                </c:pt>
                <c:pt idx="13">
                  <c:v>-2.6901954384103801</c:v>
                </c:pt>
                <c:pt idx="14">
                  <c:v>-2.1829532008649899</c:v>
                </c:pt>
                <c:pt idx="15">
                  <c:v>-2.6387041494961001</c:v>
                </c:pt>
                <c:pt idx="16">
                  <c:v>-1.42168183116406</c:v>
                </c:pt>
                <c:pt idx="17">
                  <c:v>-0.67795503692520398</c:v>
                </c:pt>
                <c:pt idx="18">
                  <c:v>-0.62850381492512997</c:v>
                </c:pt>
                <c:pt idx="19">
                  <c:v>-0.21192215104655099</c:v>
                </c:pt>
                <c:pt idx="20">
                  <c:v>0.38206373169038499</c:v>
                </c:pt>
                <c:pt idx="21">
                  <c:v>0.41731608796768999</c:v>
                </c:pt>
                <c:pt idx="22">
                  <c:v>0.109347586600839</c:v>
                </c:pt>
                <c:pt idx="23">
                  <c:v>0</c:v>
                </c:pt>
              </c:numCache>
            </c:numRef>
          </c:val>
          <c:smooth val="1"/>
        </c:ser>
        <c:ser>
          <c:idx val="1"/>
          <c:order val="2"/>
          <c:tx>
            <c:strRef>
              <c:f>转债!$J$4</c:f>
              <c:strCache>
                <c:ptCount val="1"/>
                <c:pt idx="0">
                  <c:v>沪深300</c:v>
                </c:pt>
              </c:strCache>
            </c:strRef>
          </c:tx>
          <c:spPr>
            <a:ln w="25400" cap="rnd" cmpd="sng" algn="ctr">
              <a:solidFill>
                <a:sysClr val="windowText" lastClr="000000">
                  <a:lumMod val="50000"/>
                  <a:lumOff val="50000"/>
                </a:sysClr>
              </a:solidFill>
              <a:prstDash val="sysDash"/>
              <a:round/>
            </a:ln>
          </c:spPr>
          <c:marker>
            <c:symbol val="none"/>
          </c:marker>
          <c:cat>
            <c:numRef>
              <c:f>转债!$G$5:$G$28</c:f>
              <c:numCache>
                <c:formatCode>yyyy\-mm\-dd</c:formatCode>
                <c:ptCount val="24"/>
                <c:pt idx="0">
                  <c:v>44092</c:v>
                </c:pt>
                <c:pt idx="1">
                  <c:v>44085</c:v>
                </c:pt>
                <c:pt idx="2">
                  <c:v>44078</c:v>
                </c:pt>
                <c:pt idx="3">
                  <c:v>44071</c:v>
                </c:pt>
                <c:pt idx="4">
                  <c:v>44064</c:v>
                </c:pt>
                <c:pt idx="5">
                  <c:v>44057</c:v>
                </c:pt>
                <c:pt idx="6">
                  <c:v>44050</c:v>
                </c:pt>
                <c:pt idx="7">
                  <c:v>44043</c:v>
                </c:pt>
                <c:pt idx="8">
                  <c:v>44036</c:v>
                </c:pt>
                <c:pt idx="9">
                  <c:v>44029</c:v>
                </c:pt>
                <c:pt idx="10">
                  <c:v>44022</c:v>
                </c:pt>
                <c:pt idx="11">
                  <c:v>44015</c:v>
                </c:pt>
                <c:pt idx="12">
                  <c:v>44006</c:v>
                </c:pt>
                <c:pt idx="13">
                  <c:v>44001</c:v>
                </c:pt>
                <c:pt idx="14">
                  <c:v>43994</c:v>
                </c:pt>
                <c:pt idx="15">
                  <c:v>43987</c:v>
                </c:pt>
                <c:pt idx="16">
                  <c:v>43980</c:v>
                </c:pt>
                <c:pt idx="17">
                  <c:v>43973</c:v>
                </c:pt>
                <c:pt idx="18">
                  <c:v>43966</c:v>
                </c:pt>
                <c:pt idx="19">
                  <c:v>43959</c:v>
                </c:pt>
                <c:pt idx="20">
                  <c:v>43951</c:v>
                </c:pt>
                <c:pt idx="21">
                  <c:v>43945</c:v>
                </c:pt>
                <c:pt idx="22">
                  <c:v>43938</c:v>
                </c:pt>
                <c:pt idx="23">
                  <c:v>43931</c:v>
                </c:pt>
              </c:numCache>
            </c:numRef>
          </c:cat>
          <c:val>
            <c:numRef>
              <c:f>转债!$J$5:$J$28</c:f>
              <c:numCache>
                <c:formatCode>General</c:formatCode>
                <c:ptCount val="24"/>
                <c:pt idx="0">
                  <c:v>25.6796163153018</c:v>
                </c:pt>
                <c:pt idx="1">
                  <c:v>22.766352622966998</c:v>
                </c:pt>
                <c:pt idx="2">
                  <c:v>26.558595717230901</c:v>
                </c:pt>
                <c:pt idx="3">
                  <c:v>28.523114136657199</c:v>
                </c:pt>
                <c:pt idx="4">
                  <c:v>25.195542625180199</c:v>
                </c:pt>
                <c:pt idx="5">
                  <c:v>24.818423283887199</c:v>
                </c:pt>
                <c:pt idx="6">
                  <c:v>24.9059065448272</c:v>
                </c:pt>
                <c:pt idx="7">
                  <c:v>24.564187493178199</c:v>
                </c:pt>
                <c:pt idx="8">
                  <c:v>19.5377443284587</c:v>
                </c:pt>
                <c:pt idx="9">
                  <c:v>20.575373698171202</c:v>
                </c:pt>
                <c:pt idx="10">
                  <c:v>26.1052953134453</c:v>
                </c:pt>
                <c:pt idx="11">
                  <c:v>17.256209854975801</c:v>
                </c:pt>
                <c:pt idx="12">
                  <c:v>9.8114570438723199</c:v>
                </c:pt>
                <c:pt idx="13">
                  <c:v>8.7427890780011506</c:v>
                </c:pt>
                <c:pt idx="14">
                  <c:v>6.2057214487762904</c:v>
                </c:pt>
                <c:pt idx="15">
                  <c:v>6.1571166892560303</c:v>
                </c:pt>
                <c:pt idx="16">
                  <c:v>2.5959239602945798</c:v>
                </c:pt>
                <c:pt idx="17">
                  <c:v>1.45617418672326</c:v>
                </c:pt>
                <c:pt idx="18">
                  <c:v>3.8108492721304699</c:v>
                </c:pt>
                <c:pt idx="19">
                  <c:v>5.1587770511885198</c:v>
                </c:pt>
                <c:pt idx="20">
                  <c:v>3.80451632666241</c:v>
                </c:pt>
                <c:pt idx="21">
                  <c:v>0.73739946813871105</c:v>
                </c:pt>
                <c:pt idx="22">
                  <c:v>1.86536417938532</c:v>
                </c:pt>
                <c:pt idx="23">
                  <c:v>0</c:v>
                </c:pt>
              </c:numCache>
            </c:numRef>
          </c:val>
          <c:smooth val="1"/>
        </c:ser>
        <c:dLbls>
          <c:showLegendKey val="0"/>
          <c:showVal val="0"/>
          <c:showCatName val="0"/>
          <c:showSerName val="0"/>
          <c:showPercent val="0"/>
          <c:showBubbleSize val="0"/>
        </c:dLbls>
        <c:marker val="1"/>
        <c:smooth val="0"/>
        <c:axId val="238640128"/>
        <c:axId val="238646016"/>
      </c:lineChart>
      <c:dateAx>
        <c:axId val="238640128"/>
        <c:scaling>
          <c:orientation val="minMax"/>
        </c:scaling>
        <c:delete val="0"/>
        <c:axPos val="b"/>
        <c:numFmt formatCode="mm\-dd" sourceLinked="0"/>
        <c:majorTickMark val="out"/>
        <c:minorTickMark val="out"/>
        <c:tickLblPos val="low"/>
        <c:spPr>
          <a:ln w="3175" cap="flat" cmpd="sng" algn="ctr">
            <a:solidFill>
              <a:sysClr val="windowText" lastClr="000000"/>
            </a:solidFill>
            <a:prstDash val="solid"/>
            <a:round/>
          </a:ln>
        </c:spPr>
        <c:txPr>
          <a:bodyPr rot="0" spcFirstLastPara="0" vertOverflow="ellipsis" vert="horz" wrap="square" anchor="ctr" anchorCtr="1"/>
          <a:lstStyle/>
          <a:p>
            <a:pPr>
              <a:defRPr lang="zh-CN" sz="6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238646016"/>
        <c:crosses val="autoZero"/>
        <c:auto val="0"/>
        <c:lblOffset val="0"/>
        <c:baseTimeUnit val="days"/>
        <c:majorUnit val="14"/>
        <c:majorTimeUnit val="days"/>
      </c:dateAx>
      <c:valAx>
        <c:axId val="238646016"/>
        <c:scaling>
          <c:orientation val="minMax"/>
        </c:scaling>
        <c:delete val="0"/>
        <c:axPos val="l"/>
        <c:numFmt formatCode="#,##0_);[Red]\(#,##0\)" sourceLinked="0"/>
        <c:majorTickMark val="out"/>
        <c:minorTickMark val="none"/>
        <c:tickLblPos val="nextTo"/>
        <c:spPr>
          <a:ln w="3175" cap="flat" cmpd="sng" algn="ctr">
            <a:solidFill>
              <a:sysClr val="windowText" lastClr="000000"/>
            </a:solidFill>
            <a:prstDash val="solid"/>
            <a:round/>
          </a:ln>
        </c:spPr>
        <c:txPr>
          <a:bodyPr rot="0" spcFirstLastPara="0" vertOverflow="ellipsis" vert="horz" wrap="square" anchor="ctr" anchorCtr="1"/>
          <a:lstStyle/>
          <a:p>
            <a:pPr>
              <a:defRPr lang="zh-CN" sz="6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238640128"/>
        <c:crosses val="autoZero"/>
        <c:crossBetween val="between"/>
      </c:valAx>
    </c:plotArea>
    <c:legend>
      <c:legendPos val="r"/>
      <c:layout>
        <c:manualLayout>
          <c:xMode val="edge"/>
          <c:yMode val="edge"/>
          <c:x val="9.9472222222222198E-2"/>
          <c:y val="2.3337707786526699E-3"/>
          <c:w val="0.86834886264217004"/>
          <c:h val="8.1219378827646599E-2"/>
        </c:manualLayout>
      </c:layout>
      <c:overlay val="0"/>
      <c:spPr>
        <a:noFill/>
        <a:ln w="3175">
          <a:noFill/>
          <a:prstDash val="solid"/>
        </a:ln>
      </c:spPr>
      <c:txPr>
        <a:bodyPr rot="0" spcFirstLastPara="0" vertOverflow="ellipsis" vert="horz" wrap="square" anchor="ctr" anchorCtr="1"/>
        <a:lstStyle/>
        <a:p>
          <a:pPr>
            <a:defRPr lang="zh-CN" sz="6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legend>
    <c:plotVisOnly val="1"/>
    <c:dispBlanksAs val="span"/>
    <c:showDLblsOverMax val="0"/>
  </c:chart>
  <c:spPr>
    <a:ln w="6350" cap="flat" cmpd="sng" algn="ctr">
      <a:noFill/>
      <a:prstDash val="solid"/>
      <a:round/>
    </a:ln>
  </c:spPr>
  <c:txPr>
    <a:bodyPr/>
    <a:lstStyle/>
    <a:p>
      <a:pPr>
        <a:defRPr lang="zh-CN" sz="6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0099518810148703E-2"/>
          <c:y val="0.111965952172645"/>
          <c:w val="0.92723381452318498"/>
          <c:h val="0.81409120734908103"/>
        </c:manualLayout>
      </c:layout>
      <c:lineChart>
        <c:grouping val="standard"/>
        <c:varyColors val="0"/>
        <c:ser>
          <c:idx val="0"/>
          <c:order val="0"/>
          <c:tx>
            <c:strRef>
              <c:f>库存!$H$1</c:f>
              <c:strCache>
                <c:ptCount val="1"/>
                <c:pt idx="0">
                  <c:v>2018</c:v>
                </c:pt>
              </c:strCache>
            </c:strRef>
          </c:tx>
          <c:spPr>
            <a:ln w="28575" cap="rnd" cmpd="sng" algn="ctr">
              <a:solidFill>
                <a:srgbClr val="E7E6E6">
                  <a:lumMod val="75000"/>
                </a:srgbClr>
              </a:solidFill>
              <a:prstDash val="solid"/>
              <a:round/>
            </a:ln>
          </c:spPr>
          <c:marker>
            <c:symbol val="none"/>
          </c:marker>
          <c:cat>
            <c:numRef>
              <c:f>库存!$G$2:$G$366</c:f>
              <c:numCache>
                <c:formatCode>yyyy/m/d</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库存!$H$2:$H$366</c:f>
              <c:numCache>
                <c:formatCode>General</c:formatCode>
                <c:ptCount val="365"/>
                <c:pt idx="0">
                  <c:v>#N/A</c:v>
                </c:pt>
                <c:pt idx="1">
                  <c:v>#N/A</c:v>
                </c:pt>
                <c:pt idx="2">
                  <c:v>#N/A</c:v>
                </c:pt>
                <c:pt idx="3">
                  <c:v>#N/A</c:v>
                </c:pt>
                <c:pt idx="4">
                  <c:v>835.09839999999997</c:v>
                </c:pt>
                <c:pt idx="5">
                  <c:v>#N/A</c:v>
                </c:pt>
                <c:pt idx="6">
                  <c:v>#N/A</c:v>
                </c:pt>
                <c:pt idx="7">
                  <c:v>#N/A</c:v>
                </c:pt>
                <c:pt idx="8">
                  <c:v>#N/A</c:v>
                </c:pt>
                <c:pt idx="9">
                  <c:v>#N/A</c:v>
                </c:pt>
                <c:pt idx="10">
                  <c:v>#N/A</c:v>
                </c:pt>
                <c:pt idx="11">
                  <c:v>890.60569999999996</c:v>
                </c:pt>
                <c:pt idx="12">
                  <c:v>#N/A</c:v>
                </c:pt>
                <c:pt idx="13">
                  <c:v>#N/A</c:v>
                </c:pt>
                <c:pt idx="14">
                  <c:v>#N/A</c:v>
                </c:pt>
                <c:pt idx="15">
                  <c:v>#N/A</c:v>
                </c:pt>
                <c:pt idx="16">
                  <c:v>#N/A</c:v>
                </c:pt>
                <c:pt idx="17">
                  <c:v>#N/A</c:v>
                </c:pt>
                <c:pt idx="18">
                  <c:v>932.39099999999996</c:v>
                </c:pt>
                <c:pt idx="19">
                  <c:v>#N/A</c:v>
                </c:pt>
                <c:pt idx="20">
                  <c:v>#N/A</c:v>
                </c:pt>
                <c:pt idx="21">
                  <c:v>#N/A</c:v>
                </c:pt>
                <c:pt idx="22">
                  <c:v>#N/A</c:v>
                </c:pt>
                <c:pt idx="23">
                  <c:v>#N/A</c:v>
                </c:pt>
                <c:pt idx="24">
                  <c:v>#N/A</c:v>
                </c:pt>
                <c:pt idx="25">
                  <c:v>972.77679999999998</c:v>
                </c:pt>
                <c:pt idx="26">
                  <c:v>#N/A</c:v>
                </c:pt>
                <c:pt idx="27">
                  <c:v>#N/A</c:v>
                </c:pt>
                <c:pt idx="28">
                  <c:v>#N/A</c:v>
                </c:pt>
                <c:pt idx="29">
                  <c:v>#N/A</c:v>
                </c:pt>
                <c:pt idx="30">
                  <c:v>#N/A</c:v>
                </c:pt>
                <c:pt idx="31">
                  <c:v>#N/A</c:v>
                </c:pt>
                <c:pt idx="32">
                  <c:v>1075.2798</c:v>
                </c:pt>
                <c:pt idx="33">
                  <c:v>#N/A</c:v>
                </c:pt>
                <c:pt idx="34">
                  <c:v>#N/A</c:v>
                </c:pt>
                <c:pt idx="35">
                  <c:v>#N/A</c:v>
                </c:pt>
                <c:pt idx="36">
                  <c:v>#N/A</c:v>
                </c:pt>
                <c:pt idx="37">
                  <c:v>#N/A</c:v>
                </c:pt>
                <c:pt idx="38">
                  <c:v>#N/A</c:v>
                </c:pt>
                <c:pt idx="39">
                  <c:v>1218.9889000000001</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1616.0438999999999</c:v>
                </c:pt>
                <c:pt idx="54">
                  <c:v>#N/A</c:v>
                </c:pt>
                <c:pt idx="55">
                  <c:v>#N/A</c:v>
                </c:pt>
                <c:pt idx="56">
                  <c:v>#N/A</c:v>
                </c:pt>
                <c:pt idx="57">
                  <c:v>#N/A</c:v>
                </c:pt>
                <c:pt idx="58">
                  <c:v>#N/A</c:v>
                </c:pt>
                <c:pt idx="59">
                  <c:v>#N/A</c:v>
                </c:pt>
                <c:pt idx="60">
                  <c:v>1851.7684999999999</c:v>
                </c:pt>
                <c:pt idx="61">
                  <c:v>#N/A</c:v>
                </c:pt>
                <c:pt idx="62">
                  <c:v>#N/A</c:v>
                </c:pt>
                <c:pt idx="63">
                  <c:v>#N/A</c:v>
                </c:pt>
                <c:pt idx="64">
                  <c:v>#N/A</c:v>
                </c:pt>
                <c:pt idx="65">
                  <c:v>#N/A</c:v>
                </c:pt>
                <c:pt idx="66">
                  <c:v>#N/A</c:v>
                </c:pt>
                <c:pt idx="67">
                  <c:v>1965.1591000000001</c:v>
                </c:pt>
                <c:pt idx="68">
                  <c:v>#N/A</c:v>
                </c:pt>
                <c:pt idx="69">
                  <c:v>#N/A</c:v>
                </c:pt>
                <c:pt idx="70">
                  <c:v>#N/A</c:v>
                </c:pt>
                <c:pt idx="71">
                  <c:v>#N/A</c:v>
                </c:pt>
                <c:pt idx="72">
                  <c:v>#N/A</c:v>
                </c:pt>
                <c:pt idx="73">
                  <c:v>#N/A</c:v>
                </c:pt>
                <c:pt idx="74">
                  <c:v>1947.9930999999999</c:v>
                </c:pt>
                <c:pt idx="75">
                  <c:v>#N/A</c:v>
                </c:pt>
                <c:pt idx="76">
                  <c:v>#N/A</c:v>
                </c:pt>
                <c:pt idx="77">
                  <c:v>#N/A</c:v>
                </c:pt>
                <c:pt idx="78">
                  <c:v>#N/A</c:v>
                </c:pt>
                <c:pt idx="79">
                  <c:v>#N/A</c:v>
                </c:pt>
                <c:pt idx="80">
                  <c:v>#N/A</c:v>
                </c:pt>
                <c:pt idx="81">
                  <c:v>1877.1077</c:v>
                </c:pt>
                <c:pt idx="82">
                  <c:v>#N/A</c:v>
                </c:pt>
                <c:pt idx="83">
                  <c:v>#N/A</c:v>
                </c:pt>
                <c:pt idx="84">
                  <c:v>#N/A</c:v>
                </c:pt>
                <c:pt idx="85">
                  <c:v>#N/A</c:v>
                </c:pt>
                <c:pt idx="86">
                  <c:v>#N/A</c:v>
                </c:pt>
                <c:pt idx="87">
                  <c:v>#N/A</c:v>
                </c:pt>
                <c:pt idx="88">
                  <c:v>1797.1663000000001</c:v>
                </c:pt>
                <c:pt idx="89">
                  <c:v>#N/A</c:v>
                </c:pt>
                <c:pt idx="90">
                  <c:v>#N/A</c:v>
                </c:pt>
                <c:pt idx="91">
                  <c:v>#N/A</c:v>
                </c:pt>
                <c:pt idx="92">
                  <c:v>#N/A</c:v>
                </c:pt>
                <c:pt idx="93">
                  <c:v>#N/A</c:v>
                </c:pt>
                <c:pt idx="94">
                  <c:v>1680.1645000000001</c:v>
                </c:pt>
                <c:pt idx="95">
                  <c:v>#N/A</c:v>
                </c:pt>
                <c:pt idx="96">
                  <c:v>#N/A</c:v>
                </c:pt>
                <c:pt idx="97">
                  <c:v>#N/A</c:v>
                </c:pt>
                <c:pt idx="98">
                  <c:v>#N/A</c:v>
                </c:pt>
                <c:pt idx="99">
                  <c:v>#N/A</c:v>
                </c:pt>
                <c:pt idx="100">
                  <c:v>#N/A</c:v>
                </c:pt>
                <c:pt idx="101">
                  <c:v>#N/A</c:v>
                </c:pt>
                <c:pt idx="102">
                  <c:v>1593.9454000000001</c:v>
                </c:pt>
                <c:pt idx="103">
                  <c:v>#N/A</c:v>
                </c:pt>
                <c:pt idx="104">
                  <c:v>#N/A</c:v>
                </c:pt>
                <c:pt idx="105">
                  <c:v>#N/A</c:v>
                </c:pt>
                <c:pt idx="106">
                  <c:v>#N/A</c:v>
                </c:pt>
                <c:pt idx="107">
                  <c:v>#N/A</c:v>
                </c:pt>
                <c:pt idx="108">
                  <c:v>#N/A</c:v>
                </c:pt>
                <c:pt idx="109">
                  <c:v>1500.1545000000001</c:v>
                </c:pt>
                <c:pt idx="110">
                  <c:v>#N/A</c:v>
                </c:pt>
                <c:pt idx="111">
                  <c:v>#N/A</c:v>
                </c:pt>
                <c:pt idx="112">
                  <c:v>#N/A</c:v>
                </c:pt>
                <c:pt idx="113">
                  <c:v>#N/A</c:v>
                </c:pt>
                <c:pt idx="114">
                  <c:v>#N/A</c:v>
                </c:pt>
                <c:pt idx="115">
                  <c:v>#N/A</c:v>
                </c:pt>
                <c:pt idx="116">
                  <c:v>1415.1107</c:v>
                </c:pt>
                <c:pt idx="117">
                  <c:v>#N/A</c:v>
                </c:pt>
                <c:pt idx="118">
                  <c:v>#N/A</c:v>
                </c:pt>
                <c:pt idx="119">
                  <c:v>#N/A</c:v>
                </c:pt>
                <c:pt idx="120">
                  <c:v>#N/A</c:v>
                </c:pt>
                <c:pt idx="121">
                  <c:v>#N/A</c:v>
                </c:pt>
                <c:pt idx="122">
                  <c:v>#N/A</c:v>
                </c:pt>
                <c:pt idx="123">
                  <c:v>1348.7941000000001</c:v>
                </c:pt>
                <c:pt idx="124">
                  <c:v>#N/A</c:v>
                </c:pt>
                <c:pt idx="125">
                  <c:v>#N/A</c:v>
                </c:pt>
                <c:pt idx="126">
                  <c:v>#N/A</c:v>
                </c:pt>
                <c:pt idx="127">
                  <c:v>#N/A</c:v>
                </c:pt>
                <c:pt idx="128">
                  <c:v>#N/A</c:v>
                </c:pt>
                <c:pt idx="129">
                  <c:v>#N/A</c:v>
                </c:pt>
                <c:pt idx="130">
                  <c:v>1270.1989000000001</c:v>
                </c:pt>
                <c:pt idx="131">
                  <c:v>#N/A</c:v>
                </c:pt>
                <c:pt idx="132">
                  <c:v>#N/A</c:v>
                </c:pt>
                <c:pt idx="133">
                  <c:v>#N/A</c:v>
                </c:pt>
                <c:pt idx="134">
                  <c:v>#N/A</c:v>
                </c:pt>
                <c:pt idx="135">
                  <c:v>#N/A</c:v>
                </c:pt>
                <c:pt idx="136">
                  <c:v>#N/A</c:v>
                </c:pt>
                <c:pt idx="137">
                  <c:v>1210.9458999999999</c:v>
                </c:pt>
                <c:pt idx="138">
                  <c:v>#N/A</c:v>
                </c:pt>
                <c:pt idx="139">
                  <c:v>#N/A</c:v>
                </c:pt>
                <c:pt idx="140">
                  <c:v>#N/A</c:v>
                </c:pt>
                <c:pt idx="141">
                  <c:v>#N/A</c:v>
                </c:pt>
                <c:pt idx="142">
                  <c:v>#N/A</c:v>
                </c:pt>
                <c:pt idx="143">
                  <c:v>#N/A</c:v>
                </c:pt>
                <c:pt idx="144">
                  <c:v>1133.2660000000001</c:v>
                </c:pt>
                <c:pt idx="145">
                  <c:v>#N/A</c:v>
                </c:pt>
                <c:pt idx="146">
                  <c:v>#N/A</c:v>
                </c:pt>
                <c:pt idx="147">
                  <c:v>#N/A</c:v>
                </c:pt>
                <c:pt idx="148">
                  <c:v>#N/A</c:v>
                </c:pt>
                <c:pt idx="149">
                  <c:v>#N/A</c:v>
                </c:pt>
                <c:pt idx="150">
                  <c:v>#N/A</c:v>
                </c:pt>
                <c:pt idx="151">
                  <c:v>1075.385</c:v>
                </c:pt>
                <c:pt idx="152">
                  <c:v>#N/A</c:v>
                </c:pt>
                <c:pt idx="153">
                  <c:v>#N/A</c:v>
                </c:pt>
                <c:pt idx="154">
                  <c:v>#N/A</c:v>
                </c:pt>
                <c:pt idx="155">
                  <c:v>#N/A</c:v>
                </c:pt>
                <c:pt idx="156">
                  <c:v>#N/A</c:v>
                </c:pt>
                <c:pt idx="157">
                  <c:v>#N/A</c:v>
                </c:pt>
                <c:pt idx="158">
                  <c:v>1035.886</c:v>
                </c:pt>
                <c:pt idx="159">
                  <c:v>#N/A</c:v>
                </c:pt>
                <c:pt idx="160">
                  <c:v>#N/A</c:v>
                </c:pt>
                <c:pt idx="161">
                  <c:v>#N/A</c:v>
                </c:pt>
                <c:pt idx="162">
                  <c:v>#N/A</c:v>
                </c:pt>
                <c:pt idx="163">
                  <c:v>#N/A</c:v>
                </c:pt>
                <c:pt idx="164">
                  <c:v>#N/A</c:v>
                </c:pt>
                <c:pt idx="165">
                  <c:v>998.59460000000001</c:v>
                </c:pt>
                <c:pt idx="166">
                  <c:v>#N/A</c:v>
                </c:pt>
                <c:pt idx="167">
                  <c:v>#N/A</c:v>
                </c:pt>
                <c:pt idx="168">
                  <c:v>#N/A</c:v>
                </c:pt>
                <c:pt idx="169">
                  <c:v>#N/A</c:v>
                </c:pt>
                <c:pt idx="170">
                  <c:v>#N/A</c:v>
                </c:pt>
                <c:pt idx="171">
                  <c:v>#N/A</c:v>
                </c:pt>
                <c:pt idx="172">
                  <c:v>1009.6992</c:v>
                </c:pt>
                <c:pt idx="173">
                  <c:v>#N/A</c:v>
                </c:pt>
                <c:pt idx="174">
                  <c:v>#N/A</c:v>
                </c:pt>
                <c:pt idx="175">
                  <c:v>#N/A</c:v>
                </c:pt>
                <c:pt idx="176">
                  <c:v>#N/A</c:v>
                </c:pt>
                <c:pt idx="177">
                  <c:v>#N/A</c:v>
                </c:pt>
                <c:pt idx="178">
                  <c:v>#N/A</c:v>
                </c:pt>
                <c:pt idx="179">
                  <c:v>1025.2517</c:v>
                </c:pt>
                <c:pt idx="180">
                  <c:v>#N/A</c:v>
                </c:pt>
                <c:pt idx="181">
                  <c:v>#N/A</c:v>
                </c:pt>
                <c:pt idx="182">
                  <c:v>#N/A</c:v>
                </c:pt>
                <c:pt idx="183">
                  <c:v>#N/A</c:v>
                </c:pt>
                <c:pt idx="184">
                  <c:v>#N/A</c:v>
                </c:pt>
                <c:pt idx="185">
                  <c:v>#N/A</c:v>
                </c:pt>
                <c:pt idx="186">
                  <c:v>1009.8008</c:v>
                </c:pt>
                <c:pt idx="187">
                  <c:v>#N/A</c:v>
                </c:pt>
                <c:pt idx="188">
                  <c:v>#N/A</c:v>
                </c:pt>
                <c:pt idx="189">
                  <c:v>#N/A</c:v>
                </c:pt>
                <c:pt idx="190">
                  <c:v>#N/A</c:v>
                </c:pt>
                <c:pt idx="191">
                  <c:v>#N/A</c:v>
                </c:pt>
                <c:pt idx="192">
                  <c:v>#N/A</c:v>
                </c:pt>
                <c:pt idx="193">
                  <c:v>996.97540000000004</c:v>
                </c:pt>
                <c:pt idx="194">
                  <c:v>#N/A</c:v>
                </c:pt>
                <c:pt idx="195">
                  <c:v>#N/A</c:v>
                </c:pt>
                <c:pt idx="196">
                  <c:v>#N/A</c:v>
                </c:pt>
                <c:pt idx="197">
                  <c:v>#N/A</c:v>
                </c:pt>
                <c:pt idx="198">
                  <c:v>#N/A</c:v>
                </c:pt>
                <c:pt idx="199">
                  <c:v>#N/A</c:v>
                </c:pt>
                <c:pt idx="200">
                  <c:v>999.93079999999998</c:v>
                </c:pt>
                <c:pt idx="201">
                  <c:v>#N/A</c:v>
                </c:pt>
                <c:pt idx="202">
                  <c:v>#N/A</c:v>
                </c:pt>
                <c:pt idx="203">
                  <c:v>#N/A</c:v>
                </c:pt>
                <c:pt idx="204">
                  <c:v>#N/A</c:v>
                </c:pt>
                <c:pt idx="205">
                  <c:v>#N/A</c:v>
                </c:pt>
                <c:pt idx="206">
                  <c:v>#N/A</c:v>
                </c:pt>
                <c:pt idx="207">
                  <c:v>987.18</c:v>
                </c:pt>
                <c:pt idx="208">
                  <c:v>#N/A</c:v>
                </c:pt>
                <c:pt idx="209">
                  <c:v>#N/A</c:v>
                </c:pt>
                <c:pt idx="210">
                  <c:v>#N/A</c:v>
                </c:pt>
                <c:pt idx="211">
                  <c:v>#N/A</c:v>
                </c:pt>
                <c:pt idx="212">
                  <c:v>#N/A</c:v>
                </c:pt>
                <c:pt idx="213">
                  <c:v>#N/A</c:v>
                </c:pt>
                <c:pt idx="214">
                  <c:v>1001.82</c:v>
                </c:pt>
                <c:pt idx="215">
                  <c:v>#N/A</c:v>
                </c:pt>
                <c:pt idx="216">
                  <c:v>#N/A</c:v>
                </c:pt>
                <c:pt idx="217">
                  <c:v>#N/A</c:v>
                </c:pt>
                <c:pt idx="218">
                  <c:v>#N/A</c:v>
                </c:pt>
                <c:pt idx="219">
                  <c:v>#N/A</c:v>
                </c:pt>
                <c:pt idx="220">
                  <c:v>#N/A</c:v>
                </c:pt>
                <c:pt idx="221">
                  <c:v>1001.2</c:v>
                </c:pt>
                <c:pt idx="222">
                  <c:v>#N/A</c:v>
                </c:pt>
                <c:pt idx="223">
                  <c:v>#N/A</c:v>
                </c:pt>
                <c:pt idx="224">
                  <c:v>#N/A</c:v>
                </c:pt>
                <c:pt idx="225">
                  <c:v>#N/A</c:v>
                </c:pt>
                <c:pt idx="226">
                  <c:v>#N/A</c:v>
                </c:pt>
                <c:pt idx="227">
                  <c:v>#N/A</c:v>
                </c:pt>
                <c:pt idx="228">
                  <c:v>1008.52</c:v>
                </c:pt>
                <c:pt idx="229">
                  <c:v>#N/A</c:v>
                </c:pt>
                <c:pt idx="230">
                  <c:v>#N/A</c:v>
                </c:pt>
                <c:pt idx="231">
                  <c:v>#N/A</c:v>
                </c:pt>
                <c:pt idx="232">
                  <c:v>#N/A</c:v>
                </c:pt>
                <c:pt idx="233">
                  <c:v>#N/A</c:v>
                </c:pt>
                <c:pt idx="234">
                  <c:v>#N/A</c:v>
                </c:pt>
                <c:pt idx="235">
                  <c:v>1004.18</c:v>
                </c:pt>
                <c:pt idx="236">
                  <c:v>#N/A</c:v>
                </c:pt>
                <c:pt idx="237">
                  <c:v>#N/A</c:v>
                </c:pt>
                <c:pt idx="238">
                  <c:v>#N/A</c:v>
                </c:pt>
                <c:pt idx="239">
                  <c:v>#N/A</c:v>
                </c:pt>
                <c:pt idx="240">
                  <c:v>#N/A</c:v>
                </c:pt>
                <c:pt idx="241">
                  <c:v>#N/A</c:v>
                </c:pt>
                <c:pt idx="242">
                  <c:v>995.88</c:v>
                </c:pt>
                <c:pt idx="243">
                  <c:v>#N/A</c:v>
                </c:pt>
                <c:pt idx="244">
                  <c:v>#N/A</c:v>
                </c:pt>
                <c:pt idx="245">
                  <c:v>#N/A</c:v>
                </c:pt>
                <c:pt idx="246">
                  <c:v>#N/A</c:v>
                </c:pt>
                <c:pt idx="247">
                  <c:v>#N/A</c:v>
                </c:pt>
                <c:pt idx="248">
                  <c:v>#N/A</c:v>
                </c:pt>
                <c:pt idx="249">
                  <c:v>999.49</c:v>
                </c:pt>
                <c:pt idx="250">
                  <c:v>#N/A</c:v>
                </c:pt>
                <c:pt idx="251">
                  <c:v>#N/A</c:v>
                </c:pt>
                <c:pt idx="252">
                  <c:v>#N/A</c:v>
                </c:pt>
                <c:pt idx="253">
                  <c:v>#N/A</c:v>
                </c:pt>
                <c:pt idx="254">
                  <c:v>#N/A</c:v>
                </c:pt>
                <c:pt idx="255">
                  <c:v>#N/A</c:v>
                </c:pt>
                <c:pt idx="256">
                  <c:v>1001.47</c:v>
                </c:pt>
                <c:pt idx="257">
                  <c:v>#N/A</c:v>
                </c:pt>
                <c:pt idx="258">
                  <c:v>#N/A</c:v>
                </c:pt>
                <c:pt idx="259">
                  <c:v>#N/A</c:v>
                </c:pt>
                <c:pt idx="260">
                  <c:v>#N/A</c:v>
                </c:pt>
                <c:pt idx="261">
                  <c:v>#N/A</c:v>
                </c:pt>
                <c:pt idx="262">
                  <c:v>#N/A</c:v>
                </c:pt>
                <c:pt idx="263">
                  <c:v>984.59</c:v>
                </c:pt>
                <c:pt idx="264">
                  <c:v>#N/A</c:v>
                </c:pt>
                <c:pt idx="265">
                  <c:v>#N/A</c:v>
                </c:pt>
                <c:pt idx="266">
                  <c:v>#N/A</c:v>
                </c:pt>
                <c:pt idx="267">
                  <c:v>#N/A</c:v>
                </c:pt>
                <c:pt idx="268">
                  <c:v>#N/A</c:v>
                </c:pt>
                <c:pt idx="269">
                  <c:v>#N/A</c:v>
                </c:pt>
                <c:pt idx="270">
                  <c:v>1001.28</c:v>
                </c:pt>
                <c:pt idx="271">
                  <c:v>#N/A</c:v>
                </c:pt>
                <c:pt idx="272">
                  <c:v>#N/A</c:v>
                </c:pt>
                <c:pt idx="273">
                  <c:v>#N/A</c:v>
                </c:pt>
                <c:pt idx="274">
                  <c:v>#N/A</c:v>
                </c:pt>
                <c:pt idx="275">
                  <c:v>#N/A</c:v>
                </c:pt>
                <c:pt idx="276">
                  <c:v>#N/A</c:v>
                </c:pt>
                <c:pt idx="277">
                  <c:v>#N/A</c:v>
                </c:pt>
                <c:pt idx="278">
                  <c:v>#N/A</c:v>
                </c:pt>
                <c:pt idx="279">
                  <c:v>#N/A</c:v>
                </c:pt>
                <c:pt idx="280">
                  <c:v>1086.1099999999999</c:v>
                </c:pt>
                <c:pt idx="281">
                  <c:v>#N/A</c:v>
                </c:pt>
                <c:pt idx="282">
                  <c:v>#N/A</c:v>
                </c:pt>
                <c:pt idx="283">
                  <c:v>#N/A</c:v>
                </c:pt>
                <c:pt idx="284">
                  <c:v>1066.73</c:v>
                </c:pt>
                <c:pt idx="285">
                  <c:v>#N/A</c:v>
                </c:pt>
                <c:pt idx="286">
                  <c:v>#N/A</c:v>
                </c:pt>
                <c:pt idx="287">
                  <c:v>#N/A</c:v>
                </c:pt>
                <c:pt idx="288">
                  <c:v>#N/A</c:v>
                </c:pt>
                <c:pt idx="289">
                  <c:v>#N/A</c:v>
                </c:pt>
                <c:pt idx="290">
                  <c:v>#N/A</c:v>
                </c:pt>
                <c:pt idx="291">
                  <c:v>1029.99</c:v>
                </c:pt>
                <c:pt idx="292">
                  <c:v>#N/A</c:v>
                </c:pt>
                <c:pt idx="293">
                  <c:v>#N/A</c:v>
                </c:pt>
                <c:pt idx="294">
                  <c:v>#N/A</c:v>
                </c:pt>
                <c:pt idx="295">
                  <c:v>#N/A</c:v>
                </c:pt>
                <c:pt idx="296">
                  <c:v>#N/A</c:v>
                </c:pt>
                <c:pt idx="297">
                  <c:v>#N/A</c:v>
                </c:pt>
                <c:pt idx="298">
                  <c:v>980.96</c:v>
                </c:pt>
                <c:pt idx="299">
                  <c:v>#N/A</c:v>
                </c:pt>
                <c:pt idx="300">
                  <c:v>#N/A</c:v>
                </c:pt>
                <c:pt idx="301">
                  <c:v>#N/A</c:v>
                </c:pt>
                <c:pt idx="302">
                  <c:v>#N/A</c:v>
                </c:pt>
                <c:pt idx="303">
                  <c:v>#N/A</c:v>
                </c:pt>
                <c:pt idx="304">
                  <c:v>#N/A</c:v>
                </c:pt>
                <c:pt idx="305">
                  <c:v>938.9</c:v>
                </c:pt>
                <c:pt idx="306">
                  <c:v>#N/A</c:v>
                </c:pt>
                <c:pt idx="307">
                  <c:v>#N/A</c:v>
                </c:pt>
                <c:pt idx="308">
                  <c:v>#N/A</c:v>
                </c:pt>
                <c:pt idx="309">
                  <c:v>#N/A</c:v>
                </c:pt>
                <c:pt idx="310">
                  <c:v>#N/A</c:v>
                </c:pt>
                <c:pt idx="311">
                  <c:v>#N/A</c:v>
                </c:pt>
                <c:pt idx="312">
                  <c:v>891.22</c:v>
                </c:pt>
                <c:pt idx="313">
                  <c:v>#N/A</c:v>
                </c:pt>
                <c:pt idx="314">
                  <c:v>#N/A</c:v>
                </c:pt>
                <c:pt idx="315">
                  <c:v>#N/A</c:v>
                </c:pt>
                <c:pt idx="316">
                  <c:v>#N/A</c:v>
                </c:pt>
                <c:pt idx="317">
                  <c:v>#N/A</c:v>
                </c:pt>
                <c:pt idx="318">
                  <c:v>#N/A</c:v>
                </c:pt>
                <c:pt idx="319">
                  <c:v>862.79</c:v>
                </c:pt>
                <c:pt idx="320">
                  <c:v>#N/A</c:v>
                </c:pt>
                <c:pt idx="321">
                  <c:v>#N/A</c:v>
                </c:pt>
                <c:pt idx="322">
                  <c:v>#N/A</c:v>
                </c:pt>
                <c:pt idx="323">
                  <c:v>#N/A</c:v>
                </c:pt>
                <c:pt idx="324">
                  <c:v>#N/A</c:v>
                </c:pt>
                <c:pt idx="325">
                  <c:v>842.36</c:v>
                </c:pt>
                <c:pt idx="326">
                  <c:v>#N/A</c:v>
                </c:pt>
                <c:pt idx="327">
                  <c:v>#N/A</c:v>
                </c:pt>
                <c:pt idx="328">
                  <c:v>#N/A</c:v>
                </c:pt>
                <c:pt idx="329">
                  <c:v>#N/A</c:v>
                </c:pt>
                <c:pt idx="330">
                  <c:v>#N/A</c:v>
                </c:pt>
                <c:pt idx="331">
                  <c:v>#N/A</c:v>
                </c:pt>
                <c:pt idx="332">
                  <c:v>#N/A</c:v>
                </c:pt>
                <c:pt idx="333">
                  <c:v>822.83</c:v>
                </c:pt>
                <c:pt idx="334">
                  <c:v>#N/A</c:v>
                </c:pt>
                <c:pt idx="335">
                  <c:v>#N/A</c:v>
                </c:pt>
                <c:pt idx="336">
                  <c:v>#N/A</c:v>
                </c:pt>
                <c:pt idx="337">
                  <c:v>#N/A</c:v>
                </c:pt>
                <c:pt idx="338">
                  <c:v>#N/A</c:v>
                </c:pt>
                <c:pt idx="339">
                  <c:v>#N/A</c:v>
                </c:pt>
                <c:pt idx="340">
                  <c:v>797.77</c:v>
                </c:pt>
                <c:pt idx="341">
                  <c:v>#N/A</c:v>
                </c:pt>
                <c:pt idx="342">
                  <c:v>#N/A</c:v>
                </c:pt>
                <c:pt idx="343">
                  <c:v>#N/A</c:v>
                </c:pt>
                <c:pt idx="344">
                  <c:v>#N/A</c:v>
                </c:pt>
                <c:pt idx="345">
                  <c:v>#N/A</c:v>
                </c:pt>
                <c:pt idx="346">
                  <c:v>#N/A</c:v>
                </c:pt>
                <c:pt idx="347">
                  <c:v>796.7</c:v>
                </c:pt>
                <c:pt idx="348">
                  <c:v>#N/A</c:v>
                </c:pt>
                <c:pt idx="349">
                  <c:v>#N/A</c:v>
                </c:pt>
                <c:pt idx="350">
                  <c:v>#N/A</c:v>
                </c:pt>
                <c:pt idx="351">
                  <c:v>#N/A</c:v>
                </c:pt>
                <c:pt idx="352">
                  <c:v>#N/A</c:v>
                </c:pt>
                <c:pt idx="353">
                  <c:v>#N/A</c:v>
                </c:pt>
                <c:pt idx="354">
                  <c:v>789.91</c:v>
                </c:pt>
                <c:pt idx="355">
                  <c:v>#N/A</c:v>
                </c:pt>
                <c:pt idx="356">
                  <c:v>#N/A</c:v>
                </c:pt>
                <c:pt idx="357">
                  <c:v>#N/A</c:v>
                </c:pt>
                <c:pt idx="358">
                  <c:v>#N/A</c:v>
                </c:pt>
                <c:pt idx="359">
                  <c:v>#N/A</c:v>
                </c:pt>
                <c:pt idx="360">
                  <c:v>#N/A</c:v>
                </c:pt>
                <c:pt idx="361">
                  <c:v>797.56</c:v>
                </c:pt>
                <c:pt idx="362">
                  <c:v>#N/A</c:v>
                </c:pt>
                <c:pt idx="363">
                  <c:v>#N/A</c:v>
                </c:pt>
                <c:pt idx="364">
                  <c:v>#N/A</c:v>
                </c:pt>
              </c:numCache>
            </c:numRef>
          </c:val>
          <c:smooth val="1"/>
        </c:ser>
        <c:ser>
          <c:idx val="2"/>
          <c:order val="1"/>
          <c:tx>
            <c:strRef>
              <c:f>库存!$I$1</c:f>
              <c:strCache>
                <c:ptCount val="1"/>
                <c:pt idx="0">
                  <c:v>2019</c:v>
                </c:pt>
              </c:strCache>
            </c:strRef>
          </c:tx>
          <c:spPr>
            <a:ln w="28575" cap="rnd" cmpd="sng" algn="ctr">
              <a:solidFill>
                <a:srgbClr val="F8CBAD"/>
              </a:solidFill>
              <a:prstDash val="solid"/>
              <a:round/>
            </a:ln>
          </c:spPr>
          <c:marker>
            <c:symbol val="none"/>
          </c:marker>
          <c:cat>
            <c:numRef>
              <c:f>库存!$G$2:$G$366</c:f>
              <c:numCache>
                <c:formatCode>yyyy/m/d</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库存!$I$2:$I$366</c:f>
              <c:numCache>
                <c:formatCode>General</c:formatCode>
                <c:ptCount val="365"/>
                <c:pt idx="0">
                  <c:v>#N/A</c:v>
                </c:pt>
                <c:pt idx="1">
                  <c:v>#N/A</c:v>
                </c:pt>
                <c:pt idx="2">
                  <c:v>#N/A</c:v>
                </c:pt>
                <c:pt idx="3">
                  <c:v>839.2</c:v>
                </c:pt>
                <c:pt idx="4">
                  <c:v>#N/A</c:v>
                </c:pt>
                <c:pt idx="5">
                  <c:v>#N/A</c:v>
                </c:pt>
                <c:pt idx="6">
                  <c:v>#N/A</c:v>
                </c:pt>
                <c:pt idx="7">
                  <c:v>#N/A</c:v>
                </c:pt>
                <c:pt idx="8">
                  <c:v>#N/A</c:v>
                </c:pt>
                <c:pt idx="9">
                  <c:v>#N/A</c:v>
                </c:pt>
                <c:pt idx="10">
                  <c:v>884.63</c:v>
                </c:pt>
                <c:pt idx="11">
                  <c:v>#N/A</c:v>
                </c:pt>
                <c:pt idx="12">
                  <c:v>#N/A</c:v>
                </c:pt>
                <c:pt idx="13">
                  <c:v>#N/A</c:v>
                </c:pt>
                <c:pt idx="14">
                  <c:v>#N/A</c:v>
                </c:pt>
                <c:pt idx="15">
                  <c:v>#N/A</c:v>
                </c:pt>
                <c:pt idx="16">
                  <c:v>#N/A</c:v>
                </c:pt>
                <c:pt idx="17">
                  <c:v>925.35</c:v>
                </c:pt>
                <c:pt idx="18">
                  <c:v>#N/A</c:v>
                </c:pt>
                <c:pt idx="19">
                  <c:v>#N/A</c:v>
                </c:pt>
                <c:pt idx="20">
                  <c:v>#N/A</c:v>
                </c:pt>
                <c:pt idx="21">
                  <c:v>#N/A</c:v>
                </c:pt>
                <c:pt idx="22">
                  <c:v>#N/A</c:v>
                </c:pt>
                <c:pt idx="23">
                  <c:v>#N/A</c:v>
                </c:pt>
                <c:pt idx="24">
                  <c:v>992.71</c:v>
                </c:pt>
                <c:pt idx="25">
                  <c:v>#N/A</c:v>
                </c:pt>
                <c:pt idx="26">
                  <c:v>#N/A</c:v>
                </c:pt>
                <c:pt idx="27">
                  <c:v>#N/A</c:v>
                </c:pt>
                <c:pt idx="28">
                  <c:v>#N/A</c:v>
                </c:pt>
                <c:pt idx="29">
                  <c:v>#N/A</c:v>
                </c:pt>
                <c:pt idx="30">
                  <c:v>#N/A</c:v>
                </c:pt>
                <c:pt idx="31">
                  <c:v>1117.96</c:v>
                </c:pt>
                <c:pt idx="32">
                  <c:v>#N/A</c:v>
                </c:pt>
                <c:pt idx="33">
                  <c:v>#N/A</c:v>
                </c:pt>
                <c:pt idx="34">
                  <c:v>#N/A</c:v>
                </c:pt>
                <c:pt idx="35">
                  <c:v>#N/A</c:v>
                </c:pt>
                <c:pt idx="36">
                  <c:v>#N/A</c:v>
                </c:pt>
                <c:pt idx="37">
                  <c:v>#N/A</c:v>
                </c:pt>
                <c:pt idx="38">
                  <c:v>1458.05</c:v>
                </c:pt>
                <c:pt idx="39">
                  <c:v>#N/A</c:v>
                </c:pt>
                <c:pt idx="40">
                  <c:v>#N/A</c:v>
                </c:pt>
                <c:pt idx="41">
                  <c:v>#N/A</c:v>
                </c:pt>
                <c:pt idx="42">
                  <c:v>#N/A</c:v>
                </c:pt>
                <c:pt idx="43">
                  <c:v>#N/A</c:v>
                </c:pt>
                <c:pt idx="44">
                  <c:v>#N/A</c:v>
                </c:pt>
                <c:pt idx="45">
                  <c:v>1619.91</c:v>
                </c:pt>
                <c:pt idx="46">
                  <c:v>#N/A</c:v>
                </c:pt>
                <c:pt idx="47">
                  <c:v>#N/A</c:v>
                </c:pt>
                <c:pt idx="48">
                  <c:v>#N/A</c:v>
                </c:pt>
                <c:pt idx="49">
                  <c:v>#N/A</c:v>
                </c:pt>
                <c:pt idx="50">
                  <c:v>#N/A</c:v>
                </c:pt>
                <c:pt idx="51">
                  <c:v>#N/A</c:v>
                </c:pt>
                <c:pt idx="52">
                  <c:v>1799.15</c:v>
                </c:pt>
                <c:pt idx="53">
                  <c:v>#N/A</c:v>
                </c:pt>
                <c:pt idx="54">
                  <c:v>#N/A</c:v>
                </c:pt>
                <c:pt idx="55">
                  <c:v>#N/A</c:v>
                </c:pt>
                <c:pt idx="56">
                  <c:v>#N/A</c:v>
                </c:pt>
                <c:pt idx="57">
                  <c:v>#N/A</c:v>
                </c:pt>
                <c:pt idx="58">
                  <c:v>#N/A</c:v>
                </c:pt>
                <c:pt idx="59">
                  <c:v>1868.66</c:v>
                </c:pt>
                <c:pt idx="60">
                  <c:v>#N/A</c:v>
                </c:pt>
                <c:pt idx="61">
                  <c:v>#N/A</c:v>
                </c:pt>
                <c:pt idx="62">
                  <c:v>#N/A</c:v>
                </c:pt>
                <c:pt idx="63">
                  <c:v>#N/A</c:v>
                </c:pt>
                <c:pt idx="64">
                  <c:v>#N/A</c:v>
                </c:pt>
                <c:pt idx="65">
                  <c:v>#N/A</c:v>
                </c:pt>
                <c:pt idx="66">
                  <c:v>1851.82</c:v>
                </c:pt>
                <c:pt idx="67">
                  <c:v>#N/A</c:v>
                </c:pt>
                <c:pt idx="68">
                  <c:v>#N/A</c:v>
                </c:pt>
                <c:pt idx="69">
                  <c:v>#N/A</c:v>
                </c:pt>
                <c:pt idx="70">
                  <c:v>#N/A</c:v>
                </c:pt>
                <c:pt idx="71">
                  <c:v>#N/A</c:v>
                </c:pt>
                <c:pt idx="72">
                  <c:v>#N/A</c:v>
                </c:pt>
                <c:pt idx="73">
                  <c:v>1781.91</c:v>
                </c:pt>
                <c:pt idx="74">
                  <c:v>#N/A</c:v>
                </c:pt>
                <c:pt idx="75">
                  <c:v>#N/A</c:v>
                </c:pt>
                <c:pt idx="76">
                  <c:v>#N/A</c:v>
                </c:pt>
                <c:pt idx="77">
                  <c:v>#N/A</c:v>
                </c:pt>
                <c:pt idx="78">
                  <c:v>#N/A</c:v>
                </c:pt>
                <c:pt idx="79">
                  <c:v>#N/A</c:v>
                </c:pt>
                <c:pt idx="80">
                  <c:v>1681.29</c:v>
                </c:pt>
                <c:pt idx="81">
                  <c:v>#N/A</c:v>
                </c:pt>
                <c:pt idx="82">
                  <c:v>#N/A</c:v>
                </c:pt>
                <c:pt idx="83">
                  <c:v>#N/A</c:v>
                </c:pt>
                <c:pt idx="84">
                  <c:v>#N/A</c:v>
                </c:pt>
                <c:pt idx="85">
                  <c:v>#N/A</c:v>
                </c:pt>
                <c:pt idx="86">
                  <c:v>#N/A</c:v>
                </c:pt>
                <c:pt idx="87">
                  <c:v>1602.53</c:v>
                </c:pt>
                <c:pt idx="88">
                  <c:v>#N/A</c:v>
                </c:pt>
                <c:pt idx="89">
                  <c:v>#N/A</c:v>
                </c:pt>
                <c:pt idx="90">
                  <c:v>#N/A</c:v>
                </c:pt>
                <c:pt idx="91">
                  <c:v>#N/A</c:v>
                </c:pt>
                <c:pt idx="92">
                  <c:v>#N/A</c:v>
                </c:pt>
                <c:pt idx="93">
                  <c:v>#N/A</c:v>
                </c:pt>
                <c:pt idx="94">
                  <c:v>1514.02</c:v>
                </c:pt>
                <c:pt idx="95">
                  <c:v>#N/A</c:v>
                </c:pt>
                <c:pt idx="96">
                  <c:v>#N/A</c:v>
                </c:pt>
                <c:pt idx="97">
                  <c:v>#N/A</c:v>
                </c:pt>
                <c:pt idx="98">
                  <c:v>#N/A</c:v>
                </c:pt>
                <c:pt idx="99">
                  <c:v>#N/A</c:v>
                </c:pt>
                <c:pt idx="100">
                  <c:v>#N/A</c:v>
                </c:pt>
                <c:pt idx="101">
                  <c:v>1426.38</c:v>
                </c:pt>
                <c:pt idx="102">
                  <c:v>#N/A</c:v>
                </c:pt>
                <c:pt idx="103">
                  <c:v>#N/A</c:v>
                </c:pt>
                <c:pt idx="104">
                  <c:v>#N/A</c:v>
                </c:pt>
                <c:pt idx="105">
                  <c:v>#N/A</c:v>
                </c:pt>
                <c:pt idx="106">
                  <c:v>#N/A</c:v>
                </c:pt>
                <c:pt idx="107">
                  <c:v>#N/A</c:v>
                </c:pt>
                <c:pt idx="108">
                  <c:v>1334.84</c:v>
                </c:pt>
                <c:pt idx="109">
                  <c:v>#N/A</c:v>
                </c:pt>
                <c:pt idx="110">
                  <c:v>#N/A</c:v>
                </c:pt>
                <c:pt idx="111">
                  <c:v>#N/A</c:v>
                </c:pt>
                <c:pt idx="112">
                  <c:v>#N/A</c:v>
                </c:pt>
                <c:pt idx="113">
                  <c:v>#N/A</c:v>
                </c:pt>
                <c:pt idx="114">
                  <c:v>#N/A</c:v>
                </c:pt>
                <c:pt idx="115">
                  <c:v>1273.6400000000001</c:v>
                </c:pt>
                <c:pt idx="116">
                  <c:v>#N/A</c:v>
                </c:pt>
                <c:pt idx="117">
                  <c:v>#N/A</c:v>
                </c:pt>
                <c:pt idx="118">
                  <c:v>#N/A</c:v>
                </c:pt>
                <c:pt idx="119">
                  <c:v>#N/A</c:v>
                </c:pt>
                <c:pt idx="120">
                  <c:v>#N/A</c:v>
                </c:pt>
                <c:pt idx="121">
                  <c:v>#N/A</c:v>
                </c:pt>
                <c:pt idx="122">
                  <c:v>1242.76</c:v>
                </c:pt>
                <c:pt idx="123">
                  <c:v>#N/A</c:v>
                </c:pt>
                <c:pt idx="124">
                  <c:v>#N/A</c:v>
                </c:pt>
                <c:pt idx="125">
                  <c:v>#N/A</c:v>
                </c:pt>
                <c:pt idx="126">
                  <c:v>#N/A</c:v>
                </c:pt>
                <c:pt idx="127">
                  <c:v>#N/A</c:v>
                </c:pt>
                <c:pt idx="128">
                  <c:v>#N/A</c:v>
                </c:pt>
                <c:pt idx="129">
                  <c:v>1215.52</c:v>
                </c:pt>
                <c:pt idx="130">
                  <c:v>#N/A</c:v>
                </c:pt>
                <c:pt idx="131">
                  <c:v>#N/A</c:v>
                </c:pt>
                <c:pt idx="132">
                  <c:v>#N/A</c:v>
                </c:pt>
                <c:pt idx="133">
                  <c:v>#N/A</c:v>
                </c:pt>
                <c:pt idx="134">
                  <c:v>#N/A</c:v>
                </c:pt>
                <c:pt idx="135">
                  <c:v>#N/A</c:v>
                </c:pt>
                <c:pt idx="136">
                  <c:v>1164.0899999999999</c:v>
                </c:pt>
                <c:pt idx="137">
                  <c:v>#N/A</c:v>
                </c:pt>
                <c:pt idx="138">
                  <c:v>#N/A</c:v>
                </c:pt>
                <c:pt idx="139">
                  <c:v>#N/A</c:v>
                </c:pt>
                <c:pt idx="140">
                  <c:v>#N/A</c:v>
                </c:pt>
                <c:pt idx="141">
                  <c:v>#N/A</c:v>
                </c:pt>
                <c:pt idx="142">
                  <c:v>#N/A</c:v>
                </c:pt>
                <c:pt idx="143">
                  <c:v>1123.3699999999999</c:v>
                </c:pt>
                <c:pt idx="144">
                  <c:v>#N/A</c:v>
                </c:pt>
                <c:pt idx="145">
                  <c:v>#N/A</c:v>
                </c:pt>
                <c:pt idx="146">
                  <c:v>#N/A</c:v>
                </c:pt>
                <c:pt idx="147">
                  <c:v>#N/A</c:v>
                </c:pt>
                <c:pt idx="148">
                  <c:v>#N/A</c:v>
                </c:pt>
                <c:pt idx="149">
                  <c:v>#N/A</c:v>
                </c:pt>
                <c:pt idx="150">
                  <c:v>1104.6300000000001</c:v>
                </c:pt>
                <c:pt idx="151">
                  <c:v>#N/A</c:v>
                </c:pt>
                <c:pt idx="152">
                  <c:v>#N/A</c:v>
                </c:pt>
                <c:pt idx="153">
                  <c:v>#N/A</c:v>
                </c:pt>
                <c:pt idx="154">
                  <c:v>#N/A</c:v>
                </c:pt>
                <c:pt idx="155">
                  <c:v>#N/A</c:v>
                </c:pt>
                <c:pt idx="156">
                  <c:v>#N/A</c:v>
                </c:pt>
                <c:pt idx="157">
                  <c:v>1091.19</c:v>
                </c:pt>
                <c:pt idx="158">
                  <c:v>#N/A</c:v>
                </c:pt>
                <c:pt idx="159">
                  <c:v>#N/A</c:v>
                </c:pt>
                <c:pt idx="160">
                  <c:v>#N/A</c:v>
                </c:pt>
                <c:pt idx="161">
                  <c:v>#N/A</c:v>
                </c:pt>
                <c:pt idx="162">
                  <c:v>#N/A</c:v>
                </c:pt>
                <c:pt idx="163">
                  <c:v>#N/A</c:v>
                </c:pt>
                <c:pt idx="164">
                  <c:v>1122.04</c:v>
                </c:pt>
                <c:pt idx="165">
                  <c:v>#N/A</c:v>
                </c:pt>
                <c:pt idx="166">
                  <c:v>#N/A</c:v>
                </c:pt>
                <c:pt idx="167">
                  <c:v>#N/A</c:v>
                </c:pt>
                <c:pt idx="168">
                  <c:v>#N/A</c:v>
                </c:pt>
                <c:pt idx="169">
                  <c:v>#N/A</c:v>
                </c:pt>
                <c:pt idx="170">
                  <c:v>#N/A</c:v>
                </c:pt>
                <c:pt idx="171">
                  <c:v>1135.0899999999999</c:v>
                </c:pt>
                <c:pt idx="172">
                  <c:v>#N/A</c:v>
                </c:pt>
                <c:pt idx="173">
                  <c:v>#N/A</c:v>
                </c:pt>
                <c:pt idx="174">
                  <c:v>#N/A</c:v>
                </c:pt>
                <c:pt idx="175">
                  <c:v>#N/A</c:v>
                </c:pt>
                <c:pt idx="176">
                  <c:v>#N/A</c:v>
                </c:pt>
                <c:pt idx="177">
                  <c:v>#N/A</c:v>
                </c:pt>
                <c:pt idx="178">
                  <c:v>1146.04</c:v>
                </c:pt>
                <c:pt idx="179">
                  <c:v>#N/A</c:v>
                </c:pt>
                <c:pt idx="180">
                  <c:v>#N/A</c:v>
                </c:pt>
                <c:pt idx="181">
                  <c:v>#N/A</c:v>
                </c:pt>
                <c:pt idx="182">
                  <c:v>#N/A</c:v>
                </c:pt>
                <c:pt idx="183">
                  <c:v>#N/A</c:v>
                </c:pt>
                <c:pt idx="184">
                  <c:v>#N/A</c:v>
                </c:pt>
                <c:pt idx="185">
                  <c:v>1163.48</c:v>
                </c:pt>
                <c:pt idx="186">
                  <c:v>#N/A</c:v>
                </c:pt>
                <c:pt idx="187">
                  <c:v>#N/A</c:v>
                </c:pt>
                <c:pt idx="188">
                  <c:v>#N/A</c:v>
                </c:pt>
                <c:pt idx="189">
                  <c:v>#N/A</c:v>
                </c:pt>
                <c:pt idx="190">
                  <c:v>#N/A</c:v>
                </c:pt>
                <c:pt idx="191">
                  <c:v>#N/A</c:v>
                </c:pt>
                <c:pt idx="192">
                  <c:v>1183.68</c:v>
                </c:pt>
                <c:pt idx="193">
                  <c:v>#N/A</c:v>
                </c:pt>
                <c:pt idx="194">
                  <c:v>#N/A</c:v>
                </c:pt>
                <c:pt idx="195">
                  <c:v>#N/A</c:v>
                </c:pt>
                <c:pt idx="196">
                  <c:v>#N/A</c:v>
                </c:pt>
                <c:pt idx="197">
                  <c:v>#N/A</c:v>
                </c:pt>
                <c:pt idx="198">
                  <c:v>#N/A</c:v>
                </c:pt>
                <c:pt idx="199">
                  <c:v>1215.78</c:v>
                </c:pt>
                <c:pt idx="200">
                  <c:v>#N/A</c:v>
                </c:pt>
                <c:pt idx="201">
                  <c:v>#N/A</c:v>
                </c:pt>
                <c:pt idx="202">
                  <c:v>#N/A</c:v>
                </c:pt>
                <c:pt idx="203">
                  <c:v>#N/A</c:v>
                </c:pt>
                <c:pt idx="204">
                  <c:v>#N/A</c:v>
                </c:pt>
                <c:pt idx="205">
                  <c:v>#N/A</c:v>
                </c:pt>
                <c:pt idx="206">
                  <c:v>1254.53</c:v>
                </c:pt>
                <c:pt idx="207">
                  <c:v>#N/A</c:v>
                </c:pt>
                <c:pt idx="208">
                  <c:v>#N/A</c:v>
                </c:pt>
                <c:pt idx="209">
                  <c:v>#N/A</c:v>
                </c:pt>
                <c:pt idx="210">
                  <c:v>#N/A</c:v>
                </c:pt>
                <c:pt idx="211">
                  <c:v>#N/A</c:v>
                </c:pt>
                <c:pt idx="212">
                  <c:v>#N/A</c:v>
                </c:pt>
                <c:pt idx="213">
                  <c:v>1284.53</c:v>
                </c:pt>
                <c:pt idx="214">
                  <c:v>#N/A</c:v>
                </c:pt>
                <c:pt idx="215">
                  <c:v>#N/A</c:v>
                </c:pt>
                <c:pt idx="216">
                  <c:v>#N/A</c:v>
                </c:pt>
                <c:pt idx="217">
                  <c:v>#N/A</c:v>
                </c:pt>
                <c:pt idx="218">
                  <c:v>#N/A</c:v>
                </c:pt>
                <c:pt idx="219">
                  <c:v>#N/A</c:v>
                </c:pt>
                <c:pt idx="220">
                  <c:v>1299.98</c:v>
                </c:pt>
                <c:pt idx="221">
                  <c:v>#N/A</c:v>
                </c:pt>
                <c:pt idx="222">
                  <c:v>#N/A</c:v>
                </c:pt>
                <c:pt idx="223">
                  <c:v>#N/A</c:v>
                </c:pt>
                <c:pt idx="224">
                  <c:v>#N/A</c:v>
                </c:pt>
                <c:pt idx="225">
                  <c:v>#N/A</c:v>
                </c:pt>
                <c:pt idx="226">
                  <c:v>#N/A</c:v>
                </c:pt>
                <c:pt idx="227">
                  <c:v>1288.44</c:v>
                </c:pt>
                <c:pt idx="228">
                  <c:v>#N/A</c:v>
                </c:pt>
                <c:pt idx="229">
                  <c:v>#N/A</c:v>
                </c:pt>
                <c:pt idx="230">
                  <c:v>#N/A</c:v>
                </c:pt>
                <c:pt idx="231">
                  <c:v>#N/A</c:v>
                </c:pt>
                <c:pt idx="232">
                  <c:v>#N/A</c:v>
                </c:pt>
                <c:pt idx="233">
                  <c:v>#N/A</c:v>
                </c:pt>
                <c:pt idx="234">
                  <c:v>1277.81</c:v>
                </c:pt>
                <c:pt idx="235">
                  <c:v>#N/A</c:v>
                </c:pt>
                <c:pt idx="236">
                  <c:v>#N/A</c:v>
                </c:pt>
                <c:pt idx="237">
                  <c:v>#N/A</c:v>
                </c:pt>
                <c:pt idx="238">
                  <c:v>#N/A</c:v>
                </c:pt>
                <c:pt idx="239">
                  <c:v>#N/A</c:v>
                </c:pt>
                <c:pt idx="240">
                  <c:v>#N/A</c:v>
                </c:pt>
                <c:pt idx="241">
                  <c:v>1248.1300000000001</c:v>
                </c:pt>
                <c:pt idx="242">
                  <c:v>#N/A</c:v>
                </c:pt>
                <c:pt idx="243">
                  <c:v>#N/A</c:v>
                </c:pt>
                <c:pt idx="244">
                  <c:v>#N/A</c:v>
                </c:pt>
                <c:pt idx="245">
                  <c:v>#N/A</c:v>
                </c:pt>
                <c:pt idx="246">
                  <c:v>#N/A</c:v>
                </c:pt>
                <c:pt idx="247">
                  <c:v>#N/A</c:v>
                </c:pt>
                <c:pt idx="248">
                  <c:v>1214.21</c:v>
                </c:pt>
                <c:pt idx="249">
                  <c:v>#N/A</c:v>
                </c:pt>
                <c:pt idx="250">
                  <c:v>#N/A</c:v>
                </c:pt>
                <c:pt idx="251">
                  <c:v>#N/A</c:v>
                </c:pt>
                <c:pt idx="252">
                  <c:v>#N/A</c:v>
                </c:pt>
                <c:pt idx="253">
                  <c:v>#N/A</c:v>
                </c:pt>
                <c:pt idx="254">
                  <c:v>#N/A</c:v>
                </c:pt>
                <c:pt idx="255">
                  <c:v>1161.48</c:v>
                </c:pt>
                <c:pt idx="256">
                  <c:v>#N/A</c:v>
                </c:pt>
                <c:pt idx="257">
                  <c:v>#N/A</c:v>
                </c:pt>
                <c:pt idx="258">
                  <c:v>#N/A</c:v>
                </c:pt>
                <c:pt idx="259">
                  <c:v>#N/A</c:v>
                </c:pt>
                <c:pt idx="260">
                  <c:v>#N/A</c:v>
                </c:pt>
                <c:pt idx="261">
                  <c:v>#N/A</c:v>
                </c:pt>
                <c:pt idx="262">
                  <c:v>1142.67</c:v>
                </c:pt>
                <c:pt idx="263">
                  <c:v>#N/A</c:v>
                </c:pt>
                <c:pt idx="264">
                  <c:v>#N/A</c:v>
                </c:pt>
                <c:pt idx="265">
                  <c:v>#N/A</c:v>
                </c:pt>
                <c:pt idx="266">
                  <c:v>#N/A</c:v>
                </c:pt>
                <c:pt idx="267">
                  <c:v>#N/A</c:v>
                </c:pt>
                <c:pt idx="268">
                  <c:v>#N/A</c:v>
                </c:pt>
                <c:pt idx="269">
                  <c:v>1083.17</c:v>
                </c:pt>
                <c:pt idx="270">
                  <c:v>#N/A</c:v>
                </c:pt>
                <c:pt idx="271">
                  <c:v>#N/A</c:v>
                </c:pt>
                <c:pt idx="272">
                  <c:v>#N/A</c:v>
                </c:pt>
                <c:pt idx="273">
                  <c:v>#N/A</c:v>
                </c:pt>
                <c:pt idx="274">
                  <c:v>#N/A</c:v>
                </c:pt>
                <c:pt idx="275">
                  <c:v>#N/A</c:v>
                </c:pt>
                <c:pt idx="276">
                  <c:v>1142.6300000000001</c:v>
                </c:pt>
                <c:pt idx="277">
                  <c:v>#N/A</c:v>
                </c:pt>
                <c:pt idx="278">
                  <c:v>#N/A</c:v>
                </c:pt>
                <c:pt idx="279">
                  <c:v>#N/A</c:v>
                </c:pt>
                <c:pt idx="280">
                  <c:v>#N/A</c:v>
                </c:pt>
                <c:pt idx="281">
                  <c:v>#N/A</c:v>
                </c:pt>
                <c:pt idx="282">
                  <c:v>#N/A</c:v>
                </c:pt>
                <c:pt idx="283">
                  <c:v>1125.8900000000001</c:v>
                </c:pt>
                <c:pt idx="284">
                  <c:v>#N/A</c:v>
                </c:pt>
                <c:pt idx="285">
                  <c:v>#N/A</c:v>
                </c:pt>
                <c:pt idx="286">
                  <c:v>#N/A</c:v>
                </c:pt>
                <c:pt idx="287">
                  <c:v>#N/A</c:v>
                </c:pt>
                <c:pt idx="288">
                  <c:v>#N/A</c:v>
                </c:pt>
                <c:pt idx="289">
                  <c:v>#N/A</c:v>
                </c:pt>
                <c:pt idx="290">
                  <c:v>1046.56</c:v>
                </c:pt>
                <c:pt idx="291">
                  <c:v>#N/A</c:v>
                </c:pt>
                <c:pt idx="292">
                  <c:v>#N/A</c:v>
                </c:pt>
                <c:pt idx="293">
                  <c:v>#N/A</c:v>
                </c:pt>
                <c:pt idx="294">
                  <c:v>#N/A</c:v>
                </c:pt>
                <c:pt idx="295">
                  <c:v>#N/A</c:v>
                </c:pt>
                <c:pt idx="296">
                  <c:v>#N/A</c:v>
                </c:pt>
                <c:pt idx="297">
                  <c:v>986.63</c:v>
                </c:pt>
                <c:pt idx="298">
                  <c:v>#N/A</c:v>
                </c:pt>
                <c:pt idx="299">
                  <c:v>#N/A</c:v>
                </c:pt>
                <c:pt idx="300">
                  <c:v>#N/A</c:v>
                </c:pt>
                <c:pt idx="301">
                  <c:v>#N/A</c:v>
                </c:pt>
                <c:pt idx="302">
                  <c:v>#N/A</c:v>
                </c:pt>
                <c:pt idx="303">
                  <c:v>#N/A</c:v>
                </c:pt>
                <c:pt idx="304">
                  <c:v>938.47</c:v>
                </c:pt>
                <c:pt idx="305">
                  <c:v>#N/A</c:v>
                </c:pt>
                <c:pt idx="306">
                  <c:v>#N/A</c:v>
                </c:pt>
                <c:pt idx="307">
                  <c:v>#N/A</c:v>
                </c:pt>
                <c:pt idx="308">
                  <c:v>#N/A</c:v>
                </c:pt>
                <c:pt idx="309">
                  <c:v>#N/A</c:v>
                </c:pt>
                <c:pt idx="310">
                  <c:v>#N/A</c:v>
                </c:pt>
                <c:pt idx="311">
                  <c:v>887.3</c:v>
                </c:pt>
                <c:pt idx="312">
                  <c:v>#N/A</c:v>
                </c:pt>
                <c:pt idx="313">
                  <c:v>#N/A</c:v>
                </c:pt>
                <c:pt idx="314">
                  <c:v>#N/A</c:v>
                </c:pt>
                <c:pt idx="315">
                  <c:v>#N/A</c:v>
                </c:pt>
                <c:pt idx="316">
                  <c:v>#N/A</c:v>
                </c:pt>
                <c:pt idx="317">
                  <c:v>#N/A</c:v>
                </c:pt>
                <c:pt idx="318">
                  <c:v>833.81</c:v>
                </c:pt>
                <c:pt idx="319">
                  <c:v>#N/A</c:v>
                </c:pt>
                <c:pt idx="320">
                  <c:v>#N/A</c:v>
                </c:pt>
                <c:pt idx="321">
                  <c:v>#N/A</c:v>
                </c:pt>
                <c:pt idx="322">
                  <c:v>#N/A</c:v>
                </c:pt>
                <c:pt idx="323">
                  <c:v>#N/A</c:v>
                </c:pt>
                <c:pt idx="324">
                  <c:v>#N/A</c:v>
                </c:pt>
                <c:pt idx="325">
                  <c:v>780.49</c:v>
                </c:pt>
                <c:pt idx="326">
                  <c:v>#N/A</c:v>
                </c:pt>
                <c:pt idx="327">
                  <c:v>#N/A</c:v>
                </c:pt>
                <c:pt idx="328">
                  <c:v>#N/A</c:v>
                </c:pt>
                <c:pt idx="329">
                  <c:v>#N/A</c:v>
                </c:pt>
                <c:pt idx="330">
                  <c:v>#N/A</c:v>
                </c:pt>
                <c:pt idx="331">
                  <c:v>#N/A</c:v>
                </c:pt>
                <c:pt idx="332">
                  <c:v>757.68</c:v>
                </c:pt>
                <c:pt idx="333">
                  <c:v>#N/A</c:v>
                </c:pt>
                <c:pt idx="334">
                  <c:v>#N/A</c:v>
                </c:pt>
                <c:pt idx="335">
                  <c:v>#N/A</c:v>
                </c:pt>
                <c:pt idx="336">
                  <c:v>#N/A</c:v>
                </c:pt>
                <c:pt idx="337">
                  <c:v>#N/A</c:v>
                </c:pt>
                <c:pt idx="338">
                  <c:v>#N/A</c:v>
                </c:pt>
                <c:pt idx="339">
                  <c:v>756.05</c:v>
                </c:pt>
                <c:pt idx="340">
                  <c:v>#N/A</c:v>
                </c:pt>
                <c:pt idx="341">
                  <c:v>#N/A</c:v>
                </c:pt>
                <c:pt idx="342">
                  <c:v>#N/A</c:v>
                </c:pt>
                <c:pt idx="343">
                  <c:v>#N/A</c:v>
                </c:pt>
                <c:pt idx="344">
                  <c:v>#N/A</c:v>
                </c:pt>
                <c:pt idx="345">
                  <c:v>#N/A</c:v>
                </c:pt>
                <c:pt idx="346">
                  <c:v>743.54</c:v>
                </c:pt>
                <c:pt idx="347">
                  <c:v>#N/A</c:v>
                </c:pt>
                <c:pt idx="348">
                  <c:v>#N/A</c:v>
                </c:pt>
                <c:pt idx="349">
                  <c:v>#N/A</c:v>
                </c:pt>
                <c:pt idx="350">
                  <c:v>#N/A</c:v>
                </c:pt>
                <c:pt idx="351">
                  <c:v>#N/A</c:v>
                </c:pt>
                <c:pt idx="352">
                  <c:v>#N/A</c:v>
                </c:pt>
                <c:pt idx="353">
                  <c:v>748.81</c:v>
                </c:pt>
                <c:pt idx="354">
                  <c:v>#N/A</c:v>
                </c:pt>
                <c:pt idx="355">
                  <c:v>#N/A</c:v>
                </c:pt>
                <c:pt idx="356">
                  <c:v>#N/A</c:v>
                </c:pt>
                <c:pt idx="357">
                  <c:v>#N/A</c:v>
                </c:pt>
                <c:pt idx="358">
                  <c:v>#N/A</c:v>
                </c:pt>
                <c:pt idx="359">
                  <c:v>#N/A</c:v>
                </c:pt>
                <c:pt idx="360">
                  <c:v>772.26</c:v>
                </c:pt>
                <c:pt idx="361">
                  <c:v>#N/A</c:v>
                </c:pt>
                <c:pt idx="362">
                  <c:v>#N/A</c:v>
                </c:pt>
                <c:pt idx="363">
                  <c:v>#N/A</c:v>
                </c:pt>
                <c:pt idx="364">
                  <c:v>#N/A</c:v>
                </c:pt>
              </c:numCache>
            </c:numRef>
          </c:val>
          <c:smooth val="1"/>
        </c:ser>
        <c:ser>
          <c:idx val="1"/>
          <c:order val="2"/>
          <c:tx>
            <c:strRef>
              <c:f>库存!$J$1</c:f>
              <c:strCache>
                <c:ptCount val="1"/>
                <c:pt idx="0">
                  <c:v>2020</c:v>
                </c:pt>
              </c:strCache>
            </c:strRef>
          </c:tx>
          <c:spPr>
            <a:ln w="28575" cap="rnd" cmpd="sng" algn="ctr">
              <a:solidFill>
                <a:srgbClr val="BF5711"/>
              </a:solidFill>
              <a:prstDash val="solid"/>
              <a:round/>
            </a:ln>
          </c:spPr>
          <c:marker>
            <c:symbol val="none"/>
          </c:marker>
          <c:cat>
            <c:numRef>
              <c:f>库存!$G$2:$G$366</c:f>
              <c:numCache>
                <c:formatCode>yyyy/m/d</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库存!$J$2:$J$366</c:f>
              <c:numCache>
                <c:formatCode>General</c:formatCode>
                <c:ptCount val="365"/>
                <c:pt idx="0">
                  <c:v>#N/A</c:v>
                </c:pt>
                <c:pt idx="1">
                  <c:v>#N/A</c:v>
                </c:pt>
                <c:pt idx="2">
                  <c:v>826.25</c:v>
                </c:pt>
                <c:pt idx="3">
                  <c:v>#N/A</c:v>
                </c:pt>
                <c:pt idx="4">
                  <c:v>#N/A</c:v>
                </c:pt>
                <c:pt idx="5">
                  <c:v>#N/A</c:v>
                </c:pt>
                <c:pt idx="6">
                  <c:v>#N/A</c:v>
                </c:pt>
                <c:pt idx="7">
                  <c:v>#N/A</c:v>
                </c:pt>
                <c:pt idx="8">
                  <c:v>#N/A</c:v>
                </c:pt>
                <c:pt idx="9">
                  <c:v>903.67</c:v>
                </c:pt>
                <c:pt idx="10">
                  <c:v>#N/A</c:v>
                </c:pt>
                <c:pt idx="11">
                  <c:v>#N/A</c:v>
                </c:pt>
                <c:pt idx="12">
                  <c:v>#N/A</c:v>
                </c:pt>
                <c:pt idx="13">
                  <c:v>#N/A</c:v>
                </c:pt>
                <c:pt idx="14">
                  <c:v>#N/A</c:v>
                </c:pt>
                <c:pt idx="15">
                  <c:v>#N/A</c:v>
                </c:pt>
                <c:pt idx="16">
                  <c:v>1024.3800000000001</c:v>
                </c:pt>
                <c:pt idx="17">
                  <c:v>#N/A</c:v>
                </c:pt>
                <c:pt idx="18">
                  <c:v>#N/A</c:v>
                </c:pt>
                <c:pt idx="19">
                  <c:v>#N/A</c:v>
                </c:pt>
                <c:pt idx="20">
                  <c:v>#N/A</c:v>
                </c:pt>
                <c:pt idx="21">
                  <c:v>#N/A</c:v>
                </c:pt>
                <c:pt idx="22">
                  <c:v>#N/A</c:v>
                </c:pt>
                <c:pt idx="23">
                  <c:v>1184.82</c:v>
                </c:pt>
                <c:pt idx="24">
                  <c:v>#N/A</c:v>
                </c:pt>
                <c:pt idx="25">
                  <c:v>#N/A</c:v>
                </c:pt>
                <c:pt idx="26">
                  <c:v>#N/A</c:v>
                </c:pt>
                <c:pt idx="27">
                  <c:v>#N/A</c:v>
                </c:pt>
                <c:pt idx="28">
                  <c:v>#N/A</c:v>
                </c:pt>
                <c:pt idx="29">
                  <c:v>#N/A</c:v>
                </c:pt>
                <c:pt idx="30">
                  <c:v>1504.49</c:v>
                </c:pt>
                <c:pt idx="31">
                  <c:v>#N/A</c:v>
                </c:pt>
                <c:pt idx="32">
                  <c:v>#N/A</c:v>
                </c:pt>
                <c:pt idx="33">
                  <c:v>#N/A</c:v>
                </c:pt>
                <c:pt idx="34">
                  <c:v>#N/A</c:v>
                </c:pt>
                <c:pt idx="35">
                  <c:v>#N/A</c:v>
                </c:pt>
                <c:pt idx="36">
                  <c:v>#N/A</c:v>
                </c:pt>
                <c:pt idx="37">
                  <c:v>1634.4</c:v>
                </c:pt>
                <c:pt idx="38">
                  <c:v>#N/A</c:v>
                </c:pt>
                <c:pt idx="39">
                  <c:v>#N/A</c:v>
                </c:pt>
                <c:pt idx="40">
                  <c:v>#N/A</c:v>
                </c:pt>
                <c:pt idx="41">
                  <c:v>#N/A</c:v>
                </c:pt>
                <c:pt idx="42">
                  <c:v>#N/A</c:v>
                </c:pt>
                <c:pt idx="43">
                  <c:v>#N/A</c:v>
                </c:pt>
                <c:pt idx="44">
                  <c:v>1893.68</c:v>
                </c:pt>
                <c:pt idx="45">
                  <c:v>#N/A</c:v>
                </c:pt>
                <c:pt idx="46">
                  <c:v>#N/A</c:v>
                </c:pt>
                <c:pt idx="47">
                  <c:v>#N/A</c:v>
                </c:pt>
                <c:pt idx="48">
                  <c:v>#N/A</c:v>
                </c:pt>
                <c:pt idx="49">
                  <c:v>#N/A</c:v>
                </c:pt>
                <c:pt idx="50">
                  <c:v>#N/A</c:v>
                </c:pt>
                <c:pt idx="51">
                  <c:v>2145.41</c:v>
                </c:pt>
                <c:pt idx="52">
                  <c:v>#N/A</c:v>
                </c:pt>
                <c:pt idx="53">
                  <c:v>#N/A</c:v>
                </c:pt>
                <c:pt idx="54">
                  <c:v>#N/A</c:v>
                </c:pt>
                <c:pt idx="55">
                  <c:v>#N/A</c:v>
                </c:pt>
                <c:pt idx="56">
                  <c:v>#N/A</c:v>
                </c:pt>
                <c:pt idx="57">
                  <c:v>#N/A</c:v>
                </c:pt>
                <c:pt idx="58">
                  <c:v>2375.88</c:v>
                </c:pt>
                <c:pt idx="59">
                  <c:v>#N/A</c:v>
                </c:pt>
                <c:pt idx="60">
                  <c:v>#N/A</c:v>
                </c:pt>
                <c:pt idx="61">
                  <c:v>#N/A</c:v>
                </c:pt>
                <c:pt idx="62">
                  <c:v>#N/A</c:v>
                </c:pt>
                <c:pt idx="63">
                  <c:v>#N/A</c:v>
                </c:pt>
                <c:pt idx="64">
                  <c:v>#N/A</c:v>
                </c:pt>
                <c:pt idx="65">
                  <c:v>2529.56</c:v>
                </c:pt>
                <c:pt idx="66">
                  <c:v>#N/A</c:v>
                </c:pt>
                <c:pt idx="67">
                  <c:v>#N/A</c:v>
                </c:pt>
                <c:pt idx="68">
                  <c:v>#N/A</c:v>
                </c:pt>
                <c:pt idx="69">
                  <c:v>#N/A</c:v>
                </c:pt>
                <c:pt idx="70">
                  <c:v>#N/A</c:v>
                </c:pt>
                <c:pt idx="71">
                  <c:v>#N/A</c:v>
                </c:pt>
                <c:pt idx="72">
                  <c:v>2600.52</c:v>
                </c:pt>
                <c:pt idx="73">
                  <c:v>#N/A</c:v>
                </c:pt>
                <c:pt idx="74">
                  <c:v>#N/A</c:v>
                </c:pt>
                <c:pt idx="75">
                  <c:v>#N/A</c:v>
                </c:pt>
                <c:pt idx="76">
                  <c:v>#N/A</c:v>
                </c:pt>
                <c:pt idx="77">
                  <c:v>#N/A</c:v>
                </c:pt>
                <c:pt idx="78">
                  <c:v>#N/A</c:v>
                </c:pt>
                <c:pt idx="79">
                  <c:v>2537.65</c:v>
                </c:pt>
                <c:pt idx="80">
                  <c:v>#N/A</c:v>
                </c:pt>
                <c:pt idx="81">
                  <c:v>#N/A</c:v>
                </c:pt>
                <c:pt idx="82">
                  <c:v>#N/A</c:v>
                </c:pt>
                <c:pt idx="83">
                  <c:v>#N/A</c:v>
                </c:pt>
                <c:pt idx="84">
                  <c:v>#N/A</c:v>
                </c:pt>
                <c:pt idx="85">
                  <c:v>#N/A</c:v>
                </c:pt>
                <c:pt idx="86">
                  <c:v>2430.63</c:v>
                </c:pt>
                <c:pt idx="87">
                  <c:v>#N/A</c:v>
                </c:pt>
                <c:pt idx="88">
                  <c:v>#N/A</c:v>
                </c:pt>
                <c:pt idx="89">
                  <c:v>#N/A</c:v>
                </c:pt>
                <c:pt idx="90">
                  <c:v>#N/A</c:v>
                </c:pt>
                <c:pt idx="91">
                  <c:v>#N/A</c:v>
                </c:pt>
                <c:pt idx="92">
                  <c:v>#N/A</c:v>
                </c:pt>
                <c:pt idx="93">
                  <c:v>2347.5700000000002</c:v>
                </c:pt>
                <c:pt idx="94">
                  <c:v>#N/A</c:v>
                </c:pt>
                <c:pt idx="95">
                  <c:v>#N/A</c:v>
                </c:pt>
                <c:pt idx="96">
                  <c:v>#N/A</c:v>
                </c:pt>
                <c:pt idx="97">
                  <c:v>#N/A</c:v>
                </c:pt>
                <c:pt idx="98">
                  <c:v>#N/A</c:v>
                </c:pt>
                <c:pt idx="99">
                  <c:v>#N/A</c:v>
                </c:pt>
                <c:pt idx="100">
                  <c:v>2241.2600000000002</c:v>
                </c:pt>
                <c:pt idx="101">
                  <c:v>#N/A</c:v>
                </c:pt>
                <c:pt idx="102">
                  <c:v>#N/A</c:v>
                </c:pt>
                <c:pt idx="103">
                  <c:v>#N/A</c:v>
                </c:pt>
                <c:pt idx="104">
                  <c:v>#N/A</c:v>
                </c:pt>
                <c:pt idx="105">
                  <c:v>#N/A</c:v>
                </c:pt>
                <c:pt idx="106">
                  <c:v>#N/A</c:v>
                </c:pt>
                <c:pt idx="107">
                  <c:v>2127.75</c:v>
                </c:pt>
                <c:pt idx="108">
                  <c:v>#N/A</c:v>
                </c:pt>
                <c:pt idx="109">
                  <c:v>#N/A</c:v>
                </c:pt>
                <c:pt idx="110">
                  <c:v>#N/A</c:v>
                </c:pt>
                <c:pt idx="111">
                  <c:v>#N/A</c:v>
                </c:pt>
                <c:pt idx="112">
                  <c:v>#N/A</c:v>
                </c:pt>
                <c:pt idx="113">
                  <c:v>#N/A</c:v>
                </c:pt>
                <c:pt idx="114">
                  <c:v>2013.22</c:v>
                </c:pt>
                <c:pt idx="115">
                  <c:v>#N/A</c:v>
                </c:pt>
                <c:pt idx="116">
                  <c:v>#N/A</c:v>
                </c:pt>
                <c:pt idx="117">
                  <c:v>#N/A</c:v>
                </c:pt>
                <c:pt idx="118">
                  <c:v>#N/A</c:v>
                </c:pt>
                <c:pt idx="119">
                  <c:v>#N/A</c:v>
                </c:pt>
                <c:pt idx="120">
                  <c:v>#N/A</c:v>
                </c:pt>
                <c:pt idx="121">
                  <c:v>1876.34</c:v>
                </c:pt>
                <c:pt idx="122">
                  <c:v>#N/A</c:v>
                </c:pt>
                <c:pt idx="123">
                  <c:v>#N/A</c:v>
                </c:pt>
                <c:pt idx="124">
                  <c:v>#N/A</c:v>
                </c:pt>
                <c:pt idx="125">
                  <c:v>#N/A</c:v>
                </c:pt>
                <c:pt idx="126">
                  <c:v>#N/A</c:v>
                </c:pt>
                <c:pt idx="127">
                  <c:v>#N/A</c:v>
                </c:pt>
                <c:pt idx="128">
                  <c:v>1810.51</c:v>
                </c:pt>
                <c:pt idx="129">
                  <c:v>#N/A</c:v>
                </c:pt>
                <c:pt idx="130">
                  <c:v>#N/A</c:v>
                </c:pt>
                <c:pt idx="131">
                  <c:v>#N/A</c:v>
                </c:pt>
                <c:pt idx="132">
                  <c:v>#N/A</c:v>
                </c:pt>
                <c:pt idx="133">
                  <c:v>#N/A</c:v>
                </c:pt>
                <c:pt idx="134">
                  <c:v>#N/A</c:v>
                </c:pt>
                <c:pt idx="135">
                  <c:v>1710.44</c:v>
                </c:pt>
                <c:pt idx="136">
                  <c:v>#N/A</c:v>
                </c:pt>
                <c:pt idx="137">
                  <c:v>#N/A</c:v>
                </c:pt>
                <c:pt idx="138">
                  <c:v>#N/A</c:v>
                </c:pt>
                <c:pt idx="139">
                  <c:v>#N/A</c:v>
                </c:pt>
                <c:pt idx="140">
                  <c:v>#N/A</c:v>
                </c:pt>
                <c:pt idx="141">
                  <c:v>#N/A</c:v>
                </c:pt>
                <c:pt idx="142">
                  <c:v>1608.84</c:v>
                </c:pt>
                <c:pt idx="143">
                  <c:v>#N/A</c:v>
                </c:pt>
                <c:pt idx="144">
                  <c:v>#N/A</c:v>
                </c:pt>
                <c:pt idx="145">
                  <c:v>#N/A</c:v>
                </c:pt>
                <c:pt idx="146">
                  <c:v>#N/A</c:v>
                </c:pt>
                <c:pt idx="147">
                  <c:v>#N/A</c:v>
                </c:pt>
                <c:pt idx="148">
                  <c:v>#N/A</c:v>
                </c:pt>
                <c:pt idx="149">
                  <c:v>1549.23</c:v>
                </c:pt>
                <c:pt idx="150">
                  <c:v>#N/A</c:v>
                </c:pt>
                <c:pt idx="151">
                  <c:v>#N/A</c:v>
                </c:pt>
                <c:pt idx="152">
                  <c:v>#N/A</c:v>
                </c:pt>
                <c:pt idx="153">
                  <c:v>#N/A</c:v>
                </c:pt>
                <c:pt idx="154">
                  <c:v>#N/A</c:v>
                </c:pt>
                <c:pt idx="155">
                  <c:v>#N/A</c:v>
                </c:pt>
                <c:pt idx="156">
                  <c:v>1488.27</c:v>
                </c:pt>
                <c:pt idx="157">
                  <c:v>#N/A</c:v>
                </c:pt>
                <c:pt idx="158">
                  <c:v>#N/A</c:v>
                </c:pt>
                <c:pt idx="159">
                  <c:v>#N/A</c:v>
                </c:pt>
                <c:pt idx="160">
                  <c:v>#N/A</c:v>
                </c:pt>
                <c:pt idx="161">
                  <c:v>#N/A</c:v>
                </c:pt>
                <c:pt idx="162">
                  <c:v>#N/A</c:v>
                </c:pt>
                <c:pt idx="163">
                  <c:v>1449.52</c:v>
                </c:pt>
                <c:pt idx="164">
                  <c:v>#N/A</c:v>
                </c:pt>
                <c:pt idx="165">
                  <c:v>#N/A</c:v>
                </c:pt>
                <c:pt idx="166">
                  <c:v>#N/A</c:v>
                </c:pt>
                <c:pt idx="167">
                  <c:v>#N/A</c:v>
                </c:pt>
                <c:pt idx="168">
                  <c:v>#N/A</c:v>
                </c:pt>
                <c:pt idx="169">
                  <c:v>#N/A</c:v>
                </c:pt>
                <c:pt idx="170">
                  <c:v>1423.43</c:v>
                </c:pt>
                <c:pt idx="171">
                  <c:v>#N/A</c:v>
                </c:pt>
                <c:pt idx="172">
                  <c:v>#N/A</c:v>
                </c:pt>
                <c:pt idx="173">
                  <c:v>#N/A</c:v>
                </c:pt>
                <c:pt idx="174">
                  <c:v>#N/A</c:v>
                </c:pt>
                <c:pt idx="175">
                  <c:v>#N/A</c:v>
                </c:pt>
                <c:pt idx="176">
                  <c:v>#N/A</c:v>
                </c:pt>
                <c:pt idx="177">
                  <c:v>1432.71</c:v>
                </c:pt>
                <c:pt idx="178">
                  <c:v>#N/A</c:v>
                </c:pt>
                <c:pt idx="179">
                  <c:v>#N/A</c:v>
                </c:pt>
                <c:pt idx="180">
                  <c:v>#N/A</c:v>
                </c:pt>
                <c:pt idx="181">
                  <c:v>#N/A</c:v>
                </c:pt>
                <c:pt idx="182">
                  <c:v>#N/A</c:v>
                </c:pt>
                <c:pt idx="183">
                  <c:v>#N/A</c:v>
                </c:pt>
                <c:pt idx="184">
                  <c:v>1477.38</c:v>
                </c:pt>
                <c:pt idx="185">
                  <c:v>#N/A</c:v>
                </c:pt>
                <c:pt idx="186">
                  <c:v>#N/A</c:v>
                </c:pt>
                <c:pt idx="187">
                  <c:v>#N/A</c:v>
                </c:pt>
                <c:pt idx="188">
                  <c:v>#N/A</c:v>
                </c:pt>
                <c:pt idx="189">
                  <c:v>#N/A</c:v>
                </c:pt>
                <c:pt idx="190">
                  <c:v>#N/A</c:v>
                </c:pt>
                <c:pt idx="191">
                  <c:v>1505.75</c:v>
                </c:pt>
                <c:pt idx="192">
                  <c:v>#N/A</c:v>
                </c:pt>
                <c:pt idx="193">
                  <c:v>#N/A</c:v>
                </c:pt>
                <c:pt idx="194">
                  <c:v>#N/A</c:v>
                </c:pt>
                <c:pt idx="195">
                  <c:v>#N/A</c:v>
                </c:pt>
                <c:pt idx="196">
                  <c:v>#N/A</c:v>
                </c:pt>
                <c:pt idx="197">
                  <c:v>#N/A</c:v>
                </c:pt>
                <c:pt idx="198">
                  <c:v>1535.68</c:v>
                </c:pt>
                <c:pt idx="199">
                  <c:v>#N/A</c:v>
                </c:pt>
                <c:pt idx="200">
                  <c:v>#N/A</c:v>
                </c:pt>
                <c:pt idx="201">
                  <c:v>#N/A</c:v>
                </c:pt>
                <c:pt idx="202">
                  <c:v>#N/A</c:v>
                </c:pt>
                <c:pt idx="203">
                  <c:v>#N/A</c:v>
                </c:pt>
                <c:pt idx="204">
                  <c:v>#N/A</c:v>
                </c:pt>
                <c:pt idx="205">
                  <c:v>1548.97</c:v>
                </c:pt>
                <c:pt idx="206">
                  <c:v>#N/A</c:v>
                </c:pt>
                <c:pt idx="207">
                  <c:v>#N/A</c:v>
                </c:pt>
                <c:pt idx="208">
                  <c:v>#N/A</c:v>
                </c:pt>
                <c:pt idx="209">
                  <c:v>#N/A</c:v>
                </c:pt>
                <c:pt idx="210">
                  <c:v>#N/A</c:v>
                </c:pt>
                <c:pt idx="211">
                  <c:v>#N/A</c:v>
                </c:pt>
                <c:pt idx="212">
                  <c:v>1562.48</c:v>
                </c:pt>
                <c:pt idx="213">
                  <c:v>#N/A</c:v>
                </c:pt>
                <c:pt idx="214">
                  <c:v>#N/A</c:v>
                </c:pt>
                <c:pt idx="215">
                  <c:v>#N/A</c:v>
                </c:pt>
                <c:pt idx="216">
                  <c:v>#N/A</c:v>
                </c:pt>
                <c:pt idx="217">
                  <c:v>#N/A</c:v>
                </c:pt>
                <c:pt idx="218">
                  <c:v>#N/A</c:v>
                </c:pt>
                <c:pt idx="219">
                  <c:v>1560.25</c:v>
                </c:pt>
                <c:pt idx="220">
                  <c:v>#N/A</c:v>
                </c:pt>
                <c:pt idx="221">
                  <c:v>#N/A</c:v>
                </c:pt>
                <c:pt idx="222">
                  <c:v>#N/A</c:v>
                </c:pt>
                <c:pt idx="223">
                  <c:v>#N/A</c:v>
                </c:pt>
                <c:pt idx="224">
                  <c:v>#N/A</c:v>
                </c:pt>
                <c:pt idx="225">
                  <c:v>#N/A</c:v>
                </c:pt>
                <c:pt idx="226">
                  <c:v>1541.62</c:v>
                </c:pt>
                <c:pt idx="227">
                  <c:v>#N/A</c:v>
                </c:pt>
                <c:pt idx="228">
                  <c:v>#N/A</c:v>
                </c:pt>
                <c:pt idx="229">
                  <c:v>#N/A</c:v>
                </c:pt>
                <c:pt idx="230">
                  <c:v>#N/A</c:v>
                </c:pt>
                <c:pt idx="231">
                  <c:v>#N/A</c:v>
                </c:pt>
                <c:pt idx="232">
                  <c:v>#N/A</c:v>
                </c:pt>
                <c:pt idx="233">
                  <c:v>1540.18</c:v>
                </c:pt>
                <c:pt idx="234">
                  <c:v>#N/A</c:v>
                </c:pt>
                <c:pt idx="235">
                  <c:v>#N/A</c:v>
                </c:pt>
                <c:pt idx="236">
                  <c:v>#N/A</c:v>
                </c:pt>
                <c:pt idx="237">
                  <c:v>#N/A</c:v>
                </c:pt>
                <c:pt idx="238">
                  <c:v>#N/A</c:v>
                </c:pt>
                <c:pt idx="239">
                  <c:v>#N/A</c:v>
                </c:pt>
                <c:pt idx="240">
                  <c:v>1549.58</c:v>
                </c:pt>
                <c:pt idx="241">
                  <c:v>#N/A</c:v>
                </c:pt>
                <c:pt idx="242">
                  <c:v>#N/A</c:v>
                </c:pt>
                <c:pt idx="243">
                  <c:v>#N/A</c:v>
                </c:pt>
                <c:pt idx="244">
                  <c:v>#N/A</c:v>
                </c:pt>
                <c:pt idx="245">
                  <c:v>#N/A</c:v>
                </c:pt>
                <c:pt idx="246">
                  <c:v>#N/A</c:v>
                </c:pt>
                <c:pt idx="247">
                  <c:v>1570.51</c:v>
                </c:pt>
                <c:pt idx="248">
                  <c:v>#N/A</c:v>
                </c:pt>
                <c:pt idx="249">
                  <c:v>#N/A</c:v>
                </c:pt>
                <c:pt idx="250">
                  <c:v>#N/A</c:v>
                </c:pt>
                <c:pt idx="251">
                  <c:v>#N/A</c:v>
                </c:pt>
                <c:pt idx="252">
                  <c:v>#N/A</c:v>
                </c:pt>
                <c:pt idx="253">
                  <c:v>#N/A</c:v>
                </c:pt>
                <c:pt idx="254">
                  <c:v>1575.1</c:v>
                </c:pt>
                <c:pt idx="255">
                  <c:v>#N/A</c:v>
                </c:pt>
                <c:pt idx="256">
                  <c:v>#N/A</c:v>
                </c:pt>
                <c:pt idx="257">
                  <c:v>#N/A</c:v>
                </c:pt>
                <c:pt idx="258">
                  <c:v>#N/A</c:v>
                </c:pt>
                <c:pt idx="259">
                  <c:v>#N/A</c:v>
                </c:pt>
                <c:pt idx="260">
                  <c:v>#N/A</c:v>
                </c:pt>
                <c:pt idx="261">
                  <c:v>1567.59</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ser>
        <c:dLbls>
          <c:showLegendKey val="0"/>
          <c:showVal val="0"/>
          <c:showCatName val="0"/>
          <c:showSerName val="0"/>
          <c:showPercent val="0"/>
          <c:showBubbleSize val="0"/>
        </c:dLbls>
        <c:marker val="1"/>
        <c:smooth val="0"/>
        <c:axId val="238678016"/>
        <c:axId val="238679552"/>
      </c:lineChart>
      <c:dateAx>
        <c:axId val="238678016"/>
        <c:scaling>
          <c:orientation val="minMax"/>
        </c:scaling>
        <c:delete val="0"/>
        <c:axPos val="b"/>
        <c:numFmt formatCode="m" sourceLinked="0"/>
        <c:majorTickMark val="out"/>
        <c:minorTickMark val="out"/>
        <c:tickLblPos val="low"/>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238679552"/>
        <c:crosses val="autoZero"/>
        <c:auto val="0"/>
        <c:lblOffset val="0"/>
        <c:baseTimeUnit val="days"/>
        <c:majorUnit val="1"/>
        <c:majorTimeUnit val="months"/>
      </c:dateAx>
      <c:valAx>
        <c:axId val="238679552"/>
        <c:scaling>
          <c:orientation val="minMax"/>
          <c:min val="500"/>
        </c:scaling>
        <c:delete val="0"/>
        <c:axPos val="l"/>
        <c:numFmt formatCode="#,##0_);[Red]\(#,##0\)" sourceLinked="0"/>
        <c:majorTickMark val="out"/>
        <c:minorTickMark val="none"/>
        <c:tickLblPos val="nextTo"/>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238678016"/>
        <c:crosses val="autoZero"/>
        <c:crossBetween val="between"/>
      </c:valAx>
    </c:plotArea>
    <c:legend>
      <c:legendPos val="r"/>
      <c:layout>
        <c:manualLayout>
          <c:xMode val="edge"/>
          <c:yMode val="edge"/>
          <c:x val="0.15225"/>
          <c:y val="2.3337707786526699E-3"/>
          <c:w val="0.690571084864392"/>
          <c:h val="5.8071230679498403E-2"/>
        </c:manualLayout>
      </c:layout>
      <c:overlay val="0"/>
      <c:spPr>
        <a:noFill/>
        <a:ln w="3175">
          <a:noFill/>
          <a:prstDash val="soli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legend>
    <c:plotVisOnly val="1"/>
    <c:dispBlanksAs val="span"/>
    <c:showDLblsOverMax val="0"/>
  </c:chart>
  <c:spPr>
    <a:ln w="6350" cap="flat" cmpd="sng" algn="ctr">
      <a:noFill/>
      <a:prstDash val="solid"/>
      <a:round/>
    </a:ln>
  </c:spPr>
  <c:txPr>
    <a:bodyPr/>
    <a:lstStyle/>
    <a:p>
      <a:pPr>
        <a:defRPr lang="zh-CN"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0099518810148703E-2"/>
          <c:y val="0.111965952172645"/>
          <c:w val="0.92723381452318498"/>
          <c:h val="0.81409120734908103"/>
        </c:manualLayout>
      </c:layout>
      <c:lineChart>
        <c:grouping val="standard"/>
        <c:varyColors val="0"/>
        <c:ser>
          <c:idx val="0"/>
          <c:order val="0"/>
          <c:tx>
            <c:strRef>
              <c:f>水泥!$H$1</c:f>
              <c:strCache>
                <c:ptCount val="1"/>
                <c:pt idx="0">
                  <c:v>2018</c:v>
                </c:pt>
              </c:strCache>
            </c:strRef>
          </c:tx>
          <c:spPr>
            <a:ln w="28575" cap="rnd" cmpd="sng" algn="ctr">
              <a:solidFill>
                <a:srgbClr val="E7E6E6">
                  <a:lumMod val="75000"/>
                </a:srgbClr>
              </a:solidFill>
              <a:prstDash val="solid"/>
              <a:roun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水泥!$H$2:$H$366</c:f>
              <c:numCache>
                <c:formatCode>General</c:formatCode>
                <c:ptCount val="365"/>
                <c:pt idx="0">
                  <c:v>#N/A</c:v>
                </c:pt>
                <c:pt idx="1">
                  <c:v>150.18</c:v>
                </c:pt>
                <c:pt idx="2">
                  <c:v>150.68</c:v>
                </c:pt>
                <c:pt idx="3">
                  <c:v>150.66999999999999</c:v>
                </c:pt>
                <c:pt idx="4">
                  <c:v>150.76</c:v>
                </c:pt>
                <c:pt idx="5">
                  <c:v>#N/A</c:v>
                </c:pt>
                <c:pt idx="6">
                  <c:v>#N/A</c:v>
                </c:pt>
                <c:pt idx="7">
                  <c:v>150.9</c:v>
                </c:pt>
                <c:pt idx="8">
                  <c:v>150.83000000000001</c:v>
                </c:pt>
                <c:pt idx="9">
                  <c:v>150.83000000000001</c:v>
                </c:pt>
                <c:pt idx="10">
                  <c:v>150.72999999999999</c:v>
                </c:pt>
                <c:pt idx="11">
                  <c:v>148.5</c:v>
                </c:pt>
                <c:pt idx="12">
                  <c:v>#N/A</c:v>
                </c:pt>
                <c:pt idx="13">
                  <c:v>#N/A</c:v>
                </c:pt>
                <c:pt idx="14">
                  <c:v>147.31</c:v>
                </c:pt>
                <c:pt idx="15">
                  <c:v>145.79</c:v>
                </c:pt>
                <c:pt idx="16">
                  <c:v>145.1</c:v>
                </c:pt>
                <c:pt idx="17">
                  <c:v>144.66</c:v>
                </c:pt>
                <c:pt idx="18">
                  <c:v>144.57</c:v>
                </c:pt>
                <c:pt idx="19">
                  <c:v>#N/A</c:v>
                </c:pt>
                <c:pt idx="20">
                  <c:v>#N/A</c:v>
                </c:pt>
                <c:pt idx="21">
                  <c:v>143.91</c:v>
                </c:pt>
                <c:pt idx="22">
                  <c:v>142.71</c:v>
                </c:pt>
                <c:pt idx="23">
                  <c:v>142.54</c:v>
                </c:pt>
                <c:pt idx="24">
                  <c:v>141.97</c:v>
                </c:pt>
                <c:pt idx="25">
                  <c:v>141.56</c:v>
                </c:pt>
                <c:pt idx="26">
                  <c:v>#N/A</c:v>
                </c:pt>
                <c:pt idx="27">
                  <c:v>#N/A</c:v>
                </c:pt>
                <c:pt idx="28">
                  <c:v>141.44999999999999</c:v>
                </c:pt>
                <c:pt idx="29">
                  <c:v>141.30000000000001</c:v>
                </c:pt>
                <c:pt idx="30">
                  <c:v>141.28</c:v>
                </c:pt>
                <c:pt idx="31">
                  <c:v>141.22999999999999</c:v>
                </c:pt>
                <c:pt idx="32">
                  <c:v>140.58000000000001</c:v>
                </c:pt>
                <c:pt idx="33">
                  <c:v>#N/A</c:v>
                </c:pt>
                <c:pt idx="34">
                  <c:v>#N/A</c:v>
                </c:pt>
                <c:pt idx="35">
                  <c:v>138.84</c:v>
                </c:pt>
                <c:pt idx="36">
                  <c:v>138.85</c:v>
                </c:pt>
                <c:pt idx="37">
                  <c:v>138.52000000000001</c:v>
                </c:pt>
                <c:pt idx="38">
                  <c:v>137.16</c:v>
                </c:pt>
                <c:pt idx="39">
                  <c:v>137.11000000000001</c:v>
                </c:pt>
                <c:pt idx="40">
                  <c:v>#N/A</c:v>
                </c:pt>
                <c:pt idx="41">
                  <c:v>#N/A</c:v>
                </c:pt>
                <c:pt idx="42">
                  <c:v>136.53</c:v>
                </c:pt>
                <c:pt idx="43">
                  <c:v>#N/A</c:v>
                </c:pt>
                <c:pt idx="44">
                  <c:v>#N/A</c:v>
                </c:pt>
                <c:pt idx="45">
                  <c:v>#N/A</c:v>
                </c:pt>
                <c:pt idx="46">
                  <c:v>#N/A</c:v>
                </c:pt>
                <c:pt idx="47">
                  <c:v>#N/A</c:v>
                </c:pt>
                <c:pt idx="48">
                  <c:v>#N/A</c:v>
                </c:pt>
                <c:pt idx="49">
                  <c:v>#N/A</c:v>
                </c:pt>
                <c:pt idx="50">
                  <c:v>#N/A</c:v>
                </c:pt>
                <c:pt idx="51">
                  <c:v>#N/A</c:v>
                </c:pt>
                <c:pt idx="52">
                  <c:v>#N/A</c:v>
                </c:pt>
                <c:pt idx="53">
                  <c:v>136.44</c:v>
                </c:pt>
                <c:pt idx="54">
                  <c:v>#N/A</c:v>
                </c:pt>
                <c:pt idx="55">
                  <c:v>#N/A</c:v>
                </c:pt>
                <c:pt idx="56">
                  <c:v>136.19</c:v>
                </c:pt>
                <c:pt idx="57">
                  <c:v>135.83000000000001</c:v>
                </c:pt>
                <c:pt idx="58">
                  <c:v>134.84</c:v>
                </c:pt>
                <c:pt idx="59">
                  <c:v>134.28</c:v>
                </c:pt>
                <c:pt idx="60">
                  <c:v>134.16999999999999</c:v>
                </c:pt>
                <c:pt idx="61">
                  <c:v>#N/A</c:v>
                </c:pt>
                <c:pt idx="62">
                  <c:v>#N/A</c:v>
                </c:pt>
                <c:pt idx="63">
                  <c:v>133.91999999999999</c:v>
                </c:pt>
                <c:pt idx="64">
                  <c:v>133.34</c:v>
                </c:pt>
                <c:pt idx="65">
                  <c:v>133.08000000000001</c:v>
                </c:pt>
                <c:pt idx="66">
                  <c:v>132.44999999999999</c:v>
                </c:pt>
                <c:pt idx="67">
                  <c:v>132.5</c:v>
                </c:pt>
                <c:pt idx="68">
                  <c:v>#N/A</c:v>
                </c:pt>
                <c:pt idx="69">
                  <c:v>#N/A</c:v>
                </c:pt>
                <c:pt idx="70">
                  <c:v>132.57</c:v>
                </c:pt>
                <c:pt idx="71">
                  <c:v>132.66</c:v>
                </c:pt>
                <c:pt idx="72">
                  <c:v>132.36000000000001</c:v>
                </c:pt>
                <c:pt idx="73">
                  <c:v>132.44999999999999</c:v>
                </c:pt>
                <c:pt idx="74">
                  <c:v>132.30000000000001</c:v>
                </c:pt>
                <c:pt idx="75">
                  <c:v>#N/A</c:v>
                </c:pt>
                <c:pt idx="76">
                  <c:v>#N/A</c:v>
                </c:pt>
                <c:pt idx="77">
                  <c:v>131.63</c:v>
                </c:pt>
                <c:pt idx="78">
                  <c:v>131.26</c:v>
                </c:pt>
                <c:pt idx="79">
                  <c:v>131.24</c:v>
                </c:pt>
                <c:pt idx="80">
                  <c:v>131.19999999999999</c:v>
                </c:pt>
                <c:pt idx="81">
                  <c:v>131.24</c:v>
                </c:pt>
                <c:pt idx="82">
                  <c:v>#N/A</c:v>
                </c:pt>
                <c:pt idx="83">
                  <c:v>#N/A</c:v>
                </c:pt>
                <c:pt idx="84">
                  <c:v>131.59</c:v>
                </c:pt>
                <c:pt idx="85">
                  <c:v>131.59</c:v>
                </c:pt>
                <c:pt idx="86">
                  <c:v>131.59</c:v>
                </c:pt>
                <c:pt idx="87">
                  <c:v>131.78</c:v>
                </c:pt>
                <c:pt idx="88">
                  <c:v>132.03</c:v>
                </c:pt>
                <c:pt idx="89">
                  <c:v>#N/A</c:v>
                </c:pt>
                <c:pt idx="90">
                  <c:v>#N/A</c:v>
                </c:pt>
                <c:pt idx="91">
                  <c:v>133.16</c:v>
                </c:pt>
                <c:pt idx="92">
                  <c:v>133.41</c:v>
                </c:pt>
                <c:pt idx="93">
                  <c:v>133.84</c:v>
                </c:pt>
                <c:pt idx="94">
                  <c:v>#N/A</c:v>
                </c:pt>
                <c:pt idx="95">
                  <c:v>#N/A</c:v>
                </c:pt>
                <c:pt idx="96">
                  <c:v>#N/A</c:v>
                </c:pt>
                <c:pt idx="97">
                  <c:v>#N/A</c:v>
                </c:pt>
                <c:pt idx="98">
                  <c:v>134.12</c:v>
                </c:pt>
                <c:pt idx="99">
                  <c:v>134.05000000000001</c:v>
                </c:pt>
                <c:pt idx="100">
                  <c:v>134.52000000000001</c:v>
                </c:pt>
                <c:pt idx="101">
                  <c:v>134.55000000000001</c:v>
                </c:pt>
                <c:pt idx="102">
                  <c:v>135.08000000000001</c:v>
                </c:pt>
                <c:pt idx="103">
                  <c:v>#N/A</c:v>
                </c:pt>
                <c:pt idx="104">
                  <c:v>#N/A</c:v>
                </c:pt>
                <c:pt idx="105">
                  <c:v>135.91</c:v>
                </c:pt>
                <c:pt idx="106">
                  <c:v>136.09</c:v>
                </c:pt>
                <c:pt idx="107">
                  <c:v>136.29</c:v>
                </c:pt>
                <c:pt idx="108">
                  <c:v>136.88</c:v>
                </c:pt>
                <c:pt idx="109">
                  <c:v>137.5</c:v>
                </c:pt>
                <c:pt idx="110">
                  <c:v>#N/A</c:v>
                </c:pt>
                <c:pt idx="111">
                  <c:v>#N/A</c:v>
                </c:pt>
                <c:pt idx="112">
                  <c:v>138.1</c:v>
                </c:pt>
                <c:pt idx="113">
                  <c:v>138.43</c:v>
                </c:pt>
                <c:pt idx="114">
                  <c:v>138.52000000000001</c:v>
                </c:pt>
                <c:pt idx="115">
                  <c:v>139.25</c:v>
                </c:pt>
                <c:pt idx="116">
                  <c:v>137.24</c:v>
                </c:pt>
                <c:pt idx="117">
                  <c:v>#N/A</c:v>
                </c:pt>
                <c:pt idx="118">
                  <c:v>#N/A</c:v>
                </c:pt>
                <c:pt idx="119">
                  <c:v>#N/A</c:v>
                </c:pt>
                <c:pt idx="120">
                  <c:v>#N/A</c:v>
                </c:pt>
                <c:pt idx="121">
                  <c:v>139.96</c:v>
                </c:pt>
                <c:pt idx="122">
                  <c:v>140.47999999999999</c:v>
                </c:pt>
                <c:pt idx="123">
                  <c:v>141.27000000000001</c:v>
                </c:pt>
                <c:pt idx="124">
                  <c:v>#N/A</c:v>
                </c:pt>
                <c:pt idx="125">
                  <c:v>#N/A</c:v>
                </c:pt>
                <c:pt idx="126">
                  <c:v>141.84</c:v>
                </c:pt>
                <c:pt idx="127">
                  <c:v>142.32</c:v>
                </c:pt>
                <c:pt idx="128">
                  <c:v>142.13</c:v>
                </c:pt>
                <c:pt idx="129">
                  <c:v>142.15</c:v>
                </c:pt>
                <c:pt idx="130">
                  <c:v>142.36000000000001</c:v>
                </c:pt>
                <c:pt idx="131">
                  <c:v>#N/A</c:v>
                </c:pt>
                <c:pt idx="132">
                  <c:v>#N/A</c:v>
                </c:pt>
                <c:pt idx="133">
                  <c:v>142.19999999999999</c:v>
                </c:pt>
                <c:pt idx="134">
                  <c:v>142.15</c:v>
                </c:pt>
                <c:pt idx="135">
                  <c:v>142.18</c:v>
                </c:pt>
                <c:pt idx="136">
                  <c:v>142.54</c:v>
                </c:pt>
                <c:pt idx="137">
                  <c:v>142.61000000000001</c:v>
                </c:pt>
                <c:pt idx="138">
                  <c:v>#N/A</c:v>
                </c:pt>
                <c:pt idx="139">
                  <c:v>#N/A</c:v>
                </c:pt>
                <c:pt idx="140">
                  <c:v>142.62</c:v>
                </c:pt>
                <c:pt idx="141">
                  <c:v>142.78</c:v>
                </c:pt>
                <c:pt idx="142">
                  <c:v>142.99</c:v>
                </c:pt>
                <c:pt idx="143">
                  <c:v>143.08000000000001</c:v>
                </c:pt>
                <c:pt idx="144">
                  <c:v>143.19</c:v>
                </c:pt>
                <c:pt idx="145">
                  <c:v>#N/A</c:v>
                </c:pt>
                <c:pt idx="146">
                  <c:v>#N/A</c:v>
                </c:pt>
                <c:pt idx="147">
                  <c:v>143.18</c:v>
                </c:pt>
                <c:pt idx="148">
                  <c:v>143.16999999999999</c:v>
                </c:pt>
                <c:pt idx="149">
                  <c:v>143.21</c:v>
                </c:pt>
                <c:pt idx="150">
                  <c:v>143.22</c:v>
                </c:pt>
                <c:pt idx="151">
                  <c:v>143.34</c:v>
                </c:pt>
                <c:pt idx="152">
                  <c:v>#N/A</c:v>
                </c:pt>
                <c:pt idx="153">
                  <c:v>#N/A</c:v>
                </c:pt>
                <c:pt idx="154">
                  <c:v>143.27000000000001</c:v>
                </c:pt>
                <c:pt idx="155">
                  <c:v>142.72</c:v>
                </c:pt>
                <c:pt idx="156">
                  <c:v>142.71</c:v>
                </c:pt>
                <c:pt idx="157">
                  <c:v>142.63999999999999</c:v>
                </c:pt>
                <c:pt idx="158">
                  <c:v>142.66999999999999</c:v>
                </c:pt>
                <c:pt idx="159">
                  <c:v>#N/A</c:v>
                </c:pt>
                <c:pt idx="160">
                  <c:v>#N/A</c:v>
                </c:pt>
                <c:pt idx="161">
                  <c:v>142.63</c:v>
                </c:pt>
                <c:pt idx="162">
                  <c:v>142.65</c:v>
                </c:pt>
                <c:pt idx="163">
                  <c:v>142.66999999999999</c:v>
                </c:pt>
                <c:pt idx="164">
                  <c:v>142.69</c:v>
                </c:pt>
                <c:pt idx="165">
                  <c:v>142.68</c:v>
                </c:pt>
                <c:pt idx="166">
                  <c:v>#N/A</c:v>
                </c:pt>
                <c:pt idx="167">
                  <c:v>#N/A</c:v>
                </c:pt>
                <c:pt idx="168">
                  <c:v>#N/A</c:v>
                </c:pt>
                <c:pt idx="169">
                  <c:v>142.52000000000001</c:v>
                </c:pt>
                <c:pt idx="170">
                  <c:v>142.53</c:v>
                </c:pt>
                <c:pt idx="171">
                  <c:v>142.51</c:v>
                </c:pt>
                <c:pt idx="172">
                  <c:v>142.56</c:v>
                </c:pt>
                <c:pt idx="173">
                  <c:v>#N/A</c:v>
                </c:pt>
                <c:pt idx="174">
                  <c:v>#N/A</c:v>
                </c:pt>
                <c:pt idx="175">
                  <c:v>142.57</c:v>
                </c:pt>
                <c:pt idx="176">
                  <c:v>142.53</c:v>
                </c:pt>
                <c:pt idx="177">
                  <c:v>142.46</c:v>
                </c:pt>
                <c:pt idx="178">
                  <c:v>141.96</c:v>
                </c:pt>
                <c:pt idx="179">
                  <c:v>141.97999999999999</c:v>
                </c:pt>
                <c:pt idx="180">
                  <c:v>#N/A</c:v>
                </c:pt>
                <c:pt idx="181">
                  <c:v>#N/A</c:v>
                </c:pt>
                <c:pt idx="182">
                  <c:v>141.72999999999999</c:v>
                </c:pt>
                <c:pt idx="183">
                  <c:v>141.63</c:v>
                </c:pt>
                <c:pt idx="184">
                  <c:v>141.44</c:v>
                </c:pt>
                <c:pt idx="185">
                  <c:v>141.30000000000001</c:v>
                </c:pt>
                <c:pt idx="186">
                  <c:v>140.9</c:v>
                </c:pt>
                <c:pt idx="187">
                  <c:v>#N/A</c:v>
                </c:pt>
                <c:pt idx="188">
                  <c:v>#N/A</c:v>
                </c:pt>
                <c:pt idx="189">
                  <c:v>140.93</c:v>
                </c:pt>
                <c:pt idx="190">
                  <c:v>140.68</c:v>
                </c:pt>
                <c:pt idx="191">
                  <c:v>140.46</c:v>
                </c:pt>
                <c:pt idx="192">
                  <c:v>140.38</c:v>
                </c:pt>
                <c:pt idx="193">
                  <c:v>140.28</c:v>
                </c:pt>
                <c:pt idx="194">
                  <c:v>#N/A</c:v>
                </c:pt>
                <c:pt idx="195">
                  <c:v>#N/A</c:v>
                </c:pt>
                <c:pt idx="196">
                  <c:v>140.13999999999999</c:v>
                </c:pt>
                <c:pt idx="197">
                  <c:v>139.96</c:v>
                </c:pt>
                <c:pt idx="198">
                  <c:v>139.72999999999999</c:v>
                </c:pt>
                <c:pt idx="199">
                  <c:v>139.77000000000001</c:v>
                </c:pt>
                <c:pt idx="200">
                  <c:v>139.63999999999999</c:v>
                </c:pt>
                <c:pt idx="201">
                  <c:v>#N/A</c:v>
                </c:pt>
                <c:pt idx="202">
                  <c:v>#N/A</c:v>
                </c:pt>
                <c:pt idx="203">
                  <c:v>139.79</c:v>
                </c:pt>
                <c:pt idx="204">
                  <c:v>139.82</c:v>
                </c:pt>
                <c:pt idx="205">
                  <c:v>139.80000000000001</c:v>
                </c:pt>
                <c:pt idx="206">
                  <c:v>139.71</c:v>
                </c:pt>
                <c:pt idx="207">
                  <c:v>139.69</c:v>
                </c:pt>
                <c:pt idx="208">
                  <c:v>#N/A</c:v>
                </c:pt>
                <c:pt idx="209">
                  <c:v>#N/A</c:v>
                </c:pt>
                <c:pt idx="210">
                  <c:v>139.69</c:v>
                </c:pt>
                <c:pt idx="211">
                  <c:v>139.58000000000001</c:v>
                </c:pt>
                <c:pt idx="212">
                  <c:v>139.38</c:v>
                </c:pt>
                <c:pt idx="213">
                  <c:v>139.35</c:v>
                </c:pt>
                <c:pt idx="214">
                  <c:v>138.99</c:v>
                </c:pt>
                <c:pt idx="215">
                  <c:v>#N/A</c:v>
                </c:pt>
                <c:pt idx="216">
                  <c:v>#N/A</c:v>
                </c:pt>
                <c:pt idx="217">
                  <c:v>138.99</c:v>
                </c:pt>
                <c:pt idx="218">
                  <c:v>138.91</c:v>
                </c:pt>
                <c:pt idx="219">
                  <c:v>138.97</c:v>
                </c:pt>
                <c:pt idx="220">
                  <c:v>139.01</c:v>
                </c:pt>
                <c:pt idx="221">
                  <c:v>139.01</c:v>
                </c:pt>
                <c:pt idx="222">
                  <c:v>#N/A</c:v>
                </c:pt>
                <c:pt idx="223">
                  <c:v>#N/A</c:v>
                </c:pt>
                <c:pt idx="224">
                  <c:v>138.99</c:v>
                </c:pt>
                <c:pt idx="225">
                  <c:v>138.97999999999999</c:v>
                </c:pt>
                <c:pt idx="226">
                  <c:v>139.32</c:v>
                </c:pt>
                <c:pt idx="227">
                  <c:v>139.31</c:v>
                </c:pt>
                <c:pt idx="228">
                  <c:v>139.36000000000001</c:v>
                </c:pt>
                <c:pt idx="229">
                  <c:v>#N/A</c:v>
                </c:pt>
                <c:pt idx="230">
                  <c:v>#N/A</c:v>
                </c:pt>
                <c:pt idx="231">
                  <c:v>139.27000000000001</c:v>
                </c:pt>
                <c:pt idx="232">
                  <c:v>139.31</c:v>
                </c:pt>
                <c:pt idx="233">
                  <c:v>139.44</c:v>
                </c:pt>
                <c:pt idx="234">
                  <c:v>139.28</c:v>
                </c:pt>
                <c:pt idx="235">
                  <c:v>139.26</c:v>
                </c:pt>
                <c:pt idx="236">
                  <c:v>#N/A</c:v>
                </c:pt>
                <c:pt idx="237">
                  <c:v>#N/A</c:v>
                </c:pt>
                <c:pt idx="238">
                  <c:v>139.91999999999999</c:v>
                </c:pt>
                <c:pt idx="239">
                  <c:v>139.97</c:v>
                </c:pt>
                <c:pt idx="240">
                  <c:v>139.96</c:v>
                </c:pt>
                <c:pt idx="241">
                  <c:v>140.16999999999999</c:v>
                </c:pt>
                <c:pt idx="242">
                  <c:v>139.99</c:v>
                </c:pt>
                <c:pt idx="243">
                  <c:v>#N/A</c:v>
                </c:pt>
                <c:pt idx="244">
                  <c:v>#N/A</c:v>
                </c:pt>
                <c:pt idx="245">
                  <c:v>141.19999999999999</c:v>
                </c:pt>
                <c:pt idx="246">
                  <c:v>141.44</c:v>
                </c:pt>
                <c:pt idx="247">
                  <c:v>142.13</c:v>
                </c:pt>
                <c:pt idx="248">
                  <c:v>142.22</c:v>
                </c:pt>
                <c:pt idx="249">
                  <c:v>142.36000000000001</c:v>
                </c:pt>
                <c:pt idx="250">
                  <c:v>#N/A</c:v>
                </c:pt>
                <c:pt idx="251">
                  <c:v>#N/A</c:v>
                </c:pt>
                <c:pt idx="252">
                  <c:v>142.38999999999999</c:v>
                </c:pt>
                <c:pt idx="253">
                  <c:v>142.43</c:v>
                </c:pt>
                <c:pt idx="254">
                  <c:v>142.4</c:v>
                </c:pt>
                <c:pt idx="255">
                  <c:v>142.57</c:v>
                </c:pt>
                <c:pt idx="256">
                  <c:v>142.72999999999999</c:v>
                </c:pt>
                <c:pt idx="257">
                  <c:v>#N/A</c:v>
                </c:pt>
                <c:pt idx="258">
                  <c:v>#N/A</c:v>
                </c:pt>
                <c:pt idx="259">
                  <c:v>142.88</c:v>
                </c:pt>
                <c:pt idx="260">
                  <c:v>143.31</c:v>
                </c:pt>
                <c:pt idx="261">
                  <c:v>143.24</c:v>
                </c:pt>
                <c:pt idx="262">
                  <c:v>143.22999999999999</c:v>
                </c:pt>
                <c:pt idx="263">
                  <c:v>143.38999999999999</c:v>
                </c:pt>
                <c:pt idx="264">
                  <c:v>#N/A</c:v>
                </c:pt>
                <c:pt idx="265">
                  <c:v>#N/A</c:v>
                </c:pt>
                <c:pt idx="266">
                  <c:v>#N/A</c:v>
                </c:pt>
                <c:pt idx="267">
                  <c:v>143.56</c:v>
                </c:pt>
                <c:pt idx="268">
                  <c:v>143.49</c:v>
                </c:pt>
                <c:pt idx="269">
                  <c:v>143.72999999999999</c:v>
                </c:pt>
                <c:pt idx="270">
                  <c:v>143.75</c:v>
                </c:pt>
                <c:pt idx="271">
                  <c:v>#N/A</c:v>
                </c:pt>
                <c:pt idx="272">
                  <c:v>#N/A</c:v>
                </c:pt>
                <c:pt idx="273">
                  <c:v>#N/A</c:v>
                </c:pt>
                <c:pt idx="274">
                  <c:v>#N/A</c:v>
                </c:pt>
                <c:pt idx="275">
                  <c:v>#N/A</c:v>
                </c:pt>
                <c:pt idx="276">
                  <c:v>#N/A</c:v>
                </c:pt>
                <c:pt idx="277">
                  <c:v>#N/A</c:v>
                </c:pt>
                <c:pt idx="278">
                  <c:v>#N/A</c:v>
                </c:pt>
                <c:pt idx="279">
                  <c:v>#N/A</c:v>
                </c:pt>
                <c:pt idx="280">
                  <c:v>144.69</c:v>
                </c:pt>
                <c:pt idx="281">
                  <c:v>144.93</c:v>
                </c:pt>
                <c:pt idx="282">
                  <c:v>145.12</c:v>
                </c:pt>
                <c:pt idx="283">
                  <c:v>145.13999999999999</c:v>
                </c:pt>
                <c:pt idx="284">
                  <c:v>144.88</c:v>
                </c:pt>
                <c:pt idx="285">
                  <c:v>#N/A</c:v>
                </c:pt>
                <c:pt idx="286">
                  <c:v>#N/A</c:v>
                </c:pt>
                <c:pt idx="287">
                  <c:v>145.71</c:v>
                </c:pt>
                <c:pt idx="288">
                  <c:v>145.86000000000001</c:v>
                </c:pt>
                <c:pt idx="289">
                  <c:v>145.99</c:v>
                </c:pt>
                <c:pt idx="290">
                  <c:v>146.4</c:v>
                </c:pt>
                <c:pt idx="291">
                  <c:v>146.49</c:v>
                </c:pt>
                <c:pt idx="292">
                  <c:v>#N/A</c:v>
                </c:pt>
                <c:pt idx="293">
                  <c:v>#N/A</c:v>
                </c:pt>
                <c:pt idx="294">
                  <c:v>147.97</c:v>
                </c:pt>
                <c:pt idx="295">
                  <c:v>148.21</c:v>
                </c:pt>
                <c:pt idx="296">
                  <c:v>148.31</c:v>
                </c:pt>
                <c:pt idx="297">
                  <c:v>148.82</c:v>
                </c:pt>
                <c:pt idx="298">
                  <c:v>148.83000000000001</c:v>
                </c:pt>
                <c:pt idx="299">
                  <c:v>#N/A</c:v>
                </c:pt>
                <c:pt idx="300">
                  <c:v>#N/A</c:v>
                </c:pt>
                <c:pt idx="301">
                  <c:v>149.24</c:v>
                </c:pt>
                <c:pt idx="302">
                  <c:v>149.29</c:v>
                </c:pt>
                <c:pt idx="303">
                  <c:v>149.47999999999999</c:v>
                </c:pt>
                <c:pt idx="304">
                  <c:v>151.63</c:v>
                </c:pt>
                <c:pt idx="305">
                  <c:v>155.09</c:v>
                </c:pt>
                <c:pt idx="306">
                  <c:v>#N/A</c:v>
                </c:pt>
                <c:pt idx="307">
                  <c:v>#N/A</c:v>
                </c:pt>
                <c:pt idx="308">
                  <c:v>155.74</c:v>
                </c:pt>
                <c:pt idx="309">
                  <c:v>155.82</c:v>
                </c:pt>
                <c:pt idx="310">
                  <c:v>156.05000000000001</c:v>
                </c:pt>
                <c:pt idx="311">
                  <c:v>156.25</c:v>
                </c:pt>
                <c:pt idx="312">
                  <c:v>156.79</c:v>
                </c:pt>
                <c:pt idx="313">
                  <c:v>#N/A</c:v>
                </c:pt>
                <c:pt idx="314">
                  <c:v>#N/A</c:v>
                </c:pt>
                <c:pt idx="315">
                  <c:v>157.08000000000001</c:v>
                </c:pt>
                <c:pt idx="316">
                  <c:v>157.19999999999999</c:v>
                </c:pt>
                <c:pt idx="317">
                  <c:v>157.22</c:v>
                </c:pt>
                <c:pt idx="318">
                  <c:v>158.04</c:v>
                </c:pt>
                <c:pt idx="319">
                  <c:v>158.47</c:v>
                </c:pt>
                <c:pt idx="320">
                  <c:v>#N/A</c:v>
                </c:pt>
                <c:pt idx="321">
                  <c:v>#N/A</c:v>
                </c:pt>
                <c:pt idx="322">
                  <c:v>159.16999999999999</c:v>
                </c:pt>
                <c:pt idx="323">
                  <c:v>159.59</c:v>
                </c:pt>
                <c:pt idx="324">
                  <c:v>160.61000000000001</c:v>
                </c:pt>
                <c:pt idx="325">
                  <c:v>160.84</c:v>
                </c:pt>
                <c:pt idx="326">
                  <c:v>160.84</c:v>
                </c:pt>
                <c:pt idx="327">
                  <c:v>#N/A</c:v>
                </c:pt>
                <c:pt idx="328">
                  <c:v>#N/A</c:v>
                </c:pt>
                <c:pt idx="329">
                  <c:v>161.01</c:v>
                </c:pt>
                <c:pt idx="330">
                  <c:v>161.01</c:v>
                </c:pt>
                <c:pt idx="331">
                  <c:v>161.25</c:v>
                </c:pt>
                <c:pt idx="332">
                  <c:v>161.35</c:v>
                </c:pt>
                <c:pt idx="333">
                  <c:v>161.37</c:v>
                </c:pt>
                <c:pt idx="334">
                  <c:v>#N/A</c:v>
                </c:pt>
                <c:pt idx="335">
                  <c:v>#N/A</c:v>
                </c:pt>
                <c:pt idx="336">
                  <c:v>161.68</c:v>
                </c:pt>
                <c:pt idx="337">
                  <c:v>162</c:v>
                </c:pt>
                <c:pt idx="338">
                  <c:v>162.09</c:v>
                </c:pt>
                <c:pt idx="339">
                  <c:v>162.41</c:v>
                </c:pt>
                <c:pt idx="340">
                  <c:v>162.44</c:v>
                </c:pt>
                <c:pt idx="341">
                  <c:v>#N/A</c:v>
                </c:pt>
                <c:pt idx="342">
                  <c:v>#N/A</c:v>
                </c:pt>
                <c:pt idx="343">
                  <c:v>162.51</c:v>
                </c:pt>
                <c:pt idx="344">
                  <c:v>162.51</c:v>
                </c:pt>
                <c:pt idx="345">
                  <c:v>161.9</c:v>
                </c:pt>
                <c:pt idx="346">
                  <c:v>161.9</c:v>
                </c:pt>
                <c:pt idx="347">
                  <c:v>161.88999999999999</c:v>
                </c:pt>
                <c:pt idx="348">
                  <c:v>#N/A</c:v>
                </c:pt>
                <c:pt idx="349">
                  <c:v>#N/A</c:v>
                </c:pt>
                <c:pt idx="350">
                  <c:v>162.35</c:v>
                </c:pt>
                <c:pt idx="351">
                  <c:v>162.36000000000001</c:v>
                </c:pt>
                <c:pt idx="352">
                  <c:v>162.31</c:v>
                </c:pt>
                <c:pt idx="353">
                  <c:v>162.32</c:v>
                </c:pt>
                <c:pt idx="354">
                  <c:v>162.30000000000001</c:v>
                </c:pt>
                <c:pt idx="355">
                  <c:v>#N/A</c:v>
                </c:pt>
                <c:pt idx="356">
                  <c:v>#N/A</c:v>
                </c:pt>
                <c:pt idx="357">
                  <c:v>162.34</c:v>
                </c:pt>
                <c:pt idx="358">
                  <c:v>162.30000000000001</c:v>
                </c:pt>
                <c:pt idx="359">
                  <c:v>162.32</c:v>
                </c:pt>
                <c:pt idx="360">
                  <c:v>162.33000000000001</c:v>
                </c:pt>
                <c:pt idx="361">
                  <c:v>162.27000000000001</c:v>
                </c:pt>
                <c:pt idx="362">
                  <c:v>#N/A</c:v>
                </c:pt>
                <c:pt idx="363">
                  <c:v>#N/A</c:v>
                </c:pt>
                <c:pt idx="364">
                  <c:v>#N/A</c:v>
                </c:pt>
              </c:numCache>
            </c:numRef>
          </c:val>
          <c:smooth val="1"/>
        </c:ser>
        <c:ser>
          <c:idx val="2"/>
          <c:order val="1"/>
          <c:tx>
            <c:strRef>
              <c:f>水泥!$I$1</c:f>
              <c:strCache>
                <c:ptCount val="1"/>
                <c:pt idx="0">
                  <c:v>2019</c:v>
                </c:pt>
              </c:strCache>
            </c:strRef>
          </c:tx>
          <c:spPr>
            <a:ln w="28575" cap="rnd" cmpd="sng" algn="ctr">
              <a:solidFill>
                <a:srgbClr val="F8CBAD"/>
              </a:solidFill>
              <a:prstDash val="solid"/>
              <a:roun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水泥!$I$2:$I$366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ser>
        <c:ser>
          <c:idx val="1"/>
          <c:order val="2"/>
          <c:tx>
            <c:strRef>
              <c:f>水泥!$J$1</c:f>
              <c:strCache>
                <c:ptCount val="1"/>
                <c:pt idx="0">
                  <c:v>2020</c:v>
                </c:pt>
              </c:strCache>
            </c:strRef>
          </c:tx>
          <c:spPr>
            <a:ln w="28575" cap="rnd" cmpd="sng" algn="ctr">
              <a:solidFill>
                <a:srgbClr val="BF5711"/>
              </a:solidFill>
              <a:prstDash val="solid"/>
              <a:roun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水泥!$J$2:$J$366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ser>
        <c:dLbls>
          <c:showLegendKey val="0"/>
          <c:showVal val="0"/>
          <c:showCatName val="0"/>
          <c:showSerName val="0"/>
          <c:showPercent val="0"/>
          <c:showBubbleSize val="0"/>
        </c:dLbls>
        <c:marker val="1"/>
        <c:smooth val="0"/>
        <c:axId val="238763008"/>
        <c:axId val="238797568"/>
      </c:lineChart>
      <c:dateAx>
        <c:axId val="238763008"/>
        <c:scaling>
          <c:orientation val="minMax"/>
        </c:scaling>
        <c:delete val="0"/>
        <c:axPos val="b"/>
        <c:numFmt formatCode="m" sourceLinked="0"/>
        <c:majorTickMark val="out"/>
        <c:minorTickMark val="out"/>
        <c:tickLblPos val="low"/>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238797568"/>
        <c:crosses val="autoZero"/>
        <c:auto val="0"/>
        <c:lblOffset val="0"/>
        <c:baseTimeUnit val="days"/>
        <c:majorUnit val="1"/>
        <c:majorTimeUnit val="months"/>
      </c:dateAx>
      <c:valAx>
        <c:axId val="238797568"/>
        <c:scaling>
          <c:orientation val="minMax"/>
          <c:max val="170"/>
          <c:min val="90"/>
        </c:scaling>
        <c:delete val="0"/>
        <c:axPos val="l"/>
        <c:numFmt formatCode="#,##0_);[Red]\(#,##0\)" sourceLinked="0"/>
        <c:majorTickMark val="out"/>
        <c:minorTickMark val="none"/>
        <c:tickLblPos val="nextTo"/>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238763008"/>
        <c:crosses val="autoZero"/>
        <c:crossBetween val="between"/>
      </c:valAx>
    </c:plotArea>
    <c:legend>
      <c:legendPos val="r"/>
      <c:layout>
        <c:manualLayout>
          <c:xMode val="edge"/>
          <c:yMode val="edge"/>
          <c:x val="0.15225"/>
          <c:y val="2.3337707786526699E-3"/>
          <c:w val="0.690571084864392"/>
          <c:h val="5.8071230679498403E-2"/>
        </c:manualLayout>
      </c:layout>
      <c:overlay val="0"/>
      <c:spPr>
        <a:noFill/>
        <a:ln w="3175">
          <a:noFill/>
          <a:prstDash val="soli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legend>
    <c:plotVisOnly val="1"/>
    <c:dispBlanksAs val="span"/>
    <c:showDLblsOverMax val="0"/>
  </c:chart>
  <c:spPr>
    <a:ln w="6350" cap="flat" cmpd="sng" algn="ctr">
      <a:noFill/>
      <a:prstDash val="solid"/>
      <a:round/>
    </a:ln>
  </c:spPr>
  <c:txPr>
    <a:bodyPr/>
    <a:lstStyle/>
    <a:p>
      <a:pPr>
        <a:defRPr lang="zh-CN"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0099518810148703E-2"/>
          <c:y val="0.111965952172645"/>
          <c:w val="0.92723381452318498"/>
          <c:h val="0.81409120734908103"/>
        </c:manualLayout>
      </c:layout>
      <c:lineChart>
        <c:grouping val="standard"/>
        <c:varyColors val="0"/>
        <c:ser>
          <c:idx val="0"/>
          <c:order val="0"/>
          <c:tx>
            <c:strRef>
              <c:f>南华!$H$1</c:f>
              <c:strCache>
                <c:ptCount val="1"/>
                <c:pt idx="0">
                  <c:v>2018</c:v>
                </c:pt>
              </c:strCache>
            </c:strRef>
          </c:tx>
          <c:spPr>
            <a:ln w="28575" cap="rnd" cmpd="sng" algn="ctr">
              <a:solidFill>
                <a:srgbClr val="E7E6E6">
                  <a:lumMod val="75000"/>
                </a:srgbClr>
              </a:solidFill>
              <a:prstDash val="solid"/>
              <a:roun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南华!$H$2:$H$366</c:f>
              <c:numCache>
                <c:formatCode>General</c:formatCode>
                <c:ptCount val="365"/>
                <c:pt idx="0">
                  <c:v>#N/A</c:v>
                </c:pt>
                <c:pt idx="1">
                  <c:v>#N/A</c:v>
                </c:pt>
                <c:pt idx="2">
                  <c:v>#N/A</c:v>
                </c:pt>
                <c:pt idx="3">
                  <c:v>#N/A</c:v>
                </c:pt>
                <c:pt idx="4">
                  <c:v>#N/A</c:v>
                </c:pt>
                <c:pt idx="5">
                  <c:v>2100.85</c:v>
                </c:pt>
                <c:pt idx="6">
                  <c:v>#N/A</c:v>
                </c:pt>
                <c:pt idx="7">
                  <c:v>#N/A</c:v>
                </c:pt>
                <c:pt idx="8">
                  <c:v>#N/A</c:v>
                </c:pt>
                <c:pt idx="9">
                  <c:v>#N/A</c:v>
                </c:pt>
                <c:pt idx="10">
                  <c:v>#N/A</c:v>
                </c:pt>
                <c:pt idx="11">
                  <c:v>#N/A</c:v>
                </c:pt>
                <c:pt idx="12">
                  <c:v>2106.14</c:v>
                </c:pt>
                <c:pt idx="13">
                  <c:v>#N/A</c:v>
                </c:pt>
                <c:pt idx="14">
                  <c:v>#N/A</c:v>
                </c:pt>
                <c:pt idx="15">
                  <c:v>#N/A</c:v>
                </c:pt>
                <c:pt idx="16">
                  <c:v>#N/A</c:v>
                </c:pt>
                <c:pt idx="17">
                  <c:v>#N/A</c:v>
                </c:pt>
                <c:pt idx="18">
                  <c:v>#N/A</c:v>
                </c:pt>
                <c:pt idx="19">
                  <c:v>2086.31</c:v>
                </c:pt>
                <c:pt idx="20">
                  <c:v>#N/A</c:v>
                </c:pt>
                <c:pt idx="21">
                  <c:v>#N/A</c:v>
                </c:pt>
                <c:pt idx="22">
                  <c:v>#N/A</c:v>
                </c:pt>
                <c:pt idx="23">
                  <c:v>#N/A</c:v>
                </c:pt>
                <c:pt idx="24">
                  <c:v>#N/A</c:v>
                </c:pt>
                <c:pt idx="25">
                  <c:v>#N/A</c:v>
                </c:pt>
                <c:pt idx="26">
                  <c:v>2095.38</c:v>
                </c:pt>
                <c:pt idx="27">
                  <c:v>#N/A</c:v>
                </c:pt>
                <c:pt idx="28">
                  <c:v>#N/A</c:v>
                </c:pt>
                <c:pt idx="29">
                  <c:v>#N/A</c:v>
                </c:pt>
                <c:pt idx="30">
                  <c:v>#N/A</c:v>
                </c:pt>
                <c:pt idx="31">
                  <c:v>#N/A</c:v>
                </c:pt>
                <c:pt idx="32">
                  <c:v>#N/A</c:v>
                </c:pt>
                <c:pt idx="33">
                  <c:v>2077.0700000000002</c:v>
                </c:pt>
                <c:pt idx="34">
                  <c:v>#N/A</c:v>
                </c:pt>
                <c:pt idx="35">
                  <c:v>#N/A</c:v>
                </c:pt>
                <c:pt idx="36">
                  <c:v>#N/A</c:v>
                </c:pt>
                <c:pt idx="37">
                  <c:v>#N/A</c:v>
                </c:pt>
                <c:pt idx="38">
                  <c:v>#N/A</c:v>
                </c:pt>
                <c:pt idx="39">
                  <c:v>#N/A</c:v>
                </c:pt>
                <c:pt idx="40">
                  <c:v>2046.71</c:v>
                </c:pt>
                <c:pt idx="41">
                  <c:v>#N/A</c:v>
                </c:pt>
                <c:pt idx="42">
                  <c:v>#N/A</c:v>
                </c:pt>
                <c:pt idx="43">
                  <c:v>#N/A</c:v>
                </c:pt>
                <c:pt idx="44">
                  <c:v>#N/A</c:v>
                </c:pt>
                <c:pt idx="45">
                  <c:v>#N/A</c:v>
                </c:pt>
                <c:pt idx="46">
                  <c:v>#N/A</c:v>
                </c:pt>
                <c:pt idx="47">
                  <c:v>2071.9299999999998</c:v>
                </c:pt>
                <c:pt idx="48">
                  <c:v>#N/A</c:v>
                </c:pt>
                <c:pt idx="49">
                  <c:v>#N/A</c:v>
                </c:pt>
                <c:pt idx="50">
                  <c:v>#N/A</c:v>
                </c:pt>
                <c:pt idx="51">
                  <c:v>#N/A</c:v>
                </c:pt>
                <c:pt idx="52">
                  <c:v>#N/A</c:v>
                </c:pt>
                <c:pt idx="53">
                  <c:v>#N/A</c:v>
                </c:pt>
                <c:pt idx="54">
                  <c:v>2103.08</c:v>
                </c:pt>
                <c:pt idx="55">
                  <c:v>#N/A</c:v>
                </c:pt>
                <c:pt idx="56">
                  <c:v>#N/A</c:v>
                </c:pt>
                <c:pt idx="57">
                  <c:v>#N/A</c:v>
                </c:pt>
                <c:pt idx="58">
                  <c:v>#N/A</c:v>
                </c:pt>
                <c:pt idx="59">
                  <c:v>#N/A</c:v>
                </c:pt>
                <c:pt idx="60">
                  <c:v>#N/A</c:v>
                </c:pt>
                <c:pt idx="61">
                  <c:v>2098.15</c:v>
                </c:pt>
                <c:pt idx="62">
                  <c:v>#N/A</c:v>
                </c:pt>
                <c:pt idx="63">
                  <c:v>#N/A</c:v>
                </c:pt>
                <c:pt idx="64">
                  <c:v>#N/A</c:v>
                </c:pt>
                <c:pt idx="65">
                  <c:v>#N/A</c:v>
                </c:pt>
                <c:pt idx="66">
                  <c:v>#N/A</c:v>
                </c:pt>
                <c:pt idx="67">
                  <c:v>#N/A</c:v>
                </c:pt>
                <c:pt idx="68">
                  <c:v>1999.3</c:v>
                </c:pt>
                <c:pt idx="69">
                  <c:v>#N/A</c:v>
                </c:pt>
                <c:pt idx="70">
                  <c:v>#N/A</c:v>
                </c:pt>
                <c:pt idx="71">
                  <c:v>#N/A</c:v>
                </c:pt>
                <c:pt idx="72">
                  <c:v>#N/A</c:v>
                </c:pt>
                <c:pt idx="73">
                  <c:v>#N/A</c:v>
                </c:pt>
                <c:pt idx="74">
                  <c:v>#N/A</c:v>
                </c:pt>
                <c:pt idx="75">
                  <c:v>2001.46</c:v>
                </c:pt>
                <c:pt idx="76">
                  <c:v>#N/A</c:v>
                </c:pt>
                <c:pt idx="77">
                  <c:v>#N/A</c:v>
                </c:pt>
                <c:pt idx="78">
                  <c:v>#N/A</c:v>
                </c:pt>
                <c:pt idx="79">
                  <c:v>#N/A</c:v>
                </c:pt>
                <c:pt idx="80">
                  <c:v>#N/A</c:v>
                </c:pt>
                <c:pt idx="81">
                  <c:v>#N/A</c:v>
                </c:pt>
                <c:pt idx="82">
                  <c:v>1898.76</c:v>
                </c:pt>
                <c:pt idx="83">
                  <c:v>#N/A</c:v>
                </c:pt>
                <c:pt idx="84">
                  <c:v>#N/A</c:v>
                </c:pt>
                <c:pt idx="85">
                  <c:v>#N/A</c:v>
                </c:pt>
                <c:pt idx="86">
                  <c:v>#N/A</c:v>
                </c:pt>
                <c:pt idx="87">
                  <c:v>#N/A</c:v>
                </c:pt>
                <c:pt idx="88">
                  <c:v>#N/A</c:v>
                </c:pt>
                <c:pt idx="89">
                  <c:v>1921.33</c:v>
                </c:pt>
                <c:pt idx="90">
                  <c:v>#N/A</c:v>
                </c:pt>
                <c:pt idx="91">
                  <c:v>#N/A</c:v>
                </c:pt>
                <c:pt idx="92">
                  <c:v>#N/A</c:v>
                </c:pt>
                <c:pt idx="93">
                  <c:v>#N/A</c:v>
                </c:pt>
                <c:pt idx="94">
                  <c:v>#N/A</c:v>
                </c:pt>
                <c:pt idx="95">
                  <c:v>#N/A</c:v>
                </c:pt>
                <c:pt idx="96">
                  <c:v>1914.14</c:v>
                </c:pt>
                <c:pt idx="97">
                  <c:v>#N/A</c:v>
                </c:pt>
                <c:pt idx="98">
                  <c:v>#N/A</c:v>
                </c:pt>
                <c:pt idx="99">
                  <c:v>#N/A</c:v>
                </c:pt>
                <c:pt idx="100">
                  <c:v>#N/A</c:v>
                </c:pt>
                <c:pt idx="101">
                  <c:v>#N/A</c:v>
                </c:pt>
                <c:pt idx="102">
                  <c:v>#N/A</c:v>
                </c:pt>
                <c:pt idx="103">
                  <c:v>1965.75</c:v>
                </c:pt>
                <c:pt idx="104">
                  <c:v>#N/A</c:v>
                </c:pt>
                <c:pt idx="105">
                  <c:v>#N/A</c:v>
                </c:pt>
                <c:pt idx="106">
                  <c:v>#N/A</c:v>
                </c:pt>
                <c:pt idx="107">
                  <c:v>#N/A</c:v>
                </c:pt>
                <c:pt idx="108">
                  <c:v>#N/A</c:v>
                </c:pt>
                <c:pt idx="109">
                  <c:v>#N/A</c:v>
                </c:pt>
                <c:pt idx="110">
                  <c:v>1994.47</c:v>
                </c:pt>
                <c:pt idx="111">
                  <c:v>#N/A</c:v>
                </c:pt>
                <c:pt idx="112">
                  <c:v>#N/A</c:v>
                </c:pt>
                <c:pt idx="113">
                  <c:v>#N/A</c:v>
                </c:pt>
                <c:pt idx="114">
                  <c:v>#N/A</c:v>
                </c:pt>
                <c:pt idx="115">
                  <c:v>#N/A</c:v>
                </c:pt>
                <c:pt idx="116">
                  <c:v>#N/A</c:v>
                </c:pt>
                <c:pt idx="117">
                  <c:v>2012.85</c:v>
                </c:pt>
                <c:pt idx="118">
                  <c:v>#N/A</c:v>
                </c:pt>
                <c:pt idx="119">
                  <c:v>#N/A</c:v>
                </c:pt>
                <c:pt idx="120">
                  <c:v>#N/A</c:v>
                </c:pt>
                <c:pt idx="121">
                  <c:v>#N/A</c:v>
                </c:pt>
                <c:pt idx="122">
                  <c:v>#N/A</c:v>
                </c:pt>
                <c:pt idx="123">
                  <c:v>#N/A</c:v>
                </c:pt>
                <c:pt idx="124">
                  <c:v>2047.97</c:v>
                </c:pt>
                <c:pt idx="125">
                  <c:v>#N/A</c:v>
                </c:pt>
                <c:pt idx="126">
                  <c:v>#N/A</c:v>
                </c:pt>
                <c:pt idx="127">
                  <c:v>#N/A</c:v>
                </c:pt>
                <c:pt idx="128">
                  <c:v>#N/A</c:v>
                </c:pt>
                <c:pt idx="129">
                  <c:v>#N/A</c:v>
                </c:pt>
                <c:pt idx="130">
                  <c:v>#N/A</c:v>
                </c:pt>
                <c:pt idx="131">
                  <c:v>2072.7600000000002</c:v>
                </c:pt>
                <c:pt idx="132">
                  <c:v>#N/A</c:v>
                </c:pt>
                <c:pt idx="133">
                  <c:v>#N/A</c:v>
                </c:pt>
                <c:pt idx="134">
                  <c:v>#N/A</c:v>
                </c:pt>
                <c:pt idx="135">
                  <c:v>#N/A</c:v>
                </c:pt>
                <c:pt idx="136">
                  <c:v>#N/A</c:v>
                </c:pt>
                <c:pt idx="137">
                  <c:v>#N/A</c:v>
                </c:pt>
                <c:pt idx="138">
                  <c:v>2079.2800000000002</c:v>
                </c:pt>
                <c:pt idx="139">
                  <c:v>#N/A</c:v>
                </c:pt>
                <c:pt idx="140">
                  <c:v>#N/A</c:v>
                </c:pt>
                <c:pt idx="141">
                  <c:v>#N/A</c:v>
                </c:pt>
                <c:pt idx="142">
                  <c:v>#N/A</c:v>
                </c:pt>
                <c:pt idx="143">
                  <c:v>#N/A</c:v>
                </c:pt>
                <c:pt idx="144">
                  <c:v>#N/A</c:v>
                </c:pt>
                <c:pt idx="145">
                  <c:v>2039.69</c:v>
                </c:pt>
                <c:pt idx="146">
                  <c:v>#N/A</c:v>
                </c:pt>
                <c:pt idx="147">
                  <c:v>#N/A</c:v>
                </c:pt>
                <c:pt idx="148">
                  <c:v>#N/A</c:v>
                </c:pt>
                <c:pt idx="149">
                  <c:v>#N/A</c:v>
                </c:pt>
                <c:pt idx="150">
                  <c:v>#N/A</c:v>
                </c:pt>
                <c:pt idx="151">
                  <c:v>#N/A</c:v>
                </c:pt>
                <c:pt idx="152">
                  <c:v>2085.89</c:v>
                </c:pt>
                <c:pt idx="153">
                  <c:v>#N/A</c:v>
                </c:pt>
                <c:pt idx="154">
                  <c:v>#N/A</c:v>
                </c:pt>
                <c:pt idx="155">
                  <c:v>#N/A</c:v>
                </c:pt>
                <c:pt idx="156">
                  <c:v>#N/A</c:v>
                </c:pt>
                <c:pt idx="157">
                  <c:v>#N/A</c:v>
                </c:pt>
                <c:pt idx="158">
                  <c:v>#N/A</c:v>
                </c:pt>
                <c:pt idx="159">
                  <c:v>2099.5082000000002</c:v>
                </c:pt>
                <c:pt idx="160">
                  <c:v>#N/A</c:v>
                </c:pt>
                <c:pt idx="161">
                  <c:v>#N/A</c:v>
                </c:pt>
                <c:pt idx="162">
                  <c:v>#N/A</c:v>
                </c:pt>
                <c:pt idx="163">
                  <c:v>#N/A</c:v>
                </c:pt>
                <c:pt idx="164">
                  <c:v>#N/A</c:v>
                </c:pt>
                <c:pt idx="165">
                  <c:v>#N/A</c:v>
                </c:pt>
                <c:pt idx="166">
                  <c:v>2108.4513999999999</c:v>
                </c:pt>
                <c:pt idx="167">
                  <c:v>#N/A</c:v>
                </c:pt>
                <c:pt idx="168">
                  <c:v>#N/A</c:v>
                </c:pt>
                <c:pt idx="169">
                  <c:v>#N/A</c:v>
                </c:pt>
                <c:pt idx="170">
                  <c:v>#N/A</c:v>
                </c:pt>
                <c:pt idx="171">
                  <c:v>#N/A</c:v>
                </c:pt>
                <c:pt idx="172">
                  <c:v>#N/A</c:v>
                </c:pt>
                <c:pt idx="173">
                  <c:v>2045.25</c:v>
                </c:pt>
                <c:pt idx="174">
                  <c:v>#N/A</c:v>
                </c:pt>
                <c:pt idx="175">
                  <c:v>#N/A</c:v>
                </c:pt>
                <c:pt idx="176">
                  <c:v>#N/A</c:v>
                </c:pt>
                <c:pt idx="177">
                  <c:v>#N/A</c:v>
                </c:pt>
                <c:pt idx="178">
                  <c:v>#N/A</c:v>
                </c:pt>
                <c:pt idx="179">
                  <c:v>#N/A</c:v>
                </c:pt>
                <c:pt idx="180">
                  <c:v>2087.83</c:v>
                </c:pt>
                <c:pt idx="181">
                  <c:v>#N/A</c:v>
                </c:pt>
                <c:pt idx="182">
                  <c:v>#N/A</c:v>
                </c:pt>
                <c:pt idx="183">
                  <c:v>#N/A</c:v>
                </c:pt>
                <c:pt idx="184">
                  <c:v>#N/A</c:v>
                </c:pt>
                <c:pt idx="185">
                  <c:v>#N/A</c:v>
                </c:pt>
                <c:pt idx="186">
                  <c:v>#N/A</c:v>
                </c:pt>
                <c:pt idx="187">
                  <c:v>2034.98</c:v>
                </c:pt>
                <c:pt idx="188">
                  <c:v>#N/A</c:v>
                </c:pt>
                <c:pt idx="189">
                  <c:v>#N/A</c:v>
                </c:pt>
                <c:pt idx="190">
                  <c:v>#N/A</c:v>
                </c:pt>
                <c:pt idx="191">
                  <c:v>#N/A</c:v>
                </c:pt>
                <c:pt idx="192">
                  <c:v>#N/A</c:v>
                </c:pt>
                <c:pt idx="193">
                  <c:v>#N/A</c:v>
                </c:pt>
                <c:pt idx="194">
                  <c:v>2045.87</c:v>
                </c:pt>
                <c:pt idx="195">
                  <c:v>#N/A</c:v>
                </c:pt>
                <c:pt idx="196">
                  <c:v>#N/A</c:v>
                </c:pt>
                <c:pt idx="197">
                  <c:v>#N/A</c:v>
                </c:pt>
                <c:pt idx="198">
                  <c:v>#N/A</c:v>
                </c:pt>
                <c:pt idx="199">
                  <c:v>#N/A</c:v>
                </c:pt>
                <c:pt idx="200">
                  <c:v>#N/A</c:v>
                </c:pt>
                <c:pt idx="201">
                  <c:v>2060.85</c:v>
                </c:pt>
                <c:pt idx="202">
                  <c:v>#N/A</c:v>
                </c:pt>
                <c:pt idx="203">
                  <c:v>#N/A</c:v>
                </c:pt>
                <c:pt idx="204">
                  <c:v>#N/A</c:v>
                </c:pt>
                <c:pt idx="205">
                  <c:v>#N/A</c:v>
                </c:pt>
                <c:pt idx="206">
                  <c:v>#N/A</c:v>
                </c:pt>
                <c:pt idx="207">
                  <c:v>#N/A</c:v>
                </c:pt>
                <c:pt idx="208">
                  <c:v>2120.34</c:v>
                </c:pt>
                <c:pt idx="209">
                  <c:v>#N/A</c:v>
                </c:pt>
                <c:pt idx="210">
                  <c:v>#N/A</c:v>
                </c:pt>
                <c:pt idx="211">
                  <c:v>#N/A</c:v>
                </c:pt>
                <c:pt idx="212">
                  <c:v>#N/A</c:v>
                </c:pt>
                <c:pt idx="213">
                  <c:v>#N/A</c:v>
                </c:pt>
                <c:pt idx="214">
                  <c:v>#N/A</c:v>
                </c:pt>
                <c:pt idx="215">
                  <c:v>2149.58</c:v>
                </c:pt>
                <c:pt idx="216">
                  <c:v>#N/A</c:v>
                </c:pt>
                <c:pt idx="217">
                  <c:v>#N/A</c:v>
                </c:pt>
                <c:pt idx="218">
                  <c:v>#N/A</c:v>
                </c:pt>
                <c:pt idx="219">
                  <c:v>#N/A</c:v>
                </c:pt>
                <c:pt idx="220">
                  <c:v>#N/A</c:v>
                </c:pt>
                <c:pt idx="221">
                  <c:v>#N/A</c:v>
                </c:pt>
                <c:pt idx="222">
                  <c:v>2182.56</c:v>
                </c:pt>
                <c:pt idx="223">
                  <c:v>#N/A</c:v>
                </c:pt>
                <c:pt idx="224">
                  <c:v>#N/A</c:v>
                </c:pt>
                <c:pt idx="225">
                  <c:v>#N/A</c:v>
                </c:pt>
                <c:pt idx="226">
                  <c:v>#N/A</c:v>
                </c:pt>
                <c:pt idx="227">
                  <c:v>#N/A</c:v>
                </c:pt>
                <c:pt idx="228">
                  <c:v>#N/A</c:v>
                </c:pt>
                <c:pt idx="229">
                  <c:v>2194.0500000000002</c:v>
                </c:pt>
                <c:pt idx="230">
                  <c:v>#N/A</c:v>
                </c:pt>
                <c:pt idx="231">
                  <c:v>#N/A</c:v>
                </c:pt>
                <c:pt idx="232">
                  <c:v>#N/A</c:v>
                </c:pt>
                <c:pt idx="233">
                  <c:v>#N/A</c:v>
                </c:pt>
                <c:pt idx="234">
                  <c:v>#N/A</c:v>
                </c:pt>
                <c:pt idx="235">
                  <c:v>#N/A</c:v>
                </c:pt>
                <c:pt idx="236">
                  <c:v>2212.41</c:v>
                </c:pt>
                <c:pt idx="237">
                  <c:v>#N/A</c:v>
                </c:pt>
                <c:pt idx="238">
                  <c:v>#N/A</c:v>
                </c:pt>
                <c:pt idx="239">
                  <c:v>#N/A</c:v>
                </c:pt>
                <c:pt idx="240">
                  <c:v>#N/A</c:v>
                </c:pt>
                <c:pt idx="241">
                  <c:v>#N/A</c:v>
                </c:pt>
                <c:pt idx="242">
                  <c:v>#N/A</c:v>
                </c:pt>
                <c:pt idx="243">
                  <c:v>2184.73</c:v>
                </c:pt>
                <c:pt idx="244">
                  <c:v>#N/A</c:v>
                </c:pt>
                <c:pt idx="245">
                  <c:v>#N/A</c:v>
                </c:pt>
                <c:pt idx="246">
                  <c:v>#N/A</c:v>
                </c:pt>
                <c:pt idx="247">
                  <c:v>#N/A</c:v>
                </c:pt>
                <c:pt idx="248">
                  <c:v>#N/A</c:v>
                </c:pt>
                <c:pt idx="249">
                  <c:v>#N/A</c:v>
                </c:pt>
                <c:pt idx="250">
                  <c:v>2166.48</c:v>
                </c:pt>
                <c:pt idx="251">
                  <c:v>#N/A</c:v>
                </c:pt>
                <c:pt idx="252">
                  <c:v>#N/A</c:v>
                </c:pt>
                <c:pt idx="253">
                  <c:v>#N/A</c:v>
                </c:pt>
                <c:pt idx="254">
                  <c:v>#N/A</c:v>
                </c:pt>
                <c:pt idx="255">
                  <c:v>#N/A</c:v>
                </c:pt>
                <c:pt idx="256">
                  <c:v>#N/A</c:v>
                </c:pt>
                <c:pt idx="257">
                  <c:v>2169.17</c:v>
                </c:pt>
                <c:pt idx="258">
                  <c:v>#N/A</c:v>
                </c:pt>
                <c:pt idx="259">
                  <c:v>#N/A</c:v>
                </c:pt>
                <c:pt idx="260">
                  <c:v>#N/A</c:v>
                </c:pt>
                <c:pt idx="261">
                  <c:v>#N/A</c:v>
                </c:pt>
                <c:pt idx="262">
                  <c:v>#N/A</c:v>
                </c:pt>
                <c:pt idx="263">
                  <c:v>#N/A</c:v>
                </c:pt>
                <c:pt idx="264">
                  <c:v>2205.2199999999998</c:v>
                </c:pt>
                <c:pt idx="265">
                  <c:v>#N/A</c:v>
                </c:pt>
                <c:pt idx="266">
                  <c:v>#N/A</c:v>
                </c:pt>
                <c:pt idx="267">
                  <c:v>#N/A</c:v>
                </c:pt>
                <c:pt idx="268">
                  <c:v>#N/A</c:v>
                </c:pt>
                <c:pt idx="269">
                  <c:v>#N/A</c:v>
                </c:pt>
                <c:pt idx="270">
                  <c:v>#N/A</c:v>
                </c:pt>
                <c:pt idx="271">
                  <c:v>2186.4</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2260.4299999999998</c:v>
                </c:pt>
                <c:pt idx="286">
                  <c:v>#N/A</c:v>
                </c:pt>
                <c:pt idx="287">
                  <c:v>#N/A</c:v>
                </c:pt>
                <c:pt idx="288">
                  <c:v>#N/A</c:v>
                </c:pt>
                <c:pt idx="289">
                  <c:v>#N/A</c:v>
                </c:pt>
                <c:pt idx="290">
                  <c:v>#N/A</c:v>
                </c:pt>
                <c:pt idx="291">
                  <c:v>#N/A</c:v>
                </c:pt>
                <c:pt idx="292">
                  <c:v>2208.63</c:v>
                </c:pt>
                <c:pt idx="293">
                  <c:v>#N/A</c:v>
                </c:pt>
                <c:pt idx="294">
                  <c:v>#N/A</c:v>
                </c:pt>
                <c:pt idx="295">
                  <c:v>#N/A</c:v>
                </c:pt>
                <c:pt idx="296">
                  <c:v>#N/A</c:v>
                </c:pt>
                <c:pt idx="297">
                  <c:v>#N/A</c:v>
                </c:pt>
                <c:pt idx="298">
                  <c:v>#N/A</c:v>
                </c:pt>
                <c:pt idx="299">
                  <c:v>2220.85</c:v>
                </c:pt>
                <c:pt idx="300">
                  <c:v>#N/A</c:v>
                </c:pt>
                <c:pt idx="301">
                  <c:v>#N/A</c:v>
                </c:pt>
                <c:pt idx="302">
                  <c:v>#N/A</c:v>
                </c:pt>
                <c:pt idx="303">
                  <c:v>#N/A</c:v>
                </c:pt>
                <c:pt idx="304">
                  <c:v>#N/A</c:v>
                </c:pt>
                <c:pt idx="305">
                  <c:v>#N/A</c:v>
                </c:pt>
                <c:pt idx="306">
                  <c:v>2157.69</c:v>
                </c:pt>
                <c:pt idx="307">
                  <c:v>#N/A</c:v>
                </c:pt>
                <c:pt idx="308">
                  <c:v>#N/A</c:v>
                </c:pt>
                <c:pt idx="309">
                  <c:v>#N/A</c:v>
                </c:pt>
                <c:pt idx="310">
                  <c:v>#N/A</c:v>
                </c:pt>
                <c:pt idx="311">
                  <c:v>#N/A</c:v>
                </c:pt>
                <c:pt idx="312">
                  <c:v>#N/A</c:v>
                </c:pt>
                <c:pt idx="313">
                  <c:v>2126.17</c:v>
                </c:pt>
                <c:pt idx="314">
                  <c:v>#N/A</c:v>
                </c:pt>
                <c:pt idx="315">
                  <c:v>#N/A</c:v>
                </c:pt>
                <c:pt idx="316">
                  <c:v>#N/A</c:v>
                </c:pt>
                <c:pt idx="317">
                  <c:v>#N/A</c:v>
                </c:pt>
                <c:pt idx="318">
                  <c:v>#N/A</c:v>
                </c:pt>
                <c:pt idx="319">
                  <c:v>#N/A</c:v>
                </c:pt>
                <c:pt idx="320">
                  <c:v>2116.79</c:v>
                </c:pt>
                <c:pt idx="321">
                  <c:v>#N/A</c:v>
                </c:pt>
                <c:pt idx="322">
                  <c:v>#N/A</c:v>
                </c:pt>
                <c:pt idx="323">
                  <c:v>#N/A</c:v>
                </c:pt>
                <c:pt idx="324">
                  <c:v>#N/A</c:v>
                </c:pt>
                <c:pt idx="325">
                  <c:v>#N/A</c:v>
                </c:pt>
                <c:pt idx="326">
                  <c:v>#N/A</c:v>
                </c:pt>
                <c:pt idx="327">
                  <c:v>2003.97</c:v>
                </c:pt>
                <c:pt idx="328">
                  <c:v>#N/A</c:v>
                </c:pt>
                <c:pt idx="329">
                  <c:v>#N/A</c:v>
                </c:pt>
                <c:pt idx="330">
                  <c:v>#N/A</c:v>
                </c:pt>
                <c:pt idx="331">
                  <c:v>#N/A</c:v>
                </c:pt>
                <c:pt idx="332">
                  <c:v>#N/A</c:v>
                </c:pt>
                <c:pt idx="333">
                  <c:v>#N/A</c:v>
                </c:pt>
                <c:pt idx="334">
                  <c:v>1988.09</c:v>
                </c:pt>
                <c:pt idx="335">
                  <c:v>#N/A</c:v>
                </c:pt>
                <c:pt idx="336">
                  <c:v>#N/A</c:v>
                </c:pt>
                <c:pt idx="337">
                  <c:v>#N/A</c:v>
                </c:pt>
                <c:pt idx="338">
                  <c:v>#N/A</c:v>
                </c:pt>
                <c:pt idx="339">
                  <c:v>#N/A</c:v>
                </c:pt>
                <c:pt idx="340">
                  <c:v>#N/A</c:v>
                </c:pt>
                <c:pt idx="341">
                  <c:v>2059.87</c:v>
                </c:pt>
                <c:pt idx="342">
                  <c:v>#N/A</c:v>
                </c:pt>
                <c:pt idx="343">
                  <c:v>#N/A</c:v>
                </c:pt>
                <c:pt idx="344">
                  <c:v>#N/A</c:v>
                </c:pt>
                <c:pt idx="345">
                  <c:v>#N/A</c:v>
                </c:pt>
                <c:pt idx="346">
                  <c:v>#N/A</c:v>
                </c:pt>
                <c:pt idx="347">
                  <c:v>#N/A</c:v>
                </c:pt>
                <c:pt idx="348">
                  <c:v>2064.35</c:v>
                </c:pt>
                <c:pt idx="349">
                  <c:v>#N/A</c:v>
                </c:pt>
                <c:pt idx="350">
                  <c:v>#N/A</c:v>
                </c:pt>
                <c:pt idx="351">
                  <c:v>#N/A</c:v>
                </c:pt>
                <c:pt idx="352">
                  <c:v>#N/A</c:v>
                </c:pt>
                <c:pt idx="353">
                  <c:v>#N/A</c:v>
                </c:pt>
                <c:pt idx="354">
                  <c:v>#N/A</c:v>
                </c:pt>
                <c:pt idx="355">
                  <c:v>2046.16</c:v>
                </c:pt>
                <c:pt idx="356">
                  <c:v>#N/A</c:v>
                </c:pt>
                <c:pt idx="357">
                  <c:v>#N/A</c:v>
                </c:pt>
                <c:pt idx="358">
                  <c:v>#N/A</c:v>
                </c:pt>
                <c:pt idx="359">
                  <c:v>#N/A</c:v>
                </c:pt>
                <c:pt idx="360">
                  <c:v>#N/A</c:v>
                </c:pt>
                <c:pt idx="361">
                  <c:v>#N/A</c:v>
                </c:pt>
                <c:pt idx="362">
                  <c:v>2011.89</c:v>
                </c:pt>
                <c:pt idx="363">
                  <c:v>#N/A</c:v>
                </c:pt>
                <c:pt idx="364">
                  <c:v>#N/A</c:v>
                </c:pt>
              </c:numCache>
            </c:numRef>
          </c:val>
          <c:smooth val="1"/>
        </c:ser>
        <c:ser>
          <c:idx val="2"/>
          <c:order val="1"/>
          <c:tx>
            <c:strRef>
              <c:f>南华!$I$1</c:f>
              <c:strCache>
                <c:ptCount val="1"/>
                <c:pt idx="0">
                  <c:v>2019</c:v>
                </c:pt>
              </c:strCache>
            </c:strRef>
          </c:tx>
          <c:spPr>
            <a:ln w="28575" cap="rnd" cmpd="sng" algn="ctr">
              <a:solidFill>
                <a:srgbClr val="F8CBAD"/>
              </a:solidFill>
              <a:prstDash val="solid"/>
              <a:roun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南华!$I$2:$I$366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ser>
        <c:ser>
          <c:idx val="1"/>
          <c:order val="2"/>
          <c:tx>
            <c:strRef>
              <c:f>南华!$J$1</c:f>
              <c:strCache>
                <c:ptCount val="1"/>
                <c:pt idx="0">
                  <c:v>2020</c:v>
                </c:pt>
              </c:strCache>
            </c:strRef>
          </c:tx>
          <c:spPr>
            <a:ln w="28575" cap="rnd" cmpd="sng" algn="ctr">
              <a:solidFill>
                <a:srgbClr val="BF5711"/>
              </a:solidFill>
              <a:prstDash val="solid"/>
              <a:roun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南华!$J$2:$J$366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ser>
        <c:dLbls>
          <c:showLegendKey val="0"/>
          <c:showVal val="0"/>
          <c:showCatName val="0"/>
          <c:showSerName val="0"/>
          <c:showPercent val="0"/>
          <c:showBubbleSize val="0"/>
        </c:dLbls>
        <c:marker val="1"/>
        <c:smooth val="0"/>
        <c:axId val="238950272"/>
        <c:axId val="238951808"/>
      </c:lineChart>
      <c:dateAx>
        <c:axId val="238950272"/>
        <c:scaling>
          <c:orientation val="minMax"/>
        </c:scaling>
        <c:delete val="0"/>
        <c:axPos val="b"/>
        <c:numFmt formatCode="m" sourceLinked="0"/>
        <c:majorTickMark val="out"/>
        <c:minorTickMark val="out"/>
        <c:tickLblPos val="low"/>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238951808"/>
        <c:crosses val="autoZero"/>
        <c:auto val="0"/>
        <c:lblOffset val="0"/>
        <c:baseTimeUnit val="days"/>
        <c:majorUnit val="1"/>
        <c:majorTimeUnit val="months"/>
      </c:dateAx>
      <c:valAx>
        <c:axId val="238951808"/>
        <c:scaling>
          <c:orientation val="minMax"/>
          <c:min val="1700"/>
        </c:scaling>
        <c:delete val="0"/>
        <c:axPos val="l"/>
        <c:numFmt formatCode="#,##0_);[Red]\(#,##0\)" sourceLinked="0"/>
        <c:majorTickMark val="out"/>
        <c:minorTickMark val="none"/>
        <c:tickLblPos val="nextTo"/>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238950272"/>
        <c:crosses val="autoZero"/>
        <c:crossBetween val="between"/>
      </c:valAx>
    </c:plotArea>
    <c:legend>
      <c:legendPos val="r"/>
      <c:layout>
        <c:manualLayout>
          <c:xMode val="edge"/>
          <c:yMode val="edge"/>
          <c:x val="0.15225"/>
          <c:y val="2.3337707786526699E-3"/>
          <c:w val="0.690571084864392"/>
          <c:h val="5.8071230679498403E-2"/>
        </c:manualLayout>
      </c:layout>
      <c:overlay val="0"/>
      <c:spPr>
        <a:noFill/>
        <a:ln w="3175">
          <a:noFill/>
          <a:prstDash val="soli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legend>
    <c:plotVisOnly val="1"/>
    <c:dispBlanksAs val="span"/>
    <c:showDLblsOverMax val="0"/>
  </c:chart>
  <c:spPr>
    <a:ln w="6350" cap="flat" cmpd="sng" algn="ctr">
      <a:noFill/>
      <a:prstDash val="solid"/>
      <a:round/>
    </a:ln>
  </c:spPr>
  <c:txPr>
    <a:bodyPr/>
    <a:lstStyle/>
    <a:p>
      <a:pPr>
        <a:defRPr lang="zh-CN"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6.0099518810148703E-2"/>
          <c:y val="0.111965952172645"/>
          <c:w val="0.92723381452318498"/>
          <c:h val="0.81409120734908103"/>
        </c:manualLayout>
      </c:layout>
      <c:lineChart>
        <c:grouping val="standard"/>
        <c:varyColors val="0"/>
        <c:ser>
          <c:idx val="0"/>
          <c:order val="0"/>
          <c:tx>
            <c:strRef>
              <c:f>原油!$I$1</c:f>
              <c:strCache>
                <c:ptCount val="1"/>
                <c:pt idx="0">
                  <c:v>2019</c:v>
                </c:pt>
              </c:strCache>
            </c:strRef>
          </c:tx>
          <c:spPr>
            <a:ln w="28575" cap="rnd" cmpd="sng" algn="ctr">
              <a:solidFill>
                <a:srgbClr val="F8CBAD"/>
              </a:solidFill>
              <a:prstDash val="solid"/>
              <a:round/>
            </a:ln>
          </c:spPr>
          <c:marker>
            <c:symbol val="none"/>
          </c:marker>
          <c:cat>
            <c:numRef>
              <c:f>原油!$G$2:$G$366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原油!$I$2:$I$366</c:f>
              <c:numCache>
                <c:formatCode>General</c:formatCode>
                <c:ptCount val="365"/>
                <c:pt idx="0">
                  <c:v>#N/A</c:v>
                </c:pt>
                <c:pt idx="1">
                  <c:v>#N/A</c:v>
                </c:pt>
                <c:pt idx="2">
                  <c:v>#N/A</c:v>
                </c:pt>
                <c:pt idx="3">
                  <c:v>#N/A</c:v>
                </c:pt>
                <c:pt idx="4">
                  <c:v>47.96</c:v>
                </c:pt>
                <c:pt idx="5">
                  <c:v>#N/A</c:v>
                </c:pt>
                <c:pt idx="6">
                  <c:v>#N/A</c:v>
                </c:pt>
                <c:pt idx="7">
                  <c:v>#N/A</c:v>
                </c:pt>
                <c:pt idx="8">
                  <c:v>#N/A</c:v>
                </c:pt>
                <c:pt idx="9">
                  <c:v>#N/A</c:v>
                </c:pt>
                <c:pt idx="10">
                  <c:v>#N/A</c:v>
                </c:pt>
                <c:pt idx="11">
                  <c:v>51.91</c:v>
                </c:pt>
                <c:pt idx="12">
                  <c:v>#N/A</c:v>
                </c:pt>
                <c:pt idx="13">
                  <c:v>#N/A</c:v>
                </c:pt>
                <c:pt idx="14">
                  <c:v>#N/A</c:v>
                </c:pt>
                <c:pt idx="15">
                  <c:v>#N/A</c:v>
                </c:pt>
                <c:pt idx="16">
                  <c:v>#N/A</c:v>
                </c:pt>
                <c:pt idx="17">
                  <c:v>#N/A</c:v>
                </c:pt>
                <c:pt idx="18">
                  <c:v>54.04</c:v>
                </c:pt>
                <c:pt idx="19">
                  <c:v>#N/A</c:v>
                </c:pt>
                <c:pt idx="20">
                  <c:v>#N/A</c:v>
                </c:pt>
                <c:pt idx="21">
                  <c:v>#N/A</c:v>
                </c:pt>
                <c:pt idx="22">
                  <c:v>#N/A</c:v>
                </c:pt>
                <c:pt idx="23">
                  <c:v>#N/A</c:v>
                </c:pt>
                <c:pt idx="24">
                  <c:v>#N/A</c:v>
                </c:pt>
                <c:pt idx="25">
                  <c:v>53.69</c:v>
                </c:pt>
                <c:pt idx="26">
                  <c:v>#N/A</c:v>
                </c:pt>
                <c:pt idx="27">
                  <c:v>#N/A</c:v>
                </c:pt>
                <c:pt idx="28">
                  <c:v>#N/A</c:v>
                </c:pt>
                <c:pt idx="29">
                  <c:v>#N/A</c:v>
                </c:pt>
                <c:pt idx="30">
                  <c:v>#N/A</c:v>
                </c:pt>
                <c:pt idx="31">
                  <c:v>#N/A</c:v>
                </c:pt>
                <c:pt idx="32">
                  <c:v>55.26</c:v>
                </c:pt>
                <c:pt idx="33">
                  <c:v>#N/A</c:v>
                </c:pt>
                <c:pt idx="34">
                  <c:v>#N/A</c:v>
                </c:pt>
                <c:pt idx="35">
                  <c:v>#N/A</c:v>
                </c:pt>
                <c:pt idx="36">
                  <c:v>#N/A</c:v>
                </c:pt>
                <c:pt idx="37">
                  <c:v>#N/A</c:v>
                </c:pt>
                <c:pt idx="38">
                  <c:v>#N/A</c:v>
                </c:pt>
                <c:pt idx="39">
                  <c:v>52.72</c:v>
                </c:pt>
                <c:pt idx="40">
                  <c:v>#N/A</c:v>
                </c:pt>
                <c:pt idx="41">
                  <c:v>#N/A</c:v>
                </c:pt>
                <c:pt idx="42">
                  <c:v>#N/A</c:v>
                </c:pt>
                <c:pt idx="43">
                  <c:v>#N/A</c:v>
                </c:pt>
                <c:pt idx="44">
                  <c:v>#N/A</c:v>
                </c:pt>
                <c:pt idx="45">
                  <c:v>#N/A</c:v>
                </c:pt>
                <c:pt idx="46">
                  <c:v>55.98</c:v>
                </c:pt>
                <c:pt idx="47">
                  <c:v>#N/A</c:v>
                </c:pt>
                <c:pt idx="48">
                  <c:v>#N/A</c:v>
                </c:pt>
                <c:pt idx="49">
                  <c:v>#N/A</c:v>
                </c:pt>
                <c:pt idx="50">
                  <c:v>#N/A</c:v>
                </c:pt>
                <c:pt idx="51">
                  <c:v>#N/A</c:v>
                </c:pt>
                <c:pt idx="52">
                  <c:v>#N/A</c:v>
                </c:pt>
                <c:pt idx="53">
                  <c:v>57.26</c:v>
                </c:pt>
                <c:pt idx="54">
                  <c:v>#N/A</c:v>
                </c:pt>
                <c:pt idx="55">
                  <c:v>#N/A</c:v>
                </c:pt>
                <c:pt idx="56">
                  <c:v>#N/A</c:v>
                </c:pt>
                <c:pt idx="57">
                  <c:v>#N/A</c:v>
                </c:pt>
                <c:pt idx="58">
                  <c:v>#N/A</c:v>
                </c:pt>
                <c:pt idx="59">
                  <c:v>#N/A</c:v>
                </c:pt>
                <c:pt idx="60">
                  <c:v>55.8</c:v>
                </c:pt>
                <c:pt idx="61">
                  <c:v>#N/A</c:v>
                </c:pt>
                <c:pt idx="62">
                  <c:v>#N/A</c:v>
                </c:pt>
                <c:pt idx="63">
                  <c:v>#N/A</c:v>
                </c:pt>
                <c:pt idx="64">
                  <c:v>#N/A</c:v>
                </c:pt>
                <c:pt idx="65">
                  <c:v>#N/A</c:v>
                </c:pt>
                <c:pt idx="66">
                  <c:v>#N/A</c:v>
                </c:pt>
                <c:pt idx="67">
                  <c:v>56.07</c:v>
                </c:pt>
                <c:pt idx="68">
                  <c:v>#N/A</c:v>
                </c:pt>
                <c:pt idx="69">
                  <c:v>#N/A</c:v>
                </c:pt>
                <c:pt idx="70">
                  <c:v>#N/A</c:v>
                </c:pt>
                <c:pt idx="71">
                  <c:v>#N/A</c:v>
                </c:pt>
                <c:pt idx="72">
                  <c:v>#N/A</c:v>
                </c:pt>
                <c:pt idx="73">
                  <c:v>#N/A</c:v>
                </c:pt>
                <c:pt idx="74">
                  <c:v>58.82</c:v>
                </c:pt>
                <c:pt idx="75">
                  <c:v>#N/A</c:v>
                </c:pt>
                <c:pt idx="76">
                  <c:v>#N/A</c:v>
                </c:pt>
                <c:pt idx="77">
                  <c:v>#N/A</c:v>
                </c:pt>
                <c:pt idx="78">
                  <c:v>#N/A</c:v>
                </c:pt>
                <c:pt idx="79">
                  <c:v>#N/A</c:v>
                </c:pt>
                <c:pt idx="80">
                  <c:v>#N/A</c:v>
                </c:pt>
                <c:pt idx="81">
                  <c:v>59.04</c:v>
                </c:pt>
                <c:pt idx="82">
                  <c:v>#N/A</c:v>
                </c:pt>
                <c:pt idx="83">
                  <c:v>#N/A</c:v>
                </c:pt>
                <c:pt idx="84">
                  <c:v>#N/A</c:v>
                </c:pt>
                <c:pt idx="85">
                  <c:v>#N/A</c:v>
                </c:pt>
                <c:pt idx="86">
                  <c:v>#N/A</c:v>
                </c:pt>
                <c:pt idx="87">
                  <c:v>#N/A</c:v>
                </c:pt>
                <c:pt idx="88">
                  <c:v>60.14</c:v>
                </c:pt>
                <c:pt idx="89">
                  <c:v>#N/A</c:v>
                </c:pt>
                <c:pt idx="90">
                  <c:v>#N/A</c:v>
                </c:pt>
                <c:pt idx="91">
                  <c:v>#N/A</c:v>
                </c:pt>
                <c:pt idx="92">
                  <c:v>#N/A</c:v>
                </c:pt>
                <c:pt idx="93">
                  <c:v>#N/A</c:v>
                </c:pt>
                <c:pt idx="94">
                  <c:v>#N/A</c:v>
                </c:pt>
                <c:pt idx="95">
                  <c:v>63.08</c:v>
                </c:pt>
                <c:pt idx="96">
                  <c:v>#N/A</c:v>
                </c:pt>
                <c:pt idx="97">
                  <c:v>#N/A</c:v>
                </c:pt>
                <c:pt idx="98">
                  <c:v>#N/A</c:v>
                </c:pt>
                <c:pt idx="99">
                  <c:v>#N/A</c:v>
                </c:pt>
                <c:pt idx="100">
                  <c:v>#N/A</c:v>
                </c:pt>
                <c:pt idx="101">
                  <c:v>#N/A</c:v>
                </c:pt>
                <c:pt idx="102">
                  <c:v>64.02</c:v>
                </c:pt>
                <c:pt idx="103">
                  <c:v>#N/A</c:v>
                </c:pt>
                <c:pt idx="104">
                  <c:v>#N/A</c:v>
                </c:pt>
                <c:pt idx="105">
                  <c:v>#N/A</c:v>
                </c:pt>
                <c:pt idx="106">
                  <c:v>#N/A</c:v>
                </c:pt>
                <c:pt idx="107">
                  <c:v>#N/A</c:v>
                </c:pt>
                <c:pt idx="108">
                  <c:v>#N/A</c:v>
                </c:pt>
                <c:pt idx="109">
                  <c:v>64.069999999999993</c:v>
                </c:pt>
                <c:pt idx="110">
                  <c:v>#N/A</c:v>
                </c:pt>
                <c:pt idx="111">
                  <c:v>#N/A</c:v>
                </c:pt>
                <c:pt idx="112">
                  <c:v>#N/A</c:v>
                </c:pt>
                <c:pt idx="113">
                  <c:v>#N/A</c:v>
                </c:pt>
                <c:pt idx="114">
                  <c:v>#N/A</c:v>
                </c:pt>
                <c:pt idx="115">
                  <c:v>#N/A</c:v>
                </c:pt>
                <c:pt idx="116">
                  <c:v>63.3</c:v>
                </c:pt>
                <c:pt idx="117">
                  <c:v>#N/A</c:v>
                </c:pt>
                <c:pt idx="118">
                  <c:v>#N/A</c:v>
                </c:pt>
                <c:pt idx="119">
                  <c:v>#N/A</c:v>
                </c:pt>
                <c:pt idx="120">
                  <c:v>#N/A</c:v>
                </c:pt>
                <c:pt idx="121">
                  <c:v>#N/A</c:v>
                </c:pt>
                <c:pt idx="122">
                  <c:v>#N/A</c:v>
                </c:pt>
                <c:pt idx="123">
                  <c:v>61.94</c:v>
                </c:pt>
                <c:pt idx="124">
                  <c:v>#N/A</c:v>
                </c:pt>
                <c:pt idx="125">
                  <c:v>#N/A</c:v>
                </c:pt>
                <c:pt idx="126">
                  <c:v>#N/A</c:v>
                </c:pt>
                <c:pt idx="127">
                  <c:v>#N/A</c:v>
                </c:pt>
                <c:pt idx="128">
                  <c:v>#N/A</c:v>
                </c:pt>
                <c:pt idx="129">
                  <c:v>#N/A</c:v>
                </c:pt>
                <c:pt idx="130">
                  <c:v>61.66</c:v>
                </c:pt>
                <c:pt idx="131">
                  <c:v>#N/A</c:v>
                </c:pt>
                <c:pt idx="132">
                  <c:v>#N/A</c:v>
                </c:pt>
                <c:pt idx="133">
                  <c:v>#N/A</c:v>
                </c:pt>
                <c:pt idx="134">
                  <c:v>#N/A</c:v>
                </c:pt>
                <c:pt idx="135">
                  <c:v>#N/A</c:v>
                </c:pt>
                <c:pt idx="136">
                  <c:v>#N/A</c:v>
                </c:pt>
                <c:pt idx="137">
                  <c:v>62.92</c:v>
                </c:pt>
                <c:pt idx="138">
                  <c:v>#N/A</c:v>
                </c:pt>
                <c:pt idx="139">
                  <c:v>#N/A</c:v>
                </c:pt>
                <c:pt idx="140">
                  <c:v>#N/A</c:v>
                </c:pt>
                <c:pt idx="141">
                  <c:v>#N/A</c:v>
                </c:pt>
                <c:pt idx="142">
                  <c:v>#N/A</c:v>
                </c:pt>
                <c:pt idx="143">
                  <c:v>#N/A</c:v>
                </c:pt>
                <c:pt idx="144">
                  <c:v>58.63</c:v>
                </c:pt>
                <c:pt idx="145">
                  <c:v>#N/A</c:v>
                </c:pt>
                <c:pt idx="146">
                  <c:v>#N/A</c:v>
                </c:pt>
                <c:pt idx="147">
                  <c:v>#N/A</c:v>
                </c:pt>
                <c:pt idx="148">
                  <c:v>#N/A</c:v>
                </c:pt>
                <c:pt idx="149">
                  <c:v>#N/A</c:v>
                </c:pt>
                <c:pt idx="150">
                  <c:v>#N/A</c:v>
                </c:pt>
                <c:pt idx="151">
                  <c:v>53.5</c:v>
                </c:pt>
                <c:pt idx="152">
                  <c:v>#N/A</c:v>
                </c:pt>
                <c:pt idx="153">
                  <c:v>#N/A</c:v>
                </c:pt>
                <c:pt idx="154">
                  <c:v>#N/A</c:v>
                </c:pt>
                <c:pt idx="155">
                  <c:v>#N/A</c:v>
                </c:pt>
                <c:pt idx="156">
                  <c:v>#N/A</c:v>
                </c:pt>
                <c:pt idx="157">
                  <c:v>#N/A</c:v>
                </c:pt>
                <c:pt idx="158">
                  <c:v>53.99</c:v>
                </c:pt>
                <c:pt idx="159">
                  <c:v>#N/A</c:v>
                </c:pt>
                <c:pt idx="160">
                  <c:v>#N/A</c:v>
                </c:pt>
                <c:pt idx="161">
                  <c:v>#N/A</c:v>
                </c:pt>
                <c:pt idx="162">
                  <c:v>#N/A</c:v>
                </c:pt>
                <c:pt idx="163">
                  <c:v>#N/A</c:v>
                </c:pt>
                <c:pt idx="164">
                  <c:v>#N/A</c:v>
                </c:pt>
                <c:pt idx="165">
                  <c:v>52.77</c:v>
                </c:pt>
                <c:pt idx="166">
                  <c:v>#N/A</c:v>
                </c:pt>
                <c:pt idx="167">
                  <c:v>#N/A</c:v>
                </c:pt>
                <c:pt idx="168">
                  <c:v>#N/A</c:v>
                </c:pt>
                <c:pt idx="169">
                  <c:v>#N/A</c:v>
                </c:pt>
                <c:pt idx="170">
                  <c:v>#N/A</c:v>
                </c:pt>
                <c:pt idx="171">
                  <c:v>#N/A</c:v>
                </c:pt>
                <c:pt idx="172">
                  <c:v>57.43</c:v>
                </c:pt>
                <c:pt idx="173">
                  <c:v>#N/A</c:v>
                </c:pt>
                <c:pt idx="174">
                  <c:v>#N/A</c:v>
                </c:pt>
                <c:pt idx="175">
                  <c:v>#N/A</c:v>
                </c:pt>
                <c:pt idx="176">
                  <c:v>#N/A</c:v>
                </c:pt>
                <c:pt idx="177">
                  <c:v>#N/A</c:v>
                </c:pt>
                <c:pt idx="178">
                  <c:v>#N/A</c:v>
                </c:pt>
                <c:pt idx="179">
                  <c:v>58.47</c:v>
                </c:pt>
                <c:pt idx="180">
                  <c:v>#N/A</c:v>
                </c:pt>
                <c:pt idx="181">
                  <c:v>#N/A</c:v>
                </c:pt>
                <c:pt idx="182">
                  <c:v>#N/A</c:v>
                </c:pt>
                <c:pt idx="183">
                  <c:v>#N/A</c:v>
                </c:pt>
                <c:pt idx="184">
                  <c:v>#N/A</c:v>
                </c:pt>
                <c:pt idx="185">
                  <c:v>#N/A</c:v>
                </c:pt>
                <c:pt idx="186">
                  <c:v>57.51</c:v>
                </c:pt>
                <c:pt idx="187">
                  <c:v>#N/A</c:v>
                </c:pt>
                <c:pt idx="188">
                  <c:v>#N/A</c:v>
                </c:pt>
                <c:pt idx="189">
                  <c:v>#N/A</c:v>
                </c:pt>
                <c:pt idx="190">
                  <c:v>#N/A</c:v>
                </c:pt>
                <c:pt idx="191">
                  <c:v>#N/A</c:v>
                </c:pt>
                <c:pt idx="192">
                  <c:v>#N/A</c:v>
                </c:pt>
                <c:pt idx="193">
                  <c:v>60.3</c:v>
                </c:pt>
                <c:pt idx="194">
                  <c:v>#N/A</c:v>
                </c:pt>
                <c:pt idx="195">
                  <c:v>#N/A</c:v>
                </c:pt>
                <c:pt idx="196">
                  <c:v>#N/A</c:v>
                </c:pt>
                <c:pt idx="197">
                  <c:v>#N/A</c:v>
                </c:pt>
                <c:pt idx="198">
                  <c:v>#N/A</c:v>
                </c:pt>
                <c:pt idx="199">
                  <c:v>#N/A</c:v>
                </c:pt>
                <c:pt idx="200">
                  <c:v>55.76</c:v>
                </c:pt>
                <c:pt idx="201">
                  <c:v>#N/A</c:v>
                </c:pt>
                <c:pt idx="202">
                  <c:v>#N/A</c:v>
                </c:pt>
                <c:pt idx="203">
                  <c:v>#N/A</c:v>
                </c:pt>
                <c:pt idx="204">
                  <c:v>#N/A</c:v>
                </c:pt>
                <c:pt idx="205">
                  <c:v>#N/A</c:v>
                </c:pt>
                <c:pt idx="206">
                  <c:v>#N/A</c:v>
                </c:pt>
                <c:pt idx="207">
                  <c:v>56.2</c:v>
                </c:pt>
                <c:pt idx="208">
                  <c:v>#N/A</c:v>
                </c:pt>
                <c:pt idx="209">
                  <c:v>#N/A</c:v>
                </c:pt>
                <c:pt idx="210">
                  <c:v>#N/A</c:v>
                </c:pt>
                <c:pt idx="211">
                  <c:v>#N/A</c:v>
                </c:pt>
                <c:pt idx="212">
                  <c:v>#N/A</c:v>
                </c:pt>
                <c:pt idx="213">
                  <c:v>#N/A</c:v>
                </c:pt>
                <c:pt idx="214">
                  <c:v>55.66</c:v>
                </c:pt>
                <c:pt idx="215">
                  <c:v>#N/A</c:v>
                </c:pt>
                <c:pt idx="216">
                  <c:v>#N/A</c:v>
                </c:pt>
                <c:pt idx="217">
                  <c:v>#N/A</c:v>
                </c:pt>
                <c:pt idx="218">
                  <c:v>#N/A</c:v>
                </c:pt>
                <c:pt idx="219">
                  <c:v>#N/A</c:v>
                </c:pt>
                <c:pt idx="220">
                  <c:v>#N/A</c:v>
                </c:pt>
                <c:pt idx="221">
                  <c:v>54.5</c:v>
                </c:pt>
                <c:pt idx="222">
                  <c:v>#N/A</c:v>
                </c:pt>
                <c:pt idx="223">
                  <c:v>#N/A</c:v>
                </c:pt>
                <c:pt idx="224">
                  <c:v>#N/A</c:v>
                </c:pt>
                <c:pt idx="225">
                  <c:v>#N/A</c:v>
                </c:pt>
                <c:pt idx="226">
                  <c:v>#N/A</c:v>
                </c:pt>
                <c:pt idx="227">
                  <c:v>#N/A</c:v>
                </c:pt>
                <c:pt idx="228">
                  <c:v>54.81</c:v>
                </c:pt>
                <c:pt idx="229">
                  <c:v>#N/A</c:v>
                </c:pt>
                <c:pt idx="230">
                  <c:v>#N/A</c:v>
                </c:pt>
                <c:pt idx="231">
                  <c:v>#N/A</c:v>
                </c:pt>
                <c:pt idx="232">
                  <c:v>#N/A</c:v>
                </c:pt>
                <c:pt idx="233">
                  <c:v>#N/A</c:v>
                </c:pt>
                <c:pt idx="234">
                  <c:v>#N/A</c:v>
                </c:pt>
                <c:pt idx="235">
                  <c:v>54.17</c:v>
                </c:pt>
                <c:pt idx="236">
                  <c:v>#N/A</c:v>
                </c:pt>
                <c:pt idx="237">
                  <c:v>#N/A</c:v>
                </c:pt>
                <c:pt idx="238">
                  <c:v>#N/A</c:v>
                </c:pt>
                <c:pt idx="239">
                  <c:v>#N/A</c:v>
                </c:pt>
                <c:pt idx="240">
                  <c:v>#N/A</c:v>
                </c:pt>
                <c:pt idx="241">
                  <c:v>#N/A</c:v>
                </c:pt>
                <c:pt idx="242">
                  <c:v>55.1</c:v>
                </c:pt>
                <c:pt idx="243">
                  <c:v>#N/A</c:v>
                </c:pt>
                <c:pt idx="244">
                  <c:v>#N/A</c:v>
                </c:pt>
                <c:pt idx="245">
                  <c:v>#N/A</c:v>
                </c:pt>
                <c:pt idx="246">
                  <c:v>#N/A</c:v>
                </c:pt>
                <c:pt idx="247">
                  <c:v>#N/A</c:v>
                </c:pt>
                <c:pt idx="248">
                  <c:v>#N/A</c:v>
                </c:pt>
                <c:pt idx="249">
                  <c:v>56.52</c:v>
                </c:pt>
                <c:pt idx="250">
                  <c:v>#N/A</c:v>
                </c:pt>
                <c:pt idx="251">
                  <c:v>#N/A</c:v>
                </c:pt>
                <c:pt idx="252">
                  <c:v>#N/A</c:v>
                </c:pt>
                <c:pt idx="253">
                  <c:v>#N/A</c:v>
                </c:pt>
                <c:pt idx="254">
                  <c:v>#N/A</c:v>
                </c:pt>
                <c:pt idx="255">
                  <c:v>#N/A</c:v>
                </c:pt>
                <c:pt idx="256">
                  <c:v>54.8</c:v>
                </c:pt>
                <c:pt idx="257">
                  <c:v>#N/A</c:v>
                </c:pt>
                <c:pt idx="258">
                  <c:v>#N/A</c:v>
                </c:pt>
                <c:pt idx="259">
                  <c:v>#N/A</c:v>
                </c:pt>
                <c:pt idx="260">
                  <c:v>#N/A</c:v>
                </c:pt>
                <c:pt idx="261">
                  <c:v>#N/A</c:v>
                </c:pt>
                <c:pt idx="262">
                  <c:v>#N/A</c:v>
                </c:pt>
                <c:pt idx="263">
                  <c:v>58.09</c:v>
                </c:pt>
                <c:pt idx="264">
                  <c:v>#N/A</c:v>
                </c:pt>
                <c:pt idx="265">
                  <c:v>#N/A</c:v>
                </c:pt>
                <c:pt idx="266">
                  <c:v>#N/A</c:v>
                </c:pt>
                <c:pt idx="267">
                  <c:v>#N/A</c:v>
                </c:pt>
                <c:pt idx="268">
                  <c:v>#N/A</c:v>
                </c:pt>
                <c:pt idx="269">
                  <c:v>#N/A</c:v>
                </c:pt>
                <c:pt idx="270">
                  <c:v>55.91</c:v>
                </c:pt>
                <c:pt idx="271">
                  <c:v>#N/A</c:v>
                </c:pt>
                <c:pt idx="272">
                  <c:v>#N/A</c:v>
                </c:pt>
                <c:pt idx="273">
                  <c:v>#N/A</c:v>
                </c:pt>
                <c:pt idx="274">
                  <c:v>#N/A</c:v>
                </c:pt>
                <c:pt idx="275">
                  <c:v>#N/A</c:v>
                </c:pt>
                <c:pt idx="276">
                  <c:v>#N/A</c:v>
                </c:pt>
                <c:pt idx="277">
                  <c:v>52.81</c:v>
                </c:pt>
                <c:pt idx="278">
                  <c:v>#N/A</c:v>
                </c:pt>
                <c:pt idx="279">
                  <c:v>#N/A</c:v>
                </c:pt>
                <c:pt idx="280">
                  <c:v>#N/A</c:v>
                </c:pt>
                <c:pt idx="281">
                  <c:v>#N/A</c:v>
                </c:pt>
                <c:pt idx="282">
                  <c:v>#N/A</c:v>
                </c:pt>
                <c:pt idx="283">
                  <c:v>#N/A</c:v>
                </c:pt>
                <c:pt idx="284">
                  <c:v>54.78</c:v>
                </c:pt>
                <c:pt idx="285">
                  <c:v>#N/A</c:v>
                </c:pt>
                <c:pt idx="286">
                  <c:v>#N/A</c:v>
                </c:pt>
                <c:pt idx="287">
                  <c:v>#N/A</c:v>
                </c:pt>
                <c:pt idx="288">
                  <c:v>#N/A</c:v>
                </c:pt>
                <c:pt idx="289">
                  <c:v>#N/A</c:v>
                </c:pt>
                <c:pt idx="290">
                  <c:v>#N/A</c:v>
                </c:pt>
                <c:pt idx="291">
                  <c:v>53.87</c:v>
                </c:pt>
                <c:pt idx="292">
                  <c:v>#N/A</c:v>
                </c:pt>
                <c:pt idx="293">
                  <c:v>#N/A</c:v>
                </c:pt>
                <c:pt idx="294">
                  <c:v>#N/A</c:v>
                </c:pt>
                <c:pt idx="295">
                  <c:v>#N/A</c:v>
                </c:pt>
                <c:pt idx="296">
                  <c:v>#N/A</c:v>
                </c:pt>
                <c:pt idx="297">
                  <c:v>#N/A</c:v>
                </c:pt>
                <c:pt idx="298">
                  <c:v>56.66</c:v>
                </c:pt>
                <c:pt idx="299">
                  <c:v>#N/A</c:v>
                </c:pt>
                <c:pt idx="300">
                  <c:v>#N/A</c:v>
                </c:pt>
                <c:pt idx="301">
                  <c:v>#N/A</c:v>
                </c:pt>
                <c:pt idx="302">
                  <c:v>#N/A</c:v>
                </c:pt>
                <c:pt idx="303">
                  <c:v>#N/A</c:v>
                </c:pt>
                <c:pt idx="304">
                  <c:v>#N/A</c:v>
                </c:pt>
                <c:pt idx="305">
                  <c:v>56.2</c:v>
                </c:pt>
                <c:pt idx="306">
                  <c:v>#N/A</c:v>
                </c:pt>
                <c:pt idx="307">
                  <c:v>#N/A</c:v>
                </c:pt>
                <c:pt idx="308">
                  <c:v>#N/A</c:v>
                </c:pt>
                <c:pt idx="309">
                  <c:v>#N/A</c:v>
                </c:pt>
                <c:pt idx="310">
                  <c:v>#N/A</c:v>
                </c:pt>
                <c:pt idx="311">
                  <c:v>#N/A</c:v>
                </c:pt>
                <c:pt idx="312">
                  <c:v>57.24</c:v>
                </c:pt>
                <c:pt idx="313">
                  <c:v>#N/A</c:v>
                </c:pt>
                <c:pt idx="314">
                  <c:v>#N/A</c:v>
                </c:pt>
                <c:pt idx="315">
                  <c:v>#N/A</c:v>
                </c:pt>
                <c:pt idx="316">
                  <c:v>#N/A</c:v>
                </c:pt>
                <c:pt idx="317">
                  <c:v>#N/A</c:v>
                </c:pt>
                <c:pt idx="318">
                  <c:v>#N/A</c:v>
                </c:pt>
                <c:pt idx="319">
                  <c:v>57.83</c:v>
                </c:pt>
                <c:pt idx="320">
                  <c:v>#N/A</c:v>
                </c:pt>
                <c:pt idx="321">
                  <c:v>#N/A</c:v>
                </c:pt>
                <c:pt idx="322">
                  <c:v>#N/A</c:v>
                </c:pt>
                <c:pt idx="323">
                  <c:v>#N/A</c:v>
                </c:pt>
                <c:pt idx="324">
                  <c:v>#N/A</c:v>
                </c:pt>
                <c:pt idx="325">
                  <c:v>#N/A</c:v>
                </c:pt>
                <c:pt idx="326">
                  <c:v>57.77</c:v>
                </c:pt>
                <c:pt idx="327">
                  <c:v>#N/A</c:v>
                </c:pt>
                <c:pt idx="328">
                  <c:v>#N/A</c:v>
                </c:pt>
                <c:pt idx="329">
                  <c:v>#N/A</c:v>
                </c:pt>
                <c:pt idx="330">
                  <c:v>#N/A</c:v>
                </c:pt>
                <c:pt idx="331">
                  <c:v>#N/A</c:v>
                </c:pt>
                <c:pt idx="332">
                  <c:v>#N/A</c:v>
                </c:pt>
                <c:pt idx="333">
                  <c:v>55.17</c:v>
                </c:pt>
                <c:pt idx="334">
                  <c:v>#N/A</c:v>
                </c:pt>
                <c:pt idx="335">
                  <c:v>#N/A</c:v>
                </c:pt>
                <c:pt idx="336">
                  <c:v>#N/A</c:v>
                </c:pt>
                <c:pt idx="337">
                  <c:v>#N/A</c:v>
                </c:pt>
                <c:pt idx="338">
                  <c:v>#N/A</c:v>
                </c:pt>
                <c:pt idx="339">
                  <c:v>#N/A</c:v>
                </c:pt>
                <c:pt idx="340">
                  <c:v>59.2</c:v>
                </c:pt>
                <c:pt idx="341">
                  <c:v>#N/A</c:v>
                </c:pt>
                <c:pt idx="342">
                  <c:v>#N/A</c:v>
                </c:pt>
                <c:pt idx="343">
                  <c:v>#N/A</c:v>
                </c:pt>
                <c:pt idx="344">
                  <c:v>#N/A</c:v>
                </c:pt>
                <c:pt idx="345">
                  <c:v>#N/A</c:v>
                </c:pt>
                <c:pt idx="346">
                  <c:v>#N/A</c:v>
                </c:pt>
                <c:pt idx="347">
                  <c:v>59.98</c:v>
                </c:pt>
                <c:pt idx="348">
                  <c:v>#N/A</c:v>
                </c:pt>
                <c:pt idx="349">
                  <c:v>#N/A</c:v>
                </c:pt>
                <c:pt idx="350">
                  <c:v>#N/A</c:v>
                </c:pt>
                <c:pt idx="351">
                  <c:v>#N/A</c:v>
                </c:pt>
                <c:pt idx="352">
                  <c:v>#N/A</c:v>
                </c:pt>
                <c:pt idx="353">
                  <c:v>#N/A</c:v>
                </c:pt>
                <c:pt idx="354">
                  <c:v>60.44</c:v>
                </c:pt>
                <c:pt idx="355">
                  <c:v>#N/A</c:v>
                </c:pt>
                <c:pt idx="356">
                  <c:v>#N/A</c:v>
                </c:pt>
                <c:pt idx="357">
                  <c:v>#N/A</c:v>
                </c:pt>
                <c:pt idx="358">
                  <c:v>#N/A</c:v>
                </c:pt>
                <c:pt idx="359">
                  <c:v>#N/A</c:v>
                </c:pt>
                <c:pt idx="360">
                  <c:v>#N/A</c:v>
                </c:pt>
                <c:pt idx="361">
                  <c:v>61.72</c:v>
                </c:pt>
                <c:pt idx="362">
                  <c:v>#N/A</c:v>
                </c:pt>
                <c:pt idx="363">
                  <c:v>#N/A</c:v>
                </c:pt>
                <c:pt idx="364">
                  <c:v>#N/A</c:v>
                </c:pt>
              </c:numCache>
            </c:numRef>
          </c:val>
          <c:smooth val="1"/>
        </c:ser>
        <c:ser>
          <c:idx val="2"/>
          <c:order val="1"/>
          <c:tx>
            <c:strRef>
              <c:f>原油!$J$1</c:f>
              <c:strCache>
                <c:ptCount val="1"/>
                <c:pt idx="0">
                  <c:v>2020</c:v>
                </c:pt>
              </c:strCache>
            </c:strRef>
          </c:tx>
          <c:spPr>
            <a:ln w="28575" cap="rnd" cmpd="sng" algn="ctr">
              <a:solidFill>
                <a:srgbClr val="BF5711"/>
              </a:solidFill>
              <a:prstDash val="solid"/>
              <a:round/>
            </a:ln>
          </c:spPr>
          <c:marker>
            <c:symbol val="none"/>
          </c:marker>
          <c:cat>
            <c:numRef>
              <c:f>原油!$G$2:$G$366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原油!$J$2:$J$366</c:f>
              <c:numCache>
                <c:formatCode>General</c:formatCode>
                <c:ptCount val="365"/>
                <c:pt idx="0">
                  <c:v>#N/A</c:v>
                </c:pt>
                <c:pt idx="1">
                  <c:v>#N/A</c:v>
                </c:pt>
                <c:pt idx="2">
                  <c:v>#N/A</c:v>
                </c:pt>
                <c:pt idx="3">
                  <c:v>63.05</c:v>
                </c:pt>
                <c:pt idx="4">
                  <c:v>#N/A</c:v>
                </c:pt>
                <c:pt idx="5">
                  <c:v>#N/A</c:v>
                </c:pt>
                <c:pt idx="6">
                  <c:v>#N/A</c:v>
                </c:pt>
                <c:pt idx="7">
                  <c:v>#N/A</c:v>
                </c:pt>
                <c:pt idx="8">
                  <c:v>#N/A</c:v>
                </c:pt>
                <c:pt idx="9">
                  <c:v>#N/A</c:v>
                </c:pt>
                <c:pt idx="10">
                  <c:v>59.04</c:v>
                </c:pt>
                <c:pt idx="11">
                  <c:v>#N/A</c:v>
                </c:pt>
                <c:pt idx="12">
                  <c:v>#N/A</c:v>
                </c:pt>
                <c:pt idx="13">
                  <c:v>#N/A</c:v>
                </c:pt>
                <c:pt idx="14">
                  <c:v>#N/A</c:v>
                </c:pt>
                <c:pt idx="15">
                  <c:v>#N/A</c:v>
                </c:pt>
                <c:pt idx="16">
                  <c:v>#N/A</c:v>
                </c:pt>
                <c:pt idx="17">
                  <c:v>58.58</c:v>
                </c:pt>
                <c:pt idx="18">
                  <c:v>#N/A</c:v>
                </c:pt>
                <c:pt idx="19">
                  <c:v>#N/A</c:v>
                </c:pt>
                <c:pt idx="20">
                  <c:v>#N/A</c:v>
                </c:pt>
                <c:pt idx="21">
                  <c:v>#N/A</c:v>
                </c:pt>
                <c:pt idx="22">
                  <c:v>#N/A</c:v>
                </c:pt>
                <c:pt idx="23">
                  <c:v>#N/A</c:v>
                </c:pt>
                <c:pt idx="24">
                  <c:v>54.19</c:v>
                </c:pt>
                <c:pt idx="25">
                  <c:v>#N/A</c:v>
                </c:pt>
                <c:pt idx="26">
                  <c:v>#N/A</c:v>
                </c:pt>
                <c:pt idx="27">
                  <c:v>#N/A</c:v>
                </c:pt>
                <c:pt idx="28">
                  <c:v>#N/A</c:v>
                </c:pt>
                <c:pt idx="29">
                  <c:v>#N/A</c:v>
                </c:pt>
                <c:pt idx="30">
                  <c:v>#N/A</c:v>
                </c:pt>
                <c:pt idx="31">
                  <c:v>51.56</c:v>
                </c:pt>
                <c:pt idx="32">
                  <c:v>#N/A</c:v>
                </c:pt>
                <c:pt idx="33">
                  <c:v>#N/A</c:v>
                </c:pt>
                <c:pt idx="34">
                  <c:v>#N/A</c:v>
                </c:pt>
                <c:pt idx="35">
                  <c:v>#N/A</c:v>
                </c:pt>
                <c:pt idx="36">
                  <c:v>#N/A</c:v>
                </c:pt>
                <c:pt idx="37">
                  <c:v>#N/A</c:v>
                </c:pt>
                <c:pt idx="38">
                  <c:v>50.32</c:v>
                </c:pt>
                <c:pt idx="39">
                  <c:v>#N/A</c:v>
                </c:pt>
                <c:pt idx="40">
                  <c:v>#N/A</c:v>
                </c:pt>
                <c:pt idx="41">
                  <c:v>#N/A</c:v>
                </c:pt>
                <c:pt idx="42">
                  <c:v>#N/A</c:v>
                </c:pt>
                <c:pt idx="43">
                  <c:v>#N/A</c:v>
                </c:pt>
                <c:pt idx="44">
                  <c:v>#N/A</c:v>
                </c:pt>
                <c:pt idx="45">
                  <c:v>52.32</c:v>
                </c:pt>
                <c:pt idx="46">
                  <c:v>#N/A</c:v>
                </c:pt>
                <c:pt idx="47">
                  <c:v>#N/A</c:v>
                </c:pt>
                <c:pt idx="48">
                  <c:v>#N/A</c:v>
                </c:pt>
                <c:pt idx="49">
                  <c:v>#N/A</c:v>
                </c:pt>
                <c:pt idx="50">
                  <c:v>#N/A</c:v>
                </c:pt>
                <c:pt idx="51">
                  <c:v>#N/A</c:v>
                </c:pt>
                <c:pt idx="52">
                  <c:v>53.38</c:v>
                </c:pt>
                <c:pt idx="53">
                  <c:v>#N/A</c:v>
                </c:pt>
                <c:pt idx="54">
                  <c:v>#N/A</c:v>
                </c:pt>
                <c:pt idx="55">
                  <c:v>#N/A</c:v>
                </c:pt>
                <c:pt idx="56">
                  <c:v>#N/A</c:v>
                </c:pt>
                <c:pt idx="57">
                  <c:v>#N/A</c:v>
                </c:pt>
                <c:pt idx="58">
                  <c:v>#N/A</c:v>
                </c:pt>
                <c:pt idx="59">
                  <c:v>44.76</c:v>
                </c:pt>
                <c:pt idx="60">
                  <c:v>#N/A</c:v>
                </c:pt>
                <c:pt idx="61">
                  <c:v>#N/A</c:v>
                </c:pt>
                <c:pt idx="62">
                  <c:v>#N/A</c:v>
                </c:pt>
                <c:pt idx="63">
                  <c:v>#N/A</c:v>
                </c:pt>
                <c:pt idx="64">
                  <c:v>#N/A</c:v>
                </c:pt>
                <c:pt idx="65">
                  <c:v>#N/A</c:v>
                </c:pt>
                <c:pt idx="66">
                  <c:v>41.28</c:v>
                </c:pt>
                <c:pt idx="67">
                  <c:v>#N/A</c:v>
                </c:pt>
                <c:pt idx="68">
                  <c:v>#N/A</c:v>
                </c:pt>
                <c:pt idx="69">
                  <c:v>#N/A</c:v>
                </c:pt>
                <c:pt idx="70">
                  <c:v>#N/A</c:v>
                </c:pt>
                <c:pt idx="71">
                  <c:v>#N/A</c:v>
                </c:pt>
                <c:pt idx="72">
                  <c:v>#N/A</c:v>
                </c:pt>
                <c:pt idx="73">
                  <c:v>32.11</c:v>
                </c:pt>
                <c:pt idx="74">
                  <c:v>#N/A</c:v>
                </c:pt>
                <c:pt idx="75">
                  <c:v>#N/A</c:v>
                </c:pt>
                <c:pt idx="76">
                  <c:v>#N/A</c:v>
                </c:pt>
                <c:pt idx="77">
                  <c:v>#N/A</c:v>
                </c:pt>
                <c:pt idx="78">
                  <c:v>#N/A</c:v>
                </c:pt>
                <c:pt idx="79">
                  <c:v>#N/A</c:v>
                </c:pt>
                <c:pt idx="80">
                  <c:v>22.63</c:v>
                </c:pt>
                <c:pt idx="81">
                  <c:v>#N/A</c:v>
                </c:pt>
                <c:pt idx="82">
                  <c:v>#N/A</c:v>
                </c:pt>
                <c:pt idx="83">
                  <c:v>#N/A</c:v>
                </c:pt>
                <c:pt idx="84">
                  <c:v>#N/A</c:v>
                </c:pt>
                <c:pt idx="85">
                  <c:v>#N/A</c:v>
                </c:pt>
                <c:pt idx="86">
                  <c:v>#N/A</c:v>
                </c:pt>
                <c:pt idx="87">
                  <c:v>21.51</c:v>
                </c:pt>
                <c:pt idx="88">
                  <c:v>#N/A</c:v>
                </c:pt>
                <c:pt idx="89">
                  <c:v>#N/A</c:v>
                </c:pt>
                <c:pt idx="90">
                  <c:v>#N/A</c:v>
                </c:pt>
                <c:pt idx="91">
                  <c:v>#N/A</c:v>
                </c:pt>
                <c:pt idx="92">
                  <c:v>#N/A</c:v>
                </c:pt>
                <c:pt idx="93">
                  <c:v>#N/A</c:v>
                </c:pt>
                <c:pt idx="94">
                  <c:v>28.34</c:v>
                </c:pt>
                <c:pt idx="95">
                  <c:v>#N/A</c:v>
                </c:pt>
                <c:pt idx="96">
                  <c:v>#N/A</c:v>
                </c:pt>
                <c:pt idx="97">
                  <c:v>#N/A</c:v>
                </c:pt>
                <c:pt idx="98">
                  <c:v>#N/A</c:v>
                </c:pt>
                <c:pt idx="99">
                  <c:v>#N/A</c:v>
                </c:pt>
                <c:pt idx="100">
                  <c:v>#N/A</c:v>
                </c:pt>
                <c:pt idx="101">
                  <c:v>22.76</c:v>
                </c:pt>
                <c:pt idx="102">
                  <c:v>#N/A</c:v>
                </c:pt>
                <c:pt idx="103">
                  <c:v>#N/A</c:v>
                </c:pt>
                <c:pt idx="104">
                  <c:v>#N/A</c:v>
                </c:pt>
                <c:pt idx="105">
                  <c:v>#N/A</c:v>
                </c:pt>
                <c:pt idx="106">
                  <c:v>#N/A</c:v>
                </c:pt>
                <c:pt idx="107">
                  <c:v>#N/A</c:v>
                </c:pt>
                <c:pt idx="108">
                  <c:v>25.03</c:v>
                </c:pt>
                <c:pt idx="109">
                  <c:v>#N/A</c:v>
                </c:pt>
                <c:pt idx="110">
                  <c:v>#N/A</c:v>
                </c:pt>
                <c:pt idx="111">
                  <c:v>#N/A</c:v>
                </c:pt>
                <c:pt idx="112">
                  <c:v>#N/A</c:v>
                </c:pt>
                <c:pt idx="113">
                  <c:v>#N/A</c:v>
                </c:pt>
                <c:pt idx="114">
                  <c:v>#N/A</c:v>
                </c:pt>
                <c:pt idx="115">
                  <c:v>16.940000000000001</c:v>
                </c:pt>
                <c:pt idx="116">
                  <c:v>#N/A</c:v>
                </c:pt>
                <c:pt idx="117">
                  <c:v>#N/A</c:v>
                </c:pt>
                <c:pt idx="118">
                  <c:v>#N/A</c:v>
                </c:pt>
                <c:pt idx="119">
                  <c:v>#N/A</c:v>
                </c:pt>
                <c:pt idx="120">
                  <c:v>#N/A</c:v>
                </c:pt>
                <c:pt idx="121">
                  <c:v>#N/A</c:v>
                </c:pt>
                <c:pt idx="122">
                  <c:v>22.29</c:v>
                </c:pt>
                <c:pt idx="123">
                  <c:v>#N/A</c:v>
                </c:pt>
                <c:pt idx="124">
                  <c:v>#N/A</c:v>
                </c:pt>
                <c:pt idx="125">
                  <c:v>#N/A</c:v>
                </c:pt>
                <c:pt idx="126">
                  <c:v>#N/A</c:v>
                </c:pt>
                <c:pt idx="127">
                  <c:v>#N/A</c:v>
                </c:pt>
                <c:pt idx="128">
                  <c:v>#N/A</c:v>
                </c:pt>
                <c:pt idx="129">
                  <c:v>26.17</c:v>
                </c:pt>
                <c:pt idx="130">
                  <c:v>#N/A</c:v>
                </c:pt>
                <c:pt idx="131">
                  <c:v>#N/A</c:v>
                </c:pt>
                <c:pt idx="132">
                  <c:v>#N/A</c:v>
                </c:pt>
                <c:pt idx="133">
                  <c:v>#N/A</c:v>
                </c:pt>
                <c:pt idx="134">
                  <c:v>#N/A</c:v>
                </c:pt>
                <c:pt idx="135">
                  <c:v>#N/A</c:v>
                </c:pt>
                <c:pt idx="136">
                  <c:v>29.52</c:v>
                </c:pt>
                <c:pt idx="137">
                  <c:v>#N/A</c:v>
                </c:pt>
                <c:pt idx="138">
                  <c:v>#N/A</c:v>
                </c:pt>
                <c:pt idx="139">
                  <c:v>#N/A</c:v>
                </c:pt>
                <c:pt idx="140">
                  <c:v>#N/A</c:v>
                </c:pt>
                <c:pt idx="141">
                  <c:v>#N/A</c:v>
                </c:pt>
                <c:pt idx="142">
                  <c:v>#N/A</c:v>
                </c:pt>
                <c:pt idx="143">
                  <c:v>33.25</c:v>
                </c:pt>
                <c:pt idx="144">
                  <c:v>#N/A</c:v>
                </c:pt>
                <c:pt idx="145">
                  <c:v>#N/A</c:v>
                </c:pt>
                <c:pt idx="146">
                  <c:v>#N/A</c:v>
                </c:pt>
                <c:pt idx="147">
                  <c:v>#N/A</c:v>
                </c:pt>
                <c:pt idx="148">
                  <c:v>#N/A</c:v>
                </c:pt>
                <c:pt idx="149">
                  <c:v>#N/A</c:v>
                </c:pt>
                <c:pt idx="150">
                  <c:v>35.49</c:v>
                </c:pt>
                <c:pt idx="151">
                  <c:v>#N/A</c:v>
                </c:pt>
                <c:pt idx="152">
                  <c:v>#N/A</c:v>
                </c:pt>
                <c:pt idx="153">
                  <c:v>#N/A</c:v>
                </c:pt>
                <c:pt idx="154">
                  <c:v>#N/A</c:v>
                </c:pt>
                <c:pt idx="155">
                  <c:v>#N/A</c:v>
                </c:pt>
                <c:pt idx="156">
                  <c:v>#N/A</c:v>
                </c:pt>
                <c:pt idx="157">
                  <c:v>39.549999999999997</c:v>
                </c:pt>
                <c:pt idx="158">
                  <c:v>#N/A</c:v>
                </c:pt>
                <c:pt idx="159">
                  <c:v>#N/A</c:v>
                </c:pt>
                <c:pt idx="160">
                  <c:v>#N/A</c:v>
                </c:pt>
                <c:pt idx="161">
                  <c:v>#N/A</c:v>
                </c:pt>
                <c:pt idx="162">
                  <c:v>#N/A</c:v>
                </c:pt>
                <c:pt idx="163">
                  <c:v>#N/A</c:v>
                </c:pt>
                <c:pt idx="164">
                  <c:v>36.26</c:v>
                </c:pt>
                <c:pt idx="165">
                  <c:v>#N/A</c:v>
                </c:pt>
                <c:pt idx="166">
                  <c:v>#N/A</c:v>
                </c:pt>
                <c:pt idx="167">
                  <c:v>#N/A</c:v>
                </c:pt>
                <c:pt idx="168">
                  <c:v>#N/A</c:v>
                </c:pt>
                <c:pt idx="169">
                  <c:v>#N/A</c:v>
                </c:pt>
                <c:pt idx="170">
                  <c:v>#N/A</c:v>
                </c:pt>
                <c:pt idx="171">
                  <c:v>39.83</c:v>
                </c:pt>
                <c:pt idx="172">
                  <c:v>#N/A</c:v>
                </c:pt>
                <c:pt idx="173">
                  <c:v>#N/A</c:v>
                </c:pt>
                <c:pt idx="174">
                  <c:v>#N/A</c:v>
                </c:pt>
                <c:pt idx="175">
                  <c:v>#N/A</c:v>
                </c:pt>
                <c:pt idx="176">
                  <c:v>#N/A</c:v>
                </c:pt>
                <c:pt idx="177">
                  <c:v>#N/A</c:v>
                </c:pt>
                <c:pt idx="178">
                  <c:v>38.49</c:v>
                </c:pt>
                <c:pt idx="179">
                  <c:v>#N/A</c:v>
                </c:pt>
                <c:pt idx="180">
                  <c:v>#N/A</c:v>
                </c:pt>
                <c:pt idx="181">
                  <c:v>#N/A</c:v>
                </c:pt>
                <c:pt idx="182">
                  <c:v>#N/A</c:v>
                </c:pt>
                <c:pt idx="183">
                  <c:v>#N/A</c:v>
                </c:pt>
                <c:pt idx="184">
                  <c:v>#N/A</c:v>
                </c:pt>
                <c:pt idx="185">
                  <c:v>40.65</c:v>
                </c:pt>
                <c:pt idx="186">
                  <c:v>#N/A</c:v>
                </c:pt>
                <c:pt idx="187">
                  <c:v>#N/A</c:v>
                </c:pt>
                <c:pt idx="188">
                  <c:v>#N/A</c:v>
                </c:pt>
                <c:pt idx="189">
                  <c:v>#N/A</c:v>
                </c:pt>
                <c:pt idx="190">
                  <c:v>#N/A</c:v>
                </c:pt>
                <c:pt idx="191">
                  <c:v>#N/A</c:v>
                </c:pt>
                <c:pt idx="192">
                  <c:v>40.549999999999997</c:v>
                </c:pt>
                <c:pt idx="193">
                  <c:v>#N/A</c:v>
                </c:pt>
                <c:pt idx="194">
                  <c:v>#N/A</c:v>
                </c:pt>
                <c:pt idx="195">
                  <c:v>#N/A</c:v>
                </c:pt>
                <c:pt idx="196">
                  <c:v>#N/A</c:v>
                </c:pt>
                <c:pt idx="197">
                  <c:v>#N/A</c:v>
                </c:pt>
                <c:pt idx="198">
                  <c:v>#N/A</c:v>
                </c:pt>
                <c:pt idx="199">
                  <c:v>40.75</c:v>
                </c:pt>
                <c:pt idx="200">
                  <c:v>#N/A</c:v>
                </c:pt>
                <c:pt idx="201">
                  <c:v>#N/A</c:v>
                </c:pt>
                <c:pt idx="202">
                  <c:v>#N/A</c:v>
                </c:pt>
                <c:pt idx="203">
                  <c:v>#N/A</c:v>
                </c:pt>
                <c:pt idx="204">
                  <c:v>#N/A</c:v>
                </c:pt>
                <c:pt idx="205">
                  <c:v>#N/A</c:v>
                </c:pt>
                <c:pt idx="206">
                  <c:v>41.29</c:v>
                </c:pt>
                <c:pt idx="207">
                  <c:v>#N/A</c:v>
                </c:pt>
                <c:pt idx="208">
                  <c:v>#N/A</c:v>
                </c:pt>
                <c:pt idx="209">
                  <c:v>#N/A</c:v>
                </c:pt>
                <c:pt idx="210">
                  <c:v>#N/A</c:v>
                </c:pt>
                <c:pt idx="211">
                  <c:v>#N/A</c:v>
                </c:pt>
                <c:pt idx="212">
                  <c:v>#N/A</c:v>
                </c:pt>
                <c:pt idx="213">
                  <c:v>40.270000000000003</c:v>
                </c:pt>
                <c:pt idx="214">
                  <c:v>#N/A</c:v>
                </c:pt>
                <c:pt idx="215">
                  <c:v>#N/A</c:v>
                </c:pt>
                <c:pt idx="216">
                  <c:v>#N/A</c:v>
                </c:pt>
                <c:pt idx="217">
                  <c:v>#N/A</c:v>
                </c:pt>
                <c:pt idx="218">
                  <c:v>#N/A</c:v>
                </c:pt>
                <c:pt idx="219">
                  <c:v>#N/A</c:v>
                </c:pt>
                <c:pt idx="220">
                  <c:v>41.22</c:v>
                </c:pt>
                <c:pt idx="221">
                  <c:v>#N/A</c:v>
                </c:pt>
                <c:pt idx="222">
                  <c:v>#N/A</c:v>
                </c:pt>
                <c:pt idx="223">
                  <c:v>#N/A</c:v>
                </c:pt>
                <c:pt idx="224">
                  <c:v>#N/A</c:v>
                </c:pt>
                <c:pt idx="225">
                  <c:v>#N/A</c:v>
                </c:pt>
                <c:pt idx="226">
                  <c:v>#N/A</c:v>
                </c:pt>
                <c:pt idx="227">
                  <c:v>42.01</c:v>
                </c:pt>
                <c:pt idx="228">
                  <c:v>#N/A</c:v>
                </c:pt>
                <c:pt idx="229">
                  <c:v>#N/A</c:v>
                </c:pt>
                <c:pt idx="230">
                  <c:v>#N/A</c:v>
                </c:pt>
                <c:pt idx="231">
                  <c:v>#N/A</c:v>
                </c:pt>
                <c:pt idx="232">
                  <c:v>#N/A</c:v>
                </c:pt>
                <c:pt idx="233">
                  <c:v>#N/A</c:v>
                </c:pt>
                <c:pt idx="234">
                  <c:v>42.34</c:v>
                </c:pt>
                <c:pt idx="235">
                  <c:v>#N/A</c:v>
                </c:pt>
                <c:pt idx="236">
                  <c:v>#N/A</c:v>
                </c:pt>
                <c:pt idx="237">
                  <c:v>#N/A</c:v>
                </c:pt>
                <c:pt idx="238">
                  <c:v>#N/A</c:v>
                </c:pt>
                <c:pt idx="239">
                  <c:v>#N/A</c:v>
                </c:pt>
                <c:pt idx="240">
                  <c:v>#N/A</c:v>
                </c:pt>
                <c:pt idx="241">
                  <c:v>42.97</c:v>
                </c:pt>
                <c:pt idx="242">
                  <c:v>#N/A</c:v>
                </c:pt>
                <c:pt idx="243">
                  <c:v>#N/A</c:v>
                </c:pt>
                <c:pt idx="244">
                  <c:v>#N/A</c:v>
                </c:pt>
                <c:pt idx="245">
                  <c:v>#N/A</c:v>
                </c:pt>
                <c:pt idx="246">
                  <c:v>#N/A</c:v>
                </c:pt>
                <c:pt idx="247">
                  <c:v>#N/A</c:v>
                </c:pt>
                <c:pt idx="248">
                  <c:v>39.770000000000003</c:v>
                </c:pt>
                <c:pt idx="249">
                  <c:v>#N/A</c:v>
                </c:pt>
                <c:pt idx="250">
                  <c:v>#N/A</c:v>
                </c:pt>
                <c:pt idx="251">
                  <c:v>#N/A</c:v>
                </c:pt>
                <c:pt idx="252">
                  <c:v>#N/A</c:v>
                </c:pt>
                <c:pt idx="253">
                  <c:v>#N/A</c:v>
                </c:pt>
                <c:pt idx="254">
                  <c:v>#N/A</c:v>
                </c:pt>
                <c:pt idx="255">
                  <c:v>37.33</c:v>
                </c:pt>
                <c:pt idx="256">
                  <c:v>#N/A</c:v>
                </c:pt>
                <c:pt idx="257">
                  <c:v>#N/A</c:v>
                </c:pt>
                <c:pt idx="258">
                  <c:v>#N/A</c:v>
                </c:pt>
                <c:pt idx="259">
                  <c:v>#N/A</c:v>
                </c:pt>
                <c:pt idx="260">
                  <c:v>#N/A</c:v>
                </c:pt>
                <c:pt idx="261">
                  <c:v>#N/A</c:v>
                </c:pt>
                <c:pt idx="262">
                  <c:v>41.11</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ser>
        <c:dLbls>
          <c:showLegendKey val="0"/>
          <c:showVal val="0"/>
          <c:showCatName val="0"/>
          <c:showSerName val="0"/>
          <c:showPercent val="0"/>
          <c:showBubbleSize val="0"/>
        </c:dLbls>
        <c:marker val="1"/>
        <c:smooth val="0"/>
        <c:axId val="239005696"/>
        <c:axId val="239007232"/>
      </c:lineChart>
      <c:dateAx>
        <c:axId val="239005696"/>
        <c:scaling>
          <c:orientation val="minMax"/>
        </c:scaling>
        <c:delete val="0"/>
        <c:axPos val="b"/>
        <c:numFmt formatCode="m" sourceLinked="0"/>
        <c:majorTickMark val="out"/>
        <c:minorTickMark val="out"/>
        <c:tickLblPos val="low"/>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239007232"/>
        <c:crosses val="autoZero"/>
        <c:auto val="0"/>
        <c:lblOffset val="0"/>
        <c:baseTimeUnit val="days"/>
        <c:majorUnit val="1"/>
        <c:majorTimeUnit val="months"/>
      </c:dateAx>
      <c:valAx>
        <c:axId val="239007232"/>
        <c:scaling>
          <c:orientation val="minMax"/>
          <c:min val="15"/>
        </c:scaling>
        <c:delete val="0"/>
        <c:axPos val="l"/>
        <c:numFmt formatCode="#,##0_);[Red]\(#,##0\)" sourceLinked="0"/>
        <c:majorTickMark val="out"/>
        <c:minorTickMark val="none"/>
        <c:tickLblPos val="nextTo"/>
        <c:spPr>
          <a:ln w="3175" cap="flat" cmpd="sng" algn="ctr">
            <a:solidFill>
              <a:sysClr val="windowText" lastClr="000000"/>
            </a:solidFill>
            <a:prstDash val="solid"/>
            <a:roun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crossAx val="239005696"/>
        <c:crosses val="autoZero"/>
        <c:crossBetween val="between"/>
      </c:valAx>
    </c:plotArea>
    <c:legend>
      <c:legendPos val="r"/>
      <c:layout>
        <c:manualLayout>
          <c:xMode val="edge"/>
          <c:yMode val="edge"/>
          <c:x val="0.15225"/>
          <c:y val="2.3337707786526699E-3"/>
          <c:w val="0.690571084864392"/>
          <c:h val="5.8071230679498403E-2"/>
        </c:manualLayout>
      </c:layout>
      <c:overlay val="0"/>
      <c:spPr>
        <a:noFill/>
        <a:ln w="3175">
          <a:noFill/>
          <a:prstDash val="solid"/>
        </a:ln>
      </c:spPr>
      <c:txPr>
        <a:bodyPr rot="0" spcFirstLastPara="0" vertOverflow="ellipsis" vert="horz" wrap="square" anchor="ctr" anchorCtr="1"/>
        <a:lstStyle/>
        <a:p>
          <a:pPr>
            <a:defRPr lang="zh-CN"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legend>
    <c:plotVisOnly val="1"/>
    <c:dispBlanksAs val="span"/>
    <c:showDLblsOverMax val="0"/>
  </c:chart>
  <c:spPr>
    <a:ln w="6350" cap="flat" cmpd="sng" algn="ctr">
      <a:noFill/>
      <a:prstDash val="solid"/>
      <a:round/>
    </a:ln>
  </c:spPr>
  <c:txPr>
    <a:bodyPr/>
    <a:lstStyle/>
    <a:p>
      <a:pPr>
        <a:defRPr lang="zh-CN"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2" name="矩形 1"/>
        <cdr:cNvSpPr/>
      </cdr:nvSpPr>
      <cdr:spPr>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vert="horz" wrap="square" lIns="0" tIns="0" rIns="0" bIns="0" anchor="t" anchorCtr="0" upright="1">
          <a:normAutofit/>
        </a:bodyPr>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3" charset="-122"/>
              <a:ea typeface="楷体" panose="02010609060101010101" pitchFamily="3"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2" name="矩形 1"/>
        <cdr:cNvSpPr/>
      </cdr:nvSpPr>
      <cdr:spPr>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vert="horz" wrap="square" lIns="0" tIns="0" rIns="0" bIns="0" anchor="t" anchorCtr="0" upright="1">
          <a:normAutofit/>
        </a:bodyPr>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2" name="矩形 1"/>
        <cdr:cNvSpPr/>
      </cdr:nvSpPr>
      <cdr:spPr>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vert="horz" wrap="square" lIns="0" tIns="0" rIns="0" bIns="0" anchor="t" anchorCtr="0" upright="1">
          <a:normAutofit/>
        </a:bodyPr>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3" name="矩形 2"/>
        <cdr:cNvSpPr/>
      </cdr:nvSpPr>
      <cdr:spPr>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horz" wrap="square" lIns="0" tIns="0" rIns="0" bIns="0" anchor="t" anchorCtr="0" upright="1">
          <a:norm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2" name="矩形 1"/>
        <cdr:cNvSpPr/>
      </cdr:nvSpPr>
      <cdr:spPr>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vert="horz" wrap="square" lIns="0" tIns="0" rIns="0" bIns="0" anchor="t" anchorCtr="0" upright="1">
          <a:normAutofit/>
        </a:bodyPr>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3" name="矩形 2"/>
        <cdr:cNvSpPr/>
      </cdr:nvSpPr>
      <cdr:spPr>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horz" wrap="square" lIns="0" tIns="0" rIns="0" bIns="0" anchor="t" anchorCtr="0" upright="1">
          <a:normAutofit/>
        </a:bodyPr>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2" name="矩形 1"/>
        <cdr:cNvSpPr/>
      </cdr:nvSpPr>
      <cdr:spPr>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vert="horz" wrap="square" lIns="0" tIns="0" rIns="0" bIns="0" anchor="t" anchorCtr="0" upright="1">
          <a:normAutofit/>
        </a:bodyPr>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2" name="矩形 1"/>
        <cdr:cNvSpPr/>
      </cdr:nvSpPr>
      <cdr:spPr>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vert="horz" wrap="square" lIns="0" tIns="0" rIns="0" bIns="0" anchor="t" anchorCtr="0" upright="1">
          <a:normAutofit/>
        </a:bodyPr>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3" charset="-122"/>
              <a:ea typeface="楷体" panose="02010609060101010101" pitchFamily="3" charset="-122"/>
            </a:rPr>
            <a:t>万吨</a:t>
          </a: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3.64538E-7</cdr:y>
    </cdr:from>
    <cdr:to>
      <cdr:x>0.10119</cdr:x>
      <cdr:y>0.08168</cdr:y>
    </cdr:to>
    <cdr:sp macro="" textlink="">
      <cdr:nvSpPr>
        <cdr:cNvPr id="2" name="矩形 1"/>
        <cdr:cNvSpPr/>
      </cdr:nvSpPr>
      <cdr:spPr>
        <a:xfrm xmlns:a="http://schemas.openxmlformats.org/drawingml/2006/main">
          <a:off x="0" y="1"/>
          <a:ext cx="462642" cy="224064"/>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vert="horz" wrap="square" lIns="0" tIns="0" rIns="0" bIns="0" anchor="t" anchorCtr="0" upright="1">
          <a:normAutofit/>
        </a:bodyPr>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3" charset="-122"/>
              <a:ea typeface="楷体" panose="02010609060101010101" pitchFamily="3" charset="-122"/>
            </a:rPr>
            <a:t>美元</a:t>
          </a:r>
          <a:r>
            <a:rPr lang="en-US" altLang="zh-CN" sz="700" b="0" i="0" u="none" strike="noStrike" baseline="0">
              <a:solidFill>
                <a:srgbClr val="000000"/>
              </a:solidFill>
              <a:latin typeface="楷体" panose="02010609060101010101" pitchFamily="3" charset="-122"/>
              <a:ea typeface="楷体" panose="02010609060101010101" pitchFamily="3" charset="-122"/>
            </a:rPr>
            <a:t>/</a:t>
          </a:r>
          <a:r>
            <a:rPr lang="zh-CN" altLang="en-US" sz="700" b="0" i="0" u="none" strike="noStrike" baseline="0">
              <a:solidFill>
                <a:srgbClr val="000000"/>
              </a:solidFill>
              <a:latin typeface="楷体" panose="02010609060101010101" pitchFamily="3" charset="-122"/>
              <a:ea typeface="楷体" panose="02010609060101010101" pitchFamily="3" charset="-122"/>
            </a:rPr>
            <a:t>桶</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0D60AB4-2453-4B40-8445-58EE23D385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671</Words>
  <Characters>3826</Characters>
  <Application>Microsoft Office Word</Application>
  <DocSecurity>0</DocSecurity>
  <Lines>31</Lines>
  <Paragraphs>8</Paragraphs>
  <ScaleCrop>false</ScaleCrop>
  <Company>Microsoft</Company>
  <LinksUpToDate>false</LinksUpToDate>
  <CharactersWithSpaces>4489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Satro</dc:creator>
  <cp:lastModifiedBy>Administrator</cp:lastModifiedBy>
  <cp:revision>4</cp:revision>
  <cp:lastPrinted>2020-08-23T13:04:00Z</cp:lastPrinted>
  <dcterms:created xsi:type="dcterms:W3CDTF">2020-09-21T05:39:00Z</dcterms:created>
  <dcterms:modified xsi:type="dcterms:W3CDTF">2020-09-21T09:00:00Z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