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5D80A130"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3254C0">
        <w:rPr>
          <w:rFonts w:ascii="楷体" w:eastAsia="楷体" w:hAnsi="楷体" w:hint="eastAsia"/>
          <w:sz w:val="28"/>
          <w:szCs w:val="28"/>
        </w:rPr>
        <w:t>海外波澜迭起，国内韧性增加</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2009DD2B" w14:textId="502A9746" w:rsidR="00B06163" w:rsidRPr="003254C0" w:rsidRDefault="003254C0" w:rsidP="00040E7F">
      <w:pPr>
        <w:pStyle w:val="Body-text"/>
        <w:spacing w:after="240"/>
        <w:ind w:firstLineChars="200" w:firstLine="460"/>
        <w:rPr>
          <w:sz w:val="23"/>
          <w:szCs w:val="23"/>
          <w:lang w:eastAsia="zh-CN"/>
        </w:rPr>
      </w:pPr>
      <w:r w:rsidRPr="003254C0">
        <w:rPr>
          <w:rFonts w:hint="eastAsia"/>
          <w:sz w:val="23"/>
          <w:szCs w:val="23"/>
          <w:lang w:eastAsia="zh-CN"/>
        </w:rPr>
        <w:t>9</w:t>
      </w:r>
      <w:r w:rsidRPr="003254C0">
        <w:rPr>
          <w:rFonts w:hint="eastAsia"/>
          <w:sz w:val="23"/>
          <w:szCs w:val="23"/>
          <w:lang w:eastAsia="zh-CN"/>
        </w:rPr>
        <w:t>月份，中国制造业采购经理指数（</w:t>
      </w:r>
      <w:r w:rsidRPr="003254C0">
        <w:rPr>
          <w:rFonts w:hint="eastAsia"/>
          <w:sz w:val="23"/>
          <w:szCs w:val="23"/>
          <w:lang w:eastAsia="zh-CN"/>
        </w:rPr>
        <w:t>PMI</w:t>
      </w:r>
      <w:r w:rsidRPr="003254C0">
        <w:rPr>
          <w:rFonts w:hint="eastAsia"/>
          <w:sz w:val="23"/>
          <w:szCs w:val="23"/>
          <w:lang w:eastAsia="zh-CN"/>
        </w:rPr>
        <w:t>）为</w:t>
      </w:r>
      <w:r w:rsidRPr="003254C0">
        <w:rPr>
          <w:rFonts w:hint="eastAsia"/>
          <w:sz w:val="23"/>
          <w:szCs w:val="23"/>
          <w:lang w:eastAsia="zh-CN"/>
        </w:rPr>
        <w:t>51.5%</w:t>
      </w:r>
      <w:r w:rsidRPr="003254C0">
        <w:rPr>
          <w:rFonts w:hint="eastAsia"/>
          <w:sz w:val="23"/>
          <w:szCs w:val="23"/>
          <w:lang w:eastAsia="zh-CN"/>
        </w:rPr>
        <w:t>，比上月上升</w:t>
      </w:r>
      <w:r w:rsidRPr="003254C0">
        <w:rPr>
          <w:rFonts w:hint="eastAsia"/>
          <w:sz w:val="23"/>
          <w:szCs w:val="23"/>
          <w:lang w:eastAsia="zh-CN"/>
        </w:rPr>
        <w:t>0.5</w:t>
      </w:r>
      <w:r w:rsidRPr="003254C0">
        <w:rPr>
          <w:rFonts w:hint="eastAsia"/>
          <w:sz w:val="23"/>
          <w:szCs w:val="23"/>
          <w:lang w:eastAsia="zh-CN"/>
        </w:rPr>
        <w:t>个百分点，表明制造业景气有所回升。从企业规模看，大型企业</w:t>
      </w:r>
      <w:r w:rsidRPr="003254C0">
        <w:rPr>
          <w:rFonts w:hint="eastAsia"/>
          <w:sz w:val="23"/>
          <w:szCs w:val="23"/>
          <w:lang w:eastAsia="zh-CN"/>
        </w:rPr>
        <w:t>PMI</w:t>
      </w:r>
      <w:r w:rsidRPr="003254C0">
        <w:rPr>
          <w:rFonts w:hint="eastAsia"/>
          <w:sz w:val="23"/>
          <w:szCs w:val="23"/>
          <w:lang w:eastAsia="zh-CN"/>
        </w:rPr>
        <w:t>为</w:t>
      </w:r>
      <w:r w:rsidRPr="003254C0">
        <w:rPr>
          <w:rFonts w:hint="eastAsia"/>
          <w:sz w:val="23"/>
          <w:szCs w:val="23"/>
          <w:lang w:eastAsia="zh-CN"/>
        </w:rPr>
        <w:t>52.5%</w:t>
      </w:r>
      <w:r w:rsidRPr="003254C0">
        <w:rPr>
          <w:rFonts w:hint="eastAsia"/>
          <w:sz w:val="23"/>
          <w:szCs w:val="23"/>
          <w:lang w:eastAsia="zh-CN"/>
        </w:rPr>
        <w:t>，比上月上升</w:t>
      </w:r>
      <w:r w:rsidRPr="003254C0">
        <w:rPr>
          <w:rFonts w:hint="eastAsia"/>
          <w:sz w:val="23"/>
          <w:szCs w:val="23"/>
          <w:lang w:eastAsia="zh-CN"/>
        </w:rPr>
        <w:t>0.5</w:t>
      </w:r>
      <w:r w:rsidRPr="003254C0">
        <w:rPr>
          <w:rFonts w:hint="eastAsia"/>
          <w:sz w:val="23"/>
          <w:szCs w:val="23"/>
          <w:lang w:eastAsia="zh-CN"/>
        </w:rPr>
        <w:t>个百分点；中型企业</w:t>
      </w:r>
      <w:r w:rsidRPr="003254C0">
        <w:rPr>
          <w:rFonts w:hint="eastAsia"/>
          <w:sz w:val="23"/>
          <w:szCs w:val="23"/>
          <w:lang w:eastAsia="zh-CN"/>
        </w:rPr>
        <w:t>PMI</w:t>
      </w:r>
      <w:r w:rsidRPr="003254C0">
        <w:rPr>
          <w:rFonts w:hint="eastAsia"/>
          <w:sz w:val="23"/>
          <w:szCs w:val="23"/>
          <w:lang w:eastAsia="zh-CN"/>
        </w:rPr>
        <w:t>为</w:t>
      </w:r>
      <w:r w:rsidRPr="003254C0">
        <w:rPr>
          <w:rFonts w:hint="eastAsia"/>
          <w:sz w:val="23"/>
          <w:szCs w:val="23"/>
          <w:lang w:eastAsia="zh-CN"/>
        </w:rPr>
        <w:t>50.7%</w:t>
      </w:r>
      <w:r w:rsidRPr="003254C0">
        <w:rPr>
          <w:rFonts w:hint="eastAsia"/>
          <w:sz w:val="23"/>
          <w:szCs w:val="23"/>
          <w:lang w:eastAsia="zh-CN"/>
        </w:rPr>
        <w:t>，比上月回落</w:t>
      </w:r>
      <w:r w:rsidRPr="003254C0">
        <w:rPr>
          <w:rFonts w:hint="eastAsia"/>
          <w:sz w:val="23"/>
          <w:szCs w:val="23"/>
          <w:lang w:eastAsia="zh-CN"/>
        </w:rPr>
        <w:t>0.9</w:t>
      </w:r>
      <w:r w:rsidRPr="003254C0">
        <w:rPr>
          <w:rFonts w:hint="eastAsia"/>
          <w:sz w:val="23"/>
          <w:szCs w:val="23"/>
          <w:lang w:eastAsia="zh-CN"/>
        </w:rPr>
        <w:t>个百分点；小型企业</w:t>
      </w:r>
      <w:r w:rsidRPr="003254C0">
        <w:rPr>
          <w:rFonts w:hint="eastAsia"/>
          <w:sz w:val="23"/>
          <w:szCs w:val="23"/>
          <w:lang w:eastAsia="zh-CN"/>
        </w:rPr>
        <w:t>PMI</w:t>
      </w:r>
      <w:r w:rsidRPr="003254C0">
        <w:rPr>
          <w:rFonts w:hint="eastAsia"/>
          <w:sz w:val="23"/>
          <w:szCs w:val="23"/>
          <w:lang w:eastAsia="zh-CN"/>
        </w:rPr>
        <w:t>为</w:t>
      </w:r>
      <w:r w:rsidRPr="003254C0">
        <w:rPr>
          <w:rFonts w:hint="eastAsia"/>
          <w:sz w:val="23"/>
          <w:szCs w:val="23"/>
          <w:lang w:eastAsia="zh-CN"/>
        </w:rPr>
        <w:t>50.1%</w:t>
      </w:r>
      <w:r w:rsidRPr="003254C0">
        <w:rPr>
          <w:rFonts w:hint="eastAsia"/>
          <w:sz w:val="23"/>
          <w:szCs w:val="23"/>
          <w:lang w:eastAsia="zh-CN"/>
        </w:rPr>
        <w:t>，比上月上升</w:t>
      </w:r>
      <w:r w:rsidRPr="003254C0">
        <w:rPr>
          <w:rFonts w:hint="eastAsia"/>
          <w:sz w:val="23"/>
          <w:szCs w:val="23"/>
          <w:lang w:eastAsia="zh-CN"/>
        </w:rPr>
        <w:t>2.4</w:t>
      </w:r>
      <w:r w:rsidRPr="003254C0">
        <w:rPr>
          <w:rFonts w:hint="eastAsia"/>
          <w:sz w:val="23"/>
          <w:szCs w:val="23"/>
          <w:lang w:eastAsia="zh-CN"/>
        </w:rPr>
        <w:t>个百分点。小企业</w:t>
      </w:r>
      <w:r w:rsidRPr="003254C0">
        <w:rPr>
          <w:rFonts w:hint="eastAsia"/>
          <w:sz w:val="23"/>
          <w:szCs w:val="23"/>
          <w:lang w:eastAsia="zh-CN"/>
        </w:rPr>
        <w:t>PMI</w:t>
      </w:r>
      <w:r w:rsidRPr="003254C0">
        <w:rPr>
          <w:rFonts w:hint="eastAsia"/>
          <w:sz w:val="23"/>
          <w:szCs w:val="23"/>
          <w:lang w:eastAsia="zh-CN"/>
        </w:rPr>
        <w:t>的修复显示经济韧性增加。</w:t>
      </w:r>
      <w:r w:rsidRPr="003254C0">
        <w:rPr>
          <w:rFonts w:hint="eastAsia"/>
          <w:sz w:val="23"/>
          <w:szCs w:val="23"/>
          <w:lang w:eastAsia="zh-CN"/>
        </w:rPr>
        <w:t>21</w:t>
      </w:r>
      <w:r w:rsidRPr="003254C0">
        <w:rPr>
          <w:rFonts w:hint="eastAsia"/>
          <w:sz w:val="23"/>
          <w:szCs w:val="23"/>
          <w:lang w:eastAsia="zh-CN"/>
        </w:rPr>
        <w:t>个行业中，有</w:t>
      </w:r>
      <w:r w:rsidRPr="003254C0">
        <w:rPr>
          <w:rFonts w:hint="eastAsia"/>
          <w:sz w:val="23"/>
          <w:szCs w:val="23"/>
          <w:lang w:eastAsia="zh-CN"/>
        </w:rPr>
        <w:t>17</w:t>
      </w:r>
      <w:r w:rsidRPr="003254C0">
        <w:rPr>
          <w:rFonts w:hint="eastAsia"/>
          <w:sz w:val="23"/>
          <w:szCs w:val="23"/>
          <w:lang w:eastAsia="zh-CN"/>
        </w:rPr>
        <w:t>个行业</w:t>
      </w:r>
      <w:r w:rsidRPr="003254C0">
        <w:rPr>
          <w:rFonts w:hint="eastAsia"/>
          <w:sz w:val="23"/>
          <w:szCs w:val="23"/>
          <w:lang w:eastAsia="zh-CN"/>
        </w:rPr>
        <w:t>PMI</w:t>
      </w:r>
      <w:r w:rsidRPr="003254C0">
        <w:rPr>
          <w:rFonts w:hint="eastAsia"/>
          <w:sz w:val="23"/>
          <w:szCs w:val="23"/>
          <w:lang w:eastAsia="zh-CN"/>
        </w:rPr>
        <w:t>位于临界点以上，制造业</w:t>
      </w:r>
      <w:proofErr w:type="gramStart"/>
      <w:r w:rsidRPr="003254C0">
        <w:rPr>
          <w:rFonts w:hint="eastAsia"/>
          <w:sz w:val="23"/>
          <w:szCs w:val="23"/>
          <w:lang w:eastAsia="zh-CN"/>
        </w:rPr>
        <w:t>景气面</w:t>
      </w:r>
      <w:proofErr w:type="gramEnd"/>
      <w:r w:rsidRPr="003254C0">
        <w:rPr>
          <w:rFonts w:hint="eastAsia"/>
          <w:sz w:val="23"/>
          <w:szCs w:val="23"/>
          <w:lang w:eastAsia="zh-CN"/>
        </w:rPr>
        <w:t>较上月有所扩大。</w:t>
      </w:r>
    </w:p>
    <w:tbl>
      <w:tblPr>
        <w:tblW w:w="9881" w:type="dxa"/>
        <w:jc w:val="center"/>
        <w:tblCellMar>
          <w:left w:w="0" w:type="dxa"/>
          <w:right w:w="0" w:type="dxa"/>
        </w:tblCellMar>
        <w:tblLook w:val="01E0" w:firstRow="1" w:lastRow="1" w:firstColumn="1" w:lastColumn="1" w:noHBand="0" w:noVBand="0"/>
      </w:tblPr>
      <w:tblGrid>
        <w:gridCol w:w="10086"/>
      </w:tblGrid>
      <w:tr w:rsidR="003254C0" w:rsidRPr="00F966B6" w14:paraId="60AC2716" w14:textId="77777777" w:rsidTr="006B5B03">
        <w:trPr>
          <w:trHeight w:val="269"/>
          <w:jc w:val="center"/>
        </w:trPr>
        <w:tc>
          <w:tcPr>
            <w:tcW w:w="9881" w:type="dxa"/>
            <w:vAlign w:val="center"/>
          </w:tcPr>
          <w:p w14:paraId="2F4AB91C" w14:textId="5C6E4CBF" w:rsidR="003254C0" w:rsidRPr="006A5F34" w:rsidRDefault="003254C0" w:rsidP="006B5B03">
            <w:pPr>
              <w:pStyle w:val="ChartHeading"/>
              <w:jc w:val="both"/>
            </w:pPr>
            <w:r w:rsidRPr="006A5F34">
              <w:rPr>
                <w:rFonts w:hint="eastAsia"/>
              </w:rPr>
              <w:t>图表</w:t>
            </w:r>
            <w:r w:rsidRPr="006A5F34">
              <w:t xml:space="preserve">. </w:t>
            </w:r>
            <w:r>
              <w:rPr>
                <w:rFonts w:hint="eastAsia"/>
              </w:rPr>
              <w:t>PMI</w:t>
            </w:r>
            <w:r>
              <w:rPr>
                <w:rFonts w:hint="eastAsia"/>
              </w:rPr>
              <w:t>及分项</w:t>
            </w:r>
          </w:p>
        </w:tc>
      </w:tr>
      <w:tr w:rsidR="003254C0" w:rsidRPr="006A5F34" w14:paraId="072E30E1" w14:textId="77777777" w:rsidTr="006B5B03">
        <w:tblPrEx>
          <w:tblCellMar>
            <w:left w:w="108" w:type="dxa"/>
            <w:right w:w="108" w:type="dxa"/>
          </w:tblCellMar>
        </w:tblPrEx>
        <w:trPr>
          <w:trHeight w:val="391"/>
          <w:jc w:val="center"/>
        </w:trPr>
        <w:tc>
          <w:tcPr>
            <w:tcW w:w="9881" w:type="dxa"/>
            <w:vAlign w:val="center"/>
          </w:tcPr>
          <w:p w14:paraId="0EF27990" w14:textId="0648C2B8" w:rsidR="003254C0" w:rsidRPr="0012177F" w:rsidRDefault="003254C0" w:rsidP="006B5B03">
            <w:pPr>
              <w:rPr>
                <w:noProof/>
                <w:szCs w:val="18"/>
              </w:rPr>
            </w:pPr>
            <w:r w:rsidRPr="003254C0">
              <w:rPr>
                <w:noProof/>
                <w:color w:val="FF0000"/>
                <w:sz w:val="23"/>
                <w:szCs w:val="23"/>
              </w:rPr>
              <w:drawing>
                <wp:inline distT="0" distB="0" distL="0" distR="0" wp14:anchorId="3062CE55" wp14:editId="59926347">
                  <wp:extent cx="6263640" cy="2244725"/>
                  <wp:effectExtent l="0" t="0" r="381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63640" cy="2244725"/>
                          </a:xfrm>
                          <a:prstGeom prst="rect">
                            <a:avLst/>
                          </a:prstGeom>
                          <a:noFill/>
                          <a:ln>
                            <a:noFill/>
                          </a:ln>
                        </pic:spPr>
                      </pic:pic>
                    </a:graphicData>
                  </a:graphic>
                </wp:inline>
              </w:drawing>
            </w:r>
          </w:p>
        </w:tc>
      </w:tr>
      <w:tr w:rsidR="003254C0" w:rsidRPr="006A5F34" w14:paraId="6AFDA4DC" w14:textId="77777777" w:rsidTr="006B5B03">
        <w:trPr>
          <w:trHeight w:val="43"/>
          <w:jc w:val="center"/>
        </w:trPr>
        <w:tc>
          <w:tcPr>
            <w:tcW w:w="9881" w:type="dxa"/>
            <w:vAlign w:val="center"/>
          </w:tcPr>
          <w:p w14:paraId="1215D79F" w14:textId="77777777" w:rsidR="003254C0" w:rsidRPr="006A5F34" w:rsidRDefault="003254C0" w:rsidP="006B5B03">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55C630CB" w14:textId="77777777" w:rsidR="003254C0" w:rsidRPr="003254C0" w:rsidRDefault="003254C0" w:rsidP="00040E7F">
      <w:pPr>
        <w:pStyle w:val="Body-text"/>
        <w:spacing w:after="240"/>
        <w:ind w:firstLineChars="200" w:firstLine="460"/>
        <w:rPr>
          <w:color w:val="FF0000"/>
          <w:sz w:val="23"/>
          <w:szCs w:val="23"/>
          <w:lang w:eastAsia="zh-CN"/>
        </w:rPr>
      </w:pPr>
    </w:p>
    <w:p w14:paraId="0DE35511" w14:textId="08EC3E43" w:rsidR="003254C0" w:rsidRPr="005135E2" w:rsidRDefault="003254C0" w:rsidP="003254C0">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制造业PMI中新订单较上月改善但需观察持续性，出口订单受海外需求修复影响上行明显，原材料库存上升，后续关注是否预示补库阶段开启。产成品出厂价格下行，产成品库存累积，显示下游需求修复速度或有放缓。上下游数据的反差显示经济的修复较为温和，后续需要关注高频数据在生产旺季后的回落程度，金融数据的环比表现等。如果出现大范围行业的补库行为，</w:t>
      </w:r>
      <w:r w:rsidR="00257A5A">
        <w:rPr>
          <w:rFonts w:ascii="华文楷体" w:hAnsi="华文楷体" w:hint="eastAsia"/>
          <w:bCs/>
          <w:sz w:val="24"/>
          <w:szCs w:val="24"/>
          <w:lang w:eastAsia="zh-CN"/>
        </w:rPr>
        <w:t>经济即可确认进入补库阶段，债券市场压力最大的时刻也就距离不远。</w:t>
      </w:r>
    </w:p>
    <w:p w14:paraId="3DA4DF44" w14:textId="115B9902" w:rsidR="00A56A98" w:rsidRPr="003254C0" w:rsidRDefault="00A56A98" w:rsidP="005C6C18">
      <w:pPr>
        <w:pStyle w:val="Body-text"/>
        <w:spacing w:after="240"/>
        <w:ind w:firstLine="480"/>
        <w:rPr>
          <w:sz w:val="23"/>
          <w:szCs w:val="23"/>
          <w:lang w:eastAsia="zh-CN"/>
        </w:rPr>
      </w:pPr>
    </w:p>
    <w:p w14:paraId="7EEDEF05" w14:textId="2B8D9278"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734E17">
        <w:rPr>
          <w:rFonts w:hint="eastAsia"/>
          <w:color w:val="C45911" w:themeColor="accent2" w:themeShade="BF"/>
        </w:rPr>
        <w:t>假日</w:t>
      </w:r>
      <w:r w:rsidR="00E0626C">
        <w:rPr>
          <w:rFonts w:hint="eastAsia"/>
          <w:color w:val="C45911" w:themeColor="accent2" w:themeShade="BF"/>
        </w:rPr>
        <w:t>市场回顾</w:t>
      </w:r>
    </w:p>
    <w:p w14:paraId="08F77D38" w14:textId="01D2FE24" w:rsidR="00E0626C" w:rsidRPr="00734E17"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sidR="00734E17">
        <w:rPr>
          <w:rFonts w:hint="eastAsia"/>
          <w:sz w:val="28"/>
          <w:szCs w:val="21"/>
        </w:rPr>
        <w:t>各类资产表现</w:t>
      </w:r>
    </w:p>
    <w:p w14:paraId="5B44DCF6" w14:textId="06888D9E" w:rsidR="00EA1459" w:rsidRPr="00BD43CB" w:rsidRDefault="00BD43CB" w:rsidP="00EC3415">
      <w:pPr>
        <w:pStyle w:val="Body-text"/>
        <w:spacing w:after="240"/>
        <w:ind w:firstLineChars="200" w:firstLine="480"/>
        <w:rPr>
          <w:rFonts w:ascii="华文楷体" w:hAnsi="华文楷体"/>
          <w:sz w:val="24"/>
          <w:szCs w:val="24"/>
          <w:lang w:eastAsia="zh-CN"/>
        </w:rPr>
      </w:pPr>
      <w:r w:rsidRPr="00BD43CB">
        <w:rPr>
          <w:rFonts w:ascii="华文楷体" w:hAnsi="华文楷体" w:hint="eastAsia"/>
          <w:sz w:val="24"/>
          <w:szCs w:val="24"/>
          <w:lang w:eastAsia="zh-CN"/>
        </w:rPr>
        <w:t>假日内各类资产波动明显，贵金属受美元指数阶段走高影响出现明显下跌，但随后收复跌幅；美原油受飓风影响小幅收涨，有色金属表现亮眼，受美国可能出台部分刺激方案影响，COMEX铜小幅上涨，LME有色金属表现亮眼；美股假日普涨，恒生指数上涨明显，A</w:t>
      </w:r>
      <w:r w:rsidRPr="00BD43CB">
        <w:rPr>
          <w:rFonts w:ascii="华文楷体" w:hAnsi="华文楷体"/>
          <w:sz w:val="24"/>
          <w:szCs w:val="24"/>
          <w:lang w:eastAsia="zh-CN"/>
        </w:rPr>
        <w:t>50</w:t>
      </w:r>
      <w:r w:rsidRPr="00BD43CB">
        <w:rPr>
          <w:rFonts w:ascii="华文楷体" w:hAnsi="华文楷体" w:hint="eastAsia"/>
          <w:sz w:val="24"/>
          <w:szCs w:val="24"/>
          <w:lang w:eastAsia="zh-CN"/>
        </w:rPr>
        <w:t>期货上涨明显预计提振假日后国内权益市场。</w:t>
      </w:r>
      <w:proofErr w:type="gramStart"/>
      <w:r w:rsidRPr="00BD43CB">
        <w:rPr>
          <w:rFonts w:ascii="华文楷体" w:hAnsi="华文楷体" w:hint="eastAsia"/>
          <w:sz w:val="24"/>
          <w:szCs w:val="24"/>
          <w:lang w:eastAsia="zh-CN"/>
        </w:rPr>
        <w:t>美债各期限</w:t>
      </w:r>
      <w:proofErr w:type="gramEnd"/>
      <w:r w:rsidRPr="00BD43CB">
        <w:rPr>
          <w:rFonts w:ascii="华文楷体" w:hAnsi="华文楷体" w:hint="eastAsia"/>
          <w:sz w:val="24"/>
          <w:szCs w:val="24"/>
          <w:lang w:eastAsia="zh-CN"/>
        </w:rPr>
        <w:t>收益率普遍上行，5y美债上行</w:t>
      </w:r>
      <w:r w:rsidRPr="00BD43CB">
        <w:rPr>
          <w:rFonts w:ascii="华文楷体" w:hAnsi="华文楷体"/>
          <w:sz w:val="24"/>
          <w:szCs w:val="24"/>
          <w:lang w:eastAsia="zh-CN"/>
        </w:rPr>
        <w:t>4</w:t>
      </w:r>
      <w:r w:rsidRPr="00BD43CB">
        <w:rPr>
          <w:rFonts w:ascii="华文楷体" w:hAnsi="华文楷体" w:hint="eastAsia"/>
          <w:sz w:val="24"/>
          <w:szCs w:val="24"/>
          <w:lang w:eastAsia="zh-CN"/>
        </w:rPr>
        <w:t>bp，1</w:t>
      </w:r>
      <w:r w:rsidRPr="00BD43CB">
        <w:rPr>
          <w:rFonts w:ascii="华文楷体" w:hAnsi="华文楷体"/>
          <w:sz w:val="24"/>
          <w:szCs w:val="24"/>
          <w:lang w:eastAsia="zh-CN"/>
        </w:rPr>
        <w:t>0</w:t>
      </w:r>
      <w:r w:rsidRPr="00BD43CB">
        <w:rPr>
          <w:rFonts w:ascii="华文楷体" w:hAnsi="华文楷体" w:hint="eastAsia"/>
          <w:sz w:val="24"/>
          <w:szCs w:val="24"/>
          <w:lang w:eastAsia="zh-CN"/>
        </w:rPr>
        <w:t>y美债上行7bp，3</w:t>
      </w:r>
      <w:r w:rsidRPr="00BD43CB">
        <w:rPr>
          <w:rFonts w:ascii="华文楷体" w:hAnsi="华文楷体"/>
          <w:sz w:val="24"/>
          <w:szCs w:val="24"/>
          <w:lang w:eastAsia="zh-CN"/>
        </w:rPr>
        <w:t>0</w:t>
      </w:r>
      <w:r w:rsidRPr="00BD43CB">
        <w:rPr>
          <w:rFonts w:ascii="华文楷体" w:hAnsi="华文楷体" w:hint="eastAsia"/>
          <w:sz w:val="24"/>
          <w:szCs w:val="24"/>
          <w:lang w:eastAsia="zh-CN"/>
        </w:rPr>
        <w:t>y美债上行1</w:t>
      </w:r>
      <w:r w:rsidRPr="00BD43CB">
        <w:rPr>
          <w:rFonts w:ascii="华文楷体" w:hAnsi="华文楷体"/>
          <w:sz w:val="24"/>
          <w:szCs w:val="24"/>
          <w:lang w:eastAsia="zh-CN"/>
        </w:rPr>
        <w:t>0</w:t>
      </w:r>
      <w:r w:rsidRPr="00BD43CB">
        <w:rPr>
          <w:rFonts w:ascii="华文楷体" w:hAnsi="华文楷体" w:hint="eastAsia"/>
          <w:sz w:val="24"/>
          <w:szCs w:val="24"/>
          <w:lang w:eastAsia="zh-CN"/>
        </w:rPr>
        <w:t>bp，美债曲线趋陡。</w:t>
      </w:r>
    </w:p>
    <w:tbl>
      <w:tblPr>
        <w:tblW w:w="9881" w:type="dxa"/>
        <w:jc w:val="center"/>
        <w:tblCellMar>
          <w:left w:w="0" w:type="dxa"/>
          <w:right w:w="0" w:type="dxa"/>
        </w:tblCellMar>
        <w:tblLook w:val="01E0" w:firstRow="1" w:lastRow="1" w:firstColumn="1" w:lastColumn="1" w:noHBand="0" w:noVBand="0"/>
      </w:tblPr>
      <w:tblGrid>
        <w:gridCol w:w="9881"/>
      </w:tblGrid>
      <w:tr w:rsidR="00734E17" w:rsidRPr="00F966B6" w14:paraId="1CBCBE93" w14:textId="77777777" w:rsidTr="006B5B03">
        <w:trPr>
          <w:trHeight w:val="269"/>
          <w:jc w:val="center"/>
        </w:trPr>
        <w:tc>
          <w:tcPr>
            <w:tcW w:w="9881" w:type="dxa"/>
            <w:vAlign w:val="center"/>
          </w:tcPr>
          <w:p w14:paraId="397370D7" w14:textId="6407ECA1" w:rsidR="00734E17" w:rsidRPr="006A5F34" w:rsidRDefault="00734E17" w:rsidP="006B5B03">
            <w:pPr>
              <w:pStyle w:val="ChartHeading"/>
              <w:jc w:val="both"/>
            </w:pPr>
            <w:r w:rsidRPr="006A5F34">
              <w:rPr>
                <w:rFonts w:hint="eastAsia"/>
              </w:rPr>
              <w:lastRenderedPageBreak/>
              <w:t>图表</w:t>
            </w:r>
            <w:r w:rsidRPr="006A5F34">
              <w:t xml:space="preserve">. </w:t>
            </w:r>
            <w:r>
              <w:rPr>
                <w:rFonts w:hint="eastAsia"/>
              </w:rPr>
              <w:t>假日各类资产表现</w:t>
            </w:r>
          </w:p>
        </w:tc>
      </w:tr>
      <w:tr w:rsidR="00734E17" w:rsidRPr="006A5F34" w14:paraId="41753384" w14:textId="77777777" w:rsidTr="006B5B03">
        <w:tblPrEx>
          <w:tblCellMar>
            <w:left w:w="108" w:type="dxa"/>
            <w:right w:w="108" w:type="dxa"/>
          </w:tblCellMar>
        </w:tblPrEx>
        <w:trPr>
          <w:trHeight w:val="391"/>
          <w:jc w:val="center"/>
        </w:trPr>
        <w:tc>
          <w:tcPr>
            <w:tcW w:w="9881" w:type="dxa"/>
            <w:vAlign w:val="center"/>
          </w:tcPr>
          <w:tbl>
            <w:tblPr>
              <w:tblStyle w:val="ListTable6ColorfulAccent2"/>
              <w:tblW w:w="8810" w:type="dxa"/>
              <w:jc w:val="center"/>
              <w:tblLook w:val="04A0" w:firstRow="1" w:lastRow="0" w:firstColumn="1" w:lastColumn="0" w:noHBand="0" w:noVBand="1"/>
            </w:tblPr>
            <w:tblGrid>
              <w:gridCol w:w="2100"/>
              <w:gridCol w:w="2752"/>
              <w:gridCol w:w="2172"/>
              <w:gridCol w:w="1786"/>
            </w:tblGrid>
            <w:tr w:rsidR="00734E17" w:rsidRPr="00734E17" w14:paraId="04D7E3BB" w14:textId="77777777" w:rsidTr="00734E17">
              <w:trPr>
                <w:cnfStyle w:val="100000000000" w:firstRow="1" w:lastRow="0" w:firstColumn="0" w:lastColumn="0" w:oddVBand="0" w:evenVBand="0" w:oddHBand="0"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5ECDFF1A" w14:textId="77777777" w:rsidR="00734E17" w:rsidRPr="00734E17" w:rsidRDefault="00734E17" w:rsidP="00734E17">
                  <w:pPr>
                    <w:widowControl/>
                    <w:jc w:val="center"/>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　</w:t>
                  </w:r>
                </w:p>
              </w:tc>
              <w:tc>
                <w:tcPr>
                  <w:tcW w:w="2752" w:type="dxa"/>
                  <w:noWrap/>
                  <w:hideMark/>
                </w:tcPr>
                <w:p w14:paraId="1FC06FD9" w14:textId="77777777" w:rsidR="00734E17" w:rsidRPr="00734E17" w:rsidRDefault="00734E17" w:rsidP="00734E17">
                  <w:pPr>
                    <w:widowControl/>
                    <w:jc w:val="center"/>
                    <w:cnfStyle w:val="100000000000" w:firstRow="1"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2020/9/30（收盘价）</w:t>
                  </w:r>
                </w:p>
              </w:tc>
              <w:tc>
                <w:tcPr>
                  <w:tcW w:w="2172" w:type="dxa"/>
                  <w:noWrap/>
                  <w:hideMark/>
                </w:tcPr>
                <w:p w14:paraId="348FA4C9" w14:textId="77777777" w:rsidR="00734E17" w:rsidRPr="00734E17" w:rsidRDefault="00734E17" w:rsidP="00734E17">
                  <w:pPr>
                    <w:widowControl/>
                    <w:jc w:val="center"/>
                    <w:cnfStyle w:val="100000000000" w:firstRow="1"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2020/10/8(17:00)</w:t>
                  </w:r>
                </w:p>
              </w:tc>
              <w:tc>
                <w:tcPr>
                  <w:tcW w:w="1786" w:type="dxa"/>
                  <w:noWrap/>
                  <w:hideMark/>
                </w:tcPr>
                <w:p w14:paraId="05B17B67" w14:textId="3C2836F7" w:rsidR="00734E17" w:rsidRPr="00734E17" w:rsidRDefault="00734E17" w:rsidP="00734E17">
                  <w:pPr>
                    <w:widowControl/>
                    <w:jc w:val="center"/>
                    <w:cnfStyle w:val="100000000000" w:firstRow="1"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涨跌%</w:t>
                  </w:r>
                  <w:r>
                    <w:rPr>
                      <w:rFonts w:ascii="等线" w:eastAsia="等线" w:hAnsi="等线" w:cs="宋体" w:hint="eastAsia"/>
                      <w:color w:val="000000"/>
                      <w:kern w:val="0"/>
                      <w:sz w:val="20"/>
                      <w:szCs w:val="20"/>
                    </w:rPr>
                    <w:t>或</w:t>
                  </w:r>
                  <w:proofErr w:type="spellStart"/>
                  <w:r w:rsidRPr="00734E17">
                    <w:rPr>
                      <w:rFonts w:ascii="等线" w:eastAsia="等线" w:hAnsi="等线" w:cs="宋体" w:hint="eastAsia"/>
                      <w:color w:val="000000"/>
                      <w:kern w:val="0"/>
                      <w:sz w:val="20"/>
                      <w:szCs w:val="20"/>
                    </w:rPr>
                    <w:t>bp</w:t>
                  </w:r>
                  <w:proofErr w:type="spellEnd"/>
                </w:p>
              </w:tc>
            </w:tr>
            <w:tr w:rsidR="00734E17" w:rsidRPr="00734E17" w14:paraId="7505A5BD"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69483115"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COMEX金</w:t>
                  </w:r>
                </w:p>
              </w:tc>
              <w:tc>
                <w:tcPr>
                  <w:tcW w:w="2752" w:type="dxa"/>
                  <w:noWrap/>
                  <w:hideMark/>
                </w:tcPr>
                <w:p w14:paraId="118FDCA8"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1890.9</w:t>
                  </w:r>
                </w:p>
              </w:tc>
              <w:tc>
                <w:tcPr>
                  <w:tcW w:w="2172" w:type="dxa"/>
                  <w:noWrap/>
                  <w:hideMark/>
                </w:tcPr>
                <w:p w14:paraId="5710CD55"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1896</w:t>
                  </w:r>
                </w:p>
              </w:tc>
              <w:tc>
                <w:tcPr>
                  <w:tcW w:w="1786" w:type="dxa"/>
                  <w:noWrap/>
                  <w:hideMark/>
                </w:tcPr>
                <w:p w14:paraId="3AA2077A"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0.27 </w:t>
                  </w:r>
                </w:p>
              </w:tc>
            </w:tr>
            <w:tr w:rsidR="00734E17" w:rsidRPr="00734E17" w14:paraId="6BAC3A77"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74B43C5E"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COMEX银</w:t>
                  </w:r>
                </w:p>
              </w:tc>
              <w:tc>
                <w:tcPr>
                  <w:tcW w:w="2752" w:type="dxa"/>
                  <w:noWrap/>
                  <w:hideMark/>
                </w:tcPr>
                <w:p w14:paraId="417CD3F7"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23.34</w:t>
                  </w:r>
                </w:p>
              </w:tc>
              <w:tc>
                <w:tcPr>
                  <w:tcW w:w="2172" w:type="dxa"/>
                  <w:noWrap/>
                  <w:hideMark/>
                </w:tcPr>
                <w:p w14:paraId="6CDC8145"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24.13</w:t>
                  </w:r>
                </w:p>
              </w:tc>
              <w:tc>
                <w:tcPr>
                  <w:tcW w:w="1786" w:type="dxa"/>
                  <w:noWrap/>
                  <w:hideMark/>
                </w:tcPr>
                <w:p w14:paraId="62582C66"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 xml:space="preserve">3.38 </w:t>
                  </w:r>
                </w:p>
              </w:tc>
            </w:tr>
            <w:tr w:rsidR="00734E17" w:rsidRPr="00734E17" w14:paraId="30A948BA"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494BD945"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美元指数</w:t>
                  </w:r>
                </w:p>
              </w:tc>
              <w:tc>
                <w:tcPr>
                  <w:tcW w:w="2752" w:type="dxa"/>
                  <w:noWrap/>
                  <w:hideMark/>
                </w:tcPr>
                <w:p w14:paraId="7DDB1796"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93.848</w:t>
                  </w:r>
                </w:p>
              </w:tc>
              <w:tc>
                <w:tcPr>
                  <w:tcW w:w="2172" w:type="dxa"/>
                  <w:noWrap/>
                  <w:hideMark/>
                </w:tcPr>
                <w:p w14:paraId="5924C86E"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93.5923</w:t>
                  </w:r>
                </w:p>
              </w:tc>
              <w:tc>
                <w:tcPr>
                  <w:tcW w:w="1786" w:type="dxa"/>
                  <w:noWrap/>
                  <w:hideMark/>
                </w:tcPr>
                <w:p w14:paraId="732A1660"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-0.27 </w:t>
                  </w:r>
                </w:p>
              </w:tc>
            </w:tr>
            <w:tr w:rsidR="00734E17" w:rsidRPr="00734E17" w14:paraId="007C42AB"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6957D81E"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NYX原油</w:t>
                  </w:r>
                </w:p>
              </w:tc>
              <w:tc>
                <w:tcPr>
                  <w:tcW w:w="2752" w:type="dxa"/>
                  <w:noWrap/>
                  <w:hideMark/>
                </w:tcPr>
                <w:p w14:paraId="6A0ADADA"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39.86</w:t>
                  </w:r>
                </w:p>
              </w:tc>
              <w:tc>
                <w:tcPr>
                  <w:tcW w:w="2172" w:type="dxa"/>
                  <w:noWrap/>
                  <w:hideMark/>
                </w:tcPr>
                <w:p w14:paraId="3D7AC2E0"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40.49</w:t>
                  </w:r>
                </w:p>
              </w:tc>
              <w:tc>
                <w:tcPr>
                  <w:tcW w:w="1786" w:type="dxa"/>
                  <w:noWrap/>
                  <w:hideMark/>
                </w:tcPr>
                <w:p w14:paraId="2992D182"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1.58 </w:t>
                  </w:r>
                </w:p>
              </w:tc>
            </w:tr>
            <w:tr w:rsidR="00734E17" w:rsidRPr="00734E17" w14:paraId="74BEFB43"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3A1656D0"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COMEX铜</w:t>
                  </w:r>
                </w:p>
              </w:tc>
              <w:tc>
                <w:tcPr>
                  <w:tcW w:w="2752" w:type="dxa"/>
                  <w:noWrap/>
                  <w:hideMark/>
                </w:tcPr>
                <w:p w14:paraId="060D485A"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3.0225</w:t>
                  </w:r>
                </w:p>
              </w:tc>
              <w:tc>
                <w:tcPr>
                  <w:tcW w:w="2172" w:type="dxa"/>
                  <w:noWrap/>
                  <w:hideMark/>
                </w:tcPr>
                <w:p w14:paraId="469D5B05"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3.034</w:t>
                  </w:r>
                </w:p>
              </w:tc>
              <w:tc>
                <w:tcPr>
                  <w:tcW w:w="1786" w:type="dxa"/>
                  <w:noWrap/>
                  <w:hideMark/>
                </w:tcPr>
                <w:p w14:paraId="1DB99CBF"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0.38 </w:t>
                  </w:r>
                </w:p>
              </w:tc>
            </w:tr>
            <w:tr w:rsidR="00734E17" w:rsidRPr="00734E17" w14:paraId="7FFA487F"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5DBA3C2A"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CBOT大豆</w:t>
                  </w:r>
                </w:p>
              </w:tc>
              <w:tc>
                <w:tcPr>
                  <w:tcW w:w="2752" w:type="dxa"/>
                  <w:noWrap/>
                  <w:hideMark/>
                </w:tcPr>
                <w:p w14:paraId="4CA2F6CA"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1022</w:t>
                  </w:r>
                </w:p>
              </w:tc>
              <w:tc>
                <w:tcPr>
                  <w:tcW w:w="2172" w:type="dxa"/>
                  <w:noWrap/>
                  <w:hideMark/>
                </w:tcPr>
                <w:p w14:paraId="22E293ED"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1056.5</w:t>
                  </w:r>
                </w:p>
              </w:tc>
              <w:tc>
                <w:tcPr>
                  <w:tcW w:w="1786" w:type="dxa"/>
                  <w:noWrap/>
                  <w:hideMark/>
                </w:tcPr>
                <w:p w14:paraId="6951BE31"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 xml:space="preserve">3.38 </w:t>
                  </w:r>
                </w:p>
              </w:tc>
            </w:tr>
            <w:tr w:rsidR="00734E17" w:rsidRPr="00734E17" w14:paraId="338305FC"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3FBC2327"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LME铝</w:t>
                  </w:r>
                </w:p>
              </w:tc>
              <w:tc>
                <w:tcPr>
                  <w:tcW w:w="2752" w:type="dxa"/>
                  <w:noWrap/>
                  <w:hideMark/>
                </w:tcPr>
                <w:p w14:paraId="2F9D621D"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1763</w:t>
                  </w:r>
                </w:p>
              </w:tc>
              <w:tc>
                <w:tcPr>
                  <w:tcW w:w="2172" w:type="dxa"/>
                  <w:noWrap/>
                  <w:hideMark/>
                </w:tcPr>
                <w:p w14:paraId="43C9CF4C"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1801</w:t>
                  </w:r>
                </w:p>
              </w:tc>
              <w:tc>
                <w:tcPr>
                  <w:tcW w:w="1786" w:type="dxa"/>
                  <w:noWrap/>
                  <w:hideMark/>
                </w:tcPr>
                <w:p w14:paraId="30226B81"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 xml:space="preserve">2.16 </w:t>
                  </w:r>
                </w:p>
              </w:tc>
            </w:tr>
            <w:tr w:rsidR="00734E17" w:rsidRPr="00734E17" w14:paraId="2EF2E949"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44897162"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LME镍</w:t>
                  </w:r>
                </w:p>
              </w:tc>
              <w:tc>
                <w:tcPr>
                  <w:tcW w:w="2752" w:type="dxa"/>
                  <w:noWrap/>
                  <w:hideMark/>
                </w:tcPr>
                <w:p w14:paraId="67CF9876"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14470</w:t>
                  </w:r>
                </w:p>
              </w:tc>
              <w:tc>
                <w:tcPr>
                  <w:tcW w:w="2172" w:type="dxa"/>
                  <w:noWrap/>
                  <w:hideMark/>
                </w:tcPr>
                <w:p w14:paraId="2218DB3C"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14830</w:t>
                  </w:r>
                </w:p>
              </w:tc>
              <w:tc>
                <w:tcPr>
                  <w:tcW w:w="1786" w:type="dxa"/>
                  <w:noWrap/>
                  <w:hideMark/>
                </w:tcPr>
                <w:p w14:paraId="2E9F43A5"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 xml:space="preserve">2.49 </w:t>
                  </w:r>
                </w:p>
              </w:tc>
            </w:tr>
            <w:tr w:rsidR="00734E17" w:rsidRPr="00734E17" w14:paraId="6C9CF608"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37EC4EEA"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LME锌</w:t>
                  </w:r>
                </w:p>
              </w:tc>
              <w:tc>
                <w:tcPr>
                  <w:tcW w:w="2752" w:type="dxa"/>
                  <w:noWrap/>
                  <w:hideMark/>
                </w:tcPr>
                <w:p w14:paraId="7F9C4617"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2403</w:t>
                  </w:r>
                </w:p>
              </w:tc>
              <w:tc>
                <w:tcPr>
                  <w:tcW w:w="2172" w:type="dxa"/>
                  <w:noWrap/>
                  <w:hideMark/>
                </w:tcPr>
                <w:p w14:paraId="2939CD74"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2387</w:t>
                  </w:r>
                </w:p>
              </w:tc>
              <w:tc>
                <w:tcPr>
                  <w:tcW w:w="1786" w:type="dxa"/>
                  <w:noWrap/>
                  <w:hideMark/>
                </w:tcPr>
                <w:p w14:paraId="298BA09A"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-0.67 </w:t>
                  </w:r>
                </w:p>
              </w:tc>
            </w:tr>
            <w:tr w:rsidR="00734E17" w:rsidRPr="00734E17" w14:paraId="052ACAF4"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5C9772B0"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道琼斯工业指数</w:t>
                  </w:r>
                </w:p>
              </w:tc>
              <w:tc>
                <w:tcPr>
                  <w:tcW w:w="2752" w:type="dxa"/>
                  <w:noWrap/>
                  <w:hideMark/>
                </w:tcPr>
                <w:p w14:paraId="3917A56D"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27781.7</w:t>
                  </w:r>
                </w:p>
              </w:tc>
              <w:tc>
                <w:tcPr>
                  <w:tcW w:w="2172" w:type="dxa"/>
                  <w:noWrap/>
                  <w:hideMark/>
                </w:tcPr>
                <w:p w14:paraId="5B32181E"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28303.46</w:t>
                  </w:r>
                </w:p>
              </w:tc>
              <w:tc>
                <w:tcPr>
                  <w:tcW w:w="1786" w:type="dxa"/>
                  <w:noWrap/>
                  <w:hideMark/>
                </w:tcPr>
                <w:p w14:paraId="2BD428B7"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1.88 </w:t>
                  </w:r>
                </w:p>
              </w:tc>
            </w:tr>
            <w:tr w:rsidR="00734E17" w:rsidRPr="00734E17" w14:paraId="69436C20"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55B89748" w14:textId="77777777" w:rsidR="00734E17" w:rsidRPr="00734E17" w:rsidRDefault="00734E17" w:rsidP="00734E17">
                  <w:pPr>
                    <w:widowControl/>
                    <w:jc w:val="center"/>
                    <w:rPr>
                      <w:rFonts w:ascii="等线" w:eastAsia="等线" w:hAnsi="等线" w:cs="宋体"/>
                      <w:b w:val="0"/>
                      <w:bCs w:val="0"/>
                      <w:color w:val="000000"/>
                      <w:kern w:val="0"/>
                      <w:sz w:val="20"/>
                      <w:szCs w:val="20"/>
                    </w:rPr>
                  </w:pPr>
                  <w:proofErr w:type="gramStart"/>
                  <w:r w:rsidRPr="00734E17">
                    <w:rPr>
                      <w:rFonts w:ascii="等线" w:eastAsia="等线" w:hAnsi="等线" w:cs="宋体" w:hint="eastAsia"/>
                      <w:b w:val="0"/>
                      <w:bCs w:val="0"/>
                      <w:color w:val="000000"/>
                      <w:kern w:val="0"/>
                      <w:sz w:val="20"/>
                      <w:szCs w:val="20"/>
                    </w:rPr>
                    <w:t>标普</w:t>
                  </w:r>
                  <w:proofErr w:type="gramEnd"/>
                  <w:r w:rsidRPr="00734E17">
                    <w:rPr>
                      <w:rFonts w:ascii="等线" w:eastAsia="等线" w:hAnsi="等线" w:cs="宋体" w:hint="eastAsia"/>
                      <w:b w:val="0"/>
                      <w:bCs w:val="0"/>
                      <w:color w:val="000000"/>
                      <w:kern w:val="0"/>
                      <w:sz w:val="20"/>
                      <w:szCs w:val="20"/>
                    </w:rPr>
                    <w:t>500</w:t>
                  </w:r>
                </w:p>
              </w:tc>
              <w:tc>
                <w:tcPr>
                  <w:tcW w:w="2752" w:type="dxa"/>
                  <w:noWrap/>
                  <w:hideMark/>
                </w:tcPr>
                <w:p w14:paraId="2590782E"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3363</w:t>
                  </w:r>
                </w:p>
              </w:tc>
              <w:tc>
                <w:tcPr>
                  <w:tcW w:w="2172" w:type="dxa"/>
                  <w:noWrap/>
                  <w:hideMark/>
                </w:tcPr>
                <w:p w14:paraId="325F3A14"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3419.44</w:t>
                  </w:r>
                </w:p>
              </w:tc>
              <w:tc>
                <w:tcPr>
                  <w:tcW w:w="1786" w:type="dxa"/>
                  <w:noWrap/>
                  <w:hideMark/>
                </w:tcPr>
                <w:p w14:paraId="0A43E20B"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1.68 </w:t>
                  </w:r>
                </w:p>
              </w:tc>
            </w:tr>
            <w:tr w:rsidR="00734E17" w:rsidRPr="00734E17" w14:paraId="57B31B31"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5A98074D"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纳斯达克指数</w:t>
                  </w:r>
                </w:p>
              </w:tc>
              <w:tc>
                <w:tcPr>
                  <w:tcW w:w="2752" w:type="dxa"/>
                  <w:noWrap/>
                  <w:hideMark/>
                </w:tcPr>
                <w:p w14:paraId="155D0298"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11167.16</w:t>
                  </w:r>
                </w:p>
              </w:tc>
              <w:tc>
                <w:tcPr>
                  <w:tcW w:w="2172" w:type="dxa"/>
                  <w:noWrap/>
                  <w:hideMark/>
                </w:tcPr>
                <w:p w14:paraId="2C395118"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11364.6</w:t>
                  </w:r>
                </w:p>
              </w:tc>
              <w:tc>
                <w:tcPr>
                  <w:tcW w:w="1786" w:type="dxa"/>
                  <w:noWrap/>
                  <w:hideMark/>
                </w:tcPr>
                <w:p w14:paraId="2DE8D153"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 xml:space="preserve">1.77 </w:t>
                  </w:r>
                </w:p>
              </w:tc>
            </w:tr>
            <w:tr w:rsidR="00734E17" w:rsidRPr="00734E17" w14:paraId="1D196FDE"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0D270FEE"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A50期货</w:t>
                  </w:r>
                </w:p>
              </w:tc>
              <w:tc>
                <w:tcPr>
                  <w:tcW w:w="2752" w:type="dxa"/>
                  <w:noWrap/>
                  <w:hideMark/>
                </w:tcPr>
                <w:p w14:paraId="2E9ACADE"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15120</w:t>
                  </w:r>
                </w:p>
              </w:tc>
              <w:tc>
                <w:tcPr>
                  <w:tcW w:w="2172" w:type="dxa"/>
                  <w:noWrap/>
                  <w:hideMark/>
                </w:tcPr>
                <w:p w14:paraId="03658357"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15460</w:t>
                  </w:r>
                </w:p>
              </w:tc>
              <w:tc>
                <w:tcPr>
                  <w:tcW w:w="1786" w:type="dxa"/>
                  <w:noWrap/>
                  <w:hideMark/>
                </w:tcPr>
                <w:p w14:paraId="686C482A"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 xml:space="preserve">2.25 </w:t>
                  </w:r>
                </w:p>
              </w:tc>
            </w:tr>
            <w:tr w:rsidR="00734E17" w:rsidRPr="00734E17" w14:paraId="4A045FA1"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73E54DBE" w14:textId="17A3EB8B" w:rsidR="00734E17" w:rsidRPr="00734E17" w:rsidRDefault="00734E17" w:rsidP="00734E17">
                  <w:pPr>
                    <w:widowControl/>
                    <w:jc w:val="center"/>
                    <w:rPr>
                      <w:rFonts w:ascii="等线" w:eastAsia="等线" w:hAnsi="等线" w:cs="宋体"/>
                      <w:b w:val="0"/>
                      <w:bCs w:val="0"/>
                      <w:color w:val="000000"/>
                      <w:kern w:val="0"/>
                      <w:sz w:val="20"/>
                      <w:szCs w:val="20"/>
                    </w:rPr>
                  </w:pPr>
                  <w:r>
                    <w:rPr>
                      <w:rFonts w:ascii="等线" w:eastAsia="等线" w:hAnsi="等线" w:cs="宋体" w:hint="eastAsia"/>
                      <w:b w:val="0"/>
                      <w:bCs w:val="0"/>
                      <w:color w:val="000000"/>
                      <w:kern w:val="0"/>
                      <w:sz w:val="20"/>
                      <w:szCs w:val="20"/>
                    </w:rPr>
                    <w:t>恒生指数</w:t>
                  </w:r>
                </w:p>
              </w:tc>
              <w:tc>
                <w:tcPr>
                  <w:tcW w:w="2752" w:type="dxa"/>
                  <w:noWrap/>
                  <w:hideMark/>
                </w:tcPr>
                <w:p w14:paraId="3EE477C5"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23459.05</w:t>
                  </w:r>
                </w:p>
              </w:tc>
              <w:tc>
                <w:tcPr>
                  <w:tcW w:w="2172" w:type="dxa"/>
                  <w:noWrap/>
                  <w:hideMark/>
                </w:tcPr>
                <w:p w14:paraId="5DD3A33F"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24021.93</w:t>
                  </w:r>
                </w:p>
              </w:tc>
              <w:tc>
                <w:tcPr>
                  <w:tcW w:w="1786" w:type="dxa"/>
                  <w:noWrap/>
                  <w:hideMark/>
                </w:tcPr>
                <w:p w14:paraId="1B2A8A32"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 xml:space="preserve">2.40 </w:t>
                  </w:r>
                </w:p>
              </w:tc>
            </w:tr>
            <w:tr w:rsidR="00734E17" w:rsidRPr="00734E17" w14:paraId="4E2BA4DD"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24D5778F"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10y美债</w:t>
                  </w:r>
                </w:p>
              </w:tc>
              <w:tc>
                <w:tcPr>
                  <w:tcW w:w="2752" w:type="dxa"/>
                  <w:noWrap/>
                  <w:hideMark/>
                </w:tcPr>
                <w:p w14:paraId="2C587B26"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0.69</w:t>
                  </w:r>
                </w:p>
              </w:tc>
              <w:tc>
                <w:tcPr>
                  <w:tcW w:w="2172" w:type="dxa"/>
                  <w:noWrap/>
                  <w:hideMark/>
                </w:tcPr>
                <w:p w14:paraId="59791E3F"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0.76</w:t>
                  </w:r>
                </w:p>
              </w:tc>
              <w:tc>
                <w:tcPr>
                  <w:tcW w:w="1786" w:type="dxa"/>
                  <w:noWrap/>
                  <w:hideMark/>
                </w:tcPr>
                <w:p w14:paraId="168A2EA1"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7bp</w:t>
                  </w:r>
                </w:p>
              </w:tc>
            </w:tr>
            <w:tr w:rsidR="00734E17" w:rsidRPr="00734E17" w14:paraId="3945E616"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7B608BF9"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30y美债</w:t>
                  </w:r>
                </w:p>
              </w:tc>
              <w:tc>
                <w:tcPr>
                  <w:tcW w:w="2752" w:type="dxa"/>
                  <w:noWrap/>
                  <w:hideMark/>
                </w:tcPr>
                <w:p w14:paraId="41E6B98E"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1.46</w:t>
                  </w:r>
                </w:p>
              </w:tc>
              <w:tc>
                <w:tcPr>
                  <w:tcW w:w="2172" w:type="dxa"/>
                  <w:noWrap/>
                  <w:hideMark/>
                </w:tcPr>
                <w:p w14:paraId="4B695E38"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1.56</w:t>
                  </w:r>
                </w:p>
              </w:tc>
              <w:tc>
                <w:tcPr>
                  <w:tcW w:w="1786" w:type="dxa"/>
                  <w:noWrap/>
                  <w:hideMark/>
                </w:tcPr>
                <w:p w14:paraId="245057D2"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10bp</w:t>
                  </w:r>
                </w:p>
              </w:tc>
            </w:tr>
            <w:tr w:rsidR="00734E17" w:rsidRPr="00734E17" w14:paraId="351E32D1" w14:textId="77777777" w:rsidTr="00734E17">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4998A8D1"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5y美债</w:t>
                  </w:r>
                </w:p>
              </w:tc>
              <w:tc>
                <w:tcPr>
                  <w:tcW w:w="2752" w:type="dxa"/>
                  <w:noWrap/>
                  <w:hideMark/>
                </w:tcPr>
                <w:p w14:paraId="00913711"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0.28</w:t>
                  </w:r>
                </w:p>
              </w:tc>
              <w:tc>
                <w:tcPr>
                  <w:tcW w:w="2172" w:type="dxa"/>
                  <w:noWrap/>
                  <w:hideMark/>
                </w:tcPr>
                <w:p w14:paraId="5DFA322F"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0.32</w:t>
                  </w:r>
                </w:p>
              </w:tc>
              <w:tc>
                <w:tcPr>
                  <w:tcW w:w="1786" w:type="dxa"/>
                  <w:noWrap/>
                  <w:hideMark/>
                </w:tcPr>
                <w:p w14:paraId="626418F4" w14:textId="77777777" w:rsidR="00734E17" w:rsidRPr="00734E17" w:rsidRDefault="00734E17" w:rsidP="00734E17">
                  <w:pPr>
                    <w:widowControl/>
                    <w:jc w:val="center"/>
                    <w:cnfStyle w:val="000000100000" w:firstRow="0" w:lastRow="0" w:firstColumn="0" w:lastColumn="0" w:oddVBand="0" w:evenVBand="0" w:oddHBand="1"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4bp</w:t>
                  </w:r>
                </w:p>
              </w:tc>
            </w:tr>
            <w:tr w:rsidR="00734E17" w:rsidRPr="00734E17" w14:paraId="7D432E7A" w14:textId="77777777" w:rsidTr="00734E17">
              <w:trPr>
                <w:trHeight w:val="263"/>
                <w:jc w:val="center"/>
              </w:trPr>
              <w:tc>
                <w:tcPr>
                  <w:cnfStyle w:val="001000000000" w:firstRow="0" w:lastRow="0" w:firstColumn="1" w:lastColumn="0" w:oddVBand="0" w:evenVBand="0" w:oddHBand="0" w:evenHBand="0" w:firstRowFirstColumn="0" w:firstRowLastColumn="0" w:lastRowFirstColumn="0" w:lastRowLastColumn="0"/>
                  <w:tcW w:w="2100" w:type="dxa"/>
                  <w:noWrap/>
                  <w:hideMark/>
                </w:tcPr>
                <w:p w14:paraId="62903E29" w14:textId="77777777" w:rsidR="00734E17" w:rsidRPr="00734E17" w:rsidRDefault="00734E17" w:rsidP="00734E17">
                  <w:pPr>
                    <w:widowControl/>
                    <w:jc w:val="center"/>
                    <w:rPr>
                      <w:rFonts w:ascii="等线" w:eastAsia="等线" w:hAnsi="等线" w:cs="宋体"/>
                      <w:b w:val="0"/>
                      <w:bCs w:val="0"/>
                      <w:color w:val="000000"/>
                      <w:kern w:val="0"/>
                      <w:sz w:val="20"/>
                      <w:szCs w:val="20"/>
                    </w:rPr>
                  </w:pPr>
                  <w:r w:rsidRPr="00734E17">
                    <w:rPr>
                      <w:rFonts w:ascii="等线" w:eastAsia="等线" w:hAnsi="等线" w:cs="宋体" w:hint="eastAsia"/>
                      <w:b w:val="0"/>
                      <w:bCs w:val="0"/>
                      <w:color w:val="000000"/>
                      <w:kern w:val="0"/>
                      <w:sz w:val="20"/>
                      <w:szCs w:val="20"/>
                    </w:rPr>
                    <w:t>3y美债</w:t>
                  </w:r>
                </w:p>
              </w:tc>
              <w:tc>
                <w:tcPr>
                  <w:tcW w:w="2752" w:type="dxa"/>
                  <w:noWrap/>
                  <w:hideMark/>
                </w:tcPr>
                <w:p w14:paraId="52AD9A9D"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0.16</w:t>
                  </w:r>
                </w:p>
              </w:tc>
              <w:tc>
                <w:tcPr>
                  <w:tcW w:w="2172" w:type="dxa"/>
                  <w:noWrap/>
                  <w:hideMark/>
                </w:tcPr>
                <w:p w14:paraId="69114C34"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color w:val="000000"/>
                      <w:kern w:val="0"/>
                      <w:sz w:val="20"/>
                      <w:szCs w:val="20"/>
                    </w:rPr>
                  </w:pPr>
                  <w:r w:rsidRPr="00734E17">
                    <w:rPr>
                      <w:rFonts w:ascii="等线" w:eastAsia="等线" w:hAnsi="等线" w:cs="宋体" w:hint="eastAsia"/>
                      <w:color w:val="000000"/>
                      <w:kern w:val="0"/>
                      <w:sz w:val="20"/>
                      <w:szCs w:val="20"/>
                    </w:rPr>
                    <w:t>0.17</w:t>
                  </w:r>
                </w:p>
              </w:tc>
              <w:tc>
                <w:tcPr>
                  <w:tcW w:w="1786" w:type="dxa"/>
                  <w:noWrap/>
                  <w:hideMark/>
                </w:tcPr>
                <w:p w14:paraId="57A5588E" w14:textId="77777777" w:rsidR="00734E17" w:rsidRPr="00734E17" w:rsidRDefault="00734E17" w:rsidP="00734E17">
                  <w:pPr>
                    <w:widowControl/>
                    <w:jc w:val="center"/>
                    <w:cnfStyle w:val="000000000000" w:firstRow="0" w:lastRow="0" w:firstColumn="0" w:lastColumn="0" w:oddVBand="0" w:evenVBand="0" w:oddHBand="0" w:evenHBand="0" w:firstRowFirstColumn="0" w:firstRowLastColumn="0" w:lastRowFirstColumn="0" w:lastRowLastColumn="0"/>
                    <w:rPr>
                      <w:rFonts w:ascii="等线" w:eastAsia="等线" w:hAnsi="等线" w:cs="宋体"/>
                      <w:b/>
                      <w:bCs/>
                      <w:color w:val="000000"/>
                      <w:kern w:val="0"/>
                      <w:sz w:val="20"/>
                      <w:szCs w:val="20"/>
                    </w:rPr>
                  </w:pPr>
                  <w:r w:rsidRPr="00734E17">
                    <w:rPr>
                      <w:rFonts w:ascii="等线" w:eastAsia="等线" w:hAnsi="等线" w:cs="宋体" w:hint="eastAsia"/>
                      <w:b/>
                      <w:bCs/>
                      <w:color w:val="000000"/>
                      <w:kern w:val="0"/>
                      <w:sz w:val="20"/>
                      <w:szCs w:val="20"/>
                    </w:rPr>
                    <w:t>1bp</w:t>
                  </w:r>
                </w:p>
              </w:tc>
            </w:tr>
          </w:tbl>
          <w:p w14:paraId="7B8892D0" w14:textId="77777777" w:rsidR="00734E17" w:rsidRPr="0012177F" w:rsidRDefault="00734E17" w:rsidP="006B5B03">
            <w:pPr>
              <w:rPr>
                <w:noProof/>
                <w:szCs w:val="18"/>
              </w:rPr>
            </w:pPr>
          </w:p>
        </w:tc>
      </w:tr>
      <w:tr w:rsidR="00734E17" w:rsidRPr="006A5F34" w14:paraId="488BEEEA" w14:textId="77777777" w:rsidTr="006B5B03">
        <w:trPr>
          <w:trHeight w:val="43"/>
          <w:jc w:val="center"/>
        </w:trPr>
        <w:tc>
          <w:tcPr>
            <w:tcW w:w="9881" w:type="dxa"/>
            <w:vAlign w:val="center"/>
          </w:tcPr>
          <w:p w14:paraId="484635D4" w14:textId="1F0DB97A" w:rsidR="00734E17" w:rsidRPr="006A5F34" w:rsidRDefault="00734E17" w:rsidP="006B5B03">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087CB451" w14:textId="77777777" w:rsidR="00734E17" w:rsidRPr="00734E17" w:rsidRDefault="00734E17" w:rsidP="00EC3415">
      <w:pPr>
        <w:pStyle w:val="Body-text"/>
        <w:spacing w:after="240"/>
        <w:ind w:firstLineChars="200" w:firstLine="480"/>
        <w:rPr>
          <w:rFonts w:ascii="华文楷体" w:hAnsi="华文楷体"/>
          <w:color w:val="FF0000"/>
          <w:sz w:val="24"/>
          <w:szCs w:val="24"/>
          <w:lang w:eastAsia="zh-CN"/>
        </w:rPr>
      </w:pPr>
    </w:p>
    <w:p w14:paraId="599CD2B1" w14:textId="77777777" w:rsidR="00E0626C" w:rsidRPr="004003D2" w:rsidRDefault="00E0626C" w:rsidP="009A2BA0">
      <w:pPr>
        <w:pStyle w:val="Body-text"/>
        <w:spacing w:after="0"/>
        <w:rPr>
          <w:lang w:eastAsia="zh-CN"/>
        </w:rPr>
      </w:pPr>
    </w:p>
    <w:p w14:paraId="704BC20A" w14:textId="3E4A54D8" w:rsidR="00E0626C" w:rsidRPr="00734E17"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sidR="00734E17">
        <w:rPr>
          <w:rFonts w:hint="eastAsia"/>
          <w:sz w:val="28"/>
          <w:szCs w:val="21"/>
        </w:rPr>
        <w:t>假日主要新闻</w:t>
      </w:r>
    </w:p>
    <w:p w14:paraId="02517D8D" w14:textId="22408148" w:rsidR="00BD43CB" w:rsidRPr="00146ECB" w:rsidRDefault="00BD43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在大规模刺激方案谈判被叫停后，美国众议长佩洛西向财长</w:t>
      </w:r>
      <w:proofErr w:type="gramStart"/>
      <w:r w:rsidRPr="00146ECB">
        <w:rPr>
          <w:rFonts w:ascii="华文楷体" w:hAnsi="华文楷体" w:hint="eastAsia"/>
          <w:sz w:val="24"/>
          <w:szCs w:val="24"/>
          <w:lang w:eastAsia="zh-CN"/>
        </w:rPr>
        <w:t>姆努钦</w:t>
      </w:r>
      <w:proofErr w:type="gramEnd"/>
      <w:r w:rsidRPr="00146ECB">
        <w:rPr>
          <w:rFonts w:ascii="华文楷体" w:hAnsi="华文楷体" w:hint="eastAsia"/>
          <w:sz w:val="24"/>
          <w:szCs w:val="24"/>
          <w:lang w:eastAsia="zh-CN"/>
        </w:rPr>
        <w:t>暗示，她愿意单</w:t>
      </w:r>
      <w:r w:rsidRPr="00146ECB">
        <w:rPr>
          <w:rFonts w:ascii="华文楷体" w:hAnsi="华文楷体" w:hint="eastAsia"/>
          <w:sz w:val="24"/>
          <w:szCs w:val="24"/>
          <w:lang w:eastAsia="zh-CN"/>
        </w:rPr>
        <w:lastRenderedPageBreak/>
        <w:t>就航空业磋商一份</w:t>
      </w:r>
      <w:proofErr w:type="gramStart"/>
      <w:r w:rsidRPr="00146ECB">
        <w:rPr>
          <w:rFonts w:ascii="华文楷体" w:hAnsi="华文楷体" w:hint="eastAsia"/>
          <w:sz w:val="24"/>
          <w:szCs w:val="24"/>
          <w:lang w:eastAsia="zh-CN"/>
        </w:rPr>
        <w:t>纾</w:t>
      </w:r>
      <w:proofErr w:type="gramEnd"/>
      <w:r w:rsidRPr="00146ECB">
        <w:rPr>
          <w:rFonts w:ascii="华文楷体" w:hAnsi="华文楷体" w:hint="eastAsia"/>
          <w:sz w:val="24"/>
          <w:szCs w:val="24"/>
          <w:lang w:eastAsia="zh-CN"/>
        </w:rPr>
        <w:t>困法案。</w:t>
      </w:r>
    </w:p>
    <w:p w14:paraId="366CE2C3" w14:textId="73A108DF" w:rsidR="00BD43CB" w:rsidRPr="00146ECB" w:rsidRDefault="00146E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美联储</w:t>
      </w:r>
      <w:r w:rsidR="00BD43CB" w:rsidRPr="00146ECB">
        <w:rPr>
          <w:rFonts w:ascii="华文楷体" w:hAnsi="华文楷体" w:hint="eastAsia"/>
          <w:sz w:val="24"/>
          <w:szCs w:val="24"/>
          <w:lang w:eastAsia="zh-CN"/>
        </w:rPr>
        <w:t>会议纪要显示，美联储或将在未来货币政策会议上</w:t>
      </w:r>
      <w:proofErr w:type="gramStart"/>
      <w:r w:rsidR="00BD43CB" w:rsidRPr="00146ECB">
        <w:rPr>
          <w:rFonts w:ascii="华文楷体" w:hAnsi="华文楷体" w:hint="eastAsia"/>
          <w:sz w:val="24"/>
          <w:szCs w:val="24"/>
          <w:lang w:eastAsia="zh-CN"/>
        </w:rPr>
        <w:t>讨论购债计划</w:t>
      </w:r>
      <w:proofErr w:type="gramEnd"/>
      <w:r w:rsidR="00BD43CB" w:rsidRPr="00146ECB">
        <w:rPr>
          <w:rFonts w:ascii="华文楷体" w:hAnsi="华文楷体" w:hint="eastAsia"/>
          <w:sz w:val="24"/>
          <w:szCs w:val="24"/>
          <w:lang w:eastAsia="zh-CN"/>
        </w:rPr>
        <w:t>，部分委员对调整或增加债券购买额度持开放态度。纽约联储行长表示，经济距离美联储想要实现的状况还很遥远。芝加哥联储行长称经济复苏之路取决于更多财政援助，目前对于美联储</w:t>
      </w:r>
      <w:proofErr w:type="gramStart"/>
      <w:r w:rsidR="00BD43CB" w:rsidRPr="00146ECB">
        <w:rPr>
          <w:rFonts w:ascii="华文楷体" w:hAnsi="华文楷体" w:hint="eastAsia"/>
          <w:sz w:val="24"/>
          <w:szCs w:val="24"/>
          <w:lang w:eastAsia="zh-CN"/>
        </w:rPr>
        <w:t>购债计划</w:t>
      </w:r>
      <w:proofErr w:type="gramEnd"/>
      <w:r w:rsidR="00BD43CB" w:rsidRPr="00146ECB">
        <w:rPr>
          <w:rFonts w:ascii="华文楷体" w:hAnsi="华文楷体" w:hint="eastAsia"/>
          <w:sz w:val="24"/>
          <w:szCs w:val="24"/>
          <w:lang w:eastAsia="zh-CN"/>
        </w:rPr>
        <w:t>感到安心</w:t>
      </w:r>
      <w:r w:rsidRPr="00146ECB">
        <w:rPr>
          <w:rFonts w:ascii="华文楷体" w:hAnsi="华文楷体" w:hint="eastAsia"/>
          <w:sz w:val="24"/>
          <w:szCs w:val="24"/>
          <w:lang w:eastAsia="zh-CN"/>
        </w:rPr>
        <w:t>。</w:t>
      </w:r>
      <w:r w:rsidR="00BD43CB" w:rsidRPr="00146ECB">
        <w:rPr>
          <w:rFonts w:ascii="华文楷体" w:hAnsi="华文楷体" w:hint="eastAsia"/>
          <w:sz w:val="24"/>
          <w:szCs w:val="24"/>
          <w:lang w:eastAsia="zh-CN"/>
        </w:rPr>
        <w:t>美联储高级经济学家称，因利率政策空间受限，需大幅提高量化宽松规模</w:t>
      </w:r>
      <w:r w:rsidRPr="00146ECB">
        <w:rPr>
          <w:rFonts w:ascii="华文楷体" w:hAnsi="华文楷体" w:hint="eastAsia"/>
          <w:sz w:val="24"/>
          <w:szCs w:val="24"/>
          <w:lang w:eastAsia="zh-CN"/>
        </w:rPr>
        <w:t>。</w:t>
      </w:r>
    </w:p>
    <w:p w14:paraId="14B9F379" w14:textId="1402B668" w:rsidR="00734E17" w:rsidRPr="00146ECB" w:rsidRDefault="00BD43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据悉如果到下周达成协议依旧无望，英国准备退出脱欧贸易谈判。但有消息人士称，欧盟首席脱</w:t>
      </w:r>
      <w:proofErr w:type="gramStart"/>
      <w:r w:rsidRPr="00146ECB">
        <w:rPr>
          <w:rFonts w:ascii="华文楷体" w:hAnsi="华文楷体" w:hint="eastAsia"/>
          <w:sz w:val="24"/>
          <w:szCs w:val="24"/>
          <w:lang w:eastAsia="zh-CN"/>
        </w:rPr>
        <w:t>欧谈判</w:t>
      </w:r>
      <w:proofErr w:type="gramEnd"/>
      <w:r w:rsidRPr="00146ECB">
        <w:rPr>
          <w:rFonts w:ascii="华文楷体" w:hAnsi="华文楷体" w:hint="eastAsia"/>
          <w:sz w:val="24"/>
          <w:szCs w:val="24"/>
          <w:lang w:eastAsia="zh-CN"/>
        </w:rPr>
        <w:t>代表认为英国不会退出</w:t>
      </w:r>
      <w:r w:rsidR="00146ECB" w:rsidRPr="00146ECB">
        <w:rPr>
          <w:rFonts w:ascii="华文楷体" w:hAnsi="华文楷体" w:hint="eastAsia"/>
          <w:sz w:val="24"/>
          <w:szCs w:val="24"/>
          <w:lang w:eastAsia="zh-CN"/>
        </w:rPr>
        <w:t>。</w:t>
      </w:r>
    </w:p>
    <w:p w14:paraId="471C6442" w14:textId="0D846C18" w:rsidR="00146ECB" w:rsidRPr="00146ECB" w:rsidRDefault="00146E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欧洲疫情难以控制，西班牙和法国新增病例</w:t>
      </w:r>
      <w:proofErr w:type="gramStart"/>
      <w:r w:rsidRPr="00146ECB">
        <w:rPr>
          <w:rFonts w:ascii="华文楷体" w:hAnsi="华文楷体" w:hint="eastAsia"/>
          <w:sz w:val="24"/>
          <w:szCs w:val="24"/>
          <w:lang w:eastAsia="zh-CN"/>
        </w:rPr>
        <w:t>数创新</w:t>
      </w:r>
      <w:proofErr w:type="gramEnd"/>
      <w:r w:rsidRPr="00146ECB">
        <w:rPr>
          <w:rFonts w:ascii="华文楷体" w:hAnsi="华文楷体" w:hint="eastAsia"/>
          <w:sz w:val="24"/>
          <w:szCs w:val="24"/>
          <w:lang w:eastAsia="zh-CN"/>
        </w:rPr>
        <w:t>高。特朗普回到椭圆形办公室，医生称他超过24小时未表现出症状。礼来向FDA申请新冠抗体疗法的紧急使用授权。</w:t>
      </w:r>
    </w:p>
    <w:p w14:paraId="2A4F33C3" w14:textId="7247DCED" w:rsidR="00146ECB" w:rsidRPr="00146ECB" w:rsidRDefault="00146E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美国8月消费者信贷意外下降，信用卡余额连续第六个月下滑，表明新冠疫情继续限制了部分消费者支出。</w:t>
      </w:r>
    </w:p>
    <w:p w14:paraId="2A2233E1" w14:textId="58873797" w:rsidR="00146ECB" w:rsidRPr="00146ECB" w:rsidRDefault="00146E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沙特对亚洲提高原油售价，在市场疲软和炼油利润率下降一个半月后，首次透露出实货市场走强的迹象。但全球最大的石油贸易行预计OPEC及其盟国将改变1月份降低减产力度的计划，因为需求复苏缓慢。</w:t>
      </w:r>
    </w:p>
    <w:p w14:paraId="2CC3A73E" w14:textId="7C1D937C" w:rsidR="00146ECB" w:rsidRPr="00146ECB" w:rsidRDefault="00146E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中国9月外汇储备</w:t>
      </w:r>
      <w:proofErr w:type="gramStart"/>
      <w:r w:rsidRPr="00146ECB">
        <w:rPr>
          <w:rFonts w:ascii="华文楷体" w:hAnsi="华文楷体" w:hint="eastAsia"/>
          <w:sz w:val="24"/>
          <w:szCs w:val="24"/>
          <w:lang w:eastAsia="zh-CN"/>
        </w:rPr>
        <w:t>规模环</w:t>
      </w:r>
      <w:proofErr w:type="gramEnd"/>
      <w:r w:rsidRPr="00146ECB">
        <w:rPr>
          <w:rFonts w:ascii="华文楷体" w:hAnsi="华文楷体" w:hint="eastAsia"/>
          <w:sz w:val="24"/>
          <w:szCs w:val="24"/>
          <w:lang w:eastAsia="zh-CN"/>
        </w:rPr>
        <w:t>比下降0.7%，外汇局副局长称，外</w:t>
      </w:r>
      <w:proofErr w:type="gramStart"/>
      <w:r w:rsidRPr="00146ECB">
        <w:rPr>
          <w:rFonts w:ascii="华文楷体" w:hAnsi="华文楷体" w:hint="eastAsia"/>
          <w:sz w:val="24"/>
          <w:szCs w:val="24"/>
          <w:lang w:eastAsia="zh-CN"/>
        </w:rPr>
        <w:t>储下降</w:t>
      </w:r>
      <w:proofErr w:type="gramEnd"/>
      <w:r w:rsidRPr="00146ECB">
        <w:rPr>
          <w:rFonts w:ascii="华文楷体" w:hAnsi="华文楷体" w:hint="eastAsia"/>
          <w:sz w:val="24"/>
          <w:szCs w:val="24"/>
          <w:lang w:eastAsia="zh-CN"/>
        </w:rPr>
        <w:t>是汇率折算和资产价格变化等因素综合所致。</w:t>
      </w:r>
    </w:p>
    <w:p w14:paraId="412C8FF4" w14:textId="61D31E67" w:rsidR="00146ECB" w:rsidRPr="00146ECB" w:rsidRDefault="00146ECB" w:rsidP="00146ECB">
      <w:pPr>
        <w:pStyle w:val="Body-text"/>
        <w:numPr>
          <w:ilvl w:val="0"/>
          <w:numId w:val="24"/>
        </w:numPr>
        <w:spacing w:after="240"/>
        <w:ind w:left="1191" w:hanging="567"/>
        <w:rPr>
          <w:rFonts w:ascii="华文楷体" w:hAnsi="华文楷体"/>
          <w:sz w:val="24"/>
          <w:szCs w:val="24"/>
          <w:lang w:eastAsia="zh-CN"/>
        </w:rPr>
      </w:pPr>
      <w:r w:rsidRPr="00146ECB">
        <w:rPr>
          <w:rFonts w:ascii="华文楷体" w:hAnsi="华文楷体" w:hint="eastAsia"/>
          <w:sz w:val="24"/>
          <w:szCs w:val="24"/>
          <w:lang w:eastAsia="zh-CN"/>
        </w:rPr>
        <w:t>华为被禁止赞助北约成员国斯洛伐克的一个防务峰会，先前由于担心该公司构成安全风险，斯洛伐克总统一度取消了演讲计划。</w:t>
      </w:r>
    </w:p>
    <w:p w14:paraId="721DD2C0" w14:textId="2939E086"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市场展望</w:t>
      </w:r>
    </w:p>
    <w:p w14:paraId="4BCFA02F" w14:textId="495F512B" w:rsidR="005135E2" w:rsidRDefault="006B204A" w:rsidP="00146ECB">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利率债：</w:t>
      </w:r>
      <w:r w:rsidR="00146ECB">
        <w:rPr>
          <w:rFonts w:ascii="华文楷体" w:hAnsi="华文楷体" w:hint="eastAsia"/>
          <w:bCs/>
          <w:sz w:val="24"/>
          <w:szCs w:val="24"/>
          <w:lang w:eastAsia="zh-CN"/>
        </w:rPr>
        <w:t>节前公布的PMI数据表明</w:t>
      </w:r>
      <w:r w:rsidR="00D01D5C">
        <w:rPr>
          <w:rFonts w:ascii="华文楷体" w:hAnsi="华文楷体" w:hint="eastAsia"/>
          <w:bCs/>
          <w:sz w:val="24"/>
          <w:szCs w:val="24"/>
          <w:lang w:eastAsia="zh-CN"/>
        </w:rPr>
        <w:t>经济短期仍在改善，新订单较上月改善但需观察持续性，出口订单受海外需求修复影响上行明显，原材料库存上升，后续关注是否预示补库阶段开启。产成品出厂价格下行，产成品库存累积，显示下游需求修复速度或有放缓。上下游数据的反差显示经济的修复较为温和，难见到主要经济指标的大幅改善。国内经济表现上对债券难言利好。</w:t>
      </w:r>
    </w:p>
    <w:p w14:paraId="68B9ADE5" w14:textId="21BA3909" w:rsidR="00D01D5C" w:rsidRDefault="00D01D5C" w:rsidP="00146ECB">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假日期间外盘各类资产波动明显，</w:t>
      </w:r>
      <w:r w:rsidR="00DE433C">
        <w:rPr>
          <w:rFonts w:ascii="华文楷体" w:hAnsi="华文楷体" w:hint="eastAsia"/>
          <w:bCs/>
          <w:sz w:val="24"/>
          <w:szCs w:val="24"/>
          <w:lang w:eastAsia="zh-CN"/>
        </w:rPr>
        <w:t>特朗普感染新冠后对市场刺激明显，后续快速恢复出院又对市场形成预期差。刺激法案的延后谈判导致美元指数阶段走强，但对航空业等的救助计划再次</w:t>
      </w:r>
      <w:proofErr w:type="gramStart"/>
      <w:r w:rsidR="00DE433C">
        <w:rPr>
          <w:rFonts w:ascii="华文楷体" w:hAnsi="华文楷体" w:hint="eastAsia"/>
          <w:bCs/>
          <w:sz w:val="24"/>
          <w:szCs w:val="24"/>
          <w:lang w:eastAsia="zh-CN"/>
        </w:rPr>
        <w:t>提振美股</w:t>
      </w:r>
      <w:proofErr w:type="gramEnd"/>
      <w:r w:rsidR="00DE433C">
        <w:rPr>
          <w:rFonts w:ascii="华文楷体" w:hAnsi="华文楷体" w:hint="eastAsia"/>
          <w:bCs/>
          <w:sz w:val="24"/>
          <w:szCs w:val="24"/>
          <w:lang w:eastAsia="zh-CN"/>
        </w:rPr>
        <w:t>，打击美元指数的强势。整体来看，美元指数的走强对商品涨势仍有抑制，对债市略有利好。但是观察恒指和A50期货的强势表现预计权益市场或将出现震荡向上，对债券形成压力。</w:t>
      </w:r>
    </w:p>
    <w:p w14:paraId="002AC5A5" w14:textId="5494F3EB" w:rsidR="00DE433C" w:rsidRPr="005135E2" w:rsidRDefault="00DE433C" w:rsidP="00146ECB">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综上，债券市场9月中旬开始的反弹行情</w:t>
      </w:r>
      <w:r w:rsidR="003254C0">
        <w:rPr>
          <w:rFonts w:ascii="华文楷体" w:hAnsi="华文楷体" w:hint="eastAsia"/>
          <w:bCs/>
          <w:sz w:val="24"/>
          <w:szCs w:val="24"/>
          <w:lang w:eastAsia="zh-CN"/>
        </w:rPr>
        <w:t>我们判断已经过半，后续可能形成预期差的机会是：1</w:t>
      </w:r>
      <w:r w:rsidR="003254C0">
        <w:rPr>
          <w:rFonts w:ascii="华文楷体" w:hAnsi="华文楷体"/>
          <w:bCs/>
          <w:sz w:val="24"/>
          <w:szCs w:val="24"/>
          <w:lang w:eastAsia="zh-CN"/>
        </w:rPr>
        <w:t>.</w:t>
      </w:r>
      <w:r w:rsidR="003254C0">
        <w:rPr>
          <w:rFonts w:ascii="华文楷体" w:hAnsi="华文楷体" w:hint="eastAsia"/>
          <w:bCs/>
          <w:sz w:val="24"/>
          <w:szCs w:val="24"/>
          <w:lang w:eastAsia="zh-CN"/>
        </w:rPr>
        <w:t>疫情的再次加重；2</w:t>
      </w:r>
      <w:r w:rsidR="003254C0">
        <w:rPr>
          <w:rFonts w:ascii="华文楷体" w:hAnsi="华文楷体"/>
          <w:bCs/>
          <w:sz w:val="24"/>
          <w:szCs w:val="24"/>
          <w:lang w:eastAsia="zh-CN"/>
        </w:rPr>
        <w:t>.</w:t>
      </w:r>
      <w:r w:rsidR="0089056F">
        <w:rPr>
          <w:rFonts w:ascii="华文楷体" w:hAnsi="华文楷体" w:hint="eastAsia"/>
          <w:bCs/>
          <w:sz w:val="24"/>
          <w:szCs w:val="24"/>
          <w:lang w:eastAsia="zh-CN"/>
        </w:rPr>
        <w:t>外部</w:t>
      </w:r>
      <w:r w:rsidR="003254C0">
        <w:rPr>
          <w:rFonts w:ascii="华文楷体" w:hAnsi="华文楷体" w:hint="eastAsia"/>
          <w:bCs/>
          <w:sz w:val="24"/>
          <w:szCs w:val="24"/>
          <w:lang w:eastAsia="zh-CN"/>
        </w:rPr>
        <w:t>关系紧张加剧</w:t>
      </w:r>
      <w:r w:rsidR="0089056F">
        <w:rPr>
          <w:rFonts w:ascii="华文楷体" w:hAnsi="华文楷体" w:hint="eastAsia"/>
          <w:bCs/>
          <w:sz w:val="24"/>
          <w:szCs w:val="24"/>
          <w:lang w:eastAsia="zh-CN"/>
        </w:rPr>
        <w:t>摩擦增加</w:t>
      </w:r>
      <w:r w:rsidR="003254C0">
        <w:rPr>
          <w:rFonts w:ascii="华文楷体" w:hAnsi="华文楷体" w:hint="eastAsia"/>
          <w:bCs/>
          <w:sz w:val="24"/>
          <w:szCs w:val="24"/>
          <w:lang w:eastAsia="zh-CN"/>
        </w:rPr>
        <w:t>；3</w:t>
      </w:r>
      <w:r w:rsidR="003254C0">
        <w:rPr>
          <w:rFonts w:ascii="华文楷体" w:hAnsi="华文楷体"/>
          <w:bCs/>
          <w:sz w:val="24"/>
          <w:szCs w:val="24"/>
          <w:lang w:eastAsia="zh-CN"/>
        </w:rPr>
        <w:t>.</w:t>
      </w:r>
      <w:r w:rsidR="003254C0">
        <w:rPr>
          <w:rFonts w:ascii="华文楷体" w:hAnsi="华文楷体" w:hint="eastAsia"/>
          <w:bCs/>
          <w:sz w:val="24"/>
          <w:szCs w:val="24"/>
          <w:lang w:eastAsia="zh-CN"/>
        </w:rPr>
        <w:t>金融数据的环比走弱。这些因素</w:t>
      </w:r>
      <w:r w:rsidR="0089056F">
        <w:rPr>
          <w:rFonts w:ascii="华文楷体" w:hAnsi="华文楷体" w:hint="eastAsia"/>
          <w:bCs/>
          <w:sz w:val="24"/>
          <w:szCs w:val="24"/>
          <w:lang w:eastAsia="zh-CN"/>
        </w:rPr>
        <w:t>对行情具有明显影响</w:t>
      </w:r>
      <w:r w:rsidR="003254C0">
        <w:rPr>
          <w:rFonts w:ascii="华文楷体" w:hAnsi="华文楷体" w:hint="eastAsia"/>
          <w:bCs/>
          <w:sz w:val="24"/>
          <w:szCs w:val="24"/>
          <w:lang w:eastAsia="zh-CN"/>
        </w:rPr>
        <w:t>。</w:t>
      </w:r>
    </w:p>
    <w:p w14:paraId="431A849C" w14:textId="2C33843A" w:rsidR="006B0B01" w:rsidRPr="005135E2"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sidRPr="005135E2">
        <w:rPr>
          <w:rFonts w:ascii="华文楷体" w:eastAsia="华文楷体" w:hAnsi="华文楷体" w:cs="Times New Roman" w:hint="eastAsia"/>
          <w:bCs/>
        </w:rPr>
        <w:lastRenderedPageBreak/>
        <w:t>信用债：</w:t>
      </w:r>
      <w:r w:rsidR="00314603" w:rsidRPr="005135E2">
        <w:rPr>
          <w:rFonts w:ascii="华文楷体" w:eastAsia="华文楷体" w:hAnsi="华文楷体" w:cs="Times New Roman" w:hint="eastAsia"/>
          <w:bCs/>
        </w:rPr>
        <w:t>整体来看，</w:t>
      </w:r>
      <w:r w:rsidR="00A060AA" w:rsidRPr="005135E2">
        <w:rPr>
          <w:rFonts w:ascii="华文楷体" w:eastAsia="华文楷体" w:hAnsi="华文楷体" w:cs="Times New Roman" w:hint="eastAsia"/>
          <w:bCs/>
        </w:rPr>
        <w:t>当前利率的绝对水平有一定基本面支撑，配置盘的绝对收益有</w:t>
      </w:r>
      <w:r w:rsidR="00F063A3" w:rsidRPr="005135E2">
        <w:rPr>
          <w:rFonts w:ascii="华文楷体" w:eastAsia="华文楷体" w:hAnsi="华文楷体" w:cs="Times New Roman" w:hint="eastAsia"/>
          <w:bCs/>
        </w:rPr>
        <w:t>一定</w:t>
      </w:r>
      <w:r w:rsidR="00A060AA" w:rsidRPr="005135E2">
        <w:rPr>
          <w:rFonts w:ascii="华文楷体" w:eastAsia="华文楷体" w:hAnsi="华文楷体" w:cs="Times New Roman" w:hint="eastAsia"/>
          <w:bCs/>
        </w:rPr>
        <w:t>保障，但后续经济边际改善的趋势不变</w:t>
      </w:r>
      <w:proofErr w:type="gramStart"/>
      <w:r w:rsidR="00A060AA" w:rsidRPr="005135E2">
        <w:rPr>
          <w:rFonts w:ascii="华文楷体" w:eastAsia="华文楷体" w:hAnsi="华文楷体" w:cs="Times New Roman" w:hint="eastAsia"/>
          <w:bCs/>
        </w:rPr>
        <w:t>则货币</w:t>
      </w:r>
      <w:proofErr w:type="gramEnd"/>
      <w:r w:rsidR="00A060AA" w:rsidRPr="005135E2">
        <w:rPr>
          <w:rFonts w:ascii="华文楷体" w:eastAsia="华文楷体" w:hAnsi="华文楷体" w:cs="Times New Roman" w:hint="eastAsia"/>
          <w:bCs/>
        </w:rPr>
        <w:t>政策很难释放有利信号，票息策略</w:t>
      </w:r>
      <w:r w:rsidR="005135E2" w:rsidRPr="005135E2">
        <w:rPr>
          <w:rFonts w:ascii="华文楷体" w:eastAsia="华文楷体" w:hAnsi="华文楷体" w:cs="Times New Roman" w:hint="eastAsia"/>
          <w:bCs/>
        </w:rPr>
        <w:t>仍然</w:t>
      </w:r>
      <w:r w:rsidR="00A060AA" w:rsidRPr="005135E2">
        <w:rPr>
          <w:rFonts w:ascii="华文楷体" w:eastAsia="华文楷体" w:hAnsi="华文楷体" w:cs="Times New Roman" w:hint="eastAsia"/>
          <w:bCs/>
        </w:rPr>
        <w:t>占优</w:t>
      </w:r>
      <w:r w:rsidR="00F063A3" w:rsidRPr="005135E2">
        <w:rPr>
          <w:rFonts w:ascii="华文楷体" w:eastAsia="华文楷体" w:hAnsi="华文楷体" w:cs="Times New Roman" w:hint="eastAsia"/>
          <w:bCs/>
        </w:rPr>
        <w:t>，</w:t>
      </w:r>
      <w:r w:rsidR="00F063A3" w:rsidRPr="005135E2">
        <w:rPr>
          <w:rFonts w:ascii="华文楷体" w:eastAsia="华文楷体" w:hAnsi="华文楷体" w:cs="Times New Roman"/>
          <w:bCs/>
        </w:rPr>
        <w:t>关注信用风险暴露</w:t>
      </w:r>
      <w:r w:rsidR="00A060AA" w:rsidRPr="005135E2">
        <w:rPr>
          <w:rFonts w:ascii="华文楷体" w:eastAsia="华文楷体" w:hAnsi="华文楷体" w:cs="Times New Roman" w:hint="eastAsia"/>
          <w:bCs/>
        </w:rPr>
        <w:t>。</w:t>
      </w:r>
    </w:p>
    <w:p w14:paraId="4C893BAE" w14:textId="67FB8DA2" w:rsidR="00983C71" w:rsidRPr="005135E2" w:rsidRDefault="00C505BD" w:rsidP="00491B29">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可转债：</w:t>
      </w:r>
      <w:r w:rsidR="003254C0">
        <w:rPr>
          <w:rFonts w:ascii="华文楷体" w:hAnsi="华文楷体" w:hint="eastAsia"/>
          <w:bCs/>
          <w:sz w:val="24"/>
          <w:szCs w:val="24"/>
          <w:lang w:eastAsia="zh-CN"/>
        </w:rPr>
        <w:t>节后权益市场预计将再次</w:t>
      </w:r>
      <w:proofErr w:type="gramStart"/>
      <w:r w:rsidR="003254C0">
        <w:rPr>
          <w:rFonts w:ascii="华文楷体" w:hAnsi="华文楷体" w:hint="eastAsia"/>
          <w:bCs/>
          <w:sz w:val="24"/>
          <w:szCs w:val="24"/>
          <w:lang w:eastAsia="zh-CN"/>
        </w:rPr>
        <w:t>小幅走</w:t>
      </w:r>
      <w:proofErr w:type="gramEnd"/>
      <w:r w:rsidR="003254C0">
        <w:rPr>
          <w:rFonts w:ascii="华文楷体" w:hAnsi="华文楷体" w:hint="eastAsia"/>
          <w:bCs/>
          <w:sz w:val="24"/>
          <w:szCs w:val="24"/>
          <w:lang w:eastAsia="zh-CN"/>
        </w:rPr>
        <w:t>强，</w:t>
      </w:r>
      <w:r w:rsidR="005135E2" w:rsidRPr="005135E2">
        <w:rPr>
          <w:rFonts w:ascii="华文楷体" w:hAnsi="华文楷体" w:hint="eastAsia"/>
          <w:bCs/>
          <w:sz w:val="24"/>
          <w:szCs w:val="24"/>
          <w:lang w:eastAsia="zh-CN"/>
        </w:rPr>
        <w:t>建议</w:t>
      </w:r>
      <w:r w:rsidR="00F67C58" w:rsidRPr="005135E2">
        <w:rPr>
          <w:rFonts w:ascii="华文楷体" w:hAnsi="华文楷体" w:hint="eastAsia"/>
          <w:bCs/>
          <w:sz w:val="24"/>
          <w:szCs w:val="24"/>
          <w:lang w:eastAsia="zh-CN"/>
        </w:rPr>
        <w:t>继续关注半年报绩优、正股弹性和逻辑较强品种。</w:t>
      </w:r>
    </w:p>
    <w:p w14:paraId="2FAFDCB9" w14:textId="77777777" w:rsidR="00844798" w:rsidRDefault="00844798" w:rsidP="00844798">
      <w:pPr>
        <w:widowControl/>
        <w:jc w:val="left"/>
        <w:rPr>
          <w:rFonts w:ascii="Times New Roman" w:hAnsi="Times New Roman" w:hint="eastAsia"/>
          <w:kern w:val="0"/>
          <w:sz w:val="22"/>
        </w:rPr>
      </w:pPr>
    </w:p>
    <w:p w14:paraId="08B3771B" w14:textId="77777777" w:rsidR="00844798" w:rsidRDefault="00844798" w:rsidP="00844798">
      <w:pPr>
        <w:widowControl/>
        <w:jc w:val="left"/>
        <w:rPr>
          <w:rFonts w:ascii="Times New Roman" w:hAnsi="Times New Roman" w:hint="eastAsia"/>
          <w:kern w:val="0"/>
          <w:sz w:val="22"/>
        </w:rPr>
      </w:pPr>
    </w:p>
    <w:p w14:paraId="67ED0EBD" w14:textId="77777777" w:rsidR="00844798" w:rsidRDefault="00844798" w:rsidP="00844798">
      <w:pPr>
        <w:widowControl/>
        <w:jc w:val="left"/>
        <w:rPr>
          <w:rFonts w:ascii="Times New Roman" w:hAnsi="Times New Roman" w:hint="eastAsia"/>
          <w:kern w:val="0"/>
          <w:sz w:val="22"/>
        </w:rPr>
      </w:pPr>
    </w:p>
    <w:p w14:paraId="0C5B50E4" w14:textId="77777777" w:rsidR="00844798" w:rsidRDefault="00844798" w:rsidP="00844798">
      <w:pPr>
        <w:widowControl/>
        <w:jc w:val="left"/>
        <w:rPr>
          <w:rFonts w:ascii="Times New Roman" w:hAnsi="Times New Roman" w:hint="eastAsia"/>
          <w:kern w:val="0"/>
          <w:sz w:val="22"/>
        </w:rPr>
      </w:pPr>
    </w:p>
    <w:p w14:paraId="263AE158" w14:textId="77777777" w:rsidR="00844798" w:rsidRDefault="00844798" w:rsidP="00844798">
      <w:pPr>
        <w:widowControl/>
        <w:jc w:val="left"/>
        <w:rPr>
          <w:rFonts w:ascii="Times New Roman" w:hAnsi="Times New Roman" w:hint="eastAsia"/>
          <w:kern w:val="0"/>
          <w:sz w:val="22"/>
        </w:rPr>
      </w:pPr>
    </w:p>
    <w:p w14:paraId="3BE3AE62" w14:textId="77777777" w:rsidR="00844798" w:rsidRDefault="00844798" w:rsidP="00844798">
      <w:pPr>
        <w:widowControl/>
        <w:jc w:val="left"/>
        <w:rPr>
          <w:rFonts w:ascii="Times New Roman" w:hAnsi="Times New Roman" w:hint="eastAsia"/>
          <w:kern w:val="0"/>
          <w:sz w:val="22"/>
        </w:rPr>
      </w:pPr>
    </w:p>
    <w:p w14:paraId="28A5AF08" w14:textId="77777777" w:rsidR="00844798" w:rsidRDefault="00844798" w:rsidP="00844798">
      <w:pPr>
        <w:widowControl/>
        <w:jc w:val="left"/>
        <w:rPr>
          <w:rFonts w:ascii="Times New Roman" w:hAnsi="Times New Roman" w:hint="eastAsia"/>
          <w:kern w:val="0"/>
          <w:sz w:val="22"/>
        </w:rPr>
      </w:pPr>
    </w:p>
    <w:p w14:paraId="7738A00B" w14:textId="77777777" w:rsidR="00844798" w:rsidRDefault="00844798" w:rsidP="00844798">
      <w:pPr>
        <w:widowControl/>
        <w:jc w:val="left"/>
        <w:rPr>
          <w:rFonts w:ascii="Times New Roman" w:hAnsi="Times New Roman" w:hint="eastAsia"/>
          <w:kern w:val="0"/>
          <w:sz w:val="22"/>
        </w:rPr>
      </w:pPr>
      <w:bookmarkStart w:id="0" w:name="_GoBack"/>
      <w:bookmarkEnd w:id="0"/>
    </w:p>
    <w:p w14:paraId="5260B38A" w14:textId="77777777" w:rsidR="00844798" w:rsidRDefault="00844798" w:rsidP="00844798">
      <w:pPr>
        <w:widowControl/>
        <w:jc w:val="left"/>
        <w:rPr>
          <w:rFonts w:ascii="Times New Roman" w:hAnsi="Times New Roman" w:hint="eastAsia"/>
          <w:kern w:val="0"/>
          <w:sz w:val="22"/>
        </w:rPr>
      </w:pPr>
    </w:p>
    <w:p w14:paraId="1EF1A1F1" w14:textId="319EAF17" w:rsidR="0028459A" w:rsidRPr="00844798" w:rsidRDefault="00844798" w:rsidP="00844798">
      <w:pPr>
        <w:widowControl/>
        <w:jc w:val="left"/>
        <w:rPr>
          <w:rFonts w:ascii="华文楷体" w:hAnsi="华文楷体"/>
          <w:sz w:val="16"/>
          <w:szCs w:val="16"/>
        </w:rPr>
      </w:pPr>
      <w:r w:rsidRPr="00844798">
        <w:rPr>
          <w:rFonts w:ascii="Times New Roman" w:hAnsi="Times New Roman" w:hint="eastAsia"/>
          <w:kern w:val="0"/>
          <w:sz w:val="16"/>
          <w:szCs w:val="16"/>
        </w:rPr>
        <w:t>风险提示：</w:t>
      </w:r>
      <w:r w:rsidRPr="00844798">
        <w:rPr>
          <w:rFonts w:ascii="Times New Roman" w:hAnsi="Times New Roman" w:hint="eastAsia"/>
          <w:kern w:val="0"/>
          <w:sz w:val="16"/>
          <w:szCs w:val="16"/>
        </w:rPr>
        <w:t>1</w:t>
      </w:r>
      <w:r w:rsidRPr="00844798">
        <w:rPr>
          <w:rFonts w:ascii="Times New Roman" w:hAnsi="Times New Roman" w:hint="eastAsia"/>
          <w:kern w:val="0"/>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44798">
        <w:rPr>
          <w:rFonts w:ascii="Times New Roman" w:hAnsi="Times New Roman" w:hint="eastAsia"/>
          <w:kern w:val="0"/>
          <w:sz w:val="16"/>
          <w:szCs w:val="16"/>
        </w:rPr>
        <w:t>作出</w:t>
      </w:r>
      <w:proofErr w:type="gramEnd"/>
      <w:r w:rsidRPr="00844798">
        <w:rPr>
          <w:rFonts w:ascii="Times New Roman" w:hAnsi="Times New Roman" w:hint="eastAsia"/>
          <w:kern w:val="0"/>
          <w:sz w:val="16"/>
          <w:szCs w:val="16"/>
        </w:rPr>
        <w:t>调整。</w:t>
      </w:r>
      <w:r w:rsidRPr="00844798">
        <w:rPr>
          <w:rFonts w:ascii="Times New Roman" w:hAnsi="Times New Roman" w:hint="eastAsia"/>
          <w:kern w:val="0"/>
          <w:sz w:val="16"/>
          <w:szCs w:val="16"/>
        </w:rPr>
        <w:t>2</w:t>
      </w:r>
      <w:r w:rsidRPr="00844798">
        <w:rPr>
          <w:rFonts w:ascii="Times New Roman" w:hAnsi="Times New Roman" w:hint="eastAsia"/>
          <w:kern w:val="0"/>
          <w:sz w:val="16"/>
          <w:szCs w:val="16"/>
        </w:rPr>
        <w:t>、本报告中的资料、观点和预测等仅供参考，在任何时候均不构成对任何人的个人推荐。市场有风险，投资需谨慎。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0"/>
      <w:footerReference w:type="default" r:id="rId1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3CD567" w14:textId="77777777" w:rsidR="00656F11" w:rsidRDefault="00656F11">
      <w:r>
        <w:separator/>
      </w:r>
    </w:p>
  </w:endnote>
  <w:endnote w:type="continuationSeparator" w:id="0">
    <w:p w14:paraId="4A43A52C" w14:textId="77777777" w:rsidR="00656F11" w:rsidRDefault="00656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0117D9" w:rsidRDefault="000117D9">
        <w:pPr>
          <w:pStyle w:val="a4"/>
          <w:jc w:val="right"/>
        </w:pPr>
        <w:r>
          <w:fldChar w:fldCharType="begin"/>
        </w:r>
        <w:r>
          <w:instrText>PAGE   \* MERGEFORMAT</w:instrText>
        </w:r>
        <w:r>
          <w:fldChar w:fldCharType="separate"/>
        </w:r>
        <w:r w:rsidR="00844798" w:rsidRPr="00844798">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672427" w14:textId="77777777" w:rsidR="00656F11" w:rsidRDefault="00656F11">
      <w:r>
        <w:separator/>
      </w:r>
    </w:p>
  </w:footnote>
  <w:footnote w:type="continuationSeparator" w:id="0">
    <w:p w14:paraId="3A79C4E6" w14:textId="77777777" w:rsidR="00656F11" w:rsidRDefault="00656F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0117D9" w:rsidRDefault="000117D9"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2F2899"/>
    <w:multiLevelType w:val="hybridMultilevel"/>
    <w:tmpl w:val="564CFC3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1">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3">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1"/>
  </w:num>
  <w:num w:numId="7">
    <w:abstractNumId w:val="12"/>
  </w:num>
  <w:num w:numId="8">
    <w:abstractNumId w:val="11"/>
  </w:num>
  <w:num w:numId="9">
    <w:abstractNumId w:val="6"/>
  </w:num>
  <w:num w:numId="10">
    <w:abstractNumId w:val="15"/>
  </w:num>
  <w:num w:numId="11">
    <w:abstractNumId w:val="20"/>
  </w:num>
  <w:num w:numId="12">
    <w:abstractNumId w:val="13"/>
  </w:num>
  <w:num w:numId="13">
    <w:abstractNumId w:val="22"/>
  </w:num>
  <w:num w:numId="14">
    <w:abstractNumId w:val="23"/>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EC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0DF3"/>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C79"/>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A5A"/>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C0"/>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C46"/>
    <w:rsid w:val="00365F8E"/>
    <w:rsid w:val="00366556"/>
    <w:rsid w:val="00366CEA"/>
    <w:rsid w:val="003673CA"/>
    <w:rsid w:val="00367DA6"/>
    <w:rsid w:val="00367DC8"/>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5F5"/>
    <w:rsid w:val="003C275F"/>
    <w:rsid w:val="003C2A04"/>
    <w:rsid w:val="003C2EED"/>
    <w:rsid w:val="003C3DED"/>
    <w:rsid w:val="003C440F"/>
    <w:rsid w:val="003C441B"/>
    <w:rsid w:val="003C4AD7"/>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0E6"/>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6F11"/>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4E17"/>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79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56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BA1"/>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3CB"/>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4A60"/>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1D5C"/>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33C"/>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table" w:customStyle="1" w:styleId="GridTable1LightAccent2">
    <w:name w:val="Grid Table 1 Light Accent 2"/>
    <w:basedOn w:val="a1"/>
    <w:uiPriority w:val="46"/>
    <w:rsid w:val="00734E17"/>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6ColorfulAccent2">
    <w:name w:val="Grid Table 6 Colorful Accent 2"/>
    <w:basedOn w:val="a1"/>
    <w:uiPriority w:val="51"/>
    <w:rsid w:val="00734E17"/>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6ColorfulAccent2">
    <w:name w:val="List Table 6 Colorful Accent 2"/>
    <w:basedOn w:val="a1"/>
    <w:uiPriority w:val="51"/>
    <w:rsid w:val="00734E17"/>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table" w:customStyle="1" w:styleId="GridTable1LightAccent2">
    <w:name w:val="Grid Table 1 Light Accent 2"/>
    <w:basedOn w:val="a1"/>
    <w:uiPriority w:val="46"/>
    <w:rsid w:val="00734E17"/>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6ColorfulAccent2">
    <w:name w:val="Grid Table 6 Colorful Accent 2"/>
    <w:basedOn w:val="a1"/>
    <w:uiPriority w:val="51"/>
    <w:rsid w:val="00734E17"/>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6ColorfulAccent2">
    <w:name w:val="List Table 6 Colorful Accent 2"/>
    <w:basedOn w:val="a1"/>
    <w:uiPriority w:val="51"/>
    <w:rsid w:val="00734E17"/>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50788">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07911555">
      <w:bodyDiv w:val="1"/>
      <w:marLeft w:val="0"/>
      <w:marRight w:val="0"/>
      <w:marTop w:val="0"/>
      <w:marBottom w:val="0"/>
      <w:divBdr>
        <w:top w:val="none" w:sz="0" w:space="0" w:color="auto"/>
        <w:left w:val="none" w:sz="0" w:space="0" w:color="auto"/>
        <w:bottom w:val="none" w:sz="0" w:space="0" w:color="auto"/>
        <w:right w:val="none" w:sz="0" w:space="0" w:color="auto"/>
      </w:divBdr>
    </w:div>
    <w:div w:id="20842504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0014963">
      <w:bodyDiv w:val="1"/>
      <w:marLeft w:val="0"/>
      <w:marRight w:val="0"/>
      <w:marTop w:val="0"/>
      <w:marBottom w:val="0"/>
      <w:divBdr>
        <w:top w:val="none" w:sz="0" w:space="0" w:color="auto"/>
        <w:left w:val="none" w:sz="0" w:space="0" w:color="auto"/>
        <w:bottom w:val="none" w:sz="0" w:space="0" w:color="auto"/>
        <w:right w:val="none" w:sz="0" w:space="0" w:color="auto"/>
      </w:divBdr>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91359552">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09941786">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5281813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92534852">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15543356">
      <w:bodyDiv w:val="1"/>
      <w:marLeft w:val="0"/>
      <w:marRight w:val="0"/>
      <w:marTop w:val="0"/>
      <w:marBottom w:val="0"/>
      <w:divBdr>
        <w:top w:val="none" w:sz="0" w:space="0" w:color="auto"/>
        <w:left w:val="none" w:sz="0" w:space="0" w:color="auto"/>
        <w:bottom w:val="none" w:sz="0" w:space="0" w:color="auto"/>
        <w:right w:val="none" w:sz="0" w:space="0" w:color="auto"/>
      </w:divBdr>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7449491">
      <w:bodyDiv w:val="1"/>
      <w:marLeft w:val="0"/>
      <w:marRight w:val="0"/>
      <w:marTop w:val="0"/>
      <w:marBottom w:val="0"/>
      <w:divBdr>
        <w:top w:val="none" w:sz="0" w:space="0" w:color="auto"/>
        <w:left w:val="none" w:sz="0" w:space="0" w:color="auto"/>
        <w:bottom w:val="none" w:sz="0" w:space="0" w:color="auto"/>
        <w:right w:val="none" w:sz="0" w:space="0" w:color="auto"/>
      </w:divBdr>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21264E-35DB-49F9-BC03-01CF0DD9A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382</Words>
  <Characters>2181</Characters>
  <Application>Microsoft Office Word</Application>
  <DocSecurity>0</DocSecurity>
  <Lines>18</Lines>
  <Paragraphs>5</Paragraphs>
  <ScaleCrop>false</ScaleCrop>
  <Company>Microsoft</Company>
  <LinksUpToDate>false</LinksUpToDate>
  <CharactersWithSpaces>2558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2020-10-12T05:43:00Z</dcterms:created>
  <dcterms:modified xsi:type="dcterms:W3CDTF">2020-10-12T05:45:00Z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