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5.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8.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theme/themeOverride7.xml" ContentType="application/vnd.openxmlformats-officedocument.themeOverride+xml"/>
  <Override PartName="/word/charts/chart10.xml" ContentType="application/vnd.openxmlformats-officedocument.drawingml.chart+xml"/>
  <Override PartName="/word/theme/themeOverride8.xml" ContentType="application/vnd.openxmlformats-officedocument.themeOverride+xml"/>
  <Override PartName="/word/charts/chart11.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6DAD838"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E23AF9">
        <w:rPr>
          <w:rFonts w:ascii="楷体" w:eastAsia="楷体" w:hAnsi="楷体" w:hint="eastAsia"/>
          <w:sz w:val="28"/>
          <w:szCs w:val="28"/>
        </w:rPr>
        <w:t>经济弱复苏持续</w:t>
      </w:r>
      <w:r w:rsidR="00854190">
        <w:rPr>
          <w:rFonts w:ascii="楷体" w:eastAsia="楷体" w:hAnsi="楷体" w:hint="eastAsia"/>
          <w:sz w:val="28"/>
          <w:szCs w:val="28"/>
        </w:rPr>
        <w:t>,关注</w:t>
      </w:r>
      <w:r w:rsidR="00E23AF9">
        <w:rPr>
          <w:rFonts w:ascii="楷体" w:eastAsia="楷体" w:hAnsi="楷体" w:hint="eastAsia"/>
          <w:sz w:val="28"/>
          <w:szCs w:val="28"/>
        </w:rPr>
        <w:t>政策边际变化</w:t>
      </w:r>
    </w:p>
    <w:p w14:paraId="0A7A9383" w14:textId="17C2CE52"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10</w:t>
      </w:r>
      <w:r w:rsidR="009C30E2" w:rsidRPr="00FA6C01">
        <w:rPr>
          <w:rFonts w:ascii="楷体" w:eastAsia="楷体" w:hAnsi="楷体"/>
          <w:sz w:val="28"/>
          <w:szCs w:val="28"/>
        </w:rPr>
        <w:t>月</w:t>
      </w:r>
      <w:r w:rsidR="00854190">
        <w:rPr>
          <w:rFonts w:ascii="楷体" w:eastAsia="楷体" w:hAnsi="楷体" w:hint="eastAsia"/>
          <w:sz w:val="28"/>
          <w:szCs w:val="28"/>
        </w:rPr>
        <w:t>1</w:t>
      </w:r>
      <w:r w:rsidR="00E23AF9">
        <w:rPr>
          <w:rFonts w:ascii="楷体" w:eastAsia="楷体" w:hAnsi="楷体" w:hint="eastAsia"/>
          <w:sz w:val="28"/>
          <w:szCs w:val="28"/>
        </w:rPr>
        <w:t>8</w:t>
      </w:r>
      <w:r w:rsidR="00F82A54">
        <w:rPr>
          <w:rFonts w:ascii="楷体" w:eastAsia="楷体" w:hAnsi="楷体" w:hint="eastAsia"/>
          <w:sz w:val="28"/>
          <w:szCs w:val="28"/>
        </w:rPr>
        <w:t>日</w:t>
      </w:r>
    </w:p>
    <w:p w14:paraId="1B2C4A22" w14:textId="0BA85F85"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529D8F3E" w14:textId="77DF4F7B" w:rsidR="00E106B0" w:rsidRDefault="006A0229" w:rsidP="00021C8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本周公布通胀数据显示,</w:t>
      </w:r>
      <w:r w:rsidR="00B06163" w:rsidRPr="00B06163">
        <w:rPr>
          <w:rFonts w:ascii="华文楷体" w:hAnsi="华文楷体" w:hint="eastAsia"/>
          <w:sz w:val="24"/>
          <w:szCs w:val="24"/>
          <w:lang w:eastAsia="zh-CN"/>
        </w:rPr>
        <w:t xml:space="preserve"> </w:t>
      </w:r>
      <w:r w:rsidR="003C6AC1" w:rsidRPr="003C6AC1">
        <w:rPr>
          <w:rFonts w:ascii="华文楷体" w:hAnsi="华文楷体" w:hint="eastAsia"/>
          <w:sz w:val="24"/>
          <w:szCs w:val="24"/>
          <w:lang w:eastAsia="zh-CN"/>
        </w:rPr>
        <w:t>中国9月CPI同比增长1.7%，预期1.9%，前值2.4%。中国9月PPI同比-2.1%，预期-1.8%，前值-2%。CPI和PPI均不及市场预期。</w:t>
      </w:r>
      <w:r w:rsidR="00B06163">
        <w:rPr>
          <w:rFonts w:ascii="华文楷体" w:hAnsi="华文楷体" w:hint="eastAsia"/>
          <w:sz w:val="24"/>
          <w:szCs w:val="24"/>
          <w:lang w:eastAsia="zh-CN"/>
        </w:rPr>
        <w:t>通胀持续下行回落，为央行执行货币政策提供了更友好的基础</w:t>
      </w:r>
      <w:r w:rsidR="003C6AC1">
        <w:rPr>
          <w:rFonts w:ascii="华文楷体" w:hAnsi="华文楷体" w:hint="eastAsia"/>
          <w:sz w:val="24"/>
          <w:szCs w:val="24"/>
          <w:lang w:eastAsia="zh-CN"/>
        </w:rPr>
        <w:t>，</w:t>
      </w:r>
      <w:r w:rsidR="00B06163">
        <w:rPr>
          <w:rFonts w:ascii="华文楷体" w:hAnsi="华文楷体" w:hint="eastAsia"/>
          <w:sz w:val="24"/>
          <w:szCs w:val="24"/>
          <w:lang w:eastAsia="zh-CN"/>
        </w:rPr>
        <w:t>预计</w:t>
      </w:r>
      <w:r w:rsidR="003C6AC1">
        <w:rPr>
          <w:rFonts w:ascii="华文楷体" w:hAnsi="华文楷体" w:hint="eastAsia"/>
          <w:sz w:val="24"/>
          <w:szCs w:val="24"/>
          <w:lang w:eastAsia="zh-CN"/>
        </w:rPr>
        <w:t>四季度</w:t>
      </w:r>
      <w:r w:rsidR="00B06163">
        <w:rPr>
          <w:rFonts w:ascii="华文楷体" w:hAnsi="华文楷体" w:hint="eastAsia"/>
          <w:sz w:val="24"/>
          <w:szCs w:val="24"/>
          <w:lang w:eastAsia="zh-CN"/>
        </w:rPr>
        <w:t>CPI仍将</w:t>
      </w:r>
      <w:r w:rsidR="003C6AC1">
        <w:rPr>
          <w:rFonts w:ascii="华文楷体" w:hAnsi="华文楷体" w:hint="eastAsia"/>
          <w:sz w:val="24"/>
          <w:szCs w:val="24"/>
          <w:lang w:eastAsia="zh-CN"/>
        </w:rPr>
        <w:t>震荡</w:t>
      </w:r>
      <w:r w:rsidR="00B06163">
        <w:rPr>
          <w:rFonts w:ascii="华文楷体" w:hAnsi="华文楷体" w:hint="eastAsia"/>
          <w:sz w:val="24"/>
          <w:szCs w:val="24"/>
          <w:lang w:eastAsia="zh-CN"/>
        </w:rPr>
        <w:t>下行为主，PPI关注环比变化情况。</w:t>
      </w:r>
    </w:p>
    <w:p w14:paraId="2009DD2B" w14:textId="7A746750" w:rsidR="00B06163" w:rsidRDefault="00E23AF9" w:rsidP="00B06163">
      <w:pPr>
        <w:pStyle w:val="Body-text"/>
        <w:spacing w:after="240"/>
        <w:rPr>
          <w:rFonts w:ascii="华文楷体" w:hAnsi="华文楷体"/>
          <w:sz w:val="24"/>
          <w:szCs w:val="24"/>
          <w:lang w:eastAsia="zh-CN"/>
        </w:rPr>
      </w:pPr>
      <w:r>
        <w:rPr>
          <w:noProof/>
          <w:lang w:eastAsia="zh-CN"/>
        </w:rPr>
        <w:drawing>
          <wp:inline distT="0" distB="0" distL="0" distR="0" wp14:anchorId="2B3F98F1" wp14:editId="75D82766">
            <wp:extent cx="3071004" cy="2035834"/>
            <wp:effectExtent l="0" t="0" r="0" b="254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3C6AC1">
        <w:rPr>
          <w:noProof/>
          <w:lang w:eastAsia="zh-CN"/>
        </w:rPr>
        <w:drawing>
          <wp:inline distT="0" distB="0" distL="0" distR="0" wp14:anchorId="5EAC571B" wp14:editId="006C7144">
            <wp:extent cx="3157220" cy="1975389"/>
            <wp:effectExtent l="0" t="0" r="5080" b="635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10F918E" w14:textId="22A0D5AD" w:rsidR="002A7CB7" w:rsidRDefault="002A7CB7" w:rsidP="002A7CB7">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CPI方面：</w:t>
      </w:r>
      <w:r w:rsidR="003C6AC1" w:rsidRPr="003C6AC1">
        <w:rPr>
          <w:rFonts w:ascii="华文楷体" w:hAnsi="华文楷体" w:hint="eastAsia"/>
          <w:sz w:val="24"/>
          <w:szCs w:val="24"/>
          <w:lang w:eastAsia="zh-CN"/>
        </w:rPr>
        <w:t>CPI</w:t>
      </w:r>
      <w:proofErr w:type="gramStart"/>
      <w:r w:rsidR="003C6AC1" w:rsidRPr="003C6AC1">
        <w:rPr>
          <w:rFonts w:ascii="华文楷体" w:hAnsi="华文楷体" w:hint="eastAsia"/>
          <w:sz w:val="24"/>
          <w:szCs w:val="24"/>
          <w:lang w:eastAsia="zh-CN"/>
        </w:rPr>
        <w:t>食品环</w:t>
      </w:r>
      <w:proofErr w:type="gramEnd"/>
      <w:r w:rsidR="003C6AC1" w:rsidRPr="003C6AC1">
        <w:rPr>
          <w:rFonts w:ascii="华文楷体" w:hAnsi="华文楷体" w:hint="eastAsia"/>
          <w:sz w:val="24"/>
          <w:szCs w:val="24"/>
          <w:lang w:eastAsia="zh-CN"/>
        </w:rPr>
        <w:t>比小幅回升0.4%，涨幅较8月继续收窄，主要受猪价转为回落，蔬菜、</w:t>
      </w:r>
      <w:proofErr w:type="gramStart"/>
      <w:r w:rsidR="003C6AC1" w:rsidRPr="003C6AC1">
        <w:rPr>
          <w:rFonts w:ascii="华文楷体" w:hAnsi="华文楷体" w:hint="eastAsia"/>
          <w:sz w:val="24"/>
          <w:szCs w:val="24"/>
          <w:lang w:eastAsia="zh-CN"/>
        </w:rPr>
        <w:t>鸡蛋涨幅</w:t>
      </w:r>
      <w:proofErr w:type="gramEnd"/>
      <w:r w:rsidR="003C6AC1" w:rsidRPr="003C6AC1">
        <w:rPr>
          <w:rFonts w:ascii="华文楷体" w:hAnsi="华文楷体" w:hint="eastAsia"/>
          <w:sz w:val="24"/>
          <w:szCs w:val="24"/>
          <w:lang w:eastAsia="zh-CN"/>
        </w:rPr>
        <w:t>较8月明显收窄影响。分项中，9月涨幅最为显著的是鲜果价格，环比由</w:t>
      </w:r>
      <w:proofErr w:type="gramStart"/>
      <w:r w:rsidR="003C6AC1" w:rsidRPr="003C6AC1">
        <w:rPr>
          <w:rFonts w:ascii="华文楷体" w:hAnsi="华文楷体" w:hint="eastAsia"/>
          <w:sz w:val="24"/>
          <w:szCs w:val="24"/>
          <w:lang w:eastAsia="zh-CN"/>
        </w:rPr>
        <w:t>跌转涨至</w:t>
      </w:r>
      <w:proofErr w:type="gramEnd"/>
      <w:r w:rsidR="003C6AC1" w:rsidRPr="003C6AC1">
        <w:rPr>
          <w:rFonts w:ascii="华文楷体" w:hAnsi="华文楷体" w:hint="eastAsia"/>
          <w:sz w:val="24"/>
          <w:szCs w:val="24"/>
          <w:lang w:eastAsia="zh-CN"/>
        </w:rPr>
        <w:t>9.4%，主要受水果旺季过去，秋冬季水果上市价格偏高影响；除鲜果外，其他食品</w:t>
      </w:r>
      <w:proofErr w:type="gramStart"/>
      <w:r w:rsidR="003C6AC1" w:rsidRPr="003C6AC1">
        <w:rPr>
          <w:rFonts w:ascii="华文楷体" w:hAnsi="华文楷体" w:hint="eastAsia"/>
          <w:sz w:val="24"/>
          <w:szCs w:val="24"/>
          <w:lang w:eastAsia="zh-CN"/>
        </w:rPr>
        <w:t>项价格</w:t>
      </w:r>
      <w:proofErr w:type="gramEnd"/>
      <w:r w:rsidR="003C6AC1" w:rsidRPr="003C6AC1">
        <w:rPr>
          <w:rFonts w:ascii="华文楷体" w:hAnsi="华文楷体" w:hint="eastAsia"/>
          <w:sz w:val="24"/>
          <w:szCs w:val="24"/>
          <w:lang w:eastAsia="zh-CN"/>
        </w:rPr>
        <w:t>9月多偏弱。其中受供给增加需求偏弱以及冻肉投放影响，猪肉价格转为回落，下降1.6%</w:t>
      </w:r>
      <w:r w:rsidR="006171D4">
        <w:rPr>
          <w:rFonts w:ascii="华文楷体" w:hAnsi="华文楷体" w:hint="eastAsia"/>
          <w:sz w:val="24"/>
          <w:szCs w:val="24"/>
          <w:lang w:eastAsia="zh-CN"/>
        </w:rPr>
        <w:t>，畜</w:t>
      </w:r>
      <w:r w:rsidR="003C6AC1" w:rsidRPr="003C6AC1">
        <w:rPr>
          <w:rFonts w:ascii="华文楷体" w:hAnsi="华文楷体" w:hint="eastAsia"/>
          <w:sz w:val="24"/>
          <w:szCs w:val="24"/>
          <w:lang w:eastAsia="zh-CN"/>
        </w:rPr>
        <w:t>肉类对食品</w:t>
      </w:r>
      <w:proofErr w:type="gramStart"/>
      <w:r w:rsidR="003C6AC1" w:rsidRPr="003C6AC1">
        <w:rPr>
          <w:rFonts w:ascii="华文楷体" w:hAnsi="华文楷体" w:hint="eastAsia"/>
          <w:sz w:val="24"/>
          <w:szCs w:val="24"/>
          <w:lang w:eastAsia="zh-CN"/>
        </w:rPr>
        <w:t>项产生</w:t>
      </w:r>
      <w:proofErr w:type="gramEnd"/>
      <w:r w:rsidR="003C6AC1" w:rsidRPr="003C6AC1">
        <w:rPr>
          <w:rFonts w:ascii="华文楷体" w:hAnsi="华文楷体" w:hint="eastAsia"/>
          <w:sz w:val="24"/>
          <w:szCs w:val="24"/>
          <w:lang w:eastAsia="zh-CN"/>
        </w:rPr>
        <w:t>拖累；</w:t>
      </w:r>
      <w:proofErr w:type="gramStart"/>
      <w:r w:rsidR="003C6AC1" w:rsidRPr="003C6AC1">
        <w:rPr>
          <w:rFonts w:ascii="华文楷体" w:hAnsi="华文楷体" w:hint="eastAsia"/>
          <w:sz w:val="24"/>
          <w:szCs w:val="24"/>
          <w:lang w:eastAsia="zh-CN"/>
        </w:rPr>
        <w:t>鸡蛋涨幅</w:t>
      </w:r>
      <w:proofErr w:type="gramEnd"/>
      <w:r w:rsidR="003C6AC1" w:rsidRPr="003C6AC1">
        <w:rPr>
          <w:rFonts w:ascii="华文楷体" w:hAnsi="华文楷体" w:hint="eastAsia"/>
          <w:sz w:val="24"/>
          <w:szCs w:val="24"/>
          <w:lang w:eastAsia="zh-CN"/>
        </w:rPr>
        <w:t>显著收窄至1%；高温洪水影响减弱后，鲜菜价格涨幅也略有收窄至2.4%。整体而言，9月食品项涨幅不及季节性。CPI非</w:t>
      </w:r>
      <w:proofErr w:type="gramStart"/>
      <w:r w:rsidR="003C6AC1" w:rsidRPr="003C6AC1">
        <w:rPr>
          <w:rFonts w:ascii="华文楷体" w:hAnsi="华文楷体" w:hint="eastAsia"/>
          <w:sz w:val="24"/>
          <w:szCs w:val="24"/>
          <w:lang w:eastAsia="zh-CN"/>
        </w:rPr>
        <w:t>食品环</w:t>
      </w:r>
      <w:proofErr w:type="gramEnd"/>
      <w:r w:rsidR="003C6AC1" w:rsidRPr="003C6AC1">
        <w:rPr>
          <w:rFonts w:ascii="华文楷体" w:hAnsi="华文楷体" w:hint="eastAsia"/>
          <w:sz w:val="24"/>
          <w:szCs w:val="24"/>
          <w:lang w:eastAsia="zh-CN"/>
        </w:rPr>
        <w:t>比上涨0.2%，主要受衣着、教育文化和娱乐明显回升影响。</w:t>
      </w:r>
      <w:bookmarkStart w:id="0" w:name="_GoBack"/>
      <w:bookmarkEnd w:id="0"/>
    </w:p>
    <w:p w14:paraId="297CE050" w14:textId="0E8E47BE" w:rsidR="002A7CB7" w:rsidRDefault="002A7CB7" w:rsidP="002A7CB7">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PPI方面：</w:t>
      </w:r>
      <w:r w:rsidR="003C6AC1" w:rsidRPr="003C6AC1">
        <w:rPr>
          <w:rFonts w:ascii="华文楷体" w:hAnsi="华文楷体" w:hint="eastAsia"/>
          <w:sz w:val="24"/>
          <w:szCs w:val="24"/>
          <w:lang w:eastAsia="zh-CN"/>
        </w:rPr>
        <w:t>9月PPI同比下行2.1%，环比上行0.1%，主要受PTA价格下跌、螺纹钢等主要工业品价格涨幅收窄</w:t>
      </w:r>
      <w:r w:rsidR="00287DCE">
        <w:rPr>
          <w:rFonts w:ascii="华文楷体" w:hAnsi="华文楷体" w:hint="eastAsia"/>
          <w:sz w:val="24"/>
          <w:szCs w:val="24"/>
          <w:lang w:eastAsia="zh-CN"/>
        </w:rPr>
        <w:t>的</w:t>
      </w:r>
      <w:r w:rsidR="003C6AC1" w:rsidRPr="003C6AC1">
        <w:rPr>
          <w:rFonts w:ascii="华文楷体" w:hAnsi="华文楷体" w:hint="eastAsia"/>
          <w:sz w:val="24"/>
          <w:szCs w:val="24"/>
          <w:lang w:eastAsia="zh-CN"/>
        </w:rPr>
        <w:t>影响。生产资料方面，9月价格环比上升0.2%，涨幅较8月收窄，分行业看，随着国际油价下跌影响进口原油价格，9月石油相关行业产品价格环比转为回落，石油和天然气开采业价格环比下行2.3%；同时，石油、煤炭及其他燃料加工业环比回落0.5%，对PPI产生拖累；与此同时，9月以来钢铁、有色价格继续上行，使得黑色、有色环比依旧为正，对PPI产生带动。</w:t>
      </w:r>
      <w:r w:rsidR="003C6AC1">
        <w:rPr>
          <w:rFonts w:ascii="华文楷体" w:hAnsi="华文楷体"/>
          <w:sz w:val="24"/>
          <w:szCs w:val="24"/>
          <w:lang w:eastAsia="zh-CN"/>
        </w:rPr>
        <w:t xml:space="preserve"> </w:t>
      </w:r>
      <w:r w:rsidR="003C6AC1" w:rsidRPr="003C6AC1">
        <w:rPr>
          <w:rFonts w:ascii="华文楷体" w:hAnsi="华文楷体" w:hint="eastAsia"/>
          <w:sz w:val="24"/>
          <w:szCs w:val="24"/>
          <w:lang w:eastAsia="zh-CN"/>
        </w:rPr>
        <w:t>10月至今高频数据显示，国际油价同比增速小幅回升，但螺纹钢、水泥价格同比基本持平9月，铜价和南华PTA价格同比均小幅回落，显示10月PPI或仍偏弱；11~12月受去年基数小幅抬升影响或导致PPI再度小幅回落，整体波动较小；明年上半年受基数效应影响，PPI或有所走高，但5月触顶后或将有所回落。</w:t>
      </w:r>
    </w:p>
    <w:p w14:paraId="357AA720" w14:textId="327E276B" w:rsidR="003C6AC1" w:rsidRDefault="003C6AC1" w:rsidP="002A7CB7">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lastRenderedPageBreak/>
        <w:t>整体看，CPI预计年内仍维持适度下低位震荡行为主，PPI在9月跌幅有所扩大，四季度随着后续PPI基数影响，可能会略有回升，年内PPI高点预计已过。</w:t>
      </w:r>
    </w:p>
    <w:p w14:paraId="0E3B236C" w14:textId="6C7EFA31" w:rsidR="00284F16" w:rsidRDefault="00284F16" w:rsidP="00284F16">
      <w:pPr>
        <w:pStyle w:val="Body-text"/>
        <w:spacing w:after="240"/>
        <w:rPr>
          <w:rFonts w:ascii="华文楷体" w:hAnsi="华文楷体"/>
          <w:sz w:val="24"/>
          <w:szCs w:val="24"/>
          <w:lang w:eastAsia="zh-CN"/>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6B10D708"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净投放1900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3C6AC1">
        <w:rPr>
          <w:rFonts w:ascii="华文楷体" w:hAnsi="华文楷体" w:hint="eastAsia"/>
          <w:sz w:val="24"/>
          <w:szCs w:val="24"/>
          <w:lang w:eastAsia="zh-CN"/>
        </w:rPr>
        <w:t>MLF加量续作5000亿</w:t>
      </w:r>
      <w:r w:rsidR="005671F6">
        <w:rPr>
          <w:rFonts w:ascii="华文楷体" w:hAnsi="华文楷体" w:hint="eastAsia"/>
          <w:sz w:val="24"/>
          <w:szCs w:val="24"/>
          <w:lang w:eastAsia="zh-CN"/>
        </w:rPr>
        <w:t>。</w:t>
      </w:r>
      <w:r w:rsidR="00854190">
        <w:rPr>
          <w:rFonts w:ascii="华文楷体" w:hAnsi="华文楷体" w:hint="eastAsia"/>
          <w:sz w:val="24"/>
          <w:szCs w:val="24"/>
          <w:lang w:eastAsia="zh-CN"/>
        </w:rPr>
        <w:t>本周</w:t>
      </w:r>
      <w:r w:rsidR="00DC4A12">
        <w:rPr>
          <w:rFonts w:ascii="华文楷体" w:hAnsi="华文楷体" w:hint="eastAsia"/>
          <w:sz w:val="24"/>
          <w:szCs w:val="24"/>
          <w:lang w:eastAsia="zh-CN"/>
        </w:rPr>
        <w:t>资金利率</w:t>
      </w:r>
      <w:r w:rsidR="00854190">
        <w:rPr>
          <w:rFonts w:ascii="华文楷体" w:hAnsi="华文楷体" w:hint="eastAsia"/>
          <w:sz w:val="24"/>
          <w:szCs w:val="24"/>
          <w:lang w:eastAsia="zh-CN"/>
        </w:rPr>
        <w:t>震荡为主</w:t>
      </w:r>
      <w:r w:rsidR="00DC4A12">
        <w:rPr>
          <w:rFonts w:ascii="华文楷体" w:hAnsi="华文楷体" w:hint="eastAsia"/>
          <w:sz w:val="24"/>
          <w:szCs w:val="24"/>
          <w:lang w:eastAsia="zh-CN"/>
        </w:rPr>
        <w:t>,资金紧张情绪</w:t>
      </w:r>
      <w:r w:rsidR="003C6AC1">
        <w:rPr>
          <w:rFonts w:ascii="华文楷体" w:hAnsi="华文楷体" w:hint="eastAsia"/>
          <w:sz w:val="24"/>
          <w:szCs w:val="24"/>
          <w:lang w:eastAsia="zh-CN"/>
        </w:rPr>
        <w:t>在后半周边际略有上升，整体相对平稳</w:t>
      </w:r>
      <w:r w:rsidR="00D9413F">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五</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DC4A12">
        <w:rPr>
          <w:rFonts w:ascii="华文楷体" w:hAnsi="华文楷体" w:hint="eastAsia"/>
          <w:sz w:val="24"/>
          <w:szCs w:val="24"/>
          <w:lang w:eastAsia="zh-CN"/>
        </w:rPr>
        <w:t>5</w:t>
      </w:r>
      <w:r w:rsidR="00F62F43">
        <w:rPr>
          <w:rFonts w:ascii="华文楷体" w:hAnsi="华文楷体" w:hint="eastAsia"/>
          <w:sz w:val="24"/>
          <w:szCs w:val="24"/>
          <w:lang w:eastAsia="zh-CN"/>
        </w:rPr>
        <w:t>0</w:t>
      </w:r>
      <w:r w:rsidR="00D9413F">
        <w:rPr>
          <w:rFonts w:ascii="华文楷体" w:hAnsi="华文楷体" w:hint="eastAsia"/>
          <w:sz w:val="24"/>
          <w:szCs w:val="24"/>
          <w:lang w:eastAsia="zh-CN"/>
        </w:rPr>
        <w:t>BP至</w:t>
      </w:r>
      <w:r w:rsidR="00F62F43">
        <w:rPr>
          <w:rFonts w:ascii="华文楷体" w:hAnsi="华文楷体" w:hint="eastAsia"/>
          <w:sz w:val="24"/>
          <w:szCs w:val="24"/>
          <w:lang w:eastAsia="zh-CN"/>
        </w:rPr>
        <w:t>2.06</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F62F43">
        <w:rPr>
          <w:rFonts w:ascii="华文楷体" w:hAnsi="华文楷体" w:hint="eastAsia"/>
          <w:sz w:val="24"/>
          <w:szCs w:val="24"/>
          <w:lang w:eastAsia="zh-CN"/>
        </w:rPr>
        <w:t>30</w:t>
      </w:r>
      <w:r w:rsidR="00D9413F">
        <w:rPr>
          <w:rFonts w:ascii="华文楷体" w:hAnsi="华文楷体" w:hint="eastAsia"/>
          <w:sz w:val="24"/>
          <w:szCs w:val="24"/>
          <w:lang w:eastAsia="zh-CN"/>
        </w:rPr>
        <w:t>BP至</w:t>
      </w:r>
      <w:r w:rsidR="00F62F43">
        <w:rPr>
          <w:rFonts w:ascii="华文楷体" w:hAnsi="华文楷体" w:hint="eastAsia"/>
          <w:sz w:val="24"/>
          <w:szCs w:val="24"/>
          <w:lang w:eastAsia="zh-CN"/>
        </w:rPr>
        <w:t>2.31</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w:t>
      </w:r>
      <w:r w:rsidR="003C6AC1">
        <w:rPr>
          <w:rFonts w:ascii="华文楷体" w:hAnsi="华文楷体" w:hint="eastAsia"/>
          <w:sz w:val="24"/>
          <w:szCs w:val="24"/>
          <w:lang w:eastAsia="zh-CN"/>
        </w:rPr>
        <w:t>国库现金定存</w:t>
      </w:r>
      <w:r w:rsidR="00854190">
        <w:rPr>
          <w:rFonts w:ascii="华文楷体" w:hAnsi="华文楷体" w:hint="eastAsia"/>
          <w:sz w:val="24"/>
          <w:szCs w:val="24"/>
          <w:lang w:eastAsia="zh-CN"/>
        </w:rPr>
        <w:t>合计到期</w:t>
      </w:r>
      <w:r w:rsidR="003C6AC1">
        <w:rPr>
          <w:rFonts w:ascii="华文楷体" w:hAnsi="华文楷体" w:hint="eastAsia"/>
          <w:sz w:val="24"/>
          <w:szCs w:val="24"/>
          <w:lang w:eastAsia="zh-CN"/>
        </w:rPr>
        <w:t>18</w:t>
      </w:r>
      <w:r w:rsidR="00222198">
        <w:rPr>
          <w:rFonts w:ascii="华文楷体" w:hAnsi="华文楷体" w:hint="eastAsia"/>
          <w:sz w:val="24"/>
          <w:szCs w:val="24"/>
          <w:lang w:eastAsia="zh-CN"/>
        </w:rPr>
        <w:t>00</w:t>
      </w:r>
      <w:r w:rsidR="00854190">
        <w:rPr>
          <w:rFonts w:ascii="华文楷体" w:hAnsi="华文楷体" w:hint="eastAsia"/>
          <w:sz w:val="24"/>
          <w:szCs w:val="24"/>
          <w:lang w:eastAsia="zh-CN"/>
        </w:rPr>
        <w:t>亿</w:t>
      </w:r>
      <w:r w:rsidR="009D5B8D" w:rsidRPr="009D5B8D">
        <w:rPr>
          <w:rFonts w:ascii="华文楷体" w:hAnsi="华文楷体" w:hint="eastAsia"/>
          <w:sz w:val="24"/>
          <w:szCs w:val="24"/>
          <w:lang w:eastAsia="zh-CN"/>
        </w:rPr>
        <w:t>，</w:t>
      </w:r>
      <w:r w:rsidR="002F2A1A">
        <w:rPr>
          <w:rFonts w:ascii="华文楷体" w:hAnsi="华文楷体" w:hint="eastAsia"/>
          <w:sz w:val="24"/>
          <w:szCs w:val="24"/>
          <w:lang w:eastAsia="zh-CN"/>
        </w:rPr>
        <w:t>关注后续央行</w:t>
      </w:r>
      <w:r w:rsidR="003C6AC1">
        <w:rPr>
          <w:rFonts w:ascii="华文楷体" w:hAnsi="华文楷体" w:hint="eastAsia"/>
          <w:sz w:val="24"/>
          <w:szCs w:val="24"/>
          <w:lang w:eastAsia="zh-CN"/>
        </w:rPr>
        <w:t>操</w:t>
      </w:r>
      <w:r w:rsidR="002F2A1A">
        <w:rPr>
          <w:rFonts w:ascii="华文楷体" w:hAnsi="华文楷体" w:hint="eastAsia"/>
          <w:sz w:val="24"/>
          <w:szCs w:val="24"/>
          <w:lang w:eastAsia="zh-CN"/>
        </w:rPr>
        <w:t>作情况</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F62F43">
        <w:tblPrEx>
          <w:tblCellMar>
            <w:left w:w="108" w:type="dxa"/>
            <w:right w:w="108" w:type="dxa"/>
          </w:tblCellMar>
        </w:tblPrEx>
        <w:trPr>
          <w:jc w:val="center"/>
        </w:trPr>
        <w:tc>
          <w:tcPr>
            <w:tcW w:w="4939" w:type="dxa"/>
            <w:vAlign w:val="center"/>
          </w:tcPr>
          <w:p w14:paraId="60AEAEDC" w14:textId="356A3D1F" w:rsidR="00E0626C" w:rsidRPr="003C6AC1" w:rsidRDefault="00F62F43" w:rsidP="009A2BA0">
            <w:pPr>
              <w:jc w:val="center"/>
              <w:rPr>
                <w:noProof/>
                <w:sz w:val="20"/>
              </w:rPr>
            </w:pPr>
            <w:r>
              <w:rPr>
                <w:noProof/>
              </w:rPr>
              <w:drawing>
                <wp:inline distT="0" distB="0" distL="0" distR="0" wp14:anchorId="47B799CA" wp14:editId="5C9A3C9F">
                  <wp:extent cx="2999105" cy="1656931"/>
                  <wp:effectExtent l="0" t="0" r="0" b="635"/>
                  <wp:docPr id="1" name="图表 1">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287706CA" w14:textId="43E66221" w:rsidR="00E0626C" w:rsidRPr="00F62F43" w:rsidRDefault="00F62F43" w:rsidP="009A2BA0">
            <w:pPr>
              <w:jc w:val="center"/>
              <w:rPr>
                <w:noProof/>
                <w:sz w:val="16"/>
                <w:szCs w:val="18"/>
              </w:rPr>
            </w:pPr>
            <w:r>
              <w:rPr>
                <w:noProof/>
              </w:rPr>
              <w:drawing>
                <wp:inline distT="0" distB="0" distL="0" distR="0" wp14:anchorId="784F70EA" wp14:editId="1FC17B0C">
                  <wp:extent cx="3079630" cy="1717040"/>
                  <wp:effectExtent l="0" t="0" r="6985" b="0"/>
                  <wp:docPr id="18" name="图表 18">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10DBD83"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proofErr w:type="gramStart"/>
      <w:r w:rsidR="005A2EBC">
        <w:rPr>
          <w:rFonts w:ascii="华文楷体" w:hAnsi="华文楷体"/>
          <w:sz w:val="24"/>
          <w:szCs w:val="24"/>
          <w:lang w:eastAsia="zh-CN"/>
        </w:rPr>
        <w:t>债</w:t>
      </w:r>
      <w:r w:rsidR="00807490">
        <w:rPr>
          <w:rFonts w:ascii="华文楷体" w:hAnsi="华文楷体" w:hint="eastAsia"/>
          <w:sz w:val="24"/>
          <w:szCs w:val="24"/>
          <w:lang w:eastAsia="zh-CN"/>
        </w:rPr>
        <w:t>情绪</w:t>
      </w:r>
      <w:proofErr w:type="gramEnd"/>
      <w:r w:rsidR="00F62F43">
        <w:rPr>
          <w:rFonts w:ascii="华文楷体" w:hAnsi="华文楷体" w:hint="eastAsia"/>
          <w:sz w:val="24"/>
          <w:szCs w:val="24"/>
          <w:lang w:eastAsia="zh-CN"/>
        </w:rPr>
        <w:t>一般</w:t>
      </w:r>
      <w:r w:rsidR="00A327C0">
        <w:rPr>
          <w:rFonts w:ascii="华文楷体" w:hAnsi="华文楷体" w:hint="eastAsia"/>
          <w:sz w:val="24"/>
          <w:szCs w:val="24"/>
          <w:lang w:eastAsia="zh-CN"/>
        </w:rPr>
        <w:t>，</w:t>
      </w:r>
      <w:r w:rsidR="00F62F43">
        <w:rPr>
          <w:rFonts w:ascii="华文楷体" w:hAnsi="华文楷体" w:hint="eastAsia"/>
          <w:sz w:val="24"/>
          <w:szCs w:val="24"/>
          <w:lang w:eastAsia="zh-CN"/>
        </w:rPr>
        <w:t>受到基本面预期及资金预期影响，国债曲线整体小幅上行，</w:t>
      </w:r>
      <w:proofErr w:type="gramStart"/>
      <w:r w:rsidR="00F62F43">
        <w:rPr>
          <w:rFonts w:ascii="华文楷体" w:hAnsi="华文楷体" w:hint="eastAsia"/>
          <w:sz w:val="24"/>
          <w:szCs w:val="24"/>
          <w:lang w:eastAsia="zh-CN"/>
        </w:rPr>
        <w:t>国开债震荡</w:t>
      </w:r>
      <w:proofErr w:type="gramEnd"/>
      <w:r w:rsidR="00F62F43">
        <w:rPr>
          <w:rFonts w:ascii="华文楷体" w:hAnsi="华文楷体" w:hint="eastAsia"/>
          <w:sz w:val="24"/>
          <w:szCs w:val="24"/>
          <w:lang w:eastAsia="zh-CN"/>
        </w:rPr>
        <w:t>为主</w:t>
      </w:r>
      <w:r w:rsidR="00807490">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807490">
        <w:rPr>
          <w:rFonts w:ascii="华文楷体" w:hAnsi="华文楷体" w:hint="eastAsia"/>
          <w:sz w:val="24"/>
          <w:szCs w:val="24"/>
          <w:lang w:eastAsia="zh-CN"/>
        </w:rPr>
        <w:t>仍持续</w:t>
      </w:r>
      <w:r w:rsidR="00F62F43">
        <w:rPr>
          <w:rFonts w:ascii="华文楷体" w:hAnsi="华文楷体" w:hint="eastAsia"/>
          <w:sz w:val="24"/>
          <w:szCs w:val="24"/>
          <w:lang w:eastAsia="zh-CN"/>
        </w:rPr>
        <w:t>低位震荡，</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在52</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10Y与1Y利差在93BP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62F43">
        <w:rPr>
          <w:rFonts w:ascii="华文楷体" w:hAnsi="华文楷体" w:hint="eastAsia"/>
          <w:sz w:val="24"/>
          <w:szCs w:val="24"/>
          <w:lang w:eastAsia="zh-CN"/>
        </w:rPr>
        <w:t>上</w:t>
      </w:r>
      <w:r w:rsidR="0092340D">
        <w:rPr>
          <w:rFonts w:ascii="华文楷体" w:hAnsi="华文楷体" w:hint="eastAsia"/>
          <w:sz w:val="24"/>
          <w:szCs w:val="24"/>
          <w:lang w:eastAsia="zh-CN"/>
        </w:rPr>
        <w:t>行</w:t>
      </w:r>
      <w:r w:rsidR="00F62F43">
        <w:rPr>
          <w:rFonts w:ascii="华文楷体" w:hAnsi="华文楷体" w:hint="eastAsia"/>
          <w:sz w:val="24"/>
          <w:szCs w:val="24"/>
          <w:lang w:eastAsia="zh-CN"/>
        </w:rPr>
        <w:t>3</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F62F43">
        <w:rPr>
          <w:rFonts w:ascii="华文楷体" w:hAnsi="华文楷体" w:hint="eastAsia"/>
          <w:sz w:val="24"/>
          <w:szCs w:val="24"/>
          <w:lang w:eastAsia="zh-CN"/>
        </w:rPr>
        <w:t>上行0.2</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，期限</w:t>
      </w:r>
      <w:r w:rsidR="006C1830">
        <w:rPr>
          <w:rFonts w:ascii="华文楷体" w:hAnsi="华文楷体"/>
          <w:sz w:val="24"/>
          <w:szCs w:val="24"/>
          <w:lang w:eastAsia="zh-CN"/>
        </w:rPr>
        <w:t>利差</w:t>
      </w:r>
      <w:r w:rsidR="00F62F43">
        <w:rPr>
          <w:rFonts w:ascii="华文楷体" w:hAnsi="华文楷体" w:hint="eastAsia"/>
          <w:sz w:val="24"/>
          <w:szCs w:val="24"/>
          <w:lang w:eastAsia="zh-CN"/>
        </w:rPr>
        <w:t>基本维持在相对低位</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F62F43">
        <w:tblPrEx>
          <w:tblCellMar>
            <w:left w:w="108" w:type="dxa"/>
            <w:right w:w="108" w:type="dxa"/>
          </w:tblCellMar>
        </w:tblPrEx>
        <w:trPr>
          <w:jc w:val="center"/>
        </w:trPr>
        <w:tc>
          <w:tcPr>
            <w:tcW w:w="4939" w:type="dxa"/>
            <w:vAlign w:val="center"/>
          </w:tcPr>
          <w:p w14:paraId="678C97B0" w14:textId="2D9597E9" w:rsidR="00E0626C" w:rsidRPr="007E0340" w:rsidRDefault="00F62F43" w:rsidP="002104B2">
            <w:pPr>
              <w:rPr>
                <w:noProof/>
              </w:rPr>
            </w:pPr>
            <w:r>
              <w:rPr>
                <w:noProof/>
              </w:rPr>
              <w:drawing>
                <wp:inline distT="0" distB="0" distL="0" distR="0" wp14:anchorId="5EF17E4A" wp14:editId="2414819F">
                  <wp:extent cx="2999105" cy="1723091"/>
                  <wp:effectExtent l="0" t="0" r="0" b="0"/>
                  <wp:docPr id="19" name="图表 19">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17A42E68" w14:textId="502E3629" w:rsidR="00E0626C" w:rsidRPr="007E0340" w:rsidRDefault="00F62F43" w:rsidP="009A2BA0">
            <w:pPr>
              <w:jc w:val="center"/>
              <w:rPr>
                <w:noProof/>
                <w:szCs w:val="18"/>
              </w:rPr>
            </w:pPr>
            <w:r>
              <w:rPr>
                <w:noProof/>
              </w:rPr>
              <w:drawing>
                <wp:inline distT="0" distB="0" distL="0" distR="0" wp14:anchorId="17E0B3AA" wp14:editId="41BD6CC8">
                  <wp:extent cx="3053715" cy="1747004"/>
                  <wp:effectExtent l="0" t="0" r="0" b="5715"/>
                  <wp:docPr id="21" name="图表 21">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189D78B5"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lastRenderedPageBreak/>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F62F43">
        <w:rPr>
          <w:rFonts w:ascii="华文楷体" w:hAnsi="华文楷体" w:hint="eastAsia"/>
          <w:sz w:val="24"/>
          <w:szCs w:val="24"/>
          <w:lang w:eastAsia="zh-CN"/>
        </w:rPr>
        <w:t>本周信用债表现相对好于利率债，除7年品种中低等级小幅上行外，其余各期限下行为主</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E817DF">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中短期票据，</w:t>
      </w:r>
      <w:r w:rsidR="00853AFB">
        <w:rPr>
          <w:rFonts w:ascii="华文楷体" w:hAnsi="华文楷体" w:hint="eastAsia"/>
          <w:sz w:val="24"/>
          <w:szCs w:val="24"/>
          <w:lang w:eastAsia="zh-CN"/>
        </w:rPr>
        <w:t>3</w:t>
      </w:r>
      <w:r w:rsidR="00305223" w:rsidRPr="00305223">
        <w:rPr>
          <w:rFonts w:ascii="华文楷体" w:hAnsi="华文楷体" w:hint="eastAsia"/>
          <w:sz w:val="24"/>
          <w:szCs w:val="24"/>
          <w:lang w:eastAsia="zh-CN"/>
        </w:rPr>
        <w:t>Y</w:t>
      </w:r>
      <w:r w:rsidR="007734CD">
        <w:rPr>
          <w:rFonts w:ascii="华文楷体" w:hAnsi="华文楷体" w:hint="eastAsia"/>
          <w:sz w:val="24"/>
          <w:szCs w:val="24"/>
          <w:lang w:eastAsia="zh-CN"/>
        </w:rPr>
        <w:t>中票企业债</w:t>
      </w:r>
      <w:r w:rsidR="008D33AB">
        <w:rPr>
          <w:rFonts w:ascii="华文楷体" w:hAnsi="华文楷体" w:hint="eastAsia"/>
          <w:sz w:val="24"/>
          <w:szCs w:val="24"/>
          <w:lang w:eastAsia="zh-CN"/>
        </w:rPr>
        <w:t>收益率下行</w:t>
      </w:r>
      <w:r w:rsidR="006B343C">
        <w:rPr>
          <w:rFonts w:ascii="华文楷体" w:hAnsi="华文楷体" w:hint="eastAsia"/>
          <w:sz w:val="24"/>
          <w:szCs w:val="24"/>
          <w:lang w:eastAsia="zh-CN"/>
        </w:rPr>
        <w:t>3-5</w:t>
      </w:r>
      <w:r w:rsidR="008D33AB">
        <w:rPr>
          <w:rFonts w:ascii="华文楷体" w:hAnsi="华文楷体" w:hint="eastAsia"/>
          <w:sz w:val="24"/>
          <w:szCs w:val="24"/>
          <w:lang w:eastAsia="zh-CN"/>
        </w:rPr>
        <w:t>BP</w:t>
      </w:r>
      <w:r w:rsidR="006B343C">
        <w:rPr>
          <w:rFonts w:ascii="华文楷体" w:hAnsi="华文楷体" w:hint="eastAsia"/>
          <w:sz w:val="24"/>
          <w:szCs w:val="24"/>
          <w:lang w:eastAsia="zh-CN"/>
        </w:rPr>
        <w:t>，</w:t>
      </w:r>
      <w:r w:rsidR="007275B2">
        <w:rPr>
          <w:rFonts w:ascii="华文楷体" w:hAnsi="华文楷体" w:hint="eastAsia"/>
          <w:sz w:val="24"/>
          <w:szCs w:val="24"/>
          <w:lang w:eastAsia="zh-CN"/>
        </w:rPr>
        <w:t>5Y品种</w:t>
      </w:r>
      <w:r w:rsidR="008D33AB">
        <w:rPr>
          <w:rFonts w:ascii="华文楷体" w:hAnsi="华文楷体" w:hint="eastAsia"/>
          <w:sz w:val="24"/>
          <w:szCs w:val="24"/>
          <w:lang w:eastAsia="zh-CN"/>
        </w:rPr>
        <w:t>本周波动相对</w:t>
      </w:r>
      <w:r w:rsidR="006B343C">
        <w:rPr>
          <w:rFonts w:ascii="华文楷体" w:hAnsi="华文楷体" w:hint="eastAsia"/>
          <w:sz w:val="24"/>
          <w:szCs w:val="24"/>
          <w:lang w:eastAsia="zh-CN"/>
        </w:rPr>
        <w:t>略小，调整幅度在1</w:t>
      </w:r>
      <w:r w:rsidR="008D33AB">
        <w:rPr>
          <w:rFonts w:ascii="华文楷体" w:hAnsi="华文楷体" w:hint="eastAsia"/>
          <w:sz w:val="24"/>
          <w:szCs w:val="24"/>
          <w:lang w:eastAsia="zh-CN"/>
        </w:rPr>
        <w:t>BP</w:t>
      </w:r>
      <w:r w:rsidR="006B343C">
        <w:rPr>
          <w:rFonts w:ascii="华文楷体" w:hAnsi="华文楷体" w:hint="eastAsia"/>
          <w:sz w:val="24"/>
          <w:szCs w:val="24"/>
          <w:lang w:eastAsia="zh-CN"/>
        </w:rPr>
        <w:t>左右</w:t>
      </w:r>
      <w:r w:rsidR="007275B2">
        <w:rPr>
          <w:rFonts w:ascii="华文楷体" w:hAnsi="华文楷体" w:hint="eastAsia"/>
          <w:sz w:val="24"/>
          <w:szCs w:val="24"/>
          <w:lang w:eastAsia="zh-CN"/>
        </w:rPr>
        <w:t>。收益率绝对水平来看，本周各期限品种</w:t>
      </w:r>
      <w:r w:rsidR="008D33AB">
        <w:rPr>
          <w:rFonts w:ascii="华文楷体" w:hAnsi="华文楷体" w:hint="eastAsia"/>
          <w:sz w:val="24"/>
          <w:szCs w:val="24"/>
          <w:lang w:eastAsia="zh-CN"/>
        </w:rPr>
        <w:t>仍大体维持在</w:t>
      </w:r>
      <w:r w:rsidR="006B343C">
        <w:rPr>
          <w:rFonts w:ascii="华文楷体" w:hAnsi="华文楷体" w:hint="eastAsia"/>
          <w:sz w:val="24"/>
          <w:szCs w:val="24"/>
          <w:lang w:eastAsia="zh-CN"/>
        </w:rPr>
        <w:t>30-40分位数，信用品种本周表现稳定，主要受到跨季后资金需求释放影响，考虑到当前资金整体相对平稳，</w:t>
      </w:r>
      <w:r w:rsidR="008D33AB">
        <w:rPr>
          <w:rFonts w:ascii="华文楷体" w:hAnsi="华文楷体" w:hint="eastAsia"/>
          <w:sz w:val="24"/>
          <w:szCs w:val="24"/>
          <w:lang w:eastAsia="zh-CN"/>
        </w:rPr>
        <w:t>预计短期内</w:t>
      </w:r>
      <w:r w:rsidR="006B343C">
        <w:rPr>
          <w:rFonts w:ascii="华文楷体" w:hAnsi="华文楷体" w:hint="eastAsia"/>
          <w:sz w:val="24"/>
          <w:szCs w:val="24"/>
          <w:lang w:eastAsia="zh-CN"/>
        </w:rPr>
        <w:t>仍</w:t>
      </w:r>
      <w:r w:rsidR="008D33AB">
        <w:rPr>
          <w:rFonts w:ascii="华文楷体" w:hAnsi="华文楷体" w:hint="eastAsia"/>
          <w:sz w:val="24"/>
          <w:szCs w:val="24"/>
          <w:lang w:eastAsia="zh-CN"/>
        </w:rPr>
        <w:t>维持震荡调整为主</w:t>
      </w:r>
      <w:r w:rsidR="00DF5675">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F62F43" w:rsidRPr="00F62F43" w14:paraId="20A99995" w14:textId="77777777" w:rsidTr="00F62F43">
              <w:trPr>
                <w:trHeight w:val="285"/>
              </w:trPr>
              <w:tc>
                <w:tcPr>
                  <w:tcW w:w="1316" w:type="dxa"/>
                  <w:tcBorders>
                    <w:top w:val="nil"/>
                    <w:left w:val="nil"/>
                    <w:bottom w:val="single" w:sz="12" w:space="0" w:color="FFFFFF"/>
                    <w:right w:val="single" w:sz="8" w:space="0" w:color="FFFFFF"/>
                  </w:tcBorders>
                  <w:shd w:val="clear" w:color="000000" w:fill="F79646"/>
                  <w:noWrap/>
                  <w:vAlign w:val="center"/>
                  <w:hideMark/>
                </w:tcPr>
                <w:p w14:paraId="727B49A1"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收益率(%)</w:t>
                  </w:r>
                </w:p>
              </w:tc>
              <w:tc>
                <w:tcPr>
                  <w:tcW w:w="899" w:type="dxa"/>
                  <w:tcBorders>
                    <w:top w:val="nil"/>
                    <w:left w:val="nil"/>
                    <w:bottom w:val="single" w:sz="12" w:space="0" w:color="FFFFFF"/>
                    <w:right w:val="single" w:sz="8" w:space="0" w:color="FFFFFF"/>
                  </w:tcBorders>
                  <w:shd w:val="clear" w:color="000000" w:fill="F79646"/>
                  <w:noWrap/>
                  <w:vAlign w:val="center"/>
                  <w:hideMark/>
                </w:tcPr>
                <w:p w14:paraId="7EC4A8AF"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598843E0"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5BA0BD6B"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08F91EE"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5EDE2C0E"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0C4CF1B3"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7EE126FB"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EA16BEA"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31B5A5E2"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r>
            <w:tr w:rsidR="00F62F43" w:rsidRPr="00F62F43" w14:paraId="1A4DD682" w14:textId="77777777" w:rsidTr="00F62F43">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2575B1BD"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2F30538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3.20 </w:t>
                  </w:r>
                </w:p>
              </w:tc>
              <w:tc>
                <w:tcPr>
                  <w:tcW w:w="900" w:type="dxa"/>
                  <w:tcBorders>
                    <w:top w:val="nil"/>
                    <w:left w:val="nil"/>
                    <w:bottom w:val="single" w:sz="8" w:space="0" w:color="FFFFFF"/>
                    <w:right w:val="single" w:sz="8" w:space="0" w:color="FFFFFF"/>
                  </w:tcBorders>
                  <w:shd w:val="clear" w:color="000000" w:fill="FCD5B4"/>
                  <w:noWrap/>
                  <w:vAlign w:val="center"/>
                  <w:hideMark/>
                </w:tcPr>
                <w:p w14:paraId="6C0096B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3.35 </w:t>
                  </w:r>
                </w:p>
              </w:tc>
              <w:tc>
                <w:tcPr>
                  <w:tcW w:w="900" w:type="dxa"/>
                  <w:tcBorders>
                    <w:top w:val="nil"/>
                    <w:left w:val="nil"/>
                    <w:bottom w:val="single" w:sz="8" w:space="0" w:color="FFFFFF"/>
                    <w:right w:val="single" w:sz="8" w:space="0" w:color="FFFFFF"/>
                  </w:tcBorders>
                  <w:shd w:val="clear" w:color="000000" w:fill="FCD5B4"/>
                  <w:noWrap/>
                  <w:vAlign w:val="center"/>
                  <w:hideMark/>
                </w:tcPr>
                <w:p w14:paraId="6DA3BBC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3.50 </w:t>
                  </w:r>
                </w:p>
              </w:tc>
              <w:tc>
                <w:tcPr>
                  <w:tcW w:w="899" w:type="dxa"/>
                  <w:tcBorders>
                    <w:top w:val="nil"/>
                    <w:left w:val="nil"/>
                    <w:bottom w:val="single" w:sz="8" w:space="0" w:color="FFFFFF"/>
                    <w:right w:val="single" w:sz="8" w:space="0" w:color="FFFFFF"/>
                  </w:tcBorders>
                  <w:shd w:val="clear" w:color="000000" w:fill="FCD5B4"/>
                  <w:noWrap/>
                  <w:vAlign w:val="center"/>
                  <w:hideMark/>
                </w:tcPr>
                <w:p w14:paraId="3D68C47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5.58 </w:t>
                  </w:r>
                </w:p>
              </w:tc>
              <w:tc>
                <w:tcPr>
                  <w:tcW w:w="1128" w:type="dxa"/>
                  <w:tcBorders>
                    <w:top w:val="nil"/>
                    <w:left w:val="nil"/>
                    <w:bottom w:val="single" w:sz="8" w:space="0" w:color="FFFFFF"/>
                    <w:right w:val="single" w:sz="8" w:space="0" w:color="FFFFFF"/>
                  </w:tcBorders>
                  <w:shd w:val="clear" w:color="000000" w:fill="FCD5B4"/>
                  <w:noWrap/>
                  <w:vAlign w:val="center"/>
                  <w:hideMark/>
                </w:tcPr>
                <w:p w14:paraId="774537EE"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357FA29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0.51 </w:t>
                  </w:r>
                </w:p>
              </w:tc>
              <w:tc>
                <w:tcPr>
                  <w:tcW w:w="899" w:type="dxa"/>
                  <w:tcBorders>
                    <w:top w:val="nil"/>
                    <w:left w:val="nil"/>
                    <w:bottom w:val="single" w:sz="8" w:space="0" w:color="FFFFFF"/>
                    <w:right w:val="single" w:sz="8" w:space="0" w:color="FFFFFF"/>
                  </w:tcBorders>
                  <w:shd w:val="clear" w:color="000000" w:fill="FCD5B4"/>
                  <w:noWrap/>
                  <w:vAlign w:val="center"/>
                  <w:hideMark/>
                </w:tcPr>
                <w:p w14:paraId="7C8D61E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0.66 </w:t>
                  </w:r>
                </w:p>
              </w:tc>
              <w:tc>
                <w:tcPr>
                  <w:tcW w:w="899" w:type="dxa"/>
                  <w:tcBorders>
                    <w:top w:val="nil"/>
                    <w:left w:val="nil"/>
                    <w:bottom w:val="single" w:sz="8" w:space="0" w:color="FFFFFF"/>
                    <w:right w:val="single" w:sz="8" w:space="0" w:color="FFFFFF"/>
                  </w:tcBorders>
                  <w:shd w:val="clear" w:color="000000" w:fill="FCD5B4"/>
                  <w:noWrap/>
                  <w:vAlign w:val="center"/>
                  <w:hideMark/>
                </w:tcPr>
                <w:p w14:paraId="56F0EB9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0.81 </w:t>
                  </w:r>
                </w:p>
              </w:tc>
              <w:tc>
                <w:tcPr>
                  <w:tcW w:w="899" w:type="dxa"/>
                  <w:tcBorders>
                    <w:top w:val="nil"/>
                    <w:left w:val="nil"/>
                    <w:bottom w:val="single" w:sz="8" w:space="0" w:color="FFFFFF"/>
                    <w:right w:val="single" w:sz="8" w:space="0" w:color="FFFFFF"/>
                  </w:tcBorders>
                  <w:shd w:val="clear" w:color="000000" w:fill="FCD5B4"/>
                  <w:noWrap/>
                  <w:vAlign w:val="center"/>
                  <w:hideMark/>
                </w:tcPr>
                <w:p w14:paraId="738A438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2.89 </w:t>
                  </w:r>
                </w:p>
              </w:tc>
            </w:tr>
            <w:tr w:rsidR="00F62F43" w:rsidRPr="00F62F43" w14:paraId="048581F0"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72AF6E5"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064E757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3.72 </w:t>
                  </w:r>
                </w:p>
              </w:tc>
              <w:tc>
                <w:tcPr>
                  <w:tcW w:w="900" w:type="dxa"/>
                  <w:tcBorders>
                    <w:top w:val="nil"/>
                    <w:left w:val="nil"/>
                    <w:bottom w:val="single" w:sz="8" w:space="0" w:color="FFFFFF"/>
                    <w:right w:val="single" w:sz="8" w:space="0" w:color="FFFFFF"/>
                  </w:tcBorders>
                  <w:shd w:val="clear" w:color="000000" w:fill="FDE9D9"/>
                  <w:noWrap/>
                  <w:vAlign w:val="center"/>
                  <w:hideMark/>
                </w:tcPr>
                <w:p w14:paraId="0AFD8B5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3.89 </w:t>
                  </w:r>
                </w:p>
              </w:tc>
              <w:tc>
                <w:tcPr>
                  <w:tcW w:w="900" w:type="dxa"/>
                  <w:tcBorders>
                    <w:top w:val="nil"/>
                    <w:left w:val="nil"/>
                    <w:bottom w:val="single" w:sz="8" w:space="0" w:color="FFFFFF"/>
                    <w:right w:val="single" w:sz="8" w:space="0" w:color="FFFFFF"/>
                  </w:tcBorders>
                  <w:shd w:val="clear" w:color="000000" w:fill="FDE9D9"/>
                  <w:noWrap/>
                  <w:vAlign w:val="center"/>
                  <w:hideMark/>
                </w:tcPr>
                <w:p w14:paraId="3BD716B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4.07 </w:t>
                  </w:r>
                </w:p>
              </w:tc>
              <w:tc>
                <w:tcPr>
                  <w:tcW w:w="899" w:type="dxa"/>
                  <w:tcBorders>
                    <w:top w:val="nil"/>
                    <w:left w:val="nil"/>
                    <w:bottom w:val="single" w:sz="8" w:space="0" w:color="FFFFFF"/>
                    <w:right w:val="single" w:sz="8" w:space="0" w:color="FFFFFF"/>
                  </w:tcBorders>
                  <w:shd w:val="clear" w:color="000000" w:fill="FDE9D9"/>
                  <w:noWrap/>
                  <w:vAlign w:val="center"/>
                  <w:hideMark/>
                </w:tcPr>
                <w:p w14:paraId="458E63D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6.16 </w:t>
                  </w:r>
                </w:p>
              </w:tc>
              <w:tc>
                <w:tcPr>
                  <w:tcW w:w="1128" w:type="dxa"/>
                  <w:tcBorders>
                    <w:top w:val="nil"/>
                    <w:left w:val="nil"/>
                    <w:bottom w:val="single" w:sz="8" w:space="0" w:color="FFFFFF"/>
                    <w:right w:val="single" w:sz="8" w:space="0" w:color="FFFFFF"/>
                  </w:tcBorders>
                  <w:shd w:val="clear" w:color="000000" w:fill="FDE9D9"/>
                  <w:noWrap/>
                  <w:vAlign w:val="center"/>
                  <w:hideMark/>
                </w:tcPr>
                <w:p w14:paraId="0298D2ED"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3BE07AD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0.70 </w:t>
                  </w:r>
                </w:p>
              </w:tc>
              <w:tc>
                <w:tcPr>
                  <w:tcW w:w="899" w:type="dxa"/>
                  <w:tcBorders>
                    <w:top w:val="nil"/>
                    <w:left w:val="nil"/>
                    <w:bottom w:val="single" w:sz="8" w:space="0" w:color="FFFFFF"/>
                    <w:right w:val="single" w:sz="8" w:space="0" w:color="FFFFFF"/>
                  </w:tcBorders>
                  <w:shd w:val="clear" w:color="000000" w:fill="FDE9D9"/>
                  <w:noWrap/>
                  <w:vAlign w:val="center"/>
                  <w:hideMark/>
                </w:tcPr>
                <w:p w14:paraId="2DD501B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0.87 </w:t>
                  </w:r>
                </w:p>
              </w:tc>
              <w:tc>
                <w:tcPr>
                  <w:tcW w:w="899" w:type="dxa"/>
                  <w:tcBorders>
                    <w:top w:val="nil"/>
                    <w:left w:val="nil"/>
                    <w:bottom w:val="single" w:sz="8" w:space="0" w:color="FFFFFF"/>
                    <w:right w:val="single" w:sz="8" w:space="0" w:color="FFFFFF"/>
                  </w:tcBorders>
                  <w:shd w:val="clear" w:color="000000" w:fill="FDE9D9"/>
                  <w:noWrap/>
                  <w:vAlign w:val="center"/>
                  <w:hideMark/>
                </w:tcPr>
                <w:p w14:paraId="5FAFAD2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1.05 </w:t>
                  </w:r>
                </w:p>
              </w:tc>
              <w:tc>
                <w:tcPr>
                  <w:tcW w:w="899" w:type="dxa"/>
                  <w:tcBorders>
                    <w:top w:val="nil"/>
                    <w:left w:val="nil"/>
                    <w:bottom w:val="single" w:sz="8" w:space="0" w:color="FFFFFF"/>
                    <w:right w:val="single" w:sz="8" w:space="0" w:color="FFFFFF"/>
                  </w:tcBorders>
                  <w:shd w:val="clear" w:color="000000" w:fill="FDE9D9"/>
                  <w:noWrap/>
                  <w:vAlign w:val="center"/>
                  <w:hideMark/>
                </w:tcPr>
                <w:p w14:paraId="7191E18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3.14 </w:t>
                  </w:r>
                </w:p>
              </w:tc>
            </w:tr>
            <w:tr w:rsidR="00F62F43" w:rsidRPr="00F62F43" w14:paraId="273B71B2"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10D686C4"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10FCD7F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4.00 </w:t>
                  </w:r>
                </w:p>
              </w:tc>
              <w:tc>
                <w:tcPr>
                  <w:tcW w:w="900" w:type="dxa"/>
                  <w:tcBorders>
                    <w:top w:val="nil"/>
                    <w:left w:val="nil"/>
                    <w:bottom w:val="single" w:sz="8" w:space="0" w:color="FFFFFF"/>
                    <w:right w:val="single" w:sz="8" w:space="0" w:color="FFFFFF"/>
                  </w:tcBorders>
                  <w:shd w:val="clear" w:color="000000" w:fill="FCD5B4"/>
                  <w:noWrap/>
                  <w:vAlign w:val="center"/>
                  <w:hideMark/>
                </w:tcPr>
                <w:p w14:paraId="4EF69CA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4.21 </w:t>
                  </w:r>
                </w:p>
              </w:tc>
              <w:tc>
                <w:tcPr>
                  <w:tcW w:w="900" w:type="dxa"/>
                  <w:tcBorders>
                    <w:top w:val="nil"/>
                    <w:left w:val="nil"/>
                    <w:bottom w:val="single" w:sz="8" w:space="0" w:color="FFFFFF"/>
                    <w:right w:val="single" w:sz="8" w:space="0" w:color="FFFFFF"/>
                  </w:tcBorders>
                  <w:shd w:val="clear" w:color="000000" w:fill="FCD5B4"/>
                  <w:noWrap/>
                  <w:vAlign w:val="center"/>
                  <w:hideMark/>
                </w:tcPr>
                <w:p w14:paraId="65E4EF7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4.56 </w:t>
                  </w:r>
                </w:p>
              </w:tc>
              <w:tc>
                <w:tcPr>
                  <w:tcW w:w="899" w:type="dxa"/>
                  <w:tcBorders>
                    <w:top w:val="nil"/>
                    <w:left w:val="nil"/>
                    <w:bottom w:val="single" w:sz="8" w:space="0" w:color="FFFFFF"/>
                    <w:right w:val="single" w:sz="8" w:space="0" w:color="FFFFFF"/>
                  </w:tcBorders>
                  <w:shd w:val="clear" w:color="000000" w:fill="FCD5B4"/>
                  <w:noWrap/>
                  <w:vAlign w:val="center"/>
                  <w:hideMark/>
                </w:tcPr>
                <w:p w14:paraId="1AC45E1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6.73 </w:t>
                  </w:r>
                </w:p>
              </w:tc>
              <w:tc>
                <w:tcPr>
                  <w:tcW w:w="1128" w:type="dxa"/>
                  <w:tcBorders>
                    <w:top w:val="nil"/>
                    <w:left w:val="nil"/>
                    <w:bottom w:val="single" w:sz="8" w:space="0" w:color="FFFFFF"/>
                    <w:right w:val="single" w:sz="8" w:space="0" w:color="FFFFFF"/>
                  </w:tcBorders>
                  <w:shd w:val="clear" w:color="000000" w:fill="FCD5B4"/>
                  <w:noWrap/>
                  <w:vAlign w:val="center"/>
                  <w:hideMark/>
                </w:tcPr>
                <w:p w14:paraId="7A594282"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4D5965F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0.85 </w:t>
                  </w:r>
                </w:p>
              </w:tc>
              <w:tc>
                <w:tcPr>
                  <w:tcW w:w="899" w:type="dxa"/>
                  <w:tcBorders>
                    <w:top w:val="nil"/>
                    <w:left w:val="nil"/>
                    <w:bottom w:val="single" w:sz="8" w:space="0" w:color="FFFFFF"/>
                    <w:right w:val="single" w:sz="8" w:space="0" w:color="FFFFFF"/>
                  </w:tcBorders>
                  <w:shd w:val="clear" w:color="000000" w:fill="FCD5B4"/>
                  <w:noWrap/>
                  <w:vAlign w:val="center"/>
                  <w:hideMark/>
                </w:tcPr>
                <w:p w14:paraId="79AAA95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1.06 </w:t>
                  </w:r>
                </w:p>
              </w:tc>
              <w:tc>
                <w:tcPr>
                  <w:tcW w:w="899" w:type="dxa"/>
                  <w:tcBorders>
                    <w:top w:val="nil"/>
                    <w:left w:val="nil"/>
                    <w:bottom w:val="single" w:sz="8" w:space="0" w:color="FFFFFF"/>
                    <w:right w:val="single" w:sz="8" w:space="0" w:color="FFFFFF"/>
                  </w:tcBorders>
                  <w:shd w:val="clear" w:color="000000" w:fill="FCD5B4"/>
                  <w:noWrap/>
                  <w:vAlign w:val="center"/>
                  <w:hideMark/>
                </w:tcPr>
                <w:p w14:paraId="232FA0A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1.41 </w:t>
                  </w:r>
                </w:p>
              </w:tc>
              <w:tc>
                <w:tcPr>
                  <w:tcW w:w="899" w:type="dxa"/>
                  <w:tcBorders>
                    <w:top w:val="nil"/>
                    <w:left w:val="nil"/>
                    <w:bottom w:val="single" w:sz="8" w:space="0" w:color="FFFFFF"/>
                    <w:right w:val="single" w:sz="8" w:space="0" w:color="FFFFFF"/>
                  </w:tcBorders>
                  <w:shd w:val="clear" w:color="000000" w:fill="FCD5B4"/>
                  <w:noWrap/>
                  <w:vAlign w:val="center"/>
                  <w:hideMark/>
                </w:tcPr>
                <w:p w14:paraId="753256D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3.58 </w:t>
                  </w:r>
                </w:p>
              </w:tc>
            </w:tr>
            <w:tr w:rsidR="00F62F43" w:rsidRPr="00F62F43" w14:paraId="7EA98DE5"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2E8574A2"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50D842D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3.69 </w:t>
                  </w:r>
                </w:p>
              </w:tc>
              <w:tc>
                <w:tcPr>
                  <w:tcW w:w="900" w:type="dxa"/>
                  <w:tcBorders>
                    <w:top w:val="nil"/>
                    <w:left w:val="nil"/>
                    <w:bottom w:val="single" w:sz="8" w:space="0" w:color="FFFFFF"/>
                    <w:right w:val="single" w:sz="8" w:space="0" w:color="FFFFFF"/>
                  </w:tcBorders>
                  <w:shd w:val="clear" w:color="000000" w:fill="FDE9D9"/>
                  <w:noWrap/>
                  <w:vAlign w:val="center"/>
                  <w:hideMark/>
                </w:tcPr>
                <w:p w14:paraId="13882F3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3.86 </w:t>
                  </w:r>
                </w:p>
              </w:tc>
              <w:tc>
                <w:tcPr>
                  <w:tcW w:w="900" w:type="dxa"/>
                  <w:tcBorders>
                    <w:top w:val="nil"/>
                    <w:left w:val="nil"/>
                    <w:bottom w:val="single" w:sz="8" w:space="0" w:color="FFFFFF"/>
                    <w:right w:val="single" w:sz="8" w:space="0" w:color="FFFFFF"/>
                  </w:tcBorders>
                  <w:shd w:val="clear" w:color="000000" w:fill="FDE9D9"/>
                  <w:noWrap/>
                  <w:vAlign w:val="center"/>
                  <w:hideMark/>
                </w:tcPr>
                <w:p w14:paraId="6A87D19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4.04 </w:t>
                  </w:r>
                </w:p>
              </w:tc>
              <w:tc>
                <w:tcPr>
                  <w:tcW w:w="899" w:type="dxa"/>
                  <w:tcBorders>
                    <w:top w:val="nil"/>
                    <w:left w:val="nil"/>
                    <w:bottom w:val="single" w:sz="8" w:space="0" w:color="FFFFFF"/>
                    <w:right w:val="single" w:sz="8" w:space="0" w:color="FFFFFF"/>
                  </w:tcBorders>
                  <w:shd w:val="clear" w:color="000000" w:fill="FDE9D9"/>
                  <w:noWrap/>
                  <w:vAlign w:val="center"/>
                  <w:hideMark/>
                </w:tcPr>
                <w:p w14:paraId="778005F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6.13 </w:t>
                  </w:r>
                </w:p>
              </w:tc>
              <w:tc>
                <w:tcPr>
                  <w:tcW w:w="1128" w:type="dxa"/>
                  <w:tcBorders>
                    <w:top w:val="nil"/>
                    <w:left w:val="nil"/>
                    <w:bottom w:val="single" w:sz="8" w:space="0" w:color="FFFFFF"/>
                    <w:right w:val="single" w:sz="8" w:space="0" w:color="FFFFFF"/>
                  </w:tcBorders>
                  <w:shd w:val="clear" w:color="000000" w:fill="FDE9D9"/>
                  <w:noWrap/>
                  <w:vAlign w:val="center"/>
                  <w:hideMark/>
                </w:tcPr>
                <w:p w14:paraId="057291FB"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1757005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0.68 </w:t>
                  </w:r>
                </w:p>
              </w:tc>
              <w:tc>
                <w:tcPr>
                  <w:tcW w:w="899" w:type="dxa"/>
                  <w:tcBorders>
                    <w:top w:val="nil"/>
                    <w:left w:val="nil"/>
                    <w:bottom w:val="single" w:sz="8" w:space="0" w:color="FFFFFF"/>
                    <w:right w:val="single" w:sz="8" w:space="0" w:color="FFFFFF"/>
                  </w:tcBorders>
                  <w:shd w:val="clear" w:color="000000" w:fill="FDE9D9"/>
                  <w:noWrap/>
                  <w:vAlign w:val="center"/>
                  <w:hideMark/>
                </w:tcPr>
                <w:p w14:paraId="7FB5896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0.85 </w:t>
                  </w:r>
                </w:p>
              </w:tc>
              <w:tc>
                <w:tcPr>
                  <w:tcW w:w="899" w:type="dxa"/>
                  <w:tcBorders>
                    <w:top w:val="nil"/>
                    <w:left w:val="nil"/>
                    <w:bottom w:val="single" w:sz="8" w:space="0" w:color="FFFFFF"/>
                    <w:right w:val="single" w:sz="8" w:space="0" w:color="FFFFFF"/>
                  </w:tcBorders>
                  <w:shd w:val="clear" w:color="000000" w:fill="FDE9D9"/>
                  <w:noWrap/>
                  <w:vAlign w:val="center"/>
                  <w:hideMark/>
                </w:tcPr>
                <w:p w14:paraId="72655FA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1.03 </w:t>
                  </w:r>
                </w:p>
              </w:tc>
              <w:tc>
                <w:tcPr>
                  <w:tcW w:w="899" w:type="dxa"/>
                  <w:tcBorders>
                    <w:top w:val="nil"/>
                    <w:left w:val="nil"/>
                    <w:bottom w:val="single" w:sz="8" w:space="0" w:color="FFFFFF"/>
                    <w:right w:val="single" w:sz="8" w:space="0" w:color="FFFFFF"/>
                  </w:tcBorders>
                  <w:shd w:val="clear" w:color="000000" w:fill="FDE9D9"/>
                  <w:noWrap/>
                  <w:vAlign w:val="center"/>
                  <w:hideMark/>
                </w:tcPr>
                <w:p w14:paraId="36127F4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3.12 </w:t>
                  </w:r>
                </w:p>
              </w:tc>
            </w:tr>
            <w:tr w:rsidR="00F62F43" w:rsidRPr="00F62F43" w14:paraId="57250772"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49B598DB"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56B5DD6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4.00 </w:t>
                  </w:r>
                </w:p>
              </w:tc>
              <w:tc>
                <w:tcPr>
                  <w:tcW w:w="900" w:type="dxa"/>
                  <w:tcBorders>
                    <w:top w:val="nil"/>
                    <w:left w:val="nil"/>
                    <w:bottom w:val="single" w:sz="8" w:space="0" w:color="FFFFFF"/>
                    <w:right w:val="single" w:sz="8" w:space="0" w:color="FFFFFF"/>
                  </w:tcBorders>
                  <w:shd w:val="clear" w:color="000000" w:fill="FCD5B4"/>
                  <w:noWrap/>
                  <w:vAlign w:val="center"/>
                  <w:hideMark/>
                </w:tcPr>
                <w:p w14:paraId="19FB9C1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4.21 </w:t>
                  </w:r>
                </w:p>
              </w:tc>
              <w:tc>
                <w:tcPr>
                  <w:tcW w:w="900" w:type="dxa"/>
                  <w:tcBorders>
                    <w:top w:val="nil"/>
                    <w:left w:val="nil"/>
                    <w:bottom w:val="single" w:sz="8" w:space="0" w:color="FFFFFF"/>
                    <w:right w:val="single" w:sz="8" w:space="0" w:color="FFFFFF"/>
                  </w:tcBorders>
                  <w:shd w:val="clear" w:color="000000" w:fill="FCD5B4"/>
                  <w:noWrap/>
                  <w:vAlign w:val="center"/>
                  <w:hideMark/>
                </w:tcPr>
                <w:p w14:paraId="649F4EB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4.56 </w:t>
                  </w:r>
                </w:p>
              </w:tc>
              <w:tc>
                <w:tcPr>
                  <w:tcW w:w="899" w:type="dxa"/>
                  <w:tcBorders>
                    <w:top w:val="nil"/>
                    <w:left w:val="nil"/>
                    <w:bottom w:val="single" w:sz="8" w:space="0" w:color="FFFFFF"/>
                    <w:right w:val="single" w:sz="8" w:space="0" w:color="FFFFFF"/>
                  </w:tcBorders>
                  <w:shd w:val="clear" w:color="000000" w:fill="FCD5B4"/>
                  <w:noWrap/>
                  <w:vAlign w:val="center"/>
                  <w:hideMark/>
                </w:tcPr>
                <w:p w14:paraId="4E9B4C5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6.73 </w:t>
                  </w:r>
                </w:p>
              </w:tc>
              <w:tc>
                <w:tcPr>
                  <w:tcW w:w="1128" w:type="dxa"/>
                  <w:tcBorders>
                    <w:top w:val="nil"/>
                    <w:left w:val="nil"/>
                    <w:bottom w:val="single" w:sz="8" w:space="0" w:color="FFFFFF"/>
                    <w:right w:val="single" w:sz="8" w:space="0" w:color="FFFFFF"/>
                  </w:tcBorders>
                  <w:shd w:val="clear" w:color="000000" w:fill="FCD5B4"/>
                  <w:noWrap/>
                  <w:vAlign w:val="center"/>
                  <w:hideMark/>
                </w:tcPr>
                <w:p w14:paraId="36CDB174"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C1D79E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0.85 </w:t>
                  </w:r>
                </w:p>
              </w:tc>
              <w:tc>
                <w:tcPr>
                  <w:tcW w:w="899" w:type="dxa"/>
                  <w:tcBorders>
                    <w:top w:val="nil"/>
                    <w:left w:val="nil"/>
                    <w:bottom w:val="single" w:sz="8" w:space="0" w:color="FFFFFF"/>
                    <w:right w:val="single" w:sz="8" w:space="0" w:color="FFFFFF"/>
                  </w:tcBorders>
                  <w:shd w:val="clear" w:color="000000" w:fill="FCD5B4"/>
                  <w:noWrap/>
                  <w:vAlign w:val="center"/>
                  <w:hideMark/>
                </w:tcPr>
                <w:p w14:paraId="61DB10D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1.06 </w:t>
                  </w:r>
                </w:p>
              </w:tc>
              <w:tc>
                <w:tcPr>
                  <w:tcW w:w="899" w:type="dxa"/>
                  <w:tcBorders>
                    <w:top w:val="nil"/>
                    <w:left w:val="nil"/>
                    <w:bottom w:val="single" w:sz="8" w:space="0" w:color="FFFFFF"/>
                    <w:right w:val="single" w:sz="8" w:space="0" w:color="FFFFFF"/>
                  </w:tcBorders>
                  <w:shd w:val="clear" w:color="000000" w:fill="FCD5B4"/>
                  <w:noWrap/>
                  <w:vAlign w:val="center"/>
                  <w:hideMark/>
                </w:tcPr>
                <w:p w14:paraId="2C2244E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1.41 </w:t>
                  </w:r>
                </w:p>
              </w:tc>
              <w:tc>
                <w:tcPr>
                  <w:tcW w:w="899" w:type="dxa"/>
                  <w:tcBorders>
                    <w:top w:val="nil"/>
                    <w:left w:val="nil"/>
                    <w:bottom w:val="single" w:sz="8" w:space="0" w:color="FFFFFF"/>
                    <w:right w:val="single" w:sz="8" w:space="0" w:color="FFFFFF"/>
                  </w:tcBorders>
                  <w:shd w:val="clear" w:color="000000" w:fill="FCD5B4"/>
                  <w:noWrap/>
                  <w:vAlign w:val="center"/>
                  <w:hideMark/>
                </w:tcPr>
                <w:p w14:paraId="39BB07B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3.58 </w:t>
                  </w:r>
                </w:p>
              </w:tc>
            </w:tr>
            <w:tr w:rsidR="00F62F43" w:rsidRPr="00F62F43" w14:paraId="08F95A50"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29B912E"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651D79B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4.18 </w:t>
                  </w:r>
                </w:p>
              </w:tc>
              <w:tc>
                <w:tcPr>
                  <w:tcW w:w="900" w:type="dxa"/>
                  <w:tcBorders>
                    <w:top w:val="nil"/>
                    <w:left w:val="nil"/>
                    <w:bottom w:val="single" w:sz="8" w:space="0" w:color="FFFFFF"/>
                    <w:right w:val="single" w:sz="8" w:space="0" w:color="FFFFFF"/>
                  </w:tcBorders>
                  <w:shd w:val="clear" w:color="000000" w:fill="FDE9D9"/>
                  <w:noWrap/>
                  <w:vAlign w:val="center"/>
                  <w:hideMark/>
                </w:tcPr>
                <w:p w14:paraId="36D3197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4.48 </w:t>
                  </w:r>
                </w:p>
              </w:tc>
              <w:tc>
                <w:tcPr>
                  <w:tcW w:w="900" w:type="dxa"/>
                  <w:tcBorders>
                    <w:top w:val="nil"/>
                    <w:left w:val="nil"/>
                    <w:bottom w:val="single" w:sz="8" w:space="0" w:color="FFFFFF"/>
                    <w:right w:val="single" w:sz="8" w:space="0" w:color="FFFFFF"/>
                  </w:tcBorders>
                  <w:shd w:val="clear" w:color="000000" w:fill="FDE9D9"/>
                  <w:noWrap/>
                  <w:vAlign w:val="center"/>
                  <w:hideMark/>
                </w:tcPr>
                <w:p w14:paraId="5B8444E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4.86 </w:t>
                  </w:r>
                </w:p>
              </w:tc>
              <w:tc>
                <w:tcPr>
                  <w:tcW w:w="899" w:type="dxa"/>
                  <w:tcBorders>
                    <w:top w:val="nil"/>
                    <w:left w:val="nil"/>
                    <w:bottom w:val="single" w:sz="8" w:space="0" w:color="FFFFFF"/>
                    <w:right w:val="single" w:sz="8" w:space="0" w:color="FFFFFF"/>
                  </w:tcBorders>
                  <w:shd w:val="clear" w:color="000000" w:fill="FDE9D9"/>
                  <w:noWrap/>
                  <w:vAlign w:val="center"/>
                  <w:hideMark/>
                </w:tcPr>
                <w:p w14:paraId="7C54B3A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7.04 </w:t>
                  </w:r>
                </w:p>
              </w:tc>
              <w:tc>
                <w:tcPr>
                  <w:tcW w:w="1128" w:type="dxa"/>
                  <w:tcBorders>
                    <w:top w:val="nil"/>
                    <w:left w:val="nil"/>
                    <w:bottom w:val="single" w:sz="8" w:space="0" w:color="FFFFFF"/>
                    <w:right w:val="single" w:sz="8" w:space="0" w:color="FFFFFF"/>
                  </w:tcBorders>
                  <w:shd w:val="clear" w:color="000000" w:fill="FDE9D9"/>
                  <w:noWrap/>
                  <w:vAlign w:val="center"/>
                  <w:hideMark/>
                </w:tcPr>
                <w:p w14:paraId="587DD88D"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6EE977D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0.91 </w:t>
                  </w:r>
                </w:p>
              </w:tc>
              <w:tc>
                <w:tcPr>
                  <w:tcW w:w="899" w:type="dxa"/>
                  <w:tcBorders>
                    <w:top w:val="nil"/>
                    <w:left w:val="nil"/>
                    <w:bottom w:val="single" w:sz="8" w:space="0" w:color="FFFFFF"/>
                    <w:right w:val="single" w:sz="8" w:space="0" w:color="FFFFFF"/>
                  </w:tcBorders>
                  <w:shd w:val="clear" w:color="000000" w:fill="FDE9D9"/>
                  <w:noWrap/>
                  <w:vAlign w:val="center"/>
                  <w:hideMark/>
                </w:tcPr>
                <w:p w14:paraId="0DA7F63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1.21 </w:t>
                  </w:r>
                </w:p>
              </w:tc>
              <w:tc>
                <w:tcPr>
                  <w:tcW w:w="899" w:type="dxa"/>
                  <w:tcBorders>
                    <w:top w:val="nil"/>
                    <w:left w:val="nil"/>
                    <w:bottom w:val="single" w:sz="8" w:space="0" w:color="FFFFFF"/>
                    <w:right w:val="single" w:sz="8" w:space="0" w:color="FFFFFF"/>
                  </w:tcBorders>
                  <w:shd w:val="clear" w:color="000000" w:fill="FDE9D9"/>
                  <w:noWrap/>
                  <w:vAlign w:val="center"/>
                  <w:hideMark/>
                </w:tcPr>
                <w:p w14:paraId="7F9D2D9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1.59 </w:t>
                  </w:r>
                </w:p>
              </w:tc>
              <w:tc>
                <w:tcPr>
                  <w:tcW w:w="899" w:type="dxa"/>
                  <w:tcBorders>
                    <w:top w:val="nil"/>
                    <w:left w:val="nil"/>
                    <w:bottom w:val="single" w:sz="8" w:space="0" w:color="FFFFFF"/>
                    <w:right w:val="single" w:sz="8" w:space="0" w:color="FFFFFF"/>
                  </w:tcBorders>
                  <w:shd w:val="clear" w:color="000000" w:fill="FDE9D9"/>
                  <w:noWrap/>
                  <w:vAlign w:val="center"/>
                  <w:hideMark/>
                </w:tcPr>
                <w:p w14:paraId="4BEAC7A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3.77 </w:t>
                  </w:r>
                </w:p>
              </w:tc>
            </w:tr>
            <w:tr w:rsidR="00F62F43" w:rsidRPr="00F62F43" w14:paraId="712585A1"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610A54F9"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646AD13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3.73 </w:t>
                  </w:r>
                </w:p>
              </w:tc>
              <w:tc>
                <w:tcPr>
                  <w:tcW w:w="900" w:type="dxa"/>
                  <w:tcBorders>
                    <w:top w:val="nil"/>
                    <w:left w:val="nil"/>
                    <w:bottom w:val="single" w:sz="8" w:space="0" w:color="FFFFFF"/>
                    <w:right w:val="single" w:sz="8" w:space="0" w:color="FFFFFF"/>
                  </w:tcBorders>
                  <w:shd w:val="clear" w:color="000000" w:fill="FCD5B4"/>
                  <w:noWrap/>
                  <w:vAlign w:val="center"/>
                  <w:hideMark/>
                </w:tcPr>
                <w:p w14:paraId="70E8EF0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3.83 </w:t>
                  </w:r>
                </w:p>
              </w:tc>
              <w:tc>
                <w:tcPr>
                  <w:tcW w:w="900" w:type="dxa"/>
                  <w:tcBorders>
                    <w:top w:val="nil"/>
                    <w:left w:val="nil"/>
                    <w:bottom w:val="single" w:sz="8" w:space="0" w:color="FFFFFF"/>
                    <w:right w:val="single" w:sz="8" w:space="0" w:color="FFFFFF"/>
                  </w:tcBorders>
                  <w:shd w:val="clear" w:color="000000" w:fill="FCD5B4"/>
                  <w:noWrap/>
                  <w:vAlign w:val="center"/>
                  <w:hideMark/>
                </w:tcPr>
                <w:p w14:paraId="3326439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3.93 </w:t>
                  </w:r>
                </w:p>
              </w:tc>
              <w:tc>
                <w:tcPr>
                  <w:tcW w:w="899" w:type="dxa"/>
                  <w:tcBorders>
                    <w:top w:val="nil"/>
                    <w:left w:val="nil"/>
                    <w:bottom w:val="single" w:sz="8" w:space="0" w:color="FFFFFF"/>
                    <w:right w:val="single" w:sz="8" w:space="0" w:color="FFFFFF"/>
                  </w:tcBorders>
                  <w:shd w:val="clear" w:color="000000" w:fill="FCD5B4"/>
                  <w:noWrap/>
                  <w:vAlign w:val="center"/>
                  <w:hideMark/>
                </w:tcPr>
                <w:p w14:paraId="5DFC01A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5.65 </w:t>
                  </w:r>
                </w:p>
              </w:tc>
              <w:tc>
                <w:tcPr>
                  <w:tcW w:w="1128" w:type="dxa"/>
                  <w:tcBorders>
                    <w:top w:val="nil"/>
                    <w:left w:val="nil"/>
                    <w:bottom w:val="single" w:sz="8" w:space="0" w:color="FFFFFF"/>
                    <w:right w:val="single" w:sz="8" w:space="0" w:color="FFFFFF"/>
                  </w:tcBorders>
                  <w:shd w:val="clear" w:color="000000" w:fill="FCD5B4"/>
                  <w:noWrap/>
                  <w:vAlign w:val="center"/>
                  <w:hideMark/>
                </w:tcPr>
                <w:p w14:paraId="27D81892"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283355A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0.71 </w:t>
                  </w:r>
                </w:p>
              </w:tc>
              <w:tc>
                <w:tcPr>
                  <w:tcW w:w="899" w:type="dxa"/>
                  <w:tcBorders>
                    <w:top w:val="nil"/>
                    <w:left w:val="nil"/>
                    <w:bottom w:val="single" w:sz="8" w:space="0" w:color="FFFFFF"/>
                    <w:right w:val="single" w:sz="8" w:space="0" w:color="FFFFFF"/>
                  </w:tcBorders>
                  <w:shd w:val="clear" w:color="000000" w:fill="FCD5B4"/>
                  <w:noWrap/>
                  <w:vAlign w:val="center"/>
                  <w:hideMark/>
                </w:tcPr>
                <w:p w14:paraId="5469E5D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0.81 </w:t>
                  </w:r>
                </w:p>
              </w:tc>
              <w:tc>
                <w:tcPr>
                  <w:tcW w:w="899" w:type="dxa"/>
                  <w:tcBorders>
                    <w:top w:val="nil"/>
                    <w:left w:val="nil"/>
                    <w:bottom w:val="single" w:sz="8" w:space="0" w:color="FFFFFF"/>
                    <w:right w:val="single" w:sz="8" w:space="0" w:color="FFFFFF"/>
                  </w:tcBorders>
                  <w:shd w:val="clear" w:color="000000" w:fill="FCD5B4"/>
                  <w:noWrap/>
                  <w:vAlign w:val="center"/>
                  <w:hideMark/>
                </w:tcPr>
                <w:p w14:paraId="7DA38B2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0.92 </w:t>
                  </w:r>
                </w:p>
              </w:tc>
              <w:tc>
                <w:tcPr>
                  <w:tcW w:w="899" w:type="dxa"/>
                  <w:tcBorders>
                    <w:top w:val="nil"/>
                    <w:left w:val="nil"/>
                    <w:bottom w:val="single" w:sz="8" w:space="0" w:color="FFFFFF"/>
                    <w:right w:val="single" w:sz="8" w:space="0" w:color="FFFFFF"/>
                  </w:tcBorders>
                  <w:shd w:val="clear" w:color="000000" w:fill="FCD5B4"/>
                  <w:noWrap/>
                  <w:vAlign w:val="center"/>
                  <w:hideMark/>
                </w:tcPr>
                <w:p w14:paraId="061F12E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2.64 </w:t>
                  </w:r>
                </w:p>
              </w:tc>
            </w:tr>
            <w:tr w:rsidR="00F62F43" w:rsidRPr="00F62F43" w14:paraId="08BC01BD"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7845D89"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3C0527E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4.03 </w:t>
                  </w:r>
                </w:p>
              </w:tc>
              <w:tc>
                <w:tcPr>
                  <w:tcW w:w="900" w:type="dxa"/>
                  <w:tcBorders>
                    <w:top w:val="nil"/>
                    <w:left w:val="nil"/>
                    <w:bottom w:val="single" w:sz="8" w:space="0" w:color="FFFFFF"/>
                    <w:right w:val="single" w:sz="8" w:space="0" w:color="FFFFFF"/>
                  </w:tcBorders>
                  <w:shd w:val="clear" w:color="000000" w:fill="FDE9D9"/>
                  <w:noWrap/>
                  <w:vAlign w:val="center"/>
                  <w:hideMark/>
                </w:tcPr>
                <w:p w14:paraId="2CD8F90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4.16 </w:t>
                  </w:r>
                </w:p>
              </w:tc>
              <w:tc>
                <w:tcPr>
                  <w:tcW w:w="900" w:type="dxa"/>
                  <w:tcBorders>
                    <w:top w:val="nil"/>
                    <w:left w:val="nil"/>
                    <w:bottom w:val="single" w:sz="8" w:space="0" w:color="FFFFFF"/>
                    <w:right w:val="single" w:sz="8" w:space="0" w:color="FFFFFF"/>
                  </w:tcBorders>
                  <w:shd w:val="clear" w:color="000000" w:fill="FDE9D9"/>
                  <w:noWrap/>
                  <w:vAlign w:val="center"/>
                  <w:hideMark/>
                </w:tcPr>
                <w:p w14:paraId="1AD5494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4.38 </w:t>
                  </w:r>
                </w:p>
              </w:tc>
              <w:tc>
                <w:tcPr>
                  <w:tcW w:w="899" w:type="dxa"/>
                  <w:tcBorders>
                    <w:top w:val="nil"/>
                    <w:left w:val="nil"/>
                    <w:bottom w:val="single" w:sz="8" w:space="0" w:color="FFFFFF"/>
                    <w:right w:val="single" w:sz="8" w:space="0" w:color="FFFFFF"/>
                  </w:tcBorders>
                  <w:shd w:val="clear" w:color="000000" w:fill="FDE9D9"/>
                  <w:noWrap/>
                  <w:vAlign w:val="center"/>
                  <w:hideMark/>
                </w:tcPr>
                <w:p w14:paraId="0369A95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6.62 </w:t>
                  </w:r>
                </w:p>
              </w:tc>
              <w:tc>
                <w:tcPr>
                  <w:tcW w:w="1128" w:type="dxa"/>
                  <w:tcBorders>
                    <w:top w:val="nil"/>
                    <w:left w:val="nil"/>
                    <w:bottom w:val="single" w:sz="8" w:space="0" w:color="FFFFFF"/>
                    <w:right w:val="single" w:sz="8" w:space="0" w:color="FFFFFF"/>
                  </w:tcBorders>
                  <w:shd w:val="clear" w:color="000000" w:fill="FDE9D9"/>
                  <w:noWrap/>
                  <w:vAlign w:val="center"/>
                  <w:hideMark/>
                </w:tcPr>
                <w:p w14:paraId="079292C7"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1D158EC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0.87 </w:t>
                  </w:r>
                </w:p>
              </w:tc>
              <w:tc>
                <w:tcPr>
                  <w:tcW w:w="899" w:type="dxa"/>
                  <w:tcBorders>
                    <w:top w:val="nil"/>
                    <w:left w:val="nil"/>
                    <w:bottom w:val="single" w:sz="8" w:space="0" w:color="FFFFFF"/>
                    <w:right w:val="single" w:sz="8" w:space="0" w:color="FFFFFF"/>
                  </w:tcBorders>
                  <w:shd w:val="clear" w:color="000000" w:fill="FDE9D9"/>
                  <w:noWrap/>
                  <w:vAlign w:val="center"/>
                  <w:hideMark/>
                </w:tcPr>
                <w:p w14:paraId="5F13EBE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1.00 </w:t>
                  </w:r>
                </w:p>
              </w:tc>
              <w:tc>
                <w:tcPr>
                  <w:tcW w:w="899" w:type="dxa"/>
                  <w:tcBorders>
                    <w:top w:val="nil"/>
                    <w:left w:val="nil"/>
                    <w:bottom w:val="single" w:sz="8" w:space="0" w:color="FFFFFF"/>
                    <w:right w:val="single" w:sz="8" w:space="0" w:color="FFFFFF"/>
                  </w:tcBorders>
                  <w:shd w:val="clear" w:color="000000" w:fill="FDE9D9"/>
                  <w:noWrap/>
                  <w:vAlign w:val="center"/>
                  <w:hideMark/>
                </w:tcPr>
                <w:p w14:paraId="1A4E7EF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1.23 </w:t>
                  </w:r>
                </w:p>
              </w:tc>
              <w:tc>
                <w:tcPr>
                  <w:tcW w:w="899" w:type="dxa"/>
                  <w:tcBorders>
                    <w:top w:val="nil"/>
                    <w:left w:val="nil"/>
                    <w:bottom w:val="single" w:sz="8" w:space="0" w:color="FFFFFF"/>
                    <w:right w:val="single" w:sz="8" w:space="0" w:color="FFFFFF"/>
                  </w:tcBorders>
                  <w:shd w:val="clear" w:color="000000" w:fill="FDE9D9"/>
                  <w:noWrap/>
                  <w:vAlign w:val="center"/>
                  <w:hideMark/>
                </w:tcPr>
                <w:p w14:paraId="5069DFD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3.47 </w:t>
                  </w:r>
                </w:p>
              </w:tc>
            </w:tr>
            <w:tr w:rsidR="00F62F43" w:rsidRPr="00F62F43" w14:paraId="5A6766EC" w14:textId="77777777" w:rsidTr="00F62F43">
              <w:trPr>
                <w:trHeight w:val="300"/>
              </w:trPr>
              <w:tc>
                <w:tcPr>
                  <w:tcW w:w="1316" w:type="dxa"/>
                  <w:tcBorders>
                    <w:top w:val="nil"/>
                    <w:left w:val="nil"/>
                    <w:bottom w:val="nil"/>
                    <w:right w:val="nil"/>
                  </w:tcBorders>
                  <w:shd w:val="clear" w:color="000000" w:fill="FCD5B4"/>
                  <w:noWrap/>
                  <w:vAlign w:val="center"/>
                  <w:hideMark/>
                </w:tcPr>
                <w:p w14:paraId="2F9B549A"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7509607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4.24 </w:t>
                  </w:r>
                </w:p>
              </w:tc>
              <w:tc>
                <w:tcPr>
                  <w:tcW w:w="900" w:type="dxa"/>
                  <w:tcBorders>
                    <w:top w:val="nil"/>
                    <w:left w:val="nil"/>
                    <w:bottom w:val="single" w:sz="8" w:space="0" w:color="FFFFFF"/>
                    <w:right w:val="single" w:sz="8" w:space="0" w:color="FFFFFF"/>
                  </w:tcBorders>
                  <w:shd w:val="clear" w:color="000000" w:fill="FCD5B4"/>
                  <w:noWrap/>
                  <w:vAlign w:val="center"/>
                  <w:hideMark/>
                </w:tcPr>
                <w:p w14:paraId="03C6FB9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4.44 </w:t>
                  </w:r>
                </w:p>
              </w:tc>
              <w:tc>
                <w:tcPr>
                  <w:tcW w:w="900" w:type="dxa"/>
                  <w:tcBorders>
                    <w:top w:val="nil"/>
                    <w:left w:val="nil"/>
                    <w:bottom w:val="single" w:sz="8" w:space="0" w:color="FFFFFF"/>
                    <w:right w:val="single" w:sz="8" w:space="0" w:color="FFFFFF"/>
                  </w:tcBorders>
                  <w:shd w:val="clear" w:color="000000" w:fill="FCD5B4"/>
                  <w:noWrap/>
                  <w:vAlign w:val="center"/>
                  <w:hideMark/>
                </w:tcPr>
                <w:p w14:paraId="03ADBC0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4.76 </w:t>
                  </w:r>
                </w:p>
              </w:tc>
              <w:tc>
                <w:tcPr>
                  <w:tcW w:w="899" w:type="dxa"/>
                  <w:tcBorders>
                    <w:top w:val="nil"/>
                    <w:left w:val="nil"/>
                    <w:bottom w:val="single" w:sz="8" w:space="0" w:color="FFFFFF"/>
                    <w:right w:val="single" w:sz="8" w:space="0" w:color="FFFFFF"/>
                  </w:tcBorders>
                  <w:shd w:val="clear" w:color="000000" w:fill="FCD5B4"/>
                  <w:noWrap/>
                  <w:vAlign w:val="center"/>
                  <w:hideMark/>
                </w:tcPr>
                <w:p w14:paraId="3B12FD8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7.14 </w:t>
                  </w:r>
                </w:p>
              </w:tc>
              <w:tc>
                <w:tcPr>
                  <w:tcW w:w="1128" w:type="dxa"/>
                  <w:tcBorders>
                    <w:top w:val="nil"/>
                    <w:left w:val="nil"/>
                    <w:bottom w:val="nil"/>
                    <w:right w:val="nil"/>
                  </w:tcBorders>
                  <w:shd w:val="clear" w:color="000000" w:fill="FCD5B4"/>
                  <w:noWrap/>
                  <w:vAlign w:val="center"/>
                  <w:hideMark/>
                </w:tcPr>
                <w:p w14:paraId="62962672"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354DD8E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0.96 </w:t>
                  </w:r>
                </w:p>
              </w:tc>
              <w:tc>
                <w:tcPr>
                  <w:tcW w:w="899" w:type="dxa"/>
                  <w:tcBorders>
                    <w:top w:val="nil"/>
                    <w:left w:val="nil"/>
                    <w:bottom w:val="single" w:sz="8" w:space="0" w:color="FFFFFF"/>
                    <w:right w:val="single" w:sz="8" w:space="0" w:color="FFFFFF"/>
                  </w:tcBorders>
                  <w:shd w:val="clear" w:color="000000" w:fill="FCD5B4"/>
                  <w:noWrap/>
                  <w:vAlign w:val="center"/>
                  <w:hideMark/>
                </w:tcPr>
                <w:p w14:paraId="0686E89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1.16 </w:t>
                  </w:r>
                </w:p>
              </w:tc>
              <w:tc>
                <w:tcPr>
                  <w:tcW w:w="899" w:type="dxa"/>
                  <w:tcBorders>
                    <w:top w:val="nil"/>
                    <w:left w:val="nil"/>
                    <w:bottom w:val="single" w:sz="8" w:space="0" w:color="FFFFFF"/>
                    <w:right w:val="single" w:sz="8" w:space="0" w:color="FFFFFF"/>
                  </w:tcBorders>
                  <w:shd w:val="clear" w:color="000000" w:fill="FCD5B4"/>
                  <w:noWrap/>
                  <w:vAlign w:val="center"/>
                  <w:hideMark/>
                </w:tcPr>
                <w:p w14:paraId="0094C39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1.48 </w:t>
                  </w:r>
                </w:p>
              </w:tc>
              <w:tc>
                <w:tcPr>
                  <w:tcW w:w="899" w:type="dxa"/>
                  <w:tcBorders>
                    <w:top w:val="nil"/>
                    <w:left w:val="nil"/>
                    <w:bottom w:val="single" w:sz="8" w:space="0" w:color="FFFFFF"/>
                    <w:right w:val="single" w:sz="8" w:space="0" w:color="FFFFFF"/>
                  </w:tcBorders>
                  <w:shd w:val="clear" w:color="000000" w:fill="FCD5B4"/>
                  <w:noWrap/>
                  <w:vAlign w:val="center"/>
                  <w:hideMark/>
                </w:tcPr>
                <w:p w14:paraId="661F50B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3.86 </w:t>
                  </w:r>
                </w:p>
              </w:tc>
            </w:tr>
            <w:tr w:rsidR="00F62F43" w:rsidRPr="00F62F43" w14:paraId="1FBDC3DF" w14:textId="77777777" w:rsidTr="00F62F43">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4C40F778" w14:textId="77777777" w:rsidR="00F62F43" w:rsidRPr="00F62F43" w:rsidRDefault="00F62F43" w:rsidP="00F62F43">
                  <w:pPr>
                    <w:widowControl/>
                    <w:jc w:val="center"/>
                    <w:rPr>
                      <w:rFonts w:ascii="楷体" w:eastAsia="楷体" w:hAnsi="楷体" w:cs="宋体"/>
                      <w:b/>
                      <w:bCs/>
                      <w:color w:val="FFFFFF"/>
                      <w:kern w:val="0"/>
                      <w:sz w:val="20"/>
                      <w:szCs w:val="20"/>
                    </w:rPr>
                  </w:pPr>
                  <w:proofErr w:type="gramStart"/>
                  <w:r w:rsidRPr="00F62F43">
                    <w:rPr>
                      <w:rFonts w:ascii="楷体" w:eastAsia="楷体" w:hAnsi="楷体" w:cs="宋体" w:hint="eastAsia"/>
                      <w:b/>
                      <w:bCs/>
                      <w:color w:val="FFFFFF"/>
                      <w:kern w:val="0"/>
                      <w:sz w:val="20"/>
                      <w:szCs w:val="20"/>
                    </w:rPr>
                    <w:t>周变化</w:t>
                  </w:r>
                  <w:proofErr w:type="gramEnd"/>
                  <w:r w:rsidRPr="00F62F43">
                    <w:rPr>
                      <w:rFonts w:ascii="楷体" w:eastAsia="楷体" w:hAnsi="楷体" w:cs="宋体" w:hint="eastAsia"/>
                      <w:b/>
                      <w:bCs/>
                      <w:color w:val="FFFFFF"/>
                      <w:kern w:val="0"/>
                      <w:sz w:val="20"/>
                      <w:szCs w:val="20"/>
                    </w:rPr>
                    <w:t>(BP)</w:t>
                  </w:r>
                </w:p>
              </w:tc>
              <w:tc>
                <w:tcPr>
                  <w:tcW w:w="899" w:type="dxa"/>
                  <w:tcBorders>
                    <w:top w:val="nil"/>
                    <w:left w:val="nil"/>
                    <w:bottom w:val="single" w:sz="12" w:space="0" w:color="FFFFFF"/>
                    <w:right w:val="single" w:sz="8" w:space="0" w:color="FFFFFF"/>
                  </w:tcBorders>
                  <w:shd w:val="clear" w:color="000000" w:fill="F79646"/>
                  <w:noWrap/>
                  <w:vAlign w:val="center"/>
                  <w:hideMark/>
                </w:tcPr>
                <w:p w14:paraId="7362991F"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289934FF"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1892E27F"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607DD08"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06B74CE8"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410E2152"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62113BD"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DFF2867"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0BDE317"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r>
            <w:tr w:rsidR="00F62F43" w:rsidRPr="00F62F43" w14:paraId="37BFBB6F" w14:textId="77777777" w:rsidTr="00F62F43">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4E1005AC"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57B6722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-0.1 </w:t>
                  </w:r>
                </w:p>
              </w:tc>
              <w:tc>
                <w:tcPr>
                  <w:tcW w:w="900" w:type="dxa"/>
                  <w:tcBorders>
                    <w:top w:val="nil"/>
                    <w:left w:val="nil"/>
                    <w:bottom w:val="single" w:sz="8" w:space="0" w:color="FFFFFF"/>
                    <w:right w:val="single" w:sz="8" w:space="0" w:color="FFFFFF"/>
                  </w:tcBorders>
                  <w:shd w:val="clear" w:color="000000" w:fill="FCD5B4"/>
                  <w:noWrap/>
                  <w:vAlign w:val="center"/>
                  <w:hideMark/>
                </w:tcPr>
                <w:p w14:paraId="0D45ED6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900" w:type="dxa"/>
                  <w:tcBorders>
                    <w:top w:val="nil"/>
                    <w:left w:val="nil"/>
                    <w:bottom w:val="single" w:sz="8" w:space="0" w:color="FFFFFF"/>
                    <w:right w:val="single" w:sz="8" w:space="0" w:color="FFFFFF"/>
                  </w:tcBorders>
                  <w:shd w:val="clear" w:color="000000" w:fill="FCD5B4"/>
                  <w:noWrap/>
                  <w:vAlign w:val="center"/>
                  <w:hideMark/>
                </w:tcPr>
                <w:p w14:paraId="4EB15AD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899" w:type="dxa"/>
                  <w:tcBorders>
                    <w:top w:val="nil"/>
                    <w:left w:val="nil"/>
                    <w:bottom w:val="single" w:sz="8" w:space="0" w:color="FFFFFF"/>
                    <w:right w:val="single" w:sz="8" w:space="0" w:color="FFFFFF"/>
                  </w:tcBorders>
                  <w:shd w:val="clear" w:color="000000" w:fill="FCD5B4"/>
                  <w:noWrap/>
                  <w:vAlign w:val="center"/>
                  <w:hideMark/>
                </w:tcPr>
                <w:p w14:paraId="04F6BC7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1128" w:type="dxa"/>
                  <w:tcBorders>
                    <w:top w:val="nil"/>
                    <w:left w:val="nil"/>
                    <w:bottom w:val="single" w:sz="8" w:space="0" w:color="FFFFFF"/>
                    <w:right w:val="single" w:sz="8" w:space="0" w:color="FFFFFF"/>
                  </w:tcBorders>
                  <w:shd w:val="clear" w:color="000000" w:fill="FCD5B4"/>
                  <w:noWrap/>
                  <w:vAlign w:val="center"/>
                  <w:hideMark/>
                </w:tcPr>
                <w:p w14:paraId="08A87986"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24AB2D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0.5 </w:t>
                  </w:r>
                </w:p>
              </w:tc>
              <w:tc>
                <w:tcPr>
                  <w:tcW w:w="899" w:type="dxa"/>
                  <w:tcBorders>
                    <w:top w:val="nil"/>
                    <w:left w:val="nil"/>
                    <w:bottom w:val="single" w:sz="8" w:space="0" w:color="FFFFFF"/>
                    <w:right w:val="single" w:sz="8" w:space="0" w:color="FFFFFF"/>
                  </w:tcBorders>
                  <w:shd w:val="clear" w:color="000000" w:fill="FCD5B4"/>
                  <w:noWrap/>
                  <w:vAlign w:val="center"/>
                  <w:hideMark/>
                </w:tcPr>
                <w:p w14:paraId="46BACB0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-0.5 </w:t>
                  </w:r>
                </w:p>
              </w:tc>
              <w:tc>
                <w:tcPr>
                  <w:tcW w:w="899" w:type="dxa"/>
                  <w:tcBorders>
                    <w:top w:val="nil"/>
                    <w:left w:val="nil"/>
                    <w:bottom w:val="single" w:sz="8" w:space="0" w:color="FFFFFF"/>
                    <w:right w:val="single" w:sz="8" w:space="0" w:color="FFFFFF"/>
                  </w:tcBorders>
                  <w:shd w:val="clear" w:color="000000" w:fill="FCD5B4"/>
                  <w:noWrap/>
                  <w:vAlign w:val="center"/>
                  <w:hideMark/>
                </w:tcPr>
                <w:p w14:paraId="070C845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-0.5 </w:t>
                  </w:r>
                </w:p>
              </w:tc>
              <w:tc>
                <w:tcPr>
                  <w:tcW w:w="899" w:type="dxa"/>
                  <w:tcBorders>
                    <w:top w:val="nil"/>
                    <w:left w:val="nil"/>
                    <w:bottom w:val="single" w:sz="8" w:space="0" w:color="FFFFFF"/>
                    <w:right w:val="single" w:sz="8" w:space="0" w:color="FFFFFF"/>
                  </w:tcBorders>
                  <w:shd w:val="clear" w:color="000000" w:fill="FCD5B4"/>
                  <w:noWrap/>
                  <w:vAlign w:val="center"/>
                  <w:hideMark/>
                </w:tcPr>
                <w:p w14:paraId="063EF16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-0.5 </w:t>
                  </w:r>
                </w:p>
              </w:tc>
            </w:tr>
            <w:tr w:rsidR="00F62F43" w:rsidRPr="00F62F43" w14:paraId="3C6330AD"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518661F2"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2B686BD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-4.9 </w:t>
                  </w:r>
                </w:p>
              </w:tc>
              <w:tc>
                <w:tcPr>
                  <w:tcW w:w="900" w:type="dxa"/>
                  <w:tcBorders>
                    <w:top w:val="nil"/>
                    <w:left w:val="nil"/>
                    <w:bottom w:val="single" w:sz="8" w:space="0" w:color="FFFFFF"/>
                    <w:right w:val="single" w:sz="8" w:space="0" w:color="FFFFFF"/>
                  </w:tcBorders>
                  <w:shd w:val="clear" w:color="000000" w:fill="FDE9D9"/>
                  <w:noWrap/>
                  <w:vAlign w:val="center"/>
                  <w:hideMark/>
                </w:tcPr>
                <w:p w14:paraId="5FFDD24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-3.9 </w:t>
                  </w:r>
                </w:p>
              </w:tc>
              <w:tc>
                <w:tcPr>
                  <w:tcW w:w="900" w:type="dxa"/>
                  <w:tcBorders>
                    <w:top w:val="nil"/>
                    <w:left w:val="nil"/>
                    <w:bottom w:val="single" w:sz="8" w:space="0" w:color="FFFFFF"/>
                    <w:right w:val="single" w:sz="8" w:space="0" w:color="FFFFFF"/>
                  </w:tcBorders>
                  <w:shd w:val="clear" w:color="000000" w:fill="FDE9D9"/>
                  <w:noWrap/>
                  <w:vAlign w:val="center"/>
                  <w:hideMark/>
                </w:tcPr>
                <w:p w14:paraId="27799A7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-1.9 </w:t>
                  </w:r>
                </w:p>
              </w:tc>
              <w:tc>
                <w:tcPr>
                  <w:tcW w:w="899" w:type="dxa"/>
                  <w:tcBorders>
                    <w:top w:val="nil"/>
                    <w:left w:val="nil"/>
                    <w:bottom w:val="single" w:sz="8" w:space="0" w:color="FFFFFF"/>
                    <w:right w:val="single" w:sz="8" w:space="0" w:color="FFFFFF"/>
                  </w:tcBorders>
                  <w:shd w:val="clear" w:color="000000" w:fill="FDE9D9"/>
                  <w:noWrap/>
                  <w:vAlign w:val="center"/>
                  <w:hideMark/>
                </w:tcPr>
                <w:p w14:paraId="7F28379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-1.9 </w:t>
                  </w:r>
                </w:p>
              </w:tc>
              <w:tc>
                <w:tcPr>
                  <w:tcW w:w="1128" w:type="dxa"/>
                  <w:tcBorders>
                    <w:top w:val="nil"/>
                    <w:left w:val="nil"/>
                    <w:bottom w:val="single" w:sz="8" w:space="0" w:color="FFFFFF"/>
                    <w:right w:val="single" w:sz="8" w:space="0" w:color="FFFFFF"/>
                  </w:tcBorders>
                  <w:shd w:val="clear" w:color="000000" w:fill="FDE9D9"/>
                  <w:noWrap/>
                  <w:vAlign w:val="center"/>
                  <w:hideMark/>
                </w:tcPr>
                <w:p w14:paraId="44E9DD65"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5ADF4C6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-7.8 </w:t>
                  </w:r>
                </w:p>
              </w:tc>
              <w:tc>
                <w:tcPr>
                  <w:tcW w:w="899" w:type="dxa"/>
                  <w:tcBorders>
                    <w:top w:val="nil"/>
                    <w:left w:val="nil"/>
                    <w:bottom w:val="single" w:sz="8" w:space="0" w:color="FFFFFF"/>
                    <w:right w:val="single" w:sz="8" w:space="0" w:color="FFFFFF"/>
                  </w:tcBorders>
                  <w:shd w:val="clear" w:color="000000" w:fill="FDE9D9"/>
                  <w:noWrap/>
                  <w:vAlign w:val="center"/>
                  <w:hideMark/>
                </w:tcPr>
                <w:p w14:paraId="4383B82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-6.8 </w:t>
                  </w:r>
                </w:p>
              </w:tc>
              <w:tc>
                <w:tcPr>
                  <w:tcW w:w="899" w:type="dxa"/>
                  <w:tcBorders>
                    <w:top w:val="nil"/>
                    <w:left w:val="nil"/>
                    <w:bottom w:val="single" w:sz="8" w:space="0" w:color="FFFFFF"/>
                    <w:right w:val="single" w:sz="8" w:space="0" w:color="FFFFFF"/>
                  </w:tcBorders>
                  <w:shd w:val="clear" w:color="000000" w:fill="FDE9D9"/>
                  <w:noWrap/>
                  <w:vAlign w:val="center"/>
                  <w:hideMark/>
                </w:tcPr>
                <w:p w14:paraId="2F3D9A9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-4.8 </w:t>
                  </w:r>
                </w:p>
              </w:tc>
              <w:tc>
                <w:tcPr>
                  <w:tcW w:w="899" w:type="dxa"/>
                  <w:tcBorders>
                    <w:top w:val="nil"/>
                    <w:left w:val="nil"/>
                    <w:bottom w:val="single" w:sz="8" w:space="0" w:color="FFFFFF"/>
                    <w:right w:val="single" w:sz="8" w:space="0" w:color="FFFFFF"/>
                  </w:tcBorders>
                  <w:shd w:val="clear" w:color="000000" w:fill="FDE9D9"/>
                  <w:noWrap/>
                  <w:vAlign w:val="center"/>
                  <w:hideMark/>
                </w:tcPr>
                <w:p w14:paraId="6960A9E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-4.8 </w:t>
                  </w:r>
                </w:p>
              </w:tc>
            </w:tr>
            <w:tr w:rsidR="00F62F43" w:rsidRPr="00F62F43" w14:paraId="7D3B9C3F"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444F3F4E"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2F3C60B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-0.3 </w:t>
                  </w:r>
                </w:p>
              </w:tc>
              <w:tc>
                <w:tcPr>
                  <w:tcW w:w="900" w:type="dxa"/>
                  <w:tcBorders>
                    <w:top w:val="nil"/>
                    <w:left w:val="nil"/>
                    <w:bottom w:val="single" w:sz="8" w:space="0" w:color="FFFFFF"/>
                    <w:right w:val="single" w:sz="8" w:space="0" w:color="FFFFFF"/>
                  </w:tcBorders>
                  <w:shd w:val="clear" w:color="000000" w:fill="FCD5B4"/>
                  <w:noWrap/>
                  <w:vAlign w:val="center"/>
                  <w:hideMark/>
                </w:tcPr>
                <w:p w14:paraId="3A57FE7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-1.3 </w:t>
                  </w:r>
                </w:p>
              </w:tc>
              <w:tc>
                <w:tcPr>
                  <w:tcW w:w="900" w:type="dxa"/>
                  <w:tcBorders>
                    <w:top w:val="nil"/>
                    <w:left w:val="nil"/>
                    <w:bottom w:val="single" w:sz="8" w:space="0" w:color="FFFFFF"/>
                    <w:right w:val="single" w:sz="8" w:space="0" w:color="FFFFFF"/>
                  </w:tcBorders>
                  <w:shd w:val="clear" w:color="000000" w:fill="FCD5B4"/>
                  <w:noWrap/>
                  <w:vAlign w:val="center"/>
                  <w:hideMark/>
                </w:tcPr>
                <w:p w14:paraId="5CCAD45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-3.3 </w:t>
                  </w:r>
                </w:p>
              </w:tc>
              <w:tc>
                <w:tcPr>
                  <w:tcW w:w="899" w:type="dxa"/>
                  <w:tcBorders>
                    <w:top w:val="nil"/>
                    <w:left w:val="nil"/>
                    <w:bottom w:val="single" w:sz="8" w:space="0" w:color="FFFFFF"/>
                    <w:right w:val="single" w:sz="8" w:space="0" w:color="FFFFFF"/>
                  </w:tcBorders>
                  <w:shd w:val="clear" w:color="000000" w:fill="FCD5B4"/>
                  <w:noWrap/>
                  <w:vAlign w:val="center"/>
                  <w:hideMark/>
                </w:tcPr>
                <w:p w14:paraId="6C4183D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-3.3 </w:t>
                  </w:r>
                </w:p>
              </w:tc>
              <w:tc>
                <w:tcPr>
                  <w:tcW w:w="1128" w:type="dxa"/>
                  <w:tcBorders>
                    <w:top w:val="nil"/>
                    <w:left w:val="nil"/>
                    <w:bottom w:val="single" w:sz="8" w:space="0" w:color="FFFFFF"/>
                    <w:right w:val="single" w:sz="8" w:space="0" w:color="FFFFFF"/>
                  </w:tcBorders>
                  <w:shd w:val="clear" w:color="000000" w:fill="FCD5B4"/>
                  <w:noWrap/>
                  <w:vAlign w:val="center"/>
                  <w:hideMark/>
                </w:tcPr>
                <w:p w14:paraId="286AE42F"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27C0B14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-4.4 </w:t>
                  </w:r>
                </w:p>
              </w:tc>
              <w:tc>
                <w:tcPr>
                  <w:tcW w:w="899" w:type="dxa"/>
                  <w:tcBorders>
                    <w:top w:val="nil"/>
                    <w:left w:val="nil"/>
                    <w:bottom w:val="single" w:sz="8" w:space="0" w:color="FFFFFF"/>
                    <w:right w:val="single" w:sz="8" w:space="0" w:color="FFFFFF"/>
                  </w:tcBorders>
                  <w:shd w:val="clear" w:color="000000" w:fill="FCD5B4"/>
                  <w:noWrap/>
                  <w:vAlign w:val="center"/>
                  <w:hideMark/>
                </w:tcPr>
                <w:p w14:paraId="265D87D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-5.5 </w:t>
                  </w:r>
                </w:p>
              </w:tc>
              <w:tc>
                <w:tcPr>
                  <w:tcW w:w="899" w:type="dxa"/>
                  <w:tcBorders>
                    <w:top w:val="nil"/>
                    <w:left w:val="nil"/>
                    <w:bottom w:val="single" w:sz="8" w:space="0" w:color="FFFFFF"/>
                    <w:right w:val="single" w:sz="8" w:space="0" w:color="FFFFFF"/>
                  </w:tcBorders>
                  <w:shd w:val="clear" w:color="000000" w:fill="FCD5B4"/>
                  <w:noWrap/>
                  <w:vAlign w:val="center"/>
                  <w:hideMark/>
                </w:tcPr>
                <w:p w14:paraId="6D324DC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-7.5 </w:t>
                  </w:r>
                </w:p>
              </w:tc>
              <w:tc>
                <w:tcPr>
                  <w:tcW w:w="899" w:type="dxa"/>
                  <w:tcBorders>
                    <w:top w:val="nil"/>
                    <w:left w:val="nil"/>
                    <w:bottom w:val="single" w:sz="8" w:space="0" w:color="FFFFFF"/>
                    <w:right w:val="single" w:sz="8" w:space="0" w:color="FFFFFF"/>
                  </w:tcBorders>
                  <w:shd w:val="clear" w:color="000000" w:fill="FCD5B4"/>
                  <w:noWrap/>
                  <w:vAlign w:val="center"/>
                  <w:hideMark/>
                </w:tcPr>
                <w:p w14:paraId="3DDDB37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-7.5 </w:t>
                  </w:r>
                </w:p>
              </w:tc>
            </w:tr>
            <w:tr w:rsidR="00F62F43" w:rsidRPr="00F62F43" w14:paraId="4EE991F7"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72E614EB"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FBD7B4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-7.4 </w:t>
                  </w:r>
                </w:p>
              </w:tc>
              <w:tc>
                <w:tcPr>
                  <w:tcW w:w="900" w:type="dxa"/>
                  <w:tcBorders>
                    <w:top w:val="nil"/>
                    <w:left w:val="nil"/>
                    <w:bottom w:val="single" w:sz="8" w:space="0" w:color="FFFFFF"/>
                    <w:right w:val="single" w:sz="8" w:space="0" w:color="FFFFFF"/>
                  </w:tcBorders>
                  <w:shd w:val="clear" w:color="000000" w:fill="FDE9D9"/>
                  <w:noWrap/>
                  <w:vAlign w:val="center"/>
                  <w:hideMark/>
                </w:tcPr>
                <w:p w14:paraId="232F08A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-6.4 </w:t>
                  </w:r>
                </w:p>
              </w:tc>
              <w:tc>
                <w:tcPr>
                  <w:tcW w:w="900" w:type="dxa"/>
                  <w:tcBorders>
                    <w:top w:val="nil"/>
                    <w:left w:val="nil"/>
                    <w:bottom w:val="single" w:sz="8" w:space="0" w:color="FFFFFF"/>
                    <w:right w:val="single" w:sz="8" w:space="0" w:color="FFFFFF"/>
                  </w:tcBorders>
                  <w:shd w:val="clear" w:color="000000" w:fill="FDE9D9"/>
                  <w:noWrap/>
                  <w:vAlign w:val="center"/>
                  <w:hideMark/>
                </w:tcPr>
                <w:p w14:paraId="5E6C52A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-4.4 </w:t>
                  </w:r>
                </w:p>
              </w:tc>
              <w:tc>
                <w:tcPr>
                  <w:tcW w:w="899" w:type="dxa"/>
                  <w:tcBorders>
                    <w:top w:val="nil"/>
                    <w:left w:val="nil"/>
                    <w:bottom w:val="single" w:sz="8" w:space="0" w:color="FFFFFF"/>
                    <w:right w:val="single" w:sz="8" w:space="0" w:color="FFFFFF"/>
                  </w:tcBorders>
                  <w:shd w:val="clear" w:color="000000" w:fill="FDE9D9"/>
                  <w:noWrap/>
                  <w:vAlign w:val="center"/>
                  <w:hideMark/>
                </w:tcPr>
                <w:p w14:paraId="7CAC866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-4.4 </w:t>
                  </w:r>
                </w:p>
              </w:tc>
              <w:tc>
                <w:tcPr>
                  <w:tcW w:w="1128" w:type="dxa"/>
                  <w:tcBorders>
                    <w:top w:val="nil"/>
                    <w:left w:val="nil"/>
                    <w:bottom w:val="single" w:sz="8" w:space="0" w:color="FFFFFF"/>
                    <w:right w:val="single" w:sz="8" w:space="0" w:color="FFFFFF"/>
                  </w:tcBorders>
                  <w:shd w:val="clear" w:color="000000" w:fill="FDE9D9"/>
                  <w:noWrap/>
                  <w:vAlign w:val="center"/>
                  <w:hideMark/>
                </w:tcPr>
                <w:p w14:paraId="01ADB355"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7FC56C1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-10.3 </w:t>
                  </w:r>
                </w:p>
              </w:tc>
              <w:tc>
                <w:tcPr>
                  <w:tcW w:w="899" w:type="dxa"/>
                  <w:tcBorders>
                    <w:top w:val="nil"/>
                    <w:left w:val="nil"/>
                    <w:bottom w:val="single" w:sz="8" w:space="0" w:color="FFFFFF"/>
                    <w:right w:val="single" w:sz="8" w:space="0" w:color="FFFFFF"/>
                  </w:tcBorders>
                  <w:shd w:val="clear" w:color="000000" w:fill="FDE9D9"/>
                  <w:noWrap/>
                  <w:vAlign w:val="center"/>
                  <w:hideMark/>
                </w:tcPr>
                <w:p w14:paraId="53D1832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-9.3 </w:t>
                  </w:r>
                </w:p>
              </w:tc>
              <w:tc>
                <w:tcPr>
                  <w:tcW w:w="899" w:type="dxa"/>
                  <w:tcBorders>
                    <w:top w:val="nil"/>
                    <w:left w:val="nil"/>
                    <w:bottom w:val="single" w:sz="8" w:space="0" w:color="FFFFFF"/>
                    <w:right w:val="single" w:sz="8" w:space="0" w:color="FFFFFF"/>
                  </w:tcBorders>
                  <w:shd w:val="clear" w:color="000000" w:fill="FDE9D9"/>
                  <w:noWrap/>
                  <w:vAlign w:val="center"/>
                  <w:hideMark/>
                </w:tcPr>
                <w:p w14:paraId="27A07DC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-7.3 </w:t>
                  </w:r>
                </w:p>
              </w:tc>
              <w:tc>
                <w:tcPr>
                  <w:tcW w:w="899" w:type="dxa"/>
                  <w:tcBorders>
                    <w:top w:val="nil"/>
                    <w:left w:val="nil"/>
                    <w:bottom w:val="single" w:sz="8" w:space="0" w:color="FFFFFF"/>
                    <w:right w:val="single" w:sz="8" w:space="0" w:color="FFFFFF"/>
                  </w:tcBorders>
                  <w:shd w:val="clear" w:color="000000" w:fill="FDE9D9"/>
                  <w:noWrap/>
                  <w:vAlign w:val="center"/>
                  <w:hideMark/>
                </w:tcPr>
                <w:p w14:paraId="5307022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-7.3 </w:t>
                  </w:r>
                </w:p>
              </w:tc>
            </w:tr>
            <w:tr w:rsidR="00F62F43" w:rsidRPr="00F62F43" w14:paraId="5778067A"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719192BC"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78B7269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-0.3 </w:t>
                  </w:r>
                </w:p>
              </w:tc>
              <w:tc>
                <w:tcPr>
                  <w:tcW w:w="900" w:type="dxa"/>
                  <w:tcBorders>
                    <w:top w:val="nil"/>
                    <w:left w:val="nil"/>
                    <w:bottom w:val="single" w:sz="8" w:space="0" w:color="FFFFFF"/>
                    <w:right w:val="single" w:sz="8" w:space="0" w:color="FFFFFF"/>
                  </w:tcBorders>
                  <w:shd w:val="clear" w:color="000000" w:fill="FCD5B4"/>
                  <w:noWrap/>
                  <w:vAlign w:val="center"/>
                  <w:hideMark/>
                </w:tcPr>
                <w:p w14:paraId="255139A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-1.3 </w:t>
                  </w:r>
                </w:p>
              </w:tc>
              <w:tc>
                <w:tcPr>
                  <w:tcW w:w="900" w:type="dxa"/>
                  <w:tcBorders>
                    <w:top w:val="nil"/>
                    <w:left w:val="nil"/>
                    <w:bottom w:val="single" w:sz="8" w:space="0" w:color="FFFFFF"/>
                    <w:right w:val="single" w:sz="8" w:space="0" w:color="FFFFFF"/>
                  </w:tcBorders>
                  <w:shd w:val="clear" w:color="000000" w:fill="FCD5B4"/>
                  <w:noWrap/>
                  <w:vAlign w:val="center"/>
                  <w:hideMark/>
                </w:tcPr>
                <w:p w14:paraId="381E068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-3.3 </w:t>
                  </w:r>
                </w:p>
              </w:tc>
              <w:tc>
                <w:tcPr>
                  <w:tcW w:w="899" w:type="dxa"/>
                  <w:tcBorders>
                    <w:top w:val="nil"/>
                    <w:left w:val="nil"/>
                    <w:bottom w:val="single" w:sz="8" w:space="0" w:color="FFFFFF"/>
                    <w:right w:val="single" w:sz="8" w:space="0" w:color="FFFFFF"/>
                  </w:tcBorders>
                  <w:shd w:val="clear" w:color="000000" w:fill="FCD5B4"/>
                  <w:noWrap/>
                  <w:vAlign w:val="center"/>
                  <w:hideMark/>
                </w:tcPr>
                <w:p w14:paraId="72EC2AD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-3.3 </w:t>
                  </w:r>
                </w:p>
              </w:tc>
              <w:tc>
                <w:tcPr>
                  <w:tcW w:w="1128" w:type="dxa"/>
                  <w:tcBorders>
                    <w:top w:val="nil"/>
                    <w:left w:val="nil"/>
                    <w:bottom w:val="single" w:sz="8" w:space="0" w:color="FFFFFF"/>
                    <w:right w:val="single" w:sz="8" w:space="0" w:color="FFFFFF"/>
                  </w:tcBorders>
                  <w:shd w:val="clear" w:color="000000" w:fill="FCD5B4"/>
                  <w:noWrap/>
                  <w:vAlign w:val="center"/>
                  <w:hideMark/>
                </w:tcPr>
                <w:p w14:paraId="6935AD10"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4B3D28F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-4.5 </w:t>
                  </w:r>
                </w:p>
              </w:tc>
              <w:tc>
                <w:tcPr>
                  <w:tcW w:w="899" w:type="dxa"/>
                  <w:tcBorders>
                    <w:top w:val="nil"/>
                    <w:left w:val="nil"/>
                    <w:bottom w:val="single" w:sz="8" w:space="0" w:color="FFFFFF"/>
                    <w:right w:val="single" w:sz="8" w:space="0" w:color="FFFFFF"/>
                  </w:tcBorders>
                  <w:shd w:val="clear" w:color="000000" w:fill="FCD5B4"/>
                  <w:noWrap/>
                  <w:vAlign w:val="center"/>
                  <w:hideMark/>
                </w:tcPr>
                <w:p w14:paraId="045A342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-5.5 </w:t>
                  </w:r>
                </w:p>
              </w:tc>
              <w:tc>
                <w:tcPr>
                  <w:tcW w:w="899" w:type="dxa"/>
                  <w:tcBorders>
                    <w:top w:val="nil"/>
                    <w:left w:val="nil"/>
                    <w:bottom w:val="single" w:sz="8" w:space="0" w:color="FFFFFF"/>
                    <w:right w:val="single" w:sz="8" w:space="0" w:color="FFFFFF"/>
                  </w:tcBorders>
                  <w:shd w:val="clear" w:color="000000" w:fill="FCD5B4"/>
                  <w:noWrap/>
                  <w:vAlign w:val="center"/>
                  <w:hideMark/>
                </w:tcPr>
                <w:p w14:paraId="138F5F2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-7.5 </w:t>
                  </w:r>
                </w:p>
              </w:tc>
              <w:tc>
                <w:tcPr>
                  <w:tcW w:w="899" w:type="dxa"/>
                  <w:tcBorders>
                    <w:top w:val="nil"/>
                    <w:left w:val="nil"/>
                    <w:bottom w:val="single" w:sz="8" w:space="0" w:color="FFFFFF"/>
                    <w:right w:val="single" w:sz="8" w:space="0" w:color="FFFFFF"/>
                  </w:tcBorders>
                  <w:shd w:val="clear" w:color="000000" w:fill="FCD5B4"/>
                  <w:noWrap/>
                  <w:vAlign w:val="center"/>
                  <w:hideMark/>
                </w:tcPr>
                <w:p w14:paraId="7E427B1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-7.5 </w:t>
                  </w:r>
                </w:p>
              </w:tc>
            </w:tr>
            <w:tr w:rsidR="00F62F43" w:rsidRPr="00F62F43" w14:paraId="08282263"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29D654A"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5B43A218"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-0.3 </w:t>
                  </w:r>
                </w:p>
              </w:tc>
              <w:tc>
                <w:tcPr>
                  <w:tcW w:w="900" w:type="dxa"/>
                  <w:tcBorders>
                    <w:top w:val="nil"/>
                    <w:left w:val="nil"/>
                    <w:bottom w:val="single" w:sz="8" w:space="0" w:color="FFFFFF"/>
                    <w:right w:val="single" w:sz="8" w:space="0" w:color="FFFFFF"/>
                  </w:tcBorders>
                  <w:shd w:val="clear" w:color="000000" w:fill="FDE9D9"/>
                  <w:noWrap/>
                  <w:vAlign w:val="center"/>
                  <w:hideMark/>
                </w:tcPr>
                <w:p w14:paraId="4CAE673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-1.3 </w:t>
                  </w:r>
                </w:p>
              </w:tc>
              <w:tc>
                <w:tcPr>
                  <w:tcW w:w="900" w:type="dxa"/>
                  <w:tcBorders>
                    <w:top w:val="nil"/>
                    <w:left w:val="nil"/>
                    <w:bottom w:val="single" w:sz="8" w:space="0" w:color="FFFFFF"/>
                    <w:right w:val="single" w:sz="8" w:space="0" w:color="FFFFFF"/>
                  </w:tcBorders>
                  <w:shd w:val="clear" w:color="000000" w:fill="FDE9D9"/>
                  <w:noWrap/>
                  <w:vAlign w:val="center"/>
                  <w:hideMark/>
                </w:tcPr>
                <w:p w14:paraId="59BB2D9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-2.3 </w:t>
                  </w:r>
                </w:p>
              </w:tc>
              <w:tc>
                <w:tcPr>
                  <w:tcW w:w="899" w:type="dxa"/>
                  <w:tcBorders>
                    <w:top w:val="nil"/>
                    <w:left w:val="nil"/>
                    <w:bottom w:val="single" w:sz="8" w:space="0" w:color="FFFFFF"/>
                    <w:right w:val="single" w:sz="8" w:space="0" w:color="FFFFFF"/>
                  </w:tcBorders>
                  <w:shd w:val="clear" w:color="000000" w:fill="FDE9D9"/>
                  <w:noWrap/>
                  <w:vAlign w:val="center"/>
                  <w:hideMark/>
                </w:tcPr>
                <w:p w14:paraId="7CD07D3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-2.3 </w:t>
                  </w:r>
                </w:p>
              </w:tc>
              <w:tc>
                <w:tcPr>
                  <w:tcW w:w="1128" w:type="dxa"/>
                  <w:tcBorders>
                    <w:top w:val="nil"/>
                    <w:left w:val="nil"/>
                    <w:bottom w:val="single" w:sz="8" w:space="0" w:color="FFFFFF"/>
                    <w:right w:val="single" w:sz="8" w:space="0" w:color="FFFFFF"/>
                  </w:tcBorders>
                  <w:shd w:val="clear" w:color="000000" w:fill="FDE9D9"/>
                  <w:noWrap/>
                  <w:vAlign w:val="center"/>
                  <w:hideMark/>
                </w:tcPr>
                <w:p w14:paraId="6560FA93"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5479D7C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-1.4 </w:t>
                  </w:r>
                </w:p>
              </w:tc>
              <w:tc>
                <w:tcPr>
                  <w:tcW w:w="899" w:type="dxa"/>
                  <w:tcBorders>
                    <w:top w:val="nil"/>
                    <w:left w:val="nil"/>
                    <w:bottom w:val="single" w:sz="8" w:space="0" w:color="FFFFFF"/>
                    <w:right w:val="single" w:sz="8" w:space="0" w:color="FFFFFF"/>
                  </w:tcBorders>
                  <w:shd w:val="clear" w:color="000000" w:fill="FDE9D9"/>
                  <w:noWrap/>
                  <w:vAlign w:val="center"/>
                  <w:hideMark/>
                </w:tcPr>
                <w:p w14:paraId="6158E41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-2.4 </w:t>
                  </w:r>
                </w:p>
              </w:tc>
              <w:tc>
                <w:tcPr>
                  <w:tcW w:w="899" w:type="dxa"/>
                  <w:tcBorders>
                    <w:top w:val="nil"/>
                    <w:left w:val="nil"/>
                    <w:bottom w:val="single" w:sz="8" w:space="0" w:color="FFFFFF"/>
                    <w:right w:val="single" w:sz="8" w:space="0" w:color="FFFFFF"/>
                  </w:tcBorders>
                  <w:shd w:val="clear" w:color="000000" w:fill="FDE9D9"/>
                  <w:noWrap/>
                  <w:vAlign w:val="center"/>
                  <w:hideMark/>
                </w:tcPr>
                <w:p w14:paraId="2A32E93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-3.4 </w:t>
                  </w:r>
                </w:p>
              </w:tc>
              <w:tc>
                <w:tcPr>
                  <w:tcW w:w="899" w:type="dxa"/>
                  <w:tcBorders>
                    <w:top w:val="nil"/>
                    <w:left w:val="nil"/>
                    <w:bottom w:val="single" w:sz="8" w:space="0" w:color="FFFFFF"/>
                    <w:right w:val="single" w:sz="8" w:space="0" w:color="FFFFFF"/>
                  </w:tcBorders>
                  <w:shd w:val="clear" w:color="000000" w:fill="FDE9D9"/>
                  <w:noWrap/>
                  <w:vAlign w:val="center"/>
                  <w:hideMark/>
                </w:tcPr>
                <w:p w14:paraId="7E290EC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-3.4 </w:t>
                  </w:r>
                </w:p>
              </w:tc>
            </w:tr>
            <w:tr w:rsidR="00F62F43" w:rsidRPr="00F62F43" w14:paraId="30D523E6"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6BBF7D3"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741F148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-6.0 </w:t>
                  </w:r>
                </w:p>
              </w:tc>
              <w:tc>
                <w:tcPr>
                  <w:tcW w:w="900" w:type="dxa"/>
                  <w:tcBorders>
                    <w:top w:val="nil"/>
                    <w:left w:val="nil"/>
                    <w:bottom w:val="single" w:sz="8" w:space="0" w:color="FFFFFF"/>
                    <w:right w:val="single" w:sz="8" w:space="0" w:color="FFFFFF"/>
                  </w:tcBorders>
                  <w:shd w:val="clear" w:color="000000" w:fill="FCD5B4"/>
                  <w:noWrap/>
                  <w:vAlign w:val="center"/>
                  <w:hideMark/>
                </w:tcPr>
                <w:p w14:paraId="67640FD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-6.0 </w:t>
                  </w:r>
                </w:p>
              </w:tc>
              <w:tc>
                <w:tcPr>
                  <w:tcW w:w="900" w:type="dxa"/>
                  <w:tcBorders>
                    <w:top w:val="nil"/>
                    <w:left w:val="nil"/>
                    <w:bottom w:val="single" w:sz="8" w:space="0" w:color="FFFFFF"/>
                    <w:right w:val="single" w:sz="8" w:space="0" w:color="FFFFFF"/>
                  </w:tcBorders>
                  <w:shd w:val="clear" w:color="000000" w:fill="FCD5B4"/>
                  <w:noWrap/>
                  <w:vAlign w:val="center"/>
                  <w:hideMark/>
                </w:tcPr>
                <w:p w14:paraId="04C12C0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-3.0 </w:t>
                  </w:r>
                </w:p>
              </w:tc>
              <w:tc>
                <w:tcPr>
                  <w:tcW w:w="899" w:type="dxa"/>
                  <w:tcBorders>
                    <w:top w:val="nil"/>
                    <w:left w:val="nil"/>
                    <w:bottom w:val="single" w:sz="8" w:space="0" w:color="FFFFFF"/>
                    <w:right w:val="single" w:sz="8" w:space="0" w:color="FFFFFF"/>
                  </w:tcBorders>
                  <w:shd w:val="clear" w:color="000000" w:fill="FCD5B4"/>
                  <w:noWrap/>
                  <w:vAlign w:val="center"/>
                  <w:hideMark/>
                </w:tcPr>
                <w:p w14:paraId="01C3293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-3.0 </w:t>
                  </w:r>
                </w:p>
              </w:tc>
              <w:tc>
                <w:tcPr>
                  <w:tcW w:w="1128" w:type="dxa"/>
                  <w:tcBorders>
                    <w:top w:val="nil"/>
                    <w:left w:val="nil"/>
                    <w:bottom w:val="single" w:sz="8" w:space="0" w:color="FFFFFF"/>
                    <w:right w:val="single" w:sz="8" w:space="0" w:color="FFFFFF"/>
                  </w:tcBorders>
                  <w:shd w:val="clear" w:color="000000" w:fill="FCD5B4"/>
                  <w:noWrap/>
                  <w:vAlign w:val="center"/>
                  <w:hideMark/>
                </w:tcPr>
                <w:p w14:paraId="37100110"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7C05887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-8.9 </w:t>
                  </w:r>
                </w:p>
              </w:tc>
              <w:tc>
                <w:tcPr>
                  <w:tcW w:w="899" w:type="dxa"/>
                  <w:tcBorders>
                    <w:top w:val="nil"/>
                    <w:left w:val="nil"/>
                    <w:bottom w:val="single" w:sz="8" w:space="0" w:color="FFFFFF"/>
                    <w:right w:val="single" w:sz="8" w:space="0" w:color="FFFFFF"/>
                  </w:tcBorders>
                  <w:shd w:val="clear" w:color="000000" w:fill="FCD5B4"/>
                  <w:noWrap/>
                  <w:vAlign w:val="center"/>
                  <w:hideMark/>
                </w:tcPr>
                <w:p w14:paraId="7B525E2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-8.9 </w:t>
                  </w:r>
                </w:p>
              </w:tc>
              <w:tc>
                <w:tcPr>
                  <w:tcW w:w="899" w:type="dxa"/>
                  <w:tcBorders>
                    <w:top w:val="nil"/>
                    <w:left w:val="nil"/>
                    <w:bottom w:val="single" w:sz="8" w:space="0" w:color="FFFFFF"/>
                    <w:right w:val="single" w:sz="8" w:space="0" w:color="FFFFFF"/>
                  </w:tcBorders>
                  <w:shd w:val="clear" w:color="000000" w:fill="FCD5B4"/>
                  <w:noWrap/>
                  <w:vAlign w:val="center"/>
                  <w:hideMark/>
                </w:tcPr>
                <w:p w14:paraId="21F20AB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-5.9 </w:t>
                  </w:r>
                </w:p>
              </w:tc>
              <w:tc>
                <w:tcPr>
                  <w:tcW w:w="899" w:type="dxa"/>
                  <w:tcBorders>
                    <w:top w:val="nil"/>
                    <w:left w:val="nil"/>
                    <w:bottom w:val="single" w:sz="8" w:space="0" w:color="FFFFFF"/>
                    <w:right w:val="single" w:sz="8" w:space="0" w:color="FFFFFF"/>
                  </w:tcBorders>
                  <w:shd w:val="clear" w:color="000000" w:fill="FCD5B4"/>
                  <w:noWrap/>
                  <w:vAlign w:val="center"/>
                  <w:hideMark/>
                </w:tcPr>
                <w:p w14:paraId="5D9178D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-5.9 </w:t>
                  </w:r>
                </w:p>
              </w:tc>
            </w:tr>
            <w:tr w:rsidR="00F62F43" w:rsidRPr="00F62F43" w14:paraId="09CA88AB"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7BCF01F2"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4F8AA77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-0.1 </w:t>
                  </w:r>
                </w:p>
              </w:tc>
              <w:tc>
                <w:tcPr>
                  <w:tcW w:w="900" w:type="dxa"/>
                  <w:tcBorders>
                    <w:top w:val="nil"/>
                    <w:left w:val="nil"/>
                    <w:bottom w:val="single" w:sz="8" w:space="0" w:color="FFFFFF"/>
                    <w:right w:val="single" w:sz="8" w:space="0" w:color="FFFFFF"/>
                  </w:tcBorders>
                  <w:shd w:val="clear" w:color="000000" w:fill="FDE9D9"/>
                  <w:noWrap/>
                  <w:vAlign w:val="center"/>
                  <w:hideMark/>
                </w:tcPr>
                <w:p w14:paraId="1548229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900" w:type="dxa"/>
                  <w:tcBorders>
                    <w:top w:val="nil"/>
                    <w:left w:val="nil"/>
                    <w:bottom w:val="single" w:sz="8" w:space="0" w:color="FFFFFF"/>
                    <w:right w:val="single" w:sz="8" w:space="0" w:color="FFFFFF"/>
                  </w:tcBorders>
                  <w:shd w:val="clear" w:color="000000" w:fill="FDE9D9"/>
                  <w:noWrap/>
                  <w:vAlign w:val="center"/>
                  <w:hideMark/>
                </w:tcPr>
                <w:p w14:paraId="0B635C2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899" w:type="dxa"/>
                  <w:tcBorders>
                    <w:top w:val="nil"/>
                    <w:left w:val="nil"/>
                    <w:bottom w:val="single" w:sz="8" w:space="0" w:color="FFFFFF"/>
                    <w:right w:val="single" w:sz="8" w:space="0" w:color="FFFFFF"/>
                  </w:tcBorders>
                  <w:shd w:val="clear" w:color="000000" w:fill="FDE9D9"/>
                  <w:noWrap/>
                  <w:vAlign w:val="center"/>
                  <w:hideMark/>
                </w:tcPr>
                <w:p w14:paraId="7DD2726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-1.1 </w:t>
                  </w:r>
                </w:p>
              </w:tc>
              <w:tc>
                <w:tcPr>
                  <w:tcW w:w="1128" w:type="dxa"/>
                  <w:tcBorders>
                    <w:top w:val="nil"/>
                    <w:left w:val="nil"/>
                    <w:bottom w:val="single" w:sz="8" w:space="0" w:color="FFFFFF"/>
                    <w:right w:val="single" w:sz="8" w:space="0" w:color="FFFFFF"/>
                  </w:tcBorders>
                  <w:shd w:val="clear" w:color="000000" w:fill="FDE9D9"/>
                  <w:noWrap/>
                  <w:vAlign w:val="center"/>
                  <w:hideMark/>
                </w:tcPr>
                <w:p w14:paraId="0D7C6C8F"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795D5CD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-4.2 </w:t>
                  </w:r>
                </w:p>
              </w:tc>
              <w:tc>
                <w:tcPr>
                  <w:tcW w:w="899" w:type="dxa"/>
                  <w:tcBorders>
                    <w:top w:val="nil"/>
                    <w:left w:val="nil"/>
                    <w:bottom w:val="single" w:sz="8" w:space="0" w:color="FFFFFF"/>
                    <w:right w:val="single" w:sz="8" w:space="0" w:color="FFFFFF"/>
                  </w:tcBorders>
                  <w:shd w:val="clear" w:color="000000" w:fill="FDE9D9"/>
                  <w:noWrap/>
                  <w:vAlign w:val="center"/>
                  <w:hideMark/>
                </w:tcPr>
                <w:p w14:paraId="0DBEF14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-5.2 </w:t>
                  </w:r>
                </w:p>
              </w:tc>
              <w:tc>
                <w:tcPr>
                  <w:tcW w:w="899" w:type="dxa"/>
                  <w:tcBorders>
                    <w:top w:val="nil"/>
                    <w:left w:val="nil"/>
                    <w:bottom w:val="single" w:sz="8" w:space="0" w:color="FFFFFF"/>
                    <w:right w:val="single" w:sz="8" w:space="0" w:color="FFFFFF"/>
                  </w:tcBorders>
                  <w:shd w:val="clear" w:color="000000" w:fill="FDE9D9"/>
                  <w:noWrap/>
                  <w:vAlign w:val="center"/>
                  <w:hideMark/>
                </w:tcPr>
                <w:p w14:paraId="713C117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-5.2 </w:t>
                  </w:r>
                </w:p>
              </w:tc>
              <w:tc>
                <w:tcPr>
                  <w:tcW w:w="899" w:type="dxa"/>
                  <w:tcBorders>
                    <w:top w:val="nil"/>
                    <w:left w:val="nil"/>
                    <w:bottom w:val="single" w:sz="8" w:space="0" w:color="FFFFFF"/>
                    <w:right w:val="single" w:sz="8" w:space="0" w:color="FFFFFF"/>
                  </w:tcBorders>
                  <w:shd w:val="clear" w:color="000000" w:fill="FDE9D9"/>
                  <w:noWrap/>
                  <w:vAlign w:val="center"/>
                  <w:hideMark/>
                </w:tcPr>
                <w:p w14:paraId="287774D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-5.2 </w:t>
                  </w:r>
                </w:p>
              </w:tc>
            </w:tr>
            <w:tr w:rsidR="00F62F43" w:rsidRPr="00F62F43" w14:paraId="3130134C" w14:textId="77777777" w:rsidTr="00F62F43">
              <w:trPr>
                <w:trHeight w:val="300"/>
              </w:trPr>
              <w:tc>
                <w:tcPr>
                  <w:tcW w:w="1316" w:type="dxa"/>
                  <w:tcBorders>
                    <w:top w:val="nil"/>
                    <w:left w:val="nil"/>
                    <w:bottom w:val="nil"/>
                    <w:right w:val="nil"/>
                  </w:tcBorders>
                  <w:shd w:val="clear" w:color="000000" w:fill="FCD5B4"/>
                  <w:noWrap/>
                  <w:vAlign w:val="center"/>
                  <w:hideMark/>
                </w:tcPr>
                <w:p w14:paraId="39E9C7D0"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58A3392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-0.1 </w:t>
                  </w:r>
                </w:p>
              </w:tc>
              <w:tc>
                <w:tcPr>
                  <w:tcW w:w="900" w:type="dxa"/>
                  <w:tcBorders>
                    <w:top w:val="nil"/>
                    <w:left w:val="nil"/>
                    <w:bottom w:val="single" w:sz="8" w:space="0" w:color="FFFFFF"/>
                    <w:right w:val="single" w:sz="8" w:space="0" w:color="FFFFFF"/>
                  </w:tcBorders>
                  <w:shd w:val="clear" w:color="000000" w:fill="FCD5B4"/>
                  <w:noWrap/>
                  <w:vAlign w:val="center"/>
                  <w:hideMark/>
                </w:tcPr>
                <w:p w14:paraId="08D5392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1.9 </w:t>
                  </w:r>
                </w:p>
              </w:tc>
              <w:tc>
                <w:tcPr>
                  <w:tcW w:w="900" w:type="dxa"/>
                  <w:tcBorders>
                    <w:top w:val="nil"/>
                    <w:left w:val="nil"/>
                    <w:bottom w:val="single" w:sz="8" w:space="0" w:color="FFFFFF"/>
                    <w:right w:val="single" w:sz="8" w:space="0" w:color="FFFFFF"/>
                  </w:tcBorders>
                  <w:shd w:val="clear" w:color="000000" w:fill="FCD5B4"/>
                  <w:noWrap/>
                  <w:vAlign w:val="center"/>
                  <w:hideMark/>
                </w:tcPr>
                <w:p w14:paraId="76FF7EA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1.9 </w:t>
                  </w:r>
                </w:p>
              </w:tc>
              <w:tc>
                <w:tcPr>
                  <w:tcW w:w="899" w:type="dxa"/>
                  <w:tcBorders>
                    <w:top w:val="nil"/>
                    <w:left w:val="nil"/>
                    <w:bottom w:val="single" w:sz="8" w:space="0" w:color="FFFFFF"/>
                    <w:right w:val="single" w:sz="8" w:space="0" w:color="FFFFFF"/>
                  </w:tcBorders>
                  <w:shd w:val="clear" w:color="000000" w:fill="FCD5B4"/>
                  <w:noWrap/>
                  <w:vAlign w:val="center"/>
                  <w:hideMark/>
                </w:tcPr>
                <w:p w14:paraId="42AA26C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1.9 </w:t>
                  </w:r>
                </w:p>
              </w:tc>
              <w:tc>
                <w:tcPr>
                  <w:tcW w:w="1128" w:type="dxa"/>
                  <w:tcBorders>
                    <w:top w:val="nil"/>
                    <w:left w:val="nil"/>
                    <w:bottom w:val="nil"/>
                    <w:right w:val="nil"/>
                  </w:tcBorders>
                  <w:shd w:val="clear" w:color="000000" w:fill="FCD5B4"/>
                  <w:noWrap/>
                  <w:vAlign w:val="center"/>
                  <w:hideMark/>
                </w:tcPr>
                <w:p w14:paraId="149D978D"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7CCBC31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FF0000"/>
                      <w:kern w:val="0"/>
                      <w:szCs w:val="21"/>
                    </w:rPr>
                    <w:t xml:space="preserve">-1.2 </w:t>
                  </w:r>
                </w:p>
              </w:tc>
              <w:tc>
                <w:tcPr>
                  <w:tcW w:w="899" w:type="dxa"/>
                  <w:tcBorders>
                    <w:top w:val="nil"/>
                    <w:left w:val="nil"/>
                    <w:bottom w:val="single" w:sz="8" w:space="0" w:color="FFFFFF"/>
                    <w:right w:val="single" w:sz="8" w:space="0" w:color="FFFFFF"/>
                  </w:tcBorders>
                  <w:shd w:val="clear" w:color="000000" w:fill="FCD5B4"/>
                  <w:noWrap/>
                  <w:vAlign w:val="center"/>
                  <w:hideMark/>
                </w:tcPr>
                <w:p w14:paraId="3008B63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 </w:t>
                  </w:r>
                </w:p>
              </w:tc>
              <w:tc>
                <w:tcPr>
                  <w:tcW w:w="899" w:type="dxa"/>
                  <w:tcBorders>
                    <w:top w:val="nil"/>
                    <w:left w:val="nil"/>
                    <w:bottom w:val="single" w:sz="8" w:space="0" w:color="FFFFFF"/>
                    <w:right w:val="single" w:sz="8" w:space="0" w:color="FFFFFF"/>
                  </w:tcBorders>
                  <w:shd w:val="clear" w:color="000000" w:fill="FCD5B4"/>
                  <w:noWrap/>
                  <w:vAlign w:val="center"/>
                  <w:hideMark/>
                </w:tcPr>
                <w:p w14:paraId="5942C92C"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 </w:t>
                  </w:r>
                </w:p>
              </w:tc>
              <w:tc>
                <w:tcPr>
                  <w:tcW w:w="899" w:type="dxa"/>
                  <w:tcBorders>
                    <w:top w:val="nil"/>
                    <w:left w:val="nil"/>
                    <w:bottom w:val="single" w:sz="8" w:space="0" w:color="FFFFFF"/>
                    <w:right w:val="single" w:sz="8" w:space="0" w:color="FFFFFF"/>
                  </w:tcBorders>
                  <w:shd w:val="clear" w:color="000000" w:fill="FCD5B4"/>
                  <w:noWrap/>
                  <w:vAlign w:val="center"/>
                  <w:hideMark/>
                </w:tcPr>
                <w:p w14:paraId="722C867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 xml:space="preserve">0.8 </w:t>
                  </w:r>
                </w:p>
              </w:tc>
            </w:tr>
            <w:tr w:rsidR="00F62F43" w:rsidRPr="00F62F43" w14:paraId="4B1657CA" w14:textId="77777777" w:rsidTr="00F62F43">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4AA67A19"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收益率分位</w:t>
                  </w:r>
                </w:p>
              </w:tc>
              <w:tc>
                <w:tcPr>
                  <w:tcW w:w="899" w:type="dxa"/>
                  <w:tcBorders>
                    <w:top w:val="nil"/>
                    <w:left w:val="nil"/>
                    <w:bottom w:val="single" w:sz="12" w:space="0" w:color="FFFFFF"/>
                    <w:right w:val="single" w:sz="8" w:space="0" w:color="FFFFFF"/>
                  </w:tcBorders>
                  <w:shd w:val="clear" w:color="000000" w:fill="F79646"/>
                  <w:noWrap/>
                  <w:vAlign w:val="center"/>
                  <w:hideMark/>
                </w:tcPr>
                <w:p w14:paraId="6FA6DEEE"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6FC34619"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31650DD1"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0CCFD196"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1BA825FC"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1CC5FAC2"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72319F84"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74C1903F"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0C7C67C" w14:textId="77777777" w:rsidR="00F62F43" w:rsidRPr="00F62F43" w:rsidRDefault="00F62F43" w:rsidP="00F62F43">
                  <w:pPr>
                    <w:widowControl/>
                    <w:jc w:val="center"/>
                    <w:rPr>
                      <w:rFonts w:ascii="楷体" w:eastAsia="楷体" w:hAnsi="楷体" w:cs="宋体"/>
                      <w:b/>
                      <w:bCs/>
                      <w:color w:val="FFFFFF"/>
                      <w:kern w:val="0"/>
                      <w:sz w:val="20"/>
                      <w:szCs w:val="20"/>
                    </w:rPr>
                  </w:pPr>
                  <w:r w:rsidRPr="00F62F43">
                    <w:rPr>
                      <w:rFonts w:ascii="楷体" w:eastAsia="楷体" w:hAnsi="楷体" w:cs="宋体" w:hint="eastAsia"/>
                      <w:b/>
                      <w:bCs/>
                      <w:color w:val="FFFFFF"/>
                      <w:kern w:val="0"/>
                      <w:sz w:val="20"/>
                      <w:szCs w:val="20"/>
                    </w:rPr>
                    <w:t>AA-</w:t>
                  </w:r>
                </w:p>
              </w:tc>
            </w:tr>
            <w:tr w:rsidR="00F62F43" w:rsidRPr="00F62F43" w14:paraId="7269D66E" w14:textId="77777777" w:rsidTr="00F62F43">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3332CAEF"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3E9FF18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35%</w:t>
                  </w:r>
                </w:p>
              </w:tc>
              <w:tc>
                <w:tcPr>
                  <w:tcW w:w="900" w:type="dxa"/>
                  <w:tcBorders>
                    <w:top w:val="nil"/>
                    <w:left w:val="nil"/>
                    <w:bottom w:val="single" w:sz="8" w:space="0" w:color="FFFFFF"/>
                    <w:right w:val="single" w:sz="8" w:space="0" w:color="FFFFFF"/>
                  </w:tcBorders>
                  <w:shd w:val="clear" w:color="000000" w:fill="FCD5B4"/>
                  <w:noWrap/>
                  <w:vAlign w:val="center"/>
                  <w:hideMark/>
                </w:tcPr>
                <w:p w14:paraId="1902164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32%</w:t>
                  </w:r>
                </w:p>
              </w:tc>
              <w:tc>
                <w:tcPr>
                  <w:tcW w:w="900" w:type="dxa"/>
                  <w:tcBorders>
                    <w:top w:val="nil"/>
                    <w:left w:val="nil"/>
                    <w:bottom w:val="single" w:sz="8" w:space="0" w:color="FFFFFF"/>
                    <w:right w:val="single" w:sz="8" w:space="0" w:color="FFFFFF"/>
                  </w:tcBorders>
                  <w:shd w:val="clear" w:color="000000" w:fill="FCD5B4"/>
                  <w:noWrap/>
                  <w:vAlign w:val="center"/>
                  <w:hideMark/>
                </w:tcPr>
                <w:p w14:paraId="001C43E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29%</w:t>
                  </w:r>
                </w:p>
              </w:tc>
              <w:tc>
                <w:tcPr>
                  <w:tcW w:w="899" w:type="dxa"/>
                  <w:tcBorders>
                    <w:top w:val="nil"/>
                    <w:left w:val="nil"/>
                    <w:bottom w:val="single" w:sz="8" w:space="0" w:color="FFFFFF"/>
                    <w:right w:val="single" w:sz="8" w:space="0" w:color="FFFFFF"/>
                  </w:tcBorders>
                  <w:shd w:val="clear" w:color="000000" w:fill="FCD5B4"/>
                  <w:noWrap/>
                  <w:vAlign w:val="center"/>
                  <w:hideMark/>
                </w:tcPr>
                <w:p w14:paraId="5766E18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60%</w:t>
                  </w:r>
                </w:p>
              </w:tc>
              <w:tc>
                <w:tcPr>
                  <w:tcW w:w="1128" w:type="dxa"/>
                  <w:tcBorders>
                    <w:top w:val="nil"/>
                    <w:left w:val="nil"/>
                    <w:bottom w:val="single" w:sz="8" w:space="0" w:color="FFFFFF"/>
                    <w:right w:val="single" w:sz="8" w:space="0" w:color="FFFFFF"/>
                  </w:tcBorders>
                  <w:shd w:val="clear" w:color="000000" w:fill="FCD5B4"/>
                  <w:noWrap/>
                  <w:vAlign w:val="center"/>
                  <w:hideMark/>
                </w:tcPr>
                <w:p w14:paraId="20E67FEA"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5C5F8A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w:t>
                  </w:r>
                </w:p>
              </w:tc>
              <w:tc>
                <w:tcPr>
                  <w:tcW w:w="899" w:type="dxa"/>
                  <w:tcBorders>
                    <w:top w:val="nil"/>
                    <w:left w:val="nil"/>
                    <w:bottom w:val="single" w:sz="8" w:space="0" w:color="FFFFFF"/>
                    <w:right w:val="single" w:sz="8" w:space="0" w:color="FFFFFF"/>
                  </w:tcBorders>
                  <w:shd w:val="clear" w:color="000000" w:fill="FCD5B4"/>
                  <w:noWrap/>
                  <w:vAlign w:val="center"/>
                  <w:hideMark/>
                </w:tcPr>
                <w:p w14:paraId="56E0941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w:t>
                  </w:r>
                </w:p>
              </w:tc>
              <w:tc>
                <w:tcPr>
                  <w:tcW w:w="899" w:type="dxa"/>
                  <w:tcBorders>
                    <w:top w:val="nil"/>
                    <w:left w:val="nil"/>
                    <w:bottom w:val="single" w:sz="8" w:space="0" w:color="FFFFFF"/>
                    <w:right w:val="single" w:sz="8" w:space="0" w:color="FFFFFF"/>
                  </w:tcBorders>
                  <w:shd w:val="clear" w:color="000000" w:fill="FCD5B4"/>
                  <w:noWrap/>
                  <w:vAlign w:val="center"/>
                  <w:hideMark/>
                </w:tcPr>
                <w:p w14:paraId="009E923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0%</w:t>
                  </w:r>
                </w:p>
              </w:tc>
              <w:tc>
                <w:tcPr>
                  <w:tcW w:w="899" w:type="dxa"/>
                  <w:tcBorders>
                    <w:top w:val="nil"/>
                    <w:left w:val="nil"/>
                    <w:bottom w:val="single" w:sz="8" w:space="0" w:color="FFFFFF"/>
                    <w:right w:val="single" w:sz="8" w:space="0" w:color="FFFFFF"/>
                  </w:tcBorders>
                  <w:shd w:val="clear" w:color="000000" w:fill="FCD5B4"/>
                  <w:noWrap/>
                  <w:vAlign w:val="center"/>
                  <w:hideMark/>
                </w:tcPr>
                <w:p w14:paraId="5E5B5F7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56%</w:t>
                  </w:r>
                </w:p>
              </w:tc>
            </w:tr>
            <w:tr w:rsidR="00F62F43" w:rsidRPr="00F62F43" w14:paraId="27DD6E17"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15437D7"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76EF12F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33%</w:t>
                  </w:r>
                </w:p>
              </w:tc>
              <w:tc>
                <w:tcPr>
                  <w:tcW w:w="900" w:type="dxa"/>
                  <w:tcBorders>
                    <w:top w:val="nil"/>
                    <w:left w:val="nil"/>
                    <w:bottom w:val="single" w:sz="8" w:space="0" w:color="FFFFFF"/>
                    <w:right w:val="single" w:sz="8" w:space="0" w:color="FFFFFF"/>
                  </w:tcBorders>
                  <w:shd w:val="clear" w:color="000000" w:fill="FDE9D9"/>
                  <w:noWrap/>
                  <w:vAlign w:val="center"/>
                  <w:hideMark/>
                </w:tcPr>
                <w:p w14:paraId="4CB6673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29%</w:t>
                  </w:r>
                </w:p>
              </w:tc>
              <w:tc>
                <w:tcPr>
                  <w:tcW w:w="900" w:type="dxa"/>
                  <w:tcBorders>
                    <w:top w:val="nil"/>
                    <w:left w:val="nil"/>
                    <w:bottom w:val="single" w:sz="8" w:space="0" w:color="FFFFFF"/>
                    <w:right w:val="single" w:sz="8" w:space="0" w:color="FFFFFF"/>
                  </w:tcBorders>
                  <w:shd w:val="clear" w:color="000000" w:fill="FDE9D9"/>
                  <w:noWrap/>
                  <w:vAlign w:val="center"/>
                  <w:hideMark/>
                </w:tcPr>
                <w:p w14:paraId="0CA3784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22%</w:t>
                  </w:r>
                </w:p>
              </w:tc>
              <w:tc>
                <w:tcPr>
                  <w:tcW w:w="899" w:type="dxa"/>
                  <w:tcBorders>
                    <w:top w:val="nil"/>
                    <w:left w:val="nil"/>
                    <w:bottom w:val="single" w:sz="8" w:space="0" w:color="FFFFFF"/>
                    <w:right w:val="single" w:sz="8" w:space="0" w:color="FFFFFF"/>
                  </w:tcBorders>
                  <w:shd w:val="clear" w:color="000000" w:fill="FDE9D9"/>
                  <w:noWrap/>
                  <w:vAlign w:val="center"/>
                  <w:hideMark/>
                </w:tcPr>
                <w:p w14:paraId="764A5C4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57%</w:t>
                  </w:r>
                </w:p>
              </w:tc>
              <w:tc>
                <w:tcPr>
                  <w:tcW w:w="1128" w:type="dxa"/>
                  <w:tcBorders>
                    <w:top w:val="nil"/>
                    <w:left w:val="nil"/>
                    <w:bottom w:val="single" w:sz="8" w:space="0" w:color="FFFFFF"/>
                    <w:right w:val="single" w:sz="8" w:space="0" w:color="FFFFFF"/>
                  </w:tcBorders>
                  <w:shd w:val="clear" w:color="000000" w:fill="FDE9D9"/>
                  <w:noWrap/>
                  <w:vAlign w:val="center"/>
                  <w:hideMark/>
                </w:tcPr>
                <w:p w14:paraId="1DC35F92"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6B36320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192A86D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DE9D9"/>
                  <w:noWrap/>
                  <w:vAlign w:val="center"/>
                  <w:hideMark/>
                </w:tcPr>
                <w:p w14:paraId="0F83E4D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51EDB8F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46%</w:t>
                  </w:r>
                </w:p>
              </w:tc>
            </w:tr>
            <w:tr w:rsidR="00F62F43" w:rsidRPr="00F62F43" w14:paraId="4DD82493"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74D52F16"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317C4AD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30%</w:t>
                  </w:r>
                </w:p>
              </w:tc>
              <w:tc>
                <w:tcPr>
                  <w:tcW w:w="900" w:type="dxa"/>
                  <w:tcBorders>
                    <w:top w:val="nil"/>
                    <w:left w:val="nil"/>
                    <w:bottom w:val="single" w:sz="8" w:space="0" w:color="FFFFFF"/>
                    <w:right w:val="single" w:sz="8" w:space="0" w:color="FFFFFF"/>
                  </w:tcBorders>
                  <w:shd w:val="clear" w:color="000000" w:fill="FCD5B4"/>
                  <w:noWrap/>
                  <w:vAlign w:val="center"/>
                  <w:hideMark/>
                </w:tcPr>
                <w:p w14:paraId="084EF61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23%</w:t>
                  </w:r>
                </w:p>
              </w:tc>
              <w:tc>
                <w:tcPr>
                  <w:tcW w:w="900" w:type="dxa"/>
                  <w:tcBorders>
                    <w:top w:val="nil"/>
                    <w:left w:val="nil"/>
                    <w:bottom w:val="single" w:sz="8" w:space="0" w:color="FFFFFF"/>
                    <w:right w:val="single" w:sz="8" w:space="0" w:color="FFFFFF"/>
                  </w:tcBorders>
                  <w:shd w:val="clear" w:color="000000" w:fill="FCD5B4"/>
                  <w:noWrap/>
                  <w:vAlign w:val="center"/>
                  <w:hideMark/>
                </w:tcPr>
                <w:p w14:paraId="584392B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CD5B4"/>
                  <w:noWrap/>
                  <w:vAlign w:val="center"/>
                  <w:hideMark/>
                </w:tcPr>
                <w:p w14:paraId="33615A5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58%</w:t>
                  </w:r>
                </w:p>
              </w:tc>
              <w:tc>
                <w:tcPr>
                  <w:tcW w:w="1128" w:type="dxa"/>
                  <w:tcBorders>
                    <w:top w:val="nil"/>
                    <w:left w:val="nil"/>
                    <w:bottom w:val="single" w:sz="8" w:space="0" w:color="FFFFFF"/>
                    <w:right w:val="single" w:sz="8" w:space="0" w:color="FFFFFF"/>
                  </w:tcBorders>
                  <w:shd w:val="clear" w:color="000000" w:fill="FCD5B4"/>
                  <w:noWrap/>
                  <w:vAlign w:val="center"/>
                  <w:hideMark/>
                </w:tcPr>
                <w:p w14:paraId="38D2A05B"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35E8F1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5DA50D0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1FF16F9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CD5B4"/>
                  <w:noWrap/>
                  <w:vAlign w:val="center"/>
                  <w:hideMark/>
                </w:tcPr>
                <w:p w14:paraId="0C5256C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56%</w:t>
                  </w:r>
                </w:p>
              </w:tc>
            </w:tr>
            <w:tr w:rsidR="00F62F43" w:rsidRPr="00F62F43" w14:paraId="2DD209BC"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78000725"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341F1E4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34%</w:t>
                  </w:r>
                </w:p>
              </w:tc>
              <w:tc>
                <w:tcPr>
                  <w:tcW w:w="900" w:type="dxa"/>
                  <w:tcBorders>
                    <w:top w:val="nil"/>
                    <w:left w:val="nil"/>
                    <w:bottom w:val="single" w:sz="8" w:space="0" w:color="FFFFFF"/>
                    <w:right w:val="single" w:sz="8" w:space="0" w:color="FFFFFF"/>
                  </w:tcBorders>
                  <w:shd w:val="clear" w:color="000000" w:fill="FDE9D9"/>
                  <w:noWrap/>
                  <w:vAlign w:val="center"/>
                  <w:hideMark/>
                </w:tcPr>
                <w:p w14:paraId="28D9BC8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28%</w:t>
                  </w:r>
                </w:p>
              </w:tc>
              <w:tc>
                <w:tcPr>
                  <w:tcW w:w="900" w:type="dxa"/>
                  <w:tcBorders>
                    <w:top w:val="nil"/>
                    <w:left w:val="nil"/>
                    <w:bottom w:val="single" w:sz="8" w:space="0" w:color="FFFFFF"/>
                    <w:right w:val="single" w:sz="8" w:space="0" w:color="FFFFFF"/>
                  </w:tcBorders>
                  <w:shd w:val="clear" w:color="000000" w:fill="FDE9D9"/>
                  <w:noWrap/>
                  <w:vAlign w:val="center"/>
                  <w:hideMark/>
                </w:tcPr>
                <w:p w14:paraId="4421362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DE9D9"/>
                  <w:noWrap/>
                  <w:vAlign w:val="center"/>
                  <w:hideMark/>
                </w:tcPr>
                <w:p w14:paraId="4926F36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51%</w:t>
                  </w:r>
                </w:p>
              </w:tc>
              <w:tc>
                <w:tcPr>
                  <w:tcW w:w="1128" w:type="dxa"/>
                  <w:tcBorders>
                    <w:top w:val="nil"/>
                    <w:left w:val="nil"/>
                    <w:bottom w:val="single" w:sz="8" w:space="0" w:color="FFFFFF"/>
                    <w:right w:val="single" w:sz="8" w:space="0" w:color="FFFFFF"/>
                  </w:tcBorders>
                  <w:shd w:val="clear" w:color="000000" w:fill="FDE9D9"/>
                  <w:noWrap/>
                  <w:vAlign w:val="center"/>
                  <w:hideMark/>
                </w:tcPr>
                <w:p w14:paraId="76544E3E"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1B4A979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17A6211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14:paraId="5B507A1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w:t>
                  </w:r>
                </w:p>
              </w:tc>
              <w:tc>
                <w:tcPr>
                  <w:tcW w:w="899" w:type="dxa"/>
                  <w:tcBorders>
                    <w:top w:val="nil"/>
                    <w:left w:val="nil"/>
                    <w:bottom w:val="single" w:sz="8" w:space="0" w:color="FFFFFF"/>
                    <w:right w:val="single" w:sz="8" w:space="0" w:color="FFFFFF"/>
                  </w:tcBorders>
                  <w:shd w:val="clear" w:color="000000" w:fill="FDE9D9"/>
                  <w:noWrap/>
                  <w:vAlign w:val="center"/>
                  <w:hideMark/>
                </w:tcPr>
                <w:p w14:paraId="3969E06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42%</w:t>
                  </w:r>
                </w:p>
              </w:tc>
            </w:tr>
            <w:tr w:rsidR="00F62F43" w:rsidRPr="00F62F43" w14:paraId="3A510BBC"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6DCC4DFB"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51D88A7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31%</w:t>
                  </w:r>
                </w:p>
              </w:tc>
              <w:tc>
                <w:tcPr>
                  <w:tcW w:w="900" w:type="dxa"/>
                  <w:tcBorders>
                    <w:top w:val="nil"/>
                    <w:left w:val="nil"/>
                    <w:bottom w:val="single" w:sz="8" w:space="0" w:color="FFFFFF"/>
                    <w:right w:val="single" w:sz="8" w:space="0" w:color="FFFFFF"/>
                  </w:tcBorders>
                  <w:shd w:val="clear" w:color="000000" w:fill="FCD5B4"/>
                  <w:noWrap/>
                  <w:vAlign w:val="center"/>
                  <w:hideMark/>
                </w:tcPr>
                <w:p w14:paraId="7B451A3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24%</w:t>
                  </w:r>
                </w:p>
              </w:tc>
              <w:tc>
                <w:tcPr>
                  <w:tcW w:w="900" w:type="dxa"/>
                  <w:tcBorders>
                    <w:top w:val="nil"/>
                    <w:left w:val="nil"/>
                    <w:bottom w:val="single" w:sz="8" w:space="0" w:color="FFFFFF"/>
                    <w:right w:val="single" w:sz="8" w:space="0" w:color="FFFFFF"/>
                  </w:tcBorders>
                  <w:shd w:val="clear" w:color="000000" w:fill="FCD5B4"/>
                  <w:noWrap/>
                  <w:vAlign w:val="center"/>
                  <w:hideMark/>
                </w:tcPr>
                <w:p w14:paraId="250AF2F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CD5B4"/>
                  <w:noWrap/>
                  <w:vAlign w:val="center"/>
                  <w:hideMark/>
                </w:tcPr>
                <w:p w14:paraId="3018B37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53%</w:t>
                  </w:r>
                </w:p>
              </w:tc>
              <w:tc>
                <w:tcPr>
                  <w:tcW w:w="1128" w:type="dxa"/>
                  <w:tcBorders>
                    <w:top w:val="nil"/>
                    <w:left w:val="nil"/>
                    <w:bottom w:val="single" w:sz="8" w:space="0" w:color="FFFFFF"/>
                    <w:right w:val="single" w:sz="8" w:space="0" w:color="FFFFFF"/>
                  </w:tcBorders>
                  <w:shd w:val="clear" w:color="000000" w:fill="FCD5B4"/>
                  <w:noWrap/>
                  <w:vAlign w:val="center"/>
                  <w:hideMark/>
                </w:tcPr>
                <w:p w14:paraId="3EA8E698"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70A3285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3E4E6FC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CD5B4"/>
                  <w:noWrap/>
                  <w:vAlign w:val="center"/>
                  <w:hideMark/>
                </w:tcPr>
                <w:p w14:paraId="6222587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w:t>
                  </w:r>
                </w:p>
              </w:tc>
              <w:tc>
                <w:tcPr>
                  <w:tcW w:w="899" w:type="dxa"/>
                  <w:tcBorders>
                    <w:top w:val="nil"/>
                    <w:left w:val="nil"/>
                    <w:bottom w:val="single" w:sz="8" w:space="0" w:color="FFFFFF"/>
                    <w:right w:val="single" w:sz="8" w:space="0" w:color="FFFFFF"/>
                  </w:tcBorders>
                  <w:shd w:val="clear" w:color="000000" w:fill="FCD5B4"/>
                  <w:noWrap/>
                  <w:vAlign w:val="center"/>
                  <w:hideMark/>
                </w:tcPr>
                <w:p w14:paraId="5AA9ACA5"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54%</w:t>
                  </w:r>
                </w:p>
              </w:tc>
            </w:tr>
            <w:tr w:rsidR="00F62F43" w:rsidRPr="00F62F43" w14:paraId="6DC98C47"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523C0450"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637E42C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29%</w:t>
                  </w:r>
                </w:p>
              </w:tc>
              <w:tc>
                <w:tcPr>
                  <w:tcW w:w="900" w:type="dxa"/>
                  <w:tcBorders>
                    <w:top w:val="nil"/>
                    <w:left w:val="nil"/>
                    <w:bottom w:val="single" w:sz="8" w:space="0" w:color="FFFFFF"/>
                    <w:right w:val="single" w:sz="8" w:space="0" w:color="FFFFFF"/>
                  </w:tcBorders>
                  <w:shd w:val="clear" w:color="000000" w:fill="FDE9D9"/>
                  <w:noWrap/>
                  <w:vAlign w:val="center"/>
                  <w:hideMark/>
                </w:tcPr>
                <w:p w14:paraId="7DD5DF8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DE9D9"/>
                  <w:noWrap/>
                  <w:vAlign w:val="center"/>
                  <w:hideMark/>
                </w:tcPr>
                <w:p w14:paraId="10EE3B0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1E5C544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52%</w:t>
                  </w:r>
                </w:p>
              </w:tc>
              <w:tc>
                <w:tcPr>
                  <w:tcW w:w="1128" w:type="dxa"/>
                  <w:tcBorders>
                    <w:top w:val="nil"/>
                    <w:left w:val="nil"/>
                    <w:bottom w:val="single" w:sz="8" w:space="0" w:color="FFFFFF"/>
                    <w:right w:val="single" w:sz="8" w:space="0" w:color="FFFFFF"/>
                  </w:tcBorders>
                  <w:shd w:val="clear" w:color="000000" w:fill="FDE9D9"/>
                  <w:noWrap/>
                  <w:vAlign w:val="center"/>
                  <w:hideMark/>
                </w:tcPr>
                <w:p w14:paraId="571A6A4E" w14:textId="77777777" w:rsidR="00F62F43" w:rsidRPr="00F62F43" w:rsidRDefault="00F62F43" w:rsidP="00F62F43">
                  <w:pPr>
                    <w:widowControl/>
                    <w:jc w:val="center"/>
                    <w:rPr>
                      <w:rFonts w:ascii="楷体" w:eastAsia="楷体" w:hAnsi="楷体" w:cs="宋体"/>
                      <w:color w:val="000000"/>
                      <w:kern w:val="0"/>
                      <w:sz w:val="20"/>
                      <w:szCs w:val="20"/>
                    </w:rPr>
                  </w:pPr>
                  <w:r w:rsidRPr="00F62F43">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2B6D20D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1492485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14:paraId="4AED7F07"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142F187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54%</w:t>
                  </w:r>
                </w:p>
              </w:tc>
            </w:tr>
            <w:tr w:rsidR="00F62F43" w:rsidRPr="00F62F43" w14:paraId="228BD8DA" w14:textId="77777777" w:rsidTr="00F62F43">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681768D7"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651DF36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29%</w:t>
                  </w:r>
                </w:p>
              </w:tc>
              <w:tc>
                <w:tcPr>
                  <w:tcW w:w="900" w:type="dxa"/>
                  <w:tcBorders>
                    <w:top w:val="nil"/>
                    <w:left w:val="nil"/>
                    <w:bottom w:val="single" w:sz="8" w:space="0" w:color="FFFFFF"/>
                    <w:right w:val="single" w:sz="8" w:space="0" w:color="FFFFFF"/>
                  </w:tcBorders>
                  <w:shd w:val="clear" w:color="000000" w:fill="FCD5B4"/>
                  <w:noWrap/>
                  <w:vAlign w:val="center"/>
                  <w:hideMark/>
                </w:tcPr>
                <w:p w14:paraId="49103E9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23%</w:t>
                  </w:r>
                </w:p>
              </w:tc>
              <w:tc>
                <w:tcPr>
                  <w:tcW w:w="900" w:type="dxa"/>
                  <w:tcBorders>
                    <w:top w:val="nil"/>
                    <w:left w:val="nil"/>
                    <w:bottom w:val="single" w:sz="8" w:space="0" w:color="FFFFFF"/>
                    <w:right w:val="single" w:sz="8" w:space="0" w:color="FFFFFF"/>
                  </w:tcBorders>
                  <w:shd w:val="clear" w:color="000000" w:fill="FCD5B4"/>
                  <w:noWrap/>
                  <w:vAlign w:val="center"/>
                  <w:hideMark/>
                </w:tcPr>
                <w:p w14:paraId="0F3EF8B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7DD81244"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37%</w:t>
                  </w:r>
                </w:p>
              </w:tc>
              <w:tc>
                <w:tcPr>
                  <w:tcW w:w="1128" w:type="dxa"/>
                  <w:tcBorders>
                    <w:top w:val="nil"/>
                    <w:left w:val="nil"/>
                    <w:bottom w:val="single" w:sz="8" w:space="0" w:color="FFFFFF"/>
                    <w:right w:val="single" w:sz="8" w:space="0" w:color="FFFFFF"/>
                  </w:tcBorders>
                  <w:shd w:val="clear" w:color="000000" w:fill="FCD5B4"/>
                  <w:noWrap/>
                  <w:vAlign w:val="center"/>
                  <w:hideMark/>
                </w:tcPr>
                <w:p w14:paraId="6541A4BA"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22594E50"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571E054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14:paraId="35BCD00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CD5B4"/>
                  <w:noWrap/>
                  <w:vAlign w:val="center"/>
                  <w:hideMark/>
                </w:tcPr>
                <w:p w14:paraId="2784891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28%</w:t>
                  </w:r>
                </w:p>
              </w:tc>
            </w:tr>
            <w:tr w:rsidR="00F62F43" w:rsidRPr="00F62F43" w14:paraId="3E76DE5C" w14:textId="77777777" w:rsidTr="00F62F43">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A0ADE16"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3DF6E95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24%</w:t>
                  </w:r>
                </w:p>
              </w:tc>
              <w:tc>
                <w:tcPr>
                  <w:tcW w:w="900" w:type="dxa"/>
                  <w:tcBorders>
                    <w:top w:val="nil"/>
                    <w:left w:val="nil"/>
                    <w:bottom w:val="single" w:sz="8" w:space="0" w:color="FFFFFF"/>
                    <w:right w:val="single" w:sz="8" w:space="0" w:color="FFFFFF"/>
                  </w:tcBorders>
                  <w:shd w:val="clear" w:color="000000" w:fill="FDE9D9"/>
                  <w:noWrap/>
                  <w:vAlign w:val="center"/>
                  <w:hideMark/>
                </w:tcPr>
                <w:p w14:paraId="4463091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19%</w:t>
                  </w:r>
                </w:p>
              </w:tc>
              <w:tc>
                <w:tcPr>
                  <w:tcW w:w="900" w:type="dxa"/>
                  <w:tcBorders>
                    <w:top w:val="nil"/>
                    <w:left w:val="nil"/>
                    <w:bottom w:val="single" w:sz="8" w:space="0" w:color="FFFFFF"/>
                    <w:right w:val="single" w:sz="8" w:space="0" w:color="FFFFFF"/>
                  </w:tcBorders>
                  <w:shd w:val="clear" w:color="000000" w:fill="FDE9D9"/>
                  <w:noWrap/>
                  <w:vAlign w:val="center"/>
                  <w:hideMark/>
                </w:tcPr>
                <w:p w14:paraId="2660D109"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6B400EA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49%</w:t>
                  </w:r>
                </w:p>
              </w:tc>
              <w:tc>
                <w:tcPr>
                  <w:tcW w:w="1128" w:type="dxa"/>
                  <w:tcBorders>
                    <w:top w:val="nil"/>
                    <w:left w:val="nil"/>
                    <w:bottom w:val="single" w:sz="8" w:space="0" w:color="FFFFFF"/>
                    <w:right w:val="single" w:sz="8" w:space="0" w:color="FFFFFF"/>
                  </w:tcBorders>
                  <w:shd w:val="clear" w:color="000000" w:fill="FDE9D9"/>
                  <w:noWrap/>
                  <w:vAlign w:val="center"/>
                  <w:hideMark/>
                </w:tcPr>
                <w:p w14:paraId="137EE1FB"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05B00E6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DE9D9"/>
                  <w:noWrap/>
                  <w:vAlign w:val="center"/>
                  <w:hideMark/>
                </w:tcPr>
                <w:p w14:paraId="4E259CC6"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DE9D9"/>
                  <w:noWrap/>
                  <w:vAlign w:val="center"/>
                  <w:hideMark/>
                </w:tcPr>
                <w:p w14:paraId="13FC2E7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14:paraId="4C8FA9EE"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55%</w:t>
                  </w:r>
                </w:p>
              </w:tc>
            </w:tr>
            <w:tr w:rsidR="00F62F43" w:rsidRPr="00F62F43" w14:paraId="6919F844" w14:textId="77777777" w:rsidTr="00F62F43">
              <w:trPr>
                <w:trHeight w:val="300"/>
              </w:trPr>
              <w:tc>
                <w:tcPr>
                  <w:tcW w:w="1316" w:type="dxa"/>
                  <w:tcBorders>
                    <w:top w:val="nil"/>
                    <w:left w:val="nil"/>
                    <w:bottom w:val="nil"/>
                    <w:right w:val="nil"/>
                  </w:tcBorders>
                  <w:shd w:val="clear" w:color="000000" w:fill="FCD5B4"/>
                  <w:noWrap/>
                  <w:vAlign w:val="center"/>
                  <w:hideMark/>
                </w:tcPr>
                <w:p w14:paraId="713D5386"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58BA2F4B"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CD5B4"/>
                  <w:noWrap/>
                  <w:vAlign w:val="center"/>
                  <w:hideMark/>
                </w:tcPr>
                <w:p w14:paraId="79B53492"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18%</w:t>
                  </w:r>
                </w:p>
              </w:tc>
              <w:tc>
                <w:tcPr>
                  <w:tcW w:w="900" w:type="dxa"/>
                  <w:tcBorders>
                    <w:top w:val="nil"/>
                    <w:left w:val="nil"/>
                    <w:bottom w:val="single" w:sz="8" w:space="0" w:color="FFFFFF"/>
                    <w:right w:val="single" w:sz="8" w:space="0" w:color="FFFFFF"/>
                  </w:tcBorders>
                  <w:shd w:val="clear" w:color="000000" w:fill="FCD5B4"/>
                  <w:noWrap/>
                  <w:vAlign w:val="center"/>
                  <w:hideMark/>
                </w:tcPr>
                <w:p w14:paraId="37AECD8F"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4810BEF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57%</w:t>
                  </w:r>
                </w:p>
              </w:tc>
              <w:tc>
                <w:tcPr>
                  <w:tcW w:w="1128" w:type="dxa"/>
                  <w:tcBorders>
                    <w:top w:val="nil"/>
                    <w:left w:val="nil"/>
                    <w:bottom w:val="nil"/>
                    <w:right w:val="nil"/>
                  </w:tcBorders>
                  <w:shd w:val="clear" w:color="000000" w:fill="FCD5B4"/>
                  <w:noWrap/>
                  <w:vAlign w:val="center"/>
                  <w:hideMark/>
                </w:tcPr>
                <w:p w14:paraId="457BDA29" w14:textId="77777777" w:rsidR="00F62F43" w:rsidRPr="00F62F43" w:rsidRDefault="00F62F43" w:rsidP="00F62F43">
                  <w:pPr>
                    <w:widowControl/>
                    <w:jc w:val="center"/>
                    <w:rPr>
                      <w:rFonts w:ascii="楷体" w:eastAsia="楷体" w:hAnsi="楷体" w:cs="宋体"/>
                      <w:color w:val="000000"/>
                      <w:kern w:val="0"/>
                      <w:sz w:val="20"/>
                      <w:szCs w:val="20"/>
                    </w:rPr>
                  </w:pPr>
                  <w:proofErr w:type="gramStart"/>
                  <w:r w:rsidRPr="00F62F43">
                    <w:rPr>
                      <w:rFonts w:ascii="楷体" w:eastAsia="楷体" w:hAnsi="楷体" w:cs="宋体" w:hint="eastAsia"/>
                      <w:color w:val="000000"/>
                      <w:kern w:val="0"/>
                      <w:sz w:val="20"/>
                      <w:szCs w:val="20"/>
                    </w:rPr>
                    <w:t>城投债</w:t>
                  </w:r>
                  <w:proofErr w:type="gramEnd"/>
                  <w:r w:rsidRPr="00F62F43">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3B6D201A"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14:paraId="64754AAD"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CD5B4"/>
                  <w:noWrap/>
                  <w:vAlign w:val="center"/>
                  <w:hideMark/>
                </w:tcPr>
                <w:p w14:paraId="02BEC8C3"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CD5B4"/>
                  <w:noWrap/>
                  <w:vAlign w:val="center"/>
                  <w:hideMark/>
                </w:tcPr>
                <w:p w14:paraId="6C288241" w14:textId="77777777" w:rsidR="00F62F43" w:rsidRPr="00F62F43" w:rsidRDefault="00F62F43" w:rsidP="00F62F43">
                  <w:pPr>
                    <w:widowControl/>
                    <w:jc w:val="center"/>
                    <w:rPr>
                      <w:rFonts w:eastAsia="等线" w:cs="Calibri"/>
                      <w:color w:val="000000"/>
                      <w:kern w:val="0"/>
                      <w:szCs w:val="21"/>
                    </w:rPr>
                  </w:pPr>
                  <w:r w:rsidRPr="00F62F43">
                    <w:rPr>
                      <w:rFonts w:eastAsia="等线" w:cs="Calibri"/>
                      <w:color w:val="000000"/>
                      <w:kern w:val="0"/>
                      <w:szCs w:val="21"/>
                    </w:rPr>
                    <w:t>63%</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7168793D" w:rsidR="00C37204" w:rsidRPr="00C16434" w:rsidRDefault="003931FA" w:rsidP="00416C5F">
      <w:pPr>
        <w:pStyle w:val="Body-text"/>
        <w:spacing w:after="240"/>
        <w:ind w:firstLineChars="200" w:firstLine="480"/>
        <w:rPr>
          <w:rFonts w:ascii="华文楷体" w:hAnsi="华文楷体"/>
          <w:sz w:val="24"/>
          <w:szCs w:val="24"/>
          <w:lang w:eastAsia="zh-CN"/>
        </w:rPr>
      </w:pPr>
      <w:r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6B343C">
        <w:rPr>
          <w:rFonts w:ascii="华文楷体" w:hAnsi="华文楷体" w:hint="eastAsia"/>
          <w:sz w:val="24"/>
          <w:szCs w:val="24"/>
          <w:lang w:eastAsia="zh-CN"/>
        </w:rPr>
        <w:t>持续上行，上行幅度适度收窄，成交量持续扩大</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6B343C">
        <w:rPr>
          <w:rFonts w:ascii="华文楷体" w:hAnsi="华文楷体" w:hint="eastAsia"/>
          <w:sz w:val="24"/>
          <w:szCs w:val="24"/>
          <w:lang w:eastAsia="zh-CN"/>
        </w:rPr>
        <w:t>受权益情绪带动适度上行</w:t>
      </w:r>
      <w:r w:rsidR="00591DD3">
        <w:rPr>
          <w:rFonts w:ascii="华文楷体" w:hAnsi="华文楷体" w:hint="eastAsia"/>
          <w:sz w:val="24"/>
          <w:szCs w:val="24"/>
          <w:lang w:eastAsia="zh-CN"/>
        </w:rPr>
        <w:t>。</w:t>
      </w:r>
      <w:r w:rsidR="00F56CDA" w:rsidRPr="00F56CDA">
        <w:rPr>
          <w:rFonts w:ascii="华文楷体" w:hAnsi="华文楷体" w:hint="eastAsia"/>
          <w:sz w:val="24"/>
          <w:szCs w:val="24"/>
          <w:lang w:eastAsia="zh-CN"/>
        </w:rPr>
        <w:t>行业层面，</w:t>
      </w:r>
      <w:r w:rsidR="006B343C" w:rsidRPr="006B343C">
        <w:rPr>
          <w:rFonts w:ascii="华文楷体" w:hAnsi="华文楷体" w:hint="eastAsia"/>
          <w:sz w:val="24"/>
          <w:szCs w:val="24"/>
          <w:lang w:eastAsia="zh-CN"/>
        </w:rPr>
        <w:t>纺织服装、电力设备、汽车、基础化工、机械板块领涨，新能源类概念表现突出。节后转</w:t>
      </w:r>
      <w:proofErr w:type="gramStart"/>
      <w:r w:rsidR="006B343C" w:rsidRPr="006B343C">
        <w:rPr>
          <w:rFonts w:ascii="华文楷体" w:hAnsi="华文楷体" w:hint="eastAsia"/>
          <w:sz w:val="24"/>
          <w:szCs w:val="24"/>
          <w:lang w:eastAsia="zh-CN"/>
        </w:rPr>
        <w:t>债指数</w:t>
      </w:r>
      <w:proofErr w:type="gramEnd"/>
      <w:r w:rsidR="006B343C" w:rsidRPr="006B343C">
        <w:rPr>
          <w:rFonts w:ascii="华文楷体" w:hAnsi="华文楷体" w:hint="eastAsia"/>
          <w:sz w:val="24"/>
          <w:szCs w:val="24"/>
          <w:lang w:eastAsia="zh-CN"/>
        </w:rPr>
        <w:t>累计上涨2.09%，平价指数上涨4.46%，整体估值略</w:t>
      </w:r>
      <w:r w:rsidR="006B343C">
        <w:rPr>
          <w:rFonts w:ascii="华文楷体" w:hAnsi="华文楷体" w:hint="eastAsia"/>
          <w:sz w:val="24"/>
          <w:szCs w:val="24"/>
          <w:lang w:eastAsia="zh-CN"/>
        </w:rPr>
        <w:t>有压缩</w:t>
      </w:r>
      <w:r w:rsidR="00591011" w:rsidRPr="00591011">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w:t>
      </w:r>
      <w:r w:rsidR="00AC28BB">
        <w:rPr>
          <w:rFonts w:ascii="华文楷体" w:hAnsi="华文楷体" w:hint="eastAsia"/>
          <w:sz w:val="24"/>
          <w:szCs w:val="24"/>
          <w:lang w:eastAsia="zh-CN"/>
        </w:rPr>
        <w:lastRenderedPageBreak/>
        <w:t>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6B343C">
        <w:rPr>
          <w:rFonts w:ascii="华文楷体" w:hAnsi="华文楷体" w:hint="eastAsia"/>
          <w:sz w:val="24"/>
          <w:szCs w:val="24"/>
          <w:lang w:eastAsia="zh-CN"/>
        </w:rPr>
        <w:t>2.0</w:t>
      </w:r>
      <w:r w:rsidR="00AC28BB">
        <w:rPr>
          <w:rFonts w:ascii="华文楷体" w:hAnsi="华文楷体"/>
          <w:sz w:val="24"/>
          <w:szCs w:val="24"/>
          <w:lang w:eastAsia="zh-CN"/>
        </w:rPr>
        <w:t>%、</w:t>
      </w:r>
      <w:r w:rsidR="009D4C66">
        <w:rPr>
          <w:rFonts w:ascii="华文楷体" w:hAnsi="华文楷体"/>
          <w:sz w:val="24"/>
          <w:szCs w:val="24"/>
          <w:lang w:eastAsia="zh-CN"/>
        </w:rPr>
        <w:t>1</w:t>
      </w:r>
      <w:r w:rsidR="006B343C">
        <w:rPr>
          <w:rFonts w:ascii="华文楷体" w:hAnsi="华文楷体" w:hint="eastAsia"/>
          <w:sz w:val="24"/>
          <w:szCs w:val="24"/>
          <w:lang w:eastAsia="zh-CN"/>
        </w:rPr>
        <w:t>.9</w:t>
      </w:r>
      <w:r w:rsidR="00AC28BB">
        <w:rPr>
          <w:rFonts w:ascii="华文楷体" w:hAnsi="华文楷体"/>
          <w:sz w:val="24"/>
          <w:szCs w:val="24"/>
          <w:lang w:eastAsia="zh-CN"/>
        </w:rPr>
        <w:t>%、</w:t>
      </w:r>
      <w:r w:rsidR="006B343C">
        <w:rPr>
          <w:rFonts w:ascii="华文楷体" w:hAnsi="华文楷体" w:hint="eastAsia"/>
          <w:sz w:val="24"/>
          <w:szCs w:val="24"/>
          <w:lang w:eastAsia="zh-CN"/>
        </w:rPr>
        <w:t>2.8</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6B343C">
        <w:rPr>
          <w:rFonts w:ascii="华文楷体" w:hAnsi="华文楷体" w:hint="eastAsia"/>
          <w:sz w:val="24"/>
          <w:szCs w:val="24"/>
          <w:lang w:eastAsia="zh-CN"/>
        </w:rPr>
        <w:t>2.4</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6B343C">
        <w:rPr>
          <w:rFonts w:ascii="华文楷体" w:hAnsi="华文楷体" w:hint="eastAsia"/>
          <w:sz w:val="24"/>
          <w:szCs w:val="24"/>
          <w:lang w:eastAsia="zh-CN"/>
        </w:rPr>
        <w:t>上</w:t>
      </w:r>
      <w:r w:rsidR="0044426C">
        <w:rPr>
          <w:rFonts w:ascii="华文楷体" w:hAnsi="华文楷体" w:hint="eastAsia"/>
          <w:sz w:val="24"/>
          <w:szCs w:val="24"/>
          <w:lang w:eastAsia="zh-CN"/>
        </w:rPr>
        <w:t>行</w:t>
      </w:r>
      <w:r w:rsidR="006B343C">
        <w:rPr>
          <w:rFonts w:ascii="华文楷体" w:hAnsi="华文楷体" w:hint="eastAsia"/>
          <w:sz w:val="24"/>
          <w:szCs w:val="24"/>
          <w:lang w:eastAsia="zh-CN"/>
        </w:rPr>
        <w:t>1.6</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6B343C">
        <w:tblPrEx>
          <w:tblCellMar>
            <w:left w:w="108" w:type="dxa"/>
            <w:right w:w="108" w:type="dxa"/>
          </w:tblCellMar>
        </w:tblPrEx>
        <w:trPr>
          <w:jc w:val="center"/>
        </w:trPr>
        <w:tc>
          <w:tcPr>
            <w:tcW w:w="4939" w:type="dxa"/>
            <w:vAlign w:val="center"/>
          </w:tcPr>
          <w:p w14:paraId="5C83721A" w14:textId="55D907BB" w:rsidR="00E0626C" w:rsidRPr="007E0340" w:rsidRDefault="006B343C" w:rsidP="009A2BA0">
            <w:pPr>
              <w:jc w:val="center"/>
              <w:rPr>
                <w:noProof/>
              </w:rPr>
            </w:pPr>
            <w:r w:rsidRPr="006B343C">
              <w:rPr>
                <w:noProof/>
              </w:rPr>
              <w:drawing>
                <wp:inline distT="0" distB="0" distL="0" distR="0" wp14:anchorId="6029D6EC" wp14:editId="2C771A68">
                  <wp:extent cx="3118572" cy="1704441"/>
                  <wp:effectExtent l="0" t="0" r="5715" b="0"/>
                  <wp:docPr id="22" name="图片 22" descr="C:\Users\Tang\AppData\Local\Temp\16030097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03009771(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3391" cy="1718006"/>
                          </a:xfrm>
                          <a:prstGeom prst="rect">
                            <a:avLst/>
                          </a:prstGeom>
                          <a:noFill/>
                          <a:ln>
                            <a:noFill/>
                          </a:ln>
                        </pic:spPr>
                      </pic:pic>
                    </a:graphicData>
                  </a:graphic>
                </wp:inline>
              </w:drawing>
            </w:r>
          </w:p>
        </w:tc>
        <w:tc>
          <w:tcPr>
            <w:tcW w:w="4938" w:type="dxa"/>
            <w:vAlign w:val="center"/>
          </w:tcPr>
          <w:p w14:paraId="39BD4383" w14:textId="76E1C809" w:rsidR="00E0626C" w:rsidRPr="007E0340" w:rsidRDefault="006B343C" w:rsidP="009A2BA0">
            <w:pPr>
              <w:jc w:val="center"/>
              <w:rPr>
                <w:noProof/>
                <w:szCs w:val="18"/>
              </w:rPr>
            </w:pPr>
            <w:r>
              <w:rPr>
                <w:noProof/>
              </w:rPr>
              <w:drawing>
                <wp:inline distT="0" distB="0" distL="0" distR="0" wp14:anchorId="4EC3E6A6" wp14:editId="012FEFCC">
                  <wp:extent cx="2998470" cy="1712494"/>
                  <wp:effectExtent l="0" t="0" r="0" b="2540"/>
                  <wp:docPr id="23" name="图表 23">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EF92F2E"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5A436C" w:rsidRPr="005A436C">
        <w:rPr>
          <w:rFonts w:ascii="华文楷体" w:hAnsi="华文楷体" w:hint="eastAsia"/>
          <w:bCs/>
          <w:sz w:val="24"/>
          <w:szCs w:val="24"/>
          <w:lang w:eastAsia="zh-CN"/>
        </w:rPr>
        <w:t>本周主要港口动力煤平均价环比回升0.66%，回升速度仍较快。</w:t>
      </w:r>
      <w:r w:rsidR="00411668" w:rsidRPr="00411668">
        <w:rPr>
          <w:rFonts w:ascii="华文楷体" w:hAnsi="华文楷体" w:hint="eastAsia"/>
          <w:bCs/>
          <w:sz w:val="24"/>
          <w:szCs w:val="24"/>
          <w:lang w:eastAsia="zh-CN"/>
        </w:rPr>
        <w:t>PTA产业链</w:t>
      </w:r>
      <w:proofErr w:type="gramStart"/>
      <w:r w:rsidR="00411668" w:rsidRPr="00411668">
        <w:rPr>
          <w:rFonts w:ascii="华文楷体" w:hAnsi="华文楷体" w:hint="eastAsia"/>
          <w:bCs/>
          <w:sz w:val="24"/>
          <w:szCs w:val="24"/>
          <w:lang w:eastAsia="zh-CN"/>
        </w:rPr>
        <w:t>负荷率环比</w:t>
      </w:r>
      <w:proofErr w:type="gramEnd"/>
      <w:r w:rsidR="00411668" w:rsidRPr="00411668">
        <w:rPr>
          <w:rFonts w:ascii="华文楷体" w:hAnsi="华文楷体" w:hint="eastAsia"/>
          <w:bCs/>
          <w:sz w:val="24"/>
          <w:szCs w:val="24"/>
          <w:lang w:eastAsia="zh-CN"/>
        </w:rPr>
        <w:t>回落1.32%，有所转弱，主要受10月份PTA装置检修，新装置在调试影响。后续来看，秋冬服装集中上市后，市场对于终端订单好转预期不断发酵，纺织服装企业补库需求上升，产业链负荷率或将小幅上涨。玻璃综合指数回升0.38%，玻璃现货市场总体走势基本正常，生产企业出库基本保持稳定，市场价格波动较小。</w:t>
      </w:r>
    </w:p>
    <w:p w14:paraId="537F0EB2" w14:textId="4EC247D3" w:rsidR="00CF3EA5" w:rsidRPr="00781CD8" w:rsidRDefault="00E34B22" w:rsidP="00DA1DC8">
      <w:pPr>
        <w:pStyle w:val="Body-text"/>
        <w:ind w:firstLineChars="200" w:firstLine="480"/>
        <w:rPr>
          <w:rFonts w:ascii="华文楷体" w:hAnsi="华文楷体"/>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411668" w:rsidRPr="00411668">
        <w:rPr>
          <w:rFonts w:ascii="华文楷体" w:hAnsi="华文楷体" w:hint="eastAsia"/>
          <w:bCs/>
          <w:sz w:val="24"/>
          <w:szCs w:val="24"/>
          <w:lang w:eastAsia="zh-CN"/>
        </w:rPr>
        <w:t>10月上旬30大中城市商品房成交面积有所回落，各线城市均有所下行，其中一线城市销售回落幅度相对较大，二、三线城市回落幅度较小，关注后续能否有所回升，若继续偏弱，或显示热点城市限购政策或有所减小；拿地方面，本周100大中城市土地成交面积表现继续偏弱，各线城市拿地均继续下行，拿地持续下行或将对明年地产投资产生负面影响。从地产信托发行数据来看，本周地产信托发行量为131.62亿，整体则处于相对偏强位置，短期地产投资或仍较强。</w:t>
      </w:r>
    </w:p>
    <w:p w14:paraId="3BDE386D" w14:textId="43C8CBD4"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2547B9">
        <w:rPr>
          <w:rFonts w:ascii="华文楷体" w:hAnsi="华文楷体" w:hint="eastAsia"/>
          <w:bCs/>
          <w:sz w:val="24"/>
          <w:szCs w:val="24"/>
          <w:lang w:eastAsia="zh-CN"/>
        </w:rPr>
        <w:t>进口方面，</w:t>
      </w:r>
      <w:r w:rsidR="00411668" w:rsidRPr="00411668">
        <w:rPr>
          <w:rFonts w:ascii="华文楷体" w:hAnsi="华文楷体" w:hint="eastAsia"/>
          <w:bCs/>
          <w:sz w:val="24"/>
          <w:szCs w:val="24"/>
          <w:lang w:eastAsia="zh-CN"/>
        </w:rPr>
        <w:t>波罗的海干散货指数较上周回落18.46%，中国进口干散货运价指数走势较上周回落5.87%。</w:t>
      </w:r>
      <w:r w:rsidR="002547B9" w:rsidRPr="002547B9">
        <w:rPr>
          <w:rFonts w:ascii="华文楷体" w:hAnsi="华文楷体" w:hint="eastAsia"/>
          <w:bCs/>
          <w:sz w:val="24"/>
          <w:szCs w:val="24"/>
          <w:lang w:eastAsia="zh-CN"/>
        </w:rPr>
        <w:t>出口方面，</w:t>
      </w:r>
      <w:r w:rsidR="00411668" w:rsidRPr="00411668">
        <w:rPr>
          <w:rFonts w:ascii="华文楷体" w:hAnsi="华文楷体" w:hint="eastAsia"/>
          <w:bCs/>
          <w:sz w:val="24"/>
          <w:szCs w:val="24"/>
          <w:lang w:eastAsia="zh-CN"/>
        </w:rPr>
        <w:t>上海出口集装箱指数（SCFI）本周回升0.74%，中国出口集装箱运价指数（CCFI）本周上行0.33%，两者均继续回升，预示着出</w:t>
      </w:r>
      <w:r w:rsidR="00411668">
        <w:rPr>
          <w:rFonts w:ascii="华文楷体" w:hAnsi="华文楷体" w:hint="eastAsia"/>
          <w:bCs/>
          <w:sz w:val="24"/>
          <w:szCs w:val="24"/>
          <w:lang w:eastAsia="zh-CN"/>
        </w:rPr>
        <w:t>口增速或依旧强劲</w:t>
      </w:r>
      <w:r w:rsidR="002547B9">
        <w:rPr>
          <w:rFonts w:ascii="华文楷体" w:hAnsi="华文楷体" w:hint="eastAsia"/>
          <w:bCs/>
          <w:sz w:val="24"/>
          <w:szCs w:val="24"/>
          <w:lang w:eastAsia="zh-CN"/>
        </w:rPr>
        <w:t>。</w:t>
      </w:r>
    </w:p>
    <w:p w14:paraId="0542DAC4" w14:textId="22B68BB6"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C6D1B" w:rsidRPr="00AF05CB">
        <w:rPr>
          <w:rFonts w:ascii="华文楷体" w:hAnsi="华文楷体" w:hint="eastAsia"/>
          <w:bCs/>
          <w:sz w:val="24"/>
          <w:szCs w:val="24"/>
          <w:lang w:eastAsia="zh-CN"/>
        </w:rPr>
        <w:t>工业品</w:t>
      </w:r>
      <w:r w:rsidR="007A3F0D" w:rsidRPr="00AF05CB">
        <w:rPr>
          <w:rFonts w:ascii="华文楷体" w:hAnsi="华文楷体" w:hint="eastAsia"/>
          <w:bCs/>
          <w:sz w:val="24"/>
          <w:szCs w:val="24"/>
          <w:lang w:eastAsia="zh-CN"/>
        </w:rPr>
        <w:t>方面，</w:t>
      </w:r>
      <w:r w:rsidR="00411668" w:rsidRPr="00411668">
        <w:rPr>
          <w:rFonts w:ascii="华文楷体" w:hAnsi="华文楷体" w:hint="eastAsia"/>
          <w:bCs/>
          <w:sz w:val="24"/>
          <w:szCs w:val="24"/>
          <w:lang w:eastAsia="zh-CN"/>
        </w:rPr>
        <w:t>本周</w:t>
      </w:r>
      <w:proofErr w:type="spellStart"/>
      <w:r w:rsidR="00411668" w:rsidRPr="00411668">
        <w:rPr>
          <w:rFonts w:ascii="华文楷体" w:hAnsi="华文楷体" w:hint="eastAsia"/>
          <w:bCs/>
          <w:sz w:val="24"/>
          <w:szCs w:val="24"/>
          <w:lang w:eastAsia="zh-CN"/>
        </w:rPr>
        <w:t>Myspic</w:t>
      </w:r>
      <w:proofErr w:type="spellEnd"/>
      <w:r w:rsidR="00411668" w:rsidRPr="00411668">
        <w:rPr>
          <w:rFonts w:ascii="华文楷体" w:hAnsi="华文楷体" w:hint="eastAsia"/>
          <w:bCs/>
          <w:sz w:val="24"/>
          <w:szCs w:val="24"/>
          <w:lang w:eastAsia="zh-CN"/>
        </w:rPr>
        <w:t>综合全国钢铁价格指数上行1.06%，较上周有所走强。主要品种中，螺纹钢、热卷、高线价格本周均有所回落，分别变动0.3%、0.08%、0.3%，多有上涨；从库存来看，螺纹钢、热卷、线材库存分别变动-6.52%、-4.03%、-7.16%，库存继续回落。</w:t>
      </w:r>
      <w:r w:rsidR="003F17A9" w:rsidRPr="00AF05CB">
        <w:rPr>
          <w:rFonts w:ascii="华文楷体" w:hAnsi="华文楷体" w:hint="eastAsia"/>
          <w:bCs/>
          <w:sz w:val="24"/>
          <w:szCs w:val="24"/>
          <w:lang w:eastAsia="zh-CN"/>
        </w:rPr>
        <w:t>农产品</w:t>
      </w:r>
      <w:r w:rsidR="003F17A9" w:rsidRPr="00AF05CB">
        <w:rPr>
          <w:rFonts w:ascii="华文楷体" w:hAnsi="华文楷体"/>
          <w:bCs/>
          <w:sz w:val="24"/>
          <w:szCs w:val="24"/>
          <w:lang w:eastAsia="zh-CN"/>
        </w:rPr>
        <w:t>方面，</w:t>
      </w:r>
      <w:r w:rsidR="00411668" w:rsidRPr="00411668">
        <w:rPr>
          <w:rFonts w:ascii="华文楷体" w:hAnsi="华文楷体" w:hint="eastAsia"/>
          <w:bCs/>
          <w:sz w:val="24"/>
          <w:szCs w:val="24"/>
          <w:lang w:eastAsia="zh-CN"/>
        </w:rPr>
        <w:t>猪肉价格本周回落3.18%，跌幅有所走</w:t>
      </w:r>
      <w:proofErr w:type="gramStart"/>
      <w:r w:rsidR="00411668" w:rsidRPr="00411668">
        <w:rPr>
          <w:rFonts w:ascii="华文楷体" w:hAnsi="华文楷体" w:hint="eastAsia"/>
          <w:bCs/>
          <w:sz w:val="24"/>
          <w:szCs w:val="24"/>
          <w:lang w:eastAsia="zh-CN"/>
        </w:rPr>
        <w:t>扩周度数据</w:t>
      </w:r>
      <w:proofErr w:type="gramEnd"/>
      <w:r w:rsidR="00411668" w:rsidRPr="00411668">
        <w:rPr>
          <w:rFonts w:ascii="华文楷体" w:hAnsi="华文楷体" w:hint="eastAsia"/>
          <w:bCs/>
          <w:sz w:val="24"/>
          <w:szCs w:val="24"/>
          <w:lang w:eastAsia="zh-CN"/>
        </w:rPr>
        <w:t>来看，农业部公布的全国平均批发价较上周末小幅回落至42.85元/公斤左右</w:t>
      </w:r>
      <w:r w:rsidR="00411668">
        <w:rPr>
          <w:rFonts w:ascii="华文楷体" w:hAnsi="华文楷体" w:hint="eastAsia"/>
          <w:bCs/>
          <w:sz w:val="24"/>
          <w:szCs w:val="24"/>
          <w:lang w:eastAsia="zh-CN"/>
        </w:rPr>
        <w:t>。</w:t>
      </w:r>
      <w:r w:rsidR="00411668" w:rsidRPr="00411668">
        <w:rPr>
          <w:rFonts w:ascii="华文楷体" w:hAnsi="华文楷体" w:hint="eastAsia"/>
          <w:bCs/>
          <w:sz w:val="24"/>
          <w:szCs w:val="24"/>
          <w:lang w:eastAsia="zh-CN"/>
        </w:rPr>
        <w:t>本周牛羊肉价格也转为回落，牛肉本周回落0.21%，羊肉价格微幅回落0.23%；蔬菜方面，价格继续微幅回落1.25%，跌幅有所走扩；水果价格则继续小幅上行，较上周回升0.71%，主要受秋冬季水果上市影响；鸡蛋方面，价格回落2.91%，价格继续回落；水产品本周价格回升1.68%。从整体高频来看，本周农产品和菜篮子批发价格200指数环比转为下行，分别下行0.73%和0.83%，全月上涨幅度进一步收窄。</w:t>
      </w:r>
    </w:p>
    <w:p w14:paraId="29155A05" w14:textId="3EF402DE"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lastRenderedPageBreak/>
        <w:t>消费</w:t>
      </w:r>
      <w:r w:rsidR="008D4119" w:rsidRPr="008D4119">
        <w:rPr>
          <w:rFonts w:ascii="华文楷体" w:hAnsi="华文楷体" w:hint="eastAsia"/>
          <w:b/>
          <w:bCs/>
          <w:sz w:val="24"/>
          <w:szCs w:val="24"/>
          <w:lang w:eastAsia="zh-CN"/>
        </w:rPr>
        <w:t>：</w:t>
      </w:r>
      <w:bookmarkStart w:id="2" w:name="_Hlk21205334"/>
      <w:r w:rsidR="00411668" w:rsidRPr="00411668">
        <w:rPr>
          <w:rFonts w:ascii="华文楷体" w:hAnsi="华文楷体" w:hint="eastAsia"/>
          <w:bCs/>
          <w:sz w:val="24"/>
          <w:szCs w:val="24"/>
          <w:lang w:eastAsia="zh-CN"/>
        </w:rPr>
        <w:t>乘联会最新数据显示，10月第一周的日均零售2.5万辆，同比增长6%，环比9月第一周下降26%，主要受国庆假期影响，部分企业放假稍长，厂商销量稍低；10月第二周的日均零售是6.4万辆，同比增长43%，环比9月同期销量增长50%，表现较强；批发方面，10月第二周主要厂商批发销量达到日均5.4万辆，同比去年10月增长11%；环比9月第二周增长12%</w:t>
      </w:r>
      <w:r w:rsidR="00411668">
        <w:rPr>
          <w:rFonts w:ascii="华文楷体" w:hAnsi="华文楷体" w:hint="eastAsia"/>
          <w:bCs/>
          <w:sz w:val="24"/>
          <w:szCs w:val="24"/>
          <w:lang w:eastAsia="zh-CN"/>
        </w:rPr>
        <w:t>，表现较好。</w:t>
      </w:r>
    </w:p>
    <w:p w14:paraId="6C0621FD" w14:textId="1C01282C"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411668" w:rsidRPr="00411668">
        <w:rPr>
          <w:rFonts w:ascii="华文楷体" w:hAnsi="华文楷体" w:hint="eastAsia"/>
          <w:bCs/>
          <w:sz w:val="24"/>
          <w:szCs w:val="24"/>
          <w:lang w:eastAsia="zh-CN"/>
        </w:rPr>
        <w:t>本周国际油价小幅回升，WTI原油价格回升0.72%，至40.96美元/桶；布伦</w:t>
      </w:r>
      <w:proofErr w:type="gramStart"/>
      <w:r w:rsidR="00411668" w:rsidRPr="00411668">
        <w:rPr>
          <w:rFonts w:ascii="华文楷体" w:hAnsi="华文楷体" w:hint="eastAsia"/>
          <w:bCs/>
          <w:sz w:val="24"/>
          <w:szCs w:val="24"/>
          <w:lang w:eastAsia="zh-CN"/>
        </w:rPr>
        <w:t>特</w:t>
      </w:r>
      <w:proofErr w:type="gramEnd"/>
      <w:r w:rsidR="00411668" w:rsidRPr="00411668">
        <w:rPr>
          <w:rFonts w:ascii="华文楷体" w:hAnsi="华文楷体" w:hint="eastAsia"/>
          <w:bCs/>
          <w:sz w:val="24"/>
          <w:szCs w:val="24"/>
          <w:lang w:eastAsia="zh-CN"/>
        </w:rPr>
        <w:t>原油价格下跌0.88%，至43.16美元/桶</w:t>
      </w:r>
      <w:r w:rsidR="00411668">
        <w:rPr>
          <w:rFonts w:ascii="华文楷体" w:hAnsi="华文楷体" w:hint="eastAsia"/>
          <w:bCs/>
          <w:sz w:val="24"/>
          <w:szCs w:val="24"/>
          <w:lang w:eastAsia="zh-CN"/>
        </w:rPr>
        <w:t>。</w:t>
      </w:r>
      <w:r w:rsidR="00411668" w:rsidRPr="00411668">
        <w:rPr>
          <w:rFonts w:ascii="华文楷体" w:hAnsi="华文楷体" w:hint="eastAsia"/>
          <w:bCs/>
          <w:sz w:val="24"/>
          <w:szCs w:val="24"/>
          <w:lang w:eastAsia="zh-CN"/>
        </w:rPr>
        <w:t>数据显示，美国截至10月9日当周EIA原油库存为-381.8万桶，预期值为-283.5万桶，前值为50.1万桶，EIA原油库存低于市场预期，与前值相比，也明显减少，市场对于海外疫情反弹使得石油需求降低的担忧有所减弱</w:t>
      </w:r>
      <w:r w:rsidR="00411668">
        <w:rPr>
          <w:rFonts w:ascii="华文楷体" w:hAnsi="华文楷体" w:hint="eastAsia"/>
          <w:bCs/>
          <w:sz w:val="24"/>
          <w:szCs w:val="24"/>
          <w:lang w:eastAsia="zh-CN"/>
        </w:rPr>
        <w:t>。</w:t>
      </w:r>
    </w:p>
    <w:p w14:paraId="6197476A" w14:textId="6E26FC69" w:rsidR="00A058AB" w:rsidRPr="005C6814" w:rsidRDefault="00A058AB" w:rsidP="00F07541">
      <w:pPr>
        <w:pStyle w:val="Body-text"/>
        <w:ind w:firstLineChars="200" w:firstLine="480"/>
        <w:rPr>
          <w:rFonts w:ascii="华文楷体"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8E0F13" w:rsidRPr="008E0F13">
        <w:rPr>
          <w:rFonts w:ascii="Helvetica" w:hAnsi="Helvetica" w:hint="eastAsia"/>
          <w:color w:val="000000"/>
          <w:spacing w:val="8"/>
          <w:sz w:val="23"/>
          <w:szCs w:val="23"/>
          <w:shd w:val="clear" w:color="auto" w:fill="FFFFFF"/>
          <w:lang w:eastAsia="zh-CN"/>
        </w:rPr>
        <w:t>中国</w:t>
      </w:r>
      <w:r w:rsidR="008E0F13" w:rsidRPr="00A528BF">
        <w:rPr>
          <w:rFonts w:ascii="华文楷体" w:hAnsi="华文楷体" w:hint="eastAsia"/>
          <w:bCs/>
          <w:sz w:val="24"/>
          <w:szCs w:val="24"/>
          <w:lang w:eastAsia="zh-CN"/>
        </w:rPr>
        <w:t>三季度GDP及9月经济数据，</w:t>
      </w:r>
      <w:r w:rsidR="00A528BF" w:rsidRPr="00A528BF">
        <w:rPr>
          <w:rFonts w:ascii="华文楷体" w:hAnsi="华文楷体" w:hint="eastAsia"/>
          <w:bCs/>
          <w:sz w:val="24"/>
          <w:szCs w:val="24"/>
          <w:lang w:eastAsia="zh-CN"/>
        </w:rPr>
        <w:t>10月</w:t>
      </w:r>
      <w:r w:rsidR="008E0F13" w:rsidRPr="00A528BF">
        <w:rPr>
          <w:rFonts w:ascii="华文楷体" w:hAnsi="华文楷体" w:hint="eastAsia"/>
          <w:bCs/>
          <w:sz w:val="24"/>
          <w:szCs w:val="24"/>
          <w:lang w:eastAsia="zh-CN"/>
        </w:rPr>
        <w:t>LPR报价</w:t>
      </w:r>
      <w:r w:rsidR="00A528BF">
        <w:rPr>
          <w:rFonts w:ascii="华文楷体" w:hAnsi="华文楷体" w:hint="eastAsia"/>
          <w:bCs/>
          <w:sz w:val="24"/>
          <w:szCs w:val="24"/>
          <w:lang w:eastAsia="zh-CN"/>
        </w:rPr>
        <w:t>，中国共产党</w:t>
      </w:r>
      <w:r w:rsidR="00A528BF" w:rsidRPr="00A528BF">
        <w:rPr>
          <w:rFonts w:ascii="华文楷体" w:hAnsi="华文楷体" w:hint="eastAsia"/>
          <w:bCs/>
          <w:sz w:val="24"/>
          <w:szCs w:val="24"/>
          <w:lang w:eastAsia="zh-CN"/>
        </w:rPr>
        <w:t>第十九届五中全会</w:t>
      </w: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4FD71E0D"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F106F6">
        <w:rPr>
          <w:rFonts w:ascii="华文楷体" w:hAnsi="华文楷体" w:hint="eastAsia"/>
          <w:sz w:val="24"/>
          <w:szCs w:val="24"/>
          <w:lang w:eastAsia="zh-CN"/>
        </w:rPr>
        <w:t>本周将陆续公布9月经济数据，持续关注数据趋势变化和边际调整，目前看基本面仍处于持续修复过程中，数据持续向好有望延续</w:t>
      </w:r>
      <w:r w:rsidR="00CD3C43">
        <w:rPr>
          <w:rFonts w:ascii="华文楷体" w:hAnsi="华文楷体" w:hint="eastAsia"/>
          <w:sz w:val="24"/>
          <w:szCs w:val="24"/>
          <w:lang w:eastAsia="zh-CN"/>
        </w:rPr>
        <w:t>。</w:t>
      </w:r>
      <w:r w:rsidR="00F34DCC" w:rsidRPr="00854194">
        <w:rPr>
          <w:rFonts w:ascii="华文楷体" w:hAnsi="华文楷体" w:hint="eastAsia"/>
          <w:sz w:val="24"/>
          <w:szCs w:val="24"/>
          <w:lang w:eastAsia="zh-CN"/>
        </w:rPr>
        <w:t>市场</w:t>
      </w:r>
      <w:r w:rsidR="00C26EBA" w:rsidRPr="00854194">
        <w:rPr>
          <w:rFonts w:ascii="华文楷体" w:hAnsi="华文楷体" w:hint="eastAsia"/>
          <w:sz w:val="24"/>
          <w:szCs w:val="24"/>
          <w:lang w:eastAsia="zh-CN"/>
        </w:rPr>
        <w:t>策略方面</w:t>
      </w:r>
      <w:r w:rsidR="00FF654F" w:rsidRPr="00854194">
        <w:rPr>
          <w:rFonts w:ascii="华文楷体" w:hAnsi="华文楷体" w:hint="eastAsia"/>
          <w:sz w:val="24"/>
          <w:szCs w:val="24"/>
          <w:lang w:eastAsia="zh-CN"/>
        </w:rPr>
        <w:t>，</w:t>
      </w:r>
      <w:r w:rsidR="00F106F6">
        <w:rPr>
          <w:rFonts w:ascii="华文楷体" w:hAnsi="华文楷体" w:hint="eastAsia"/>
          <w:sz w:val="24"/>
          <w:szCs w:val="24"/>
          <w:lang w:eastAsia="zh-CN"/>
        </w:rPr>
        <w:t>债市在高位持续震荡调整</w:t>
      </w:r>
      <w:r w:rsidR="00642FDD" w:rsidRPr="00642FDD">
        <w:rPr>
          <w:rFonts w:ascii="华文楷体" w:hAnsi="华文楷体" w:hint="eastAsia"/>
          <w:sz w:val="24"/>
          <w:szCs w:val="24"/>
          <w:lang w:eastAsia="zh-CN"/>
        </w:rPr>
        <w:t>，</w:t>
      </w:r>
      <w:r w:rsidR="00F106F6">
        <w:rPr>
          <w:rFonts w:ascii="华文楷体" w:hAnsi="华文楷体" w:hint="eastAsia"/>
          <w:sz w:val="24"/>
          <w:szCs w:val="24"/>
          <w:lang w:eastAsia="zh-CN"/>
        </w:rPr>
        <w:t>主要源于配置资金意愿一般，尚难以形成推动市场利率下行趋势力量</w:t>
      </w:r>
      <w:r w:rsidR="00642FDD" w:rsidRPr="00642FDD">
        <w:rPr>
          <w:rFonts w:ascii="华文楷体" w:hAnsi="华文楷体" w:hint="eastAsia"/>
          <w:sz w:val="24"/>
          <w:szCs w:val="24"/>
          <w:lang w:eastAsia="zh-CN"/>
        </w:rPr>
        <w:t>。未来一段时间债市主要关注：</w:t>
      </w:r>
      <w:r w:rsidR="00F106F6">
        <w:rPr>
          <w:rFonts w:ascii="华文楷体" w:hAnsi="华文楷体" w:hint="eastAsia"/>
          <w:sz w:val="24"/>
          <w:szCs w:val="24"/>
          <w:lang w:eastAsia="zh-CN"/>
        </w:rPr>
        <w:t>9月经济数据情况以及统计局对当前经济数据解读，后续经济政策边际变化情况。</w:t>
      </w:r>
      <w:r w:rsidR="00642FDD" w:rsidRPr="00642FDD">
        <w:rPr>
          <w:rFonts w:ascii="华文楷体" w:hAnsi="华文楷体" w:hint="eastAsia"/>
          <w:sz w:val="24"/>
          <w:szCs w:val="24"/>
          <w:lang w:eastAsia="zh-CN"/>
        </w:rPr>
        <w:t>我们维持对债市的观点，</w:t>
      </w:r>
      <w:r w:rsidR="00F106F6">
        <w:rPr>
          <w:rFonts w:ascii="华文楷体" w:hAnsi="华文楷体" w:hint="eastAsia"/>
          <w:sz w:val="24"/>
          <w:szCs w:val="24"/>
          <w:lang w:eastAsia="zh-CN"/>
        </w:rPr>
        <w:t>当前市场配置意愿相对一般，右侧布局更具安全，长</w:t>
      </w:r>
      <w:proofErr w:type="gramStart"/>
      <w:r w:rsidR="00F106F6">
        <w:rPr>
          <w:rFonts w:ascii="华文楷体" w:hAnsi="华文楷体" w:hint="eastAsia"/>
          <w:sz w:val="24"/>
          <w:szCs w:val="24"/>
          <w:lang w:eastAsia="zh-CN"/>
        </w:rPr>
        <w:t>端交易</w:t>
      </w:r>
      <w:proofErr w:type="gramEnd"/>
      <w:r w:rsidR="00F106F6">
        <w:rPr>
          <w:rFonts w:ascii="华文楷体" w:hAnsi="华文楷体" w:hint="eastAsia"/>
          <w:sz w:val="24"/>
          <w:szCs w:val="24"/>
          <w:lang w:eastAsia="zh-CN"/>
        </w:rPr>
        <w:t>需要一定耐心，短</w:t>
      </w:r>
      <w:proofErr w:type="gramStart"/>
      <w:r w:rsidR="00F106F6">
        <w:rPr>
          <w:rFonts w:ascii="华文楷体" w:hAnsi="华文楷体" w:hint="eastAsia"/>
          <w:sz w:val="24"/>
          <w:szCs w:val="24"/>
          <w:lang w:eastAsia="zh-CN"/>
        </w:rPr>
        <w:t>端利率</w:t>
      </w:r>
      <w:proofErr w:type="gramEnd"/>
      <w:r w:rsidR="00F106F6">
        <w:rPr>
          <w:rFonts w:ascii="华文楷体" w:hAnsi="华文楷体" w:hint="eastAsia"/>
          <w:sz w:val="24"/>
          <w:szCs w:val="24"/>
          <w:lang w:eastAsia="zh-CN"/>
        </w:rPr>
        <w:t>根据绝对收益表现可适度参与</w:t>
      </w:r>
      <w:r w:rsidR="00642FDD" w:rsidRPr="00642FDD">
        <w:rPr>
          <w:rFonts w:ascii="华文楷体" w:hAnsi="华文楷体" w:hint="eastAsia"/>
          <w:sz w:val="24"/>
          <w:szCs w:val="24"/>
          <w:lang w:eastAsia="zh-CN"/>
        </w:rPr>
        <w:t>，抓住横盘整理或略有下行的时间窗口逐步调整组合结构更偏防御。</w:t>
      </w:r>
    </w:p>
    <w:p w14:paraId="2C3F4BD1" w14:textId="4984281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3B3058">
        <w:rPr>
          <w:rFonts w:ascii="华文楷体" w:hAnsi="华文楷体"/>
          <w:sz w:val="24"/>
          <w:szCs w:val="24"/>
          <w:lang w:eastAsia="zh-CN"/>
        </w:rPr>
        <w:t>信用</w:t>
      </w:r>
      <w:proofErr w:type="gramStart"/>
      <w:r w:rsidR="003B3058">
        <w:rPr>
          <w:rFonts w:ascii="华文楷体" w:hAnsi="华文楷体" w:hint="eastAsia"/>
          <w:sz w:val="24"/>
          <w:szCs w:val="24"/>
          <w:lang w:eastAsia="zh-CN"/>
        </w:rPr>
        <w:t>债</w:t>
      </w:r>
      <w:r w:rsidR="001D4BE8">
        <w:rPr>
          <w:rFonts w:ascii="华文楷体" w:hAnsi="华文楷体" w:hint="eastAsia"/>
          <w:sz w:val="24"/>
          <w:szCs w:val="24"/>
          <w:lang w:eastAsia="zh-CN"/>
        </w:rPr>
        <w:t>相对</w:t>
      </w:r>
      <w:proofErr w:type="gramEnd"/>
      <w:r w:rsidR="001D4BE8">
        <w:rPr>
          <w:rFonts w:ascii="华文楷体" w:hAnsi="华文楷体" w:hint="eastAsia"/>
          <w:sz w:val="24"/>
          <w:szCs w:val="24"/>
          <w:lang w:eastAsia="zh-CN"/>
        </w:rPr>
        <w:t>利率债</w:t>
      </w:r>
      <w:r w:rsidR="00D30FEC">
        <w:rPr>
          <w:rFonts w:ascii="华文楷体" w:hAnsi="华文楷体" w:hint="eastAsia"/>
          <w:sz w:val="24"/>
          <w:szCs w:val="24"/>
          <w:lang w:eastAsia="zh-CN"/>
        </w:rPr>
        <w:t>和资金面情况，</w:t>
      </w:r>
      <w:r w:rsidR="00F106F6">
        <w:rPr>
          <w:rFonts w:ascii="华文楷体" w:hAnsi="华文楷体" w:hint="eastAsia"/>
          <w:sz w:val="24"/>
          <w:szCs w:val="24"/>
          <w:lang w:eastAsia="zh-CN"/>
        </w:rPr>
        <w:t>情绪略好</w:t>
      </w:r>
      <w:r w:rsidR="00D30FEC">
        <w:rPr>
          <w:rFonts w:ascii="华文楷体" w:hAnsi="华文楷体" w:hint="eastAsia"/>
          <w:sz w:val="24"/>
          <w:szCs w:val="24"/>
          <w:lang w:eastAsia="zh-CN"/>
        </w:rPr>
        <w:t>。仍</w:t>
      </w:r>
      <w:r w:rsidR="00F106F6">
        <w:rPr>
          <w:rFonts w:ascii="华文楷体" w:hAnsi="华文楷体" w:hint="eastAsia"/>
          <w:sz w:val="24"/>
          <w:szCs w:val="24"/>
          <w:lang w:eastAsia="zh-CN"/>
        </w:rPr>
        <w:t>坚持</w:t>
      </w:r>
      <w:r w:rsidR="00D30FEC">
        <w:rPr>
          <w:rFonts w:ascii="华文楷体" w:hAnsi="华文楷体" w:hint="eastAsia"/>
          <w:sz w:val="24"/>
          <w:szCs w:val="24"/>
          <w:lang w:eastAsia="zh-CN"/>
        </w:rPr>
        <w:t>挖掘行业和个</w:t>
      </w:r>
      <w:proofErr w:type="gramStart"/>
      <w:r w:rsidR="00D30FEC">
        <w:rPr>
          <w:rFonts w:ascii="华文楷体" w:hAnsi="华文楷体" w:hint="eastAsia"/>
          <w:sz w:val="24"/>
          <w:szCs w:val="24"/>
          <w:lang w:eastAsia="zh-CN"/>
        </w:rPr>
        <w:t>券</w:t>
      </w:r>
      <w:proofErr w:type="gramEnd"/>
      <w:r w:rsidR="00D30FEC">
        <w:rPr>
          <w:rFonts w:ascii="华文楷体" w:hAnsi="华文楷体" w:hint="eastAsia"/>
          <w:sz w:val="24"/>
          <w:szCs w:val="24"/>
          <w:lang w:eastAsia="zh-CN"/>
        </w:rPr>
        <w:t>机会为主，关注绝对收益价值配置为主</w:t>
      </w:r>
      <w:r w:rsidR="00F106F6">
        <w:rPr>
          <w:rFonts w:ascii="华文楷体" w:hAnsi="华文楷体" w:hint="eastAsia"/>
          <w:sz w:val="24"/>
          <w:szCs w:val="24"/>
          <w:lang w:eastAsia="zh-CN"/>
        </w:rPr>
        <w:t>，防范信用风险暴露</w:t>
      </w:r>
      <w:r w:rsidR="00D30FEC">
        <w:rPr>
          <w:rFonts w:ascii="华文楷体" w:hAnsi="华文楷体" w:hint="eastAsia"/>
          <w:sz w:val="24"/>
          <w:szCs w:val="24"/>
          <w:lang w:eastAsia="zh-CN"/>
        </w:rPr>
        <w:t>。</w:t>
      </w:r>
      <w:r w:rsidR="003B3058" w:rsidRPr="003B3058">
        <w:rPr>
          <w:rFonts w:ascii="华文楷体" w:hAnsi="华文楷体"/>
          <w:sz w:val="24"/>
          <w:szCs w:val="24"/>
          <w:lang w:eastAsia="zh-CN"/>
        </w:rPr>
        <w:t>市场</w:t>
      </w:r>
      <w:r w:rsidR="003B3058" w:rsidRPr="003B3058">
        <w:rPr>
          <w:rFonts w:ascii="华文楷体" w:hAnsi="华文楷体" w:hint="eastAsia"/>
          <w:sz w:val="24"/>
          <w:szCs w:val="24"/>
          <w:lang w:eastAsia="zh-CN"/>
        </w:rPr>
        <w:t>策略</w:t>
      </w:r>
      <w:r w:rsidR="003B3058" w:rsidRPr="003B3058">
        <w:rPr>
          <w:rFonts w:ascii="华文楷体" w:hAnsi="华文楷体"/>
          <w:sz w:val="24"/>
          <w:szCs w:val="24"/>
          <w:lang w:eastAsia="zh-CN"/>
        </w:rPr>
        <w:t>方面，</w:t>
      </w:r>
      <w:r w:rsidR="00D30FEC">
        <w:rPr>
          <w:rFonts w:ascii="华文楷体" w:hAnsi="华文楷体" w:hint="eastAsia"/>
          <w:sz w:val="24"/>
          <w:szCs w:val="24"/>
          <w:lang w:eastAsia="zh-CN"/>
        </w:rPr>
        <w:t>过剩行业头部、</w:t>
      </w:r>
      <w:r w:rsidR="00B5564B">
        <w:rPr>
          <w:rFonts w:ascii="华文楷体" w:hAnsi="华文楷体" w:hint="eastAsia"/>
          <w:sz w:val="24"/>
          <w:szCs w:val="24"/>
          <w:lang w:eastAsia="zh-CN"/>
        </w:rPr>
        <w:t>基建投资和城</w:t>
      </w:r>
      <w:proofErr w:type="gramStart"/>
      <w:r w:rsidR="00B5564B">
        <w:rPr>
          <w:rFonts w:ascii="华文楷体" w:hAnsi="华文楷体" w:hint="eastAsia"/>
          <w:sz w:val="24"/>
          <w:szCs w:val="24"/>
          <w:lang w:eastAsia="zh-CN"/>
        </w:rPr>
        <w:t>投相关</w:t>
      </w:r>
      <w:proofErr w:type="gramEnd"/>
      <w:r w:rsidR="00B5564B">
        <w:rPr>
          <w:rFonts w:ascii="华文楷体" w:hAnsi="华文楷体" w:hint="eastAsia"/>
          <w:sz w:val="24"/>
          <w:szCs w:val="24"/>
          <w:lang w:eastAsia="zh-CN"/>
        </w:rPr>
        <w:t>品种</w:t>
      </w:r>
      <w:r w:rsidR="00573EEF">
        <w:rPr>
          <w:rFonts w:ascii="华文楷体" w:hAnsi="华文楷体" w:hint="eastAsia"/>
          <w:sz w:val="24"/>
          <w:szCs w:val="24"/>
          <w:lang w:eastAsia="zh-CN"/>
        </w:rPr>
        <w:t>持续</w:t>
      </w:r>
      <w:r w:rsidR="001D4BE8">
        <w:rPr>
          <w:rFonts w:ascii="华文楷体" w:hAnsi="华文楷体" w:hint="eastAsia"/>
          <w:sz w:val="24"/>
          <w:szCs w:val="24"/>
          <w:lang w:eastAsia="zh-CN"/>
        </w:rPr>
        <w:t>受到市场较高关注</w:t>
      </w:r>
      <w:r w:rsidR="00B5564B">
        <w:rPr>
          <w:rFonts w:ascii="华文楷体" w:hAnsi="华文楷体" w:hint="eastAsia"/>
          <w:sz w:val="24"/>
          <w:szCs w:val="24"/>
          <w:lang w:eastAsia="zh-CN"/>
        </w:rPr>
        <w:t>，城</w:t>
      </w:r>
      <w:proofErr w:type="gramStart"/>
      <w:r w:rsidR="00B5564B">
        <w:rPr>
          <w:rFonts w:ascii="华文楷体" w:hAnsi="华文楷体" w:hint="eastAsia"/>
          <w:sz w:val="24"/>
          <w:szCs w:val="24"/>
          <w:lang w:eastAsia="zh-CN"/>
        </w:rPr>
        <w:t>投债</w:t>
      </w:r>
      <w:r w:rsidR="00573EEF">
        <w:rPr>
          <w:rFonts w:ascii="华文楷体" w:hAnsi="华文楷体" w:hint="eastAsia"/>
          <w:sz w:val="24"/>
          <w:szCs w:val="24"/>
          <w:lang w:eastAsia="zh-CN"/>
        </w:rPr>
        <w:t>继续</w:t>
      </w:r>
      <w:proofErr w:type="gramEnd"/>
      <w:r w:rsidR="00573EEF">
        <w:rPr>
          <w:rFonts w:ascii="华文楷体" w:hAnsi="华文楷体" w:hint="eastAsia"/>
          <w:sz w:val="24"/>
          <w:szCs w:val="24"/>
          <w:lang w:eastAsia="zh-CN"/>
        </w:rPr>
        <w:t>挖掘区域机会</w:t>
      </w:r>
      <w:r w:rsidR="00B5564B">
        <w:rPr>
          <w:rFonts w:ascii="华文楷体" w:hAnsi="华文楷体" w:hint="eastAsia"/>
          <w:sz w:val="24"/>
          <w:szCs w:val="24"/>
          <w:lang w:eastAsia="zh-CN"/>
        </w:rPr>
        <w:t>。关注</w:t>
      </w:r>
      <w:r w:rsidR="004E34DD">
        <w:rPr>
          <w:rFonts w:ascii="华文楷体" w:hAnsi="华文楷体" w:hint="eastAsia"/>
          <w:sz w:val="24"/>
          <w:szCs w:val="24"/>
          <w:lang w:eastAsia="zh-CN"/>
        </w:rPr>
        <w:t>政策影响更突出的行业和区域，票息策略为主</w:t>
      </w:r>
      <w:r w:rsidR="000105FB">
        <w:rPr>
          <w:rFonts w:ascii="华文楷体" w:hAnsi="华文楷体" w:hint="eastAsia"/>
          <w:sz w:val="24"/>
          <w:szCs w:val="24"/>
          <w:lang w:eastAsia="zh-CN"/>
        </w:rPr>
        <w:t>，信用资质不建议过度下沉</w:t>
      </w:r>
      <w:r w:rsidR="004133A5" w:rsidRPr="004133A5">
        <w:rPr>
          <w:rFonts w:ascii="华文楷体" w:hAnsi="华文楷体" w:hint="eastAsia"/>
          <w:sz w:val="24"/>
          <w:szCs w:val="24"/>
          <w:lang w:eastAsia="zh-CN"/>
        </w:rPr>
        <w:t>。</w:t>
      </w:r>
    </w:p>
    <w:p w14:paraId="4C893BAE" w14:textId="4306C71D"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4E34DD" w:rsidRPr="004E34DD">
        <w:rPr>
          <w:rFonts w:ascii="华文楷体" w:hAnsi="华文楷体" w:hint="eastAsia"/>
          <w:sz w:val="24"/>
          <w:szCs w:val="24"/>
          <w:lang w:eastAsia="zh-CN"/>
        </w:rPr>
        <w:t>市场总体</w:t>
      </w:r>
      <w:r w:rsidR="000105FB">
        <w:rPr>
          <w:rFonts w:ascii="华文楷体" w:hAnsi="华文楷体" w:hint="eastAsia"/>
          <w:sz w:val="24"/>
          <w:szCs w:val="24"/>
          <w:lang w:eastAsia="zh-CN"/>
        </w:rPr>
        <w:t>受权益市场情绪带动</w:t>
      </w:r>
      <w:r w:rsidR="00D30FEC">
        <w:rPr>
          <w:rFonts w:ascii="华文楷体" w:hAnsi="华文楷体" w:hint="eastAsia"/>
          <w:sz w:val="24"/>
          <w:szCs w:val="24"/>
          <w:lang w:eastAsia="zh-CN"/>
        </w:rPr>
        <w:t>，</w:t>
      </w:r>
      <w:r w:rsidR="00117D1F">
        <w:rPr>
          <w:rFonts w:ascii="华文楷体" w:hAnsi="华文楷体" w:hint="eastAsia"/>
          <w:sz w:val="24"/>
          <w:szCs w:val="24"/>
          <w:lang w:eastAsia="zh-CN"/>
        </w:rPr>
        <w:t>大类资产配置角度看，权益资产近期仍有一定比较优势</w:t>
      </w:r>
      <w:r w:rsidR="001D4BE8">
        <w:rPr>
          <w:rFonts w:ascii="华文楷体" w:hAnsi="华文楷体" w:hint="eastAsia"/>
          <w:sz w:val="24"/>
          <w:szCs w:val="24"/>
          <w:lang w:eastAsia="zh-CN"/>
        </w:rPr>
        <w:t>。行业层面，</w:t>
      </w:r>
      <w:r w:rsidR="00117D1F" w:rsidRPr="00117D1F">
        <w:rPr>
          <w:rFonts w:ascii="华文楷体" w:hAnsi="华文楷体" w:hint="eastAsia"/>
          <w:sz w:val="24"/>
          <w:szCs w:val="24"/>
          <w:lang w:eastAsia="zh-CN"/>
        </w:rPr>
        <w:t>纺织服装、电力设备、汽车、基础化工、机械板块领涨，新能源类概念表现突出</w:t>
      </w:r>
      <w:r w:rsidR="00553B49">
        <w:rPr>
          <w:rFonts w:ascii="华文楷体" w:hAnsi="华文楷体" w:hint="eastAsia"/>
          <w:sz w:val="24"/>
          <w:szCs w:val="24"/>
          <w:lang w:eastAsia="zh-CN"/>
        </w:rPr>
        <w:t>。</w:t>
      </w:r>
      <w:r w:rsidR="00601DF1" w:rsidRPr="00601DF1">
        <w:rPr>
          <w:rFonts w:ascii="华文楷体" w:hAnsi="华文楷体" w:hint="eastAsia"/>
          <w:sz w:val="24"/>
          <w:szCs w:val="24"/>
          <w:lang w:eastAsia="zh-CN"/>
        </w:rPr>
        <w:t>市场</w:t>
      </w:r>
      <w:r w:rsidR="00601DF1" w:rsidRPr="00601DF1">
        <w:rPr>
          <w:rFonts w:ascii="华文楷体" w:hAnsi="华文楷体"/>
          <w:sz w:val="24"/>
          <w:szCs w:val="24"/>
          <w:lang w:eastAsia="zh-CN"/>
        </w:rPr>
        <w:t>策略方面</w:t>
      </w:r>
      <w:r w:rsidR="00601DF1" w:rsidRPr="00491B29">
        <w:rPr>
          <w:rFonts w:ascii="华文楷体" w:hAnsi="华文楷体"/>
          <w:sz w:val="24"/>
          <w:szCs w:val="24"/>
          <w:lang w:eastAsia="zh-CN"/>
        </w:rPr>
        <w:t>，</w:t>
      </w:r>
      <w:r w:rsidR="00117D1F" w:rsidRPr="00117D1F">
        <w:rPr>
          <w:rFonts w:ascii="华文楷体" w:hAnsi="华文楷体" w:hint="eastAsia"/>
          <w:sz w:val="24"/>
          <w:szCs w:val="24"/>
          <w:lang w:eastAsia="zh-CN"/>
        </w:rPr>
        <w:t>消费、科技等板块景气度仍将延续</w:t>
      </w:r>
      <w:r w:rsidR="00117D1F">
        <w:rPr>
          <w:rFonts w:ascii="华文楷体" w:hAnsi="华文楷体" w:hint="eastAsia"/>
          <w:sz w:val="24"/>
          <w:szCs w:val="24"/>
          <w:lang w:eastAsia="zh-CN"/>
        </w:rPr>
        <w:t>，此外关注受“十四五规划”等政策影响带动相对更明显的板块，目前看医药、科技、军工以及低估值的周期龙头是我们的关注重点</w:t>
      </w:r>
      <w:r w:rsidR="00642FDD" w:rsidRPr="00642FD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AAF6564"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411668">
        <w:tblPrEx>
          <w:tblCellMar>
            <w:left w:w="108" w:type="dxa"/>
            <w:right w:w="108" w:type="dxa"/>
          </w:tblCellMar>
        </w:tblPrEx>
        <w:trPr>
          <w:jc w:val="center"/>
        </w:trPr>
        <w:tc>
          <w:tcPr>
            <w:tcW w:w="4939" w:type="dxa"/>
            <w:vAlign w:val="center"/>
          </w:tcPr>
          <w:p w14:paraId="56C782C2" w14:textId="067F7141" w:rsidR="001D35B3" w:rsidRPr="007E0340" w:rsidRDefault="00411668" w:rsidP="009A2BA0">
            <w:pPr>
              <w:jc w:val="center"/>
              <w:rPr>
                <w:noProof/>
              </w:rPr>
            </w:pPr>
            <w:r>
              <w:rPr>
                <w:noProof/>
              </w:rPr>
              <w:drawing>
                <wp:inline distT="0" distB="0" distL="0" distR="0" wp14:anchorId="622880EF" wp14:editId="2E066A71">
                  <wp:extent cx="2999105" cy="1690319"/>
                  <wp:effectExtent l="0" t="0" r="0" b="5715"/>
                  <wp:docPr id="24" name="图表 24">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3EF0360D" w14:textId="6AF1C28F" w:rsidR="001D35B3" w:rsidRPr="007E0340" w:rsidRDefault="00411668" w:rsidP="009A2BA0">
            <w:pPr>
              <w:jc w:val="center"/>
              <w:rPr>
                <w:noProof/>
                <w:szCs w:val="18"/>
              </w:rPr>
            </w:pPr>
            <w:r>
              <w:rPr>
                <w:noProof/>
              </w:rPr>
              <w:drawing>
                <wp:inline distT="0" distB="0" distL="0" distR="0" wp14:anchorId="57C1DAF7" wp14:editId="166EEBD7">
                  <wp:extent cx="2998470" cy="1741119"/>
                  <wp:effectExtent l="0" t="0" r="0" b="0"/>
                  <wp:docPr id="25" name="图表 25">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62558FA" w:rsidR="001D35B3" w:rsidRPr="006A5F34" w:rsidRDefault="001D35B3" w:rsidP="00411668">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411668">
              <w:rPr>
                <w:rFonts w:hint="eastAsia"/>
              </w:rPr>
              <w:t>相对平稳</w:t>
            </w:r>
          </w:p>
        </w:tc>
        <w:tc>
          <w:tcPr>
            <w:tcW w:w="4938" w:type="dxa"/>
            <w:vAlign w:val="center"/>
          </w:tcPr>
          <w:p w14:paraId="07575C0F" w14:textId="5FBEC0E1" w:rsidR="001D35B3" w:rsidRPr="006A5F34" w:rsidRDefault="001D35B3" w:rsidP="006E5744">
            <w:pPr>
              <w:pStyle w:val="ChartHeading"/>
              <w:jc w:val="both"/>
            </w:pPr>
            <w:r w:rsidRPr="006A5F34">
              <w:rPr>
                <w:rFonts w:hint="eastAsia"/>
              </w:rPr>
              <w:t>图表</w:t>
            </w:r>
            <w:r w:rsidRPr="006A5F34">
              <w:t xml:space="preserve">. </w:t>
            </w:r>
            <w:r w:rsidR="00411668">
              <w:rPr>
                <w:rFonts w:hint="eastAsia"/>
              </w:rPr>
              <w:t>猪肉价格持续下行</w:t>
            </w:r>
          </w:p>
        </w:tc>
      </w:tr>
      <w:tr w:rsidR="001D35B3" w:rsidRPr="006A5F34" w14:paraId="49BBD33E" w14:textId="77777777" w:rsidTr="00411668">
        <w:tblPrEx>
          <w:tblCellMar>
            <w:left w:w="108" w:type="dxa"/>
            <w:right w:w="108" w:type="dxa"/>
          </w:tblCellMar>
        </w:tblPrEx>
        <w:trPr>
          <w:jc w:val="center"/>
        </w:trPr>
        <w:tc>
          <w:tcPr>
            <w:tcW w:w="4939" w:type="dxa"/>
            <w:vAlign w:val="center"/>
          </w:tcPr>
          <w:p w14:paraId="0BAC1731" w14:textId="2E3FC02F" w:rsidR="001D35B3" w:rsidRPr="007E0340" w:rsidRDefault="00411668" w:rsidP="009A2BA0">
            <w:pPr>
              <w:jc w:val="center"/>
              <w:rPr>
                <w:noProof/>
              </w:rPr>
            </w:pPr>
            <w:r>
              <w:rPr>
                <w:noProof/>
              </w:rPr>
              <w:drawing>
                <wp:inline distT="0" distB="0" distL="0" distR="0" wp14:anchorId="5EBC9D45" wp14:editId="2EEE7402">
                  <wp:extent cx="2999105" cy="1723034"/>
                  <wp:effectExtent l="0" t="0" r="0" b="0"/>
                  <wp:docPr id="26" name="图表 26">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938" w:type="dxa"/>
            <w:vAlign w:val="center"/>
          </w:tcPr>
          <w:p w14:paraId="64025D22" w14:textId="78827340" w:rsidR="001D35B3" w:rsidRPr="007E0340" w:rsidRDefault="00411668" w:rsidP="009A2BA0">
            <w:pPr>
              <w:jc w:val="center"/>
              <w:rPr>
                <w:noProof/>
                <w:szCs w:val="18"/>
              </w:rPr>
            </w:pPr>
            <w:r>
              <w:rPr>
                <w:noProof/>
              </w:rPr>
              <w:drawing>
                <wp:inline distT="0" distB="0" distL="0" distR="0" wp14:anchorId="3F8C43C7" wp14:editId="57AF053D">
                  <wp:extent cx="2998470" cy="1679575"/>
                  <wp:effectExtent l="0" t="0" r="0" b="0"/>
                  <wp:docPr id="27" name="图表 27">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15="http://schemas.microsoft.com/office/word/2012/wordml" xmlns:w="http://schemas.openxmlformats.org/wordprocessingml/2006/main" xmlns:w10="urn:schemas-microsoft-com:office:word" xmlns:v="urn:schemas-microsoft-com:vml" xmlns:o="urn:schemas-microsoft-com:office:office"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5B46DDA7" w14:textId="77777777" w:rsidR="005C5103" w:rsidRDefault="005C5103" w:rsidP="005C5103">
      <w:pPr>
        <w:widowControl/>
        <w:jc w:val="left"/>
      </w:pPr>
    </w:p>
    <w:p w14:paraId="48B24707" w14:textId="77777777" w:rsidR="005C5103" w:rsidRDefault="005C5103" w:rsidP="005C5103">
      <w:pPr>
        <w:widowControl/>
        <w:jc w:val="left"/>
      </w:pPr>
    </w:p>
    <w:p w14:paraId="7A5BBEF1" w14:textId="77777777" w:rsidR="005C5103" w:rsidRDefault="005C5103" w:rsidP="005C5103">
      <w:pPr>
        <w:widowControl/>
        <w:jc w:val="left"/>
      </w:pPr>
    </w:p>
    <w:p w14:paraId="2CB916DE" w14:textId="77777777" w:rsidR="005C5103" w:rsidRDefault="005C5103" w:rsidP="005C5103">
      <w:pPr>
        <w:widowControl/>
        <w:jc w:val="left"/>
      </w:pPr>
    </w:p>
    <w:p w14:paraId="53AF0B1A" w14:textId="77777777" w:rsidR="005C5103" w:rsidRDefault="005C5103" w:rsidP="005C5103">
      <w:pPr>
        <w:widowControl/>
        <w:jc w:val="left"/>
      </w:pPr>
    </w:p>
    <w:p w14:paraId="7D49D715" w14:textId="77777777" w:rsidR="005C5103" w:rsidRDefault="005C5103" w:rsidP="005C5103">
      <w:pPr>
        <w:widowControl/>
        <w:jc w:val="left"/>
      </w:pPr>
    </w:p>
    <w:p w14:paraId="1EF1A1F1" w14:textId="6E089B9E" w:rsidR="0028459A" w:rsidRPr="005C5103" w:rsidRDefault="005C5103" w:rsidP="005C5103">
      <w:pPr>
        <w:widowControl/>
        <w:jc w:val="left"/>
      </w:pPr>
      <w:r w:rsidRPr="00844798">
        <w:rPr>
          <w:rFonts w:ascii="Times New Roman" w:hAnsi="Times New Roman" w:hint="eastAsia"/>
          <w:kern w:val="0"/>
          <w:sz w:val="16"/>
          <w:szCs w:val="16"/>
        </w:rPr>
        <w:t>风险提示：</w:t>
      </w:r>
      <w:r w:rsidRPr="00844798">
        <w:rPr>
          <w:rFonts w:ascii="Times New Roman" w:hAnsi="Times New Roman" w:hint="eastAsia"/>
          <w:kern w:val="0"/>
          <w:sz w:val="16"/>
          <w:szCs w:val="16"/>
        </w:rPr>
        <w:t>1</w:t>
      </w:r>
      <w:r w:rsidRPr="00844798">
        <w:rPr>
          <w:rFonts w:ascii="Times New Roman" w:hAnsi="Times New Roman" w:hint="eastAsia"/>
          <w:kern w:val="0"/>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44798">
        <w:rPr>
          <w:rFonts w:ascii="Times New Roman" w:hAnsi="Times New Roman" w:hint="eastAsia"/>
          <w:kern w:val="0"/>
          <w:sz w:val="16"/>
          <w:szCs w:val="16"/>
        </w:rPr>
        <w:t>作出</w:t>
      </w:r>
      <w:proofErr w:type="gramEnd"/>
      <w:r w:rsidRPr="00844798">
        <w:rPr>
          <w:rFonts w:ascii="Times New Roman" w:hAnsi="Times New Roman" w:hint="eastAsia"/>
          <w:kern w:val="0"/>
          <w:sz w:val="16"/>
          <w:szCs w:val="16"/>
        </w:rPr>
        <w:t>调整。</w:t>
      </w:r>
      <w:r w:rsidRPr="00844798">
        <w:rPr>
          <w:rFonts w:ascii="Times New Roman" w:hAnsi="Times New Roman" w:hint="eastAsia"/>
          <w:kern w:val="0"/>
          <w:sz w:val="16"/>
          <w:szCs w:val="16"/>
        </w:rPr>
        <w:t>2</w:t>
      </w:r>
      <w:r w:rsidRPr="00844798">
        <w:rPr>
          <w:rFonts w:ascii="Times New Roman" w:hAnsi="Times New Roman" w:hint="eastAsia"/>
          <w:kern w:val="0"/>
          <w:sz w:val="16"/>
          <w:szCs w:val="16"/>
        </w:rPr>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1"/>
      <w:footerReference w:type="default" r:id="rId22"/>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C88491" w14:textId="77777777" w:rsidR="009425EA" w:rsidRDefault="009425EA">
      <w:r>
        <w:separator/>
      </w:r>
    </w:p>
  </w:endnote>
  <w:endnote w:type="continuationSeparator" w:id="0">
    <w:p w14:paraId="66B36643" w14:textId="77777777" w:rsidR="009425EA" w:rsidRDefault="00942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62F43" w:rsidRDefault="00F62F43">
        <w:pPr>
          <w:pStyle w:val="a4"/>
          <w:jc w:val="right"/>
        </w:pPr>
        <w:r>
          <w:fldChar w:fldCharType="begin"/>
        </w:r>
        <w:r>
          <w:instrText>PAGE   \* MERGEFORMAT</w:instrText>
        </w:r>
        <w:r>
          <w:fldChar w:fldCharType="separate"/>
        </w:r>
        <w:r w:rsidR="00287DCE" w:rsidRPr="00287DCE">
          <w:rPr>
            <w:noProof/>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29B99D" w14:textId="77777777" w:rsidR="009425EA" w:rsidRDefault="009425EA">
      <w:r>
        <w:separator/>
      </w:r>
    </w:p>
  </w:footnote>
  <w:footnote w:type="continuationSeparator" w:id="0">
    <w:p w14:paraId="3966883E" w14:textId="77777777" w:rsidR="009425EA" w:rsidRDefault="009425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62F43" w:rsidRDefault="00F62F43"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47FE3"/>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721"/>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6ED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87DCE"/>
    <w:rsid w:val="002905B6"/>
    <w:rsid w:val="0029087F"/>
    <w:rsid w:val="0029103E"/>
    <w:rsid w:val="002914F7"/>
    <w:rsid w:val="002921DB"/>
    <w:rsid w:val="0029295E"/>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30C7"/>
    <w:rsid w:val="00363421"/>
    <w:rsid w:val="003635B8"/>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F2"/>
    <w:rsid w:val="003C7291"/>
    <w:rsid w:val="003C7569"/>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03"/>
    <w:rsid w:val="005C514B"/>
    <w:rsid w:val="005C51D7"/>
    <w:rsid w:val="005C5E52"/>
    <w:rsid w:val="005C5F5F"/>
    <w:rsid w:val="005C61A4"/>
    <w:rsid w:val="005C62E1"/>
    <w:rsid w:val="005C6814"/>
    <w:rsid w:val="005C6B09"/>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1D4"/>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5EA"/>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E24"/>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2F43"/>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D:\Wind\Wind.NET.Client\WindNET\users\W1036798086\export\PPI&#25353;&#22823;&#31867;&#20998;(&#26376;).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Wind\Wind.NET.Client\WindNET\users\W1036798086\export\PPI&#25353;&#22823;&#31867;&#20998;(&#26376;).xls" TargetMode="Externa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9.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10.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580927384076991E-2"/>
          <c:y val="5.0925925925925923E-2"/>
          <c:w val="0.90286351706036749"/>
          <c:h val="0.76294728783901999"/>
        </c:manualLayout>
      </c:layout>
      <c:lineChart>
        <c:grouping val="standard"/>
        <c:varyColors val="0"/>
        <c:ser>
          <c:idx val="0"/>
          <c:order val="0"/>
          <c:tx>
            <c:strRef>
              <c:f>Sheet2!$B$2:$B$2</c:f>
              <c:strCache>
                <c:ptCount val="1"/>
                <c:pt idx="0">
                  <c:v>CPI:当月同比</c:v>
                </c:pt>
              </c:strCache>
            </c:strRef>
          </c:tx>
          <c:spPr>
            <a:ln w="28575" cap="rnd">
              <a:solidFill>
                <a:schemeClr val="accent1"/>
              </a:solidFill>
              <a:round/>
            </a:ln>
            <a:effectLst/>
          </c:spPr>
          <c:marker>
            <c:symbol val="none"/>
          </c:marker>
          <c:cat>
            <c:strRef>
              <c:f>Sheet2!$A$3:$A$102</c:f>
              <c:strCache>
                <c:ptCount val="100"/>
                <c:pt idx="0">
                  <c:v>频率</c:v>
                </c:pt>
                <c:pt idx="1">
                  <c:v>2012-06</c:v>
                </c:pt>
                <c:pt idx="2">
                  <c:v>2012-07</c:v>
                </c:pt>
                <c:pt idx="3">
                  <c:v>2012-08</c:v>
                </c:pt>
                <c:pt idx="4">
                  <c:v>2012-09</c:v>
                </c:pt>
                <c:pt idx="5">
                  <c:v>2012-10</c:v>
                </c:pt>
                <c:pt idx="6">
                  <c:v>2012-11</c:v>
                </c:pt>
                <c:pt idx="7">
                  <c:v>2012-12</c:v>
                </c:pt>
                <c:pt idx="8">
                  <c:v>2013-01</c:v>
                </c:pt>
                <c:pt idx="9">
                  <c:v>2013-02</c:v>
                </c:pt>
                <c:pt idx="10">
                  <c:v>2013-03</c:v>
                </c:pt>
                <c:pt idx="11">
                  <c:v>2013-04</c:v>
                </c:pt>
                <c:pt idx="12">
                  <c:v>2013-05</c:v>
                </c:pt>
                <c:pt idx="13">
                  <c:v>2013-06</c:v>
                </c:pt>
                <c:pt idx="14">
                  <c:v>2013-07</c:v>
                </c:pt>
                <c:pt idx="15">
                  <c:v>2013-08</c:v>
                </c:pt>
                <c:pt idx="16">
                  <c:v>2013-09</c:v>
                </c:pt>
                <c:pt idx="17">
                  <c:v>2013-10</c:v>
                </c:pt>
                <c:pt idx="18">
                  <c:v>2013-11</c:v>
                </c:pt>
                <c:pt idx="19">
                  <c:v>2013-12</c:v>
                </c:pt>
                <c:pt idx="20">
                  <c:v>2014-01</c:v>
                </c:pt>
                <c:pt idx="21">
                  <c:v>2014-02</c:v>
                </c:pt>
                <c:pt idx="22">
                  <c:v>2014-03</c:v>
                </c:pt>
                <c:pt idx="23">
                  <c:v>2014-04</c:v>
                </c:pt>
                <c:pt idx="24">
                  <c:v>2014-05</c:v>
                </c:pt>
                <c:pt idx="25">
                  <c:v>2014-06</c:v>
                </c:pt>
                <c:pt idx="26">
                  <c:v>2014-07</c:v>
                </c:pt>
                <c:pt idx="27">
                  <c:v>2014-08</c:v>
                </c:pt>
                <c:pt idx="28">
                  <c:v>2014-09</c:v>
                </c:pt>
                <c:pt idx="29">
                  <c:v>2014-10</c:v>
                </c:pt>
                <c:pt idx="30">
                  <c:v>2014-11</c:v>
                </c:pt>
                <c:pt idx="31">
                  <c:v>2014-12</c:v>
                </c:pt>
                <c:pt idx="32">
                  <c:v>2015-01</c:v>
                </c:pt>
                <c:pt idx="33">
                  <c:v>2015-02</c:v>
                </c:pt>
                <c:pt idx="34">
                  <c:v>2015-03</c:v>
                </c:pt>
                <c:pt idx="35">
                  <c:v>2015-04</c:v>
                </c:pt>
                <c:pt idx="36">
                  <c:v>2015-05</c:v>
                </c:pt>
                <c:pt idx="37">
                  <c:v>2015-06</c:v>
                </c:pt>
                <c:pt idx="38">
                  <c:v>2015-07</c:v>
                </c:pt>
                <c:pt idx="39">
                  <c:v>2015-08</c:v>
                </c:pt>
                <c:pt idx="40">
                  <c:v>2015-09</c:v>
                </c:pt>
                <c:pt idx="41">
                  <c:v>2015-10</c:v>
                </c:pt>
                <c:pt idx="42">
                  <c:v>2015-11</c:v>
                </c:pt>
                <c:pt idx="43">
                  <c:v>2015-12</c:v>
                </c:pt>
                <c:pt idx="44">
                  <c:v>2016-01</c:v>
                </c:pt>
                <c:pt idx="45">
                  <c:v>2016-02</c:v>
                </c:pt>
                <c:pt idx="46">
                  <c:v>2016-03</c:v>
                </c:pt>
                <c:pt idx="47">
                  <c:v>2016-04</c:v>
                </c:pt>
                <c:pt idx="48">
                  <c:v>2016-05</c:v>
                </c:pt>
                <c:pt idx="49">
                  <c:v>2016-06</c:v>
                </c:pt>
                <c:pt idx="50">
                  <c:v>2016-07</c:v>
                </c:pt>
                <c:pt idx="51">
                  <c:v>2016-08</c:v>
                </c:pt>
                <c:pt idx="52">
                  <c:v>2016-09</c:v>
                </c:pt>
                <c:pt idx="53">
                  <c:v>2016-10</c:v>
                </c:pt>
                <c:pt idx="54">
                  <c:v>2016-11</c:v>
                </c:pt>
                <c:pt idx="55">
                  <c:v>2016-12</c:v>
                </c:pt>
                <c:pt idx="56">
                  <c:v>2017-01</c:v>
                </c:pt>
                <c:pt idx="57">
                  <c:v>2017-02</c:v>
                </c:pt>
                <c:pt idx="58">
                  <c:v>2017-03</c:v>
                </c:pt>
                <c:pt idx="59">
                  <c:v>2017-04</c:v>
                </c:pt>
                <c:pt idx="60">
                  <c:v>2017-05</c:v>
                </c:pt>
                <c:pt idx="61">
                  <c:v>2017-06</c:v>
                </c:pt>
                <c:pt idx="62">
                  <c:v>2017-07</c:v>
                </c:pt>
                <c:pt idx="63">
                  <c:v>2017-08</c:v>
                </c:pt>
                <c:pt idx="64">
                  <c:v>2017-09</c:v>
                </c:pt>
                <c:pt idx="65">
                  <c:v>2017-10</c:v>
                </c:pt>
                <c:pt idx="66">
                  <c:v>2017-11</c:v>
                </c:pt>
                <c:pt idx="67">
                  <c:v>2017-12</c:v>
                </c:pt>
                <c:pt idx="68">
                  <c:v>2018-01</c:v>
                </c:pt>
                <c:pt idx="69">
                  <c:v>2018-02</c:v>
                </c:pt>
                <c:pt idx="70">
                  <c:v>2018-03</c:v>
                </c:pt>
                <c:pt idx="71">
                  <c:v>2018-04</c:v>
                </c:pt>
                <c:pt idx="72">
                  <c:v>2018-05</c:v>
                </c:pt>
                <c:pt idx="73">
                  <c:v>2018-06</c:v>
                </c:pt>
                <c:pt idx="74">
                  <c:v>2018-07</c:v>
                </c:pt>
                <c:pt idx="75">
                  <c:v>2018-08</c:v>
                </c:pt>
                <c:pt idx="76">
                  <c:v>2018-09</c:v>
                </c:pt>
                <c:pt idx="77">
                  <c:v>2018-10</c:v>
                </c:pt>
                <c:pt idx="78">
                  <c:v>2018-11</c:v>
                </c:pt>
                <c:pt idx="79">
                  <c:v>2018-12</c:v>
                </c:pt>
                <c:pt idx="80">
                  <c:v>2019-01</c:v>
                </c:pt>
                <c:pt idx="81">
                  <c:v>2019-02</c:v>
                </c:pt>
                <c:pt idx="82">
                  <c:v>2019-03</c:v>
                </c:pt>
                <c:pt idx="83">
                  <c:v>2019-04</c:v>
                </c:pt>
                <c:pt idx="84">
                  <c:v>2019-05</c:v>
                </c:pt>
                <c:pt idx="85">
                  <c:v>2019-06</c:v>
                </c:pt>
                <c:pt idx="86">
                  <c:v>2019-07</c:v>
                </c:pt>
                <c:pt idx="87">
                  <c:v>2019-08</c:v>
                </c:pt>
                <c:pt idx="88">
                  <c:v>2019-09</c:v>
                </c:pt>
                <c:pt idx="89">
                  <c:v>2019-10</c:v>
                </c:pt>
                <c:pt idx="90">
                  <c:v>2019-11</c:v>
                </c:pt>
                <c:pt idx="91">
                  <c:v>2019-12</c:v>
                </c:pt>
                <c:pt idx="92">
                  <c:v>2020-01</c:v>
                </c:pt>
                <c:pt idx="93">
                  <c:v>2020-02</c:v>
                </c:pt>
                <c:pt idx="94">
                  <c:v>2020-03</c:v>
                </c:pt>
                <c:pt idx="95">
                  <c:v>2020-04</c:v>
                </c:pt>
                <c:pt idx="96">
                  <c:v>2020-05</c:v>
                </c:pt>
                <c:pt idx="97">
                  <c:v>2020-06</c:v>
                </c:pt>
                <c:pt idx="98">
                  <c:v>2020-07</c:v>
                </c:pt>
                <c:pt idx="99">
                  <c:v>2020-08</c:v>
                </c:pt>
              </c:strCache>
            </c:strRef>
          </c:cat>
          <c:val>
            <c:numRef>
              <c:f>Sheet2!$B$3:$B$102</c:f>
              <c:numCache>
                <c:formatCode>###,###,###,###,##0.00</c:formatCode>
                <c:ptCount val="100"/>
                <c:pt idx="0">
                  <c:v>0</c:v>
                </c:pt>
                <c:pt idx="1">
                  <c:v>2.2000000000000002</c:v>
                </c:pt>
                <c:pt idx="2">
                  <c:v>1.8</c:v>
                </c:pt>
                <c:pt idx="3">
                  <c:v>2</c:v>
                </c:pt>
                <c:pt idx="4">
                  <c:v>1.9</c:v>
                </c:pt>
                <c:pt idx="5">
                  <c:v>1.7</c:v>
                </c:pt>
                <c:pt idx="6">
                  <c:v>2</c:v>
                </c:pt>
                <c:pt idx="7">
                  <c:v>2.5</c:v>
                </c:pt>
                <c:pt idx="8">
                  <c:v>2.0305</c:v>
                </c:pt>
                <c:pt idx="9">
                  <c:v>3.2198000000000002</c:v>
                </c:pt>
                <c:pt idx="10">
                  <c:v>2.0695999999999999</c:v>
                </c:pt>
                <c:pt idx="11">
                  <c:v>2.3860999999999999</c:v>
                </c:pt>
                <c:pt idx="12">
                  <c:v>2.0981000000000001</c:v>
                </c:pt>
                <c:pt idx="13">
                  <c:v>2.6684000000000001</c:v>
                </c:pt>
                <c:pt idx="14">
                  <c:v>2.6741000000000001</c:v>
                </c:pt>
                <c:pt idx="15">
                  <c:v>2.5666000000000002</c:v>
                </c:pt>
                <c:pt idx="16">
                  <c:v>3.0518999999999998</c:v>
                </c:pt>
                <c:pt idx="17">
                  <c:v>3.2058</c:v>
                </c:pt>
                <c:pt idx="18">
                  <c:v>3.0179999999999998</c:v>
                </c:pt>
                <c:pt idx="19">
                  <c:v>2.4986999999999999</c:v>
                </c:pt>
                <c:pt idx="20">
                  <c:v>2.4861</c:v>
                </c:pt>
                <c:pt idx="21">
                  <c:v>1.9511000000000001</c:v>
                </c:pt>
                <c:pt idx="22">
                  <c:v>2.3847999999999998</c:v>
                </c:pt>
                <c:pt idx="23">
                  <c:v>1.8013999999999999</c:v>
                </c:pt>
                <c:pt idx="24">
                  <c:v>2.4773000000000001</c:v>
                </c:pt>
                <c:pt idx="25">
                  <c:v>2.3361000000000001</c:v>
                </c:pt>
                <c:pt idx="26">
                  <c:v>2.2852000000000001</c:v>
                </c:pt>
                <c:pt idx="27">
                  <c:v>1.9908999999999999</c:v>
                </c:pt>
                <c:pt idx="28">
                  <c:v>1.6274999999999999</c:v>
                </c:pt>
                <c:pt idx="29">
                  <c:v>1.6011</c:v>
                </c:pt>
                <c:pt idx="30">
                  <c:v>1.4393</c:v>
                </c:pt>
                <c:pt idx="31">
                  <c:v>1.5056</c:v>
                </c:pt>
                <c:pt idx="32">
                  <c:v>0.76380000000000003</c:v>
                </c:pt>
                <c:pt idx="33">
                  <c:v>1.4311</c:v>
                </c:pt>
                <c:pt idx="34">
                  <c:v>1.3757999999999999</c:v>
                </c:pt>
                <c:pt idx="35">
                  <c:v>1.5091000000000001</c:v>
                </c:pt>
                <c:pt idx="36">
                  <c:v>1.2307999999999999</c:v>
                </c:pt>
                <c:pt idx="37">
                  <c:v>1.3909</c:v>
                </c:pt>
                <c:pt idx="38">
                  <c:v>1.6473</c:v>
                </c:pt>
                <c:pt idx="39">
                  <c:v>1.9554</c:v>
                </c:pt>
                <c:pt idx="40">
                  <c:v>1.5955999999999999</c:v>
                </c:pt>
                <c:pt idx="41">
                  <c:v>1.2674000000000001</c:v>
                </c:pt>
                <c:pt idx="42">
                  <c:v>1.4856</c:v>
                </c:pt>
                <c:pt idx="43">
                  <c:v>1.6</c:v>
                </c:pt>
                <c:pt idx="44">
                  <c:v>1.8</c:v>
                </c:pt>
                <c:pt idx="45">
                  <c:v>2.2999999999999998</c:v>
                </c:pt>
                <c:pt idx="46">
                  <c:v>2.3013910000000002</c:v>
                </c:pt>
                <c:pt idx="47">
                  <c:v>2.3278650000000001</c:v>
                </c:pt>
                <c:pt idx="48">
                  <c:v>2.038999</c:v>
                </c:pt>
                <c:pt idx="49">
                  <c:v>1.8795029999999999</c:v>
                </c:pt>
                <c:pt idx="50">
                  <c:v>1.7651129999999999</c:v>
                </c:pt>
                <c:pt idx="51">
                  <c:v>1.3397730000000001</c:v>
                </c:pt>
                <c:pt idx="52">
                  <c:v>1.920226</c:v>
                </c:pt>
                <c:pt idx="53">
                  <c:v>2.0959469999999998</c:v>
                </c:pt>
                <c:pt idx="54">
                  <c:v>2.2522579999999999</c:v>
                </c:pt>
                <c:pt idx="55">
                  <c:v>2.0765449999999999</c:v>
                </c:pt>
                <c:pt idx="56">
                  <c:v>2.5490550000000001</c:v>
                </c:pt>
                <c:pt idx="57">
                  <c:v>0.8</c:v>
                </c:pt>
                <c:pt idx="58">
                  <c:v>0.9</c:v>
                </c:pt>
                <c:pt idx="59">
                  <c:v>1.2</c:v>
                </c:pt>
                <c:pt idx="60">
                  <c:v>1.5</c:v>
                </c:pt>
                <c:pt idx="61">
                  <c:v>1.5</c:v>
                </c:pt>
                <c:pt idx="62">
                  <c:v>1.4</c:v>
                </c:pt>
                <c:pt idx="63">
                  <c:v>1.8</c:v>
                </c:pt>
                <c:pt idx="64">
                  <c:v>1.6</c:v>
                </c:pt>
                <c:pt idx="65">
                  <c:v>1.9</c:v>
                </c:pt>
                <c:pt idx="66">
                  <c:v>1.7</c:v>
                </c:pt>
                <c:pt idx="67">
                  <c:v>1.8</c:v>
                </c:pt>
                <c:pt idx="68">
                  <c:v>1.5</c:v>
                </c:pt>
                <c:pt idx="69">
                  <c:v>2.9</c:v>
                </c:pt>
                <c:pt idx="70">
                  <c:v>2.1</c:v>
                </c:pt>
                <c:pt idx="71">
                  <c:v>1.8</c:v>
                </c:pt>
                <c:pt idx="72">
                  <c:v>1.8</c:v>
                </c:pt>
                <c:pt idx="73">
                  <c:v>1.9</c:v>
                </c:pt>
                <c:pt idx="74">
                  <c:v>2.1</c:v>
                </c:pt>
                <c:pt idx="75">
                  <c:v>2.2999999999999998</c:v>
                </c:pt>
                <c:pt idx="76">
                  <c:v>2.5</c:v>
                </c:pt>
                <c:pt idx="77">
                  <c:v>2.5</c:v>
                </c:pt>
                <c:pt idx="78">
                  <c:v>2.2000000000000002</c:v>
                </c:pt>
                <c:pt idx="79">
                  <c:v>1.9</c:v>
                </c:pt>
                <c:pt idx="80">
                  <c:v>1.7</c:v>
                </c:pt>
                <c:pt idx="81">
                  <c:v>1.5</c:v>
                </c:pt>
                <c:pt idx="82">
                  <c:v>2.2999999999999998</c:v>
                </c:pt>
                <c:pt idx="83">
                  <c:v>2.5</c:v>
                </c:pt>
                <c:pt idx="84">
                  <c:v>2.7</c:v>
                </c:pt>
                <c:pt idx="85">
                  <c:v>2.7</c:v>
                </c:pt>
                <c:pt idx="86">
                  <c:v>2.8</c:v>
                </c:pt>
                <c:pt idx="87">
                  <c:v>2.8</c:v>
                </c:pt>
                <c:pt idx="88">
                  <c:v>3</c:v>
                </c:pt>
                <c:pt idx="89">
                  <c:v>3.8</c:v>
                </c:pt>
                <c:pt idx="90">
                  <c:v>4.5</c:v>
                </c:pt>
                <c:pt idx="91">
                  <c:v>4.5</c:v>
                </c:pt>
                <c:pt idx="92">
                  <c:v>5.4</c:v>
                </c:pt>
                <c:pt idx="93">
                  <c:v>5.2</c:v>
                </c:pt>
                <c:pt idx="94">
                  <c:v>4.3</c:v>
                </c:pt>
                <c:pt idx="95">
                  <c:v>3.3</c:v>
                </c:pt>
                <c:pt idx="96">
                  <c:v>2.4</c:v>
                </c:pt>
                <c:pt idx="97">
                  <c:v>2.5</c:v>
                </c:pt>
                <c:pt idx="98">
                  <c:v>2.7</c:v>
                </c:pt>
                <c:pt idx="99">
                  <c:v>2.4</c:v>
                </c:pt>
              </c:numCache>
            </c:numRef>
          </c:val>
          <c:smooth val="0"/>
        </c:ser>
        <c:ser>
          <c:idx val="2"/>
          <c:order val="1"/>
          <c:tx>
            <c:strRef>
              <c:f>Sheet2!$D$2:$D$2</c:f>
              <c:strCache>
                <c:ptCount val="1"/>
                <c:pt idx="0">
                  <c:v>PPI:全部工业品:当月同比</c:v>
                </c:pt>
              </c:strCache>
            </c:strRef>
          </c:tx>
          <c:spPr>
            <a:ln w="28575" cap="rnd">
              <a:solidFill>
                <a:schemeClr val="accent3"/>
              </a:solidFill>
              <a:round/>
            </a:ln>
            <a:effectLst/>
          </c:spPr>
          <c:marker>
            <c:symbol val="none"/>
          </c:marker>
          <c:cat>
            <c:strRef>
              <c:f>Sheet2!$A$3:$A$102</c:f>
              <c:strCache>
                <c:ptCount val="100"/>
                <c:pt idx="0">
                  <c:v>频率</c:v>
                </c:pt>
                <c:pt idx="1">
                  <c:v>2012-06</c:v>
                </c:pt>
                <c:pt idx="2">
                  <c:v>2012-07</c:v>
                </c:pt>
                <c:pt idx="3">
                  <c:v>2012-08</c:v>
                </c:pt>
                <c:pt idx="4">
                  <c:v>2012-09</c:v>
                </c:pt>
                <c:pt idx="5">
                  <c:v>2012-10</c:v>
                </c:pt>
                <c:pt idx="6">
                  <c:v>2012-11</c:v>
                </c:pt>
                <c:pt idx="7">
                  <c:v>2012-12</c:v>
                </c:pt>
                <c:pt idx="8">
                  <c:v>2013-01</c:v>
                </c:pt>
                <c:pt idx="9">
                  <c:v>2013-02</c:v>
                </c:pt>
                <c:pt idx="10">
                  <c:v>2013-03</c:v>
                </c:pt>
                <c:pt idx="11">
                  <c:v>2013-04</c:v>
                </c:pt>
                <c:pt idx="12">
                  <c:v>2013-05</c:v>
                </c:pt>
                <c:pt idx="13">
                  <c:v>2013-06</c:v>
                </c:pt>
                <c:pt idx="14">
                  <c:v>2013-07</c:v>
                </c:pt>
                <c:pt idx="15">
                  <c:v>2013-08</c:v>
                </c:pt>
                <c:pt idx="16">
                  <c:v>2013-09</c:v>
                </c:pt>
                <c:pt idx="17">
                  <c:v>2013-10</c:v>
                </c:pt>
                <c:pt idx="18">
                  <c:v>2013-11</c:v>
                </c:pt>
                <c:pt idx="19">
                  <c:v>2013-12</c:v>
                </c:pt>
                <c:pt idx="20">
                  <c:v>2014-01</c:v>
                </c:pt>
                <c:pt idx="21">
                  <c:v>2014-02</c:v>
                </c:pt>
                <c:pt idx="22">
                  <c:v>2014-03</c:v>
                </c:pt>
                <c:pt idx="23">
                  <c:v>2014-04</c:v>
                </c:pt>
                <c:pt idx="24">
                  <c:v>2014-05</c:v>
                </c:pt>
                <c:pt idx="25">
                  <c:v>2014-06</c:v>
                </c:pt>
                <c:pt idx="26">
                  <c:v>2014-07</c:v>
                </c:pt>
                <c:pt idx="27">
                  <c:v>2014-08</c:v>
                </c:pt>
                <c:pt idx="28">
                  <c:v>2014-09</c:v>
                </c:pt>
                <c:pt idx="29">
                  <c:v>2014-10</c:v>
                </c:pt>
                <c:pt idx="30">
                  <c:v>2014-11</c:v>
                </c:pt>
                <c:pt idx="31">
                  <c:v>2014-12</c:v>
                </c:pt>
                <c:pt idx="32">
                  <c:v>2015-01</c:v>
                </c:pt>
                <c:pt idx="33">
                  <c:v>2015-02</c:v>
                </c:pt>
                <c:pt idx="34">
                  <c:v>2015-03</c:v>
                </c:pt>
                <c:pt idx="35">
                  <c:v>2015-04</c:v>
                </c:pt>
                <c:pt idx="36">
                  <c:v>2015-05</c:v>
                </c:pt>
                <c:pt idx="37">
                  <c:v>2015-06</c:v>
                </c:pt>
                <c:pt idx="38">
                  <c:v>2015-07</c:v>
                </c:pt>
                <c:pt idx="39">
                  <c:v>2015-08</c:v>
                </c:pt>
                <c:pt idx="40">
                  <c:v>2015-09</c:v>
                </c:pt>
                <c:pt idx="41">
                  <c:v>2015-10</c:v>
                </c:pt>
                <c:pt idx="42">
                  <c:v>2015-11</c:v>
                </c:pt>
                <c:pt idx="43">
                  <c:v>2015-12</c:v>
                </c:pt>
                <c:pt idx="44">
                  <c:v>2016-01</c:v>
                </c:pt>
                <c:pt idx="45">
                  <c:v>2016-02</c:v>
                </c:pt>
                <c:pt idx="46">
                  <c:v>2016-03</c:v>
                </c:pt>
                <c:pt idx="47">
                  <c:v>2016-04</c:v>
                </c:pt>
                <c:pt idx="48">
                  <c:v>2016-05</c:v>
                </c:pt>
                <c:pt idx="49">
                  <c:v>2016-06</c:v>
                </c:pt>
                <c:pt idx="50">
                  <c:v>2016-07</c:v>
                </c:pt>
                <c:pt idx="51">
                  <c:v>2016-08</c:v>
                </c:pt>
                <c:pt idx="52">
                  <c:v>2016-09</c:v>
                </c:pt>
                <c:pt idx="53">
                  <c:v>2016-10</c:v>
                </c:pt>
                <c:pt idx="54">
                  <c:v>2016-11</c:v>
                </c:pt>
                <c:pt idx="55">
                  <c:v>2016-12</c:v>
                </c:pt>
                <c:pt idx="56">
                  <c:v>2017-01</c:v>
                </c:pt>
                <c:pt idx="57">
                  <c:v>2017-02</c:v>
                </c:pt>
                <c:pt idx="58">
                  <c:v>2017-03</c:v>
                </c:pt>
                <c:pt idx="59">
                  <c:v>2017-04</c:v>
                </c:pt>
                <c:pt idx="60">
                  <c:v>2017-05</c:v>
                </c:pt>
                <c:pt idx="61">
                  <c:v>2017-06</c:v>
                </c:pt>
                <c:pt idx="62">
                  <c:v>2017-07</c:v>
                </c:pt>
                <c:pt idx="63">
                  <c:v>2017-08</c:v>
                </c:pt>
                <c:pt idx="64">
                  <c:v>2017-09</c:v>
                </c:pt>
                <c:pt idx="65">
                  <c:v>2017-10</c:v>
                </c:pt>
                <c:pt idx="66">
                  <c:v>2017-11</c:v>
                </c:pt>
                <c:pt idx="67">
                  <c:v>2017-12</c:v>
                </c:pt>
                <c:pt idx="68">
                  <c:v>2018-01</c:v>
                </c:pt>
                <c:pt idx="69">
                  <c:v>2018-02</c:v>
                </c:pt>
                <c:pt idx="70">
                  <c:v>2018-03</c:v>
                </c:pt>
                <c:pt idx="71">
                  <c:v>2018-04</c:v>
                </c:pt>
                <c:pt idx="72">
                  <c:v>2018-05</c:v>
                </c:pt>
                <c:pt idx="73">
                  <c:v>2018-06</c:v>
                </c:pt>
                <c:pt idx="74">
                  <c:v>2018-07</c:v>
                </c:pt>
                <c:pt idx="75">
                  <c:v>2018-08</c:v>
                </c:pt>
                <c:pt idx="76">
                  <c:v>2018-09</c:v>
                </c:pt>
                <c:pt idx="77">
                  <c:v>2018-10</c:v>
                </c:pt>
                <c:pt idx="78">
                  <c:v>2018-11</c:v>
                </c:pt>
                <c:pt idx="79">
                  <c:v>2018-12</c:v>
                </c:pt>
                <c:pt idx="80">
                  <c:v>2019-01</c:v>
                </c:pt>
                <c:pt idx="81">
                  <c:v>2019-02</c:v>
                </c:pt>
                <c:pt idx="82">
                  <c:v>2019-03</c:v>
                </c:pt>
                <c:pt idx="83">
                  <c:v>2019-04</c:v>
                </c:pt>
                <c:pt idx="84">
                  <c:v>2019-05</c:v>
                </c:pt>
                <c:pt idx="85">
                  <c:v>2019-06</c:v>
                </c:pt>
                <c:pt idx="86">
                  <c:v>2019-07</c:v>
                </c:pt>
                <c:pt idx="87">
                  <c:v>2019-08</c:v>
                </c:pt>
                <c:pt idx="88">
                  <c:v>2019-09</c:v>
                </c:pt>
                <c:pt idx="89">
                  <c:v>2019-10</c:v>
                </c:pt>
                <c:pt idx="90">
                  <c:v>2019-11</c:v>
                </c:pt>
                <c:pt idx="91">
                  <c:v>2019-12</c:v>
                </c:pt>
                <c:pt idx="92">
                  <c:v>2020-01</c:v>
                </c:pt>
                <c:pt idx="93">
                  <c:v>2020-02</c:v>
                </c:pt>
                <c:pt idx="94">
                  <c:v>2020-03</c:v>
                </c:pt>
                <c:pt idx="95">
                  <c:v>2020-04</c:v>
                </c:pt>
                <c:pt idx="96">
                  <c:v>2020-05</c:v>
                </c:pt>
                <c:pt idx="97">
                  <c:v>2020-06</c:v>
                </c:pt>
                <c:pt idx="98">
                  <c:v>2020-07</c:v>
                </c:pt>
                <c:pt idx="99">
                  <c:v>2020-08</c:v>
                </c:pt>
              </c:strCache>
            </c:strRef>
          </c:cat>
          <c:val>
            <c:numRef>
              <c:f>Sheet2!$D$3:$D$102</c:f>
              <c:numCache>
                <c:formatCode>###,###,###,###,##0.00</c:formatCode>
                <c:ptCount val="100"/>
                <c:pt idx="0">
                  <c:v>0</c:v>
                </c:pt>
                <c:pt idx="1">
                  <c:v>-2.08</c:v>
                </c:pt>
                <c:pt idx="2">
                  <c:v>-2.87</c:v>
                </c:pt>
                <c:pt idx="3">
                  <c:v>-3.48</c:v>
                </c:pt>
                <c:pt idx="4">
                  <c:v>-3.55</c:v>
                </c:pt>
                <c:pt idx="5">
                  <c:v>-2.76</c:v>
                </c:pt>
                <c:pt idx="6">
                  <c:v>-2.2000000000000002</c:v>
                </c:pt>
                <c:pt idx="7">
                  <c:v>-1.94</c:v>
                </c:pt>
                <c:pt idx="8">
                  <c:v>-1.64</c:v>
                </c:pt>
                <c:pt idx="9">
                  <c:v>-1.63</c:v>
                </c:pt>
                <c:pt idx="10">
                  <c:v>-1.92</c:v>
                </c:pt>
                <c:pt idx="11">
                  <c:v>-2.62</c:v>
                </c:pt>
                <c:pt idx="12">
                  <c:v>-2.87</c:v>
                </c:pt>
                <c:pt idx="13">
                  <c:v>-2.7</c:v>
                </c:pt>
                <c:pt idx="14">
                  <c:v>-2.27</c:v>
                </c:pt>
                <c:pt idx="15">
                  <c:v>-1.62</c:v>
                </c:pt>
                <c:pt idx="16">
                  <c:v>-1.34</c:v>
                </c:pt>
                <c:pt idx="17">
                  <c:v>-1.51</c:v>
                </c:pt>
                <c:pt idx="18">
                  <c:v>-1.42</c:v>
                </c:pt>
                <c:pt idx="19">
                  <c:v>-1.36</c:v>
                </c:pt>
                <c:pt idx="20">
                  <c:v>-1.64</c:v>
                </c:pt>
                <c:pt idx="21">
                  <c:v>-2</c:v>
                </c:pt>
                <c:pt idx="22">
                  <c:v>-2.3018999999999998</c:v>
                </c:pt>
                <c:pt idx="23">
                  <c:v>-2.0042</c:v>
                </c:pt>
                <c:pt idx="24">
                  <c:v>-1.4463999999999999</c:v>
                </c:pt>
                <c:pt idx="25">
                  <c:v>-1.1092</c:v>
                </c:pt>
                <c:pt idx="26">
                  <c:v>-0.86880000000000002</c:v>
                </c:pt>
                <c:pt idx="27">
                  <c:v>-1.2038</c:v>
                </c:pt>
                <c:pt idx="28">
                  <c:v>-1.7996000000000001</c:v>
                </c:pt>
                <c:pt idx="29">
                  <c:v>-2.2427999999999999</c:v>
                </c:pt>
                <c:pt idx="30">
                  <c:v>-2.6928000000000001</c:v>
                </c:pt>
                <c:pt idx="31">
                  <c:v>-3.3151999999999999</c:v>
                </c:pt>
                <c:pt idx="32">
                  <c:v>-4.3201999999999998</c:v>
                </c:pt>
                <c:pt idx="33">
                  <c:v>-4.7976000000000001</c:v>
                </c:pt>
                <c:pt idx="34">
                  <c:v>-4.5602999999999998</c:v>
                </c:pt>
                <c:pt idx="35">
                  <c:v>-4.5724999999999998</c:v>
                </c:pt>
                <c:pt idx="36">
                  <c:v>-4.6070000000000002</c:v>
                </c:pt>
                <c:pt idx="37">
                  <c:v>-4.8135000000000003</c:v>
                </c:pt>
                <c:pt idx="38">
                  <c:v>-5.3692000000000002</c:v>
                </c:pt>
                <c:pt idx="39">
                  <c:v>-5.9226999999999999</c:v>
                </c:pt>
                <c:pt idx="40">
                  <c:v>-5.9450000000000003</c:v>
                </c:pt>
                <c:pt idx="41">
                  <c:v>-5.9</c:v>
                </c:pt>
                <c:pt idx="42">
                  <c:v>-5.9</c:v>
                </c:pt>
                <c:pt idx="43">
                  <c:v>-5.9</c:v>
                </c:pt>
                <c:pt idx="44">
                  <c:v>-5.3</c:v>
                </c:pt>
                <c:pt idx="45">
                  <c:v>-4.9000000000000004</c:v>
                </c:pt>
                <c:pt idx="46">
                  <c:v>-4.3</c:v>
                </c:pt>
                <c:pt idx="47">
                  <c:v>-3.4</c:v>
                </c:pt>
                <c:pt idx="48">
                  <c:v>-2.8</c:v>
                </c:pt>
                <c:pt idx="49">
                  <c:v>-2.6</c:v>
                </c:pt>
                <c:pt idx="50">
                  <c:v>-1.7</c:v>
                </c:pt>
                <c:pt idx="51">
                  <c:v>-0.8</c:v>
                </c:pt>
                <c:pt idx="52">
                  <c:v>0.1</c:v>
                </c:pt>
                <c:pt idx="53">
                  <c:v>1.2</c:v>
                </c:pt>
                <c:pt idx="54">
                  <c:v>3.3</c:v>
                </c:pt>
                <c:pt idx="55">
                  <c:v>5.5</c:v>
                </c:pt>
                <c:pt idx="56">
                  <c:v>6.9</c:v>
                </c:pt>
                <c:pt idx="57">
                  <c:v>7.8</c:v>
                </c:pt>
                <c:pt idx="58">
                  <c:v>7.6</c:v>
                </c:pt>
                <c:pt idx="59">
                  <c:v>6.4</c:v>
                </c:pt>
                <c:pt idx="60">
                  <c:v>5.5</c:v>
                </c:pt>
                <c:pt idx="61">
                  <c:v>5.5</c:v>
                </c:pt>
                <c:pt idx="62">
                  <c:v>5.5</c:v>
                </c:pt>
                <c:pt idx="63">
                  <c:v>6.3</c:v>
                </c:pt>
                <c:pt idx="64">
                  <c:v>6.9</c:v>
                </c:pt>
                <c:pt idx="65">
                  <c:v>6.9</c:v>
                </c:pt>
                <c:pt idx="66">
                  <c:v>5.8</c:v>
                </c:pt>
                <c:pt idx="67">
                  <c:v>4.9000000000000004</c:v>
                </c:pt>
                <c:pt idx="68">
                  <c:v>4.3</c:v>
                </c:pt>
                <c:pt idx="69">
                  <c:v>3.7</c:v>
                </c:pt>
                <c:pt idx="70">
                  <c:v>3.1</c:v>
                </c:pt>
                <c:pt idx="71">
                  <c:v>3.4</c:v>
                </c:pt>
                <c:pt idx="72">
                  <c:v>4.0999999999999996</c:v>
                </c:pt>
                <c:pt idx="73">
                  <c:v>4.7</c:v>
                </c:pt>
                <c:pt idx="74">
                  <c:v>4.5999999999999996</c:v>
                </c:pt>
                <c:pt idx="75">
                  <c:v>4.0999999999999996</c:v>
                </c:pt>
                <c:pt idx="76">
                  <c:v>3.6</c:v>
                </c:pt>
                <c:pt idx="77">
                  <c:v>3.3</c:v>
                </c:pt>
                <c:pt idx="78">
                  <c:v>2.7</c:v>
                </c:pt>
                <c:pt idx="79">
                  <c:v>0.9</c:v>
                </c:pt>
                <c:pt idx="80">
                  <c:v>0.1</c:v>
                </c:pt>
                <c:pt idx="81">
                  <c:v>0.1</c:v>
                </c:pt>
                <c:pt idx="82">
                  <c:v>0.4</c:v>
                </c:pt>
                <c:pt idx="83">
                  <c:v>0.9</c:v>
                </c:pt>
                <c:pt idx="84">
                  <c:v>0.6</c:v>
                </c:pt>
                <c:pt idx="85">
                  <c:v>0</c:v>
                </c:pt>
                <c:pt idx="86">
                  <c:v>-0.3</c:v>
                </c:pt>
                <c:pt idx="87">
                  <c:v>-0.8</c:v>
                </c:pt>
                <c:pt idx="88">
                  <c:v>-1.2</c:v>
                </c:pt>
                <c:pt idx="89">
                  <c:v>-1.6</c:v>
                </c:pt>
                <c:pt idx="90">
                  <c:v>-1.4</c:v>
                </c:pt>
                <c:pt idx="91">
                  <c:v>-0.5</c:v>
                </c:pt>
                <c:pt idx="92">
                  <c:v>0.1</c:v>
                </c:pt>
                <c:pt idx="93">
                  <c:v>-0.4</c:v>
                </c:pt>
                <c:pt idx="94">
                  <c:v>-1.5</c:v>
                </c:pt>
                <c:pt idx="95">
                  <c:v>-3.1</c:v>
                </c:pt>
                <c:pt idx="96">
                  <c:v>-3.7</c:v>
                </c:pt>
                <c:pt idx="97">
                  <c:v>-3</c:v>
                </c:pt>
                <c:pt idx="98">
                  <c:v>-2.4</c:v>
                </c:pt>
                <c:pt idx="99">
                  <c:v>-2</c:v>
                </c:pt>
              </c:numCache>
            </c:numRef>
          </c:val>
          <c:smooth val="0"/>
        </c:ser>
        <c:dLbls>
          <c:showLegendKey val="0"/>
          <c:showVal val="0"/>
          <c:showCatName val="0"/>
          <c:showSerName val="0"/>
          <c:showPercent val="0"/>
          <c:showBubbleSize val="0"/>
        </c:dLbls>
        <c:marker val="1"/>
        <c:smooth val="0"/>
        <c:axId val="372308992"/>
        <c:axId val="372392704"/>
      </c:lineChart>
      <c:catAx>
        <c:axId val="372308992"/>
        <c:scaling>
          <c:orientation val="minMax"/>
        </c:scaling>
        <c:delete val="0"/>
        <c:axPos val="b"/>
        <c:numFmt formatCode="General" sourceLinked="1"/>
        <c:majorTickMark val="out"/>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72392704"/>
        <c:crosses val="autoZero"/>
        <c:auto val="1"/>
        <c:lblAlgn val="ctr"/>
        <c:lblOffset val="100"/>
        <c:noMultiLvlLbl val="0"/>
      </c:catAx>
      <c:valAx>
        <c:axId val="372392704"/>
        <c:scaling>
          <c:orientation val="minMax"/>
        </c:scaling>
        <c:delete val="0"/>
        <c:axPos val="l"/>
        <c:numFmt formatCode="General"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72308992"/>
        <c:crosses val="autoZero"/>
        <c:crossBetween val="between"/>
      </c:valAx>
      <c:spPr>
        <a:noFill/>
        <a:ln>
          <a:noFill/>
        </a:ln>
        <a:effectLst/>
      </c:spPr>
    </c:plotArea>
    <c:legend>
      <c:legendPos val="b"/>
      <c:layout>
        <c:manualLayout>
          <c:xMode val="edge"/>
          <c:yMode val="edge"/>
          <c:x val="0.10988224796962415"/>
          <c:y val="2.372630504520264E-2"/>
          <c:w val="0.89011775203037591"/>
          <c:h val="0.1529852982351004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3206036745406826E-2"/>
          <c:y val="2.5428331875182269E-2"/>
          <c:w val="0.8762384076990376"/>
          <c:h val="0.88946704578594338"/>
        </c:manualLayout>
      </c:layout>
      <c:lineChart>
        <c:grouping val="standard"/>
        <c:varyColors val="0"/>
        <c:ser>
          <c:idx val="1"/>
          <c:order val="0"/>
          <c:tx>
            <c:strRef>
              <c:f>Sheet2!$C$2:$C$2</c:f>
              <c:strCache>
                <c:ptCount val="1"/>
                <c:pt idx="0">
                  <c:v>CPI:环比</c:v>
                </c:pt>
              </c:strCache>
            </c:strRef>
          </c:tx>
          <c:spPr>
            <a:ln w="28575" cap="rnd">
              <a:solidFill>
                <a:schemeClr val="accent1">
                  <a:lumMod val="75000"/>
                </a:schemeClr>
              </a:solidFill>
              <a:round/>
            </a:ln>
            <a:effectLst/>
          </c:spPr>
          <c:marker>
            <c:symbol val="none"/>
          </c:marker>
          <c:cat>
            <c:strRef>
              <c:f>Sheet2!$A$3:$A$102</c:f>
              <c:strCache>
                <c:ptCount val="100"/>
                <c:pt idx="0">
                  <c:v>频率</c:v>
                </c:pt>
                <c:pt idx="1">
                  <c:v>2012-06</c:v>
                </c:pt>
                <c:pt idx="2">
                  <c:v>2012-07</c:v>
                </c:pt>
                <c:pt idx="3">
                  <c:v>2012-08</c:v>
                </c:pt>
                <c:pt idx="4">
                  <c:v>2012-09</c:v>
                </c:pt>
                <c:pt idx="5">
                  <c:v>2012-10</c:v>
                </c:pt>
                <c:pt idx="6">
                  <c:v>2012-11</c:v>
                </c:pt>
                <c:pt idx="7">
                  <c:v>2012-12</c:v>
                </c:pt>
                <c:pt idx="8">
                  <c:v>2013-01</c:v>
                </c:pt>
                <c:pt idx="9">
                  <c:v>2013-02</c:v>
                </c:pt>
                <c:pt idx="10">
                  <c:v>2013-03</c:v>
                </c:pt>
                <c:pt idx="11">
                  <c:v>2013-04</c:v>
                </c:pt>
                <c:pt idx="12">
                  <c:v>2013-05</c:v>
                </c:pt>
                <c:pt idx="13">
                  <c:v>2013-06</c:v>
                </c:pt>
                <c:pt idx="14">
                  <c:v>2013-07</c:v>
                </c:pt>
                <c:pt idx="15">
                  <c:v>2013-08</c:v>
                </c:pt>
                <c:pt idx="16">
                  <c:v>2013-09</c:v>
                </c:pt>
                <c:pt idx="17">
                  <c:v>2013-10</c:v>
                </c:pt>
                <c:pt idx="18">
                  <c:v>2013-11</c:v>
                </c:pt>
                <c:pt idx="19">
                  <c:v>2013-12</c:v>
                </c:pt>
                <c:pt idx="20">
                  <c:v>2014-01</c:v>
                </c:pt>
                <c:pt idx="21">
                  <c:v>2014-02</c:v>
                </c:pt>
                <c:pt idx="22">
                  <c:v>2014-03</c:v>
                </c:pt>
                <c:pt idx="23">
                  <c:v>2014-04</c:v>
                </c:pt>
                <c:pt idx="24">
                  <c:v>2014-05</c:v>
                </c:pt>
                <c:pt idx="25">
                  <c:v>2014-06</c:v>
                </c:pt>
                <c:pt idx="26">
                  <c:v>2014-07</c:v>
                </c:pt>
                <c:pt idx="27">
                  <c:v>2014-08</c:v>
                </c:pt>
                <c:pt idx="28">
                  <c:v>2014-09</c:v>
                </c:pt>
                <c:pt idx="29">
                  <c:v>2014-10</c:v>
                </c:pt>
                <c:pt idx="30">
                  <c:v>2014-11</c:v>
                </c:pt>
                <c:pt idx="31">
                  <c:v>2014-12</c:v>
                </c:pt>
                <c:pt idx="32">
                  <c:v>2015-01</c:v>
                </c:pt>
                <c:pt idx="33">
                  <c:v>2015-02</c:v>
                </c:pt>
                <c:pt idx="34">
                  <c:v>2015-03</c:v>
                </c:pt>
                <c:pt idx="35">
                  <c:v>2015-04</c:v>
                </c:pt>
                <c:pt idx="36">
                  <c:v>2015-05</c:v>
                </c:pt>
                <c:pt idx="37">
                  <c:v>2015-06</c:v>
                </c:pt>
                <c:pt idx="38">
                  <c:v>2015-07</c:v>
                </c:pt>
                <c:pt idx="39">
                  <c:v>2015-08</c:v>
                </c:pt>
                <c:pt idx="40">
                  <c:v>2015-09</c:v>
                </c:pt>
                <c:pt idx="41">
                  <c:v>2015-10</c:v>
                </c:pt>
                <c:pt idx="42">
                  <c:v>2015-11</c:v>
                </c:pt>
                <c:pt idx="43">
                  <c:v>2015-12</c:v>
                </c:pt>
                <c:pt idx="44">
                  <c:v>2016-01</c:v>
                </c:pt>
                <c:pt idx="45">
                  <c:v>2016-02</c:v>
                </c:pt>
                <c:pt idx="46">
                  <c:v>2016-03</c:v>
                </c:pt>
                <c:pt idx="47">
                  <c:v>2016-04</c:v>
                </c:pt>
                <c:pt idx="48">
                  <c:v>2016-05</c:v>
                </c:pt>
                <c:pt idx="49">
                  <c:v>2016-06</c:v>
                </c:pt>
                <c:pt idx="50">
                  <c:v>2016-07</c:v>
                </c:pt>
                <c:pt idx="51">
                  <c:v>2016-08</c:v>
                </c:pt>
                <c:pt idx="52">
                  <c:v>2016-09</c:v>
                </c:pt>
                <c:pt idx="53">
                  <c:v>2016-10</c:v>
                </c:pt>
                <c:pt idx="54">
                  <c:v>2016-11</c:v>
                </c:pt>
                <c:pt idx="55">
                  <c:v>2016-12</c:v>
                </c:pt>
                <c:pt idx="56">
                  <c:v>2017-01</c:v>
                </c:pt>
                <c:pt idx="57">
                  <c:v>2017-02</c:v>
                </c:pt>
                <c:pt idx="58">
                  <c:v>2017-03</c:v>
                </c:pt>
                <c:pt idx="59">
                  <c:v>2017-04</c:v>
                </c:pt>
                <c:pt idx="60">
                  <c:v>2017-05</c:v>
                </c:pt>
                <c:pt idx="61">
                  <c:v>2017-06</c:v>
                </c:pt>
                <c:pt idx="62">
                  <c:v>2017-07</c:v>
                </c:pt>
                <c:pt idx="63">
                  <c:v>2017-08</c:v>
                </c:pt>
                <c:pt idx="64">
                  <c:v>2017-09</c:v>
                </c:pt>
                <c:pt idx="65">
                  <c:v>2017-10</c:v>
                </c:pt>
                <c:pt idx="66">
                  <c:v>2017-11</c:v>
                </c:pt>
                <c:pt idx="67">
                  <c:v>2017-12</c:v>
                </c:pt>
                <c:pt idx="68">
                  <c:v>2018-01</c:v>
                </c:pt>
                <c:pt idx="69">
                  <c:v>2018-02</c:v>
                </c:pt>
                <c:pt idx="70">
                  <c:v>2018-03</c:v>
                </c:pt>
                <c:pt idx="71">
                  <c:v>2018-04</c:v>
                </c:pt>
                <c:pt idx="72">
                  <c:v>2018-05</c:v>
                </c:pt>
                <c:pt idx="73">
                  <c:v>2018-06</c:v>
                </c:pt>
                <c:pt idx="74">
                  <c:v>2018-07</c:v>
                </c:pt>
                <c:pt idx="75">
                  <c:v>2018-08</c:v>
                </c:pt>
                <c:pt idx="76">
                  <c:v>2018-09</c:v>
                </c:pt>
                <c:pt idx="77">
                  <c:v>2018-10</c:v>
                </c:pt>
                <c:pt idx="78">
                  <c:v>2018-11</c:v>
                </c:pt>
                <c:pt idx="79">
                  <c:v>2018-12</c:v>
                </c:pt>
                <c:pt idx="80">
                  <c:v>2019-01</c:v>
                </c:pt>
                <c:pt idx="81">
                  <c:v>2019-02</c:v>
                </c:pt>
                <c:pt idx="82">
                  <c:v>2019-03</c:v>
                </c:pt>
                <c:pt idx="83">
                  <c:v>2019-04</c:v>
                </c:pt>
                <c:pt idx="84">
                  <c:v>2019-05</c:v>
                </c:pt>
                <c:pt idx="85">
                  <c:v>2019-06</c:v>
                </c:pt>
                <c:pt idx="86">
                  <c:v>2019-07</c:v>
                </c:pt>
                <c:pt idx="87">
                  <c:v>2019-08</c:v>
                </c:pt>
                <c:pt idx="88">
                  <c:v>2019-09</c:v>
                </c:pt>
                <c:pt idx="89">
                  <c:v>2019-10</c:v>
                </c:pt>
                <c:pt idx="90">
                  <c:v>2019-11</c:v>
                </c:pt>
                <c:pt idx="91">
                  <c:v>2019-12</c:v>
                </c:pt>
                <c:pt idx="92">
                  <c:v>2020-01</c:v>
                </c:pt>
                <c:pt idx="93">
                  <c:v>2020-02</c:v>
                </c:pt>
                <c:pt idx="94">
                  <c:v>2020-03</c:v>
                </c:pt>
                <c:pt idx="95">
                  <c:v>2020-04</c:v>
                </c:pt>
                <c:pt idx="96">
                  <c:v>2020-05</c:v>
                </c:pt>
                <c:pt idx="97">
                  <c:v>2020-06</c:v>
                </c:pt>
                <c:pt idx="98">
                  <c:v>2020-07</c:v>
                </c:pt>
                <c:pt idx="99">
                  <c:v>2020-08</c:v>
                </c:pt>
              </c:strCache>
            </c:strRef>
          </c:cat>
          <c:val>
            <c:numRef>
              <c:f>Sheet2!$C$3:$C$102</c:f>
              <c:numCache>
                <c:formatCode>###,###,###,###,##0.00</c:formatCode>
                <c:ptCount val="100"/>
                <c:pt idx="0">
                  <c:v>0</c:v>
                </c:pt>
                <c:pt idx="1">
                  <c:v>-0.6</c:v>
                </c:pt>
                <c:pt idx="2">
                  <c:v>0.1</c:v>
                </c:pt>
                <c:pt idx="3">
                  <c:v>0.6</c:v>
                </c:pt>
                <c:pt idx="4">
                  <c:v>0.3</c:v>
                </c:pt>
                <c:pt idx="5">
                  <c:v>-0.1</c:v>
                </c:pt>
                <c:pt idx="6">
                  <c:v>0.1</c:v>
                </c:pt>
                <c:pt idx="7">
                  <c:v>0.8</c:v>
                </c:pt>
                <c:pt idx="8">
                  <c:v>1.0103</c:v>
                </c:pt>
                <c:pt idx="9">
                  <c:v>1.0564</c:v>
                </c:pt>
                <c:pt idx="10">
                  <c:v>-0.91320000000000001</c:v>
                </c:pt>
                <c:pt idx="11">
                  <c:v>0.2351</c:v>
                </c:pt>
                <c:pt idx="12">
                  <c:v>-0.55969999999999998</c:v>
                </c:pt>
                <c:pt idx="13">
                  <c:v>4.8999999999999998E-3</c:v>
                </c:pt>
                <c:pt idx="14">
                  <c:v>0.1036</c:v>
                </c:pt>
                <c:pt idx="15">
                  <c:v>0.46500000000000002</c:v>
                </c:pt>
                <c:pt idx="16">
                  <c:v>0.81279999999999997</c:v>
                </c:pt>
                <c:pt idx="17">
                  <c:v>5.74E-2</c:v>
                </c:pt>
                <c:pt idx="18">
                  <c:v>-6.4500000000000002E-2</c:v>
                </c:pt>
                <c:pt idx="19">
                  <c:v>0.28129999999999999</c:v>
                </c:pt>
                <c:pt idx="20">
                  <c:v>0.99790000000000001</c:v>
                </c:pt>
                <c:pt idx="21">
                  <c:v>0.52880000000000005</c:v>
                </c:pt>
                <c:pt idx="22">
                  <c:v>-0.49170000000000003</c:v>
                </c:pt>
                <c:pt idx="23">
                  <c:v>-0.33610000000000001</c:v>
                </c:pt>
                <c:pt idx="24">
                  <c:v>0.10059999999999999</c:v>
                </c:pt>
                <c:pt idx="25">
                  <c:v>-0.13289999999999999</c:v>
                </c:pt>
                <c:pt idx="26">
                  <c:v>5.3800000000000001E-2</c:v>
                </c:pt>
                <c:pt idx="27">
                  <c:v>0.1759</c:v>
                </c:pt>
                <c:pt idx="28">
                  <c:v>0.45369999999999999</c:v>
                </c:pt>
                <c:pt idx="29">
                  <c:v>3.1399999999999997E-2</c:v>
                </c:pt>
                <c:pt idx="30">
                  <c:v>-0.22359999999999999</c:v>
                </c:pt>
                <c:pt idx="31">
                  <c:v>0.3468</c:v>
                </c:pt>
                <c:pt idx="32">
                  <c:v>0.25979999999999998</c:v>
                </c:pt>
                <c:pt idx="33">
                  <c:v>1.1946000000000001</c:v>
                </c:pt>
                <c:pt idx="34">
                  <c:v>-0.54600000000000004</c:v>
                </c:pt>
                <c:pt idx="35">
                  <c:v>-0.20499999999999999</c:v>
                </c:pt>
                <c:pt idx="36">
                  <c:v>-0.1739</c:v>
                </c:pt>
                <c:pt idx="37">
                  <c:v>2.5100000000000001E-2</c:v>
                </c:pt>
                <c:pt idx="38">
                  <c:v>0.30690000000000001</c:v>
                </c:pt>
                <c:pt idx="39">
                  <c:v>0.47949999999999998</c:v>
                </c:pt>
                <c:pt idx="40">
                  <c:v>9.9199999999999997E-2</c:v>
                </c:pt>
                <c:pt idx="41">
                  <c:v>-0.29170000000000001</c:v>
                </c:pt>
                <c:pt idx="42">
                  <c:v>-8.6999999999999994E-3</c:v>
                </c:pt>
                <c:pt idx="43">
                  <c:v>0.49653000000000003</c:v>
                </c:pt>
                <c:pt idx="44">
                  <c:v>0.5</c:v>
                </c:pt>
                <c:pt idx="45">
                  <c:v>1.6</c:v>
                </c:pt>
                <c:pt idx="46">
                  <c:v>-0.43053799999999998</c:v>
                </c:pt>
                <c:pt idx="47">
                  <c:v>-0.17941399999999999</c:v>
                </c:pt>
                <c:pt idx="48">
                  <c:v>-0.45585500000000001</c:v>
                </c:pt>
                <c:pt idx="49">
                  <c:v>-0.13123499999999999</c:v>
                </c:pt>
                <c:pt idx="50">
                  <c:v>0.194549</c:v>
                </c:pt>
                <c:pt idx="51">
                  <c:v>6.0004000000000002E-2</c:v>
                </c:pt>
                <c:pt idx="52">
                  <c:v>0.67264699999999999</c:v>
                </c:pt>
                <c:pt idx="53">
                  <c:v>-0.120073</c:v>
                </c:pt>
                <c:pt idx="54">
                  <c:v>0.14437900000000001</c:v>
                </c:pt>
                <c:pt idx="55">
                  <c:v>0.22400600000000001</c:v>
                </c:pt>
                <c:pt idx="56">
                  <c:v>0.99839999999999995</c:v>
                </c:pt>
                <c:pt idx="57">
                  <c:v>-0.16789999999999999</c:v>
                </c:pt>
                <c:pt idx="58">
                  <c:v>-0.31680000000000003</c:v>
                </c:pt>
                <c:pt idx="59">
                  <c:v>6.6500000000000004E-2</c:v>
                </c:pt>
                <c:pt idx="60">
                  <c:v>-0.11020000000000001</c:v>
                </c:pt>
                <c:pt idx="61">
                  <c:v>-0.15210000000000001</c:v>
                </c:pt>
                <c:pt idx="62">
                  <c:v>0.1066</c:v>
                </c:pt>
                <c:pt idx="63">
                  <c:v>0.41570000000000001</c:v>
                </c:pt>
                <c:pt idx="64">
                  <c:v>0.53890000000000005</c:v>
                </c:pt>
                <c:pt idx="65">
                  <c:v>0.11219999999999999</c:v>
                </c:pt>
                <c:pt idx="66">
                  <c:v>1.2800000000000001E-2</c:v>
                </c:pt>
                <c:pt idx="67">
                  <c:v>0.3</c:v>
                </c:pt>
                <c:pt idx="68">
                  <c:v>0.6</c:v>
                </c:pt>
                <c:pt idx="69">
                  <c:v>1.2</c:v>
                </c:pt>
                <c:pt idx="70">
                  <c:v>-1.1000000000000001</c:v>
                </c:pt>
                <c:pt idx="71">
                  <c:v>-0.2</c:v>
                </c:pt>
                <c:pt idx="72">
                  <c:v>-0.2</c:v>
                </c:pt>
                <c:pt idx="73">
                  <c:v>-0.1</c:v>
                </c:pt>
                <c:pt idx="74">
                  <c:v>0.3</c:v>
                </c:pt>
                <c:pt idx="75">
                  <c:v>0.7</c:v>
                </c:pt>
                <c:pt idx="76">
                  <c:v>0.7</c:v>
                </c:pt>
                <c:pt idx="77">
                  <c:v>0.2</c:v>
                </c:pt>
                <c:pt idx="78">
                  <c:v>-0.3</c:v>
                </c:pt>
                <c:pt idx="79">
                  <c:v>0</c:v>
                </c:pt>
                <c:pt idx="80">
                  <c:v>0.5</c:v>
                </c:pt>
                <c:pt idx="81">
                  <c:v>1</c:v>
                </c:pt>
                <c:pt idx="82">
                  <c:v>-0.4</c:v>
                </c:pt>
                <c:pt idx="83">
                  <c:v>0.1</c:v>
                </c:pt>
                <c:pt idx="84">
                  <c:v>0</c:v>
                </c:pt>
                <c:pt idx="85">
                  <c:v>-0.1</c:v>
                </c:pt>
                <c:pt idx="86">
                  <c:v>0.4</c:v>
                </c:pt>
                <c:pt idx="87">
                  <c:v>0.7</c:v>
                </c:pt>
                <c:pt idx="88">
                  <c:v>0.9</c:v>
                </c:pt>
                <c:pt idx="89">
                  <c:v>0.9</c:v>
                </c:pt>
                <c:pt idx="90">
                  <c:v>0.4</c:v>
                </c:pt>
                <c:pt idx="91">
                  <c:v>0</c:v>
                </c:pt>
                <c:pt idx="92">
                  <c:v>1.4</c:v>
                </c:pt>
                <c:pt idx="93">
                  <c:v>0.8</c:v>
                </c:pt>
                <c:pt idx="94">
                  <c:v>-1.2</c:v>
                </c:pt>
                <c:pt idx="95">
                  <c:v>-0.9</c:v>
                </c:pt>
                <c:pt idx="96">
                  <c:v>-0.8</c:v>
                </c:pt>
                <c:pt idx="97">
                  <c:v>-0.1</c:v>
                </c:pt>
                <c:pt idx="98">
                  <c:v>0.6</c:v>
                </c:pt>
                <c:pt idx="99">
                  <c:v>0.4</c:v>
                </c:pt>
              </c:numCache>
            </c:numRef>
          </c:val>
          <c:smooth val="0"/>
        </c:ser>
        <c:ser>
          <c:idx val="3"/>
          <c:order val="1"/>
          <c:tx>
            <c:strRef>
              <c:f>Sheet2!$E$2:$E$2</c:f>
              <c:strCache>
                <c:ptCount val="1"/>
                <c:pt idx="0">
                  <c:v>PPI:全部工业品:环比</c:v>
                </c:pt>
              </c:strCache>
            </c:strRef>
          </c:tx>
          <c:spPr>
            <a:ln w="28575" cap="rnd">
              <a:solidFill>
                <a:schemeClr val="accent3">
                  <a:lumMod val="75000"/>
                </a:schemeClr>
              </a:solidFill>
              <a:round/>
            </a:ln>
            <a:effectLst/>
          </c:spPr>
          <c:marker>
            <c:symbol val="none"/>
          </c:marker>
          <c:cat>
            <c:strRef>
              <c:f>Sheet2!$A$3:$A$102</c:f>
              <c:strCache>
                <c:ptCount val="100"/>
                <c:pt idx="0">
                  <c:v>频率</c:v>
                </c:pt>
                <c:pt idx="1">
                  <c:v>2012-06</c:v>
                </c:pt>
                <c:pt idx="2">
                  <c:v>2012-07</c:v>
                </c:pt>
                <c:pt idx="3">
                  <c:v>2012-08</c:v>
                </c:pt>
                <c:pt idx="4">
                  <c:v>2012-09</c:v>
                </c:pt>
                <c:pt idx="5">
                  <c:v>2012-10</c:v>
                </c:pt>
                <c:pt idx="6">
                  <c:v>2012-11</c:v>
                </c:pt>
                <c:pt idx="7">
                  <c:v>2012-12</c:v>
                </c:pt>
                <c:pt idx="8">
                  <c:v>2013-01</c:v>
                </c:pt>
                <c:pt idx="9">
                  <c:v>2013-02</c:v>
                </c:pt>
                <c:pt idx="10">
                  <c:v>2013-03</c:v>
                </c:pt>
                <c:pt idx="11">
                  <c:v>2013-04</c:v>
                </c:pt>
                <c:pt idx="12">
                  <c:v>2013-05</c:v>
                </c:pt>
                <c:pt idx="13">
                  <c:v>2013-06</c:v>
                </c:pt>
                <c:pt idx="14">
                  <c:v>2013-07</c:v>
                </c:pt>
                <c:pt idx="15">
                  <c:v>2013-08</c:v>
                </c:pt>
                <c:pt idx="16">
                  <c:v>2013-09</c:v>
                </c:pt>
                <c:pt idx="17">
                  <c:v>2013-10</c:v>
                </c:pt>
                <c:pt idx="18">
                  <c:v>2013-11</c:v>
                </c:pt>
                <c:pt idx="19">
                  <c:v>2013-12</c:v>
                </c:pt>
                <c:pt idx="20">
                  <c:v>2014-01</c:v>
                </c:pt>
                <c:pt idx="21">
                  <c:v>2014-02</c:v>
                </c:pt>
                <c:pt idx="22">
                  <c:v>2014-03</c:v>
                </c:pt>
                <c:pt idx="23">
                  <c:v>2014-04</c:v>
                </c:pt>
                <c:pt idx="24">
                  <c:v>2014-05</c:v>
                </c:pt>
                <c:pt idx="25">
                  <c:v>2014-06</c:v>
                </c:pt>
                <c:pt idx="26">
                  <c:v>2014-07</c:v>
                </c:pt>
                <c:pt idx="27">
                  <c:v>2014-08</c:v>
                </c:pt>
                <c:pt idx="28">
                  <c:v>2014-09</c:v>
                </c:pt>
                <c:pt idx="29">
                  <c:v>2014-10</c:v>
                </c:pt>
                <c:pt idx="30">
                  <c:v>2014-11</c:v>
                </c:pt>
                <c:pt idx="31">
                  <c:v>2014-12</c:v>
                </c:pt>
                <c:pt idx="32">
                  <c:v>2015-01</c:v>
                </c:pt>
                <c:pt idx="33">
                  <c:v>2015-02</c:v>
                </c:pt>
                <c:pt idx="34">
                  <c:v>2015-03</c:v>
                </c:pt>
                <c:pt idx="35">
                  <c:v>2015-04</c:v>
                </c:pt>
                <c:pt idx="36">
                  <c:v>2015-05</c:v>
                </c:pt>
                <c:pt idx="37">
                  <c:v>2015-06</c:v>
                </c:pt>
                <c:pt idx="38">
                  <c:v>2015-07</c:v>
                </c:pt>
                <c:pt idx="39">
                  <c:v>2015-08</c:v>
                </c:pt>
                <c:pt idx="40">
                  <c:v>2015-09</c:v>
                </c:pt>
                <c:pt idx="41">
                  <c:v>2015-10</c:v>
                </c:pt>
                <c:pt idx="42">
                  <c:v>2015-11</c:v>
                </c:pt>
                <c:pt idx="43">
                  <c:v>2015-12</c:v>
                </c:pt>
                <c:pt idx="44">
                  <c:v>2016-01</c:v>
                </c:pt>
                <c:pt idx="45">
                  <c:v>2016-02</c:v>
                </c:pt>
                <c:pt idx="46">
                  <c:v>2016-03</c:v>
                </c:pt>
                <c:pt idx="47">
                  <c:v>2016-04</c:v>
                </c:pt>
                <c:pt idx="48">
                  <c:v>2016-05</c:v>
                </c:pt>
                <c:pt idx="49">
                  <c:v>2016-06</c:v>
                </c:pt>
                <c:pt idx="50">
                  <c:v>2016-07</c:v>
                </c:pt>
                <c:pt idx="51">
                  <c:v>2016-08</c:v>
                </c:pt>
                <c:pt idx="52">
                  <c:v>2016-09</c:v>
                </c:pt>
                <c:pt idx="53">
                  <c:v>2016-10</c:v>
                </c:pt>
                <c:pt idx="54">
                  <c:v>2016-11</c:v>
                </c:pt>
                <c:pt idx="55">
                  <c:v>2016-12</c:v>
                </c:pt>
                <c:pt idx="56">
                  <c:v>2017-01</c:v>
                </c:pt>
                <c:pt idx="57">
                  <c:v>2017-02</c:v>
                </c:pt>
                <c:pt idx="58">
                  <c:v>2017-03</c:v>
                </c:pt>
                <c:pt idx="59">
                  <c:v>2017-04</c:v>
                </c:pt>
                <c:pt idx="60">
                  <c:v>2017-05</c:v>
                </c:pt>
                <c:pt idx="61">
                  <c:v>2017-06</c:v>
                </c:pt>
                <c:pt idx="62">
                  <c:v>2017-07</c:v>
                </c:pt>
                <c:pt idx="63">
                  <c:v>2017-08</c:v>
                </c:pt>
                <c:pt idx="64">
                  <c:v>2017-09</c:v>
                </c:pt>
                <c:pt idx="65">
                  <c:v>2017-10</c:v>
                </c:pt>
                <c:pt idx="66">
                  <c:v>2017-11</c:v>
                </c:pt>
                <c:pt idx="67">
                  <c:v>2017-12</c:v>
                </c:pt>
                <c:pt idx="68">
                  <c:v>2018-01</c:v>
                </c:pt>
                <c:pt idx="69">
                  <c:v>2018-02</c:v>
                </c:pt>
                <c:pt idx="70">
                  <c:v>2018-03</c:v>
                </c:pt>
                <c:pt idx="71">
                  <c:v>2018-04</c:v>
                </c:pt>
                <c:pt idx="72">
                  <c:v>2018-05</c:v>
                </c:pt>
                <c:pt idx="73">
                  <c:v>2018-06</c:v>
                </c:pt>
                <c:pt idx="74">
                  <c:v>2018-07</c:v>
                </c:pt>
                <c:pt idx="75">
                  <c:v>2018-08</c:v>
                </c:pt>
                <c:pt idx="76">
                  <c:v>2018-09</c:v>
                </c:pt>
                <c:pt idx="77">
                  <c:v>2018-10</c:v>
                </c:pt>
                <c:pt idx="78">
                  <c:v>2018-11</c:v>
                </c:pt>
                <c:pt idx="79">
                  <c:v>2018-12</c:v>
                </c:pt>
                <c:pt idx="80">
                  <c:v>2019-01</c:v>
                </c:pt>
                <c:pt idx="81">
                  <c:v>2019-02</c:v>
                </c:pt>
                <c:pt idx="82">
                  <c:v>2019-03</c:v>
                </c:pt>
                <c:pt idx="83">
                  <c:v>2019-04</c:v>
                </c:pt>
                <c:pt idx="84">
                  <c:v>2019-05</c:v>
                </c:pt>
                <c:pt idx="85">
                  <c:v>2019-06</c:v>
                </c:pt>
                <c:pt idx="86">
                  <c:v>2019-07</c:v>
                </c:pt>
                <c:pt idx="87">
                  <c:v>2019-08</c:v>
                </c:pt>
                <c:pt idx="88">
                  <c:v>2019-09</c:v>
                </c:pt>
                <c:pt idx="89">
                  <c:v>2019-10</c:v>
                </c:pt>
                <c:pt idx="90">
                  <c:v>2019-11</c:v>
                </c:pt>
                <c:pt idx="91">
                  <c:v>2019-12</c:v>
                </c:pt>
                <c:pt idx="92">
                  <c:v>2020-01</c:v>
                </c:pt>
                <c:pt idx="93">
                  <c:v>2020-02</c:v>
                </c:pt>
                <c:pt idx="94">
                  <c:v>2020-03</c:v>
                </c:pt>
                <c:pt idx="95">
                  <c:v>2020-04</c:v>
                </c:pt>
                <c:pt idx="96">
                  <c:v>2020-05</c:v>
                </c:pt>
                <c:pt idx="97">
                  <c:v>2020-06</c:v>
                </c:pt>
                <c:pt idx="98">
                  <c:v>2020-07</c:v>
                </c:pt>
                <c:pt idx="99">
                  <c:v>2020-08</c:v>
                </c:pt>
              </c:strCache>
            </c:strRef>
          </c:cat>
          <c:val>
            <c:numRef>
              <c:f>Sheet2!$E$3:$E$102</c:f>
              <c:numCache>
                <c:formatCode>###,###,###,###,##0.00</c:formatCode>
                <c:ptCount val="100"/>
                <c:pt idx="0">
                  <c:v>0</c:v>
                </c:pt>
                <c:pt idx="1">
                  <c:v>-0.73</c:v>
                </c:pt>
                <c:pt idx="2">
                  <c:v>-0.77</c:v>
                </c:pt>
                <c:pt idx="3">
                  <c:v>-0.52</c:v>
                </c:pt>
                <c:pt idx="4">
                  <c:v>-0.06</c:v>
                </c:pt>
                <c:pt idx="5">
                  <c:v>0.16</c:v>
                </c:pt>
                <c:pt idx="6">
                  <c:v>-0.12</c:v>
                </c:pt>
                <c:pt idx="7">
                  <c:v>-0.06</c:v>
                </c:pt>
                <c:pt idx="8">
                  <c:v>0.24</c:v>
                </c:pt>
                <c:pt idx="9">
                  <c:v>0.15</c:v>
                </c:pt>
                <c:pt idx="10">
                  <c:v>-0.03</c:v>
                </c:pt>
                <c:pt idx="11">
                  <c:v>-0.55000000000000004</c:v>
                </c:pt>
                <c:pt idx="12">
                  <c:v>-0.62</c:v>
                </c:pt>
                <c:pt idx="13">
                  <c:v>-0.55000000000000004</c:v>
                </c:pt>
                <c:pt idx="14">
                  <c:v>-0.33</c:v>
                </c:pt>
                <c:pt idx="15">
                  <c:v>0.14000000000000001</c:v>
                </c:pt>
                <c:pt idx="16">
                  <c:v>0.23</c:v>
                </c:pt>
                <c:pt idx="17">
                  <c:v>0</c:v>
                </c:pt>
                <c:pt idx="18">
                  <c:v>-0.03</c:v>
                </c:pt>
                <c:pt idx="19">
                  <c:v>0.01</c:v>
                </c:pt>
                <c:pt idx="20">
                  <c:v>-0.05</c:v>
                </c:pt>
                <c:pt idx="21">
                  <c:v>-0.2</c:v>
                </c:pt>
                <c:pt idx="22">
                  <c:v>-0.3</c:v>
                </c:pt>
                <c:pt idx="23">
                  <c:v>-0.24740000000000001</c:v>
                </c:pt>
                <c:pt idx="24">
                  <c:v>-5.5100000000000003E-2</c:v>
                </c:pt>
                <c:pt idx="25">
                  <c:v>-0.21379999999999999</c:v>
                </c:pt>
                <c:pt idx="26">
                  <c:v>-9.2600000000000002E-2</c:v>
                </c:pt>
                <c:pt idx="27">
                  <c:v>-0.1978</c:v>
                </c:pt>
                <c:pt idx="28">
                  <c:v>-0.4</c:v>
                </c:pt>
                <c:pt idx="29">
                  <c:v>-0.4</c:v>
                </c:pt>
                <c:pt idx="30">
                  <c:v>-0.49259999999999998</c:v>
                </c:pt>
                <c:pt idx="31">
                  <c:v>-0.62970000000000004</c:v>
                </c:pt>
                <c:pt idx="32">
                  <c:v>-1.0909</c:v>
                </c:pt>
                <c:pt idx="33">
                  <c:v>-0.73060000000000003</c:v>
                </c:pt>
                <c:pt idx="34">
                  <c:v>-7.1800000000000003E-2</c:v>
                </c:pt>
                <c:pt idx="35">
                  <c:v>-0.26019999999999999</c:v>
                </c:pt>
                <c:pt idx="36">
                  <c:v>-9.1200000000000003E-2</c:v>
                </c:pt>
                <c:pt idx="37">
                  <c:v>-0.42909999999999998</c:v>
                </c:pt>
                <c:pt idx="38">
                  <c:v>-0.67589999999999995</c:v>
                </c:pt>
                <c:pt idx="39">
                  <c:v>-0.78159999999999996</c:v>
                </c:pt>
                <c:pt idx="40">
                  <c:v>-0.40150000000000002</c:v>
                </c:pt>
                <c:pt idx="41">
                  <c:v>-0.4</c:v>
                </c:pt>
                <c:pt idx="42">
                  <c:v>-0.5</c:v>
                </c:pt>
                <c:pt idx="43">
                  <c:v>-0.6</c:v>
                </c:pt>
                <c:pt idx="44">
                  <c:v>-0.5</c:v>
                </c:pt>
                <c:pt idx="45">
                  <c:v>-0.3</c:v>
                </c:pt>
                <c:pt idx="46">
                  <c:v>0.5</c:v>
                </c:pt>
                <c:pt idx="47">
                  <c:v>0.7</c:v>
                </c:pt>
                <c:pt idx="48">
                  <c:v>0.5</c:v>
                </c:pt>
                <c:pt idx="49">
                  <c:v>-0.2</c:v>
                </c:pt>
                <c:pt idx="50">
                  <c:v>0.2</c:v>
                </c:pt>
                <c:pt idx="51">
                  <c:v>0.2</c:v>
                </c:pt>
                <c:pt idx="52">
                  <c:v>0.5</c:v>
                </c:pt>
                <c:pt idx="53">
                  <c:v>0.7</c:v>
                </c:pt>
                <c:pt idx="54">
                  <c:v>1.5</c:v>
                </c:pt>
                <c:pt idx="55">
                  <c:v>1.6</c:v>
                </c:pt>
                <c:pt idx="56">
                  <c:v>0.8</c:v>
                </c:pt>
                <c:pt idx="57">
                  <c:v>0.6</c:v>
                </c:pt>
                <c:pt idx="58">
                  <c:v>0.3</c:v>
                </c:pt>
                <c:pt idx="59">
                  <c:v>-0.4</c:v>
                </c:pt>
                <c:pt idx="60">
                  <c:v>-0.3</c:v>
                </c:pt>
                <c:pt idx="61">
                  <c:v>-0.2</c:v>
                </c:pt>
                <c:pt idx="62">
                  <c:v>0.2</c:v>
                </c:pt>
                <c:pt idx="63">
                  <c:v>0.9</c:v>
                </c:pt>
                <c:pt idx="64">
                  <c:v>1</c:v>
                </c:pt>
                <c:pt idx="65">
                  <c:v>0.7</c:v>
                </c:pt>
                <c:pt idx="66">
                  <c:v>0.5</c:v>
                </c:pt>
                <c:pt idx="67">
                  <c:v>0.8</c:v>
                </c:pt>
                <c:pt idx="68">
                  <c:v>0.3</c:v>
                </c:pt>
                <c:pt idx="69">
                  <c:v>-0.1</c:v>
                </c:pt>
                <c:pt idx="70">
                  <c:v>-0.2</c:v>
                </c:pt>
                <c:pt idx="71">
                  <c:v>-0.2</c:v>
                </c:pt>
                <c:pt idx="72">
                  <c:v>0.4</c:v>
                </c:pt>
                <c:pt idx="73">
                  <c:v>0.3</c:v>
                </c:pt>
                <c:pt idx="74">
                  <c:v>0.1</c:v>
                </c:pt>
                <c:pt idx="75">
                  <c:v>0.4</c:v>
                </c:pt>
                <c:pt idx="76">
                  <c:v>0.6</c:v>
                </c:pt>
                <c:pt idx="77">
                  <c:v>0.4</c:v>
                </c:pt>
                <c:pt idx="78">
                  <c:v>-0.2</c:v>
                </c:pt>
                <c:pt idx="79">
                  <c:v>-1</c:v>
                </c:pt>
                <c:pt idx="80">
                  <c:v>-0.6</c:v>
                </c:pt>
                <c:pt idx="81">
                  <c:v>-0.1</c:v>
                </c:pt>
                <c:pt idx="82">
                  <c:v>0.1</c:v>
                </c:pt>
                <c:pt idx="83">
                  <c:v>0.3</c:v>
                </c:pt>
                <c:pt idx="84">
                  <c:v>0.2</c:v>
                </c:pt>
                <c:pt idx="85">
                  <c:v>-0.3</c:v>
                </c:pt>
                <c:pt idx="86">
                  <c:v>-0.2</c:v>
                </c:pt>
                <c:pt idx="87">
                  <c:v>-0.1</c:v>
                </c:pt>
                <c:pt idx="88">
                  <c:v>0.1</c:v>
                </c:pt>
                <c:pt idx="89">
                  <c:v>0.1</c:v>
                </c:pt>
                <c:pt idx="90">
                  <c:v>-0.1</c:v>
                </c:pt>
                <c:pt idx="91">
                  <c:v>0</c:v>
                </c:pt>
                <c:pt idx="92">
                  <c:v>0</c:v>
                </c:pt>
                <c:pt idx="93">
                  <c:v>-0.5</c:v>
                </c:pt>
                <c:pt idx="94">
                  <c:v>-1</c:v>
                </c:pt>
                <c:pt idx="95">
                  <c:v>-1.3</c:v>
                </c:pt>
                <c:pt idx="96">
                  <c:v>-0.4</c:v>
                </c:pt>
                <c:pt idx="97">
                  <c:v>0.4</c:v>
                </c:pt>
                <c:pt idx="98">
                  <c:v>0.4</c:v>
                </c:pt>
                <c:pt idx="99">
                  <c:v>0.3</c:v>
                </c:pt>
              </c:numCache>
            </c:numRef>
          </c:val>
          <c:smooth val="0"/>
        </c:ser>
        <c:dLbls>
          <c:showLegendKey val="0"/>
          <c:showVal val="0"/>
          <c:showCatName val="0"/>
          <c:showSerName val="0"/>
          <c:showPercent val="0"/>
          <c:showBubbleSize val="0"/>
        </c:dLbls>
        <c:marker val="1"/>
        <c:smooth val="0"/>
        <c:axId val="372409472"/>
        <c:axId val="372411008"/>
      </c:lineChart>
      <c:catAx>
        <c:axId val="372409472"/>
        <c:scaling>
          <c:orientation val="minMax"/>
        </c:scaling>
        <c:delete val="0"/>
        <c:axPos val="b"/>
        <c:numFmt formatCode="General"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72411008"/>
        <c:crosses val="autoZero"/>
        <c:auto val="1"/>
        <c:lblAlgn val="ctr"/>
        <c:lblOffset val="100"/>
        <c:noMultiLvlLbl val="0"/>
      </c:catAx>
      <c:valAx>
        <c:axId val="372411008"/>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72409472"/>
        <c:crosses val="autoZero"/>
        <c:crossBetween val="between"/>
      </c:valAx>
      <c:spPr>
        <a:noFill/>
        <a:ln>
          <a:noFill/>
        </a:ln>
        <a:effectLst/>
      </c:spPr>
    </c:plotArea>
    <c:legend>
      <c:legendPos val="b"/>
      <c:layout>
        <c:manualLayout>
          <c:xMode val="edge"/>
          <c:yMode val="edge"/>
          <c:x val="0.1053822885980777"/>
          <c:y val="3.2985564304461902E-2"/>
          <c:w val="0.89015455816267697"/>
          <c:h val="7.812554680664916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5022681766727072"/>
          <c:y val="9.8077063283756191E-2"/>
          <c:w val="0.80456502856685574"/>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43966</c:v>
                </c:pt>
                <c:pt idx="1">
                  <c:v>43973</c:v>
                </c:pt>
                <c:pt idx="2">
                  <c:v>43980</c:v>
                </c:pt>
                <c:pt idx="3">
                  <c:v>43987</c:v>
                </c:pt>
                <c:pt idx="4">
                  <c:v>43994</c:v>
                </c:pt>
                <c:pt idx="5">
                  <c:v>44001</c:v>
                </c:pt>
                <c:pt idx="6">
                  <c:v>44008</c:v>
                </c:pt>
                <c:pt idx="7">
                  <c:v>44015</c:v>
                </c:pt>
                <c:pt idx="8">
                  <c:v>44022</c:v>
                </c:pt>
                <c:pt idx="9">
                  <c:v>44029</c:v>
                </c:pt>
                <c:pt idx="10">
                  <c:v>44036</c:v>
                </c:pt>
                <c:pt idx="11">
                  <c:v>44043</c:v>
                </c:pt>
                <c:pt idx="12">
                  <c:v>44050</c:v>
                </c:pt>
                <c:pt idx="13">
                  <c:v>44057</c:v>
                </c:pt>
                <c:pt idx="14">
                  <c:v>44064</c:v>
                </c:pt>
                <c:pt idx="15">
                  <c:v>44071</c:v>
                </c:pt>
                <c:pt idx="16">
                  <c:v>44078</c:v>
                </c:pt>
                <c:pt idx="17">
                  <c:v>44085</c:v>
                </c:pt>
                <c:pt idx="18">
                  <c:v>44092</c:v>
                </c:pt>
                <c:pt idx="19">
                  <c:v>44099</c:v>
                </c:pt>
                <c:pt idx="20">
                  <c:v>44106</c:v>
                </c:pt>
                <c:pt idx="21">
                  <c:v>44113</c:v>
                </c:pt>
                <c:pt idx="22">
                  <c:v>44120</c:v>
                </c:pt>
              </c:numCache>
            </c:numRef>
          </c:cat>
          <c:val>
            <c:numRef>
              <c:f>央行!$B$5:$B$27</c:f>
              <c:numCache>
                <c:formatCode>###,###,###,###,##0.00</c:formatCode>
                <c:ptCount val="23"/>
                <c:pt idx="0">
                  <c:v>0</c:v>
                </c:pt>
                <c:pt idx="1">
                  <c:v>0</c:v>
                </c:pt>
                <c:pt idx="2">
                  <c:v>6750</c:v>
                </c:pt>
                <c:pt idx="3">
                  <c:v>2200</c:v>
                </c:pt>
                <c:pt idx="4">
                  <c:v>4200</c:v>
                </c:pt>
                <c:pt idx="5">
                  <c:v>3000</c:v>
                </c:pt>
                <c:pt idx="6">
                  <c:v>5050</c:v>
                </c:pt>
                <c:pt idx="7">
                  <c:v>1025</c:v>
                </c:pt>
                <c:pt idx="8">
                  <c:v>0</c:v>
                </c:pt>
                <c:pt idx="9">
                  <c:v>3300</c:v>
                </c:pt>
                <c:pt idx="10">
                  <c:v>1650</c:v>
                </c:pt>
                <c:pt idx="11">
                  <c:v>2800</c:v>
                </c:pt>
                <c:pt idx="12">
                  <c:v>100</c:v>
                </c:pt>
                <c:pt idx="13">
                  <c:v>5000</c:v>
                </c:pt>
                <c:pt idx="14">
                  <c:v>6600</c:v>
                </c:pt>
                <c:pt idx="15">
                  <c:v>8150</c:v>
                </c:pt>
                <c:pt idx="16">
                  <c:v>2800</c:v>
                </c:pt>
                <c:pt idx="17">
                  <c:v>6200</c:v>
                </c:pt>
                <c:pt idx="18">
                  <c:v>4800</c:v>
                </c:pt>
                <c:pt idx="19">
                  <c:v>9000</c:v>
                </c:pt>
                <c:pt idx="20">
                  <c:v>2150</c:v>
                </c:pt>
                <c:pt idx="21">
                  <c:v>0</c:v>
                </c:pt>
                <c:pt idx="22">
                  <c:v>1000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43966</c:v>
                </c:pt>
                <c:pt idx="1">
                  <c:v>43973</c:v>
                </c:pt>
                <c:pt idx="2">
                  <c:v>43980</c:v>
                </c:pt>
                <c:pt idx="3">
                  <c:v>43987</c:v>
                </c:pt>
                <c:pt idx="4">
                  <c:v>43994</c:v>
                </c:pt>
                <c:pt idx="5">
                  <c:v>44001</c:v>
                </c:pt>
                <c:pt idx="6">
                  <c:v>44008</c:v>
                </c:pt>
                <c:pt idx="7">
                  <c:v>44015</c:v>
                </c:pt>
                <c:pt idx="8">
                  <c:v>44022</c:v>
                </c:pt>
                <c:pt idx="9">
                  <c:v>44029</c:v>
                </c:pt>
                <c:pt idx="10">
                  <c:v>44036</c:v>
                </c:pt>
                <c:pt idx="11">
                  <c:v>44043</c:v>
                </c:pt>
                <c:pt idx="12">
                  <c:v>44050</c:v>
                </c:pt>
                <c:pt idx="13">
                  <c:v>44057</c:v>
                </c:pt>
                <c:pt idx="14">
                  <c:v>44064</c:v>
                </c:pt>
                <c:pt idx="15">
                  <c:v>44071</c:v>
                </c:pt>
                <c:pt idx="16">
                  <c:v>44078</c:v>
                </c:pt>
                <c:pt idx="17">
                  <c:v>44085</c:v>
                </c:pt>
                <c:pt idx="18">
                  <c:v>44092</c:v>
                </c:pt>
                <c:pt idx="19">
                  <c:v>44099</c:v>
                </c:pt>
                <c:pt idx="20">
                  <c:v>44106</c:v>
                </c:pt>
                <c:pt idx="21">
                  <c:v>44113</c:v>
                </c:pt>
                <c:pt idx="22">
                  <c:v>44120</c:v>
                </c:pt>
              </c:numCache>
            </c:numRef>
          </c:cat>
          <c:val>
            <c:numRef>
              <c:f>央行!$C$5:$C$27</c:f>
              <c:numCache>
                <c:formatCode>###,###,###,###,##0.00</c:formatCode>
                <c:ptCount val="23"/>
                <c:pt idx="0">
                  <c:v>0</c:v>
                </c:pt>
                <c:pt idx="1">
                  <c:v>0</c:v>
                </c:pt>
                <c:pt idx="2">
                  <c:v>-50</c:v>
                </c:pt>
                <c:pt idx="3">
                  <c:v>-6700</c:v>
                </c:pt>
                <c:pt idx="4">
                  <c:v>-2200</c:v>
                </c:pt>
                <c:pt idx="5">
                  <c:v>-4200</c:v>
                </c:pt>
                <c:pt idx="6">
                  <c:v>-1200</c:v>
                </c:pt>
                <c:pt idx="7">
                  <c:v>-4950</c:v>
                </c:pt>
                <c:pt idx="8">
                  <c:v>-2900</c:v>
                </c:pt>
                <c:pt idx="9">
                  <c:v>0</c:v>
                </c:pt>
                <c:pt idx="10">
                  <c:v>-3300</c:v>
                </c:pt>
                <c:pt idx="11">
                  <c:v>-1650</c:v>
                </c:pt>
                <c:pt idx="12">
                  <c:v>-2800</c:v>
                </c:pt>
                <c:pt idx="13">
                  <c:v>-100</c:v>
                </c:pt>
                <c:pt idx="14">
                  <c:v>-5000</c:v>
                </c:pt>
                <c:pt idx="15">
                  <c:v>-6150</c:v>
                </c:pt>
                <c:pt idx="16">
                  <c:v>-7500</c:v>
                </c:pt>
                <c:pt idx="17">
                  <c:v>-3900</c:v>
                </c:pt>
                <c:pt idx="18">
                  <c:v>-6200</c:v>
                </c:pt>
                <c:pt idx="19">
                  <c:v>-4200</c:v>
                </c:pt>
                <c:pt idx="20">
                  <c:v>-4650</c:v>
                </c:pt>
                <c:pt idx="21">
                  <c:v>-5000</c:v>
                </c:pt>
                <c:pt idx="22">
                  <c:v>-2100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72432256"/>
        <c:axId val="372434432"/>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43966</c:v>
                </c:pt>
                <c:pt idx="1">
                  <c:v>43973</c:v>
                </c:pt>
                <c:pt idx="2">
                  <c:v>43980</c:v>
                </c:pt>
                <c:pt idx="3">
                  <c:v>43987</c:v>
                </c:pt>
                <c:pt idx="4">
                  <c:v>43994</c:v>
                </c:pt>
                <c:pt idx="5">
                  <c:v>44001</c:v>
                </c:pt>
                <c:pt idx="6">
                  <c:v>44008</c:v>
                </c:pt>
                <c:pt idx="7">
                  <c:v>44015</c:v>
                </c:pt>
                <c:pt idx="8">
                  <c:v>44022</c:v>
                </c:pt>
                <c:pt idx="9">
                  <c:v>44029</c:v>
                </c:pt>
                <c:pt idx="10">
                  <c:v>44036</c:v>
                </c:pt>
                <c:pt idx="11">
                  <c:v>44043</c:v>
                </c:pt>
                <c:pt idx="12">
                  <c:v>44050</c:v>
                </c:pt>
                <c:pt idx="13">
                  <c:v>44057</c:v>
                </c:pt>
                <c:pt idx="14">
                  <c:v>44064</c:v>
                </c:pt>
                <c:pt idx="15">
                  <c:v>44071</c:v>
                </c:pt>
                <c:pt idx="16">
                  <c:v>44078</c:v>
                </c:pt>
                <c:pt idx="17">
                  <c:v>44085</c:v>
                </c:pt>
                <c:pt idx="18">
                  <c:v>44092</c:v>
                </c:pt>
                <c:pt idx="19">
                  <c:v>44099</c:v>
                </c:pt>
                <c:pt idx="20">
                  <c:v>44106</c:v>
                </c:pt>
                <c:pt idx="21">
                  <c:v>44113</c:v>
                </c:pt>
                <c:pt idx="22">
                  <c:v>44120</c:v>
                </c:pt>
              </c:numCache>
            </c:numRef>
          </c:cat>
          <c:val>
            <c:numRef>
              <c:f>央行!$D$5:$D$27</c:f>
              <c:numCache>
                <c:formatCode>###,###,###,###,##0.00</c:formatCode>
                <c:ptCount val="23"/>
                <c:pt idx="0">
                  <c:v>0</c:v>
                </c:pt>
                <c:pt idx="1">
                  <c:v>0</c:v>
                </c:pt>
                <c:pt idx="2">
                  <c:v>6700</c:v>
                </c:pt>
                <c:pt idx="3">
                  <c:v>-4500</c:v>
                </c:pt>
                <c:pt idx="4">
                  <c:v>2000</c:v>
                </c:pt>
                <c:pt idx="5">
                  <c:v>-1200</c:v>
                </c:pt>
                <c:pt idx="6">
                  <c:v>3850</c:v>
                </c:pt>
                <c:pt idx="7">
                  <c:v>-3925</c:v>
                </c:pt>
                <c:pt idx="8">
                  <c:v>-2900</c:v>
                </c:pt>
                <c:pt idx="9">
                  <c:v>3300</c:v>
                </c:pt>
                <c:pt idx="10">
                  <c:v>-1650</c:v>
                </c:pt>
                <c:pt idx="11">
                  <c:v>1150</c:v>
                </c:pt>
                <c:pt idx="12">
                  <c:v>-2700</c:v>
                </c:pt>
                <c:pt idx="13">
                  <c:v>4900</c:v>
                </c:pt>
                <c:pt idx="14">
                  <c:v>1600</c:v>
                </c:pt>
                <c:pt idx="15">
                  <c:v>2000</c:v>
                </c:pt>
                <c:pt idx="16">
                  <c:v>-4700</c:v>
                </c:pt>
                <c:pt idx="17">
                  <c:v>2300</c:v>
                </c:pt>
                <c:pt idx="18">
                  <c:v>-1400</c:v>
                </c:pt>
                <c:pt idx="19">
                  <c:v>4800</c:v>
                </c:pt>
                <c:pt idx="20">
                  <c:v>-2500</c:v>
                </c:pt>
                <c:pt idx="21">
                  <c:v>-5000</c:v>
                </c:pt>
                <c:pt idx="22">
                  <c:v>-1100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72432256"/>
        <c:axId val="372434432"/>
      </c:lineChart>
      <c:catAx>
        <c:axId val="37243225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2434432"/>
        <c:crosses val="autoZero"/>
        <c:auto val="0"/>
        <c:lblAlgn val="ctr"/>
        <c:lblOffset val="0"/>
        <c:tickMarkSkip val="2"/>
        <c:noMultiLvlLbl val="0"/>
      </c:catAx>
      <c:valAx>
        <c:axId val="37243443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43225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485994523873845"/>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44120</c:v>
                </c:pt>
                <c:pt idx="1">
                  <c:v>44119</c:v>
                </c:pt>
                <c:pt idx="2">
                  <c:v>44118</c:v>
                </c:pt>
                <c:pt idx="3">
                  <c:v>44117</c:v>
                </c:pt>
                <c:pt idx="4">
                  <c:v>44116</c:v>
                </c:pt>
                <c:pt idx="5">
                  <c:v>44114</c:v>
                </c:pt>
                <c:pt idx="6">
                  <c:v>44113</c:v>
                </c:pt>
                <c:pt idx="7">
                  <c:v>44104</c:v>
                </c:pt>
                <c:pt idx="8">
                  <c:v>44103</c:v>
                </c:pt>
                <c:pt idx="9">
                  <c:v>44102</c:v>
                </c:pt>
                <c:pt idx="10">
                  <c:v>44101</c:v>
                </c:pt>
                <c:pt idx="11">
                  <c:v>44099</c:v>
                </c:pt>
                <c:pt idx="12">
                  <c:v>44098</c:v>
                </c:pt>
                <c:pt idx="13">
                  <c:v>44097</c:v>
                </c:pt>
                <c:pt idx="14">
                  <c:v>44096</c:v>
                </c:pt>
                <c:pt idx="15">
                  <c:v>44095</c:v>
                </c:pt>
                <c:pt idx="16">
                  <c:v>44092</c:v>
                </c:pt>
                <c:pt idx="17">
                  <c:v>44091</c:v>
                </c:pt>
                <c:pt idx="18">
                  <c:v>44090</c:v>
                </c:pt>
                <c:pt idx="19">
                  <c:v>44089</c:v>
                </c:pt>
                <c:pt idx="20">
                  <c:v>44088</c:v>
                </c:pt>
                <c:pt idx="21">
                  <c:v>44085</c:v>
                </c:pt>
                <c:pt idx="22">
                  <c:v>44084</c:v>
                </c:pt>
                <c:pt idx="23">
                  <c:v>44083</c:v>
                </c:pt>
                <c:pt idx="24">
                  <c:v>44082</c:v>
                </c:pt>
                <c:pt idx="25">
                  <c:v>44081</c:v>
                </c:pt>
                <c:pt idx="26">
                  <c:v>44078</c:v>
                </c:pt>
                <c:pt idx="27">
                  <c:v>44077</c:v>
                </c:pt>
                <c:pt idx="28">
                  <c:v>44076</c:v>
                </c:pt>
                <c:pt idx="29">
                  <c:v>44075</c:v>
                </c:pt>
                <c:pt idx="30">
                  <c:v>44074</c:v>
                </c:pt>
                <c:pt idx="31">
                  <c:v>44071</c:v>
                </c:pt>
                <c:pt idx="32">
                  <c:v>44070</c:v>
                </c:pt>
                <c:pt idx="33">
                  <c:v>44069</c:v>
                </c:pt>
                <c:pt idx="34">
                  <c:v>44068</c:v>
                </c:pt>
                <c:pt idx="35">
                  <c:v>44067</c:v>
                </c:pt>
                <c:pt idx="36">
                  <c:v>44064</c:v>
                </c:pt>
                <c:pt idx="37">
                  <c:v>44063</c:v>
                </c:pt>
                <c:pt idx="38">
                  <c:v>44062</c:v>
                </c:pt>
                <c:pt idx="39">
                  <c:v>44061</c:v>
                </c:pt>
                <c:pt idx="40">
                  <c:v>44060</c:v>
                </c:pt>
                <c:pt idx="41">
                  <c:v>44057</c:v>
                </c:pt>
                <c:pt idx="42">
                  <c:v>44056</c:v>
                </c:pt>
                <c:pt idx="43">
                  <c:v>44055</c:v>
                </c:pt>
                <c:pt idx="44">
                  <c:v>44054</c:v>
                </c:pt>
                <c:pt idx="45">
                  <c:v>44053</c:v>
                </c:pt>
                <c:pt idx="46">
                  <c:v>44050</c:v>
                </c:pt>
                <c:pt idx="47">
                  <c:v>44049</c:v>
                </c:pt>
                <c:pt idx="48">
                  <c:v>44048</c:v>
                </c:pt>
                <c:pt idx="49">
                  <c:v>44047</c:v>
                </c:pt>
                <c:pt idx="50">
                  <c:v>44046</c:v>
                </c:pt>
                <c:pt idx="51">
                  <c:v>44043</c:v>
                </c:pt>
                <c:pt idx="52">
                  <c:v>44042</c:v>
                </c:pt>
                <c:pt idx="53">
                  <c:v>44041</c:v>
                </c:pt>
                <c:pt idx="54">
                  <c:v>44040</c:v>
                </c:pt>
                <c:pt idx="55">
                  <c:v>44039</c:v>
                </c:pt>
                <c:pt idx="56">
                  <c:v>44036</c:v>
                </c:pt>
                <c:pt idx="57">
                  <c:v>44035</c:v>
                </c:pt>
                <c:pt idx="58">
                  <c:v>44034</c:v>
                </c:pt>
              </c:numCache>
            </c:numRef>
          </c:cat>
          <c:val>
            <c:numRef>
              <c:f>资金!$B$3:$B$61</c:f>
              <c:numCache>
                <c:formatCode>###,###,###,###,##0.0000</c:formatCode>
                <c:ptCount val="59"/>
                <c:pt idx="0">
                  <c:v>2.0550000000000002</c:v>
                </c:pt>
                <c:pt idx="1">
                  <c:v>2.1076000000000001</c:v>
                </c:pt>
                <c:pt idx="2">
                  <c:v>2.04</c:v>
                </c:pt>
                <c:pt idx="3">
                  <c:v>1.7559</c:v>
                </c:pt>
                <c:pt idx="4">
                  <c:v>1.5719000000000001</c:v>
                </c:pt>
                <c:pt idx="5">
                  <c:v>1.5667</c:v>
                </c:pt>
                <c:pt idx="6">
                  <c:v>2.0432999999999999</c:v>
                </c:pt>
                <c:pt idx="7">
                  <c:v>2.5255999999999998</c:v>
                </c:pt>
                <c:pt idx="8">
                  <c:v>1.0124</c:v>
                </c:pt>
                <c:pt idx="9">
                  <c:v>0.68540000000000001</c:v>
                </c:pt>
                <c:pt idx="10">
                  <c:v>0.67789999999999995</c:v>
                </c:pt>
                <c:pt idx="11">
                  <c:v>1.0967</c:v>
                </c:pt>
                <c:pt idx="12">
                  <c:v>1.4666999999999999</c:v>
                </c:pt>
                <c:pt idx="13">
                  <c:v>1.9109</c:v>
                </c:pt>
                <c:pt idx="14">
                  <c:v>2.4359999999999999</c:v>
                </c:pt>
                <c:pt idx="15">
                  <c:v>2.4319999999999999</c:v>
                </c:pt>
                <c:pt idx="16">
                  <c:v>2.2553000000000001</c:v>
                </c:pt>
                <c:pt idx="17">
                  <c:v>1.8871</c:v>
                </c:pt>
                <c:pt idx="18">
                  <c:v>1.4536</c:v>
                </c:pt>
                <c:pt idx="19">
                  <c:v>1.7635000000000001</c:v>
                </c:pt>
                <c:pt idx="20">
                  <c:v>1.6466000000000001</c:v>
                </c:pt>
                <c:pt idx="21">
                  <c:v>1.5072000000000001</c:v>
                </c:pt>
                <c:pt idx="22">
                  <c:v>1.3864000000000001</c:v>
                </c:pt>
                <c:pt idx="23">
                  <c:v>1.6471</c:v>
                </c:pt>
                <c:pt idx="24">
                  <c:v>2.0707</c:v>
                </c:pt>
                <c:pt idx="25">
                  <c:v>2.1291000000000002</c:v>
                </c:pt>
                <c:pt idx="26">
                  <c:v>2.0886</c:v>
                </c:pt>
                <c:pt idx="27">
                  <c:v>1.7948999999999999</c:v>
                </c:pt>
                <c:pt idx="28">
                  <c:v>2.1187</c:v>
                </c:pt>
                <c:pt idx="29">
                  <c:v>2.1785999999999999</c:v>
                </c:pt>
                <c:pt idx="30">
                  <c:v>1.9719</c:v>
                </c:pt>
                <c:pt idx="31">
                  <c:v>1.3997999999999999</c:v>
                </c:pt>
                <c:pt idx="32">
                  <c:v>1.5077</c:v>
                </c:pt>
                <c:pt idx="33">
                  <c:v>1.6649</c:v>
                </c:pt>
                <c:pt idx="34">
                  <c:v>1.9847999999999999</c:v>
                </c:pt>
                <c:pt idx="35">
                  <c:v>2.4039999999999999</c:v>
                </c:pt>
                <c:pt idx="36">
                  <c:v>2.3462000000000001</c:v>
                </c:pt>
                <c:pt idx="37">
                  <c:v>2.2711000000000001</c:v>
                </c:pt>
                <c:pt idx="38">
                  <c:v>2.2111999999999998</c:v>
                </c:pt>
                <c:pt idx="39">
                  <c:v>2.1659000000000002</c:v>
                </c:pt>
                <c:pt idx="40">
                  <c:v>2.1669</c:v>
                </c:pt>
                <c:pt idx="41">
                  <c:v>2.2214999999999998</c:v>
                </c:pt>
                <c:pt idx="42">
                  <c:v>2.2246000000000001</c:v>
                </c:pt>
                <c:pt idx="43">
                  <c:v>2.2063999999999999</c:v>
                </c:pt>
                <c:pt idx="44">
                  <c:v>2.2568999999999999</c:v>
                </c:pt>
                <c:pt idx="45">
                  <c:v>2.1943000000000001</c:v>
                </c:pt>
                <c:pt idx="46">
                  <c:v>2.1122000000000001</c:v>
                </c:pt>
                <c:pt idx="47">
                  <c:v>1.7108000000000001</c:v>
                </c:pt>
                <c:pt idx="48">
                  <c:v>1.7210000000000001</c:v>
                </c:pt>
                <c:pt idx="49">
                  <c:v>1.96</c:v>
                </c:pt>
                <c:pt idx="50">
                  <c:v>1.6277999999999999</c:v>
                </c:pt>
                <c:pt idx="51">
                  <c:v>1.921</c:v>
                </c:pt>
                <c:pt idx="52">
                  <c:v>1.4155</c:v>
                </c:pt>
                <c:pt idx="53">
                  <c:v>1.4807999999999999</c:v>
                </c:pt>
                <c:pt idx="54">
                  <c:v>1.7774000000000001</c:v>
                </c:pt>
                <c:pt idx="55">
                  <c:v>2.0301999999999998</c:v>
                </c:pt>
                <c:pt idx="56">
                  <c:v>1.8781000000000001</c:v>
                </c:pt>
                <c:pt idx="57">
                  <c:v>1.9132</c:v>
                </c:pt>
                <c:pt idx="58">
                  <c:v>1.3838999999999999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44120</c:v>
                </c:pt>
                <c:pt idx="1">
                  <c:v>44119</c:v>
                </c:pt>
                <c:pt idx="2">
                  <c:v>44118</c:v>
                </c:pt>
                <c:pt idx="3">
                  <c:v>44117</c:v>
                </c:pt>
                <c:pt idx="4">
                  <c:v>44116</c:v>
                </c:pt>
                <c:pt idx="5">
                  <c:v>44114</c:v>
                </c:pt>
                <c:pt idx="6">
                  <c:v>44113</c:v>
                </c:pt>
                <c:pt idx="7">
                  <c:v>44104</c:v>
                </c:pt>
                <c:pt idx="8">
                  <c:v>44103</c:v>
                </c:pt>
                <c:pt idx="9">
                  <c:v>44102</c:v>
                </c:pt>
                <c:pt idx="10">
                  <c:v>44101</c:v>
                </c:pt>
                <c:pt idx="11">
                  <c:v>44099</c:v>
                </c:pt>
                <c:pt idx="12">
                  <c:v>44098</c:v>
                </c:pt>
                <c:pt idx="13">
                  <c:v>44097</c:v>
                </c:pt>
                <c:pt idx="14">
                  <c:v>44096</c:v>
                </c:pt>
                <c:pt idx="15">
                  <c:v>44095</c:v>
                </c:pt>
                <c:pt idx="16">
                  <c:v>44092</c:v>
                </c:pt>
                <c:pt idx="17">
                  <c:v>44091</c:v>
                </c:pt>
                <c:pt idx="18">
                  <c:v>44090</c:v>
                </c:pt>
                <c:pt idx="19">
                  <c:v>44089</c:v>
                </c:pt>
                <c:pt idx="20">
                  <c:v>44088</c:v>
                </c:pt>
                <c:pt idx="21">
                  <c:v>44085</c:v>
                </c:pt>
                <c:pt idx="22">
                  <c:v>44084</c:v>
                </c:pt>
                <c:pt idx="23">
                  <c:v>44083</c:v>
                </c:pt>
                <c:pt idx="24">
                  <c:v>44082</c:v>
                </c:pt>
                <c:pt idx="25">
                  <c:v>44081</c:v>
                </c:pt>
                <c:pt idx="26">
                  <c:v>44078</c:v>
                </c:pt>
                <c:pt idx="27">
                  <c:v>44077</c:v>
                </c:pt>
                <c:pt idx="28">
                  <c:v>44076</c:v>
                </c:pt>
                <c:pt idx="29">
                  <c:v>44075</c:v>
                </c:pt>
                <c:pt idx="30">
                  <c:v>44074</c:v>
                </c:pt>
                <c:pt idx="31">
                  <c:v>44071</c:v>
                </c:pt>
                <c:pt idx="32">
                  <c:v>44070</c:v>
                </c:pt>
                <c:pt idx="33">
                  <c:v>44069</c:v>
                </c:pt>
                <c:pt idx="34">
                  <c:v>44068</c:v>
                </c:pt>
                <c:pt idx="35">
                  <c:v>44067</c:v>
                </c:pt>
                <c:pt idx="36">
                  <c:v>44064</c:v>
                </c:pt>
                <c:pt idx="37">
                  <c:v>44063</c:v>
                </c:pt>
                <c:pt idx="38">
                  <c:v>44062</c:v>
                </c:pt>
                <c:pt idx="39">
                  <c:v>44061</c:v>
                </c:pt>
                <c:pt idx="40">
                  <c:v>44060</c:v>
                </c:pt>
                <c:pt idx="41">
                  <c:v>44057</c:v>
                </c:pt>
                <c:pt idx="42">
                  <c:v>44056</c:v>
                </c:pt>
                <c:pt idx="43">
                  <c:v>44055</c:v>
                </c:pt>
                <c:pt idx="44">
                  <c:v>44054</c:v>
                </c:pt>
                <c:pt idx="45">
                  <c:v>44053</c:v>
                </c:pt>
                <c:pt idx="46">
                  <c:v>44050</c:v>
                </c:pt>
                <c:pt idx="47">
                  <c:v>44049</c:v>
                </c:pt>
                <c:pt idx="48">
                  <c:v>44048</c:v>
                </c:pt>
                <c:pt idx="49">
                  <c:v>44047</c:v>
                </c:pt>
                <c:pt idx="50">
                  <c:v>44046</c:v>
                </c:pt>
                <c:pt idx="51">
                  <c:v>44043</c:v>
                </c:pt>
                <c:pt idx="52">
                  <c:v>44042</c:v>
                </c:pt>
                <c:pt idx="53">
                  <c:v>44041</c:v>
                </c:pt>
                <c:pt idx="54">
                  <c:v>44040</c:v>
                </c:pt>
                <c:pt idx="55">
                  <c:v>44039</c:v>
                </c:pt>
                <c:pt idx="56">
                  <c:v>44036</c:v>
                </c:pt>
                <c:pt idx="57">
                  <c:v>44035</c:v>
                </c:pt>
                <c:pt idx="58">
                  <c:v>44034</c:v>
                </c:pt>
              </c:numCache>
            </c:numRef>
          </c:cat>
          <c:val>
            <c:numRef>
              <c:f>资金!$C$3:$C$61</c:f>
              <c:numCache>
                <c:formatCode>###,###,###,###,##0.0000</c:formatCode>
                <c:ptCount val="59"/>
                <c:pt idx="0">
                  <c:v>2.3121</c:v>
                </c:pt>
                <c:pt idx="1">
                  <c:v>2.3601999999999999</c:v>
                </c:pt>
                <c:pt idx="2">
                  <c:v>2.3079000000000001</c:v>
                </c:pt>
                <c:pt idx="3">
                  <c:v>2.2389000000000001</c:v>
                </c:pt>
                <c:pt idx="4">
                  <c:v>2.2442000000000002</c:v>
                </c:pt>
                <c:pt idx="5">
                  <c:v>2.0114999999999998</c:v>
                </c:pt>
                <c:pt idx="6">
                  <c:v>2.2972999999999999</c:v>
                </c:pt>
                <c:pt idx="7">
                  <c:v>2.5514000000000001</c:v>
                </c:pt>
                <c:pt idx="8">
                  <c:v>3.0106999999999999</c:v>
                </c:pt>
                <c:pt idx="9">
                  <c:v>2.7132000000000001</c:v>
                </c:pt>
                <c:pt idx="10">
                  <c:v>1.89</c:v>
                </c:pt>
                <c:pt idx="11">
                  <c:v>1.968</c:v>
                </c:pt>
                <c:pt idx="12">
                  <c:v>2.1869000000000001</c:v>
                </c:pt>
                <c:pt idx="13">
                  <c:v>2.3142</c:v>
                </c:pt>
                <c:pt idx="14">
                  <c:v>2.9742999999999999</c:v>
                </c:pt>
                <c:pt idx="15">
                  <c:v>2.8206000000000002</c:v>
                </c:pt>
                <c:pt idx="16">
                  <c:v>2.6425999999999998</c:v>
                </c:pt>
                <c:pt idx="17">
                  <c:v>2.3935</c:v>
                </c:pt>
                <c:pt idx="18">
                  <c:v>2.2740999999999998</c:v>
                </c:pt>
                <c:pt idx="19">
                  <c:v>2.2704</c:v>
                </c:pt>
                <c:pt idx="20">
                  <c:v>2.2275999999999998</c:v>
                </c:pt>
                <c:pt idx="21">
                  <c:v>2.1873999999999998</c:v>
                </c:pt>
                <c:pt idx="22">
                  <c:v>2.2033</c:v>
                </c:pt>
                <c:pt idx="23">
                  <c:v>2.2875999999999999</c:v>
                </c:pt>
                <c:pt idx="24">
                  <c:v>2.3258999999999999</c:v>
                </c:pt>
                <c:pt idx="25">
                  <c:v>2.3267000000000002</c:v>
                </c:pt>
                <c:pt idx="26">
                  <c:v>2.3408000000000002</c:v>
                </c:pt>
                <c:pt idx="27">
                  <c:v>2.3216000000000001</c:v>
                </c:pt>
                <c:pt idx="28">
                  <c:v>2.3963000000000001</c:v>
                </c:pt>
                <c:pt idx="29">
                  <c:v>2.4113000000000002</c:v>
                </c:pt>
                <c:pt idx="30">
                  <c:v>2.5141</c:v>
                </c:pt>
                <c:pt idx="31">
                  <c:v>2.4836999999999998</c:v>
                </c:pt>
                <c:pt idx="32">
                  <c:v>2.4744999999999999</c:v>
                </c:pt>
                <c:pt idx="33">
                  <c:v>2.4973999999999998</c:v>
                </c:pt>
                <c:pt idx="34">
                  <c:v>2.5918000000000001</c:v>
                </c:pt>
                <c:pt idx="35">
                  <c:v>2.5108000000000001</c:v>
                </c:pt>
                <c:pt idx="36">
                  <c:v>2.5731999999999999</c:v>
                </c:pt>
                <c:pt idx="37">
                  <c:v>2.4491000000000001</c:v>
                </c:pt>
                <c:pt idx="38">
                  <c:v>2.3744999999999998</c:v>
                </c:pt>
                <c:pt idx="39">
                  <c:v>2.3515999999999999</c:v>
                </c:pt>
                <c:pt idx="40">
                  <c:v>2.3788999999999998</c:v>
                </c:pt>
                <c:pt idx="41">
                  <c:v>2.3742999999999999</c:v>
                </c:pt>
                <c:pt idx="42">
                  <c:v>2.3693</c:v>
                </c:pt>
                <c:pt idx="43">
                  <c:v>2.3672</c:v>
                </c:pt>
                <c:pt idx="44">
                  <c:v>2.3639000000000001</c:v>
                </c:pt>
                <c:pt idx="45">
                  <c:v>2.2854000000000001</c:v>
                </c:pt>
                <c:pt idx="46">
                  <c:v>2.2219000000000002</c:v>
                </c:pt>
                <c:pt idx="47">
                  <c:v>2.1051000000000002</c:v>
                </c:pt>
                <c:pt idx="48">
                  <c:v>2.1356000000000002</c:v>
                </c:pt>
                <c:pt idx="49">
                  <c:v>2.1785000000000001</c:v>
                </c:pt>
                <c:pt idx="50">
                  <c:v>2.1398000000000001</c:v>
                </c:pt>
                <c:pt idx="51">
                  <c:v>2.3254000000000001</c:v>
                </c:pt>
                <c:pt idx="52">
                  <c:v>2.3382999999999998</c:v>
                </c:pt>
                <c:pt idx="53">
                  <c:v>2.3513000000000002</c:v>
                </c:pt>
                <c:pt idx="54">
                  <c:v>2.4123999999999999</c:v>
                </c:pt>
                <c:pt idx="55">
                  <c:v>2.4384000000000001</c:v>
                </c:pt>
                <c:pt idx="56">
                  <c:v>2.0954000000000002</c:v>
                </c:pt>
                <c:pt idx="57">
                  <c:v>2.2709000000000001</c:v>
                </c:pt>
                <c:pt idx="58">
                  <c:v>2.0026000000000002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72441856"/>
        <c:axId val="372443392"/>
      </c:lineChart>
      <c:dateAx>
        <c:axId val="37244185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2443392"/>
        <c:crosses val="autoZero"/>
        <c:auto val="0"/>
        <c:lblOffset val="0"/>
        <c:baseTimeUnit val="days"/>
        <c:majorUnit val="14"/>
        <c:majorTimeUnit val="days"/>
        <c:minorUnit val="7"/>
        <c:minorTimeUnit val="days"/>
      </c:dateAx>
      <c:valAx>
        <c:axId val="37244339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44185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24.360000000000003</c:v>
                </c:pt>
                <c:pt idx="1">
                  <c:v>26.940000000000008</c:v>
                </c:pt>
                <c:pt idx="2">
                  <c:v>-0.56000000000002714</c:v>
                </c:pt>
                <c:pt idx="3">
                  <c:v>2.8699999999999726</c:v>
                </c:pt>
                <c:pt idx="4">
                  <c:v>4.1300000000000114</c:v>
                </c:pt>
                <c:pt idx="5">
                  <c:v>1.089999999999991</c:v>
                </c:pt>
                <c:pt idx="6">
                  <c:v>3.0400000000000205</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72639616"/>
        <c:axId val="37267046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1.9307000000000001</c:v>
                </c:pt>
                <c:pt idx="1">
                  <c:v>2.6137000000000001</c:v>
                </c:pt>
                <c:pt idx="2">
                  <c:v>2.6960999999999999</c:v>
                </c:pt>
                <c:pt idx="3">
                  <c:v>3.0158999999999998</c:v>
                </c:pt>
                <c:pt idx="4">
                  <c:v>3.1556999999999999</c:v>
                </c:pt>
                <c:pt idx="5">
                  <c:v>3.2772999999999999</c:v>
                </c:pt>
                <c:pt idx="6">
                  <c:v>3.2202000000000002</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1.6871</c:v>
                </c:pt>
                <c:pt idx="1">
                  <c:v>2.3443000000000001</c:v>
                </c:pt>
                <c:pt idx="2">
                  <c:v>2.7017000000000002</c:v>
                </c:pt>
                <c:pt idx="3">
                  <c:v>2.9872000000000001</c:v>
                </c:pt>
                <c:pt idx="4">
                  <c:v>3.1143999999999998</c:v>
                </c:pt>
                <c:pt idx="5">
                  <c:v>3.2664</c:v>
                </c:pt>
                <c:pt idx="6">
                  <c:v>3.1898</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2673536"/>
        <c:axId val="372672000"/>
      </c:lineChart>
      <c:dateAx>
        <c:axId val="3726396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2670464"/>
        <c:crosses val="autoZero"/>
        <c:auto val="0"/>
        <c:lblOffset val="0"/>
        <c:baseTimeUnit val="days"/>
      </c:dateAx>
      <c:valAx>
        <c:axId val="3726704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639616"/>
        <c:crosses val="autoZero"/>
        <c:crossBetween val="between"/>
      </c:valAx>
      <c:valAx>
        <c:axId val="372672000"/>
        <c:scaling>
          <c:orientation val="minMax"/>
        </c:scaling>
        <c:delete val="0"/>
        <c:axPos val="r"/>
        <c:numFmt formatCode="#,##0.0_);[Red]\(#,##0.0\)" sourceLinked="0"/>
        <c:majorTickMark val="out"/>
        <c:minorTickMark val="none"/>
        <c:tickLblPos val="nextTo"/>
        <c:spPr>
          <a:ln w="3175">
            <a:solidFill>
              <a:sysClr val="windowText" lastClr="000000"/>
            </a:solidFill>
          </a:ln>
        </c:spPr>
        <c:crossAx val="372673536"/>
        <c:crosses val="max"/>
        <c:crossBetween val="between"/>
      </c:valAx>
      <c:dateAx>
        <c:axId val="372673536"/>
        <c:scaling>
          <c:orientation val="minMax"/>
        </c:scaling>
        <c:delete val="1"/>
        <c:axPos val="b"/>
        <c:numFmt formatCode="General" sourceLinked="1"/>
        <c:majorTickMark val="out"/>
        <c:minorTickMark val="none"/>
        <c:tickLblPos val="nextTo"/>
        <c:crossAx val="372672000"/>
        <c:crosses val="autoZero"/>
        <c:auto val="0"/>
        <c:lblOffset val="100"/>
        <c:baseTimeUnit val="years"/>
      </c:dateAx>
    </c:plotArea>
    <c:legend>
      <c:legendPos val="r"/>
      <c:layout>
        <c:manualLayout>
          <c:xMode val="edge"/>
          <c:yMode val="edge"/>
          <c:x val="0.10143492808687925"/>
          <c:y val="2.334052143224080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24.360000000000003</c:v>
                </c:pt>
                <c:pt idx="1">
                  <c:v>4.8299999999999788</c:v>
                </c:pt>
                <c:pt idx="2">
                  <c:v>-3.860000000000019</c:v>
                </c:pt>
                <c:pt idx="3">
                  <c:v>0.53000000000000824</c:v>
                </c:pt>
                <c:pt idx="4">
                  <c:v>-0.22000000000002018</c:v>
                </c:pt>
                <c:pt idx="5">
                  <c:v>3.0499999999999972</c:v>
                </c:pt>
                <c:pt idx="6">
                  <c:v>0.22999999999999687</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72689920"/>
        <c:axId val="372692096"/>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1.9622999999999999</c:v>
                </c:pt>
                <c:pt idx="1">
                  <c:v>2.625</c:v>
                </c:pt>
                <c:pt idx="2">
                  <c:v>2.8380999999999998</c:v>
                </c:pt>
                <c:pt idx="3">
                  <c:v>3.3370000000000002</c:v>
                </c:pt>
                <c:pt idx="4">
                  <c:v>3.5257999999999998</c:v>
                </c:pt>
                <c:pt idx="5">
                  <c:v>3.6968000000000001</c:v>
                </c:pt>
                <c:pt idx="6">
                  <c:v>3.7646000000000002</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1.7186999999999999</c:v>
                </c:pt>
                <c:pt idx="1">
                  <c:v>2.5767000000000002</c:v>
                </c:pt>
                <c:pt idx="2">
                  <c:v>2.8767</c:v>
                </c:pt>
                <c:pt idx="3">
                  <c:v>3.3317000000000001</c:v>
                </c:pt>
                <c:pt idx="4">
                  <c:v>3.528</c:v>
                </c:pt>
                <c:pt idx="5">
                  <c:v>3.6663000000000001</c:v>
                </c:pt>
                <c:pt idx="6">
                  <c:v>3.7623000000000002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72699520"/>
        <c:axId val="372693632"/>
      </c:lineChart>
      <c:dateAx>
        <c:axId val="37268992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2692096"/>
        <c:crosses val="autoZero"/>
        <c:auto val="0"/>
        <c:lblOffset val="0"/>
        <c:baseTimeUnit val="days"/>
      </c:dateAx>
      <c:valAx>
        <c:axId val="37269209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689920"/>
        <c:crosses val="autoZero"/>
        <c:crossBetween val="between"/>
      </c:valAx>
      <c:valAx>
        <c:axId val="372693632"/>
        <c:scaling>
          <c:orientation val="minMax"/>
        </c:scaling>
        <c:delete val="0"/>
        <c:axPos val="r"/>
        <c:numFmt formatCode="#,##0.0_);[Red]\(#,##0.0\)" sourceLinked="0"/>
        <c:majorTickMark val="out"/>
        <c:minorTickMark val="none"/>
        <c:tickLblPos val="nextTo"/>
        <c:spPr>
          <a:ln w="3175">
            <a:solidFill>
              <a:sysClr val="windowText" lastClr="000000"/>
            </a:solidFill>
          </a:ln>
        </c:spPr>
        <c:crossAx val="372699520"/>
        <c:crosses val="max"/>
        <c:crossBetween val="between"/>
      </c:valAx>
      <c:dateAx>
        <c:axId val="372699520"/>
        <c:scaling>
          <c:orientation val="minMax"/>
        </c:scaling>
        <c:delete val="1"/>
        <c:axPos val="b"/>
        <c:numFmt formatCode="General" sourceLinked="1"/>
        <c:majorTickMark val="out"/>
        <c:minorTickMark val="none"/>
        <c:tickLblPos val="nextTo"/>
        <c:crossAx val="372693632"/>
        <c:crosses val="autoZero"/>
        <c:auto val="0"/>
        <c:lblOffset val="100"/>
        <c:baseTimeUnit val="years"/>
      </c:dateAx>
    </c:plotArea>
    <c:legend>
      <c:legendPos val="r"/>
      <c:layout>
        <c:manualLayout>
          <c:xMode val="edge"/>
          <c:yMode val="edge"/>
          <c:x val="0.11066127651074184"/>
          <c:y val="2.3338685717720401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转债!$H$5:$H$28</c:f>
              <c:numCache>
                <c:formatCode>General</c:formatCode>
                <c:ptCount val="24"/>
                <c:pt idx="0">
                  <c:v>4.3269995691175733</c:v>
                </c:pt>
                <c:pt idx="1">
                  <c:v>2.6900709625438113</c:v>
                </c:pt>
                <c:pt idx="2">
                  <c:v>1.6940304380789195</c:v>
                </c:pt>
                <c:pt idx="3">
                  <c:v>0.70996516137142862</c:v>
                </c:pt>
                <c:pt idx="4">
                  <c:v>2.8739462206627708</c:v>
                </c:pt>
                <c:pt idx="5">
                  <c:v>2.7512777844149738</c:v>
                </c:pt>
                <c:pt idx="6">
                  <c:v>5.484805024281747</c:v>
                </c:pt>
                <c:pt idx="7">
                  <c:v>5.2105067369969671</c:v>
                </c:pt>
                <c:pt idx="8">
                  <c:v>5.3213697871576704</c:v>
                </c:pt>
                <c:pt idx="9">
                  <c:v>5.2064866774661045</c:v>
                </c:pt>
                <c:pt idx="10">
                  <c:v>5.651609184533779</c:v>
                </c:pt>
                <c:pt idx="11">
                  <c:v>4.5006265064607032</c:v>
                </c:pt>
                <c:pt idx="12">
                  <c:v>2.1775983031951718</c:v>
                </c:pt>
                <c:pt idx="13">
                  <c:v>1.7234448173222727</c:v>
                </c:pt>
                <c:pt idx="14">
                  <c:v>5.3964486454381122</c:v>
                </c:pt>
                <c:pt idx="15">
                  <c:v>1.350088865963861</c:v>
                </c:pt>
                <c:pt idx="16">
                  <c:v>-2.7976500204117016</c:v>
                </c:pt>
                <c:pt idx="17">
                  <c:v>-2.2967279546446617</c:v>
                </c:pt>
                <c:pt idx="18">
                  <c:v>-3.1412518691861346</c:v>
                </c:pt>
                <c:pt idx="19">
                  <c:v>-2.8055202778030974</c:v>
                </c:pt>
                <c:pt idx="20">
                  <c:v>-3.2064221300313611</c:v>
                </c:pt>
                <c:pt idx="21">
                  <c:v>-3.9660435196923416</c:v>
                </c:pt>
                <c:pt idx="22">
                  <c:v>-1.5405321086684354</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转债!$I$5:$I$28</c:f>
              <c:numCache>
                <c:formatCode>General</c:formatCode>
                <c:ptCount val="24"/>
                <c:pt idx="0">
                  <c:v>-4.6348988799144291</c:v>
                </c:pt>
                <c:pt idx="1">
                  <c:v>-4.5624453634247164</c:v>
                </c:pt>
                <c:pt idx="2">
                  <c:v>-4.3661830162742383</c:v>
                </c:pt>
                <c:pt idx="3">
                  <c:v>-4.2674794108531477</c:v>
                </c:pt>
                <c:pt idx="4">
                  <c:v>-4.2702597941044473</c:v>
                </c:pt>
                <c:pt idx="5">
                  <c:v>-4.288577613171829</c:v>
                </c:pt>
                <c:pt idx="6">
                  <c:v>-4.3145823741692624</c:v>
                </c:pt>
                <c:pt idx="7">
                  <c:v>-4.076123622381445</c:v>
                </c:pt>
                <c:pt idx="8">
                  <c:v>-3.6028860378148564</c:v>
                </c:pt>
                <c:pt idx="9">
                  <c:v>-3.3830722090063103</c:v>
                </c:pt>
                <c:pt idx="10">
                  <c:v>-3.5837504589676827</c:v>
                </c:pt>
                <c:pt idx="11">
                  <c:v>-3.3789834101073501</c:v>
                </c:pt>
                <c:pt idx="12">
                  <c:v>-2.8500563845368254</c:v>
                </c:pt>
                <c:pt idx="13">
                  <c:v>-3.4810398306256096</c:v>
                </c:pt>
                <c:pt idx="14">
                  <c:v>-3.7046153544211813</c:v>
                </c:pt>
                <c:pt idx="15">
                  <c:v>-2.5004640786750465</c:v>
                </c:pt>
                <c:pt idx="16">
                  <c:v>-2.5404525319069449</c:v>
                </c:pt>
                <c:pt idx="17">
                  <c:v>-2.4835364512333147</c:v>
                </c:pt>
                <c:pt idx="18">
                  <c:v>-1.9752169721135804</c:v>
                </c:pt>
                <c:pt idx="19">
                  <c:v>-2.4319358091283272</c:v>
                </c:pt>
                <c:pt idx="20">
                  <c:v>-1.2123288735440774</c:v>
                </c:pt>
                <c:pt idx="21">
                  <c:v>-0.46702261024015312</c:v>
                </c:pt>
                <c:pt idx="22">
                  <c:v>-0.41746636758466238</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44120</c:v>
                </c:pt>
                <c:pt idx="1">
                  <c:v>44113</c:v>
                </c:pt>
                <c:pt idx="2">
                  <c:v>44104</c:v>
                </c:pt>
                <c:pt idx="3">
                  <c:v>44099</c:v>
                </c:pt>
                <c:pt idx="4">
                  <c:v>44092</c:v>
                </c:pt>
                <c:pt idx="5">
                  <c:v>44085</c:v>
                </c:pt>
                <c:pt idx="6">
                  <c:v>44078</c:v>
                </c:pt>
                <c:pt idx="7">
                  <c:v>44071</c:v>
                </c:pt>
                <c:pt idx="8">
                  <c:v>44064</c:v>
                </c:pt>
                <c:pt idx="9">
                  <c:v>44057</c:v>
                </c:pt>
                <c:pt idx="10">
                  <c:v>44050</c:v>
                </c:pt>
                <c:pt idx="11">
                  <c:v>44043</c:v>
                </c:pt>
                <c:pt idx="12">
                  <c:v>44036</c:v>
                </c:pt>
                <c:pt idx="13">
                  <c:v>44029</c:v>
                </c:pt>
                <c:pt idx="14">
                  <c:v>44022</c:v>
                </c:pt>
                <c:pt idx="15">
                  <c:v>44015</c:v>
                </c:pt>
                <c:pt idx="16">
                  <c:v>44006</c:v>
                </c:pt>
                <c:pt idx="17">
                  <c:v>44001</c:v>
                </c:pt>
                <c:pt idx="18">
                  <c:v>43994</c:v>
                </c:pt>
                <c:pt idx="19">
                  <c:v>43987</c:v>
                </c:pt>
                <c:pt idx="20">
                  <c:v>43980</c:v>
                </c:pt>
                <c:pt idx="21">
                  <c:v>43973</c:v>
                </c:pt>
                <c:pt idx="22">
                  <c:v>43966</c:v>
                </c:pt>
                <c:pt idx="23">
                  <c:v>43959</c:v>
                </c:pt>
              </c:numCache>
            </c:numRef>
          </c:cat>
          <c:val>
            <c:numRef>
              <c:f>转债!$J$5:$J$28</c:f>
              <c:numCache>
                <c:formatCode>General</c:formatCode>
                <c:ptCount val="24"/>
                <c:pt idx="0">
                  <c:v>20.891355499441346</c:v>
                </c:pt>
                <c:pt idx="1">
                  <c:v>18.102623164062305</c:v>
                </c:pt>
                <c:pt idx="2">
                  <c:v>15.737465560853092</c:v>
                </c:pt>
                <c:pt idx="3">
                  <c:v>15.299136645659184</c:v>
                </c:pt>
                <c:pt idx="4">
                  <c:v>19.514147881469125</c:v>
                </c:pt>
                <c:pt idx="5">
                  <c:v>16.743800247132555</c:v>
                </c:pt>
                <c:pt idx="6">
                  <c:v>20.350007166425588</c:v>
                </c:pt>
                <c:pt idx="7">
                  <c:v>22.218152151099567</c:v>
                </c:pt>
                <c:pt idx="8">
                  <c:v>19.053821407830117</c:v>
                </c:pt>
                <c:pt idx="9">
                  <c:v>18.695202420553912</c:v>
                </c:pt>
                <c:pt idx="10">
                  <c:v>18.778394012728295</c:v>
                </c:pt>
                <c:pt idx="11">
                  <c:v>18.453438682102274</c:v>
                </c:pt>
                <c:pt idx="12">
                  <c:v>13.673577879543863</c:v>
                </c:pt>
                <c:pt idx="13">
                  <c:v>14.660304236400767</c:v>
                </c:pt>
                <c:pt idx="14">
                  <c:v>19.918944333158748</c:v>
                </c:pt>
                <c:pt idx="15">
                  <c:v>11.503968706196165</c:v>
                </c:pt>
                <c:pt idx="16">
                  <c:v>4.4244333408508529</c:v>
                </c:pt>
                <c:pt idx="17">
                  <c:v>3.4081910491104539</c:v>
                </c:pt>
                <c:pt idx="18">
                  <c:v>0.99558441715059676</c:v>
                </c:pt>
                <c:pt idx="19">
                  <c:v>0.94936406267025486</c:v>
                </c:pt>
                <c:pt idx="20">
                  <c:v>-2.4371271355185131</c:v>
                </c:pt>
                <c:pt idx="21">
                  <c:v>-3.5209641727413143</c:v>
                </c:pt>
                <c:pt idx="22">
                  <c:v>-1.2818024485030999</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2930432"/>
        <c:axId val="372931968"/>
      </c:lineChart>
      <c:dateAx>
        <c:axId val="3729304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72931968"/>
        <c:crosses val="autoZero"/>
        <c:auto val="0"/>
        <c:lblOffset val="0"/>
        <c:baseTimeUnit val="days"/>
        <c:majorUnit val="14"/>
        <c:majorTimeUnit val="days"/>
      </c:dateAx>
      <c:valAx>
        <c:axId val="3729319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93043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372948992"/>
        <c:axId val="372950528"/>
      </c:lineChart>
      <c:dateAx>
        <c:axId val="3729489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2950528"/>
        <c:crosses val="autoZero"/>
        <c:auto val="0"/>
        <c:lblOffset val="0"/>
        <c:baseTimeUnit val="days"/>
        <c:majorUnit val="1"/>
        <c:majorTimeUnit val="months"/>
      </c:dateAx>
      <c:valAx>
        <c:axId val="372950528"/>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29489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73031680"/>
        <c:axId val="373033216"/>
      </c:lineChart>
      <c:dateAx>
        <c:axId val="3730316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3033216"/>
        <c:crosses val="autoZero"/>
        <c:auto val="0"/>
        <c:lblOffset val="0"/>
        <c:baseTimeUnit val="days"/>
        <c:majorUnit val="1"/>
        <c:majorTimeUnit val="months"/>
      </c:dateAx>
      <c:valAx>
        <c:axId val="37303321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30316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73060352"/>
        <c:axId val="373061888"/>
      </c:lineChart>
      <c:dateAx>
        <c:axId val="3730603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3061888"/>
        <c:crosses val="autoZero"/>
        <c:auto val="0"/>
        <c:lblOffset val="0"/>
        <c:baseTimeUnit val="days"/>
        <c:majorUnit val="1"/>
        <c:majorTimeUnit val="months"/>
      </c:dateAx>
      <c:valAx>
        <c:axId val="37306188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306035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373071232"/>
        <c:axId val="373073024"/>
      </c:lineChart>
      <c:dateAx>
        <c:axId val="3730712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3073024"/>
        <c:crosses val="autoZero"/>
        <c:auto val="0"/>
        <c:lblOffset val="0"/>
        <c:baseTimeUnit val="days"/>
        <c:majorUnit val="1"/>
        <c:majorTimeUnit val="months"/>
      </c:dateAx>
      <c:valAx>
        <c:axId val="37307302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3071232"/>
        <c:crosses val="autoZero"/>
        <c:crossBetween val="between"/>
      </c:valAx>
    </c:plotArea>
    <c:legend>
      <c:legendPos val="r"/>
      <c:layout>
        <c:manualLayout>
          <c:xMode val="edge"/>
          <c:yMode val="edge"/>
          <c:x val="0.23695984952325685"/>
          <c:y val="2.3339237604751198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800" b="0" i="0" u="none" strike="noStrike" baseline="0">
              <a:solidFill>
                <a:srgbClr val="000000"/>
              </a:solidFill>
              <a:latin typeface="楷体" panose="02010609060101010101" pitchFamily="49" charset="-122"/>
              <a:ea typeface="楷体" panose="02010609060101010101" pitchFamily="49" charset="-122"/>
            </a:rPr>
            <a:t>%</a:t>
          </a:r>
          <a:endParaRPr lang="zh-CN" altLang="en-US" sz="8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0.19029</cdr:x>
      <cdr:y>0.08275</cdr:y>
    </cdr:to>
    <cdr:sp macro="" textlink="">
      <cdr:nvSpPr>
        <cdr:cNvPr id="5" name="Text Box 1"/>
        <cdr:cNvSpPr txBox="1">
          <a:spLocks xmlns:a="http://schemas.openxmlformats.org/drawingml/2006/main" noChangeArrowheads="1"/>
        </cdr:cNvSpPr>
      </cdr:nvSpPr>
      <cdr:spPr bwMode="auto">
        <a:xfrm xmlns:a="http://schemas.openxmlformats.org/drawingml/2006/main">
          <a:off x="-3847795" y="-3394253"/>
          <a:ext cx="570586" cy="13898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4F677-1BB3-40CE-9779-1682A546F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851</Words>
  <Characters>4854</Characters>
  <Application>Microsoft Office Word</Application>
  <DocSecurity>0</DocSecurity>
  <Lines>40</Lines>
  <Paragraphs>11</Paragraphs>
  <ScaleCrop>false</ScaleCrop>
  <Company>Microsoft</Company>
  <LinksUpToDate>false</LinksUpToDate>
  <CharactersWithSpaces>5694</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5</cp:revision>
  <cp:lastPrinted>2019-06-26T06:05:00Z</cp:lastPrinted>
  <dcterms:created xsi:type="dcterms:W3CDTF">2020-10-19T02:47:00Z</dcterms:created>
  <dcterms:modified xsi:type="dcterms:W3CDTF">2020-10-19T06:10:00Z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