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59BDE7" w14:textId="649BC610" w:rsidR="002C4C07" w:rsidRPr="00EF6393" w:rsidRDefault="002C4C07" w:rsidP="002C4C07">
      <w:pPr>
        <w:jc w:val="center"/>
        <w:rPr>
          <w:b/>
        </w:rPr>
      </w:pPr>
      <w:r w:rsidRPr="00EF6393">
        <w:rPr>
          <w:rFonts w:hint="eastAsia"/>
          <w:b/>
        </w:rPr>
        <w:t>富荣量化周观察——</w:t>
      </w:r>
      <w:bookmarkStart w:id="0" w:name="_GoBack"/>
      <w:r w:rsidR="008C1E8B">
        <w:rPr>
          <w:rFonts w:hint="eastAsia"/>
          <w:b/>
        </w:rPr>
        <w:t>市场</w:t>
      </w:r>
      <w:r w:rsidR="0096055D">
        <w:rPr>
          <w:rFonts w:hint="eastAsia"/>
          <w:b/>
        </w:rPr>
        <w:t>继续</w:t>
      </w:r>
      <w:r w:rsidR="008C1E8B">
        <w:rPr>
          <w:rFonts w:hint="eastAsia"/>
          <w:b/>
        </w:rPr>
        <w:t>维持震荡</w:t>
      </w:r>
      <w:bookmarkEnd w:id="0"/>
    </w:p>
    <w:p w14:paraId="11FA764C" w14:textId="77777777" w:rsidR="00AF6676" w:rsidRDefault="00AF6676" w:rsidP="002416ED">
      <w:pPr>
        <w:ind w:firstLineChars="200" w:firstLine="480"/>
      </w:pPr>
    </w:p>
    <w:p w14:paraId="5098F8D5" w14:textId="29C0A2D8" w:rsidR="00AF6676" w:rsidRDefault="00074AEA" w:rsidP="002416ED">
      <w:pPr>
        <w:ind w:firstLineChars="200" w:firstLine="480"/>
      </w:pPr>
      <w:r>
        <w:rPr>
          <w:rFonts w:hint="eastAsia"/>
        </w:rPr>
        <w:t>本周市场</w:t>
      </w:r>
      <w:r w:rsidR="00C33161">
        <w:rPr>
          <w:rFonts w:hint="eastAsia"/>
        </w:rPr>
        <w:t>虽然冲高回落，但是</w:t>
      </w:r>
      <w:proofErr w:type="gramStart"/>
      <w:r w:rsidR="00C33161">
        <w:rPr>
          <w:rFonts w:hint="eastAsia"/>
        </w:rPr>
        <w:t>各宽基指数</w:t>
      </w:r>
      <w:proofErr w:type="gramEnd"/>
      <w:r w:rsidR="00C12E56">
        <w:rPr>
          <w:rFonts w:hint="eastAsia"/>
        </w:rPr>
        <w:t>全线</w:t>
      </w:r>
      <w:r w:rsidR="00C33161">
        <w:rPr>
          <w:rFonts w:hint="eastAsia"/>
        </w:rPr>
        <w:t>上涨，大小盘出现分化，大盘蓝</w:t>
      </w:r>
      <w:proofErr w:type="gramStart"/>
      <w:r w:rsidR="00C33161">
        <w:rPr>
          <w:rFonts w:hint="eastAsia"/>
        </w:rPr>
        <w:t>筹表现</w:t>
      </w:r>
      <w:proofErr w:type="gramEnd"/>
      <w:r w:rsidR="00C33161">
        <w:rPr>
          <w:rFonts w:hint="eastAsia"/>
        </w:rPr>
        <w:t>较优。其中上证50涨幅2.84%，中证500涨幅1.11%，创业板和沪深300指数分别涨幅为1.93%、2.36%，</w:t>
      </w:r>
      <w:proofErr w:type="gramStart"/>
      <w:r w:rsidR="00C33161">
        <w:rPr>
          <w:rFonts w:hint="eastAsia"/>
        </w:rPr>
        <w:t>宽基指数</w:t>
      </w:r>
      <w:proofErr w:type="gramEnd"/>
      <w:r w:rsidR="00C33161">
        <w:rPr>
          <w:rFonts w:hint="eastAsia"/>
        </w:rPr>
        <w:t>中以中证500表现最为弱势。行业中以银行为代表，</w:t>
      </w:r>
      <w:r w:rsidR="0061133F">
        <w:rPr>
          <w:rFonts w:hint="eastAsia"/>
        </w:rPr>
        <w:t>超低估值的</w:t>
      </w:r>
      <w:r w:rsidR="00C33161">
        <w:rPr>
          <w:rFonts w:hint="eastAsia"/>
        </w:rPr>
        <w:t>银行</w:t>
      </w:r>
      <w:r w:rsidR="0061133F">
        <w:rPr>
          <w:rFonts w:hint="eastAsia"/>
        </w:rPr>
        <w:t>业</w:t>
      </w:r>
      <w:r w:rsidR="00C33161">
        <w:rPr>
          <w:rFonts w:hint="eastAsia"/>
        </w:rPr>
        <w:t>三季度利润保持稳定，</w:t>
      </w:r>
      <w:r w:rsidR="0061133F">
        <w:rPr>
          <w:rFonts w:hint="eastAsia"/>
        </w:rPr>
        <w:t>市场给了一定的修复空间，银行大涨</w:t>
      </w:r>
      <w:proofErr w:type="gramStart"/>
      <w:r w:rsidR="0061133F">
        <w:rPr>
          <w:rFonts w:hint="eastAsia"/>
        </w:rPr>
        <w:t>给指数</w:t>
      </w:r>
      <w:proofErr w:type="gramEnd"/>
      <w:r w:rsidR="0061133F">
        <w:rPr>
          <w:rFonts w:hint="eastAsia"/>
        </w:rPr>
        <w:t>上行带来驱动力。</w:t>
      </w:r>
    </w:p>
    <w:p w14:paraId="5C3043BB" w14:textId="54ABFA16" w:rsidR="0061133F" w:rsidRDefault="0061133F" w:rsidP="002416ED">
      <w:pPr>
        <w:ind w:firstLineChars="200" w:firstLine="480"/>
      </w:pPr>
      <w:r>
        <w:rPr>
          <w:rFonts w:hint="eastAsia"/>
        </w:rPr>
        <w:t>节后市场冲高回落维持震荡，但交易活跃度有明显提升。节前一度处于流出的北向资金，节后大举流入，本周合计流入111</w:t>
      </w:r>
      <w:r w:rsidR="00E32222">
        <w:rPr>
          <w:rFonts w:hint="eastAsia"/>
        </w:rPr>
        <w:t>。19亿，其中沪股通流入72.39亿，深股通流入38.81亿。</w:t>
      </w:r>
    </w:p>
    <w:p w14:paraId="5ABA532D" w14:textId="570E5719" w:rsidR="0061133F" w:rsidRDefault="0061133F" w:rsidP="002416ED">
      <w:pPr>
        <w:ind w:firstLineChars="200" w:firstLine="480"/>
      </w:pPr>
      <w:r>
        <w:rPr>
          <w:rFonts w:hint="eastAsia"/>
        </w:rPr>
        <w:t xml:space="preserve">图1 </w:t>
      </w:r>
      <w:proofErr w:type="gramStart"/>
      <w:r>
        <w:rPr>
          <w:rFonts w:hint="eastAsia"/>
        </w:rPr>
        <w:t>各宽基指数</w:t>
      </w:r>
      <w:proofErr w:type="gramEnd"/>
      <w:r>
        <w:rPr>
          <w:rFonts w:hint="eastAsia"/>
        </w:rPr>
        <w:t>以及各行业涨跌幅；北向、新增融资余额表现</w:t>
      </w:r>
    </w:p>
    <w:p w14:paraId="484810E1" w14:textId="648EEC78" w:rsidR="0061133F" w:rsidRDefault="0061133F" w:rsidP="0061133F">
      <w:r w:rsidRPr="0061133F">
        <w:rPr>
          <w:noProof/>
        </w:rPr>
        <w:drawing>
          <wp:inline distT="0" distB="0" distL="0" distR="0" wp14:anchorId="5A129E9E" wp14:editId="6D546BD9">
            <wp:extent cx="5505130" cy="4316819"/>
            <wp:effectExtent l="0" t="0" r="635" b="7620"/>
            <wp:docPr id="5" name="图片 4" descr="晨会_20201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晨会_20201016"/>
                    <pic:cNvPicPr>
                      <a:picLocks noChangeAspect="1"/>
                    </pic:cNvPicPr>
                  </pic:nvPicPr>
                  <pic:blipFill>
                    <a:blip r:embed="rId7"/>
                    <a:stretch>
                      <a:fillRect/>
                    </a:stretch>
                  </pic:blipFill>
                  <pic:spPr>
                    <a:xfrm>
                      <a:off x="0" y="0"/>
                      <a:ext cx="5508363" cy="4319354"/>
                    </a:xfrm>
                    <a:prstGeom prst="rect">
                      <a:avLst/>
                    </a:prstGeom>
                  </pic:spPr>
                </pic:pic>
              </a:graphicData>
            </a:graphic>
          </wp:inline>
        </w:drawing>
      </w:r>
    </w:p>
    <w:p w14:paraId="0FBC51B2" w14:textId="77777777" w:rsidR="0061133F" w:rsidRDefault="0061133F" w:rsidP="002416ED">
      <w:pPr>
        <w:ind w:firstLineChars="200" w:firstLine="480"/>
      </w:pPr>
    </w:p>
    <w:p w14:paraId="421FEABC" w14:textId="73F63242" w:rsidR="002416ED" w:rsidRDefault="00C53CF8" w:rsidP="002416ED">
      <w:pPr>
        <w:ind w:firstLineChars="200" w:firstLine="480"/>
      </w:pPr>
      <w:r>
        <w:rPr>
          <w:rFonts w:hint="eastAsia"/>
        </w:rPr>
        <w:t>从因子表现来看，市场</w:t>
      </w:r>
      <w:r w:rsidR="00E32222">
        <w:rPr>
          <w:rFonts w:hint="eastAsia"/>
        </w:rPr>
        <w:t>大多数因子都有超额收益，其中以估值、盈利、分析师以及</w:t>
      </w:r>
      <w:proofErr w:type="gramStart"/>
      <w:r w:rsidR="00E32222">
        <w:rPr>
          <w:rFonts w:hint="eastAsia"/>
        </w:rPr>
        <w:t>业绩超</w:t>
      </w:r>
      <w:proofErr w:type="gramEnd"/>
      <w:r w:rsidR="00E32222">
        <w:rPr>
          <w:rFonts w:hint="eastAsia"/>
        </w:rPr>
        <w:t>预期表现占优。其中市值因子表现最弱，这也是当前市场风格相对应，市场可能基础维持大盘蓝筹的优势风格。</w:t>
      </w:r>
    </w:p>
    <w:p w14:paraId="13B59B77" w14:textId="5ED94CC8" w:rsidR="00A309D3" w:rsidRDefault="001D128A" w:rsidP="00E32222">
      <w:pPr>
        <w:ind w:firstLineChars="200" w:firstLine="480"/>
      </w:pPr>
      <w:r>
        <w:rPr>
          <w:rFonts w:hint="eastAsia"/>
        </w:rPr>
        <w:lastRenderedPageBreak/>
        <w:t>从</w:t>
      </w:r>
      <w:r w:rsidR="007528BE">
        <w:rPr>
          <w:rFonts w:hint="eastAsia"/>
        </w:rPr>
        <w:t>波动率来看，</w:t>
      </w:r>
      <w:r>
        <w:rPr>
          <w:rFonts w:hint="eastAsia"/>
        </w:rPr>
        <w:t>期权波动</w:t>
      </w:r>
      <w:proofErr w:type="gramStart"/>
      <w:r>
        <w:rPr>
          <w:rFonts w:hint="eastAsia"/>
        </w:rPr>
        <w:t>率指数</w:t>
      </w:r>
      <w:proofErr w:type="gramEnd"/>
      <w:r>
        <w:rPr>
          <w:rFonts w:hint="eastAsia"/>
        </w:rPr>
        <w:t>在</w:t>
      </w:r>
      <w:r w:rsidR="00E32222">
        <w:rPr>
          <w:rFonts w:hint="eastAsia"/>
        </w:rPr>
        <w:t>仍然处于历史中位数附近，当前最新值：沪深300期权的波动率为23.66%，上证50期权波动率为23.26%。</w:t>
      </w:r>
      <w:r>
        <w:rPr>
          <w:rFonts w:hint="eastAsia"/>
        </w:rPr>
        <w:t>从波动率处于的分位来看</w:t>
      </w:r>
      <w:r w:rsidR="00E32222">
        <w:rPr>
          <w:rFonts w:hint="eastAsia"/>
        </w:rPr>
        <w:t>和绝对数值来看</w:t>
      </w:r>
      <w:r>
        <w:rPr>
          <w:rFonts w:hint="eastAsia"/>
        </w:rPr>
        <w:t>，目前波动率依然处于高分位数，市场短期情绪在</w:t>
      </w:r>
      <w:r w:rsidR="008C1E8B">
        <w:rPr>
          <w:rFonts w:hint="eastAsia"/>
        </w:rPr>
        <w:t>美国大选落地之前依然无法放大风险偏好</w:t>
      </w:r>
      <w:r>
        <w:rPr>
          <w:rFonts w:hint="eastAsia"/>
        </w:rPr>
        <w:t>。</w:t>
      </w:r>
    </w:p>
    <w:p w14:paraId="64A60B16" w14:textId="746F6EA3" w:rsidR="00C12E56" w:rsidRDefault="00C12E56" w:rsidP="00E32222">
      <w:pPr>
        <w:ind w:firstLineChars="200" w:firstLine="480"/>
      </w:pPr>
    </w:p>
    <w:p w14:paraId="5C164B40" w14:textId="06E0232F" w:rsidR="00074AEA" w:rsidRPr="007528BE" w:rsidRDefault="00074AEA" w:rsidP="001D128A"/>
    <w:p w14:paraId="0B49EAA4" w14:textId="77777777" w:rsidR="00F47DCF" w:rsidRPr="005C5103" w:rsidRDefault="00F47DCF" w:rsidP="00F47DCF">
      <w:pPr>
        <w:widowControl/>
        <w:jc w:val="left"/>
        <w:rPr>
          <w:rFonts w:ascii="Calibri" w:hAnsi="Calibri"/>
          <w:sz w:val="21"/>
        </w:rPr>
      </w:pPr>
      <w:r w:rsidRPr="00844798">
        <w:rPr>
          <w:rFonts w:ascii="Times New Roman" w:hAnsi="Times New Roman" w:hint="eastAsia"/>
          <w:kern w:val="0"/>
          <w:sz w:val="16"/>
          <w:szCs w:val="16"/>
        </w:rPr>
        <w:t>风险提示：</w:t>
      </w:r>
      <w:r w:rsidRPr="00844798">
        <w:rPr>
          <w:rFonts w:ascii="Times New Roman" w:hAnsi="Times New Roman" w:hint="eastAsia"/>
          <w:kern w:val="0"/>
          <w:sz w:val="16"/>
          <w:szCs w:val="16"/>
        </w:rPr>
        <w:t>1</w:t>
      </w:r>
      <w:r w:rsidRPr="00844798">
        <w:rPr>
          <w:rFonts w:ascii="Times New Roman" w:hAnsi="Times New Roman" w:hint="eastAsia"/>
          <w:kern w:val="0"/>
          <w:sz w:val="16"/>
          <w:szCs w:val="16"/>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844798">
        <w:rPr>
          <w:rFonts w:ascii="Times New Roman" w:hAnsi="Times New Roman" w:hint="eastAsia"/>
          <w:kern w:val="0"/>
          <w:sz w:val="16"/>
          <w:szCs w:val="16"/>
        </w:rPr>
        <w:t>作出</w:t>
      </w:r>
      <w:proofErr w:type="gramEnd"/>
      <w:r w:rsidRPr="00844798">
        <w:rPr>
          <w:rFonts w:ascii="Times New Roman" w:hAnsi="Times New Roman" w:hint="eastAsia"/>
          <w:kern w:val="0"/>
          <w:sz w:val="16"/>
          <w:szCs w:val="16"/>
        </w:rPr>
        <w:t>调整。</w:t>
      </w:r>
      <w:r w:rsidRPr="00844798">
        <w:rPr>
          <w:rFonts w:ascii="Times New Roman" w:hAnsi="Times New Roman" w:hint="eastAsia"/>
          <w:kern w:val="0"/>
          <w:sz w:val="16"/>
          <w:szCs w:val="16"/>
        </w:rPr>
        <w:t>2</w:t>
      </w:r>
      <w:r w:rsidRPr="00844798">
        <w:rPr>
          <w:rFonts w:ascii="Times New Roman" w:hAnsi="Times New Roman" w:hint="eastAsia"/>
          <w:kern w:val="0"/>
          <w:sz w:val="16"/>
          <w:szCs w:val="16"/>
        </w:rPr>
        <w:t>、本报告中的资料、观点和预测等仅供参考，在任何时候均不构成对任何人的个人推荐。市场有风险，投资需谨慎。</w:t>
      </w:r>
    </w:p>
    <w:p w14:paraId="15A2CD98" w14:textId="175E7F28" w:rsidR="002C4C07" w:rsidRDefault="002C4C07" w:rsidP="002C4C07"/>
    <w:p w14:paraId="7BE5D648" w14:textId="76DEE869" w:rsidR="008540B7" w:rsidRDefault="008540B7" w:rsidP="002C4C07">
      <w:pPr>
        <w:jc w:val="center"/>
      </w:pPr>
    </w:p>
    <w:sectPr w:rsidR="008540B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D2DE68" w14:textId="77777777" w:rsidR="00C23AA0" w:rsidRDefault="00C23AA0" w:rsidP="002C4C07">
      <w:pPr>
        <w:spacing w:line="240" w:lineRule="auto"/>
      </w:pPr>
      <w:r>
        <w:separator/>
      </w:r>
    </w:p>
  </w:endnote>
  <w:endnote w:type="continuationSeparator" w:id="0">
    <w:p w14:paraId="2D360B4B" w14:textId="77777777" w:rsidR="00C23AA0" w:rsidRDefault="00C23AA0" w:rsidP="002C4C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560DECB" w14:textId="77777777" w:rsidR="00C23AA0" w:rsidRDefault="00C23AA0" w:rsidP="002C4C07">
      <w:pPr>
        <w:spacing w:line="240" w:lineRule="auto"/>
      </w:pPr>
      <w:r>
        <w:separator/>
      </w:r>
    </w:p>
  </w:footnote>
  <w:footnote w:type="continuationSeparator" w:id="0">
    <w:p w14:paraId="13DCF8E0" w14:textId="77777777" w:rsidR="00C23AA0" w:rsidRDefault="00C23AA0" w:rsidP="002C4C0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0000012D"/>
    <w:rsid w:val="00035595"/>
    <w:rsid w:val="00070AA2"/>
    <w:rsid w:val="00074AEA"/>
    <w:rsid w:val="00161CBB"/>
    <w:rsid w:val="001867FC"/>
    <w:rsid w:val="001D128A"/>
    <w:rsid w:val="001D19B6"/>
    <w:rsid w:val="001D6061"/>
    <w:rsid w:val="0020342A"/>
    <w:rsid w:val="002062DE"/>
    <w:rsid w:val="002129BA"/>
    <w:rsid w:val="002416ED"/>
    <w:rsid w:val="002A093A"/>
    <w:rsid w:val="002B15CF"/>
    <w:rsid w:val="002C4C07"/>
    <w:rsid w:val="002C7EF7"/>
    <w:rsid w:val="002E17CD"/>
    <w:rsid w:val="00374124"/>
    <w:rsid w:val="00386DFB"/>
    <w:rsid w:val="003B1CAC"/>
    <w:rsid w:val="003D637F"/>
    <w:rsid w:val="003F6050"/>
    <w:rsid w:val="004157F5"/>
    <w:rsid w:val="00454A3A"/>
    <w:rsid w:val="004E3614"/>
    <w:rsid w:val="00525A53"/>
    <w:rsid w:val="005A2D48"/>
    <w:rsid w:val="005A49E4"/>
    <w:rsid w:val="005C4905"/>
    <w:rsid w:val="0061133F"/>
    <w:rsid w:val="006965D2"/>
    <w:rsid w:val="006B1D85"/>
    <w:rsid w:val="006C7CF6"/>
    <w:rsid w:val="006E639C"/>
    <w:rsid w:val="0073379B"/>
    <w:rsid w:val="00747B9D"/>
    <w:rsid w:val="007528BE"/>
    <w:rsid w:val="00756EC7"/>
    <w:rsid w:val="007D5907"/>
    <w:rsid w:val="007F6A29"/>
    <w:rsid w:val="00830122"/>
    <w:rsid w:val="00830C71"/>
    <w:rsid w:val="008540B7"/>
    <w:rsid w:val="008916E0"/>
    <w:rsid w:val="00893C6A"/>
    <w:rsid w:val="008A74C1"/>
    <w:rsid w:val="008B1754"/>
    <w:rsid w:val="008B27E8"/>
    <w:rsid w:val="008B4D1A"/>
    <w:rsid w:val="008C1E8B"/>
    <w:rsid w:val="008D03D4"/>
    <w:rsid w:val="008F60FD"/>
    <w:rsid w:val="00907C93"/>
    <w:rsid w:val="0096055D"/>
    <w:rsid w:val="00987C63"/>
    <w:rsid w:val="009953B9"/>
    <w:rsid w:val="009D02A8"/>
    <w:rsid w:val="00A07990"/>
    <w:rsid w:val="00A309D3"/>
    <w:rsid w:val="00A51293"/>
    <w:rsid w:val="00A61347"/>
    <w:rsid w:val="00A842A3"/>
    <w:rsid w:val="00A90927"/>
    <w:rsid w:val="00AF6676"/>
    <w:rsid w:val="00B14C31"/>
    <w:rsid w:val="00B674EB"/>
    <w:rsid w:val="00B82632"/>
    <w:rsid w:val="00B87681"/>
    <w:rsid w:val="00B91093"/>
    <w:rsid w:val="00BA3587"/>
    <w:rsid w:val="00BA72C2"/>
    <w:rsid w:val="00BC61FC"/>
    <w:rsid w:val="00BD6BA1"/>
    <w:rsid w:val="00C12E56"/>
    <w:rsid w:val="00C23AA0"/>
    <w:rsid w:val="00C24E54"/>
    <w:rsid w:val="00C26642"/>
    <w:rsid w:val="00C33161"/>
    <w:rsid w:val="00C53CF8"/>
    <w:rsid w:val="00CA38CF"/>
    <w:rsid w:val="00CD5494"/>
    <w:rsid w:val="00CD673E"/>
    <w:rsid w:val="00D055BF"/>
    <w:rsid w:val="00D46833"/>
    <w:rsid w:val="00DD21CB"/>
    <w:rsid w:val="00DD26E5"/>
    <w:rsid w:val="00DD2E6A"/>
    <w:rsid w:val="00DF6F9A"/>
    <w:rsid w:val="00E32222"/>
    <w:rsid w:val="00E520C4"/>
    <w:rsid w:val="00E619FD"/>
    <w:rsid w:val="00E86C8A"/>
    <w:rsid w:val="00E87750"/>
    <w:rsid w:val="00EB7D3C"/>
    <w:rsid w:val="00EF2A7A"/>
    <w:rsid w:val="00F1138A"/>
    <w:rsid w:val="00F13186"/>
    <w:rsid w:val="00F47DCF"/>
    <w:rsid w:val="00F64709"/>
    <w:rsid w:val="00FC5D34"/>
    <w:rsid w:val="00FF6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8C6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106</Words>
  <Characters>609</Characters>
  <Application>Microsoft Office Word</Application>
  <DocSecurity>0</DocSecurity>
  <Lines>5</Lines>
  <Paragraphs>1</Paragraphs>
  <ScaleCrop>false</ScaleCrop>
  <Company>微软中国</Company>
  <LinksUpToDate>false</LinksUpToDate>
  <CharactersWithSpaces>714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邱紫华</dc:creator>
  <cp:lastModifiedBy>Administrator</cp:lastModifiedBy>
  <cp:revision>2</cp:revision>
  <dcterms:created xsi:type="dcterms:W3CDTF">2020-10-19T02:47:00Z</dcterms:created>
  <dcterms:modified xsi:type="dcterms:W3CDTF">2020-10-19T02:47:00Z</dcterms:modified>
</cp:coreProperties>
</file>